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11"/>
        <w:spacing w:before="120" w:beforeAutospacing="0" w:after="120" w:afterAutospacing="0" w:line="360" w:lineRule="auto"/>
        <w:rPr>
          <w:color w:val="auto"/>
          <w:highlight w:val="none"/>
        </w:rPr>
      </w:pPr>
      <w:r>
        <w:rPr>
          <w:color w:val="auto"/>
          <w:highlight w:val="none"/>
        </w:rPr>
        <w:t> </w:t>
      </w:r>
    </w:p>
    <w:p w14:paraId="4ACB3DA4">
      <w:pPr>
        <w:pStyle w:val="11"/>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46358005">
      <w:pPr>
        <w:pStyle w:val="11"/>
        <w:spacing w:before="120" w:beforeAutospacing="0" w:after="120" w:afterAutospacing="0" w:line="360" w:lineRule="auto"/>
        <w:ind w:firstLine="2249"/>
        <w:rPr>
          <w:rFonts w:ascii="Arial" w:hAnsi="Arial" w:cs="Arial"/>
          <w:b/>
          <w:color w:val="auto"/>
          <w:sz w:val="32"/>
          <w:szCs w:val="32"/>
          <w:highlight w:val="none"/>
        </w:rPr>
      </w:pPr>
      <w:bookmarkStart w:id="195" w:name="_GoBack"/>
      <w:bookmarkEnd w:id="195"/>
    </w:p>
    <w:p w14:paraId="75CA4ECA">
      <w:pPr>
        <w:pStyle w:val="11"/>
        <w:spacing w:before="120" w:beforeAutospacing="0" w:after="120" w:afterAutospacing="0" w:line="360" w:lineRule="auto"/>
        <w:ind w:firstLine="2249"/>
        <w:rPr>
          <w:rFonts w:ascii="Arial" w:hAnsi="Arial" w:cs="Arial"/>
          <w:b/>
          <w:color w:val="auto"/>
          <w:sz w:val="32"/>
          <w:szCs w:val="32"/>
          <w:highlight w:val="none"/>
        </w:rPr>
      </w:pPr>
    </w:p>
    <w:p w14:paraId="71CEDAD6">
      <w:pPr>
        <w:pStyle w:val="11"/>
        <w:spacing w:before="120" w:beforeAutospacing="0" w:after="120" w:afterAutospacing="0" w:line="360" w:lineRule="auto"/>
        <w:ind w:firstLine="2249"/>
        <w:rPr>
          <w:rFonts w:ascii="Arial" w:hAnsi="Arial" w:cs="Arial"/>
          <w:b/>
          <w:color w:val="auto"/>
          <w:sz w:val="32"/>
          <w:szCs w:val="32"/>
          <w:highlight w:val="none"/>
        </w:rPr>
      </w:pPr>
    </w:p>
    <w:p w14:paraId="568EA975">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760" w:lineRule="exact"/>
        <w:ind w:firstLine="643" w:firstLineChars="200"/>
        <w:textAlignment w:val="auto"/>
        <w:rPr>
          <w:rFonts w:hint="default"/>
          <w:color w:val="auto"/>
          <w:highlight w:val="none"/>
          <w:lang w:val="en-US"/>
        </w:rPr>
      </w:pPr>
      <w:r>
        <w:rPr>
          <w:rFonts w:ascii="Arial" w:hAnsi="Arial" w:cs="Arial"/>
          <w:b/>
          <w:color w:val="auto"/>
          <w:sz w:val="32"/>
          <w:szCs w:val="32"/>
          <w:highlight w:val="none"/>
        </w:rPr>
        <w:t>项目名称：</w:t>
      </w:r>
      <w:r>
        <w:rPr>
          <w:rFonts w:hint="eastAsia" w:ascii="宋体" w:hAnsi="宋体" w:eastAsia="宋体" w:cs="宋体"/>
          <w:b/>
          <w:color w:val="auto"/>
          <w:sz w:val="32"/>
          <w:szCs w:val="32"/>
          <w:highlight w:val="none"/>
          <w:u w:val="single"/>
          <w:lang w:val="en-US" w:eastAsia="zh-CN"/>
        </w:rPr>
        <w:t xml:space="preserve">射阳县数据局实施射阳县政务信息化项目    </w:t>
      </w:r>
    </w:p>
    <w:p w14:paraId="2DE7B564">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760" w:lineRule="exact"/>
        <w:ind w:firstLine="643" w:firstLineChars="200"/>
        <w:textAlignment w:val="auto"/>
        <w:rPr>
          <w:rFonts w:hint="default" w:eastAsiaTheme="minorEastAsia"/>
          <w:color w:val="auto"/>
          <w:highlight w:val="none"/>
          <w:u w:val="single"/>
          <w:lang w:val="en-US" w:eastAsia="zh-CN"/>
        </w:rPr>
      </w:pPr>
      <w:r>
        <w:rPr>
          <w:rFonts w:ascii="Arial" w:hAnsi="Arial" w:cs="Arial"/>
          <w:b/>
          <w:color w:val="auto"/>
          <w:sz w:val="32"/>
          <w:szCs w:val="32"/>
          <w:highlight w:val="none"/>
        </w:rPr>
        <w:t>项目编号：</w:t>
      </w:r>
      <w:r>
        <w:rPr>
          <w:rFonts w:hint="eastAsia" w:ascii="Arial" w:hAnsi="Arial" w:cs="Arial"/>
          <w:b/>
          <w:color w:val="auto"/>
          <w:sz w:val="32"/>
          <w:szCs w:val="32"/>
          <w:highlight w:val="none"/>
          <w:u w:val="single"/>
          <w:lang w:val="en-US" w:eastAsia="zh-CN"/>
        </w:rPr>
        <w:t xml:space="preserve"> </w:t>
      </w:r>
      <w:r>
        <w:rPr>
          <w:color w:val="auto"/>
          <w:highlight w:val="none"/>
          <w:u w:val="single"/>
        </w:rPr>
        <w:t> </w:t>
      </w:r>
      <w:r>
        <w:rPr>
          <w:rFonts w:hint="eastAsia" w:ascii="宋体" w:hAnsi="宋体" w:eastAsia="宋体" w:cs="宋体"/>
          <w:b/>
          <w:color w:val="auto"/>
          <w:sz w:val="32"/>
          <w:szCs w:val="32"/>
          <w:highlight w:val="none"/>
          <w:u w:val="single"/>
          <w:lang w:val="en-US" w:eastAsia="zh-CN"/>
        </w:rPr>
        <w:t>JSZC-320924-JZCG-G2026-0004</w:t>
      </w:r>
      <w:r>
        <w:rPr>
          <w:rFonts w:hint="eastAsia" w:ascii="Arial" w:hAnsi="Arial" w:cs="Arial"/>
          <w:b/>
          <w:color w:val="auto"/>
          <w:sz w:val="32"/>
          <w:szCs w:val="32"/>
          <w:highlight w:val="none"/>
          <w:u w:val="single"/>
          <w:lang w:val="en-US" w:eastAsia="zh-CN"/>
        </w:rPr>
        <w:t xml:space="preserve">                    </w:t>
      </w:r>
    </w:p>
    <w:p w14:paraId="2926E52A">
      <w:pPr>
        <w:pStyle w:val="11"/>
        <w:spacing w:beforeAutospacing="0" w:afterAutospacing="0" w:line="360" w:lineRule="auto"/>
        <w:rPr>
          <w:color w:val="auto"/>
          <w:highlight w:val="none"/>
        </w:rPr>
      </w:pPr>
      <w:r>
        <w:rPr>
          <w:color w:val="auto"/>
          <w:highlight w:val="none"/>
        </w:rPr>
        <w:t> </w:t>
      </w:r>
    </w:p>
    <w:p w14:paraId="37D5E739">
      <w:pPr>
        <w:pStyle w:val="11"/>
        <w:spacing w:beforeAutospacing="0" w:afterAutospacing="0" w:line="360" w:lineRule="auto"/>
        <w:rPr>
          <w:color w:val="auto"/>
          <w:highlight w:val="none"/>
        </w:rPr>
      </w:pPr>
      <w:r>
        <w:rPr>
          <w:color w:val="auto"/>
          <w:highlight w:val="none"/>
        </w:rPr>
        <w:t> </w:t>
      </w:r>
    </w:p>
    <w:p w14:paraId="4C180711">
      <w:pPr>
        <w:pStyle w:val="11"/>
        <w:spacing w:beforeAutospacing="0" w:afterAutospacing="0" w:line="360" w:lineRule="auto"/>
        <w:rPr>
          <w:color w:val="auto"/>
          <w:highlight w:val="none"/>
        </w:rPr>
      </w:pPr>
      <w:r>
        <w:rPr>
          <w:color w:val="auto"/>
          <w:highlight w:val="none"/>
        </w:rPr>
        <w:t> </w:t>
      </w:r>
    </w:p>
    <w:p w14:paraId="3260F04D">
      <w:pPr>
        <w:pStyle w:val="11"/>
        <w:spacing w:beforeAutospacing="0" w:afterAutospacing="0" w:line="360" w:lineRule="auto"/>
        <w:rPr>
          <w:color w:val="auto"/>
          <w:highlight w:val="none"/>
        </w:rPr>
      </w:pPr>
      <w:r>
        <w:rPr>
          <w:color w:val="auto"/>
          <w:highlight w:val="none"/>
        </w:rPr>
        <w:t> </w:t>
      </w:r>
    </w:p>
    <w:p w14:paraId="7B85D1C1">
      <w:pPr>
        <w:pStyle w:val="11"/>
        <w:spacing w:beforeAutospacing="0" w:afterAutospacing="0" w:line="360" w:lineRule="auto"/>
        <w:rPr>
          <w:color w:val="auto"/>
          <w:highlight w:val="none"/>
        </w:rPr>
      </w:pPr>
      <w:r>
        <w:rPr>
          <w:color w:val="auto"/>
          <w:highlight w:val="none"/>
        </w:rPr>
        <w:t> </w:t>
      </w:r>
    </w:p>
    <w:p w14:paraId="3DF7E29F">
      <w:pPr>
        <w:pStyle w:val="11"/>
        <w:spacing w:beforeAutospacing="0" w:afterAutospacing="0" w:line="360" w:lineRule="auto"/>
        <w:rPr>
          <w:color w:val="auto"/>
          <w:highlight w:val="none"/>
        </w:rPr>
      </w:pPr>
      <w:r>
        <w:rPr>
          <w:color w:val="auto"/>
          <w:highlight w:val="none"/>
        </w:rPr>
        <w:t> </w:t>
      </w:r>
    </w:p>
    <w:p w14:paraId="0A8F60CE">
      <w:pPr>
        <w:pStyle w:val="11"/>
        <w:spacing w:beforeAutospacing="0" w:afterAutospacing="0" w:line="360" w:lineRule="auto"/>
        <w:rPr>
          <w:color w:val="auto"/>
          <w:highlight w:val="none"/>
        </w:rPr>
      </w:pPr>
    </w:p>
    <w:p w14:paraId="4F3B57D4">
      <w:pPr>
        <w:pStyle w:val="11"/>
        <w:spacing w:beforeAutospacing="0" w:afterAutospacing="0" w:line="360" w:lineRule="auto"/>
        <w:rPr>
          <w:color w:val="auto"/>
          <w:highlight w:val="none"/>
        </w:rPr>
      </w:pPr>
    </w:p>
    <w:p w14:paraId="79922577">
      <w:pPr>
        <w:pStyle w:val="11"/>
        <w:spacing w:beforeAutospacing="0" w:afterAutospacing="0" w:line="360" w:lineRule="auto"/>
        <w:rPr>
          <w:color w:val="auto"/>
          <w:highlight w:val="none"/>
        </w:rPr>
      </w:pPr>
    </w:p>
    <w:p w14:paraId="7A6BA4AA">
      <w:pPr>
        <w:pStyle w:val="11"/>
        <w:spacing w:beforeAutospacing="0" w:afterAutospacing="0" w:line="360" w:lineRule="auto"/>
        <w:rPr>
          <w:color w:val="auto"/>
          <w:highlight w:val="none"/>
        </w:rPr>
      </w:pPr>
    </w:p>
    <w:p w14:paraId="6426833A">
      <w:pPr>
        <w:pStyle w:val="11"/>
        <w:spacing w:beforeAutospacing="0" w:afterAutospacing="0" w:line="360" w:lineRule="auto"/>
        <w:rPr>
          <w:color w:val="auto"/>
          <w:highlight w:val="none"/>
        </w:rPr>
      </w:pPr>
    </w:p>
    <w:p w14:paraId="44375FBA">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60" w:lineRule="exact"/>
        <w:jc w:val="center"/>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射阳县数据局</w:t>
      </w:r>
    </w:p>
    <w:p w14:paraId="3E4DAFD2">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60" w:lineRule="exact"/>
        <w:jc w:val="center"/>
        <w:textAlignment w:val="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lang w:val="en-US" w:eastAsia="zh-CN"/>
        </w:rPr>
        <w:t>2026</w:t>
      </w:r>
      <w:r>
        <w:rPr>
          <w:rFonts w:hint="eastAsia" w:ascii="宋体" w:hAnsi="宋体" w:eastAsia="宋体" w:cs="宋体"/>
          <w:b/>
          <w:color w:val="auto"/>
          <w:sz w:val="36"/>
          <w:szCs w:val="36"/>
          <w:highlight w:val="none"/>
        </w:rPr>
        <w:t>年</w:t>
      </w:r>
      <w:r>
        <w:rPr>
          <w:rFonts w:hint="eastAsia" w:ascii="宋体" w:hAnsi="宋体" w:eastAsia="宋体" w:cs="宋体"/>
          <w:b/>
          <w:color w:val="auto"/>
          <w:sz w:val="36"/>
          <w:szCs w:val="36"/>
          <w:highlight w:val="none"/>
          <w:lang w:val="en-US" w:eastAsia="zh-CN"/>
        </w:rPr>
        <w:t>2</w:t>
      </w:r>
      <w:r>
        <w:rPr>
          <w:rFonts w:hint="eastAsia" w:ascii="宋体" w:hAnsi="宋体" w:eastAsia="宋体" w:cs="宋体"/>
          <w:b/>
          <w:color w:val="auto"/>
          <w:sz w:val="36"/>
          <w:szCs w:val="36"/>
          <w:highlight w:val="none"/>
        </w:rPr>
        <w:t>月</w:t>
      </w:r>
    </w:p>
    <w:p w14:paraId="58616398">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60" w:lineRule="exact"/>
        <w:jc w:val="center"/>
        <w:textAlignment w:val="auto"/>
        <w:rPr>
          <w:rFonts w:hint="eastAsia" w:ascii="黑体" w:hAnsi="黑体" w:eastAsia="黑体" w:cs="黑体"/>
          <w:color w:val="auto"/>
          <w:kern w:val="0"/>
          <w:sz w:val="44"/>
          <w:szCs w:val="44"/>
          <w:highlight w:val="none"/>
        </w:rPr>
        <w:sectPr>
          <w:headerReference r:id="rId3" w:type="default"/>
          <w:footerReference r:id="rId4" w:type="default"/>
          <w:pgSz w:w="11906" w:h="16838"/>
          <w:pgMar w:top="1418" w:right="1555" w:bottom="1418" w:left="1531" w:header="851" w:footer="992" w:gutter="0"/>
          <w:pgBorders>
            <w:top w:val="none" w:sz="0" w:space="0"/>
            <w:left w:val="none" w:sz="0" w:space="0"/>
            <w:bottom w:val="none" w:sz="0" w:space="0"/>
            <w:right w:val="none" w:sz="0" w:space="0"/>
          </w:pgBorders>
          <w:cols w:space="720" w:num="1"/>
          <w:docGrid w:linePitch="360" w:charSpace="0"/>
        </w:sectPr>
      </w:pPr>
    </w:p>
    <w:p w14:paraId="1B0A0FCC">
      <w:pPr>
        <w:pStyle w:val="3"/>
        <w:ind w:left="0" w:leftChars="0" w:firstLine="0" w:firstLineChars="0"/>
        <w:jc w:val="center"/>
        <w:rPr>
          <w:b/>
          <w:bCs/>
          <w:color w:val="auto"/>
          <w:highlight w:val="none"/>
        </w:rPr>
      </w:pPr>
      <w:bookmarkStart w:id="0" w:name="_Toc479757206"/>
      <w:bookmarkStart w:id="1" w:name="_Toc513029200"/>
      <w:bookmarkStart w:id="2" w:name="_Toc16938516"/>
      <w:bookmarkStart w:id="3" w:name="_Toc120614210"/>
      <w:bookmarkStart w:id="4" w:name="_Toc523127445"/>
      <w:bookmarkStart w:id="5" w:name="_Toc20823272"/>
      <w:r>
        <w:rPr>
          <w:rFonts w:ascii="黑体" w:hAnsi="宋体" w:eastAsia="黑体" w:cs="黑体"/>
          <w:b/>
          <w:bCs/>
          <w:color w:val="auto"/>
          <w:sz w:val="44"/>
          <w:szCs w:val="44"/>
          <w:highlight w:val="none"/>
        </w:rPr>
        <w:t>总  目  录</w:t>
      </w:r>
      <w:bookmarkEnd w:id="0"/>
      <w:bookmarkEnd w:id="1"/>
      <w:bookmarkEnd w:id="2"/>
      <w:bookmarkEnd w:id="3"/>
      <w:bookmarkEnd w:id="4"/>
      <w:bookmarkEnd w:id="5"/>
    </w:p>
    <w:p w14:paraId="24BB874F">
      <w:pPr>
        <w:pStyle w:val="11"/>
        <w:spacing w:beforeAutospacing="0" w:afterAutospacing="0" w:line="480" w:lineRule="auto"/>
        <w:jc w:val="both"/>
        <w:rPr>
          <w:color w:val="auto"/>
          <w:highlight w:val="none"/>
        </w:rPr>
      </w:pPr>
      <w:r>
        <w:rPr>
          <w:color w:val="auto"/>
          <w:highlight w:val="none"/>
        </w:rPr>
        <w:t> </w:t>
      </w:r>
    </w:p>
    <w:p w14:paraId="0BE109DC">
      <w:pPr>
        <w:pStyle w:val="11"/>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780" w:lineRule="exact"/>
        <w:ind w:left="2160" w:hanging="1440"/>
        <w:jc w:val="both"/>
        <w:textAlignment w:val="auto"/>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第一章   </w:t>
      </w:r>
      <w:r>
        <w:rPr>
          <w:rFonts w:hint="eastAsia" w:ascii="黑体" w:hAnsi="宋体" w:eastAsia="黑体" w:cs="黑体"/>
          <w:b w:val="0"/>
          <w:bCs w:val="0"/>
          <w:color w:val="auto"/>
          <w:sz w:val="36"/>
          <w:szCs w:val="36"/>
          <w:highlight w:val="none"/>
          <w:lang w:val="en-US" w:eastAsia="zh-CN"/>
        </w:rPr>
        <w:t>招标公告</w:t>
      </w:r>
      <w:r>
        <w:rPr>
          <w:rFonts w:hint="eastAsia" w:ascii="黑体" w:hAnsi="宋体" w:eastAsia="黑体" w:cs="黑体"/>
          <w:b w:val="0"/>
          <w:bCs w:val="0"/>
          <w:color w:val="auto"/>
          <w:sz w:val="36"/>
          <w:szCs w:val="36"/>
          <w:highlight w:val="none"/>
        </w:rPr>
        <w:t xml:space="preserve"> </w:t>
      </w:r>
    </w:p>
    <w:p w14:paraId="7C522B2E">
      <w:pPr>
        <w:pStyle w:val="11"/>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780" w:lineRule="exact"/>
        <w:ind w:left="2160" w:hanging="1440"/>
        <w:jc w:val="both"/>
        <w:textAlignment w:val="auto"/>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第二章   </w:t>
      </w:r>
      <w:r>
        <w:rPr>
          <w:rFonts w:hint="eastAsia" w:ascii="黑体" w:hAnsi="宋体" w:eastAsia="黑体" w:cs="黑体"/>
          <w:b w:val="0"/>
          <w:bCs w:val="0"/>
          <w:color w:val="auto"/>
          <w:sz w:val="36"/>
          <w:szCs w:val="36"/>
          <w:highlight w:val="none"/>
        </w:rPr>
        <w:t xml:space="preserve">投标人须知  </w:t>
      </w:r>
    </w:p>
    <w:p w14:paraId="4B510CDE">
      <w:pPr>
        <w:pStyle w:val="11"/>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780" w:lineRule="exact"/>
        <w:ind w:left="2160" w:hanging="1440"/>
        <w:jc w:val="both"/>
        <w:textAlignment w:val="auto"/>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第三章   </w:t>
      </w:r>
      <w:r>
        <w:rPr>
          <w:rFonts w:hint="eastAsia" w:ascii="黑体" w:hAnsi="宋体" w:eastAsia="黑体" w:cs="黑体"/>
          <w:b w:val="0"/>
          <w:bCs w:val="0"/>
          <w:color w:val="auto"/>
          <w:sz w:val="36"/>
          <w:szCs w:val="36"/>
          <w:highlight w:val="none"/>
        </w:rPr>
        <w:t>合同</w:t>
      </w:r>
      <w:r>
        <w:rPr>
          <w:rFonts w:hint="eastAsia" w:ascii="黑体" w:hAnsi="宋体" w:eastAsia="黑体" w:cs="黑体"/>
          <w:b w:val="0"/>
          <w:bCs w:val="0"/>
          <w:color w:val="auto"/>
          <w:sz w:val="36"/>
          <w:szCs w:val="36"/>
          <w:highlight w:val="none"/>
          <w:lang w:eastAsia="zh-CN"/>
        </w:rPr>
        <w:t>条款</w:t>
      </w:r>
    </w:p>
    <w:p w14:paraId="2B298304">
      <w:pPr>
        <w:pStyle w:val="11"/>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780" w:lineRule="exact"/>
        <w:ind w:left="2160" w:hanging="1440"/>
        <w:jc w:val="both"/>
        <w:textAlignment w:val="auto"/>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第四章   </w:t>
      </w:r>
      <w:r>
        <w:rPr>
          <w:rFonts w:hint="eastAsia" w:ascii="黑体" w:hAnsi="宋体" w:eastAsia="黑体" w:cs="黑体"/>
          <w:b w:val="0"/>
          <w:bCs w:val="0"/>
          <w:color w:val="auto"/>
          <w:sz w:val="36"/>
          <w:szCs w:val="36"/>
          <w:highlight w:val="none"/>
        </w:rPr>
        <w:t>采购需求</w:t>
      </w:r>
    </w:p>
    <w:p w14:paraId="0B5F96B2">
      <w:pPr>
        <w:pStyle w:val="11"/>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780" w:lineRule="exact"/>
        <w:ind w:left="2160" w:hanging="1440"/>
        <w:jc w:val="both"/>
        <w:textAlignment w:val="auto"/>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第五章   </w:t>
      </w:r>
      <w:r>
        <w:rPr>
          <w:rFonts w:hint="eastAsia" w:ascii="黑体" w:hAnsi="宋体" w:eastAsia="黑体" w:cs="黑体"/>
          <w:b w:val="0"/>
          <w:bCs w:val="0"/>
          <w:color w:val="auto"/>
          <w:sz w:val="36"/>
          <w:szCs w:val="36"/>
          <w:highlight w:val="none"/>
        </w:rPr>
        <w:t>评标方法与评标标准</w:t>
      </w:r>
    </w:p>
    <w:p w14:paraId="15602893">
      <w:pPr>
        <w:pStyle w:val="11"/>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780" w:lineRule="exact"/>
        <w:ind w:left="2160" w:hanging="1440"/>
        <w:jc w:val="both"/>
        <w:textAlignment w:val="auto"/>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第六章   </w:t>
      </w:r>
      <w:r>
        <w:rPr>
          <w:rFonts w:hint="eastAsia" w:ascii="黑体" w:hAnsi="宋体" w:eastAsia="黑体" w:cs="黑体"/>
          <w:b w:val="0"/>
          <w:bCs w:val="0"/>
          <w:color w:val="auto"/>
          <w:sz w:val="36"/>
          <w:szCs w:val="36"/>
          <w:highlight w:val="none"/>
        </w:rPr>
        <w:t>投标文件格式</w:t>
      </w:r>
    </w:p>
    <w:p w14:paraId="534DE13F">
      <w:pPr>
        <w:pStyle w:val="11"/>
        <w:spacing w:beforeAutospacing="0" w:afterAutospacing="0"/>
        <w:jc w:val="both"/>
        <w:rPr>
          <w:color w:val="auto"/>
          <w:highlight w:val="none"/>
        </w:rPr>
      </w:pPr>
      <w:r>
        <w:rPr>
          <w:color w:val="auto"/>
          <w:highlight w:val="none"/>
        </w:rPr>
        <w:t> </w:t>
      </w:r>
    </w:p>
    <w:p w14:paraId="5B3C47C5">
      <w:pPr>
        <w:pStyle w:val="11"/>
        <w:spacing w:beforeAutospacing="0" w:afterAutospacing="0"/>
        <w:jc w:val="both"/>
        <w:rPr>
          <w:color w:val="auto"/>
          <w:highlight w:val="none"/>
        </w:rPr>
      </w:pPr>
      <w:r>
        <w:rPr>
          <w:color w:val="auto"/>
          <w:highlight w:val="none"/>
        </w:rPr>
        <w:t> </w:t>
      </w:r>
    </w:p>
    <w:p w14:paraId="1026E6EC">
      <w:pPr>
        <w:pStyle w:val="11"/>
        <w:spacing w:beforeAutospacing="0" w:afterAutospacing="0"/>
        <w:jc w:val="both"/>
        <w:rPr>
          <w:color w:val="auto"/>
          <w:highlight w:val="none"/>
        </w:rPr>
      </w:pPr>
      <w:r>
        <w:rPr>
          <w:color w:val="auto"/>
          <w:highlight w:val="none"/>
        </w:rPr>
        <w:t> </w:t>
      </w:r>
    </w:p>
    <w:p w14:paraId="77EDD784">
      <w:pPr>
        <w:pStyle w:val="11"/>
        <w:spacing w:beforeAutospacing="0" w:afterAutospacing="0"/>
        <w:jc w:val="both"/>
        <w:rPr>
          <w:color w:val="auto"/>
          <w:highlight w:val="none"/>
        </w:rPr>
      </w:pPr>
      <w:r>
        <w:rPr>
          <w:color w:val="auto"/>
          <w:highlight w:val="none"/>
        </w:rPr>
        <w:t> </w:t>
      </w:r>
    </w:p>
    <w:p w14:paraId="0CEF2CA3">
      <w:pPr>
        <w:pStyle w:val="11"/>
        <w:spacing w:beforeAutospacing="0" w:afterAutospacing="0"/>
        <w:jc w:val="both"/>
        <w:rPr>
          <w:color w:val="auto"/>
          <w:highlight w:val="none"/>
        </w:rPr>
      </w:pPr>
      <w:r>
        <w:rPr>
          <w:color w:val="auto"/>
          <w:highlight w:val="none"/>
        </w:rPr>
        <w:t> </w:t>
      </w:r>
    </w:p>
    <w:p w14:paraId="199834B7">
      <w:pPr>
        <w:pStyle w:val="11"/>
        <w:spacing w:beforeAutospacing="0" w:afterAutospacing="0"/>
        <w:jc w:val="both"/>
        <w:rPr>
          <w:color w:val="auto"/>
          <w:highlight w:val="none"/>
        </w:rPr>
      </w:pPr>
      <w:r>
        <w:rPr>
          <w:color w:val="auto"/>
          <w:highlight w:val="none"/>
        </w:rPr>
        <w:t> </w:t>
      </w:r>
    </w:p>
    <w:p w14:paraId="5973B429">
      <w:pPr>
        <w:pStyle w:val="11"/>
        <w:spacing w:beforeAutospacing="0" w:afterAutospacing="0"/>
        <w:jc w:val="both"/>
        <w:rPr>
          <w:color w:val="auto"/>
          <w:highlight w:val="none"/>
        </w:rPr>
      </w:pPr>
      <w:r>
        <w:rPr>
          <w:color w:val="auto"/>
          <w:highlight w:val="none"/>
        </w:rPr>
        <w:t> </w:t>
      </w:r>
    </w:p>
    <w:p w14:paraId="002C7EB7">
      <w:pPr>
        <w:pStyle w:val="11"/>
        <w:spacing w:beforeAutospacing="0" w:afterAutospacing="0"/>
        <w:jc w:val="both"/>
        <w:rPr>
          <w:color w:val="auto"/>
          <w:highlight w:val="none"/>
        </w:rPr>
      </w:pPr>
      <w:r>
        <w:rPr>
          <w:color w:val="auto"/>
          <w:highlight w:val="none"/>
        </w:rPr>
        <w:t> </w:t>
      </w:r>
    </w:p>
    <w:p w14:paraId="4F9CAB0B">
      <w:pPr>
        <w:pStyle w:val="11"/>
        <w:spacing w:beforeAutospacing="0" w:afterAutospacing="0"/>
        <w:jc w:val="both"/>
        <w:rPr>
          <w:color w:val="auto"/>
          <w:highlight w:val="none"/>
        </w:rPr>
      </w:pPr>
      <w:r>
        <w:rPr>
          <w:color w:val="auto"/>
          <w:highlight w:val="none"/>
        </w:rPr>
        <w:t> </w:t>
      </w:r>
    </w:p>
    <w:p w14:paraId="2E059227">
      <w:pPr>
        <w:pStyle w:val="11"/>
        <w:spacing w:beforeAutospacing="0" w:afterAutospacing="0"/>
        <w:jc w:val="both"/>
        <w:rPr>
          <w:color w:val="auto"/>
          <w:highlight w:val="none"/>
        </w:rPr>
      </w:pPr>
      <w:r>
        <w:rPr>
          <w:color w:val="auto"/>
          <w:highlight w:val="none"/>
        </w:rPr>
        <w:t> </w:t>
      </w:r>
    </w:p>
    <w:p w14:paraId="377E3A45">
      <w:pPr>
        <w:pStyle w:val="11"/>
        <w:spacing w:beforeAutospacing="0" w:afterAutospacing="0"/>
        <w:jc w:val="both"/>
        <w:rPr>
          <w:color w:val="auto"/>
          <w:highlight w:val="none"/>
        </w:rPr>
      </w:pPr>
      <w:r>
        <w:rPr>
          <w:color w:val="auto"/>
          <w:highlight w:val="none"/>
        </w:rPr>
        <w:t> </w:t>
      </w:r>
    </w:p>
    <w:p w14:paraId="0902FF10">
      <w:pPr>
        <w:pStyle w:val="11"/>
        <w:spacing w:beforeAutospacing="0" w:afterAutospacing="0"/>
        <w:jc w:val="both"/>
        <w:rPr>
          <w:color w:val="auto"/>
          <w:highlight w:val="none"/>
        </w:rPr>
      </w:pPr>
      <w:r>
        <w:rPr>
          <w:color w:val="auto"/>
          <w:highlight w:val="none"/>
        </w:rPr>
        <w:t> </w:t>
      </w:r>
    </w:p>
    <w:p w14:paraId="6551063F">
      <w:pPr>
        <w:pStyle w:val="11"/>
        <w:spacing w:beforeAutospacing="0" w:afterAutospacing="0"/>
        <w:jc w:val="both"/>
        <w:rPr>
          <w:color w:val="auto"/>
          <w:highlight w:val="none"/>
        </w:rPr>
      </w:pPr>
      <w:r>
        <w:rPr>
          <w:color w:val="auto"/>
          <w:highlight w:val="none"/>
        </w:rPr>
        <w:t> </w:t>
      </w:r>
    </w:p>
    <w:p w14:paraId="191BFA28">
      <w:pPr>
        <w:pStyle w:val="11"/>
        <w:spacing w:beforeAutospacing="0" w:afterAutospacing="0"/>
        <w:jc w:val="both"/>
        <w:rPr>
          <w:color w:val="auto"/>
          <w:highlight w:val="none"/>
        </w:rPr>
      </w:pPr>
      <w:r>
        <w:rPr>
          <w:color w:val="auto"/>
          <w:highlight w:val="none"/>
        </w:rPr>
        <w:t> </w:t>
      </w:r>
    </w:p>
    <w:p w14:paraId="2C46ADC8">
      <w:pPr>
        <w:pStyle w:val="11"/>
        <w:spacing w:beforeAutospacing="0" w:afterAutospacing="0"/>
        <w:jc w:val="both"/>
        <w:rPr>
          <w:color w:val="auto"/>
          <w:highlight w:val="none"/>
        </w:rPr>
      </w:pPr>
      <w:r>
        <w:rPr>
          <w:color w:val="auto"/>
          <w:highlight w:val="none"/>
        </w:rPr>
        <w:t> </w:t>
      </w:r>
    </w:p>
    <w:p w14:paraId="2900AB90">
      <w:pPr>
        <w:pStyle w:val="11"/>
        <w:spacing w:beforeAutospacing="0" w:afterAutospacing="0"/>
        <w:jc w:val="both"/>
        <w:rPr>
          <w:color w:val="auto"/>
          <w:highlight w:val="none"/>
        </w:rPr>
      </w:pPr>
      <w:r>
        <w:rPr>
          <w:color w:val="auto"/>
          <w:highlight w:val="none"/>
        </w:rPr>
        <w:t> </w:t>
      </w:r>
    </w:p>
    <w:p w14:paraId="60DE5FF6">
      <w:pPr>
        <w:pStyle w:val="11"/>
        <w:spacing w:beforeAutospacing="0" w:afterAutospacing="0"/>
        <w:jc w:val="both"/>
        <w:rPr>
          <w:color w:val="auto"/>
          <w:highlight w:val="none"/>
        </w:rPr>
      </w:pPr>
      <w:r>
        <w:rPr>
          <w:color w:val="auto"/>
          <w:highlight w:val="none"/>
        </w:rPr>
        <w:t> </w:t>
      </w:r>
    </w:p>
    <w:p w14:paraId="4B476BA0">
      <w:pPr>
        <w:pStyle w:val="11"/>
        <w:spacing w:beforeAutospacing="0" w:afterAutospacing="0"/>
        <w:jc w:val="both"/>
        <w:rPr>
          <w:color w:val="auto"/>
          <w:highlight w:val="none"/>
        </w:rPr>
      </w:pPr>
      <w:r>
        <w:rPr>
          <w:color w:val="auto"/>
          <w:highlight w:val="none"/>
        </w:rPr>
        <w:t> </w:t>
      </w:r>
    </w:p>
    <w:p w14:paraId="66234C8E">
      <w:pPr>
        <w:pStyle w:val="11"/>
        <w:spacing w:beforeAutospacing="0" w:afterAutospacing="0"/>
        <w:jc w:val="both"/>
        <w:rPr>
          <w:color w:val="auto"/>
          <w:highlight w:val="none"/>
        </w:rPr>
      </w:pPr>
      <w:r>
        <w:rPr>
          <w:color w:val="auto"/>
          <w:highlight w:val="none"/>
        </w:rPr>
        <w:t> </w:t>
      </w:r>
    </w:p>
    <w:p w14:paraId="43F4AD00">
      <w:pPr>
        <w:pStyle w:val="11"/>
        <w:spacing w:beforeAutospacing="0" w:afterAutospacing="0"/>
        <w:jc w:val="both"/>
        <w:rPr>
          <w:color w:val="auto"/>
          <w:highlight w:val="none"/>
        </w:rPr>
      </w:pPr>
      <w:r>
        <w:rPr>
          <w:color w:val="auto"/>
          <w:highlight w:val="none"/>
        </w:rPr>
        <w:t> </w:t>
      </w:r>
    </w:p>
    <w:p w14:paraId="19406DE9">
      <w:pPr>
        <w:pStyle w:val="11"/>
        <w:spacing w:beforeAutospacing="0" w:afterAutospacing="0"/>
        <w:jc w:val="both"/>
        <w:rPr>
          <w:color w:val="auto"/>
          <w:highlight w:val="none"/>
        </w:rPr>
      </w:pPr>
      <w:r>
        <w:rPr>
          <w:color w:val="auto"/>
          <w:highlight w:val="none"/>
        </w:rPr>
        <w:t> </w:t>
      </w:r>
    </w:p>
    <w:p w14:paraId="746F8DFD">
      <w:pPr>
        <w:pStyle w:val="3"/>
        <w:ind w:left="0" w:leftChars="0" w:firstLine="0" w:firstLineChars="0"/>
        <w:jc w:val="center"/>
        <w:rPr>
          <w:rFonts w:hint="eastAsia" w:ascii="黑体" w:hAnsi="宋体" w:eastAsia="黑体" w:cs="黑体"/>
          <w:b w:val="0"/>
          <w:bCs w:val="0"/>
          <w:color w:val="auto"/>
          <w:sz w:val="44"/>
          <w:szCs w:val="44"/>
          <w:highlight w:val="none"/>
          <w:lang w:val="en-US" w:eastAsia="zh-CN"/>
        </w:rPr>
      </w:pPr>
      <w:bookmarkStart w:id="6" w:name="_Toc28359086"/>
      <w:r>
        <w:rPr>
          <w:rFonts w:hint="eastAsia" w:ascii="黑体" w:hAnsi="宋体" w:eastAsia="黑体" w:cs="黑体"/>
          <w:b w:val="0"/>
          <w:bCs w:val="0"/>
          <w:color w:val="auto"/>
          <w:sz w:val="44"/>
          <w:szCs w:val="44"/>
          <w:highlight w:val="none"/>
        </w:rPr>
        <w:t>第一章 </w:t>
      </w:r>
      <w:r>
        <w:rPr>
          <w:rFonts w:hint="eastAsia" w:ascii="黑体" w:hAnsi="宋体" w:eastAsia="黑体" w:cs="黑体"/>
          <w:b w:val="0"/>
          <w:bCs w:val="0"/>
          <w:color w:val="auto"/>
          <w:sz w:val="44"/>
          <w:szCs w:val="44"/>
          <w:highlight w:val="none"/>
          <w:lang w:val="en-US" w:eastAsia="zh-CN"/>
        </w:rPr>
        <w:t>招标公告</w:t>
      </w:r>
    </w:p>
    <w:p w14:paraId="04B51B80">
      <w:pPr>
        <w:pStyle w:val="11"/>
        <w:keepNext/>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default" w:ascii="黑体" w:hAnsi="宋体" w:eastAsia="黑体" w:cs="黑体"/>
          <w:color w:val="auto"/>
          <w:sz w:val="44"/>
          <w:szCs w:val="44"/>
          <w:highlight w:val="none"/>
          <w:lang w:val="en-US" w:eastAsia="zh-CN"/>
        </w:rPr>
      </w:pPr>
    </w:p>
    <w:p w14:paraId="434B6826">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项目概况</w:t>
      </w:r>
    </w:p>
    <w:p w14:paraId="6B0F6ADA">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射阳县数据局实施射阳县政务信息化项目 </w:t>
      </w:r>
      <w:r>
        <w:rPr>
          <w:rFonts w:hint="eastAsia" w:ascii="宋体" w:hAnsi="宋体" w:eastAsia="宋体" w:cs="宋体"/>
          <w:color w:val="auto"/>
          <w:sz w:val="24"/>
          <w:szCs w:val="24"/>
          <w:highlight w:val="none"/>
        </w:rPr>
        <w:t>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05033C3B">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7" w:name="_Toc35393790"/>
      <w:bookmarkStart w:id="8" w:name="_Hlk24379207"/>
      <w:bookmarkStart w:id="9" w:name="_Toc28359079"/>
      <w:bookmarkStart w:id="10" w:name="_Toc35393621"/>
      <w:bookmarkStart w:id="11" w:name="_Toc28359002"/>
      <w:bookmarkStart w:id="12" w:name="_Toc38985263"/>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39610826">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default" w:ascii="宋体" w:hAnsi="宋体" w:eastAsia="宋体" w:cs="宋体"/>
          <w:i w:val="0"/>
          <w:iCs w:val="0"/>
          <w:caps w:val="0"/>
          <w:color w:val="auto"/>
          <w:spacing w:val="0"/>
          <w:sz w:val="24"/>
          <w:szCs w:val="24"/>
          <w:highlight w:val="none"/>
          <w:u w:val="singl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rPr>
        <w:t>1</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项目编号：</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JSZC-320924-JZCG-G2026-0004                                   </w:t>
      </w:r>
    </w:p>
    <w:p w14:paraId="4B58244C">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lang w:val="en-US" w:eastAsia="zh-CN"/>
        </w:rPr>
        <w:t>射阳县数据局实施射阳县政务信息化项目。</w:t>
      </w:r>
    </w:p>
    <w:p w14:paraId="73A52534">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64691F6D">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预算金额：</w:t>
      </w:r>
      <w:r>
        <w:rPr>
          <w:rFonts w:hint="eastAsia" w:ascii="宋体" w:hAnsi="宋体" w:eastAsia="宋体" w:cs="宋体"/>
          <w:i w:val="0"/>
          <w:iCs w:val="0"/>
          <w:caps w:val="0"/>
          <w:color w:val="auto"/>
          <w:spacing w:val="0"/>
          <w:sz w:val="24"/>
          <w:szCs w:val="24"/>
          <w:highlight w:val="none"/>
          <w:shd w:val="clear" w:fill="FFFFFF"/>
          <w:lang w:val="en-US" w:eastAsia="zh-CN"/>
        </w:rPr>
        <w:t>725.99万元。</w:t>
      </w:r>
    </w:p>
    <w:p w14:paraId="7C279CB3">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最高限价：</w:t>
      </w:r>
      <w:r>
        <w:rPr>
          <w:rFonts w:hint="eastAsia" w:ascii="宋体" w:hAnsi="宋体" w:eastAsia="宋体" w:cs="宋体"/>
          <w:i w:val="0"/>
          <w:iCs w:val="0"/>
          <w:caps w:val="0"/>
          <w:color w:val="auto"/>
          <w:spacing w:val="0"/>
          <w:sz w:val="24"/>
          <w:szCs w:val="24"/>
          <w:highlight w:val="none"/>
          <w:shd w:val="clear" w:fill="FFFFFF"/>
          <w:lang w:val="en-US" w:eastAsia="zh-CN"/>
        </w:rPr>
        <w:t>725.99万元</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b w:val="0"/>
          <w:bCs w:val="0"/>
          <w:color w:val="auto"/>
          <w:sz w:val="24"/>
          <w:szCs w:val="24"/>
          <w:highlight w:val="none"/>
          <w:u w:val="none"/>
          <w:lang w:eastAsia="zh-CN"/>
        </w:rPr>
        <w:t>投标报价高于最高限价的作无效标处理</w:t>
      </w:r>
      <w:r>
        <w:rPr>
          <w:rFonts w:hint="eastAsia" w:ascii="宋体" w:hAnsi="宋体" w:eastAsia="宋体" w:cs="宋体"/>
          <w:i w:val="0"/>
          <w:iCs w:val="0"/>
          <w:caps w:val="0"/>
          <w:color w:val="auto"/>
          <w:spacing w:val="0"/>
          <w:sz w:val="24"/>
          <w:szCs w:val="24"/>
          <w:highlight w:val="none"/>
          <w:shd w:val="clear" w:fill="FFFFFF"/>
          <w:lang w:val="en-US" w:eastAsia="zh-CN"/>
        </w:rPr>
        <w:t>。</w:t>
      </w:r>
    </w:p>
    <w:p w14:paraId="442F7F43">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采购需求：</w:t>
      </w:r>
      <w:r>
        <w:rPr>
          <w:rFonts w:hint="eastAsia" w:ascii="宋体" w:hAnsi="宋体" w:eastAsia="宋体" w:cs="宋体"/>
          <w:i w:val="0"/>
          <w:iCs w:val="0"/>
          <w:caps w:val="0"/>
          <w:color w:val="auto"/>
          <w:spacing w:val="0"/>
          <w:sz w:val="24"/>
          <w:szCs w:val="24"/>
          <w:highlight w:val="none"/>
          <w:shd w:val="clear" w:color="auto" w:fill="FFFFFF"/>
        </w:rPr>
        <w:t>电子政务外网安全设备升级、市民中心智能化设备提升、“苏服办”APP旗舰店升级、12345平台智能分析系统建设等</w:t>
      </w:r>
      <w:r>
        <w:rPr>
          <w:rFonts w:hint="eastAsia" w:ascii="宋体" w:hAnsi="宋体" w:eastAsia="宋体" w:cs="宋体"/>
          <w:color w:val="auto"/>
          <w:sz w:val="24"/>
          <w:szCs w:val="24"/>
          <w:highlight w:val="none"/>
          <w:u w:val="none"/>
          <w:lang w:val="en-US" w:eastAsia="zh-CN"/>
        </w:rPr>
        <w:t>。具体以采购人提供的“采购需求”为准。</w:t>
      </w:r>
    </w:p>
    <w:p w14:paraId="26A20146">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u w:val="none"/>
        </w:rPr>
        <w:t>合同签订后</w:t>
      </w:r>
      <w:r>
        <w:rPr>
          <w:rFonts w:hint="eastAsia" w:ascii="宋体" w:hAnsi="宋体" w:eastAsia="宋体" w:cs="宋体"/>
          <w:color w:val="auto"/>
          <w:sz w:val="24"/>
          <w:szCs w:val="24"/>
          <w:highlight w:val="none"/>
          <w:u w:val="none"/>
          <w:lang w:val="en-US" w:eastAsia="zh-CN"/>
        </w:rPr>
        <w:t>180</w:t>
      </w:r>
      <w:r>
        <w:rPr>
          <w:rFonts w:hint="eastAsia" w:ascii="宋体" w:hAnsi="宋体" w:eastAsia="宋体" w:cs="宋体"/>
          <w:color w:val="auto"/>
          <w:sz w:val="24"/>
          <w:szCs w:val="24"/>
          <w:highlight w:val="none"/>
          <w:u w:val="none"/>
        </w:rPr>
        <w:t>日内完成全部系统开发、设备交货并通过验收</w:t>
      </w:r>
      <w:r>
        <w:rPr>
          <w:rFonts w:hint="eastAsia" w:ascii="宋体" w:hAnsi="宋体" w:eastAsia="宋体" w:cs="宋体"/>
          <w:color w:val="auto"/>
          <w:sz w:val="24"/>
          <w:szCs w:val="24"/>
          <w:highlight w:val="none"/>
          <w:u w:val="none"/>
          <w:lang w:eastAsia="zh-CN"/>
        </w:rPr>
        <w:t>。</w:t>
      </w:r>
    </w:p>
    <w:p w14:paraId="7025A5E0">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ascii="宋体" w:hAnsi="宋体" w:eastAsia="宋体" w:cs="宋体"/>
          <w:color w:val="auto"/>
          <w:highlight w:val="none"/>
          <w:shd w:val="clear" w:color="auto" w:fill="FFFFFF"/>
        </w:rPr>
        <w:t>本项目接受联合体投标</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联合体成员最多不超过两家</w:t>
      </w:r>
      <w:r>
        <w:rPr>
          <w:rFonts w:hint="eastAsia" w:ascii="宋体" w:hAnsi="宋体" w:eastAsia="宋体" w:cs="宋体"/>
          <w:color w:val="auto"/>
          <w:highlight w:val="none"/>
          <w:shd w:val="clear" w:color="auto" w:fill="FFFFFF"/>
          <w:lang w:eastAsia="zh-CN"/>
        </w:rPr>
        <w:t>）。</w:t>
      </w:r>
    </w:p>
    <w:p w14:paraId="75E2751C">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说明：若是联合体投标，联合体成员应签订联合投标协议书参加投标，并由联合体牵头方办理投标报名、下载招标文件、上传投标文件等相关工作。投标文件中，应由联合体成员方提供的有关资格材料等由牵头方一起上传 、提交。</w:t>
      </w:r>
    </w:p>
    <w:p w14:paraId="12CB8E2C">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13" w:name="_Toc38985264"/>
      <w:bookmarkStart w:id="14" w:name="_Toc28359080"/>
      <w:bookmarkStart w:id="15" w:name="_Toc35393791"/>
      <w:bookmarkStart w:id="16" w:name="_Toc28359003"/>
      <w:bookmarkStart w:id="17" w:name="_Toc35393622"/>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59C84FF1">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满足《中华人民共和国政府采购法》第二十二条规定，并提供下列材料：</w:t>
      </w:r>
    </w:p>
    <w:p w14:paraId="43076593">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44CA941E">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27407C78">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17BD4C33">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43C342D9">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5BFD7531">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4"/>
          <w:szCs w:val="24"/>
          <w:highlight w:val="none"/>
        </w:rPr>
        <w:t>（响应文件中无需提供证明材料）</w:t>
      </w:r>
    </w:p>
    <w:p w14:paraId="78BF9B61">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w:t>
      </w:r>
      <w:r>
        <w:rPr>
          <w:rFonts w:hint="eastAsia" w:ascii="宋体" w:hAnsi="宋体" w:eastAsia="宋体" w:cs="宋体"/>
          <w:color w:val="auto"/>
          <w:sz w:val="24"/>
          <w:szCs w:val="24"/>
          <w:highlight w:val="none"/>
          <w:shd w:val="clear" w:color="auto" w:fill="auto"/>
        </w:rPr>
        <w:t>商，不得参加同一合同项下的政府采购活动。</w:t>
      </w:r>
    </w:p>
    <w:p w14:paraId="3FFDDF86">
      <w:pPr>
        <w:pStyle w:val="11"/>
        <w:pageBreakBefore w:val="0"/>
        <w:kinsoku/>
        <w:wordWrap/>
        <w:overflowPunct/>
        <w:topLinePunct w:val="0"/>
        <w:autoSpaceDE/>
        <w:autoSpaceDN/>
        <w:bidi w:val="0"/>
        <w:adjustRightInd/>
        <w:snapToGrid/>
        <w:spacing w:beforeAutospacing="0" w:afterAutospacing="0" w:line="540" w:lineRule="exact"/>
        <w:ind w:firstLine="480"/>
        <w:jc w:val="both"/>
        <w:textAlignment w:val="auto"/>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说明：若是联合体投标，联合体成员均应具备上述条件。</w:t>
      </w:r>
    </w:p>
    <w:p w14:paraId="29E06505">
      <w:pPr>
        <w:pStyle w:val="11"/>
        <w:keepNext/>
        <w:keepLines/>
        <w:spacing w:before="145" w:beforeAutospacing="0" w:after="145" w:afterAutospacing="0" w:line="490" w:lineRule="exact"/>
        <w:ind w:firstLine="480"/>
        <w:jc w:val="both"/>
        <w:rPr>
          <w:rFonts w:ascii="宋体" w:hAnsi="宋体" w:eastAsia="宋体" w:cs="宋体"/>
          <w:b w:val="0"/>
          <w:bCs w:val="0"/>
          <w:color w:val="auto"/>
          <w:highlight w:val="none"/>
        </w:rPr>
      </w:pPr>
      <w:r>
        <w:rPr>
          <w:rFonts w:hint="eastAsia" w:ascii="宋体" w:hAnsi="宋体" w:eastAsia="宋体" w:cs="宋体"/>
          <w:b/>
          <w:bCs/>
          <w:color w:val="auto"/>
          <w:sz w:val="24"/>
          <w:szCs w:val="24"/>
          <w:highlight w:val="none"/>
          <w:shd w:val="clear" w:color="auto" w:fill="auto"/>
        </w:rPr>
        <w:t>2</w:t>
      </w:r>
      <w:r>
        <w:rPr>
          <w:rFonts w:hint="eastAsia" w:ascii="宋体" w:hAnsi="宋体" w:eastAsia="宋体" w:cs="宋体"/>
          <w:b/>
          <w:bCs/>
          <w:color w:val="auto"/>
          <w:sz w:val="24"/>
          <w:szCs w:val="24"/>
          <w:highlight w:val="none"/>
          <w:shd w:val="clear" w:color="auto" w:fill="auto"/>
          <w:lang w:val="en-US" w:eastAsia="zh-CN"/>
        </w:rPr>
        <w:t>、</w:t>
      </w:r>
      <w:r>
        <w:rPr>
          <w:rFonts w:hint="eastAsia" w:ascii="宋体" w:hAnsi="宋体" w:eastAsia="宋体" w:cs="宋体"/>
          <w:b/>
          <w:bCs/>
          <w:color w:val="auto"/>
          <w:sz w:val="24"/>
          <w:szCs w:val="24"/>
          <w:highlight w:val="none"/>
          <w:shd w:val="clear" w:color="auto" w:fill="auto"/>
        </w:rPr>
        <w:t>落实政府采购政策需满足的资格要求：</w:t>
      </w:r>
      <w:r>
        <w:rPr>
          <w:rFonts w:hint="eastAsia" w:ascii="宋体" w:hAnsi="宋体" w:eastAsia="宋体" w:cs="宋体"/>
          <w:b w:val="0"/>
          <w:bCs w:val="0"/>
          <w:color w:val="auto"/>
          <w:highlight w:val="none"/>
        </w:rPr>
        <w:t>本项目为货物类。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71AE95AB">
      <w:pPr>
        <w:pStyle w:val="11"/>
        <w:keepNext/>
        <w:keepLines/>
        <w:spacing w:before="145" w:beforeAutospacing="0" w:after="145" w:afterAutospacing="0" w:line="490" w:lineRule="exact"/>
        <w:ind w:firstLine="480"/>
        <w:jc w:val="both"/>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本项目的特定资格要求</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无。</w:t>
      </w:r>
    </w:p>
    <w:p w14:paraId="32F0CB21">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三、获取招标文件</w:t>
      </w:r>
    </w:p>
    <w:p w14:paraId="1CD06B19">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shd w:val="clear" w:color="auto" w:fill="auto"/>
        </w:rPr>
      </w:pPr>
      <w:bookmarkStart w:id="18" w:name="_Toc35393624"/>
      <w:bookmarkStart w:id="19" w:name="_Toc28359082"/>
      <w:bookmarkStart w:id="20" w:name="_Toc28359005"/>
      <w:bookmarkStart w:id="21" w:name="_Toc35393793"/>
      <w:bookmarkStart w:id="22" w:name="_Toc38985266"/>
      <w:r>
        <w:rPr>
          <w:rFonts w:hint="eastAsia" w:ascii="宋体" w:hAnsi="宋体" w:eastAsia="宋体" w:cs="宋体"/>
          <w:color w:val="auto"/>
          <w:sz w:val="24"/>
          <w:szCs w:val="24"/>
          <w:highlight w:val="none"/>
          <w:shd w:val="clear" w:color="auto" w:fill="auto"/>
        </w:rPr>
        <w:t>1.时间：</w:t>
      </w:r>
      <w:bookmarkEnd w:id="18"/>
      <w:bookmarkEnd w:id="19"/>
      <w:bookmarkEnd w:id="20"/>
      <w:bookmarkEnd w:id="21"/>
      <w:bookmarkEnd w:id="22"/>
      <w:r>
        <w:rPr>
          <w:rFonts w:hint="eastAsia" w:ascii="宋体" w:hAnsi="宋体" w:eastAsia="宋体" w:cs="宋体"/>
          <w:color w:val="auto"/>
          <w:sz w:val="24"/>
          <w:szCs w:val="24"/>
          <w:highlight w:val="none"/>
          <w:shd w:val="clear" w:color="auto" w:fill="auto"/>
        </w:rPr>
        <w:t>自招标文件公告发布之日起5个工作日。</w:t>
      </w:r>
    </w:p>
    <w:p w14:paraId="3FE7E4A2">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p>
    <w:p w14:paraId="2707C1A2">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4.售价：0元</w:t>
      </w:r>
    </w:p>
    <w:p w14:paraId="5C0B4A98">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572AE98D">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auto"/>
          <w:spacing w:val="0"/>
          <w:sz w:val="24"/>
          <w:szCs w:val="24"/>
          <w:highlight w:val="none"/>
          <w:u w:val="single"/>
          <w:shd w:val="clear" w:color="auto" w:fill="auto"/>
        </w:rPr>
        <w:t>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3</w:t>
      </w:r>
      <w:r>
        <w:rPr>
          <w:rFonts w:hint="eastAsia" w:ascii="宋体" w:hAnsi="宋体" w:eastAsia="宋体" w:cs="宋体"/>
          <w:i w:val="0"/>
          <w:iCs w:val="0"/>
          <w:caps w:val="0"/>
          <w:color w:val="auto"/>
          <w:spacing w:val="0"/>
          <w:sz w:val="24"/>
          <w:szCs w:val="24"/>
          <w:highlight w:val="none"/>
          <w:u w:val="single"/>
          <w:shd w:val="clear" w:color="auto" w:fill="auto"/>
        </w:rPr>
        <w:t>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3</w:t>
      </w:r>
      <w:r>
        <w:rPr>
          <w:rFonts w:hint="eastAsia" w:ascii="宋体" w:hAnsi="宋体" w:eastAsia="宋体" w:cs="宋体"/>
          <w:i w:val="0"/>
          <w:iCs w:val="0"/>
          <w:caps w:val="0"/>
          <w:color w:val="auto"/>
          <w:spacing w:val="0"/>
          <w:sz w:val="24"/>
          <w:szCs w:val="24"/>
          <w:highlight w:val="none"/>
          <w:u w:val="single"/>
          <w:shd w:val="clear" w:color="auto" w:fill="auto"/>
        </w:rPr>
        <w:t>日</w:t>
      </w:r>
      <w:r>
        <w:rPr>
          <w:rFonts w:hint="eastAsia" w:ascii="宋体" w:hAnsi="宋体" w:eastAsia="宋体" w:cs="宋体"/>
          <w:color w:val="auto"/>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p>
    <w:p w14:paraId="077143D5">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w:t>
      </w:r>
    </w:p>
    <w:p w14:paraId="4B81A46E">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23" w:name="_Toc28359007"/>
      <w:bookmarkStart w:id="24" w:name="_Toc35393625"/>
      <w:bookmarkStart w:id="25" w:name="_Toc35393794"/>
      <w:bookmarkStart w:id="26" w:name="_Toc28359084"/>
      <w:bookmarkStart w:id="27" w:name="_Toc38985267"/>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7C612B25">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8" w:name="_Toc38985268"/>
      <w:bookmarkStart w:id="29" w:name="_Toc35393795"/>
      <w:bookmarkStart w:id="30" w:name="_Toc35393626"/>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8"/>
      <w:bookmarkEnd w:id="29"/>
      <w:bookmarkEnd w:id="30"/>
    </w:p>
    <w:p w14:paraId="7A54455B">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788D013D">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636817EC">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0F939ADC">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p>
    <w:p w14:paraId="70759E2A">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p>
    <w:p w14:paraId="170CF67C">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03109DF8">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2FA944ED">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3.有关本次招标的事项若存在变动或修改，敬请及时关注</w:t>
      </w:r>
      <w:r>
        <w:rPr>
          <w:rFonts w:hint="eastAsia"/>
          <w:color w:val="auto"/>
          <w:sz w:val="24"/>
          <w:highlight w:val="none"/>
          <w:lang w:val="en-US" w:eastAsia="zh-CN"/>
        </w:rPr>
        <w:t>射阳县行政服务中心</w:t>
      </w:r>
      <w:r>
        <w:rPr>
          <w:rFonts w:hint="eastAsia" w:ascii="宋体" w:hAnsi="宋体" w:eastAsia="宋体" w:cs="宋体"/>
          <w:i w:val="0"/>
          <w:iCs w:val="0"/>
          <w:caps w:val="0"/>
          <w:color w:val="auto"/>
          <w:spacing w:val="0"/>
          <w:sz w:val="24"/>
          <w:szCs w:val="24"/>
          <w:highlight w:val="none"/>
          <w:shd w:val="clear" w:fill="FFFFFF"/>
          <w:lang w:val="en-US" w:eastAsia="zh-CN"/>
        </w:rPr>
        <w:t>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江苏政府采购网”“盐城市政府采购网”发布的更正公告。</w:t>
      </w:r>
    </w:p>
    <w:p w14:paraId="125CCBEF">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4.本次招标不收取投标保证金，不收取质量保证金。</w:t>
      </w:r>
    </w:p>
    <w:p w14:paraId="44A6E49B">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bCs/>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u w:val="none"/>
          <w:shd w:val="clear" w:fill="FFFFFF"/>
          <w:lang w:val="en-US" w:eastAsia="zh-CN"/>
        </w:rPr>
        <w:t>七</w:t>
      </w:r>
      <w:r>
        <w:rPr>
          <w:rFonts w:hint="eastAsia" w:ascii="宋体" w:hAnsi="宋体" w:eastAsia="宋体" w:cs="宋体"/>
          <w:b/>
          <w:bCs/>
          <w:i w:val="0"/>
          <w:iCs w:val="0"/>
          <w:caps w:val="0"/>
          <w:color w:val="auto"/>
          <w:spacing w:val="0"/>
          <w:sz w:val="24"/>
          <w:szCs w:val="24"/>
          <w:highlight w:val="none"/>
          <w:u w:val="none"/>
          <w:shd w:val="clear" w:fill="FFFFFF"/>
        </w:rPr>
        <w:t>、对本次</w:t>
      </w:r>
      <w:r>
        <w:rPr>
          <w:rFonts w:hint="eastAsia" w:ascii="宋体" w:hAnsi="宋体" w:eastAsia="宋体" w:cs="宋体"/>
          <w:b/>
          <w:bCs/>
          <w:i w:val="0"/>
          <w:iCs w:val="0"/>
          <w:caps w:val="0"/>
          <w:color w:val="auto"/>
          <w:spacing w:val="0"/>
          <w:sz w:val="24"/>
          <w:szCs w:val="24"/>
          <w:highlight w:val="none"/>
          <w:u w:val="none"/>
          <w:shd w:val="clear" w:fill="FFFFFF"/>
          <w:lang w:val="en-US" w:eastAsia="zh-CN"/>
        </w:rPr>
        <w:t>招标</w:t>
      </w:r>
      <w:r>
        <w:rPr>
          <w:rFonts w:hint="eastAsia" w:ascii="宋体" w:hAnsi="宋体" w:eastAsia="宋体" w:cs="宋体"/>
          <w:b/>
          <w:bCs/>
          <w:i w:val="0"/>
          <w:iCs w:val="0"/>
          <w:caps w:val="0"/>
          <w:color w:val="auto"/>
          <w:spacing w:val="0"/>
          <w:sz w:val="24"/>
          <w:szCs w:val="24"/>
          <w:highlight w:val="none"/>
          <w:u w:val="none"/>
          <w:shd w:val="clear" w:fill="FFFFFF"/>
        </w:rPr>
        <w:t>提出询问，请按以下方式联系。</w:t>
      </w:r>
      <w:bookmarkEnd w:id="31"/>
    </w:p>
    <w:p w14:paraId="3F38297B">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1.采购人信息</w:t>
      </w:r>
    </w:p>
    <w:p w14:paraId="0A8837C7">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名 称：</w:t>
      </w:r>
      <w:r>
        <w:rPr>
          <w:rFonts w:hint="eastAsia" w:ascii="宋体" w:hAnsi="宋体" w:eastAsia="宋体" w:cs="宋体"/>
          <w:color w:val="auto"/>
          <w:sz w:val="24"/>
          <w:szCs w:val="24"/>
          <w:highlight w:val="none"/>
          <w:u w:val="none"/>
          <w:lang w:val="en-US" w:eastAsia="zh-CN"/>
        </w:rPr>
        <w:t>射阳县数据局</w:t>
      </w:r>
      <w:r>
        <w:rPr>
          <w:rFonts w:hint="eastAsia" w:ascii="宋体" w:hAnsi="宋体" w:eastAsia="宋体" w:cs="宋体"/>
          <w:i w:val="0"/>
          <w:iCs w:val="0"/>
          <w:caps w:val="0"/>
          <w:color w:val="auto"/>
          <w:spacing w:val="0"/>
          <w:sz w:val="24"/>
          <w:szCs w:val="24"/>
          <w:highlight w:val="none"/>
          <w:shd w:val="clear" w:fill="FFFFFF"/>
          <w:lang w:val="en-US" w:eastAsia="zh-CN"/>
        </w:rPr>
        <w:t xml:space="preserve">  </w:t>
      </w:r>
    </w:p>
    <w:p w14:paraId="0F3C21E0">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地址：</w:t>
      </w:r>
      <w:r>
        <w:rPr>
          <w:rFonts w:hint="eastAsia" w:ascii="宋体" w:hAnsi="宋体" w:eastAsia="宋体" w:cs="宋体"/>
          <w:color w:val="auto"/>
          <w:sz w:val="24"/>
          <w:szCs w:val="24"/>
          <w:highlight w:val="none"/>
          <w:u w:val="none"/>
          <w:lang w:val="en-US" w:eastAsia="zh-CN"/>
        </w:rPr>
        <w:t>射阳县市民中心（射阳县幸福大道16号）</w:t>
      </w:r>
      <w:r>
        <w:rPr>
          <w:rFonts w:hint="eastAsia" w:ascii="宋体" w:hAnsi="宋体" w:eastAsia="宋体" w:cs="宋体"/>
          <w:i w:val="0"/>
          <w:iCs w:val="0"/>
          <w:caps w:val="0"/>
          <w:color w:val="auto"/>
          <w:spacing w:val="0"/>
          <w:sz w:val="24"/>
          <w:szCs w:val="24"/>
          <w:highlight w:val="none"/>
          <w:shd w:val="clear" w:fill="FFFFFF"/>
          <w:lang w:val="en-US" w:eastAsia="zh-CN"/>
        </w:rPr>
        <w:t xml:space="preserve">  </w:t>
      </w:r>
    </w:p>
    <w:p w14:paraId="0E897FC9">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联系人：</w:t>
      </w:r>
      <w:r>
        <w:rPr>
          <w:rFonts w:hint="eastAsia" w:ascii="宋体" w:hAnsi="宋体" w:eastAsia="宋体" w:cs="宋体"/>
          <w:color w:val="auto"/>
          <w:sz w:val="24"/>
          <w:szCs w:val="24"/>
          <w:highlight w:val="none"/>
          <w:lang w:val="en-US" w:eastAsia="zh-CN"/>
        </w:rPr>
        <w:t>赵崇广</w:t>
      </w:r>
      <w:r>
        <w:rPr>
          <w:rFonts w:hint="eastAsia" w:ascii="宋体" w:hAnsi="宋体" w:eastAsia="宋体" w:cs="宋体"/>
          <w:i w:val="0"/>
          <w:iCs w:val="0"/>
          <w:caps w:val="0"/>
          <w:color w:val="auto"/>
          <w:spacing w:val="0"/>
          <w:sz w:val="24"/>
          <w:szCs w:val="24"/>
          <w:highlight w:val="none"/>
          <w:shd w:val="clear" w:fill="FFFFFF"/>
          <w:lang w:val="en-US" w:eastAsia="zh-CN"/>
        </w:rPr>
        <w:t xml:space="preserve">              </w:t>
      </w:r>
    </w:p>
    <w:p w14:paraId="22A81F95">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w:t>
      </w:r>
      <w:r>
        <w:rPr>
          <w:rFonts w:hint="eastAsia" w:ascii="宋体" w:hAnsi="宋体" w:eastAsia="宋体" w:cs="宋体"/>
          <w:color w:val="auto"/>
          <w:sz w:val="24"/>
          <w:szCs w:val="24"/>
          <w:highlight w:val="none"/>
          <w:lang w:val="en-US" w:eastAsia="zh-CN"/>
        </w:rPr>
        <w:t>181 1563 2590</w:t>
      </w:r>
      <w:r>
        <w:rPr>
          <w:rFonts w:hint="eastAsia" w:ascii="宋体" w:hAnsi="宋体" w:eastAsia="宋体" w:cs="宋体"/>
          <w:i w:val="0"/>
          <w:iCs w:val="0"/>
          <w:caps w:val="0"/>
          <w:color w:val="auto"/>
          <w:spacing w:val="0"/>
          <w:sz w:val="24"/>
          <w:szCs w:val="24"/>
          <w:highlight w:val="none"/>
          <w:shd w:val="clear" w:fill="FFFFFF"/>
          <w:lang w:val="en-US" w:eastAsia="zh-CN"/>
        </w:rPr>
        <w:t xml:space="preserve">            </w:t>
      </w:r>
    </w:p>
    <w:p w14:paraId="343295A3">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p>
    <w:p w14:paraId="4146E5AC">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2.采购代理机构信息</w:t>
      </w:r>
    </w:p>
    <w:p w14:paraId="3DF7BE2C">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名 称：</w:t>
      </w:r>
      <w:r>
        <w:rPr>
          <w:rFonts w:hint="eastAsia" w:ascii="宋体" w:hAnsi="宋体" w:eastAsia="宋体" w:cs="宋体"/>
          <w:color w:val="auto"/>
          <w:sz w:val="24"/>
          <w:szCs w:val="24"/>
          <w:highlight w:val="none"/>
          <w:u w:val="none"/>
        </w:rPr>
        <w:t>射阳县行政服务中心</w:t>
      </w:r>
    </w:p>
    <w:p w14:paraId="79E4123E">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地 址： 盐城市射阳县幸福大道16号</w:t>
      </w:r>
    </w:p>
    <w:p w14:paraId="0EE6CC17">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联系人：彭明静                     </w:t>
      </w:r>
    </w:p>
    <w:p w14:paraId="6B4840AE">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w:t>
      </w:r>
      <w:bookmarkStart w:id="32" w:name="_Toc28359087"/>
      <w:bookmarkStart w:id="33" w:name="_Toc28359010"/>
      <w:r>
        <w:rPr>
          <w:rFonts w:hint="eastAsia" w:ascii="宋体" w:hAnsi="宋体" w:eastAsia="宋体" w:cs="宋体"/>
          <w:i w:val="0"/>
          <w:iCs w:val="0"/>
          <w:caps w:val="0"/>
          <w:color w:val="auto"/>
          <w:spacing w:val="0"/>
          <w:sz w:val="24"/>
          <w:szCs w:val="24"/>
          <w:highlight w:val="none"/>
          <w:shd w:val="clear" w:fill="FFFFFF"/>
          <w:lang w:val="en-US" w:eastAsia="zh-CN"/>
        </w:rPr>
        <w:t>0515-8230 9113</w:t>
      </w:r>
    </w:p>
    <w:p w14:paraId="05E06D6F">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w:t>
      </w:r>
      <w:bookmarkEnd w:id="32"/>
      <w:bookmarkEnd w:id="33"/>
      <w:r>
        <w:rPr>
          <w:rFonts w:hint="eastAsia" w:ascii="宋体" w:hAnsi="宋体" w:eastAsia="宋体" w:cs="宋体"/>
          <w:i w:val="0"/>
          <w:iCs w:val="0"/>
          <w:caps w:val="0"/>
          <w:color w:val="auto"/>
          <w:spacing w:val="0"/>
          <w:sz w:val="24"/>
          <w:szCs w:val="24"/>
          <w:highlight w:val="none"/>
          <w:shd w:val="clear" w:fill="FFFFFF"/>
          <w:lang w:val="en-US" w:eastAsia="zh-CN"/>
        </w:rPr>
        <w:t xml:space="preserve">            </w:t>
      </w:r>
    </w:p>
    <w:p w14:paraId="2ACE43EA">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4" w:name="_Toc28359021"/>
      <w:r>
        <w:rPr>
          <w:rFonts w:hint="eastAsia" w:ascii="宋体" w:hAnsi="宋体" w:eastAsia="宋体" w:cs="宋体"/>
          <w:i w:val="0"/>
          <w:iCs w:val="0"/>
          <w:caps w:val="0"/>
          <w:color w:val="auto"/>
          <w:spacing w:val="0"/>
          <w:sz w:val="24"/>
          <w:szCs w:val="24"/>
          <w:highlight w:val="none"/>
          <w:shd w:val="clear" w:fill="FFFFFF"/>
          <w:lang w:val="en-US" w:eastAsia="zh-CN"/>
        </w:rPr>
        <w:t>3.</w:t>
      </w:r>
      <w:bookmarkEnd w:id="34"/>
      <w:r>
        <w:rPr>
          <w:rFonts w:hint="eastAsia" w:ascii="宋体" w:hAnsi="宋体" w:eastAsia="宋体" w:cs="宋体"/>
          <w:i w:val="0"/>
          <w:iCs w:val="0"/>
          <w:caps w:val="0"/>
          <w:color w:val="auto"/>
          <w:spacing w:val="0"/>
          <w:sz w:val="24"/>
          <w:szCs w:val="24"/>
          <w:highlight w:val="none"/>
          <w:shd w:val="clear" w:fill="FFFFFF"/>
          <w:lang w:val="en-US" w:eastAsia="zh-CN"/>
        </w:rPr>
        <w:t>项目联系方式</w:t>
      </w:r>
    </w:p>
    <w:p w14:paraId="3AA00499">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项目联系人：彭明静</w:t>
      </w:r>
    </w:p>
    <w:p w14:paraId="11CEABD0">
      <w:pPr>
        <w:keepNext w:val="0"/>
        <w:keepLines w:val="0"/>
        <w:pageBreakBefore w:val="0"/>
        <w:widowControl/>
        <w:suppressLineNumbers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电　　 话：0515-8230 9113　　　　　　　　　　　　</w:t>
      </w:r>
    </w:p>
    <w:p w14:paraId="3067DD59">
      <w:pPr>
        <w:pageBreakBefore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9AC74DB">
      <w:pPr>
        <w:pageBreakBefore w:val="0"/>
        <w:kinsoku/>
        <w:wordWrap/>
        <w:overflowPunct/>
        <w:topLinePunct w:val="0"/>
        <w:autoSpaceDE/>
        <w:autoSpaceDN/>
        <w:bidi w:val="0"/>
        <w:adjustRightInd/>
        <w:snapToGrid/>
        <w:spacing w:line="540" w:lineRule="exac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r>
      <w:bookmarkStart w:id="35" w:name="_Toc120614211"/>
    </w:p>
    <w:p w14:paraId="61EAED5C">
      <w:pPr>
        <w:pStyle w:val="3"/>
        <w:ind w:firstLine="216"/>
        <w:jc w:val="center"/>
        <w:rPr>
          <w:b w:val="0"/>
          <w:bCs w:val="0"/>
          <w:color w:val="auto"/>
          <w:highlight w:val="none"/>
        </w:rPr>
      </w:pPr>
      <w:r>
        <w:rPr>
          <w:rFonts w:hint="eastAsia" w:ascii="黑体" w:hAnsi="宋体" w:eastAsia="黑体" w:cs="黑体"/>
          <w:b w:val="0"/>
          <w:bCs w:val="0"/>
          <w:color w:val="auto"/>
          <w:sz w:val="44"/>
          <w:szCs w:val="44"/>
          <w:highlight w:val="none"/>
        </w:rPr>
        <w:t xml:space="preserve">第二章  </w:t>
      </w:r>
      <w:bookmarkEnd w:id="35"/>
      <w:bookmarkStart w:id="36" w:name="_Toc513029202"/>
      <w:bookmarkStart w:id="37" w:name="_Toc16938518"/>
      <w:bookmarkStart w:id="38" w:name="_Toc20823274"/>
      <w:bookmarkStart w:id="39" w:name="_Toc120614213"/>
      <w:r>
        <w:rPr>
          <w:rFonts w:hint="eastAsia" w:ascii="黑体" w:hAnsi="宋体" w:eastAsia="黑体" w:cs="黑体"/>
          <w:b w:val="0"/>
          <w:bCs w:val="0"/>
          <w:color w:val="auto"/>
          <w:sz w:val="44"/>
          <w:szCs w:val="44"/>
          <w:highlight w:val="none"/>
        </w:rPr>
        <w:t>投标人须知</w:t>
      </w:r>
      <w:bookmarkEnd w:id="36"/>
      <w:bookmarkEnd w:id="37"/>
      <w:bookmarkEnd w:id="38"/>
      <w:bookmarkEnd w:id="39"/>
    </w:p>
    <w:p w14:paraId="62BC1E70">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40" w:name="_Toc513029203"/>
      <w:bookmarkStart w:id="41" w:name="_Toc120614214"/>
      <w:bookmarkStart w:id="42" w:name="_Toc16938519"/>
      <w:bookmarkStart w:id="43" w:name="_Toc20823275"/>
      <w:r>
        <w:rPr>
          <w:rFonts w:hint="eastAsia" w:ascii="宋体" w:hAnsi="宋体" w:eastAsia="宋体" w:cs="宋体"/>
          <w:b/>
          <w:color w:val="auto"/>
          <w:sz w:val="24"/>
          <w:szCs w:val="24"/>
          <w:highlight w:val="none"/>
        </w:rPr>
        <w:t>一、总则</w:t>
      </w:r>
      <w:bookmarkEnd w:id="40"/>
      <w:bookmarkEnd w:id="41"/>
      <w:bookmarkEnd w:id="42"/>
      <w:bookmarkEnd w:id="43"/>
    </w:p>
    <w:p w14:paraId="44FB9187">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44" w:name="_Toc20823276"/>
      <w:bookmarkStart w:id="45" w:name="_Toc513029204"/>
      <w:bookmarkStart w:id="46" w:name="_Toc458694821"/>
      <w:bookmarkStart w:id="47" w:name="_Toc16938520"/>
      <w:bookmarkStart w:id="48" w:name="_Hlt16619475"/>
      <w:r>
        <w:rPr>
          <w:rFonts w:hint="eastAsia" w:ascii="宋体" w:hAnsi="宋体" w:eastAsia="宋体" w:cs="宋体"/>
          <w:b/>
          <w:bCs/>
          <w:color w:val="auto"/>
          <w:kern w:val="0"/>
          <w:sz w:val="24"/>
          <w:szCs w:val="24"/>
          <w:highlight w:val="none"/>
        </w:rPr>
        <w:t>1</w:t>
      </w:r>
      <w:bookmarkEnd w:id="44"/>
      <w:r>
        <w:rPr>
          <w:rFonts w:hint="eastAsia" w:ascii="宋体" w:hAnsi="宋体" w:eastAsia="宋体" w:cs="宋体"/>
          <w:b/>
          <w:bCs/>
          <w:color w:val="auto"/>
          <w:kern w:val="0"/>
          <w:sz w:val="24"/>
          <w:szCs w:val="24"/>
          <w:highlight w:val="none"/>
        </w:rPr>
        <w:t>、招标方式</w:t>
      </w:r>
      <w:bookmarkEnd w:id="45"/>
      <w:bookmarkEnd w:id="46"/>
      <w:bookmarkEnd w:id="47"/>
    </w:p>
    <w:p w14:paraId="4D5B8CA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42700208">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49" w:name="_Toc20823277"/>
      <w:bookmarkStart w:id="50" w:name="_Toc513029205"/>
      <w:bookmarkStart w:id="51" w:name="_Toc16938521"/>
      <w:r>
        <w:rPr>
          <w:rFonts w:hint="eastAsia" w:ascii="宋体" w:hAnsi="宋体" w:eastAsia="宋体" w:cs="宋体"/>
          <w:b/>
          <w:bCs/>
          <w:color w:val="auto"/>
          <w:kern w:val="0"/>
          <w:sz w:val="24"/>
          <w:szCs w:val="24"/>
          <w:highlight w:val="none"/>
        </w:rPr>
        <w:t>2、合格的投标人</w:t>
      </w:r>
      <w:bookmarkEnd w:id="49"/>
      <w:bookmarkEnd w:id="50"/>
      <w:bookmarkEnd w:id="51"/>
    </w:p>
    <w:p w14:paraId="1555F18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20D83CF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3707E763">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52" w:name="_Toc513029206"/>
      <w:bookmarkStart w:id="53" w:name="_Toc20823278"/>
      <w:bookmarkStart w:id="54" w:name="_Toc16938522"/>
      <w:r>
        <w:rPr>
          <w:rFonts w:hint="eastAsia" w:ascii="宋体" w:hAnsi="宋体" w:eastAsia="宋体" w:cs="宋体"/>
          <w:b/>
          <w:bCs/>
          <w:color w:val="auto"/>
          <w:kern w:val="0"/>
          <w:sz w:val="24"/>
          <w:szCs w:val="24"/>
          <w:highlight w:val="none"/>
        </w:rPr>
        <w:t>3、适用法律</w:t>
      </w:r>
      <w:bookmarkEnd w:id="52"/>
      <w:bookmarkEnd w:id="53"/>
      <w:bookmarkEnd w:id="54"/>
      <w:r>
        <w:rPr>
          <w:rFonts w:hint="eastAsia" w:ascii="宋体" w:hAnsi="宋体" w:eastAsia="宋体" w:cs="宋体"/>
          <w:b/>
          <w:bCs/>
          <w:color w:val="auto"/>
          <w:kern w:val="0"/>
          <w:sz w:val="24"/>
          <w:szCs w:val="24"/>
          <w:highlight w:val="none"/>
        </w:rPr>
        <w:t>和标准</w:t>
      </w:r>
    </w:p>
    <w:p w14:paraId="00F420D2">
      <w:pPr>
        <w:pStyle w:val="11"/>
        <w:pageBreakBefore w:val="0"/>
        <w:widowControl w:val="0"/>
        <w:kinsoku/>
        <w:wordWrap/>
        <w:overflowPunct/>
        <w:topLinePunct w:val="0"/>
        <w:autoSpaceDE/>
        <w:autoSpaceDN/>
        <w:bidi w:val="0"/>
        <w:adjustRightInd/>
        <w:snapToGrid/>
        <w:spacing w:beforeAutospacing="0" w:afterAutospacing="0" w:line="5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698688C">
      <w:pPr>
        <w:pageBreakBefore w:val="0"/>
        <w:widowControl w:val="0"/>
        <w:kinsoku/>
        <w:wordWrap/>
        <w:overflowPunct/>
        <w:topLinePunct w:val="0"/>
        <w:autoSpaceDE/>
        <w:autoSpaceDN/>
        <w:bidi w:val="0"/>
        <w:adjustRightInd/>
        <w:snapToGrid/>
        <w:spacing w:line="540" w:lineRule="exact"/>
        <w:ind w:firstLine="420" w:firstLineChars="175"/>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40AEBF59">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55" w:name="_Toc16938523"/>
      <w:bookmarkStart w:id="56" w:name="_Toc513029207"/>
      <w:bookmarkStart w:id="57" w:name="_Toc462564067"/>
      <w:bookmarkStart w:id="58" w:name="_Toc20823279"/>
      <w:r>
        <w:rPr>
          <w:rFonts w:hint="eastAsia" w:ascii="宋体" w:hAnsi="宋体" w:eastAsia="宋体" w:cs="宋体"/>
          <w:b/>
          <w:bCs/>
          <w:color w:val="auto"/>
          <w:kern w:val="0"/>
          <w:sz w:val="24"/>
          <w:szCs w:val="24"/>
          <w:highlight w:val="none"/>
        </w:rPr>
        <w:t>4、投标费用</w:t>
      </w:r>
      <w:bookmarkEnd w:id="55"/>
      <w:bookmarkEnd w:id="56"/>
      <w:bookmarkEnd w:id="57"/>
      <w:bookmarkEnd w:id="58"/>
    </w:p>
    <w:p w14:paraId="27AEA6D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r>
        <w:rPr>
          <w:rFonts w:hint="eastAsia" w:ascii="宋体" w:hAnsi="宋体" w:eastAsia="宋体" w:cs="宋体"/>
          <w:color w:val="auto"/>
          <w:sz w:val="24"/>
          <w:szCs w:val="24"/>
          <w:highlight w:val="none"/>
          <w:u w:val="single"/>
        </w:rPr>
        <w:t>射阳县行政服务中心（以下简称采购中心）</w:t>
      </w:r>
      <w:r>
        <w:rPr>
          <w:rFonts w:hint="eastAsia" w:ascii="宋体" w:hAnsi="宋体" w:eastAsia="宋体" w:cs="宋体"/>
          <w:color w:val="auto"/>
          <w:sz w:val="24"/>
          <w:szCs w:val="24"/>
          <w:highlight w:val="none"/>
        </w:rPr>
        <w:t>在任何情况下均无义务和责任承担这些费用。</w:t>
      </w:r>
    </w:p>
    <w:p w14:paraId="4787C9A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4.2本次招标采购中心和采购人不收取标书工本费与中标服务费。</w:t>
      </w:r>
    </w:p>
    <w:p w14:paraId="2E3FB307">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5、招标文件的约束力</w:t>
      </w:r>
    </w:p>
    <w:p w14:paraId="5F4AAD3A">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07B38712">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59" w:name="_Toc20823281"/>
      <w:bookmarkStart w:id="60" w:name="_Toc16938525"/>
      <w:bookmarkStart w:id="61" w:name="_Toc120614215"/>
      <w:bookmarkStart w:id="62" w:name="_Toc513029209"/>
      <w:r>
        <w:rPr>
          <w:rFonts w:hint="eastAsia" w:ascii="宋体" w:hAnsi="宋体" w:eastAsia="宋体" w:cs="宋体"/>
          <w:b/>
          <w:color w:val="auto"/>
          <w:sz w:val="24"/>
          <w:szCs w:val="24"/>
          <w:highlight w:val="none"/>
        </w:rPr>
        <w:t>二、招标文件</w:t>
      </w:r>
      <w:bookmarkEnd w:id="59"/>
      <w:bookmarkEnd w:id="60"/>
      <w:bookmarkEnd w:id="61"/>
      <w:bookmarkEnd w:id="62"/>
    </w:p>
    <w:p w14:paraId="2F83F8F5">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63" w:name="_Toc20823282"/>
      <w:bookmarkStart w:id="64" w:name="_Toc513029210"/>
      <w:bookmarkStart w:id="65" w:name="_Toc16938526"/>
      <w:r>
        <w:rPr>
          <w:rFonts w:hint="eastAsia" w:ascii="宋体" w:hAnsi="宋体" w:eastAsia="宋体" w:cs="宋体"/>
          <w:b/>
          <w:bCs/>
          <w:color w:val="auto"/>
          <w:kern w:val="0"/>
          <w:sz w:val="24"/>
          <w:szCs w:val="24"/>
          <w:highlight w:val="none"/>
        </w:rPr>
        <w:t>6、招标文件构成</w:t>
      </w:r>
      <w:bookmarkEnd w:id="63"/>
      <w:bookmarkEnd w:id="64"/>
      <w:bookmarkEnd w:id="65"/>
    </w:p>
    <w:p w14:paraId="09D59A2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64B74B03">
      <w:pPr>
        <w:pStyle w:val="11"/>
        <w:pageBreakBefore w:val="0"/>
        <w:widowControl w:val="0"/>
        <w:kinsoku/>
        <w:wordWrap/>
        <w:overflowPunct/>
        <w:topLinePunct w:val="0"/>
        <w:autoSpaceDE/>
        <w:autoSpaceDN/>
        <w:bidi w:val="0"/>
        <w:adjustRightInd/>
        <w:snapToGrid/>
        <w:spacing w:beforeAutospacing="0" w:afterAutospacing="0" w:line="540" w:lineRule="exact"/>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6989F30C">
      <w:pPr>
        <w:pStyle w:val="11"/>
        <w:pageBreakBefore w:val="0"/>
        <w:widowControl w:val="0"/>
        <w:kinsoku/>
        <w:wordWrap/>
        <w:overflowPunct/>
        <w:topLinePunct w:val="0"/>
        <w:autoSpaceDE/>
        <w:autoSpaceDN/>
        <w:bidi w:val="0"/>
        <w:adjustRightInd/>
        <w:snapToGrid/>
        <w:spacing w:beforeAutospacing="0" w:afterAutospacing="0" w:line="5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605AC45">
      <w:pPr>
        <w:pStyle w:val="11"/>
        <w:pageBreakBefore w:val="0"/>
        <w:widowControl w:val="0"/>
        <w:kinsoku/>
        <w:wordWrap/>
        <w:overflowPunct/>
        <w:topLinePunct w:val="0"/>
        <w:autoSpaceDE/>
        <w:autoSpaceDN/>
        <w:bidi w:val="0"/>
        <w:adjustRightInd/>
        <w:snapToGrid/>
        <w:spacing w:beforeAutospacing="0" w:afterAutospacing="0" w:line="5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69C3F08">
      <w:pPr>
        <w:pStyle w:val="11"/>
        <w:pageBreakBefore w:val="0"/>
        <w:widowControl w:val="0"/>
        <w:kinsoku/>
        <w:wordWrap/>
        <w:overflowPunct/>
        <w:topLinePunct w:val="0"/>
        <w:autoSpaceDE/>
        <w:autoSpaceDN/>
        <w:bidi w:val="0"/>
        <w:adjustRightInd/>
        <w:snapToGrid/>
        <w:spacing w:beforeAutospacing="0" w:afterAutospacing="0" w:line="5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607D885">
      <w:pPr>
        <w:pStyle w:val="11"/>
        <w:pageBreakBefore w:val="0"/>
        <w:widowControl w:val="0"/>
        <w:kinsoku/>
        <w:wordWrap/>
        <w:overflowPunct/>
        <w:topLinePunct w:val="0"/>
        <w:autoSpaceDE/>
        <w:autoSpaceDN/>
        <w:bidi w:val="0"/>
        <w:adjustRightInd/>
        <w:snapToGrid/>
        <w:spacing w:beforeAutospacing="0" w:afterAutospacing="0" w:line="5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40ADAA9">
      <w:pPr>
        <w:pStyle w:val="11"/>
        <w:pageBreakBefore w:val="0"/>
        <w:widowControl w:val="0"/>
        <w:kinsoku/>
        <w:wordWrap/>
        <w:overflowPunct/>
        <w:topLinePunct w:val="0"/>
        <w:autoSpaceDE/>
        <w:autoSpaceDN/>
        <w:bidi w:val="0"/>
        <w:adjustRightInd/>
        <w:snapToGrid/>
        <w:spacing w:beforeAutospacing="0" w:afterAutospacing="0" w:line="5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6BE2BA9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请仔细检查招标文件是否齐全，如有缺漏请立即与采购中心联系解决。</w:t>
      </w:r>
    </w:p>
    <w:p w14:paraId="48D5BE9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66" w:name="_Toc462564070"/>
      <w:bookmarkStart w:id="67" w:name="_Toc16938527"/>
      <w:bookmarkStart w:id="68" w:name="_Toc513029211"/>
      <w:bookmarkStart w:id="69" w:name="_Toc20823283"/>
      <w:r>
        <w:rPr>
          <w:rFonts w:hint="eastAsia" w:ascii="宋体" w:hAnsi="宋体" w:eastAsia="宋体" w:cs="宋体"/>
          <w:b/>
          <w:bCs/>
          <w:color w:val="auto"/>
          <w:kern w:val="0"/>
          <w:sz w:val="24"/>
          <w:szCs w:val="24"/>
          <w:highlight w:val="none"/>
        </w:rPr>
        <w:t>7、招标文件的澄清</w:t>
      </w:r>
      <w:bookmarkEnd w:id="66"/>
      <w:bookmarkEnd w:id="67"/>
      <w:bookmarkEnd w:id="68"/>
      <w:bookmarkEnd w:id="69"/>
    </w:p>
    <w:p w14:paraId="22F4087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bCs w:val="0"/>
          <w:color w:val="auto"/>
          <w:sz w:val="24"/>
          <w:szCs w:val="24"/>
          <w:highlight w:val="none"/>
          <w:u w:val="single"/>
        </w:rPr>
        <w:t>十日前</w:t>
      </w:r>
      <w:r>
        <w:rPr>
          <w:rFonts w:hint="eastAsia" w:ascii="宋体" w:hAnsi="宋体" w:eastAsia="宋体" w:cs="宋体"/>
          <w:color w:val="auto"/>
          <w:sz w:val="24"/>
          <w:szCs w:val="24"/>
          <w:highlight w:val="none"/>
        </w:rPr>
        <w:t>按招标公告中的通讯地址，以书面形式通知采购中心。</w:t>
      </w:r>
    </w:p>
    <w:p w14:paraId="20CF7084">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70" w:name="_Toc20823284"/>
      <w:bookmarkStart w:id="71" w:name="_Toc16938528"/>
      <w:bookmarkStart w:id="72" w:name="_Toc462564071"/>
      <w:bookmarkStart w:id="73" w:name="_Toc513029212"/>
      <w:r>
        <w:rPr>
          <w:rFonts w:hint="eastAsia" w:ascii="宋体" w:hAnsi="宋体" w:eastAsia="宋体" w:cs="宋体"/>
          <w:b/>
          <w:bCs/>
          <w:color w:val="auto"/>
          <w:kern w:val="0"/>
          <w:sz w:val="24"/>
          <w:szCs w:val="24"/>
          <w:highlight w:val="none"/>
        </w:rPr>
        <w:t>8、招标文件的修改</w:t>
      </w:r>
      <w:bookmarkEnd w:id="70"/>
      <w:bookmarkEnd w:id="71"/>
      <w:bookmarkEnd w:id="72"/>
      <w:bookmarkEnd w:id="73"/>
    </w:p>
    <w:p w14:paraId="62C809B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在投标截止时间前，采购中心可以对招标文件进行修改。</w:t>
      </w:r>
    </w:p>
    <w:p w14:paraId="2459CDD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采购中心有权按照法定的要求推迟投标截止日期和开标日期。</w:t>
      </w:r>
    </w:p>
    <w:p w14:paraId="5385C31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招标文件的修改将在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color w:val="auto"/>
          <w:sz w:val="24"/>
          <w:szCs w:val="24"/>
          <w:highlight w:val="none"/>
        </w:rPr>
        <w:t>公布，补充文件将作为招标文件的组成部分，并对投标人具有约束力。</w:t>
      </w:r>
    </w:p>
    <w:p w14:paraId="2CDB0962">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74" w:name="_Toc462564072"/>
      <w:bookmarkStart w:id="75" w:name="_Toc20823285"/>
      <w:bookmarkStart w:id="76" w:name="_Toc16938529"/>
      <w:bookmarkStart w:id="77" w:name="_Toc513029213"/>
      <w:bookmarkStart w:id="78" w:name="_Toc120614216"/>
      <w:r>
        <w:rPr>
          <w:rFonts w:hint="eastAsia" w:ascii="宋体" w:hAnsi="宋体" w:eastAsia="宋体" w:cs="宋体"/>
          <w:b/>
          <w:color w:val="auto"/>
          <w:sz w:val="24"/>
          <w:szCs w:val="24"/>
          <w:highlight w:val="none"/>
        </w:rPr>
        <w:t>三、投标文件的编制</w:t>
      </w:r>
      <w:bookmarkEnd w:id="74"/>
      <w:bookmarkEnd w:id="75"/>
      <w:bookmarkEnd w:id="76"/>
      <w:bookmarkEnd w:id="77"/>
      <w:bookmarkEnd w:id="78"/>
    </w:p>
    <w:p w14:paraId="60E1EE2D">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79" w:name="_Toc513029214"/>
      <w:bookmarkStart w:id="80" w:name="_Toc20823286"/>
      <w:bookmarkStart w:id="81" w:name="_Toc462564073"/>
      <w:bookmarkStart w:id="82" w:name="_Toc16938530"/>
      <w:r>
        <w:rPr>
          <w:rFonts w:hint="eastAsia" w:ascii="宋体" w:hAnsi="宋体" w:eastAsia="宋体" w:cs="宋体"/>
          <w:b/>
          <w:bCs/>
          <w:color w:val="auto"/>
          <w:kern w:val="0"/>
          <w:sz w:val="24"/>
          <w:szCs w:val="24"/>
          <w:highlight w:val="none"/>
        </w:rPr>
        <w:t>9、投标文件的语言及度量衡单位</w:t>
      </w:r>
      <w:bookmarkEnd w:id="79"/>
      <w:bookmarkEnd w:id="80"/>
      <w:bookmarkEnd w:id="81"/>
      <w:bookmarkEnd w:id="82"/>
    </w:p>
    <w:p w14:paraId="47E3879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A824E7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6A40A865">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83" w:name="_Toc16938531"/>
      <w:bookmarkStart w:id="84" w:name="_Toc20823287"/>
      <w:bookmarkStart w:id="85" w:name="_Toc462564074"/>
      <w:bookmarkStart w:id="86" w:name="_Toc513029215"/>
      <w:r>
        <w:rPr>
          <w:rFonts w:hint="eastAsia" w:ascii="宋体" w:hAnsi="宋体" w:eastAsia="宋体" w:cs="宋体"/>
          <w:b/>
          <w:bCs/>
          <w:color w:val="auto"/>
          <w:kern w:val="0"/>
          <w:sz w:val="24"/>
          <w:szCs w:val="24"/>
          <w:highlight w:val="none"/>
        </w:rPr>
        <w:t>10、投标文件构成</w:t>
      </w:r>
      <w:bookmarkEnd w:id="83"/>
      <w:bookmarkEnd w:id="84"/>
      <w:bookmarkEnd w:id="85"/>
      <w:bookmarkEnd w:id="86"/>
    </w:p>
    <w:p w14:paraId="275DB53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10.1 投标人编写的投标文件应包括</w:t>
      </w:r>
      <w:r>
        <w:rPr>
          <w:rFonts w:hint="eastAsia" w:ascii="宋体" w:hAnsi="宋体" w:eastAsia="宋体" w:cs="宋体"/>
          <w:b/>
          <w:bCs/>
          <w:color w:val="auto"/>
          <w:sz w:val="24"/>
          <w:szCs w:val="24"/>
          <w:highlight w:val="none"/>
          <w:u w:val="none"/>
        </w:rPr>
        <w:t>资格证明文件、符合性证明文件、投标分项报价表、技术要求响应及偏离表、商务要求响应及偏离表、其他证明文件、投标函、开标一览表等部分。</w:t>
      </w:r>
    </w:p>
    <w:p w14:paraId="7CF7A2E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发布的招标文件为准。</w:t>
      </w:r>
    </w:p>
    <w:p w14:paraId="5BBD351A">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87" w:name="_Toc513029216"/>
      <w:bookmarkStart w:id="88" w:name="_Toc49090508"/>
      <w:bookmarkStart w:id="89" w:name="_Toc14577357"/>
      <w:bookmarkStart w:id="90" w:name="_Toc513029219"/>
      <w:bookmarkStart w:id="91" w:name="_Toc14577354"/>
      <w:bookmarkStart w:id="92" w:name="_Toc14577355"/>
      <w:bookmarkStart w:id="93" w:name="_Toc49090509"/>
      <w:bookmarkStart w:id="94" w:name="_Toc49090507"/>
      <w:bookmarkStart w:id="95" w:name="_Hlt26670360"/>
      <w:bookmarkStart w:id="96" w:name="_Hlt26954838"/>
      <w:bookmarkStart w:id="97" w:name="_Hlt26668975"/>
      <w:r>
        <w:rPr>
          <w:rFonts w:hint="eastAsia" w:ascii="宋体" w:hAnsi="宋体" w:eastAsia="宋体" w:cs="宋体"/>
          <w:b/>
          <w:bCs/>
          <w:color w:val="auto"/>
          <w:kern w:val="0"/>
          <w:sz w:val="24"/>
          <w:szCs w:val="24"/>
          <w:highlight w:val="none"/>
        </w:rPr>
        <w:t>11、证明投标人及投标标的符合招标文件规定的文件</w:t>
      </w:r>
      <w:bookmarkEnd w:id="87"/>
      <w:bookmarkEnd w:id="88"/>
      <w:bookmarkEnd w:id="89"/>
      <w:bookmarkEnd w:id="90"/>
      <w:bookmarkEnd w:id="91"/>
      <w:bookmarkEnd w:id="92"/>
      <w:bookmarkEnd w:id="93"/>
      <w:bookmarkEnd w:id="94"/>
    </w:p>
    <w:p w14:paraId="0718222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5A9CFDC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240AFD51">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12、投标分项报价表</w:t>
      </w:r>
    </w:p>
    <w:p w14:paraId="16C7F70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24BE96D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73ADED15">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eastAsia="zh-CN"/>
        </w:rPr>
      </w:pPr>
      <w:bookmarkStart w:id="98" w:name="_Hlt26954848"/>
      <w:bookmarkStart w:id="99" w:name="_Hlt26954846"/>
      <w:bookmarkStart w:id="100" w:name="_Hlt26670486"/>
      <w:bookmarkStart w:id="101" w:name="_Hlt26670482"/>
      <w:bookmarkStart w:id="102" w:name="_Hlt26954731"/>
      <w:r>
        <w:rPr>
          <w:rFonts w:hint="eastAsia" w:ascii="宋体" w:hAnsi="宋体" w:eastAsia="宋体" w:cs="宋体"/>
          <w:b/>
          <w:bCs/>
          <w:color w:val="auto"/>
          <w:kern w:val="0"/>
          <w:sz w:val="24"/>
          <w:szCs w:val="24"/>
          <w:highlight w:val="none"/>
        </w:rPr>
        <w:t>13、技术要求响应及偏离表、商务要求响应及偏离表</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如有</w:t>
      </w:r>
      <w:r>
        <w:rPr>
          <w:rFonts w:hint="eastAsia" w:ascii="宋体" w:hAnsi="宋体" w:eastAsia="宋体" w:cs="宋体"/>
          <w:b/>
          <w:bCs/>
          <w:color w:val="auto"/>
          <w:kern w:val="0"/>
          <w:sz w:val="24"/>
          <w:szCs w:val="24"/>
          <w:highlight w:val="none"/>
          <w:lang w:eastAsia="zh-CN"/>
        </w:rPr>
        <w:t>）</w:t>
      </w:r>
    </w:p>
    <w:p w14:paraId="321FCB1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投标人需对招标文件中的技术要求与商务要求逐项作出响应或偏离，并说明原因。</w:t>
      </w:r>
    </w:p>
    <w:p w14:paraId="7FDE64E6">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34DA4C08">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14、服务承诺、培训计划、人员安排及其他</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如有</w:t>
      </w:r>
      <w:r>
        <w:rPr>
          <w:rFonts w:hint="eastAsia" w:ascii="宋体" w:hAnsi="宋体" w:eastAsia="宋体" w:cs="宋体"/>
          <w:b/>
          <w:bCs/>
          <w:color w:val="auto"/>
          <w:kern w:val="0"/>
          <w:sz w:val="24"/>
          <w:szCs w:val="24"/>
          <w:highlight w:val="none"/>
          <w:lang w:eastAsia="zh-CN"/>
        </w:rPr>
        <w:t>）</w:t>
      </w:r>
    </w:p>
    <w:p w14:paraId="74ECEAD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投标人需根据招标文件要求提供有关售后服务的管理制度，售后服务机构的分布情况，售后服务人员的数量、素质、技术水平及售后服务的反应能力等。</w:t>
      </w:r>
    </w:p>
    <w:p w14:paraId="1128F8E2">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61737098">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投标人需根据招标文件要求提供所投标的的主要组成部分、功能设计、实现思路及关键技术等。</w:t>
      </w:r>
    </w:p>
    <w:p w14:paraId="5B2B6267">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03" w:name="_Toc49090510"/>
      <w:bookmarkStart w:id="104" w:name="_Toc14577359"/>
      <w:r>
        <w:rPr>
          <w:rFonts w:hint="eastAsia" w:ascii="宋体" w:hAnsi="宋体" w:eastAsia="宋体" w:cs="宋体"/>
          <w:b/>
          <w:bCs/>
          <w:color w:val="auto"/>
          <w:kern w:val="0"/>
          <w:sz w:val="24"/>
          <w:szCs w:val="24"/>
          <w:highlight w:val="none"/>
        </w:rPr>
        <w:t>15、投标函和开标一览表</w:t>
      </w:r>
      <w:bookmarkEnd w:id="103"/>
      <w:bookmarkEnd w:id="104"/>
    </w:p>
    <w:p w14:paraId="3CB4F30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3C52A66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036159CB">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05" w:name="_Toc49090511"/>
      <w:bookmarkStart w:id="106" w:name="_Toc14577360"/>
      <w:r>
        <w:rPr>
          <w:rFonts w:hint="eastAsia" w:ascii="宋体" w:hAnsi="宋体" w:eastAsia="宋体" w:cs="宋体"/>
          <w:b/>
          <w:bCs/>
          <w:color w:val="auto"/>
          <w:kern w:val="0"/>
          <w:sz w:val="24"/>
          <w:szCs w:val="24"/>
          <w:highlight w:val="none"/>
        </w:rPr>
        <w:t>16、投标有效期</w:t>
      </w:r>
      <w:bookmarkEnd w:id="105"/>
      <w:bookmarkEnd w:id="106"/>
    </w:p>
    <w:p w14:paraId="32AAB68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16.1投标有效期为采购中心规定的开标之日后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43AEABA6">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17、投标有效期的延长</w:t>
      </w:r>
    </w:p>
    <w:p w14:paraId="5858C67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4B10AB49">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107" w:name="_Toc20823296"/>
      <w:bookmarkStart w:id="108" w:name="_Toc120614217"/>
      <w:bookmarkStart w:id="109" w:name="_Toc16938540"/>
      <w:bookmarkStart w:id="110" w:name="_Toc513029224"/>
      <w:bookmarkStart w:id="111" w:name="_Hlt26954852"/>
      <w:bookmarkStart w:id="112" w:name="_Hlt26954739"/>
      <w:r>
        <w:rPr>
          <w:rFonts w:hint="eastAsia" w:ascii="宋体" w:hAnsi="宋体" w:eastAsia="宋体" w:cs="宋体"/>
          <w:b/>
          <w:color w:val="auto"/>
          <w:sz w:val="24"/>
          <w:szCs w:val="24"/>
          <w:highlight w:val="none"/>
        </w:rPr>
        <w:t>四、投标文件的递交</w:t>
      </w:r>
      <w:bookmarkEnd w:id="107"/>
      <w:bookmarkEnd w:id="108"/>
      <w:bookmarkEnd w:id="109"/>
      <w:bookmarkEnd w:id="110"/>
    </w:p>
    <w:p w14:paraId="462B5A82">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13" w:name="_Toc20823297"/>
      <w:bookmarkStart w:id="114" w:name="_Toc513029225"/>
      <w:bookmarkStart w:id="115" w:name="_Toc16938541"/>
      <w:bookmarkStart w:id="116" w:name="_Toc462564084"/>
      <w:r>
        <w:rPr>
          <w:rFonts w:hint="eastAsia" w:ascii="宋体" w:hAnsi="宋体" w:eastAsia="宋体" w:cs="宋体"/>
          <w:b/>
          <w:bCs/>
          <w:color w:val="auto"/>
          <w:kern w:val="0"/>
          <w:sz w:val="24"/>
          <w:szCs w:val="24"/>
          <w:highlight w:val="none"/>
        </w:rPr>
        <w:t>18、电子投标文件</w:t>
      </w:r>
      <w:bookmarkEnd w:id="113"/>
      <w:bookmarkEnd w:id="114"/>
      <w:bookmarkEnd w:id="115"/>
      <w:bookmarkEnd w:id="116"/>
      <w:r>
        <w:rPr>
          <w:rFonts w:hint="eastAsia" w:ascii="宋体" w:hAnsi="宋体" w:eastAsia="宋体" w:cs="宋体"/>
          <w:b/>
          <w:bCs/>
          <w:color w:val="auto"/>
          <w:kern w:val="0"/>
          <w:sz w:val="24"/>
          <w:szCs w:val="24"/>
          <w:highlight w:val="none"/>
        </w:rPr>
        <w:t>的递交</w:t>
      </w:r>
    </w:p>
    <w:p w14:paraId="71D0FF69">
      <w:pPr>
        <w:pStyle w:val="11"/>
        <w:pageBreakBefore w:val="0"/>
        <w:widowControl w:val="0"/>
        <w:kinsoku/>
        <w:wordWrap/>
        <w:overflowPunct/>
        <w:topLinePunct w:val="0"/>
        <w:autoSpaceDE/>
        <w:autoSpaceDN/>
        <w:bidi w:val="0"/>
        <w:adjustRightInd/>
        <w:snapToGrid/>
        <w:spacing w:beforeAutospacing="0" w:afterAutospacing="0" w:line="540" w:lineRule="exact"/>
        <w:ind w:left="525"/>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w:t>
      </w:r>
    </w:p>
    <w:p w14:paraId="0DD88C77">
      <w:pPr>
        <w:pStyle w:val="11"/>
        <w:pageBreakBefore w:val="0"/>
        <w:widowControl w:val="0"/>
        <w:kinsoku/>
        <w:wordWrap/>
        <w:overflowPunct/>
        <w:topLinePunct w:val="0"/>
        <w:autoSpaceDE/>
        <w:autoSpaceDN/>
        <w:bidi w:val="0"/>
        <w:adjustRightInd/>
        <w:snapToGrid/>
        <w:spacing w:beforeAutospacing="0" w:afterAutospacing="0" w:line="5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w:t>
      </w:r>
      <w:bookmarkStart w:id="117" w:name="_Toc16938542"/>
      <w:bookmarkEnd w:id="117"/>
      <w:bookmarkStart w:id="118" w:name="_Toc20823298"/>
      <w:bookmarkEnd w:id="118"/>
      <w:bookmarkStart w:id="119" w:name="_Toc513029226"/>
    </w:p>
    <w:p w14:paraId="588F88B2">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19、投标截止日期</w:t>
      </w:r>
    </w:p>
    <w:p w14:paraId="6FB490A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6D4403A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110EB610">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采购中心可以按照规定，通过修改招标文件酌情延长投标截止日期，在此情况下，投标人的所有权利和义务以及投标人受制的截止日期均应以延长后新的截止日期为准。</w:t>
      </w:r>
    </w:p>
    <w:p w14:paraId="7990164F">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20" w:name="_Toc513029227"/>
      <w:bookmarkStart w:id="121" w:name="_Toc16938543"/>
      <w:bookmarkStart w:id="122" w:name="_Toc20823299"/>
      <w:r>
        <w:rPr>
          <w:rFonts w:hint="eastAsia" w:ascii="宋体" w:hAnsi="宋体" w:eastAsia="宋体" w:cs="宋体"/>
          <w:b/>
          <w:bCs/>
          <w:color w:val="auto"/>
          <w:kern w:val="0"/>
          <w:sz w:val="24"/>
          <w:szCs w:val="24"/>
          <w:highlight w:val="none"/>
        </w:rPr>
        <w:t>20、投标文件</w:t>
      </w:r>
      <w:bookmarkEnd w:id="120"/>
      <w:bookmarkEnd w:id="121"/>
      <w:bookmarkEnd w:id="122"/>
      <w:r>
        <w:rPr>
          <w:rFonts w:hint="eastAsia" w:ascii="宋体" w:hAnsi="宋体" w:eastAsia="宋体" w:cs="宋体"/>
          <w:b/>
          <w:bCs/>
          <w:color w:val="auto"/>
          <w:kern w:val="0"/>
          <w:sz w:val="24"/>
          <w:szCs w:val="24"/>
          <w:highlight w:val="none"/>
        </w:rPr>
        <w:t>的拒收</w:t>
      </w:r>
    </w:p>
    <w:p w14:paraId="6254CB7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采购中心拒绝接收在其规定的投标截止时间后上传的任何投标文件。</w:t>
      </w:r>
    </w:p>
    <w:p w14:paraId="53D3CA18">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23" w:name="_Toc20823300"/>
      <w:bookmarkStart w:id="124" w:name="_Toc16938544"/>
      <w:bookmarkStart w:id="125" w:name="_Toc513029228"/>
      <w:r>
        <w:rPr>
          <w:rFonts w:hint="eastAsia" w:ascii="宋体" w:hAnsi="宋体" w:eastAsia="宋体" w:cs="宋体"/>
          <w:b/>
          <w:bCs/>
          <w:color w:val="auto"/>
          <w:kern w:val="0"/>
          <w:sz w:val="24"/>
          <w:szCs w:val="24"/>
          <w:highlight w:val="none"/>
        </w:rPr>
        <w:t>21、投标文件的撤回和修改</w:t>
      </w:r>
      <w:bookmarkEnd w:id="123"/>
      <w:bookmarkEnd w:id="124"/>
      <w:bookmarkEnd w:id="125"/>
    </w:p>
    <w:p w14:paraId="71BB8C9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3D58AE5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6F98166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1679878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2E4ED800">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3B657B6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7B1A054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1B11C30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52B22ECF">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126" w:name="_Toc20823301"/>
      <w:bookmarkStart w:id="127" w:name="_Toc120614218"/>
      <w:bookmarkStart w:id="128" w:name="_Toc16938545"/>
      <w:bookmarkStart w:id="129" w:name="_Toc513029229"/>
      <w:r>
        <w:rPr>
          <w:rFonts w:hint="eastAsia" w:ascii="宋体" w:hAnsi="宋体" w:eastAsia="宋体" w:cs="宋体"/>
          <w:b/>
          <w:color w:val="auto"/>
          <w:sz w:val="24"/>
          <w:szCs w:val="24"/>
          <w:highlight w:val="none"/>
        </w:rPr>
        <w:t>五、开标与评标</w:t>
      </w:r>
      <w:bookmarkEnd w:id="126"/>
      <w:bookmarkEnd w:id="127"/>
      <w:bookmarkEnd w:id="128"/>
      <w:bookmarkEnd w:id="129"/>
    </w:p>
    <w:p w14:paraId="522446D7">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30" w:name="_Toc513029230"/>
      <w:bookmarkStart w:id="131" w:name="_Toc16938546"/>
      <w:bookmarkStart w:id="132" w:name="_Toc20823302"/>
      <w:r>
        <w:rPr>
          <w:rFonts w:hint="eastAsia" w:ascii="宋体" w:hAnsi="宋体" w:eastAsia="宋体" w:cs="宋体"/>
          <w:b/>
          <w:bCs/>
          <w:color w:val="auto"/>
          <w:kern w:val="0"/>
          <w:sz w:val="24"/>
          <w:szCs w:val="24"/>
          <w:highlight w:val="none"/>
        </w:rPr>
        <w:t>22、开标</w:t>
      </w:r>
      <w:bookmarkEnd w:id="130"/>
      <w:bookmarkEnd w:id="131"/>
      <w:bookmarkEnd w:id="132"/>
    </w:p>
    <w:p w14:paraId="09B53F5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采购中心将在招标公告中规定的时间和地点组织公开开标。投标人应当按照《操作手册》规定，参加开标活动和在苏采云系统规定的时间内对投标文件进行解密。</w:t>
      </w:r>
    </w:p>
    <w:p w14:paraId="6F1FA8C8">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22.2开标仪式由采购中心组织。苏采云系统将自动对项目进行开标，并宣布各投标人名称和投标价格。</w:t>
      </w:r>
    </w:p>
    <w:p w14:paraId="57469D8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37C541B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58E1EAF2">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33" w:name="_Toc16938547"/>
      <w:bookmarkStart w:id="134" w:name="_Toc513029231"/>
      <w:bookmarkStart w:id="135" w:name="_Toc20823303"/>
      <w:r>
        <w:rPr>
          <w:rFonts w:hint="eastAsia" w:ascii="宋体" w:hAnsi="宋体" w:eastAsia="宋体" w:cs="宋体"/>
          <w:b/>
          <w:bCs/>
          <w:color w:val="auto"/>
          <w:kern w:val="0"/>
          <w:sz w:val="24"/>
          <w:szCs w:val="24"/>
          <w:highlight w:val="none"/>
        </w:rPr>
        <w:t>23、评标委员会</w:t>
      </w:r>
      <w:bookmarkEnd w:id="133"/>
      <w:bookmarkEnd w:id="134"/>
      <w:bookmarkEnd w:id="135"/>
    </w:p>
    <w:p w14:paraId="3A81DF0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开标后，采购中心将立即组织评标委员会（以下简称评委会）进行评标。</w:t>
      </w:r>
    </w:p>
    <w:p w14:paraId="28485BD0">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51E2D4E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3F73EE">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24．评标过程的保密与公正</w:t>
      </w:r>
    </w:p>
    <w:p w14:paraId="69AB217A">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24.1凡是与审查、澄清、评价和比较投标的有关资料以及授标建议等，采购人、评委、采购中心均不得向投标人或与评标无关的其他人员透露。</w:t>
      </w:r>
    </w:p>
    <w:p w14:paraId="4C3B448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14:paraId="36CEA84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采购中心和评标委员会不向未中标的投标人解释未中标原因，也不公布评标过程中的相关细节。</w:t>
      </w:r>
    </w:p>
    <w:p w14:paraId="6B88B0A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7A360E34">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36" w:name="_Toc513029232"/>
      <w:bookmarkStart w:id="137" w:name="_Toc16938548"/>
      <w:bookmarkStart w:id="138" w:name="_Toc20823304"/>
      <w:r>
        <w:rPr>
          <w:rFonts w:hint="eastAsia" w:ascii="宋体" w:hAnsi="宋体" w:eastAsia="宋体" w:cs="宋体"/>
          <w:b/>
          <w:bCs/>
          <w:color w:val="auto"/>
          <w:kern w:val="0"/>
          <w:sz w:val="24"/>
          <w:szCs w:val="24"/>
          <w:highlight w:val="none"/>
        </w:rPr>
        <w:t>25．投标文件的澄清</w:t>
      </w:r>
      <w:bookmarkEnd w:id="136"/>
      <w:bookmarkEnd w:id="137"/>
      <w:bookmarkEnd w:id="138"/>
    </w:p>
    <w:p w14:paraId="518FE99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bookmarkStart w:id="139" w:name="_Toc513029233"/>
      <w:bookmarkStart w:id="140" w:name="_Toc16938549"/>
      <w:bookmarkStart w:id="141" w:name="_Toc20823305"/>
      <w:r>
        <w:rPr>
          <w:rFonts w:hint="eastAsia" w:ascii="宋体" w:hAnsi="宋体" w:eastAsia="宋体" w:cs="宋体"/>
          <w:color w:val="auto"/>
          <w:sz w:val="24"/>
          <w:szCs w:val="24"/>
          <w:highlight w:val="none"/>
        </w:rPr>
        <w:t>25.1评标期间，评委会对投标文件中含义不明确、同类问题表述不一致或者有明显文字和计算错误的内容 ，有权要求投标人作出必要的澄清、说明或者补正。</w:t>
      </w:r>
      <w:bookmarkEnd w:id="139"/>
      <w:bookmarkEnd w:id="140"/>
      <w:bookmarkEnd w:id="141"/>
    </w:p>
    <w:p w14:paraId="4251E80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897B71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4C8A077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1912575A">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26、对投标文件的初审</w:t>
      </w:r>
    </w:p>
    <w:p w14:paraId="50075BA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56905E9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45C4FFC8">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71BC36B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7AF371D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未通过资格审查或符合性审查的投标人，采购中心将在苏采云系统中告知未通过资格审查或符合性审查的原因，评审结束后，采购中心将不再告知未通过资格审查或符合性审查的原因。</w:t>
      </w:r>
    </w:p>
    <w:p w14:paraId="2CBF45E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符</w:t>
      </w:r>
      <w:r>
        <w:rPr>
          <w:rFonts w:hint="eastAsia" w:ascii="宋体" w:hAnsi="宋体" w:eastAsia="宋体" w:cs="宋体"/>
          <w:color w:val="auto"/>
          <w:sz w:val="24"/>
          <w:szCs w:val="24"/>
          <w:highlight w:val="none"/>
        </w:rPr>
        <w:t>合要求的偏离或保留而使其投标成为实质性响应的投标。</w:t>
      </w:r>
    </w:p>
    <w:p w14:paraId="251CC29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6279A7D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3D05FD8">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0FF81280">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3C281CA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B33B4A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376C0D64">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B1D8CB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bookmarkStart w:id="142" w:name="_Toc16938550"/>
      <w:bookmarkStart w:id="143" w:name="_Toc20823306"/>
      <w:bookmarkStart w:id="144" w:name="_Toc513029234"/>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456BE54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Style w:val="11"/>
        <w:pageBreakBefore w:val="0"/>
        <w:widowControl w:val="0"/>
        <w:kinsoku/>
        <w:wordWrap/>
        <w:overflowPunct/>
        <w:topLinePunct w:val="0"/>
        <w:autoSpaceDE/>
        <w:autoSpaceDN/>
        <w:bidi w:val="0"/>
        <w:adjustRightInd/>
        <w:snapToGrid/>
        <w:spacing w:beforeAutospacing="0" w:afterAutospacing="0" w:line="5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695D4A02">
      <w:pPr>
        <w:pStyle w:val="11"/>
        <w:pageBreakBefore w:val="0"/>
        <w:widowControl w:val="0"/>
        <w:kinsoku/>
        <w:wordWrap/>
        <w:overflowPunct/>
        <w:topLinePunct w:val="0"/>
        <w:autoSpaceDE/>
        <w:autoSpaceDN/>
        <w:bidi w:val="0"/>
        <w:adjustRightInd/>
        <w:snapToGrid/>
        <w:spacing w:beforeAutospacing="0" w:afterAutospacing="0" w:line="5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，及时登录苏采云系统查阅、答复相关信息，并安排专人与采购中心及评标委员会联系。</w:t>
      </w:r>
    </w:p>
    <w:p w14:paraId="6258925A">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27、无效投标条款和废标条款</w:t>
      </w:r>
    </w:p>
    <w:p w14:paraId="6F72D55E">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bookmarkStart w:id="145" w:name="_Toc16938551"/>
      <w:bookmarkStart w:id="146" w:name="_Toc20823307"/>
      <w:bookmarkStart w:id="147" w:name="_Toc513029235"/>
      <w:r>
        <w:rPr>
          <w:rFonts w:hint="eastAsia" w:ascii="宋体" w:hAnsi="宋体" w:eastAsia="宋体" w:cs="宋体"/>
          <w:color w:val="auto"/>
          <w:sz w:val="24"/>
          <w:szCs w:val="24"/>
          <w:highlight w:val="none"/>
        </w:rPr>
        <w:t>27.1无效投标条款</w:t>
      </w:r>
      <w:bookmarkEnd w:id="145"/>
      <w:bookmarkEnd w:id="146"/>
      <w:bookmarkEnd w:id="147"/>
    </w:p>
    <w:p w14:paraId="199C480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1EC94C00">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51A8645C">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50627D9E">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6818F182">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30986556">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4CB47D8D">
      <w:pPr>
        <w:pStyle w:val="11"/>
        <w:pageBreakBefore w:val="0"/>
        <w:widowControl w:val="0"/>
        <w:kinsoku/>
        <w:wordWrap/>
        <w:overflowPunct/>
        <w:topLinePunct w:val="0"/>
        <w:autoSpaceDE/>
        <w:autoSpaceDN/>
        <w:bidi w:val="0"/>
        <w:adjustRightInd/>
        <w:snapToGrid/>
        <w:spacing w:beforeAutospacing="0" w:afterAutospacing="0" w:line="5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347ECC0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27.1.9投标文件含有采购人不能接受的附加条件的。</w:t>
      </w:r>
    </w:p>
    <w:p w14:paraId="30278C46">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（一）评审过程中出现下列情形之一的，评标委员会应当启动异常低价投标审查程序：</w:t>
      </w:r>
    </w:p>
    <w:p w14:paraId="07D8563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1.投标报价低于采购项目预算50%的，即投标报价&lt;采购项目预算×50%；</w:t>
      </w:r>
    </w:p>
    <w:p w14:paraId="504B071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2.投标报价低于采购项目最高限价45%的，即投标报价&lt;采购项目最高限价×45%；</w:t>
      </w:r>
    </w:p>
    <w:p w14:paraId="05605E0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3.评标委员会认定的供应商报价过低、有可能影响产品质量或者不能诚信履约的其他情形。</w:t>
      </w:r>
    </w:p>
    <w:p w14:paraId="0DC8FFE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9E548C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69A8EFFA">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007CE7C7">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27.2废标条款</w:t>
      </w:r>
    </w:p>
    <w:p w14:paraId="624DEA76">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27.2.1符合专业条件的供应商或者对招标文件作实质响应的供应商不足三家的。27.2.2出现影响采购公正的违法、违规行为的。</w:t>
      </w:r>
    </w:p>
    <w:p w14:paraId="2E50E73F">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37387DC1">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604228ED">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2AFF2B5B">
      <w:pPr>
        <w:pStyle w:val="11"/>
        <w:pageBreakBefore w:val="0"/>
        <w:widowControl w:val="0"/>
        <w:kinsoku/>
        <w:wordWrap/>
        <w:overflowPunct/>
        <w:topLinePunct w:val="0"/>
        <w:autoSpaceDE/>
        <w:autoSpaceDN/>
        <w:bidi w:val="0"/>
        <w:adjustRightInd/>
        <w:snapToGrid/>
        <w:spacing w:beforeAutospacing="0" w:afterAutospacing="0" w:line="54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4AAF87C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13BE58D4">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148" w:name="_Toc120614219"/>
      <w:r>
        <w:rPr>
          <w:rFonts w:hint="eastAsia" w:ascii="宋体" w:hAnsi="宋体" w:eastAsia="宋体" w:cs="宋体"/>
          <w:b/>
          <w:color w:val="auto"/>
          <w:sz w:val="24"/>
          <w:szCs w:val="24"/>
          <w:highlight w:val="none"/>
        </w:rPr>
        <w:t>六、定标</w:t>
      </w:r>
      <w:bookmarkEnd w:id="148"/>
    </w:p>
    <w:p w14:paraId="6CF15D84">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49" w:name="_Toc20823310"/>
      <w:bookmarkStart w:id="150" w:name="_Toc16938554"/>
      <w:bookmarkStart w:id="151" w:name="_Toc513029238"/>
      <w:r>
        <w:rPr>
          <w:rFonts w:hint="eastAsia" w:ascii="宋体" w:hAnsi="宋体" w:eastAsia="宋体" w:cs="宋体"/>
          <w:b/>
          <w:bCs/>
          <w:color w:val="auto"/>
          <w:kern w:val="0"/>
          <w:sz w:val="24"/>
          <w:szCs w:val="24"/>
          <w:highlight w:val="none"/>
        </w:rPr>
        <w:t>28、</w:t>
      </w:r>
      <w:bookmarkEnd w:id="149"/>
      <w:r>
        <w:rPr>
          <w:rFonts w:hint="eastAsia" w:ascii="宋体" w:hAnsi="宋体" w:eastAsia="宋体" w:cs="宋体"/>
          <w:b/>
          <w:bCs/>
          <w:color w:val="auto"/>
          <w:kern w:val="0"/>
          <w:sz w:val="24"/>
          <w:szCs w:val="24"/>
          <w:highlight w:val="none"/>
        </w:rPr>
        <w:t>确定</w:t>
      </w:r>
      <w:bookmarkEnd w:id="150"/>
      <w:bookmarkEnd w:id="151"/>
      <w:r>
        <w:rPr>
          <w:rFonts w:hint="eastAsia" w:ascii="宋体" w:hAnsi="宋体" w:eastAsia="宋体" w:cs="宋体"/>
          <w:b/>
          <w:bCs/>
          <w:color w:val="auto"/>
          <w:kern w:val="0"/>
          <w:sz w:val="24"/>
          <w:szCs w:val="24"/>
          <w:highlight w:val="none"/>
        </w:rPr>
        <w:t>中标单位</w:t>
      </w:r>
    </w:p>
    <w:p w14:paraId="5EB7BA6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2BE6DD4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3D004C7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采购中心将在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发布中标公告，公告期限为1个工作日。</w:t>
      </w:r>
    </w:p>
    <w:p w14:paraId="386E0C9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0BCD3E74">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13E8AC6A">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28.4.2向采购人、采购中心行贿或者提供其他不正当利益的。</w:t>
      </w:r>
    </w:p>
    <w:p w14:paraId="734172C8">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2D18E97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6B4A574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3FFAA27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bookmarkStart w:id="152" w:name="_Toc200451960"/>
      <w:r>
        <w:rPr>
          <w:rFonts w:hint="eastAsia" w:ascii="宋体" w:hAnsi="宋体" w:eastAsia="宋体" w:cs="宋体"/>
          <w:color w:val="auto"/>
          <w:sz w:val="24"/>
          <w:szCs w:val="24"/>
          <w:highlight w:val="none"/>
        </w:rPr>
        <w:t>28.5. 有下列情形之一的，视为投标人串通投标，投标无效：</w:t>
      </w:r>
      <w:bookmarkEnd w:id="152"/>
    </w:p>
    <w:p w14:paraId="17D0A97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25879A9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35059A68">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16134A48">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72D577B2">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29、质疑处理</w:t>
      </w:r>
    </w:p>
    <w:p w14:paraId="59C4C9E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5664335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2C6A5E0C">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29.2.2对采购过程提出质疑的，为各采购程序环节结束之日；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29.2.3对中标或者成交结果提出质疑的，为中标或者成交结果公告期限届满之日。</w:t>
      </w:r>
    </w:p>
    <w:p w14:paraId="1C1F729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5CF6537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7245235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ascii="宋体" w:hAnsi="宋体" w:eastAsia="宋体" w:cs="宋体"/>
          <w:color w:val="auto"/>
          <w:sz w:val="24"/>
          <w:highlight w:val="none"/>
        </w:rPr>
      </w:pPr>
      <w:r>
        <w:rPr>
          <w:rFonts w:hint="eastAsia" w:ascii="宋体" w:hAnsi="宋体" w:eastAsia="宋体" w:cs="宋体"/>
          <w:color w:val="auto"/>
          <w:sz w:val="24"/>
          <w:szCs w:val="24"/>
          <w:highlight w:val="none"/>
        </w:rPr>
        <w:t>采购人及采购中心只接收以纸质原件形式送达的质疑,采购人和采购中心不接受未填写快递运单的快件。</w:t>
      </w:r>
      <w:r>
        <w:rPr>
          <w:rFonts w:hint="eastAsia" w:ascii="宋体" w:hAnsi="宋体" w:eastAsia="宋体" w:cs="宋体"/>
          <w:color w:val="auto"/>
          <w:sz w:val="24"/>
          <w:highlight w:val="none"/>
        </w:rPr>
        <w:t>质疑接收部门为射阳县行政服务中心，联系地址：盐城市射阳县幸福大道16号，联系电话：</w:t>
      </w:r>
      <w:r>
        <w:rPr>
          <w:rFonts w:hint="eastAsia" w:ascii="宋体" w:hAnsi="宋体" w:eastAsia="宋体" w:cs="宋体"/>
          <w:i w:val="0"/>
          <w:iCs w:val="0"/>
          <w:caps w:val="0"/>
          <w:color w:val="auto"/>
          <w:spacing w:val="0"/>
          <w:sz w:val="24"/>
          <w:szCs w:val="24"/>
          <w:highlight w:val="none"/>
          <w:shd w:val="clear" w:fill="FFFFFF"/>
          <w:lang w:val="en-US" w:eastAsia="zh-CN"/>
        </w:rPr>
        <w:t>0515-8230 9113</w:t>
      </w:r>
    </w:p>
    <w:p w14:paraId="071C5D74">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7F914B5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5117AD5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26178371">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276C3DD6">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295142B9">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0E6878F6">
      <w:pPr>
        <w:pStyle w:val="11"/>
        <w:pageBreakBefore w:val="0"/>
        <w:widowControl w:val="0"/>
        <w:kinsoku/>
        <w:wordWrap/>
        <w:overflowPunct/>
        <w:topLinePunct w:val="0"/>
        <w:autoSpaceDE/>
        <w:autoSpaceDN/>
        <w:bidi w:val="0"/>
        <w:adjustRightInd/>
        <w:snapToGrid/>
        <w:spacing w:beforeAutospacing="0" w:afterAutospacing="0" w:line="540" w:lineRule="exact"/>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DF24AE6">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30、中标通知书</w:t>
      </w:r>
    </w:p>
    <w:p w14:paraId="4F0DFD43">
      <w:pPr>
        <w:pStyle w:val="11"/>
        <w:pageBreakBefore w:val="0"/>
        <w:widowControl w:val="0"/>
        <w:kinsoku/>
        <w:wordWrap/>
        <w:overflowPunct/>
        <w:topLinePunct w:val="0"/>
        <w:autoSpaceDE/>
        <w:autoSpaceDN/>
        <w:bidi w:val="0"/>
        <w:adjustRightInd/>
        <w:snapToGrid/>
        <w:spacing w:beforeAutospacing="0" w:afterAutospacing="0" w:line="54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605D1C0">
      <w:pPr>
        <w:pStyle w:val="11"/>
        <w:pageBreakBefore w:val="0"/>
        <w:widowControl w:val="0"/>
        <w:kinsoku/>
        <w:wordWrap/>
        <w:overflowPunct/>
        <w:topLinePunct w:val="0"/>
        <w:autoSpaceDE/>
        <w:autoSpaceDN/>
        <w:bidi w:val="0"/>
        <w:adjustRightInd/>
        <w:snapToGrid/>
        <w:spacing w:beforeAutospacing="0" w:afterAutospacing="0" w:line="54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5ED6DDAB">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color w:val="auto"/>
          <w:sz w:val="24"/>
          <w:szCs w:val="24"/>
          <w:highlight w:val="none"/>
        </w:rPr>
      </w:pPr>
      <w:bookmarkStart w:id="153" w:name="_Toc16938552"/>
      <w:bookmarkStart w:id="154" w:name="_Toc513029236"/>
      <w:bookmarkStart w:id="155" w:name="_Toc120614220"/>
      <w:bookmarkStart w:id="156" w:name="_Toc20823308"/>
      <w:r>
        <w:rPr>
          <w:rFonts w:hint="eastAsia" w:ascii="宋体" w:hAnsi="宋体" w:eastAsia="宋体" w:cs="宋体"/>
          <w:b/>
          <w:color w:val="auto"/>
          <w:sz w:val="24"/>
          <w:szCs w:val="24"/>
          <w:highlight w:val="none"/>
        </w:rPr>
        <w:t>七、授予合同</w:t>
      </w:r>
      <w:bookmarkEnd w:id="153"/>
      <w:bookmarkEnd w:id="154"/>
      <w:bookmarkEnd w:id="155"/>
      <w:bookmarkEnd w:id="156"/>
    </w:p>
    <w:p w14:paraId="3FD53760">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bookmarkStart w:id="157" w:name="_Toc513029237"/>
      <w:bookmarkStart w:id="158" w:name="_Toc20823309"/>
      <w:bookmarkStart w:id="159" w:name="_Toc16938553"/>
      <w:r>
        <w:rPr>
          <w:rFonts w:hint="eastAsia" w:ascii="宋体" w:hAnsi="宋体" w:eastAsia="宋体" w:cs="宋体"/>
          <w:b/>
          <w:bCs/>
          <w:color w:val="auto"/>
          <w:kern w:val="0"/>
          <w:sz w:val="24"/>
          <w:szCs w:val="24"/>
          <w:highlight w:val="none"/>
        </w:rPr>
        <w:t>31. 签订合同</w:t>
      </w:r>
      <w:bookmarkEnd w:id="157"/>
      <w:bookmarkEnd w:id="158"/>
      <w:bookmarkEnd w:id="159"/>
    </w:p>
    <w:p w14:paraId="3B519A32">
      <w:pPr>
        <w:pStyle w:val="11"/>
        <w:pageBreakBefore w:val="0"/>
        <w:widowControl w:val="0"/>
        <w:kinsoku/>
        <w:wordWrap/>
        <w:overflowPunct/>
        <w:topLinePunct w:val="0"/>
        <w:autoSpaceDE/>
        <w:autoSpaceDN/>
        <w:bidi w:val="0"/>
        <w:adjustRightInd/>
        <w:snapToGrid/>
        <w:spacing w:beforeAutospacing="0" w:afterAutospacing="0" w:line="5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31.l中标人应当在中标通知书发出之日起三十日内，按照招标文件确定的事项与采购人签订政府采购合同。</w:t>
      </w:r>
    </w:p>
    <w:p w14:paraId="47C5C3E9">
      <w:pPr>
        <w:pStyle w:val="11"/>
        <w:pageBreakBefore w:val="0"/>
        <w:widowControl w:val="0"/>
        <w:kinsoku/>
        <w:wordWrap/>
        <w:overflowPunct/>
        <w:topLinePunct w:val="0"/>
        <w:autoSpaceDE/>
        <w:autoSpaceDN/>
        <w:bidi w:val="0"/>
        <w:adjustRightInd/>
        <w:snapToGrid/>
        <w:spacing w:beforeAutospacing="0" w:afterAutospacing="0" w:line="54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60EA278A">
      <w:pPr>
        <w:pStyle w:val="11"/>
        <w:pageBreakBefore w:val="0"/>
        <w:widowControl w:val="0"/>
        <w:kinsoku/>
        <w:wordWrap/>
        <w:overflowPunct/>
        <w:topLinePunct w:val="0"/>
        <w:autoSpaceDE/>
        <w:autoSpaceDN/>
        <w:bidi w:val="0"/>
        <w:adjustRightInd/>
        <w:snapToGrid/>
        <w:spacing w:beforeAutospacing="0" w:afterAutospacing="0" w:line="54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购人损失的，中标人应承担相应赔偿责任。</w:t>
      </w:r>
    </w:p>
    <w:p w14:paraId="07FD5066">
      <w:pPr>
        <w:pStyle w:val="11"/>
        <w:pageBreakBefore w:val="0"/>
        <w:widowControl w:val="0"/>
        <w:kinsoku/>
        <w:wordWrap/>
        <w:overflowPunct/>
        <w:topLinePunct w:val="0"/>
        <w:autoSpaceDE/>
        <w:autoSpaceDN/>
        <w:bidi w:val="0"/>
        <w:adjustRightInd/>
        <w:snapToGrid/>
        <w:spacing w:beforeAutospacing="0" w:afterAutospacing="0" w:line="540" w:lineRule="exact"/>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备注：项目经办人在发标前应与采购人商定是否允许中标人分包履行合同</w:t>
      </w:r>
      <w:r>
        <w:rPr>
          <w:rFonts w:hint="eastAsia" w:ascii="宋体" w:hAnsi="宋体" w:eastAsia="宋体" w:cs="宋体"/>
          <w:color w:val="auto"/>
          <w:sz w:val="24"/>
          <w:szCs w:val="24"/>
          <w:highlight w:val="none"/>
          <w:shd w:val="clear" w:color="auto" w:fill="auto"/>
          <w:lang w:eastAsia="zh-CN"/>
        </w:rPr>
        <w:t>。</w:t>
      </w:r>
    </w:p>
    <w:p w14:paraId="7A8BD332">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32、货物（包含与货物相关的服务）的追加</w:t>
      </w:r>
    </w:p>
    <w:p w14:paraId="779FCA96">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33.政府采购政策功能落实</w:t>
      </w:r>
    </w:p>
    <w:p w14:paraId="3EA2C724">
      <w:pPr>
        <w:pStyle w:val="11"/>
        <w:keepNext/>
        <w:keepLines/>
        <w:pageBreakBefore w:val="0"/>
        <w:widowControl w:val="0"/>
        <w:kinsoku/>
        <w:wordWrap/>
        <w:overflowPunct/>
        <w:topLinePunct w:val="0"/>
        <w:autoSpaceDE/>
        <w:autoSpaceDN/>
        <w:bidi w:val="0"/>
        <w:adjustRightInd/>
        <w:snapToGrid/>
        <w:spacing w:beforeAutospacing="0" w:afterAutospacing="0" w:line="540" w:lineRule="exact"/>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33.1</w:t>
      </w:r>
      <w:r>
        <w:rPr>
          <w:rFonts w:hint="eastAsia" w:ascii="宋体" w:hAnsi="宋体" w:eastAsia="宋体" w:cs="宋体"/>
          <w:b/>
          <w:bCs/>
          <w:color w:val="auto"/>
          <w:sz w:val="24"/>
          <w:szCs w:val="24"/>
          <w:highlight w:val="none"/>
        </w:rPr>
        <w:t>政府采购</w:t>
      </w:r>
      <w:r>
        <w:rPr>
          <w:rFonts w:hint="eastAsia" w:ascii="宋体" w:hAnsi="宋体" w:eastAsia="宋体" w:cs="宋体"/>
          <w:b/>
          <w:bCs/>
          <w:color w:val="auto"/>
          <w:sz w:val="24"/>
          <w:szCs w:val="24"/>
          <w:highlight w:val="none"/>
          <w:lang w:eastAsia="zh-CN"/>
        </w:rPr>
        <w:t>线上合同信用融资</w:t>
      </w:r>
      <w:r>
        <w:rPr>
          <w:rFonts w:hint="eastAsia" w:ascii="宋体" w:hAnsi="宋体" w:eastAsia="宋体" w:cs="宋体"/>
          <w:b/>
          <w:bCs/>
          <w:color w:val="auto"/>
          <w:sz w:val="24"/>
          <w:szCs w:val="24"/>
          <w:highlight w:val="none"/>
        </w:rPr>
        <w:t>政策</w:t>
      </w:r>
    </w:p>
    <w:p w14:paraId="7831DEF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540" w:lineRule="exact"/>
        <w:ind w:firstLine="482"/>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33.2进口产品</w:t>
      </w:r>
    </w:p>
    <w:p w14:paraId="5E25FDB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540" w:lineRule="exact"/>
        <w:ind w:firstLine="482"/>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.3.1中小企业定义：</w:t>
      </w:r>
    </w:p>
    <w:p w14:paraId="4C9CBD8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30D4ACCA">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.3.2供应商提供的货物、工程或者服务符合下列情形的，享受中小企业扶持政策：</w:t>
      </w:r>
    </w:p>
    <w:p w14:paraId="6761BEF4">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31163D4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4DFC19B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EA95C77">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18C13D1A">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4D8F3DF">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.3.5监狱企业定义：</w:t>
      </w:r>
      <w:r>
        <w:rPr>
          <w:rFonts w:hint="eastAsia" w:ascii="宋体" w:hAnsi="宋体" w:eastAsia="宋体" w:cs="宋体"/>
          <w:color w:val="auto"/>
          <w:sz w:val="24"/>
          <w:szCs w:val="24"/>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C10A4F6">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3AB3B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25054FF3">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2B08B5C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20CB233D">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3B85C34B">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66321B5E">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3CD37815">
      <w:pPr>
        <w:pStyle w:val="11"/>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540" w:lineRule="exact"/>
        <w:ind w:firstLine="482"/>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33.5绿色包装</w:t>
      </w:r>
    </w:p>
    <w:p w14:paraId="3C828DB7">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40" w:lineRule="exact"/>
        <w:ind w:left="0" w:right="0"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57947BB5">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 xml:space="preserve">33.7绿色数据中心政策 </w:t>
      </w:r>
    </w:p>
    <w:p w14:paraId="722A8D32">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33.8实施本国产品标准及相关政策</w:t>
      </w:r>
    </w:p>
    <w:p w14:paraId="7B4C191B">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04114C16">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33.9履约保证金政策</w:t>
      </w:r>
    </w:p>
    <w:p w14:paraId="5EB031AC">
      <w:pPr>
        <w:pStyle w:val="22"/>
        <w:pageBreakBefore w:val="0"/>
        <w:widowControl w:val="0"/>
        <w:kinsoku/>
        <w:wordWrap/>
        <w:overflowPunct/>
        <w:topLinePunct w:val="0"/>
        <w:autoSpaceDE/>
        <w:autoSpaceDN/>
        <w:bidi w:val="0"/>
        <w:adjustRightInd/>
        <w:snapToGrid/>
        <w:spacing w:after="0" w:line="54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184C23EE">
      <w:pPr>
        <w:pStyle w:val="11"/>
        <w:keepLines w:val="0"/>
        <w:pageBreakBefore w:val="0"/>
        <w:widowControl w:val="0"/>
        <w:kinsoku/>
        <w:wordWrap/>
        <w:overflowPunct/>
        <w:topLinePunct w:val="0"/>
        <w:autoSpaceDE/>
        <w:autoSpaceDN/>
        <w:bidi w:val="0"/>
        <w:adjustRightInd/>
        <w:snapToGrid/>
        <w:spacing w:beforeAutospacing="0" w:afterAutospacing="0" w:line="540" w:lineRule="exact"/>
        <w:ind w:firstLine="480"/>
        <w:jc w:val="both"/>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34. 预付款制度</w:t>
      </w:r>
    </w:p>
    <w:p w14:paraId="23108FD2">
      <w:pPr>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本项目落实预付款制度，预付款比例为30%</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53289C7D">
      <w:pPr>
        <w:pStyle w:val="22"/>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33E3FFD4">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20F1951">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B97EB0F">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7219D08">
      <w:pPr>
        <w:pStyle w:val="11"/>
        <w:spacing w:beforeAutospacing="0" w:afterAutospacing="0"/>
        <w:jc w:val="both"/>
        <w:rPr>
          <w:rFonts w:hint="eastAsia" w:ascii="宋体" w:hAnsi="宋体" w:eastAsia="宋体" w:cs="宋体"/>
          <w:color w:val="auto"/>
          <w:sz w:val="24"/>
          <w:szCs w:val="24"/>
          <w:highlight w:val="none"/>
        </w:rPr>
      </w:pPr>
    </w:p>
    <w:p w14:paraId="5DD3B16F">
      <w:pPr>
        <w:pStyle w:val="11"/>
        <w:spacing w:beforeAutospacing="0" w:afterAutospacing="0"/>
        <w:jc w:val="both"/>
        <w:rPr>
          <w:rFonts w:hint="eastAsia" w:ascii="宋体" w:hAnsi="宋体" w:eastAsia="宋体" w:cs="宋体"/>
          <w:color w:val="auto"/>
          <w:sz w:val="24"/>
          <w:szCs w:val="24"/>
          <w:highlight w:val="none"/>
        </w:rPr>
      </w:pPr>
    </w:p>
    <w:p w14:paraId="484F37B1">
      <w:pPr>
        <w:pStyle w:val="11"/>
        <w:spacing w:beforeAutospacing="0" w:afterAutospacing="0"/>
        <w:jc w:val="both"/>
        <w:rPr>
          <w:rFonts w:hint="eastAsia" w:ascii="宋体" w:hAnsi="宋体" w:eastAsia="宋体" w:cs="宋体"/>
          <w:color w:val="auto"/>
          <w:sz w:val="24"/>
          <w:szCs w:val="24"/>
          <w:highlight w:val="none"/>
        </w:rPr>
      </w:pPr>
    </w:p>
    <w:p w14:paraId="1EB1F8A6">
      <w:pPr>
        <w:pStyle w:val="11"/>
        <w:spacing w:beforeAutospacing="0" w:afterAutospacing="0"/>
        <w:jc w:val="both"/>
        <w:rPr>
          <w:color w:val="auto"/>
          <w:highlight w:val="none"/>
        </w:rPr>
      </w:pPr>
    </w:p>
    <w:p w14:paraId="1EBA165D">
      <w:pPr>
        <w:pStyle w:val="11"/>
        <w:spacing w:beforeAutospacing="0" w:afterAutospacing="0"/>
        <w:jc w:val="both"/>
        <w:rPr>
          <w:color w:val="auto"/>
          <w:highlight w:val="none"/>
        </w:rPr>
      </w:pPr>
    </w:p>
    <w:p w14:paraId="68B2849A">
      <w:pPr>
        <w:pStyle w:val="11"/>
        <w:spacing w:beforeAutospacing="0" w:afterAutospacing="0"/>
        <w:jc w:val="both"/>
        <w:rPr>
          <w:color w:val="auto"/>
          <w:highlight w:val="none"/>
        </w:rPr>
      </w:pPr>
    </w:p>
    <w:p w14:paraId="4933F7EA">
      <w:pPr>
        <w:pStyle w:val="11"/>
        <w:spacing w:beforeAutospacing="0" w:afterAutospacing="0" w:line="0" w:lineRule="atLeast"/>
        <w:jc w:val="both"/>
        <w:rPr>
          <w:color w:val="auto"/>
          <w:highlight w:val="none"/>
        </w:rPr>
      </w:pPr>
      <w:r>
        <w:rPr>
          <w:color w:val="auto"/>
          <w:highlight w:val="none"/>
        </w:rPr>
        <w:t> </w:t>
      </w:r>
    </w:p>
    <w:p w14:paraId="4B5F750D">
      <w:pPr>
        <w:pStyle w:val="11"/>
        <w:spacing w:beforeAutospacing="0" w:afterAutospacing="0" w:line="0" w:lineRule="atLeast"/>
        <w:jc w:val="both"/>
        <w:rPr>
          <w:color w:val="auto"/>
          <w:highlight w:val="none"/>
        </w:rPr>
      </w:pPr>
      <w:r>
        <w:rPr>
          <w:color w:val="auto"/>
          <w:highlight w:val="none"/>
        </w:rPr>
        <w:t> </w:t>
      </w:r>
    </w:p>
    <w:p w14:paraId="211EBC91">
      <w:pPr>
        <w:pStyle w:val="11"/>
        <w:spacing w:beforeAutospacing="0" w:afterAutospacing="0" w:line="0" w:lineRule="atLeast"/>
        <w:jc w:val="both"/>
        <w:rPr>
          <w:color w:val="auto"/>
          <w:highlight w:val="none"/>
        </w:rPr>
      </w:pPr>
    </w:p>
    <w:p w14:paraId="2753B083">
      <w:pPr>
        <w:pStyle w:val="11"/>
        <w:spacing w:beforeAutospacing="0" w:afterAutospacing="0" w:line="0" w:lineRule="atLeast"/>
        <w:jc w:val="both"/>
        <w:rPr>
          <w:color w:val="auto"/>
          <w:highlight w:val="none"/>
        </w:rPr>
      </w:pPr>
    </w:p>
    <w:p w14:paraId="4E535C0A">
      <w:pPr>
        <w:pStyle w:val="11"/>
        <w:spacing w:beforeAutospacing="0" w:afterAutospacing="0" w:line="0" w:lineRule="atLeast"/>
        <w:jc w:val="both"/>
        <w:rPr>
          <w:color w:val="auto"/>
          <w:highlight w:val="none"/>
        </w:rPr>
      </w:pPr>
    </w:p>
    <w:p w14:paraId="15082727">
      <w:pPr>
        <w:pStyle w:val="11"/>
        <w:spacing w:beforeAutospacing="0" w:afterAutospacing="0" w:line="0" w:lineRule="atLeast"/>
        <w:jc w:val="both"/>
        <w:rPr>
          <w:color w:val="auto"/>
          <w:highlight w:val="none"/>
        </w:rPr>
      </w:pPr>
    </w:p>
    <w:p w14:paraId="6EFF0758">
      <w:pPr>
        <w:pStyle w:val="11"/>
        <w:spacing w:beforeAutospacing="0" w:afterAutospacing="0" w:line="0" w:lineRule="atLeast"/>
        <w:jc w:val="both"/>
        <w:rPr>
          <w:color w:val="auto"/>
          <w:highlight w:val="none"/>
        </w:rPr>
      </w:pPr>
    </w:p>
    <w:p w14:paraId="4D7012EF">
      <w:pPr>
        <w:pStyle w:val="11"/>
        <w:spacing w:beforeAutospacing="0" w:afterAutospacing="0" w:line="0" w:lineRule="atLeast"/>
        <w:jc w:val="both"/>
        <w:rPr>
          <w:color w:val="auto"/>
          <w:highlight w:val="none"/>
        </w:rPr>
      </w:pPr>
    </w:p>
    <w:p w14:paraId="111CE263">
      <w:pPr>
        <w:pStyle w:val="11"/>
        <w:spacing w:beforeAutospacing="0" w:afterAutospacing="0" w:line="0" w:lineRule="atLeast"/>
        <w:jc w:val="both"/>
        <w:rPr>
          <w:color w:val="auto"/>
          <w:highlight w:val="none"/>
        </w:rPr>
      </w:pPr>
    </w:p>
    <w:p w14:paraId="6F11B23E">
      <w:pPr>
        <w:pStyle w:val="11"/>
        <w:spacing w:beforeAutospacing="0" w:afterAutospacing="0" w:line="0" w:lineRule="atLeast"/>
        <w:jc w:val="both"/>
        <w:rPr>
          <w:color w:val="auto"/>
          <w:highlight w:val="none"/>
        </w:rPr>
      </w:pPr>
    </w:p>
    <w:p w14:paraId="30A0F9EC">
      <w:pPr>
        <w:pStyle w:val="11"/>
        <w:spacing w:beforeAutospacing="0" w:afterAutospacing="0" w:line="0" w:lineRule="atLeast"/>
        <w:jc w:val="both"/>
        <w:rPr>
          <w:color w:val="auto"/>
          <w:highlight w:val="none"/>
        </w:rPr>
      </w:pPr>
    </w:p>
    <w:p w14:paraId="4D5CBD57">
      <w:pPr>
        <w:pStyle w:val="11"/>
        <w:spacing w:beforeAutospacing="0" w:afterAutospacing="0" w:line="0" w:lineRule="atLeast"/>
        <w:jc w:val="both"/>
        <w:rPr>
          <w:color w:val="auto"/>
          <w:highlight w:val="none"/>
        </w:rPr>
      </w:pPr>
    </w:p>
    <w:p w14:paraId="1AF8419B">
      <w:pPr>
        <w:pStyle w:val="11"/>
        <w:spacing w:beforeAutospacing="0" w:afterAutospacing="0" w:line="0" w:lineRule="atLeast"/>
        <w:jc w:val="both"/>
        <w:rPr>
          <w:color w:val="auto"/>
          <w:highlight w:val="none"/>
        </w:rPr>
      </w:pPr>
    </w:p>
    <w:p w14:paraId="4965FD59">
      <w:pPr>
        <w:pStyle w:val="11"/>
        <w:spacing w:beforeAutospacing="0" w:afterAutospacing="0" w:line="0" w:lineRule="atLeast"/>
        <w:jc w:val="both"/>
        <w:rPr>
          <w:color w:val="auto"/>
          <w:highlight w:val="none"/>
        </w:rPr>
      </w:pPr>
    </w:p>
    <w:p w14:paraId="18817DE5">
      <w:pPr>
        <w:pStyle w:val="11"/>
        <w:spacing w:beforeAutospacing="0" w:afterAutospacing="0" w:line="0" w:lineRule="atLeast"/>
        <w:jc w:val="both"/>
        <w:rPr>
          <w:color w:val="auto"/>
          <w:highlight w:val="none"/>
        </w:rPr>
      </w:pPr>
    </w:p>
    <w:p w14:paraId="13279CFC">
      <w:pPr>
        <w:pStyle w:val="11"/>
        <w:spacing w:beforeAutospacing="0" w:afterAutospacing="0" w:line="0" w:lineRule="atLeast"/>
        <w:jc w:val="both"/>
        <w:rPr>
          <w:color w:val="auto"/>
          <w:highlight w:val="none"/>
        </w:rPr>
      </w:pPr>
    </w:p>
    <w:p w14:paraId="5102DBA1">
      <w:pPr>
        <w:pStyle w:val="11"/>
        <w:spacing w:beforeAutospacing="0" w:afterAutospacing="0" w:line="0" w:lineRule="atLeast"/>
        <w:jc w:val="both"/>
        <w:rPr>
          <w:color w:val="auto"/>
          <w:highlight w:val="none"/>
        </w:rPr>
      </w:pPr>
    </w:p>
    <w:p w14:paraId="21DB9123">
      <w:pPr>
        <w:pStyle w:val="11"/>
        <w:spacing w:beforeAutospacing="0" w:afterAutospacing="0" w:line="0" w:lineRule="atLeast"/>
        <w:jc w:val="both"/>
        <w:rPr>
          <w:color w:val="auto"/>
          <w:highlight w:val="none"/>
        </w:rPr>
      </w:pPr>
    </w:p>
    <w:p w14:paraId="6F0B10DE">
      <w:pPr>
        <w:pStyle w:val="11"/>
        <w:spacing w:beforeAutospacing="0" w:afterAutospacing="0" w:line="0" w:lineRule="atLeast"/>
        <w:jc w:val="both"/>
        <w:rPr>
          <w:color w:val="auto"/>
          <w:highlight w:val="none"/>
        </w:rPr>
      </w:pPr>
    </w:p>
    <w:p w14:paraId="00EC3996">
      <w:pPr>
        <w:pStyle w:val="11"/>
        <w:spacing w:beforeAutospacing="0" w:afterAutospacing="0" w:line="0" w:lineRule="atLeast"/>
        <w:jc w:val="both"/>
        <w:rPr>
          <w:color w:val="auto"/>
          <w:highlight w:val="none"/>
        </w:rPr>
      </w:pPr>
    </w:p>
    <w:p w14:paraId="1A0BD7B0">
      <w:pPr>
        <w:pStyle w:val="11"/>
        <w:spacing w:beforeAutospacing="0" w:afterAutospacing="0" w:line="0" w:lineRule="atLeast"/>
        <w:jc w:val="both"/>
        <w:rPr>
          <w:color w:val="auto"/>
          <w:highlight w:val="none"/>
        </w:rPr>
      </w:pPr>
    </w:p>
    <w:p w14:paraId="68350397">
      <w:pPr>
        <w:pStyle w:val="11"/>
        <w:spacing w:beforeAutospacing="0" w:afterAutospacing="0" w:line="0" w:lineRule="atLeast"/>
        <w:jc w:val="both"/>
        <w:rPr>
          <w:color w:val="auto"/>
          <w:highlight w:val="none"/>
        </w:rPr>
      </w:pPr>
    </w:p>
    <w:p w14:paraId="273DEF02">
      <w:pPr>
        <w:pStyle w:val="11"/>
        <w:spacing w:beforeAutospacing="0" w:afterAutospacing="0" w:line="0" w:lineRule="atLeast"/>
        <w:jc w:val="both"/>
        <w:rPr>
          <w:color w:val="auto"/>
          <w:highlight w:val="none"/>
        </w:rPr>
      </w:pPr>
    </w:p>
    <w:p w14:paraId="31AFAA53">
      <w:pPr>
        <w:pStyle w:val="11"/>
        <w:spacing w:beforeAutospacing="0" w:afterAutospacing="0" w:line="0" w:lineRule="atLeast"/>
        <w:jc w:val="both"/>
        <w:rPr>
          <w:color w:val="auto"/>
          <w:highlight w:val="none"/>
        </w:rPr>
      </w:pPr>
      <w:r>
        <w:rPr>
          <w:color w:val="auto"/>
          <w:highlight w:val="none"/>
        </w:rPr>
        <w:t> </w:t>
      </w:r>
    </w:p>
    <w:p w14:paraId="627C353E">
      <w:pPr>
        <w:pStyle w:val="11"/>
        <w:spacing w:beforeAutospacing="0" w:afterAutospacing="0" w:line="0" w:lineRule="atLeast"/>
        <w:jc w:val="both"/>
        <w:rPr>
          <w:color w:val="auto"/>
          <w:highlight w:val="none"/>
        </w:rPr>
      </w:pPr>
    </w:p>
    <w:p w14:paraId="53DDA035">
      <w:pPr>
        <w:pStyle w:val="11"/>
        <w:spacing w:beforeAutospacing="0" w:afterAutospacing="0" w:line="0" w:lineRule="atLeast"/>
        <w:jc w:val="both"/>
        <w:rPr>
          <w:color w:val="auto"/>
          <w:highlight w:val="none"/>
        </w:rPr>
      </w:pPr>
    </w:p>
    <w:p w14:paraId="7D0C094D">
      <w:pPr>
        <w:pStyle w:val="3"/>
        <w:ind w:firstLine="216"/>
        <w:jc w:val="center"/>
        <w:rPr>
          <w:rFonts w:ascii="宋体" w:hAnsi="宋体" w:cs="宋体"/>
          <w:b/>
          <w:color w:val="auto"/>
          <w:sz w:val="48"/>
          <w:szCs w:val="44"/>
          <w:highlight w:val="none"/>
        </w:rPr>
      </w:pPr>
      <w:r>
        <w:rPr>
          <w:color w:val="auto"/>
          <w:sz w:val="36"/>
          <w:szCs w:val="44"/>
          <w:highlight w:val="none"/>
        </w:rPr>
        <w:t> </w:t>
      </w:r>
      <w:bookmarkStart w:id="160" w:name="_Toc479757211"/>
      <w:bookmarkStart w:id="161" w:name="_Toc120614244"/>
      <w:bookmarkStart w:id="162" w:name="_Toc20823346"/>
      <w:bookmarkStart w:id="163" w:name="_Toc16938590"/>
      <w:bookmarkStart w:id="164" w:name="_Hlt16619350"/>
      <w:bookmarkStart w:id="165" w:name="_Toc462564139"/>
      <w:bookmarkStart w:id="166" w:name="_Hlt16619369"/>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p>
    <w:p w14:paraId="7C62F2F4">
      <w:pPr>
        <w:rPr>
          <w:rFonts w:ascii="宋体" w:hAnsi="宋体" w:cs="宋体"/>
          <w:color w:val="auto"/>
          <w:highlight w:val="none"/>
        </w:rPr>
      </w:pPr>
      <w:bookmarkStart w:id="167" w:name="EB6d2006462e294de090c16e672cecc3bd"/>
    </w:p>
    <w:bookmarkEnd w:id="167"/>
    <w:p w14:paraId="0F89D1C7">
      <w:pPr>
        <w:jc w:val="center"/>
        <w:rPr>
          <w:rFonts w:ascii="宋体" w:hAnsi="宋体" w:cs="宋体"/>
          <w:b/>
          <w:bCs/>
          <w:color w:val="auto"/>
          <w:spacing w:val="-20"/>
          <w:sz w:val="48"/>
          <w:szCs w:val="48"/>
          <w:highlight w:val="none"/>
        </w:rPr>
      </w:pPr>
      <w:bookmarkStart w:id="168" w:name="_Toc3995"/>
    </w:p>
    <w:p w14:paraId="2728A11A">
      <w:pPr>
        <w:jc w:val="center"/>
        <w:rPr>
          <w:rFonts w:ascii="宋体" w:hAnsi="宋体" w:cs="宋体"/>
          <w:b/>
          <w:bCs/>
          <w:color w:val="auto"/>
          <w:spacing w:val="-20"/>
          <w:sz w:val="48"/>
          <w:szCs w:val="48"/>
          <w:highlight w:val="none"/>
        </w:rPr>
      </w:pPr>
    </w:p>
    <w:p w14:paraId="61A63262">
      <w:pPr>
        <w:jc w:val="center"/>
        <w:rPr>
          <w:rFonts w:ascii="宋体" w:hAnsi="宋体" w:cs="宋体"/>
          <w:b/>
          <w:bCs/>
          <w:color w:val="auto"/>
          <w:spacing w:val="-20"/>
          <w:sz w:val="48"/>
          <w:szCs w:val="48"/>
          <w:highlight w:val="none"/>
        </w:rPr>
      </w:pPr>
    </w:p>
    <w:p w14:paraId="0FA7CBA8">
      <w:pPr>
        <w:pStyle w:val="6"/>
        <w:rPr>
          <w:rFonts w:ascii="宋体" w:hAnsi="宋体" w:cs="宋体"/>
          <w:b/>
          <w:bCs/>
          <w:color w:val="auto"/>
          <w:spacing w:val="-20"/>
          <w:sz w:val="48"/>
          <w:szCs w:val="48"/>
          <w:highlight w:val="none"/>
        </w:rPr>
      </w:pPr>
    </w:p>
    <w:p w14:paraId="5D33ACD6">
      <w:pPr>
        <w:pStyle w:val="7"/>
        <w:rPr>
          <w:rFonts w:ascii="宋体" w:hAnsi="宋体" w:cs="宋体"/>
          <w:b/>
          <w:bCs/>
          <w:color w:val="auto"/>
          <w:spacing w:val="-20"/>
          <w:sz w:val="48"/>
          <w:szCs w:val="48"/>
          <w:highlight w:val="none"/>
        </w:rPr>
      </w:pPr>
    </w:p>
    <w:p w14:paraId="16C724CB">
      <w:pPr>
        <w:pStyle w:val="7"/>
        <w:rPr>
          <w:rFonts w:ascii="宋体" w:hAnsi="宋体" w:cs="宋体"/>
          <w:b/>
          <w:bCs/>
          <w:color w:val="auto"/>
          <w:spacing w:val="-20"/>
          <w:sz w:val="48"/>
          <w:szCs w:val="48"/>
          <w:highlight w:val="none"/>
        </w:rPr>
      </w:pPr>
    </w:p>
    <w:p w14:paraId="6615180B">
      <w:pPr>
        <w:pStyle w:val="7"/>
        <w:rPr>
          <w:rFonts w:ascii="宋体" w:hAnsi="宋体" w:cs="宋体"/>
          <w:b/>
          <w:bCs/>
          <w:color w:val="auto"/>
          <w:spacing w:val="-20"/>
          <w:sz w:val="48"/>
          <w:szCs w:val="48"/>
          <w:highlight w:val="none"/>
        </w:rPr>
      </w:pPr>
    </w:p>
    <w:p w14:paraId="3E012109">
      <w:pPr>
        <w:pStyle w:val="7"/>
        <w:rPr>
          <w:rFonts w:ascii="宋体" w:hAnsi="宋体" w:cs="宋体"/>
          <w:b/>
          <w:bCs/>
          <w:color w:val="auto"/>
          <w:spacing w:val="-20"/>
          <w:sz w:val="48"/>
          <w:szCs w:val="48"/>
          <w:highlight w:val="none"/>
        </w:rPr>
      </w:pPr>
    </w:p>
    <w:p w14:paraId="0A59786D">
      <w:pPr>
        <w:pStyle w:val="7"/>
        <w:rPr>
          <w:rFonts w:ascii="宋体" w:hAnsi="宋体" w:cs="宋体"/>
          <w:b/>
          <w:bCs/>
          <w:color w:val="auto"/>
          <w:spacing w:val="-20"/>
          <w:sz w:val="48"/>
          <w:szCs w:val="48"/>
          <w:highlight w:val="none"/>
        </w:rPr>
      </w:pPr>
    </w:p>
    <w:p w14:paraId="4B8444F2">
      <w:pPr>
        <w:pStyle w:val="7"/>
        <w:rPr>
          <w:rFonts w:ascii="宋体" w:hAnsi="宋体" w:cs="宋体"/>
          <w:b/>
          <w:bCs/>
          <w:color w:val="auto"/>
          <w:spacing w:val="-20"/>
          <w:sz w:val="48"/>
          <w:szCs w:val="48"/>
          <w:highlight w:val="none"/>
        </w:rPr>
      </w:pPr>
    </w:p>
    <w:p w14:paraId="44155F9F">
      <w:pPr>
        <w:pStyle w:val="7"/>
        <w:rPr>
          <w:rFonts w:ascii="宋体" w:hAnsi="宋体" w:cs="宋体"/>
          <w:b/>
          <w:bCs/>
          <w:color w:val="auto"/>
          <w:spacing w:val="-20"/>
          <w:sz w:val="48"/>
          <w:szCs w:val="48"/>
          <w:highlight w:val="none"/>
        </w:rPr>
      </w:pPr>
    </w:p>
    <w:p w14:paraId="59E23DAF">
      <w:pPr>
        <w:pStyle w:val="7"/>
        <w:rPr>
          <w:rFonts w:ascii="宋体" w:hAnsi="宋体" w:cs="宋体"/>
          <w:b/>
          <w:bCs/>
          <w:color w:val="auto"/>
          <w:spacing w:val="-20"/>
          <w:sz w:val="48"/>
          <w:szCs w:val="48"/>
          <w:highlight w:val="none"/>
        </w:rPr>
      </w:pPr>
    </w:p>
    <w:p w14:paraId="49625F8A">
      <w:pPr>
        <w:pStyle w:val="7"/>
        <w:rPr>
          <w:rFonts w:ascii="宋体" w:hAnsi="宋体" w:cs="宋体"/>
          <w:b/>
          <w:bCs/>
          <w:color w:val="auto"/>
          <w:spacing w:val="-20"/>
          <w:sz w:val="48"/>
          <w:szCs w:val="48"/>
          <w:highlight w:val="none"/>
        </w:rPr>
      </w:pPr>
    </w:p>
    <w:p w14:paraId="4C776F64">
      <w:pPr>
        <w:pStyle w:val="7"/>
        <w:rPr>
          <w:rFonts w:ascii="宋体" w:hAnsi="宋体" w:cs="宋体"/>
          <w:b/>
          <w:bCs/>
          <w:color w:val="auto"/>
          <w:spacing w:val="-20"/>
          <w:sz w:val="48"/>
          <w:szCs w:val="48"/>
          <w:highlight w:val="none"/>
        </w:rPr>
      </w:pPr>
    </w:p>
    <w:p w14:paraId="2CDDE81A">
      <w:pPr>
        <w:pStyle w:val="7"/>
        <w:rPr>
          <w:rFonts w:ascii="宋体" w:hAnsi="宋体" w:cs="宋体"/>
          <w:b/>
          <w:bCs/>
          <w:color w:val="auto"/>
          <w:spacing w:val="-20"/>
          <w:sz w:val="48"/>
          <w:szCs w:val="48"/>
          <w:highlight w:val="none"/>
        </w:rPr>
      </w:pPr>
    </w:p>
    <w:p w14:paraId="780DB18F">
      <w:pPr>
        <w:pStyle w:val="7"/>
        <w:rPr>
          <w:rFonts w:ascii="宋体" w:hAnsi="宋体" w:cs="宋体"/>
          <w:b/>
          <w:bCs/>
          <w:color w:val="auto"/>
          <w:spacing w:val="-20"/>
          <w:sz w:val="48"/>
          <w:szCs w:val="48"/>
          <w:highlight w:val="none"/>
        </w:rPr>
      </w:pPr>
    </w:p>
    <w:p w14:paraId="7BCE7765">
      <w:pPr>
        <w:pStyle w:val="7"/>
        <w:rPr>
          <w:rFonts w:ascii="宋体" w:hAnsi="宋体" w:cs="宋体"/>
          <w:b/>
          <w:bCs/>
          <w:color w:val="auto"/>
          <w:spacing w:val="-20"/>
          <w:sz w:val="48"/>
          <w:szCs w:val="48"/>
          <w:highlight w:val="none"/>
        </w:rPr>
      </w:pPr>
    </w:p>
    <w:p w14:paraId="7169EBDA">
      <w:pPr>
        <w:pStyle w:val="7"/>
        <w:rPr>
          <w:rFonts w:ascii="宋体" w:hAnsi="宋体" w:cs="宋体"/>
          <w:b/>
          <w:bCs/>
          <w:color w:val="auto"/>
          <w:spacing w:val="-20"/>
          <w:sz w:val="48"/>
          <w:szCs w:val="48"/>
          <w:highlight w:val="none"/>
        </w:rPr>
      </w:pPr>
    </w:p>
    <w:p w14:paraId="23D99F88">
      <w:pPr>
        <w:pStyle w:val="7"/>
        <w:rPr>
          <w:rFonts w:ascii="宋体" w:hAnsi="宋体" w:cs="宋体"/>
          <w:b/>
          <w:bCs/>
          <w:color w:val="auto"/>
          <w:spacing w:val="-20"/>
          <w:sz w:val="48"/>
          <w:szCs w:val="48"/>
          <w:highlight w:val="none"/>
        </w:rPr>
      </w:pPr>
    </w:p>
    <w:p w14:paraId="1A6F3623">
      <w:pPr>
        <w:pStyle w:val="7"/>
        <w:rPr>
          <w:rFonts w:ascii="宋体" w:hAnsi="宋体" w:cs="宋体"/>
          <w:b/>
          <w:bCs/>
          <w:color w:val="auto"/>
          <w:spacing w:val="-20"/>
          <w:sz w:val="48"/>
          <w:szCs w:val="48"/>
          <w:highlight w:val="none"/>
        </w:rPr>
      </w:pPr>
    </w:p>
    <w:p w14:paraId="430C1249">
      <w:pPr>
        <w:pStyle w:val="11"/>
        <w:keepNext w:val="0"/>
        <w:keepLines w:val="0"/>
        <w:pageBreakBefore w:val="0"/>
        <w:kinsoku/>
        <w:wordWrap/>
        <w:overflowPunct/>
        <w:topLinePunct w:val="0"/>
        <w:autoSpaceDE/>
        <w:autoSpaceDN/>
        <w:bidi w:val="0"/>
        <w:spacing w:before="0" w:beforeAutospacing="0" w:after="0" w:afterAutospacing="0"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政府采购合同（货物）（合同编号）</w:t>
      </w:r>
    </w:p>
    <w:p w14:paraId="0B937B3B">
      <w:pPr>
        <w:pStyle w:val="11"/>
        <w:keepNext w:val="0"/>
        <w:keepLines w:val="0"/>
        <w:pageBreakBefore w:val="0"/>
        <w:kinsoku/>
        <w:wordWrap/>
        <w:overflowPunct/>
        <w:topLinePunct w:val="0"/>
        <w:autoSpaceDE/>
        <w:autoSpaceDN/>
        <w:bidi w:val="0"/>
        <w:spacing w:before="0" w:beforeAutospacing="0" w:after="0" w:afterAutospacing="0" w:line="580" w:lineRule="exact"/>
        <w:jc w:val="both"/>
        <w:rPr>
          <w:rFonts w:hint="eastAsia" w:ascii="宋体" w:hAnsi="宋体" w:eastAsia="宋体" w:cs="宋体"/>
          <w:color w:val="auto"/>
          <w:sz w:val="24"/>
          <w:szCs w:val="24"/>
          <w:highlight w:val="none"/>
        </w:rPr>
      </w:pPr>
    </w:p>
    <w:p w14:paraId="056E08DF">
      <w:pPr>
        <w:pStyle w:val="11"/>
        <w:keepNext w:val="0"/>
        <w:keepLines w:val="0"/>
        <w:pageBreakBefore w:val="0"/>
        <w:kinsoku/>
        <w:wordWrap/>
        <w:overflowPunct/>
        <w:topLinePunct w:val="0"/>
        <w:autoSpaceDE/>
        <w:autoSpaceDN/>
        <w:bidi w:val="0"/>
        <w:spacing w:before="0" w:beforeAutospacing="0" w:after="0" w:afterAutospacing="0" w:line="5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p>
    <w:p w14:paraId="03C13EB2">
      <w:pPr>
        <w:pStyle w:val="11"/>
        <w:keepNext w:val="0"/>
        <w:keepLines w:val="0"/>
        <w:pageBreakBefore w:val="0"/>
        <w:kinsoku/>
        <w:wordWrap/>
        <w:overflowPunct/>
        <w:topLinePunct w:val="0"/>
        <w:autoSpaceDE/>
        <w:autoSpaceDN/>
        <w:bidi w:val="0"/>
        <w:spacing w:before="0" w:beforeAutospacing="0" w:after="0" w:afterAutospacing="0" w:line="580" w:lineRule="exact"/>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lang w:val="en-US" w:eastAsia="zh-CN"/>
        </w:rPr>
        <w:t xml:space="preserve">                                                          </w:t>
      </w:r>
    </w:p>
    <w:p w14:paraId="576CC931">
      <w:pPr>
        <w:pStyle w:val="11"/>
        <w:keepNext w:val="0"/>
        <w:keepLines w:val="0"/>
        <w:pageBreakBefore w:val="0"/>
        <w:widowControl w:val="0"/>
        <w:kinsoku/>
        <w:wordWrap/>
        <w:overflowPunct/>
        <w:topLinePunct w:val="0"/>
        <w:autoSpaceDE/>
        <w:autoSpaceDN/>
        <w:bidi w:val="0"/>
        <w:spacing w:before="0" w:beforeAutospacing="0" w:after="0" w:afterAutospacing="0" w:line="580" w:lineRule="exact"/>
        <w:jc w:val="both"/>
        <w:rPr>
          <w:color w:val="auto"/>
          <w:sz w:val="24"/>
          <w:szCs w:val="24"/>
          <w:highlight w:val="none"/>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63E3A770">
      <w:pPr>
        <w:pStyle w:val="11"/>
        <w:keepNext w:val="0"/>
        <w:keepLines w:val="0"/>
        <w:pageBreakBefore w:val="0"/>
        <w:widowControl w:val="0"/>
        <w:kinsoku/>
        <w:wordWrap/>
        <w:overflowPunct/>
        <w:topLinePunct w:val="0"/>
        <w:autoSpaceDE/>
        <w:autoSpaceDN/>
        <w:bidi w:val="0"/>
        <w:spacing w:before="0" w:beforeAutospacing="0" w:after="0" w:afterAutospacing="0" w:line="580" w:lineRule="exact"/>
        <w:jc w:val="both"/>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乙方：（卖方）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118C657A">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招标的结果，签署本合同。</w:t>
      </w:r>
    </w:p>
    <w:p w14:paraId="65A0F015">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color w:val="auto"/>
          <w:sz w:val="24"/>
          <w:szCs w:val="24"/>
          <w:highlight w:val="none"/>
        </w:rPr>
      </w:pPr>
      <w:r>
        <w:rPr>
          <w:rFonts w:hint="eastAsia" w:ascii="宋体" w:hAnsi="宋体" w:eastAsia="宋体" w:cs="宋体"/>
          <w:b/>
          <w:color w:val="auto"/>
          <w:sz w:val="24"/>
          <w:szCs w:val="24"/>
          <w:highlight w:val="none"/>
        </w:rPr>
        <w:t>一、合同内容</w:t>
      </w:r>
    </w:p>
    <w:p w14:paraId="55CD7268">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eastAsia="宋体"/>
          <w:color w:val="auto"/>
          <w:sz w:val="24"/>
          <w:szCs w:val="24"/>
          <w:highlight w:val="none"/>
          <w:u w:val="single"/>
          <w:lang w:val="en-US" w:eastAsia="zh-CN"/>
        </w:rPr>
      </w:pPr>
      <w:r>
        <w:rPr>
          <w:rFonts w:hint="eastAsia" w:ascii="宋体" w:hAnsi="宋体" w:eastAsia="宋体" w:cs="宋体"/>
          <w:color w:val="auto"/>
          <w:sz w:val="24"/>
          <w:szCs w:val="24"/>
          <w:highlight w:val="none"/>
        </w:rPr>
        <w:t>1.1 标的名称：</w:t>
      </w:r>
      <w:r>
        <w:rPr>
          <w:rFonts w:hint="eastAsia" w:ascii="宋体" w:hAnsi="宋体" w:eastAsia="宋体" w:cs="宋体"/>
          <w:color w:val="auto"/>
          <w:sz w:val="24"/>
          <w:szCs w:val="24"/>
          <w:highlight w:val="none"/>
          <w:u w:val="single"/>
          <w:lang w:val="en-US" w:eastAsia="zh-CN"/>
        </w:rPr>
        <w:t xml:space="preserve">                                                           </w:t>
      </w:r>
    </w:p>
    <w:p w14:paraId="716B125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eastAsia="宋体"/>
          <w:color w:val="auto"/>
          <w:sz w:val="24"/>
          <w:szCs w:val="24"/>
          <w:highlight w:val="none"/>
          <w:u w:val="single"/>
          <w:lang w:val="en-US" w:eastAsia="zh-CN"/>
        </w:rPr>
      </w:pPr>
      <w:r>
        <w:rPr>
          <w:rFonts w:hint="eastAsia" w:ascii="宋体" w:hAnsi="宋体" w:eastAsia="宋体" w:cs="宋体"/>
          <w:color w:val="auto"/>
          <w:sz w:val="24"/>
          <w:szCs w:val="24"/>
          <w:highlight w:val="none"/>
        </w:rPr>
        <w:t>1.2 标的质量：</w:t>
      </w:r>
      <w:r>
        <w:rPr>
          <w:rFonts w:hint="eastAsia" w:ascii="宋体" w:hAnsi="宋体" w:cs="宋体"/>
          <w:color w:val="auto"/>
          <w:sz w:val="24"/>
          <w:szCs w:val="24"/>
          <w:highlight w:val="none"/>
          <w:u w:val="single"/>
          <w:lang w:val="en-US" w:eastAsia="zh-CN"/>
        </w:rPr>
        <w:t xml:space="preserve">                                                                </w:t>
      </w:r>
    </w:p>
    <w:p w14:paraId="6D534FE9">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w:t>
      </w:r>
    </w:p>
    <w:p w14:paraId="5692CB50">
      <w:pPr>
        <w:pStyle w:val="11"/>
        <w:keepNext w:val="0"/>
        <w:keepLines w:val="0"/>
        <w:pageBreakBefore w:val="0"/>
        <w:widowControl w:val="0"/>
        <w:kinsoku/>
        <w:wordWrap/>
        <w:overflowPunct/>
        <w:topLinePunct w:val="0"/>
        <w:autoSpaceDE/>
        <w:autoSpaceDN/>
        <w:bidi w:val="0"/>
        <w:snapToGrid w:val="0"/>
        <w:spacing w:before="0" w:beforeAutospacing="0" w:after="0" w:afterAutospacing="0" w:line="580" w:lineRule="exact"/>
        <w:jc w:val="both"/>
        <w:rPr>
          <w:rFonts w:hint="eastAsia" w:ascii="宋体" w:hAnsi="宋体" w:eastAsia="宋体" w:cs="宋体"/>
          <w:color w:val="auto"/>
          <w:sz w:val="24"/>
          <w:szCs w:val="24"/>
          <w:highlight w:val="none"/>
        </w:rPr>
      </w:pPr>
    </w:p>
    <w:tbl>
      <w:tblPr>
        <w:tblStyle w:val="12"/>
        <w:tblW w:w="5467" w:type="pct"/>
        <w:tblInd w:w="-3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0"/>
        <w:gridCol w:w="1240"/>
        <w:gridCol w:w="857"/>
        <w:gridCol w:w="2033"/>
        <w:gridCol w:w="798"/>
        <w:gridCol w:w="1094"/>
        <w:gridCol w:w="937"/>
        <w:gridCol w:w="1598"/>
      </w:tblGrid>
      <w:tr w14:paraId="027FD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407" w:type="pct"/>
            <w:tcBorders>
              <w:top w:val="single" w:color="000000" w:sz="4" w:space="0"/>
              <w:left w:val="single" w:color="000000" w:sz="4" w:space="0"/>
              <w:bottom w:val="single" w:color="000000" w:sz="4" w:space="0"/>
              <w:right w:val="single" w:color="000000" w:sz="4" w:space="0"/>
            </w:tcBorders>
            <w:noWrap w:val="0"/>
            <w:vAlign w:val="center"/>
          </w:tcPr>
          <w:p w14:paraId="126BC1B4">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2497D997">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产品</w:t>
            </w:r>
          </w:p>
        </w:tc>
        <w:tc>
          <w:tcPr>
            <w:tcW w:w="459" w:type="pct"/>
            <w:tcBorders>
              <w:top w:val="single" w:color="000000" w:sz="4" w:space="0"/>
              <w:left w:val="single" w:color="000000" w:sz="4" w:space="0"/>
              <w:bottom w:val="single" w:color="000000" w:sz="4" w:space="0"/>
              <w:right w:val="single" w:color="000000" w:sz="4" w:space="0"/>
            </w:tcBorders>
            <w:noWrap w:val="0"/>
            <w:vAlign w:val="center"/>
          </w:tcPr>
          <w:p w14:paraId="340B94BE">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品牌</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03BEE1C9">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规格型号</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14:paraId="22FE311C">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586" w:type="pct"/>
            <w:tcBorders>
              <w:top w:val="single" w:color="000000" w:sz="4" w:space="0"/>
              <w:left w:val="single" w:color="000000" w:sz="4" w:space="0"/>
              <w:bottom w:val="single" w:color="000000" w:sz="4" w:space="0"/>
              <w:right w:val="single" w:color="000000" w:sz="4" w:space="0"/>
            </w:tcBorders>
            <w:noWrap w:val="0"/>
            <w:vAlign w:val="center"/>
          </w:tcPr>
          <w:p w14:paraId="3E5B103C">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w:t>
            </w:r>
          </w:p>
        </w:tc>
        <w:tc>
          <w:tcPr>
            <w:tcW w:w="503" w:type="pct"/>
            <w:tcBorders>
              <w:top w:val="single" w:color="000000" w:sz="4" w:space="0"/>
              <w:left w:val="single" w:color="000000" w:sz="4" w:space="0"/>
              <w:bottom w:val="single" w:color="000000" w:sz="4" w:space="0"/>
              <w:right w:val="single" w:color="000000" w:sz="4" w:space="0"/>
            </w:tcBorders>
            <w:noWrap w:val="0"/>
            <w:vAlign w:val="center"/>
          </w:tcPr>
          <w:p w14:paraId="417BF248">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小计</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AA8037B">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370F5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407" w:type="pct"/>
            <w:tcBorders>
              <w:top w:val="single" w:color="000000" w:sz="4" w:space="0"/>
              <w:left w:val="single" w:color="000000" w:sz="4" w:space="0"/>
              <w:bottom w:val="single" w:color="000000" w:sz="4" w:space="0"/>
              <w:right w:val="single" w:color="000000" w:sz="4" w:space="0"/>
            </w:tcBorders>
            <w:noWrap/>
            <w:vAlign w:val="center"/>
          </w:tcPr>
          <w:p w14:paraId="2EA94745">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ign w:val="center"/>
          </w:tcPr>
          <w:p w14:paraId="5031C92B">
            <w:pPr>
              <w:keepNext w:val="0"/>
              <w:keepLines w:val="0"/>
              <w:pageBreakBefore w:val="0"/>
              <w:widowControl/>
              <w:suppressLineNumbers w:val="0"/>
              <w:kinsoku/>
              <w:wordWrap/>
              <w:overflowPunct/>
              <w:topLinePunct w:val="0"/>
              <w:autoSpaceDE/>
              <w:autoSpaceDN/>
              <w:bidi w:val="0"/>
              <w:spacing w:line="580" w:lineRule="exact"/>
              <w:jc w:val="left"/>
              <w:textAlignment w:val="center"/>
              <w:rPr>
                <w:rFonts w:hint="eastAsia" w:ascii="宋体" w:hAnsi="宋体" w:eastAsia="宋体" w:cs="宋体"/>
                <w:i w:val="0"/>
                <w:iCs w:val="0"/>
                <w:color w:val="auto"/>
                <w:sz w:val="22"/>
                <w:szCs w:val="22"/>
                <w:highlight w:val="none"/>
                <w:u w:val="none"/>
              </w:rPr>
            </w:pP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29FE0069">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44F9B5DC">
            <w:pPr>
              <w:keepNext w:val="0"/>
              <w:keepLines w:val="0"/>
              <w:pageBreakBefore w:val="0"/>
              <w:widowControl/>
              <w:suppressLineNumbers w:val="0"/>
              <w:kinsoku/>
              <w:wordWrap/>
              <w:overflowPunct/>
              <w:topLinePunct w:val="0"/>
              <w:autoSpaceDE/>
              <w:autoSpaceDN/>
              <w:bidi w:val="0"/>
              <w:spacing w:line="580" w:lineRule="exact"/>
              <w:jc w:val="left"/>
              <w:textAlignment w:val="center"/>
              <w:rPr>
                <w:rFonts w:hint="eastAsia" w:ascii="宋体" w:hAnsi="宋体" w:eastAsia="宋体" w:cs="宋体"/>
                <w:i w:val="0"/>
                <w:iCs w:val="0"/>
                <w:color w:val="auto"/>
                <w:sz w:val="22"/>
                <w:szCs w:val="22"/>
                <w:highlight w:val="none"/>
                <w:u w:val="none"/>
              </w:rPr>
            </w:pPr>
          </w:p>
        </w:tc>
        <w:tc>
          <w:tcPr>
            <w:tcW w:w="428" w:type="pct"/>
            <w:tcBorders>
              <w:top w:val="single" w:color="000000" w:sz="4" w:space="0"/>
              <w:left w:val="single" w:color="000000" w:sz="4" w:space="0"/>
              <w:bottom w:val="single" w:color="000000" w:sz="4" w:space="0"/>
              <w:right w:val="single" w:color="000000" w:sz="4" w:space="0"/>
            </w:tcBorders>
            <w:noWrap/>
            <w:vAlign w:val="center"/>
          </w:tcPr>
          <w:p w14:paraId="41F84058">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586" w:type="pct"/>
            <w:tcBorders>
              <w:top w:val="single" w:color="000000" w:sz="4" w:space="0"/>
              <w:left w:val="single" w:color="000000" w:sz="4" w:space="0"/>
              <w:right w:val="single" w:color="000000" w:sz="4" w:space="0"/>
            </w:tcBorders>
            <w:noWrap/>
            <w:vAlign w:val="center"/>
          </w:tcPr>
          <w:p w14:paraId="27BFF938">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503" w:type="pct"/>
            <w:tcBorders>
              <w:top w:val="single" w:color="000000" w:sz="4" w:space="0"/>
              <w:left w:val="single" w:color="000000" w:sz="4" w:space="0"/>
              <w:right w:val="single" w:color="000000" w:sz="4" w:space="0"/>
            </w:tcBorders>
            <w:noWrap/>
            <w:vAlign w:val="center"/>
          </w:tcPr>
          <w:p w14:paraId="503491D9">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857" w:type="pct"/>
            <w:tcBorders>
              <w:top w:val="single" w:color="000000" w:sz="4" w:space="0"/>
              <w:left w:val="single" w:color="000000" w:sz="4" w:space="0"/>
              <w:bottom w:val="single" w:color="000000" w:sz="4" w:space="0"/>
              <w:right w:val="single" w:color="000000" w:sz="4" w:space="0"/>
            </w:tcBorders>
            <w:noWrap/>
            <w:vAlign w:val="center"/>
          </w:tcPr>
          <w:p w14:paraId="60BE4ED3">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r>
      <w:tr w14:paraId="244A0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2" w:hRule="atLeast"/>
        </w:trPr>
        <w:tc>
          <w:tcPr>
            <w:tcW w:w="407" w:type="pct"/>
            <w:tcBorders>
              <w:top w:val="single" w:color="000000" w:sz="4" w:space="0"/>
              <w:left w:val="single" w:color="000000" w:sz="4" w:space="0"/>
              <w:bottom w:val="single" w:color="000000" w:sz="4" w:space="0"/>
              <w:right w:val="single" w:color="000000" w:sz="4" w:space="0"/>
            </w:tcBorders>
            <w:noWrap/>
            <w:vAlign w:val="center"/>
          </w:tcPr>
          <w:p w14:paraId="1D91CD90">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ign w:val="center"/>
          </w:tcPr>
          <w:p w14:paraId="4C78F02D">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673D2BB8">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516C2E6">
            <w:pPr>
              <w:keepNext w:val="0"/>
              <w:keepLines w:val="0"/>
              <w:pageBreakBefore w:val="0"/>
              <w:widowControl/>
              <w:suppressLineNumbers w:val="0"/>
              <w:kinsoku/>
              <w:wordWrap/>
              <w:overflowPunct/>
              <w:topLinePunct w:val="0"/>
              <w:autoSpaceDE/>
              <w:autoSpaceDN/>
              <w:bidi w:val="0"/>
              <w:spacing w:line="580" w:lineRule="exact"/>
              <w:jc w:val="left"/>
              <w:textAlignment w:val="center"/>
              <w:rPr>
                <w:rFonts w:hint="eastAsia" w:ascii="宋体" w:hAnsi="宋体" w:eastAsia="宋体" w:cs="宋体"/>
                <w:i w:val="0"/>
                <w:iCs w:val="0"/>
                <w:color w:val="auto"/>
                <w:sz w:val="22"/>
                <w:szCs w:val="22"/>
                <w:highlight w:val="none"/>
                <w:u w:val="none"/>
              </w:rPr>
            </w:pPr>
          </w:p>
        </w:tc>
        <w:tc>
          <w:tcPr>
            <w:tcW w:w="428" w:type="pct"/>
            <w:tcBorders>
              <w:top w:val="single" w:color="000000" w:sz="4" w:space="0"/>
              <w:left w:val="single" w:color="000000" w:sz="4" w:space="0"/>
              <w:bottom w:val="single" w:color="000000" w:sz="4" w:space="0"/>
              <w:right w:val="single" w:color="000000" w:sz="4" w:space="0"/>
            </w:tcBorders>
            <w:noWrap/>
            <w:vAlign w:val="center"/>
          </w:tcPr>
          <w:p w14:paraId="05336543">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586" w:type="pct"/>
            <w:tcBorders>
              <w:top w:val="single" w:color="000000" w:sz="4" w:space="0"/>
              <w:left w:val="single" w:color="000000" w:sz="4" w:space="0"/>
              <w:right w:val="single" w:color="000000" w:sz="4" w:space="0"/>
            </w:tcBorders>
            <w:noWrap/>
            <w:vAlign w:val="center"/>
          </w:tcPr>
          <w:p w14:paraId="3BA8275E">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503" w:type="pct"/>
            <w:tcBorders>
              <w:top w:val="single" w:color="000000" w:sz="4" w:space="0"/>
              <w:left w:val="single" w:color="000000" w:sz="4" w:space="0"/>
              <w:right w:val="single" w:color="000000" w:sz="4" w:space="0"/>
            </w:tcBorders>
            <w:noWrap/>
            <w:vAlign w:val="center"/>
          </w:tcPr>
          <w:p w14:paraId="1BC67762">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857" w:type="pct"/>
            <w:tcBorders>
              <w:top w:val="single" w:color="000000" w:sz="4" w:space="0"/>
              <w:left w:val="single" w:color="000000" w:sz="4" w:space="0"/>
              <w:bottom w:val="single" w:color="000000" w:sz="4" w:space="0"/>
              <w:right w:val="single" w:color="000000" w:sz="4" w:space="0"/>
            </w:tcBorders>
            <w:noWrap/>
            <w:vAlign w:val="center"/>
          </w:tcPr>
          <w:p w14:paraId="0C6AB1E3">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r>
      <w:tr w14:paraId="44AB4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07" w:type="pct"/>
            <w:tcBorders>
              <w:top w:val="single" w:color="000000" w:sz="4" w:space="0"/>
              <w:left w:val="single" w:color="000000" w:sz="4" w:space="0"/>
              <w:bottom w:val="single" w:color="000000" w:sz="4" w:space="0"/>
              <w:right w:val="single" w:color="000000" w:sz="4" w:space="0"/>
            </w:tcBorders>
            <w:noWrap/>
            <w:vAlign w:val="center"/>
          </w:tcPr>
          <w:p w14:paraId="0B593A42">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665" w:type="pct"/>
            <w:tcBorders>
              <w:top w:val="single" w:color="000000" w:sz="4" w:space="0"/>
              <w:left w:val="single" w:color="000000" w:sz="4" w:space="0"/>
              <w:bottom w:val="single" w:color="000000" w:sz="4" w:space="0"/>
              <w:right w:val="single" w:color="000000" w:sz="4" w:space="0"/>
            </w:tcBorders>
            <w:noWrap/>
            <w:vAlign w:val="center"/>
          </w:tcPr>
          <w:p w14:paraId="31D0C7C9">
            <w:pPr>
              <w:keepNext w:val="0"/>
              <w:keepLines w:val="0"/>
              <w:pageBreakBefore w:val="0"/>
              <w:widowControl/>
              <w:suppressLineNumbers w:val="0"/>
              <w:kinsoku/>
              <w:wordWrap/>
              <w:overflowPunct/>
              <w:topLinePunct w:val="0"/>
              <w:autoSpaceDE/>
              <w:autoSpaceDN/>
              <w:bidi w:val="0"/>
              <w:spacing w:line="580" w:lineRule="exact"/>
              <w:jc w:val="left"/>
              <w:textAlignment w:val="center"/>
              <w:rPr>
                <w:rFonts w:hint="eastAsia" w:ascii="宋体" w:hAnsi="宋体" w:eastAsia="宋体" w:cs="宋体"/>
                <w:i w:val="0"/>
                <w:iCs w:val="0"/>
                <w:color w:val="auto"/>
                <w:sz w:val="22"/>
                <w:szCs w:val="22"/>
                <w:highlight w:val="none"/>
                <w:u w:val="none"/>
              </w:rPr>
            </w:pP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49B2ABFD">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9851EF6">
            <w:pPr>
              <w:keepNext w:val="0"/>
              <w:keepLines w:val="0"/>
              <w:pageBreakBefore w:val="0"/>
              <w:widowControl/>
              <w:suppressLineNumbers w:val="0"/>
              <w:kinsoku/>
              <w:wordWrap/>
              <w:overflowPunct/>
              <w:topLinePunct w:val="0"/>
              <w:autoSpaceDE/>
              <w:autoSpaceDN/>
              <w:bidi w:val="0"/>
              <w:spacing w:line="580" w:lineRule="exact"/>
              <w:jc w:val="left"/>
              <w:textAlignment w:val="center"/>
              <w:rPr>
                <w:rFonts w:hint="eastAsia" w:ascii="宋体" w:hAnsi="宋体" w:eastAsia="宋体" w:cs="宋体"/>
                <w:i w:val="0"/>
                <w:iCs w:val="0"/>
                <w:color w:val="auto"/>
                <w:sz w:val="22"/>
                <w:szCs w:val="22"/>
                <w:highlight w:val="none"/>
                <w:u w:val="none"/>
              </w:rPr>
            </w:pPr>
          </w:p>
        </w:tc>
        <w:tc>
          <w:tcPr>
            <w:tcW w:w="428" w:type="pct"/>
            <w:tcBorders>
              <w:top w:val="single" w:color="000000" w:sz="4" w:space="0"/>
              <w:left w:val="single" w:color="000000" w:sz="4" w:space="0"/>
              <w:bottom w:val="single" w:color="000000" w:sz="4" w:space="0"/>
              <w:right w:val="single" w:color="000000" w:sz="4" w:space="0"/>
            </w:tcBorders>
            <w:noWrap/>
            <w:vAlign w:val="center"/>
          </w:tcPr>
          <w:p w14:paraId="33DB455B">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34574551">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503" w:type="pct"/>
            <w:tcBorders>
              <w:top w:val="single" w:color="000000" w:sz="4" w:space="0"/>
              <w:left w:val="single" w:color="000000" w:sz="4" w:space="0"/>
              <w:bottom w:val="single" w:color="000000" w:sz="4" w:space="0"/>
              <w:right w:val="single" w:color="000000" w:sz="4" w:space="0"/>
            </w:tcBorders>
            <w:noWrap/>
            <w:vAlign w:val="center"/>
          </w:tcPr>
          <w:p w14:paraId="3739EF29">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c>
          <w:tcPr>
            <w:tcW w:w="857" w:type="pct"/>
            <w:tcBorders>
              <w:top w:val="single" w:color="000000" w:sz="4" w:space="0"/>
              <w:left w:val="single" w:color="000000" w:sz="4" w:space="0"/>
              <w:bottom w:val="single" w:color="000000" w:sz="4" w:space="0"/>
              <w:right w:val="single" w:color="000000" w:sz="4" w:space="0"/>
            </w:tcBorders>
            <w:noWrap/>
            <w:vAlign w:val="center"/>
          </w:tcPr>
          <w:p w14:paraId="720327B8">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eastAsia" w:ascii="宋体" w:hAnsi="宋体" w:eastAsia="宋体" w:cs="宋体"/>
                <w:i w:val="0"/>
                <w:iCs w:val="0"/>
                <w:color w:val="auto"/>
                <w:sz w:val="22"/>
                <w:szCs w:val="22"/>
                <w:highlight w:val="none"/>
                <w:u w:val="none"/>
              </w:rPr>
            </w:pPr>
          </w:p>
        </w:tc>
      </w:tr>
      <w:tr w14:paraId="74D7A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07" w:type="pct"/>
            <w:tcBorders>
              <w:top w:val="single" w:color="000000" w:sz="4" w:space="0"/>
              <w:left w:val="single" w:color="000000" w:sz="4" w:space="0"/>
              <w:bottom w:val="single" w:color="000000" w:sz="4" w:space="0"/>
              <w:right w:val="single" w:color="000000" w:sz="4" w:space="0"/>
            </w:tcBorders>
            <w:noWrap/>
            <w:vAlign w:val="center"/>
          </w:tcPr>
          <w:p w14:paraId="1ADA3A84">
            <w:pPr>
              <w:keepNext w:val="0"/>
              <w:keepLines w:val="0"/>
              <w:pageBreakBefore w:val="0"/>
              <w:widowControl/>
              <w:suppressLineNumbers w:val="0"/>
              <w:kinsoku/>
              <w:wordWrap/>
              <w:overflowPunct/>
              <w:topLinePunct w:val="0"/>
              <w:autoSpaceDE/>
              <w:autoSpaceDN/>
              <w:bidi w:val="0"/>
              <w:spacing w:line="580" w:lineRule="exac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合计</w:t>
            </w:r>
          </w:p>
        </w:tc>
        <w:tc>
          <w:tcPr>
            <w:tcW w:w="3734" w:type="pct"/>
            <w:gridSpan w:val="6"/>
            <w:tcBorders>
              <w:top w:val="single" w:color="000000" w:sz="4" w:space="0"/>
              <w:left w:val="single" w:color="000000" w:sz="4" w:space="0"/>
              <w:bottom w:val="single" w:color="000000" w:sz="4" w:space="0"/>
              <w:right w:val="single" w:color="000000" w:sz="4" w:space="0"/>
            </w:tcBorders>
            <w:noWrap/>
            <w:vAlign w:val="center"/>
          </w:tcPr>
          <w:p w14:paraId="395FBB73">
            <w:pPr>
              <w:keepNext w:val="0"/>
              <w:keepLines w:val="0"/>
              <w:pageBreakBefore w:val="0"/>
              <w:widowControl/>
              <w:suppressLineNumbers w:val="0"/>
              <w:kinsoku/>
              <w:wordWrap/>
              <w:overflowPunct/>
              <w:topLinePunct w:val="0"/>
              <w:autoSpaceDE/>
              <w:autoSpaceDN/>
              <w:bidi w:val="0"/>
              <w:spacing w:line="580" w:lineRule="exact"/>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￥元</w:t>
            </w:r>
          </w:p>
        </w:tc>
        <w:tc>
          <w:tcPr>
            <w:tcW w:w="857" w:type="pct"/>
            <w:tcBorders>
              <w:top w:val="single" w:color="000000" w:sz="4" w:space="0"/>
              <w:left w:val="single" w:color="000000" w:sz="4" w:space="0"/>
              <w:bottom w:val="single" w:color="000000" w:sz="4" w:space="0"/>
              <w:right w:val="single" w:color="000000" w:sz="4" w:space="0"/>
            </w:tcBorders>
            <w:noWrap/>
            <w:vAlign w:val="center"/>
          </w:tcPr>
          <w:p w14:paraId="3BE7AF67">
            <w:pPr>
              <w:keepNext w:val="0"/>
              <w:keepLines w:val="0"/>
              <w:pageBreakBefore w:val="0"/>
              <w:kinsoku/>
              <w:wordWrap/>
              <w:overflowPunct/>
              <w:topLinePunct w:val="0"/>
              <w:autoSpaceDE/>
              <w:autoSpaceDN/>
              <w:bidi w:val="0"/>
              <w:spacing w:line="580" w:lineRule="exact"/>
              <w:jc w:val="center"/>
              <w:rPr>
                <w:rFonts w:hint="eastAsia" w:ascii="宋体" w:hAnsi="宋体" w:eastAsia="宋体" w:cs="宋体"/>
                <w:i w:val="0"/>
                <w:iCs w:val="0"/>
                <w:color w:val="auto"/>
                <w:sz w:val="22"/>
                <w:szCs w:val="22"/>
                <w:highlight w:val="none"/>
                <w:u w:val="none"/>
              </w:rPr>
            </w:pPr>
          </w:p>
        </w:tc>
      </w:tr>
    </w:tbl>
    <w:p w14:paraId="14408DF9">
      <w:pPr>
        <w:pStyle w:val="11"/>
        <w:keepNext w:val="0"/>
        <w:keepLines w:val="0"/>
        <w:pageBreakBefore w:val="0"/>
        <w:widowControl w:val="0"/>
        <w:kinsoku/>
        <w:wordWrap/>
        <w:overflowPunct/>
        <w:topLinePunct w:val="0"/>
        <w:autoSpaceDE/>
        <w:autoSpaceDN/>
        <w:bidi w:val="0"/>
        <w:snapToGrid w:val="0"/>
        <w:spacing w:before="0" w:beforeAutospacing="0" w:after="0" w:afterAutospacing="0" w:line="580" w:lineRule="exact"/>
        <w:jc w:val="both"/>
        <w:rPr>
          <w:rFonts w:hint="eastAsia" w:ascii="宋体" w:hAnsi="宋体" w:eastAsia="宋体" w:cs="宋体"/>
          <w:color w:val="auto"/>
          <w:highlight w:val="none"/>
        </w:rPr>
      </w:pPr>
    </w:p>
    <w:p w14:paraId="137AD5E4">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eastAsia="宋体"/>
          <w:color w:val="auto"/>
          <w:highlight w:val="none"/>
          <w:u w:val="single"/>
          <w:lang w:val="en-US" w:eastAsia="zh-CN"/>
        </w:rPr>
      </w:pPr>
      <w:r>
        <w:rPr>
          <w:rFonts w:hint="eastAsia" w:ascii="宋体" w:hAnsi="宋体" w:eastAsia="宋体" w:cs="宋体"/>
          <w:color w:val="auto"/>
          <w:highlight w:val="none"/>
        </w:rPr>
        <w:t>1.4 履行时间（期限）：</w:t>
      </w:r>
      <w:r>
        <w:rPr>
          <w:rFonts w:hint="eastAsia" w:ascii="宋体" w:hAnsi="宋体" w:eastAsia="宋体" w:cs="宋体"/>
          <w:color w:val="auto"/>
          <w:sz w:val="24"/>
          <w:szCs w:val="24"/>
          <w:highlight w:val="none"/>
          <w:u w:val="single"/>
          <w:lang w:val="en-US" w:eastAsia="zh-CN"/>
        </w:rPr>
        <w:t xml:space="preserve">                                                          </w:t>
      </w:r>
    </w:p>
    <w:p w14:paraId="1E484A55">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eastAsia="宋体"/>
          <w:color w:val="auto"/>
          <w:highlight w:val="none"/>
          <w:u w:val="single"/>
          <w:lang w:val="en-US" w:eastAsia="zh-CN"/>
        </w:rPr>
      </w:pPr>
      <w:r>
        <w:rPr>
          <w:rFonts w:hint="eastAsia" w:ascii="宋体" w:hAnsi="宋体" w:eastAsia="宋体" w:cs="宋体"/>
          <w:color w:val="auto"/>
          <w:highlight w:val="none"/>
        </w:rPr>
        <w:t>1.5 履行地点：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highlight w:val="none"/>
          <w:u w:val="single"/>
          <w:lang w:val="en-US" w:eastAsia="zh-CN"/>
        </w:rPr>
        <w:t xml:space="preserve">                              </w:t>
      </w:r>
    </w:p>
    <w:p w14:paraId="26F60537">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eastAsia="宋体"/>
          <w:color w:val="auto"/>
          <w:highlight w:val="none"/>
          <w:u w:val="single"/>
          <w:lang w:val="en-US" w:eastAsia="zh-CN"/>
        </w:rPr>
      </w:pPr>
      <w:r>
        <w:rPr>
          <w:rFonts w:hint="eastAsia" w:ascii="宋体" w:hAnsi="宋体" w:eastAsia="宋体" w:cs="宋体"/>
          <w:color w:val="auto"/>
          <w:highlight w:val="none"/>
        </w:rPr>
        <w:t>1.6 履行方式：</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                                                               </w:t>
      </w:r>
    </w:p>
    <w:p w14:paraId="210D4333">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4F951B1D">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2.1 本合同金额为（大写）：</w:t>
      </w:r>
      <w:r>
        <w:rPr>
          <w:rFonts w:hint="eastAsia" w:cs="宋体"/>
          <w:color w:val="auto"/>
          <w:highlight w:val="none"/>
          <w:u w:val="single"/>
          <w:lang w:val="en-US" w:eastAsia="zh-CN"/>
        </w:rPr>
        <w:t xml:space="preserve">             </w:t>
      </w:r>
      <w:r>
        <w:rPr>
          <w:rFonts w:hint="eastAsia" w:ascii="宋体" w:hAnsi="宋体" w:eastAsia="宋体" w:cs="宋体"/>
          <w:color w:val="auto"/>
          <w:highlight w:val="none"/>
          <w:lang w:val="en-US" w:eastAsia="zh-CN"/>
        </w:rPr>
        <w:t>元整</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元）人民币或其他币种</w:t>
      </w:r>
      <w:r>
        <w:rPr>
          <w:rFonts w:hint="eastAsia" w:ascii="宋体" w:hAnsi="宋体" w:eastAsia="宋体" w:cs="宋体"/>
          <w:color w:val="auto"/>
          <w:highlight w:val="none"/>
          <w:lang w:val="en-US" w:eastAsia="zh-CN"/>
        </w:rPr>
        <w:t>。</w:t>
      </w:r>
    </w:p>
    <w:p w14:paraId="328B8222">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6ED75801">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3.1乙方应按招标文件规定的时间向甲方提供使用货物(包含与货物相关的服务)的有关技术资料。</w:t>
      </w:r>
    </w:p>
    <w:p w14:paraId="13BF89E7">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1DF306">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3D16615A">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ascii="Times New Roman" w:hAnsi="Times New Roman"/>
          <w:color w:val="auto"/>
          <w:highlight w:val="none"/>
        </w:rPr>
        <w:t>4.1乙</w:t>
      </w:r>
      <w:r>
        <w:rPr>
          <w:rFonts w:hint="eastAsia" w:ascii="宋体" w:hAnsi="宋体" w:eastAsia="宋体" w:cs="宋体"/>
          <w:color w:val="auto"/>
          <w:highlight w:val="none"/>
        </w:rPr>
        <w:t>方应保证甲方在使用、接受本合同货物</w:t>
      </w:r>
      <w:r>
        <w:rPr>
          <w:rFonts w:ascii="Times New Roman" w:hAnsi="Times New Roman"/>
          <w:color w:val="auto"/>
          <w:highlight w:val="none"/>
        </w:rPr>
        <w:t>（包含与货物相关的服务）</w:t>
      </w:r>
      <w:r>
        <w:rPr>
          <w:rFonts w:hint="eastAsia" w:ascii="宋体" w:hAnsi="宋体" w:eastAsia="宋体" w:cs="宋体"/>
          <w:color w:val="auto"/>
          <w:highlight w:val="none"/>
        </w:rPr>
        <w:t>或其任何一部分时不受第三方提出侵犯其专利权、版权、商标权和工业设计权等知识产权的起诉。一旦出现侵权，由乙方负全部责任。</w:t>
      </w:r>
    </w:p>
    <w:p w14:paraId="35009A26">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五、产权担保</w:t>
      </w:r>
    </w:p>
    <w:p w14:paraId="1B4D283D">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5.1 乙方保证所交付的货物（包含与货物相关的服务）的所有权完全属于乙方且无任何抵押、查封等产权瑕疵。</w:t>
      </w:r>
    </w:p>
    <w:p w14:paraId="7A3A54E8">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六、</w:t>
      </w:r>
      <w:r>
        <w:rPr>
          <w:rFonts w:hint="eastAsia" w:ascii="宋体" w:hAnsi="宋体" w:eastAsia="宋体" w:cs="宋体"/>
          <w:b/>
          <w:color w:val="auto"/>
          <w:sz w:val="24"/>
          <w:szCs w:val="24"/>
          <w:highlight w:val="none"/>
          <w:lang w:val="en-US" w:eastAsia="zh-CN"/>
        </w:rPr>
        <w:t>履约保证金的缴纳形式：</w:t>
      </w:r>
    </w:p>
    <w:p w14:paraId="1F545D2C">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6.1 乙方交纳人民币</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元作为本合同的履约保证金。</w:t>
      </w:r>
    </w:p>
    <w:p w14:paraId="510CFCD0">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eastAsiaTheme="minorEastAsia"/>
          <w:bCs/>
          <w:color w:val="auto"/>
          <w:sz w:val="24"/>
          <w:highlight w:val="none"/>
          <w:lang w:eastAsia="zh-CN"/>
        </w:rPr>
      </w:pPr>
      <w:r>
        <w:rPr>
          <w:rFonts w:hint="eastAsia" w:ascii="宋体" w:hAnsi="宋体" w:cs="黑体"/>
          <w:bCs/>
          <w:color w:val="auto"/>
          <w:sz w:val="24"/>
          <w:highlight w:val="none"/>
        </w:rPr>
        <w:t>备注：合同金额的10%，鼓励招标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cs="黑体"/>
          <w:bCs/>
          <w:color w:val="auto"/>
          <w:sz w:val="24"/>
          <w:highlight w:val="none"/>
          <w:lang w:eastAsia="zh-CN"/>
        </w:rPr>
        <w:t>。</w:t>
      </w:r>
    </w:p>
    <w:p w14:paraId="7A4B875C">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cs="黑体"/>
          <w:bCs/>
          <w:color w:val="auto"/>
          <w:sz w:val="24"/>
          <w:highlight w:val="none"/>
        </w:rPr>
      </w:pPr>
      <w:r>
        <w:rPr>
          <w:rFonts w:hint="eastAsia" w:ascii="宋体" w:hAnsi="宋体" w:cs="黑体"/>
          <w:bCs/>
          <w:color w:val="auto"/>
          <w:sz w:val="24"/>
          <w:highlight w:val="none"/>
        </w:rPr>
        <w:t>6.2履约保证金的缴纳形式：</w:t>
      </w:r>
    </w:p>
    <w:p w14:paraId="3E94BF6B">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cs="黑体"/>
          <w:bCs/>
          <w:color w:val="auto"/>
          <w:sz w:val="24"/>
          <w:highlight w:val="none"/>
        </w:rPr>
      </w:pPr>
      <w:r>
        <w:rPr>
          <w:rFonts w:hint="eastAsia" w:ascii="宋体" w:hAnsi="宋体" w:cs="黑体"/>
          <w:bCs/>
          <w:color w:val="auto"/>
          <w:sz w:val="24"/>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B805465">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cs="黑体"/>
          <w:bCs/>
          <w:color w:val="auto"/>
          <w:sz w:val="24"/>
          <w:highlight w:val="none"/>
        </w:rPr>
      </w:pPr>
      <w:r>
        <w:rPr>
          <w:rFonts w:hint="eastAsia" w:ascii="宋体" w:hAnsi="宋体" w:cs="黑体"/>
          <w:bCs/>
          <w:color w:val="auto"/>
          <w:sz w:val="24"/>
          <w:highlight w:val="none"/>
        </w:rPr>
        <w:t>6.2.2 如以履约保函（保险）形式缴纳履约保证金，供应商可通过政府采购电子履约保函（保险）平台（www.jsdzbh.com）在线申请履约保函（保险）。</w:t>
      </w:r>
    </w:p>
    <w:p w14:paraId="35328F71">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ascii="宋体" w:hAnsi="宋体" w:cs="黑体" w:eastAsiaTheme="minorEastAsia"/>
          <w:bCs/>
          <w:color w:val="auto"/>
          <w:sz w:val="24"/>
          <w:highlight w:val="none"/>
          <w:lang w:val="en-US" w:eastAsia="zh-CN"/>
        </w:rPr>
      </w:pPr>
      <w:r>
        <w:rPr>
          <w:rFonts w:hint="eastAsia" w:ascii="宋体" w:hAnsi="宋体" w:cs="黑体"/>
          <w:bCs/>
          <w:color w:val="auto"/>
          <w:sz w:val="24"/>
          <w:highlight w:val="none"/>
          <w:u w:val="none"/>
        </w:rPr>
        <w:t>6.3合同履行结束后，甲方应及时退还交纳的履约保证金。</w:t>
      </w:r>
      <w:r>
        <w:rPr>
          <w:rFonts w:hint="eastAsia" w:ascii="宋体" w:hAnsi="宋体" w:cs="黑体"/>
          <w:bCs/>
          <w:color w:val="auto"/>
          <w:sz w:val="24"/>
          <w:highlight w:val="none"/>
          <w:u w:val="none"/>
          <w:lang w:val="en-US" w:eastAsia="zh-CN"/>
        </w:rPr>
        <w:t xml:space="preserve">                </w:t>
      </w:r>
      <w:r>
        <w:rPr>
          <w:rFonts w:hint="eastAsia" w:ascii="宋体" w:hAnsi="宋体" w:cs="黑体"/>
          <w:bCs/>
          <w:color w:val="auto"/>
          <w:sz w:val="24"/>
          <w:highlight w:val="none"/>
          <w:u w:val="single"/>
          <w:lang w:val="en-US" w:eastAsia="zh-CN"/>
        </w:rPr>
        <w:t xml:space="preserve">        </w:t>
      </w:r>
    </w:p>
    <w:p w14:paraId="6FB5B97D">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cs="黑体"/>
          <w:bCs/>
          <w:color w:val="auto"/>
          <w:sz w:val="24"/>
          <w:highlight w:val="none"/>
        </w:rPr>
      </w:pPr>
      <w:r>
        <w:rPr>
          <w:rFonts w:hint="eastAsia" w:ascii="宋体" w:hAnsi="宋体" w:cs="黑体"/>
          <w:bCs/>
          <w:color w:val="auto"/>
          <w:sz w:val="24"/>
          <w:highlight w:val="none"/>
        </w:rPr>
        <w:t>6.4履约保证金的退还：</w:t>
      </w:r>
    </w:p>
    <w:p w14:paraId="2999EFA4">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6.4.1方式：无息退还至投标人缴纳履约保证金的账户。如为保函，在到期时自行失效。</w:t>
      </w:r>
    </w:p>
    <w:p w14:paraId="118B2A8B">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u w:val="none"/>
        </w:rPr>
      </w:pPr>
      <w:r>
        <w:rPr>
          <w:rFonts w:hint="eastAsia" w:ascii="宋体" w:hAnsi="宋体" w:cs="黑体"/>
          <w:bCs/>
          <w:color w:val="auto"/>
          <w:sz w:val="24"/>
          <w:highlight w:val="none"/>
          <w:u w:val="none"/>
        </w:rPr>
        <w:t>6.4.2时间：验收合格且招标人收到发票后30日内。</w:t>
      </w:r>
    </w:p>
    <w:p w14:paraId="22EBC04F">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6.4.3条件：按合同要求全部履约完成并经招标人验收合格，且招标人收到中标人出具的发票。</w:t>
      </w:r>
    </w:p>
    <w:p w14:paraId="493D57D0">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6.4.4不予退还情形：</w:t>
      </w:r>
    </w:p>
    <w:p w14:paraId="515E9A7B">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除不可抗力情况外，投标人出现下列情形之一的，其履约保证金，招标人将视情节决定不予退还或部分不予退还。</w:t>
      </w:r>
    </w:p>
    <w:p w14:paraId="35594B4F">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（1）中标人无正当理由拒绝签订合同的，或者在签订合同时向招标人提出附加条件或者更改合同实质性内容要求的；</w:t>
      </w:r>
    </w:p>
    <w:p w14:paraId="3DAADB62">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（2）中标人不履行与招标人订立的合同的；</w:t>
      </w:r>
    </w:p>
    <w:p w14:paraId="5EAF1597">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（3）中标人所供货物或服务不符合招标文件规定要求的；</w:t>
      </w:r>
    </w:p>
    <w:p w14:paraId="7DDC3DA2">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（4）中标人采取欺骗、弄虚作假方式投标的或与其它投标人串通投标的；</w:t>
      </w:r>
    </w:p>
    <w:p w14:paraId="053572C1">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（5）中标人将合同内容转包、违法分包的；</w:t>
      </w:r>
    </w:p>
    <w:p w14:paraId="6E80162D">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（6）中标人故意捏造事实或伪造证明材料，进行虚假恶意投诉或反映的。</w:t>
      </w:r>
    </w:p>
    <w:p w14:paraId="42DFA1CD">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宋体" w:hAnsi="宋体" w:cs="黑体"/>
          <w:bCs/>
          <w:color w:val="auto"/>
          <w:sz w:val="24"/>
          <w:highlight w:val="none"/>
        </w:rPr>
      </w:pPr>
      <w:r>
        <w:rPr>
          <w:rFonts w:hint="eastAsia" w:ascii="宋体" w:hAnsi="宋体" w:cs="黑体"/>
          <w:bCs/>
          <w:color w:val="auto"/>
          <w:sz w:val="24"/>
          <w:highlight w:val="none"/>
        </w:rPr>
        <w:t>6.4.5逾期退还的违约责任：招标人逾期无故未退还履约保证金的，按中国人民银行同期贷款基准利率上浮20%后的利率支付超期资金占用费，但因供应商自身原因导致无法及时退还的除外。</w:t>
      </w:r>
    </w:p>
    <w:p w14:paraId="125183C9">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、合同转包或分包</w:t>
      </w:r>
    </w:p>
    <w:p w14:paraId="4DB3B934">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.1乙方不得将合同标的转包给他人履行。</w:t>
      </w:r>
    </w:p>
    <w:p w14:paraId="76630C1B">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.2乙方不得将合同标的分包给他人履行。</w:t>
      </w:r>
    </w:p>
    <w:p w14:paraId="097911F8">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.3乙方如有转包或未经甲方同意的分包行为，甲方有权给予终止合同。</w:t>
      </w:r>
    </w:p>
    <w:p w14:paraId="741F24E7">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、合同款项支付</w:t>
      </w:r>
    </w:p>
    <w:p w14:paraId="0BE5943B">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w:t>
      </w:r>
      <w:r>
        <w:rPr>
          <w:rFonts w:hint="eastAsia" w:ascii="宋体" w:hAnsi="宋体" w:eastAsia="宋体" w:cs="宋体"/>
          <w:color w:val="auto"/>
          <w:highlight w:val="none"/>
          <w:u w:val="single"/>
          <w:lang w:val="en-US" w:eastAsia="zh-CN"/>
        </w:rPr>
        <w:t>合同签订后7日内，招标人向中标人</w:t>
      </w:r>
      <w:r>
        <w:rPr>
          <w:rFonts w:hint="eastAsia" w:ascii="宋体" w:hAnsi="宋体" w:eastAsia="宋体" w:cs="宋体"/>
          <w:color w:val="auto"/>
          <w:highlight w:val="none"/>
          <w:u w:val="single"/>
        </w:rPr>
        <w:t>支付合同价的</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预付</w:t>
      </w:r>
      <w:r>
        <w:rPr>
          <w:rFonts w:hint="eastAsia" w:ascii="宋体" w:hAnsi="宋体" w:eastAsia="宋体" w:cs="宋体"/>
          <w:color w:val="auto"/>
          <w:highlight w:val="none"/>
          <w:u w:val="single"/>
        </w:rPr>
        <w:t>款；供应商明确表示无需预付款或者主动要求降低预付款比例的由双方另行商定</w:t>
      </w:r>
      <w:r>
        <w:rPr>
          <w:rFonts w:hint="eastAsia" w:ascii="宋体" w:hAnsi="宋体" w:eastAsia="宋体" w:cs="宋体"/>
          <w:color w:val="auto"/>
          <w:highlight w:val="none"/>
          <w:u w:val="single"/>
          <w:lang w:val="en-US" w:eastAsia="zh-CN"/>
        </w:rPr>
        <w:t>并出具书面材料</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78F12BC4">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2）</w:t>
      </w:r>
      <w:r>
        <w:rPr>
          <w:rFonts w:hint="eastAsia" w:ascii="宋体" w:hAnsi="宋体" w:eastAsia="宋体" w:cs="宋体"/>
          <w:color w:val="auto"/>
          <w:highlight w:val="none"/>
          <w:u w:val="single"/>
          <w:lang w:val="en-US" w:eastAsia="zh-CN"/>
        </w:rPr>
        <w:t>项目</w:t>
      </w:r>
      <w:r>
        <w:rPr>
          <w:rFonts w:hint="eastAsia" w:ascii="宋体" w:hAnsi="宋体" w:eastAsia="宋体" w:cs="宋体"/>
          <w:color w:val="auto"/>
          <w:highlight w:val="none"/>
          <w:u w:val="single"/>
        </w:rPr>
        <w:t>竣工</w:t>
      </w:r>
      <w:r>
        <w:rPr>
          <w:rFonts w:hint="eastAsia" w:ascii="宋体" w:hAnsi="宋体" w:eastAsia="宋体" w:cs="宋体"/>
          <w:color w:val="auto"/>
          <w:highlight w:val="none"/>
          <w:u w:val="single"/>
          <w:lang w:val="en-US" w:eastAsia="zh-CN"/>
        </w:rPr>
        <w:t>验收合格</w:t>
      </w:r>
      <w:r>
        <w:rPr>
          <w:rFonts w:hint="eastAsia" w:ascii="宋体" w:hAnsi="宋体" w:eastAsia="宋体" w:cs="宋体"/>
          <w:color w:val="auto"/>
          <w:highlight w:val="none"/>
          <w:u w:val="single"/>
        </w:rPr>
        <w:t>后</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付至合同价的</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0%</w:t>
      </w:r>
      <w:r>
        <w:rPr>
          <w:rFonts w:hint="eastAsia" w:ascii="宋体" w:hAnsi="宋体" w:eastAsia="宋体" w:cs="宋体"/>
          <w:color w:val="auto"/>
          <w:highlight w:val="none"/>
          <w:u w:val="single"/>
          <w:lang w:val="en-US" w:eastAsia="zh-CN"/>
        </w:rPr>
        <w:t>合同款</w:t>
      </w:r>
      <w:r>
        <w:rPr>
          <w:rFonts w:hint="eastAsia" w:ascii="宋体" w:hAnsi="宋体" w:eastAsia="宋体" w:cs="宋体"/>
          <w:color w:val="auto"/>
          <w:highlight w:val="none"/>
          <w:u w:val="single"/>
        </w:rPr>
        <w:t>（包括以前支付</w:t>
      </w:r>
      <w:r>
        <w:rPr>
          <w:rFonts w:hint="eastAsia" w:ascii="宋体" w:hAnsi="宋体" w:eastAsia="宋体" w:cs="宋体"/>
          <w:color w:val="auto"/>
          <w:highlight w:val="none"/>
          <w:u w:val="single"/>
          <w:lang w:val="en-US" w:eastAsia="zh-CN"/>
        </w:rPr>
        <w:t>的预付款</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4198B0E5">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3）</w:t>
      </w:r>
      <w:r>
        <w:rPr>
          <w:rFonts w:hint="eastAsia" w:ascii="宋体" w:hAnsi="宋体" w:eastAsia="宋体" w:cs="宋体"/>
          <w:color w:val="auto"/>
          <w:highlight w:val="none"/>
          <w:u w:val="single"/>
          <w:lang w:val="en-US" w:eastAsia="zh-CN"/>
        </w:rPr>
        <w:t>项目</w:t>
      </w:r>
      <w:r>
        <w:rPr>
          <w:rFonts w:hint="eastAsia" w:ascii="宋体" w:hAnsi="宋体" w:eastAsia="宋体" w:cs="宋体"/>
          <w:color w:val="auto"/>
          <w:highlight w:val="none"/>
          <w:u w:val="single"/>
        </w:rPr>
        <w:t>竣工验收合格满一年，中标人完成（自竣工验收合格后之日起第一年）</w:t>
      </w:r>
      <w:r>
        <w:rPr>
          <w:rFonts w:hint="eastAsia" w:ascii="宋体" w:hAnsi="宋体" w:eastAsia="宋体" w:cs="宋体"/>
          <w:color w:val="auto"/>
          <w:highlight w:val="none"/>
          <w:u w:val="single"/>
          <w:lang w:val="en-US" w:eastAsia="zh-CN"/>
        </w:rPr>
        <w:t>质保</w:t>
      </w:r>
      <w:r>
        <w:rPr>
          <w:rFonts w:hint="eastAsia" w:ascii="宋体" w:hAnsi="宋体" w:eastAsia="宋体" w:cs="宋体"/>
          <w:color w:val="auto"/>
          <w:highlight w:val="none"/>
          <w:u w:val="single"/>
        </w:rPr>
        <w:t>服务工作，付至</w:t>
      </w:r>
      <w:r>
        <w:rPr>
          <w:rFonts w:hint="eastAsia" w:ascii="宋体" w:hAnsi="宋体" w:eastAsia="宋体" w:cs="宋体"/>
          <w:color w:val="auto"/>
          <w:highlight w:val="none"/>
          <w:u w:val="single"/>
          <w:lang w:val="en-US" w:eastAsia="zh-CN"/>
        </w:rPr>
        <w:t>合同</w:t>
      </w:r>
      <w:r>
        <w:rPr>
          <w:rFonts w:hint="eastAsia" w:ascii="宋体" w:hAnsi="宋体" w:eastAsia="宋体" w:cs="宋体"/>
          <w:color w:val="auto"/>
          <w:highlight w:val="none"/>
          <w:u w:val="single"/>
        </w:rPr>
        <w:t>价的 90%</w:t>
      </w:r>
      <w:r>
        <w:rPr>
          <w:rFonts w:hint="eastAsia" w:ascii="宋体" w:hAnsi="宋体" w:eastAsia="宋体" w:cs="宋体"/>
          <w:color w:val="auto"/>
          <w:highlight w:val="none"/>
          <w:u w:val="single"/>
          <w:lang w:val="en-US" w:eastAsia="zh-CN"/>
        </w:rPr>
        <w:t>款项</w:t>
      </w:r>
      <w:r>
        <w:rPr>
          <w:rFonts w:hint="eastAsia" w:ascii="宋体" w:hAnsi="宋体" w:eastAsia="宋体" w:cs="宋体"/>
          <w:color w:val="auto"/>
          <w:highlight w:val="none"/>
          <w:u w:val="single"/>
        </w:rPr>
        <w:t>（包括以前</w:t>
      </w:r>
      <w:r>
        <w:rPr>
          <w:rFonts w:hint="eastAsia" w:ascii="宋体" w:hAnsi="宋体" w:eastAsia="宋体" w:cs="宋体"/>
          <w:color w:val="auto"/>
          <w:highlight w:val="none"/>
          <w:u w:val="single"/>
          <w:lang w:val="en-US" w:eastAsia="zh-CN"/>
        </w:rPr>
        <w:t>已</w:t>
      </w:r>
      <w:r>
        <w:rPr>
          <w:rFonts w:hint="eastAsia" w:ascii="宋体" w:hAnsi="宋体" w:eastAsia="宋体" w:cs="宋体"/>
          <w:color w:val="auto"/>
          <w:highlight w:val="none"/>
          <w:u w:val="single"/>
        </w:rPr>
        <w:t>支付</w:t>
      </w:r>
      <w:r>
        <w:rPr>
          <w:rFonts w:hint="eastAsia" w:ascii="宋体" w:hAnsi="宋体" w:eastAsia="宋体" w:cs="宋体"/>
          <w:color w:val="auto"/>
          <w:highlight w:val="none"/>
          <w:u w:val="single"/>
          <w:lang w:val="en-US" w:eastAsia="zh-CN"/>
        </w:rPr>
        <w:t>的预付款、进度款</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76A57185">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4）自竣工验收合格之日起，中标人完成三年</w:t>
      </w:r>
      <w:r>
        <w:rPr>
          <w:rFonts w:hint="eastAsia" w:ascii="宋体" w:hAnsi="宋体" w:eastAsia="宋体" w:cs="宋体"/>
          <w:color w:val="auto"/>
          <w:highlight w:val="none"/>
          <w:u w:val="single"/>
          <w:lang w:val="en-US" w:eastAsia="zh-CN"/>
        </w:rPr>
        <w:t>质保</w:t>
      </w:r>
      <w:r>
        <w:rPr>
          <w:rFonts w:hint="eastAsia" w:ascii="宋体" w:hAnsi="宋体" w:eastAsia="宋体" w:cs="宋体"/>
          <w:color w:val="auto"/>
          <w:highlight w:val="none"/>
          <w:u w:val="single"/>
        </w:rPr>
        <w:t>服务工作，招标人结清剩余</w:t>
      </w:r>
      <w:r>
        <w:rPr>
          <w:rFonts w:hint="eastAsia" w:ascii="宋体" w:hAnsi="宋体" w:eastAsia="宋体" w:cs="宋体"/>
          <w:color w:val="auto"/>
          <w:highlight w:val="none"/>
          <w:u w:val="single"/>
          <w:lang w:val="en-US" w:eastAsia="zh-CN"/>
        </w:rPr>
        <w:t>款项</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592CB08F">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ascii="宋体" w:hAnsi="宋体" w:eastAsia="宋体" w:cs="宋体"/>
          <w:b w:val="0"/>
          <w:bCs w:val="0"/>
          <w:color w:val="auto"/>
          <w:kern w:val="0"/>
          <w:sz w:val="27"/>
          <w:szCs w:val="27"/>
          <w:highlight w:val="none"/>
          <w:lang w:val="en-US" w:eastAsia="zh-CN"/>
        </w:rPr>
      </w:pPr>
      <w:r>
        <w:rPr>
          <w:rFonts w:hint="eastAsia" w:ascii="宋体" w:hAnsi="宋体" w:eastAsia="宋体" w:cs="宋体"/>
          <w:color w:val="auto"/>
          <w:highlight w:val="none"/>
          <w:u w:val="single"/>
        </w:rPr>
        <w:t>5）按上述进度付款，无利息补偿；</w:t>
      </w:r>
      <w:r>
        <w:rPr>
          <w:rFonts w:hint="eastAsia" w:ascii="宋体" w:hAnsi="宋体" w:eastAsia="宋体" w:cs="宋体"/>
          <w:color w:val="auto"/>
          <w:highlight w:val="none"/>
          <w:u w:val="single"/>
          <w:lang w:val="en-US" w:eastAsia="zh-CN"/>
        </w:rPr>
        <w:t>质保期内</w:t>
      </w:r>
      <w:r>
        <w:rPr>
          <w:rFonts w:hint="eastAsia" w:ascii="宋体" w:hAnsi="宋体" w:eastAsia="宋体" w:cs="宋体"/>
          <w:color w:val="auto"/>
          <w:highlight w:val="none"/>
          <w:u w:val="single"/>
        </w:rPr>
        <w:t>需要返工、更换、维修、调试等所产生的各项费用由中标人承担，给招标人造成的各项损失在</w:t>
      </w:r>
      <w:r>
        <w:rPr>
          <w:rFonts w:hint="eastAsia" w:ascii="宋体" w:hAnsi="宋体" w:eastAsia="宋体" w:cs="宋体"/>
          <w:color w:val="auto"/>
          <w:highlight w:val="none"/>
          <w:u w:val="single"/>
          <w:lang w:val="en-US" w:eastAsia="zh-CN"/>
        </w:rPr>
        <w:t>合同款</w:t>
      </w:r>
      <w:r>
        <w:rPr>
          <w:rFonts w:hint="eastAsia" w:ascii="宋体" w:hAnsi="宋体" w:eastAsia="宋体" w:cs="宋体"/>
          <w:color w:val="auto"/>
          <w:highlight w:val="none"/>
          <w:u w:val="single"/>
        </w:rPr>
        <w:t>中扣除。</w:t>
      </w:r>
      <w:r>
        <w:rPr>
          <w:rFonts w:hint="eastAsia" w:ascii="宋体" w:hAnsi="宋体" w:eastAsia="宋体" w:cs="宋体"/>
          <w:color w:val="auto"/>
          <w:highlight w:val="none"/>
          <w:u w:val="single"/>
          <w:lang w:val="en-US" w:eastAsia="zh-CN"/>
        </w:rPr>
        <w:t xml:space="preserve">                                                                          </w:t>
      </w:r>
    </w:p>
    <w:p w14:paraId="44E124A9">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2" w:firstLineChars="200"/>
        <w:jc w:val="both"/>
        <w:textAlignment w:val="auto"/>
        <w:rPr>
          <w:rFonts w:hint="eastAsia" w:hAnsi="宋体" w:eastAsia="宋体" w:cs="Times New Roman"/>
          <w:b/>
          <w:bCs/>
          <w:color w:val="auto"/>
          <w:sz w:val="24"/>
          <w:szCs w:val="24"/>
          <w:highlight w:val="none"/>
          <w:u w:val="single"/>
        </w:rPr>
      </w:pPr>
    </w:p>
    <w:p w14:paraId="165F8649">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rPr>
        <w:t>、税费</w:t>
      </w:r>
    </w:p>
    <w:p w14:paraId="131412E0">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.1本合同执行中相关的一切税费均由乙方负担。</w:t>
      </w:r>
    </w:p>
    <w:p w14:paraId="60957BC0">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、质量保修范围和保修期及售后服务</w:t>
      </w:r>
    </w:p>
    <w:p w14:paraId="7813A154">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.1 乙方应按招标文件规定的货物性能、技术要求、质量标准向甲方提供未经使用的全新产品。</w:t>
      </w:r>
    </w:p>
    <w:p w14:paraId="272B26B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.2 乙方提供的货物在质量期内因货物本身的质量问题发生故障，乙方应负责免费更换。对达不到技术要求者，根据实际情况，经双方协商，可按以下办法处理：</w:t>
      </w:r>
    </w:p>
    <w:p w14:paraId="44A7FCC0">
      <w:pPr>
        <w:keepNext w:val="0"/>
        <w:keepLines w:val="0"/>
        <w:pageBreakBefore w:val="0"/>
        <w:widowControl w:val="0"/>
        <w:kinsoku/>
        <w:wordWrap/>
        <w:overflowPunct/>
        <w:topLinePunct w:val="0"/>
        <w:autoSpaceDE/>
        <w:autoSpaceDN/>
        <w:bidi w:val="0"/>
        <w:adjustRightInd/>
        <w:snapToGrid/>
        <w:spacing w:line="540" w:lineRule="exact"/>
        <w:ind w:left="0" w:leftChars="0" w:firstLine="360" w:firstLineChars="150"/>
        <w:textAlignment w:val="auto"/>
        <w:rPr>
          <w:color w:val="auto"/>
          <w:sz w:val="24"/>
          <w:szCs w:val="24"/>
          <w:highlight w:val="none"/>
        </w:rPr>
      </w:pPr>
      <w:r>
        <w:rPr>
          <w:rFonts w:hint="default" w:cs="Times New Roman" w:asciiTheme="minorHAnsi" w:hAnsiTheme="minorHAnsi" w:eastAsiaTheme="minorEastAsia"/>
          <w:color w:val="auto"/>
          <w:kern w:val="0"/>
          <w:sz w:val="24"/>
          <w:szCs w:val="24"/>
          <w:highlight w:val="none"/>
          <w:lang w:val="en-US" w:eastAsia="zh-CN" w:bidi="ar-SA"/>
        </w:rPr>
        <w:t>（1）</w:t>
      </w:r>
      <w:r>
        <w:rPr>
          <w:rFonts w:hint="eastAsia" w:ascii="宋体" w:hAnsi="宋体" w:eastAsia="宋体" w:cs="宋体"/>
          <w:color w:val="auto"/>
          <w:sz w:val="24"/>
          <w:szCs w:val="24"/>
          <w:highlight w:val="none"/>
        </w:rPr>
        <w:t>更换：由乙方承担所发生的全部费用。</w:t>
      </w:r>
    </w:p>
    <w:p w14:paraId="202AD189">
      <w:pPr>
        <w:keepNext w:val="0"/>
        <w:keepLines w:val="0"/>
        <w:pageBreakBefore w:val="0"/>
        <w:widowControl w:val="0"/>
        <w:kinsoku/>
        <w:wordWrap/>
        <w:overflowPunct/>
        <w:topLinePunct w:val="0"/>
        <w:autoSpaceDE/>
        <w:autoSpaceDN/>
        <w:bidi w:val="0"/>
        <w:adjustRightInd/>
        <w:snapToGrid/>
        <w:spacing w:line="540" w:lineRule="exact"/>
        <w:ind w:left="0" w:leftChars="0" w:firstLine="360" w:firstLineChars="150"/>
        <w:textAlignment w:val="auto"/>
        <w:rPr>
          <w:color w:val="auto"/>
          <w:sz w:val="24"/>
          <w:szCs w:val="24"/>
          <w:highlight w:val="none"/>
        </w:rPr>
      </w:pPr>
      <w:r>
        <w:rPr>
          <w:rFonts w:hint="default" w:cs="Times New Roman" w:asciiTheme="minorHAnsi" w:hAnsiTheme="minorHAnsi" w:eastAsiaTheme="minorEastAsia"/>
          <w:color w:val="auto"/>
          <w:kern w:val="0"/>
          <w:sz w:val="24"/>
          <w:szCs w:val="24"/>
          <w:highlight w:val="none"/>
          <w:lang w:val="en-US" w:eastAsia="zh-CN" w:bidi="ar-SA"/>
        </w:rPr>
        <w:t>（2）</w:t>
      </w:r>
      <w:r>
        <w:rPr>
          <w:rFonts w:hint="eastAsia" w:ascii="宋体" w:hAnsi="宋体" w:eastAsia="宋体" w:cs="宋体"/>
          <w:color w:val="auto"/>
          <w:sz w:val="24"/>
          <w:szCs w:val="24"/>
          <w:highlight w:val="none"/>
        </w:rPr>
        <w:t>贬值处理：由甲乙双方合议定价。</w:t>
      </w:r>
    </w:p>
    <w:p w14:paraId="28EBFE4E">
      <w:pPr>
        <w:keepNext w:val="0"/>
        <w:keepLines w:val="0"/>
        <w:pageBreakBefore w:val="0"/>
        <w:widowControl w:val="0"/>
        <w:kinsoku/>
        <w:wordWrap/>
        <w:overflowPunct/>
        <w:topLinePunct w:val="0"/>
        <w:autoSpaceDE/>
        <w:autoSpaceDN/>
        <w:bidi w:val="0"/>
        <w:adjustRightInd/>
        <w:snapToGrid/>
        <w:spacing w:line="540" w:lineRule="exact"/>
        <w:ind w:left="0" w:leftChars="0" w:firstLine="360" w:firstLineChars="150"/>
        <w:textAlignment w:val="auto"/>
        <w:rPr>
          <w:color w:val="auto"/>
          <w:sz w:val="24"/>
          <w:szCs w:val="24"/>
          <w:highlight w:val="none"/>
        </w:rPr>
      </w:pPr>
      <w:r>
        <w:rPr>
          <w:rFonts w:hint="default" w:cs="Times New Roman" w:asciiTheme="minorHAnsi" w:hAnsiTheme="minorHAnsi" w:eastAsiaTheme="minorEastAsia"/>
          <w:color w:val="auto"/>
          <w:kern w:val="0"/>
          <w:sz w:val="24"/>
          <w:szCs w:val="24"/>
          <w:highlight w:val="none"/>
          <w:lang w:val="en-US" w:eastAsia="zh-CN" w:bidi="ar-SA"/>
        </w:rPr>
        <w:t>（3）</w:t>
      </w:r>
      <w:r>
        <w:rPr>
          <w:rFonts w:hint="eastAsia" w:ascii="宋体" w:hAnsi="宋体" w:eastAsia="宋体" w:cs="宋体"/>
          <w:color w:val="auto"/>
          <w:sz w:val="24"/>
          <w:szCs w:val="24"/>
          <w:highlight w:val="none"/>
        </w:rPr>
        <w:t>退货处理：乙方应退还甲方支付的合同款，同时应承担该货物的直接费用（运输、保险、检验、货款利息及银行手续费等）。</w:t>
      </w:r>
    </w:p>
    <w:p w14:paraId="7143F394">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.3 在维保期内，提供7*12小时技术支持服务，投标人接到采购方报修通知在2小时以内响应，6小时以内到达，24小时以内修复；主要配件和部件发生非人为原因引起的损坏，中标人应及时提供免费更换。</w:t>
      </w:r>
    </w:p>
    <w:p w14:paraId="0EF9F2F0">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10.4 在质保期内，乙方应对货物出现的质量及安全问题负责处理解决并承担一切费用。</w:t>
      </w:r>
    </w:p>
    <w:p w14:paraId="6F110F47">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上述的货物免费保修期为</w:t>
      </w:r>
      <w:r>
        <w:rPr>
          <w:rFonts w:hint="eastAsia" w:ascii="宋体" w:hAnsi="宋体" w:cs="宋体"/>
          <w:color w:val="auto"/>
          <w:highlight w:val="none"/>
          <w:u w:val="single"/>
          <w:lang w:val="en-US" w:eastAsia="zh-CN"/>
        </w:rPr>
        <w:t>3</w:t>
      </w:r>
      <w:r>
        <w:rPr>
          <w:rFonts w:hint="eastAsia" w:ascii="宋体" w:hAnsi="宋体" w:eastAsia="宋体" w:cs="宋体"/>
          <w:color w:val="auto"/>
          <w:highlight w:val="none"/>
        </w:rPr>
        <w:t>年（自交货验收合格之日起计），因人为因素出现的故障不在免费保修范围内。超过保修期的机器设备，终生维修，维修时只收部件成本费。</w:t>
      </w:r>
    </w:p>
    <w:p w14:paraId="213071EB">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十一</w:t>
      </w:r>
      <w:r>
        <w:rPr>
          <w:rFonts w:hint="eastAsia" w:ascii="宋体" w:hAnsi="宋体" w:eastAsia="宋体" w:cs="宋体"/>
          <w:b/>
          <w:color w:val="auto"/>
          <w:sz w:val="24"/>
          <w:szCs w:val="24"/>
          <w:highlight w:val="none"/>
        </w:rPr>
        <w:t>、项目验收</w:t>
      </w:r>
    </w:p>
    <w:p w14:paraId="1DB2AD4D">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 甲方依法组织履约验收工作。</w:t>
      </w:r>
    </w:p>
    <w:p w14:paraId="1211E4F1">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0507A11">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.3 对于实际使用人和甲方分离的项目，甲方邀请实际使用人参与验收。</w:t>
      </w:r>
    </w:p>
    <w:p w14:paraId="7E03070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.4 如有必要，甲方邀请参加本项目的其他供应商或第三方专业机构及专家参与验收，相关意见将作为验收书的参考资料。</w:t>
      </w:r>
    </w:p>
    <w:p w14:paraId="79FF2209">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A09C9A5">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34BA3B1">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、货物的包装、发运及运输</w:t>
      </w:r>
    </w:p>
    <w:p w14:paraId="357D2AD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F80DFBE">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.2 使用说明书、质量检验证明书、随配附件和工具以及清单一并附于货物内。</w:t>
      </w:r>
    </w:p>
    <w:p w14:paraId="46496A81">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 乙方在货物发运手续办理完毕后24小时内或货到甲方48小时前通知甲方，以准备接货。</w:t>
      </w:r>
    </w:p>
    <w:p w14:paraId="30D881F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.4 货物在交付甲方前发生的风险均由乙方负责。</w:t>
      </w:r>
    </w:p>
    <w:p w14:paraId="615AF341">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.5 货物在规定的交付期限内由乙方送达甲方指定的地点视为交付，乙方同时需通知甲方货物已送达。</w:t>
      </w:r>
    </w:p>
    <w:p w14:paraId="762E0347">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、违约责任</w:t>
      </w:r>
    </w:p>
    <w:p w14:paraId="2BA6715C">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 甲方无正当理由拒收货物的，甲方向乙方偿付拒收货款总值</w:t>
      </w:r>
      <w:r>
        <w:rPr>
          <w:rFonts w:hint="eastAsia" w:ascii="宋体" w:hAnsi="宋体" w:eastAsia="宋体" w:cs="宋体"/>
          <w:color w:val="auto"/>
          <w:highlight w:val="none"/>
          <w:u w:val="single"/>
        </w:rPr>
        <w:t> </w:t>
      </w:r>
      <w:r>
        <w:rPr>
          <w:rFonts w:hint="eastAsia" w:ascii="宋体" w:hAnsi="宋体" w:cs="宋体"/>
          <w:color w:val="auto"/>
          <w:highlight w:val="none"/>
          <w:u w:val="single"/>
          <w:lang w:val="en-US"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的违约金。</w:t>
      </w:r>
    </w:p>
    <w:p w14:paraId="1513A4F5">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 甲方无故逾期验收和办理货款支付手续的,甲方应按逾期付款总额每日</w:t>
      </w:r>
      <w:r>
        <w:rPr>
          <w:rFonts w:hint="eastAsia" w:ascii="宋体" w:hAnsi="宋体" w:eastAsia="宋体" w:cs="宋体"/>
          <w:color w:val="auto"/>
          <w:highlight w:val="none"/>
          <w:u w:val="single"/>
        </w:rPr>
        <w:t>  </w:t>
      </w:r>
      <w:r>
        <w:rPr>
          <w:rFonts w:hint="eastAsia" w:ascii="宋体" w:hAnsi="宋体" w:cs="宋体"/>
          <w:color w:val="auto"/>
          <w:highlight w:val="none"/>
          <w:u w:val="single"/>
          <w:lang w:val="en-US"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向乙方支付违约金。</w:t>
      </w:r>
    </w:p>
    <w:p w14:paraId="331F14EE">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20%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p>
    <w:p w14:paraId="2DD42B6F">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E91AB02">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、不可抗力事件处理</w:t>
      </w:r>
    </w:p>
    <w:p w14:paraId="2368B741">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 在合同有效期内，任何一方因不可抗力事件导致不能履行合同，则合同履行期可延长，其延长期与不可抗力影响期相同。</w:t>
      </w:r>
    </w:p>
    <w:p w14:paraId="3B378AC3">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 不可抗力事件发生后，应立即通知对方，并寄送有关权威机构出具的证明。</w:t>
      </w:r>
    </w:p>
    <w:p w14:paraId="6F3DD6B3">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.3 不可抗力事件延续120天以上，双方应通过友好协商，确定是否继续履行合同。</w:t>
      </w:r>
    </w:p>
    <w:p w14:paraId="6AC48C3B">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、解决争议的方法</w:t>
      </w:r>
    </w:p>
    <w:p w14:paraId="53B8AB93">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.1甲乙双方因合同签订、履行而发生的一切争议，应通过友好协商解决。如协商不成由甲方住所地人民法院管辖。</w:t>
      </w:r>
    </w:p>
    <w:p w14:paraId="5B9D08F3">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、合同生效及其它</w:t>
      </w:r>
    </w:p>
    <w:p w14:paraId="6660C4F8">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 合同经双方法定代表人或授权委托代表人签字并加盖单位公章后生效。</w:t>
      </w:r>
    </w:p>
    <w:p w14:paraId="1BC98E6C">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.2本合同未尽事宜，遵照《民法典》、《政府采购法》有关条文执行。</w:t>
      </w:r>
    </w:p>
    <w:p w14:paraId="78A9F590">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 本合同正本一式</w:t>
      </w:r>
      <w:r>
        <w:rPr>
          <w:rFonts w:hint="eastAsia" w:ascii="宋体" w:hAnsi="宋体" w:eastAsia="宋体" w:cs="宋体"/>
          <w:color w:val="auto"/>
          <w:highlight w:val="none"/>
          <w:u w:val="single"/>
          <w:lang w:val="en-US" w:eastAsia="zh-CN"/>
        </w:rPr>
        <w:t xml:space="preserve">  肆 </w:t>
      </w:r>
      <w:r>
        <w:rPr>
          <w:rFonts w:hint="eastAsia" w:ascii="宋体" w:hAnsi="宋体" w:eastAsia="宋体" w:cs="宋体"/>
          <w:color w:val="auto"/>
          <w:highlight w:val="none"/>
        </w:rPr>
        <w:t>份，具有同等法律效力，甲方、乙方各执</w:t>
      </w:r>
      <w:r>
        <w:rPr>
          <w:rFonts w:hint="eastAsia" w:ascii="宋体" w:hAnsi="宋体" w:eastAsia="宋体" w:cs="宋体"/>
          <w:color w:val="auto"/>
          <w:highlight w:val="none"/>
          <w:u w:val="single"/>
          <w:lang w:val="en-US" w:eastAsia="zh-CN"/>
        </w:rPr>
        <w:t xml:space="preserve">  俩 </w:t>
      </w:r>
      <w:r>
        <w:rPr>
          <w:rFonts w:hint="eastAsia" w:ascii="宋体" w:hAnsi="宋体" w:eastAsia="宋体" w:cs="宋体"/>
          <w:color w:val="auto"/>
          <w:highlight w:val="none"/>
        </w:rPr>
        <w:t>份。</w:t>
      </w:r>
    </w:p>
    <w:p w14:paraId="12A6D3DD">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left="0" w:leftChars="0" w:firstLine="0" w:firstLineChars="0"/>
        <w:jc w:val="both"/>
        <w:textAlignment w:val="auto"/>
        <w:rPr>
          <w:color w:val="auto"/>
          <w:highlight w:val="none"/>
        </w:rPr>
      </w:pPr>
      <w:r>
        <w:rPr>
          <w:rFonts w:hint="eastAsia" w:ascii="宋体" w:hAnsi="宋体" w:eastAsia="宋体" w:cs="宋体"/>
          <w:color w:val="auto"/>
          <w:highlight w:val="none"/>
        </w:rPr>
        <w:t>甲方：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 </w:t>
      </w:r>
    </w:p>
    <w:p w14:paraId="26A21579">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left="0" w:leftChars="0" w:firstLine="0" w:firstLineChars="0"/>
        <w:jc w:val="both"/>
        <w:textAlignment w:val="auto"/>
        <w:rPr>
          <w:color w:val="auto"/>
          <w:highlight w:val="none"/>
        </w:rPr>
      </w:pPr>
      <w:r>
        <w:rPr>
          <w:rFonts w:hint="eastAsia" w:ascii="宋体" w:hAnsi="宋体" w:eastAsia="宋体" w:cs="宋体"/>
          <w:color w:val="auto"/>
          <w:highlight w:val="none"/>
        </w:rPr>
        <w:t>地址：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地址： </w:t>
      </w:r>
    </w:p>
    <w:p w14:paraId="57D24CD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left="0" w:leftChars="0" w:firstLine="0" w:firstLineChars="0"/>
        <w:jc w:val="both"/>
        <w:textAlignment w:val="auto"/>
        <w:rPr>
          <w:color w:val="auto"/>
          <w:highlight w:val="none"/>
        </w:rPr>
      </w:pPr>
      <w:r>
        <w:rPr>
          <w:rFonts w:hint="eastAsia" w:ascii="宋体" w:hAnsi="宋体" w:eastAsia="宋体" w:cs="宋体"/>
          <w:color w:val="auto"/>
          <w:highlight w:val="none"/>
        </w:rPr>
        <w:t>法定代表人或授权代表：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法定代表人或授权代表：</w:t>
      </w:r>
    </w:p>
    <w:p w14:paraId="633E1BD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left="0" w:leftChars="0" w:firstLine="0" w:firstLineChars="0"/>
        <w:jc w:val="both"/>
        <w:textAlignment w:val="auto"/>
        <w:rPr>
          <w:color w:val="auto"/>
          <w:highlight w:val="none"/>
        </w:rPr>
      </w:pPr>
      <w:r>
        <w:rPr>
          <w:rFonts w:hint="eastAsia" w:ascii="宋体" w:hAnsi="宋体" w:eastAsia="宋体" w:cs="宋体"/>
          <w:color w:val="auto"/>
          <w:highlight w:val="none"/>
        </w:rPr>
        <w:t>联系电话：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联系电话：          </w:t>
      </w:r>
    </w:p>
    <w:p w14:paraId="08A36384">
      <w:pPr>
        <w:keepNext w:val="0"/>
        <w:keepLines w:val="0"/>
        <w:pageBreakBefore w:val="0"/>
        <w:widowControl w:val="0"/>
        <w:kinsoku/>
        <w:wordWrap/>
        <w:overflowPunct/>
        <w:topLinePunct w:val="0"/>
        <w:autoSpaceDE/>
        <w:autoSpaceDN/>
        <w:bidi w:val="0"/>
        <w:snapToGrid w:val="0"/>
        <w:spacing w:line="5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4BB9BDCC">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left="0" w:leftChars="0" w:firstLine="0" w:firstLineChars="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签订日期：      年    月   日</w:t>
      </w:r>
    </w:p>
    <w:p w14:paraId="2AD42523">
      <w:pPr>
        <w:pStyle w:val="7"/>
        <w:rPr>
          <w:rFonts w:ascii="宋体" w:hAnsi="宋体" w:cs="宋体"/>
          <w:b/>
          <w:bCs/>
          <w:color w:val="auto"/>
          <w:spacing w:val="-20"/>
          <w:sz w:val="48"/>
          <w:szCs w:val="48"/>
          <w:highlight w:val="none"/>
        </w:rPr>
      </w:pPr>
    </w:p>
    <w:p w14:paraId="078FA4E4">
      <w:pPr>
        <w:pStyle w:val="7"/>
        <w:rPr>
          <w:rFonts w:ascii="宋体" w:hAnsi="宋体" w:cs="宋体"/>
          <w:b/>
          <w:bCs/>
          <w:color w:val="auto"/>
          <w:spacing w:val="-20"/>
          <w:sz w:val="48"/>
          <w:szCs w:val="48"/>
          <w:highlight w:val="none"/>
        </w:rPr>
      </w:pPr>
    </w:p>
    <w:p w14:paraId="0C8EB388">
      <w:pPr>
        <w:pStyle w:val="7"/>
        <w:rPr>
          <w:rFonts w:ascii="宋体" w:hAnsi="宋体" w:cs="宋体"/>
          <w:b/>
          <w:bCs/>
          <w:color w:val="auto"/>
          <w:spacing w:val="-20"/>
          <w:sz w:val="48"/>
          <w:szCs w:val="48"/>
          <w:highlight w:val="none"/>
        </w:rPr>
      </w:pPr>
    </w:p>
    <w:p w14:paraId="4E74620A">
      <w:pPr>
        <w:pStyle w:val="7"/>
        <w:rPr>
          <w:rFonts w:ascii="宋体" w:hAnsi="宋体" w:cs="宋体"/>
          <w:b/>
          <w:bCs/>
          <w:color w:val="auto"/>
          <w:spacing w:val="-20"/>
          <w:sz w:val="48"/>
          <w:szCs w:val="48"/>
          <w:highlight w:val="none"/>
        </w:rPr>
      </w:pPr>
    </w:p>
    <w:p w14:paraId="773C4204">
      <w:pPr>
        <w:pStyle w:val="7"/>
        <w:rPr>
          <w:rFonts w:ascii="宋体" w:hAnsi="宋体" w:cs="宋体"/>
          <w:b/>
          <w:bCs/>
          <w:color w:val="auto"/>
          <w:spacing w:val="-20"/>
          <w:sz w:val="48"/>
          <w:szCs w:val="48"/>
          <w:highlight w:val="none"/>
        </w:rPr>
      </w:pPr>
    </w:p>
    <w:p w14:paraId="71DC0501">
      <w:pPr>
        <w:pStyle w:val="7"/>
        <w:rPr>
          <w:rFonts w:ascii="宋体" w:hAnsi="宋体" w:cs="宋体"/>
          <w:b/>
          <w:bCs/>
          <w:color w:val="auto"/>
          <w:spacing w:val="-20"/>
          <w:sz w:val="48"/>
          <w:szCs w:val="48"/>
          <w:highlight w:val="none"/>
        </w:rPr>
      </w:pPr>
    </w:p>
    <w:p w14:paraId="34984DB2">
      <w:pPr>
        <w:pStyle w:val="7"/>
        <w:rPr>
          <w:rFonts w:ascii="宋体" w:hAnsi="宋体" w:cs="宋体"/>
          <w:b/>
          <w:bCs/>
          <w:color w:val="auto"/>
          <w:spacing w:val="-20"/>
          <w:sz w:val="48"/>
          <w:szCs w:val="48"/>
          <w:highlight w:val="none"/>
        </w:rPr>
      </w:pPr>
    </w:p>
    <w:p w14:paraId="3596A459">
      <w:pPr>
        <w:pStyle w:val="7"/>
        <w:rPr>
          <w:rFonts w:ascii="宋体" w:hAnsi="宋体" w:cs="宋体"/>
          <w:b/>
          <w:bCs/>
          <w:color w:val="auto"/>
          <w:spacing w:val="-20"/>
          <w:sz w:val="48"/>
          <w:szCs w:val="48"/>
          <w:highlight w:val="none"/>
        </w:rPr>
      </w:pPr>
    </w:p>
    <w:p w14:paraId="55F7DD2F">
      <w:pPr>
        <w:pStyle w:val="7"/>
        <w:rPr>
          <w:rFonts w:ascii="宋体" w:hAnsi="宋体" w:cs="宋体"/>
          <w:b/>
          <w:bCs/>
          <w:color w:val="auto"/>
          <w:spacing w:val="-20"/>
          <w:sz w:val="48"/>
          <w:szCs w:val="48"/>
          <w:highlight w:val="none"/>
        </w:rPr>
      </w:pPr>
    </w:p>
    <w:p w14:paraId="0A8FB566">
      <w:pPr>
        <w:pStyle w:val="7"/>
        <w:rPr>
          <w:rFonts w:ascii="宋体" w:hAnsi="宋体" w:cs="宋体"/>
          <w:b/>
          <w:bCs/>
          <w:color w:val="auto"/>
          <w:spacing w:val="-20"/>
          <w:sz w:val="48"/>
          <w:szCs w:val="48"/>
          <w:highlight w:val="none"/>
        </w:rPr>
      </w:pPr>
    </w:p>
    <w:p w14:paraId="1B35D229">
      <w:pPr>
        <w:pStyle w:val="7"/>
        <w:rPr>
          <w:rFonts w:ascii="宋体" w:hAnsi="宋体" w:cs="宋体"/>
          <w:b/>
          <w:bCs/>
          <w:color w:val="auto"/>
          <w:spacing w:val="-20"/>
          <w:sz w:val="48"/>
          <w:szCs w:val="48"/>
          <w:highlight w:val="none"/>
        </w:rPr>
      </w:pPr>
    </w:p>
    <w:p w14:paraId="116032D0">
      <w:pPr>
        <w:pStyle w:val="7"/>
        <w:rPr>
          <w:rFonts w:ascii="宋体" w:hAnsi="宋体" w:cs="宋体"/>
          <w:b/>
          <w:bCs/>
          <w:color w:val="auto"/>
          <w:spacing w:val="-20"/>
          <w:sz w:val="48"/>
          <w:szCs w:val="48"/>
          <w:highlight w:val="none"/>
        </w:rPr>
      </w:pPr>
    </w:p>
    <w:p w14:paraId="5D38046E">
      <w:pPr>
        <w:pStyle w:val="7"/>
        <w:rPr>
          <w:rFonts w:ascii="宋体" w:hAnsi="宋体" w:cs="宋体"/>
          <w:b/>
          <w:bCs/>
          <w:color w:val="auto"/>
          <w:spacing w:val="-20"/>
          <w:sz w:val="48"/>
          <w:szCs w:val="48"/>
          <w:highlight w:val="none"/>
        </w:rPr>
      </w:pPr>
    </w:p>
    <w:p w14:paraId="4171898B">
      <w:pPr>
        <w:pStyle w:val="7"/>
        <w:rPr>
          <w:rFonts w:ascii="宋体" w:hAnsi="宋体" w:cs="宋体"/>
          <w:b/>
          <w:bCs/>
          <w:color w:val="auto"/>
          <w:spacing w:val="-20"/>
          <w:sz w:val="48"/>
          <w:szCs w:val="48"/>
          <w:highlight w:val="none"/>
        </w:rPr>
      </w:pPr>
    </w:p>
    <w:p w14:paraId="36CF15E9">
      <w:pPr>
        <w:pStyle w:val="7"/>
        <w:rPr>
          <w:rFonts w:ascii="宋体" w:hAnsi="宋体" w:cs="宋体"/>
          <w:b/>
          <w:bCs/>
          <w:color w:val="auto"/>
          <w:spacing w:val="-20"/>
          <w:sz w:val="48"/>
          <w:szCs w:val="48"/>
          <w:highlight w:val="none"/>
        </w:rPr>
      </w:pPr>
    </w:p>
    <w:p w14:paraId="799E9FAD">
      <w:pPr>
        <w:pStyle w:val="7"/>
        <w:rPr>
          <w:rFonts w:ascii="宋体" w:hAnsi="宋体" w:cs="宋体"/>
          <w:b/>
          <w:bCs/>
          <w:color w:val="auto"/>
          <w:spacing w:val="-20"/>
          <w:sz w:val="48"/>
          <w:szCs w:val="48"/>
          <w:highlight w:val="none"/>
        </w:rPr>
      </w:pPr>
    </w:p>
    <w:bookmarkEnd w:id="168"/>
    <w:p w14:paraId="476887B5">
      <w:pPr>
        <w:pStyle w:val="3"/>
        <w:ind w:firstLine="216"/>
        <w:jc w:val="center"/>
        <w:rPr>
          <w:color w:val="auto"/>
          <w:highlight w:val="none"/>
        </w:rPr>
      </w:pPr>
      <w:r>
        <w:rPr>
          <w:rFonts w:hint="eastAsia" w:ascii="黑体" w:hAnsi="宋体" w:eastAsia="黑体" w:cs="黑体"/>
          <w:color w:val="auto"/>
          <w:sz w:val="44"/>
          <w:szCs w:val="44"/>
          <w:highlight w:val="none"/>
        </w:rPr>
        <w:t> 第</w:t>
      </w:r>
      <w:bookmarkEnd w:id="160"/>
      <w:r>
        <w:rPr>
          <w:rFonts w:hint="eastAsia" w:ascii="黑体" w:hAnsi="宋体" w:eastAsia="黑体" w:cs="黑体"/>
          <w:color w:val="auto"/>
          <w:sz w:val="44"/>
          <w:szCs w:val="44"/>
          <w:highlight w:val="none"/>
        </w:rPr>
        <w:t>四章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采购需求</w:t>
      </w:r>
      <w:bookmarkEnd w:id="161"/>
      <w:bookmarkEnd w:id="162"/>
      <w:bookmarkEnd w:id="163"/>
      <w:bookmarkEnd w:id="164"/>
      <w:bookmarkEnd w:id="165"/>
    </w:p>
    <w:p w14:paraId="56DA8897">
      <w:pPr>
        <w:pStyle w:val="11"/>
        <w:spacing w:beforeAutospacing="0" w:afterAutospacing="0" w:line="0" w:lineRule="atLeast"/>
        <w:jc w:val="both"/>
        <w:rPr>
          <w:rFonts w:hint="eastAsia" w:ascii="宋体" w:hAnsi="宋体" w:eastAsia="宋体" w:cs="宋体"/>
          <w:color w:val="auto"/>
          <w:sz w:val="24"/>
          <w:szCs w:val="24"/>
          <w:highlight w:val="none"/>
        </w:rPr>
      </w:pPr>
      <w:bookmarkStart w:id="169" w:name="_Toc26554093"/>
      <w:bookmarkStart w:id="170" w:name="_Toc49090575"/>
    </w:p>
    <w:p w14:paraId="4861C048">
      <w:pPr>
        <w:pStyle w:val="11"/>
        <w:spacing w:beforeAutospacing="0" w:afterAutospacing="0" w:line="0" w:lineRule="atLeast"/>
        <w:jc w:val="both"/>
        <w:rPr>
          <w:rFonts w:hint="eastAsia" w:ascii="宋体" w:hAnsi="宋体" w:eastAsia="宋体" w:cs="宋体"/>
          <w:color w:val="auto"/>
          <w:sz w:val="24"/>
          <w:szCs w:val="24"/>
          <w:highlight w:val="none"/>
        </w:rPr>
      </w:pPr>
    </w:p>
    <w:p w14:paraId="76D0C1BC">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w:t>
      </w:r>
    </w:p>
    <w:p w14:paraId="191D7BCA">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ascii="Arial" w:hAnsi="宋体" w:eastAsia="宋体" w:cs="Arial"/>
          <w:b/>
          <w:bCs/>
          <w:color w:val="auto"/>
          <w:kern w:val="0"/>
          <w:sz w:val="24"/>
          <w:szCs w:val="24"/>
          <w:highlight w:val="none"/>
        </w:rPr>
      </w:pPr>
      <w:r>
        <w:rPr>
          <w:rFonts w:hint="eastAsia" w:ascii="宋体" w:hAnsi="宋体" w:eastAsia="宋体" w:cs="宋体"/>
          <w:b/>
          <w:color w:val="auto"/>
          <w:sz w:val="24"/>
          <w:szCs w:val="24"/>
          <w:highlight w:val="none"/>
        </w:rPr>
        <w:t>一</w:t>
      </w:r>
      <w:r>
        <w:rPr>
          <w:rFonts w:hint="eastAsia" w:ascii="Arial" w:hAnsi="宋体" w:eastAsia="宋体" w:cs="Arial"/>
          <w:b/>
          <w:bCs/>
          <w:color w:val="auto"/>
          <w:kern w:val="0"/>
          <w:sz w:val="24"/>
          <w:szCs w:val="24"/>
          <w:highlight w:val="none"/>
        </w:rPr>
        <w:t>、项目需求</w:t>
      </w:r>
    </w:p>
    <w:p w14:paraId="6F3AB4B0">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ascii="宋体" w:hAnsi="宋体" w:eastAsia="宋体" w:cs="Arial"/>
          <w:b w:val="0"/>
          <w:bCs w:val="0"/>
          <w:color w:val="auto"/>
          <w:sz w:val="24"/>
          <w:szCs w:val="24"/>
          <w:highlight w:val="none"/>
          <w:lang w:val="en-US" w:eastAsia="zh-CN" w:bidi="ar-SA"/>
        </w:rPr>
      </w:pPr>
      <w:r>
        <w:rPr>
          <w:rFonts w:hint="eastAsia" w:ascii="宋体" w:hAnsi="宋体" w:eastAsia="宋体" w:cs="Arial"/>
          <w:b w:val="0"/>
          <w:bCs w:val="0"/>
          <w:color w:val="auto"/>
          <w:sz w:val="24"/>
          <w:szCs w:val="24"/>
          <w:highlight w:val="none"/>
          <w:lang w:val="en-US" w:eastAsia="zh-CN" w:bidi="ar-SA"/>
        </w:rPr>
        <w:t>电子政务外网安全设备升级、市民中心智能化设备提升、县级政务信息化项目管理系统建设、“苏服办”APP旗舰店升级、12345平台智能分析系统建设。</w:t>
      </w:r>
    </w:p>
    <w:p w14:paraId="0A0D7784">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Arial"/>
          <w:b/>
          <w:bCs/>
          <w:color w:val="auto"/>
          <w:kern w:val="0"/>
          <w:sz w:val="24"/>
          <w:szCs w:val="24"/>
          <w:highlight w:val="none"/>
        </w:rPr>
      </w:pPr>
      <w:r>
        <w:rPr>
          <w:rFonts w:hint="eastAsia" w:ascii="宋体" w:hAnsi="宋体" w:eastAsia="宋体" w:cs="Arial"/>
          <w:b/>
          <w:bCs/>
          <w:color w:val="auto"/>
          <w:kern w:val="0"/>
          <w:sz w:val="24"/>
          <w:szCs w:val="24"/>
          <w:highlight w:val="none"/>
        </w:rPr>
        <w:t>二、需求清单</w:t>
      </w:r>
    </w:p>
    <w:p w14:paraId="3B0C9F76">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outlineLvl w:val="0"/>
        <w:rPr>
          <w:rFonts w:hint="eastAsia" w:ascii="宋体" w:hAnsi="宋体" w:eastAsia="宋体" w:cs="Arial"/>
          <w:b/>
          <w:bCs/>
          <w:color w:val="auto"/>
          <w:kern w:val="0"/>
          <w:sz w:val="24"/>
          <w:szCs w:val="24"/>
          <w:highlight w:val="none"/>
        </w:rPr>
      </w:pPr>
    </w:p>
    <w:tbl>
      <w:tblPr>
        <w:tblStyle w:val="12"/>
        <w:tblW w:w="9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951"/>
        <w:gridCol w:w="6726"/>
        <w:gridCol w:w="427"/>
        <w:gridCol w:w="636"/>
        <w:gridCol w:w="427"/>
      </w:tblGrid>
      <w:tr w14:paraId="17199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427" w:type="dxa"/>
            <w:vMerge w:val="restart"/>
            <w:noWrap w:val="0"/>
            <w:vAlign w:val="center"/>
          </w:tcPr>
          <w:p w14:paraId="276AB51F">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951" w:type="dxa"/>
            <w:vMerge w:val="restart"/>
            <w:noWrap w:val="0"/>
            <w:vAlign w:val="center"/>
          </w:tcPr>
          <w:p w14:paraId="4ACCE5C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项目名称</w:t>
            </w:r>
          </w:p>
        </w:tc>
        <w:tc>
          <w:tcPr>
            <w:tcW w:w="6726" w:type="dxa"/>
            <w:vMerge w:val="restart"/>
            <w:noWrap/>
            <w:vAlign w:val="center"/>
          </w:tcPr>
          <w:p w14:paraId="27D2C88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项目特征描述</w:t>
            </w:r>
          </w:p>
        </w:tc>
        <w:tc>
          <w:tcPr>
            <w:tcW w:w="427" w:type="dxa"/>
            <w:vMerge w:val="restart"/>
            <w:noWrap w:val="0"/>
            <w:vAlign w:val="center"/>
          </w:tcPr>
          <w:p w14:paraId="07B2932E">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计量单位</w:t>
            </w:r>
          </w:p>
        </w:tc>
        <w:tc>
          <w:tcPr>
            <w:tcW w:w="636" w:type="dxa"/>
            <w:vMerge w:val="restart"/>
            <w:noWrap w:val="0"/>
            <w:vAlign w:val="center"/>
          </w:tcPr>
          <w:p w14:paraId="794FD86A">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427" w:type="dxa"/>
            <w:vMerge w:val="restart"/>
            <w:noWrap w:val="0"/>
            <w:vAlign w:val="center"/>
          </w:tcPr>
          <w:p w14:paraId="485799D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307F4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427" w:type="dxa"/>
            <w:vMerge w:val="continue"/>
            <w:noWrap w:val="0"/>
            <w:vAlign w:val="center"/>
          </w:tcPr>
          <w:p w14:paraId="2D3944A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bCs/>
                <w:i w:val="0"/>
                <w:iCs w:val="0"/>
                <w:color w:val="auto"/>
                <w:kern w:val="0"/>
                <w:sz w:val="21"/>
                <w:szCs w:val="21"/>
                <w:highlight w:val="none"/>
                <w:u w:val="none"/>
              </w:rPr>
            </w:pPr>
          </w:p>
        </w:tc>
        <w:tc>
          <w:tcPr>
            <w:tcW w:w="951" w:type="dxa"/>
            <w:vMerge w:val="continue"/>
            <w:noWrap w:val="0"/>
            <w:vAlign w:val="center"/>
          </w:tcPr>
          <w:p w14:paraId="51AB482E">
            <w:pPr>
              <w:keepNext w:val="0"/>
              <w:keepLines w:val="0"/>
              <w:pageBreakBefore w:val="0"/>
              <w:widowControl w:val="0"/>
              <w:kinsoku/>
              <w:wordWrap/>
              <w:overflowPunct/>
              <w:topLinePunct w:val="0"/>
              <w:bidi w:val="0"/>
              <w:snapToGrid w:val="0"/>
              <w:ind w:left="0" w:leftChars="0" w:right="0" w:rightChars="0" w:firstLine="0" w:firstLineChars="0"/>
              <w:jc w:val="left"/>
              <w:rPr>
                <w:rFonts w:hint="eastAsia" w:ascii="宋体" w:hAnsi="宋体" w:eastAsia="宋体" w:cs="宋体"/>
                <w:b/>
                <w:bCs/>
                <w:i w:val="0"/>
                <w:iCs w:val="0"/>
                <w:color w:val="auto"/>
                <w:kern w:val="0"/>
                <w:sz w:val="21"/>
                <w:szCs w:val="21"/>
                <w:highlight w:val="none"/>
                <w:u w:val="none"/>
              </w:rPr>
            </w:pPr>
          </w:p>
        </w:tc>
        <w:tc>
          <w:tcPr>
            <w:tcW w:w="6726" w:type="dxa"/>
            <w:vMerge w:val="continue"/>
            <w:noWrap/>
            <w:vAlign w:val="center"/>
          </w:tcPr>
          <w:p w14:paraId="647373E7">
            <w:pPr>
              <w:keepNext w:val="0"/>
              <w:keepLines w:val="0"/>
              <w:pageBreakBefore w:val="0"/>
              <w:widowControl w:val="0"/>
              <w:kinsoku/>
              <w:wordWrap/>
              <w:overflowPunct/>
              <w:topLinePunct w:val="0"/>
              <w:bidi w:val="0"/>
              <w:snapToGrid w:val="0"/>
              <w:ind w:left="0" w:leftChars="0" w:right="0" w:rightChars="0" w:firstLine="0" w:firstLineChars="0"/>
              <w:jc w:val="left"/>
              <w:rPr>
                <w:rFonts w:hint="eastAsia" w:ascii="宋体" w:hAnsi="宋体" w:eastAsia="宋体" w:cs="宋体"/>
                <w:b/>
                <w:bCs/>
                <w:i w:val="0"/>
                <w:iCs w:val="0"/>
                <w:color w:val="auto"/>
                <w:kern w:val="0"/>
                <w:sz w:val="21"/>
                <w:szCs w:val="21"/>
                <w:highlight w:val="none"/>
                <w:u w:val="none"/>
              </w:rPr>
            </w:pPr>
          </w:p>
        </w:tc>
        <w:tc>
          <w:tcPr>
            <w:tcW w:w="427" w:type="dxa"/>
            <w:vMerge w:val="continue"/>
            <w:noWrap w:val="0"/>
            <w:vAlign w:val="center"/>
          </w:tcPr>
          <w:p w14:paraId="2F2B32BC">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bCs/>
                <w:i w:val="0"/>
                <w:iCs w:val="0"/>
                <w:color w:val="auto"/>
                <w:kern w:val="0"/>
                <w:sz w:val="21"/>
                <w:szCs w:val="21"/>
                <w:highlight w:val="none"/>
                <w:u w:val="none"/>
              </w:rPr>
            </w:pPr>
          </w:p>
        </w:tc>
        <w:tc>
          <w:tcPr>
            <w:tcW w:w="636" w:type="dxa"/>
            <w:vMerge w:val="continue"/>
            <w:noWrap w:val="0"/>
            <w:vAlign w:val="center"/>
          </w:tcPr>
          <w:p w14:paraId="66F67537">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bCs/>
                <w:i w:val="0"/>
                <w:iCs w:val="0"/>
                <w:color w:val="auto"/>
                <w:kern w:val="0"/>
                <w:sz w:val="21"/>
                <w:szCs w:val="21"/>
                <w:highlight w:val="none"/>
                <w:u w:val="none"/>
              </w:rPr>
            </w:pPr>
          </w:p>
        </w:tc>
        <w:tc>
          <w:tcPr>
            <w:tcW w:w="427" w:type="dxa"/>
            <w:vMerge w:val="continue"/>
            <w:noWrap w:val="0"/>
            <w:vAlign w:val="center"/>
          </w:tcPr>
          <w:p w14:paraId="093690D4">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bCs/>
                <w:i w:val="0"/>
                <w:iCs w:val="0"/>
                <w:color w:val="auto"/>
                <w:kern w:val="0"/>
                <w:sz w:val="21"/>
                <w:szCs w:val="21"/>
                <w:highlight w:val="none"/>
                <w:u w:val="none"/>
              </w:rPr>
            </w:pPr>
          </w:p>
        </w:tc>
      </w:tr>
      <w:tr w14:paraId="46C17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1D54E4E">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951" w:type="dxa"/>
            <w:noWrap w:val="0"/>
            <w:vAlign w:val="center"/>
          </w:tcPr>
          <w:p w14:paraId="50BA22C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防火墙</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1F20FF4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生产厂商：华为；</w:t>
            </w:r>
          </w:p>
          <w:p w14:paraId="55958CC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设备型号：USG6000E；</w:t>
            </w:r>
          </w:p>
          <w:p w14:paraId="5928AA9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USG6625E交流主机(16*GE RJ45 + 6*GE SFP + 6*10GE SFP+,16G内存,1交流电源,含SSL VPN 100用户)_Hi-Care基础服务标准 USG6625E_续保_10个月</w:t>
            </w:r>
          </w:p>
          <w:p w14:paraId="6777EC2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722D3F4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53AB9B20">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427" w:type="dxa"/>
            <w:noWrap w:val="0"/>
            <w:vAlign w:val="center"/>
          </w:tcPr>
          <w:p w14:paraId="1A048954">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2386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2FB42DF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951" w:type="dxa"/>
            <w:noWrap w:val="0"/>
            <w:vAlign w:val="center"/>
          </w:tcPr>
          <w:p w14:paraId="6F8081D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无线控制器</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72F9903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生产厂商：华为；</w:t>
            </w:r>
          </w:p>
          <w:p w14:paraId="1CB9536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 AirEngine9700-M；</w:t>
            </w:r>
          </w:p>
          <w:p w14:paraId="21B9DA0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AirEngine9700-M主机(16个千兆以太口,12个万兆SFP+,2个四万兆QSFP+,无电源)_Hi-Care基础服务标准 AirEngine9700-M_续保_10个月</w:t>
            </w:r>
          </w:p>
          <w:p w14:paraId="533E75E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503638A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3556ADA0">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3CF5C2DA">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67E3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3B545C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w:t>
            </w:r>
          </w:p>
        </w:tc>
        <w:tc>
          <w:tcPr>
            <w:tcW w:w="951" w:type="dxa"/>
            <w:noWrap w:val="0"/>
            <w:vAlign w:val="center"/>
          </w:tcPr>
          <w:p w14:paraId="6D0D610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核心交换机</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67E7CC4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生产厂商：华为；</w:t>
            </w:r>
          </w:p>
          <w:p w14:paraId="2C25697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设备型号：S12700E-8；</w:t>
            </w:r>
          </w:p>
          <w:p w14:paraId="6E00E56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48端口十兆/百兆/千兆以太网电接口板(X5S,RJ45)_Hi-Care基础服务标准 S12700 48端口十兆/百兆/千兆以太网电接口板(X5S,RJ45)_续保_12个月；</w:t>
            </w:r>
          </w:p>
          <w:p w14:paraId="501D362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S12700E-8 万兆单板组合配置 (含总装机箱*1, MPUE主控板*1,SFUE交换网*1,48X10G光(X6S,SFP+)*2,3000W AC电源*1)_Hi-Care基础服务标准 S12700E-8 万兆单板组合配置 +48X10G光(X6S,SFP+)_续保_12个月；</w:t>
            </w:r>
          </w:p>
          <w:p w14:paraId="00AAD46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Hi-Care基础服务标准 S12700 6端口100GE以太网光接口板(X6S,QSFP28)_续保_12个月</w:t>
            </w:r>
          </w:p>
          <w:p w14:paraId="5378705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0E9536B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7030591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427" w:type="dxa"/>
            <w:noWrap w:val="0"/>
            <w:vAlign w:val="center"/>
          </w:tcPr>
          <w:p w14:paraId="75D5236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0C02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4666CE4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4</w:t>
            </w:r>
          </w:p>
        </w:tc>
        <w:tc>
          <w:tcPr>
            <w:tcW w:w="951" w:type="dxa"/>
            <w:noWrap w:val="0"/>
            <w:vAlign w:val="center"/>
          </w:tcPr>
          <w:p w14:paraId="3F1E355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核心交换机</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4552E95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生产厂商：华为；</w:t>
            </w:r>
          </w:p>
          <w:p w14:paraId="44AC180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设备型号：S7706；</w:t>
            </w:r>
          </w:p>
          <w:p w14:paraId="2318E89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Hi-Care基础服务标准 S7700 48端口千兆以太网光接口板(X6S,SFP)_续保_12个月；</w:t>
            </w:r>
          </w:p>
          <w:p w14:paraId="53BB79C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Hi-Care基础服务标准 S7700 24端口万兆以太网光接口和24端口千兆以太网光接口板(X6S,SFP+)_续保_12个月；</w:t>
            </w:r>
          </w:p>
          <w:p w14:paraId="0B82268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S7706总装机箱_Hi-Care基础服务标准 S7706主机_续保_12个月；</w:t>
            </w:r>
          </w:p>
          <w:p w14:paraId="2D4FDAE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48端口十兆/百兆/千兆以太网电接口板(X5S,M,RJ45)_Hi-Care基础服务标准 Sx700 48端口十兆/百兆/千兆以太网电接口板(X5S,RJ45)_续保_12个月</w:t>
            </w:r>
          </w:p>
          <w:p w14:paraId="3FE4894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6CF6498F">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1327E33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7A993D4C">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A8F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45CA647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5</w:t>
            </w:r>
          </w:p>
        </w:tc>
        <w:tc>
          <w:tcPr>
            <w:tcW w:w="951" w:type="dxa"/>
            <w:noWrap w:val="0"/>
            <w:vAlign w:val="center"/>
          </w:tcPr>
          <w:p w14:paraId="303F30C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服务器</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28EDC47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生产厂商：超聚变；</w:t>
            </w:r>
          </w:p>
          <w:p w14:paraId="4284CCB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设备型号：2288H V5；</w:t>
            </w:r>
          </w:p>
          <w:p w14:paraId="3050B3F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2288H V5 (8*2.5英寸硬盘机箱,板载2*GE+2*10GE光口(不含光模块))H22H-05  4套标准+保修：1年</w:t>
            </w:r>
          </w:p>
          <w:p w14:paraId="56258C4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2288H V5 (12*3.5英寸硬盘机箱,板载2*GE+2*10GE光口(不含光模块))H22H-05 8套标准+保修：1年</w:t>
            </w:r>
          </w:p>
          <w:p w14:paraId="71B3B10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20F5D500">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0B98F23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w:t>
            </w:r>
          </w:p>
        </w:tc>
        <w:tc>
          <w:tcPr>
            <w:tcW w:w="427" w:type="dxa"/>
            <w:noWrap w:val="0"/>
            <w:vAlign w:val="center"/>
          </w:tcPr>
          <w:p w14:paraId="355F87F5">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140F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461BA0EA">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6</w:t>
            </w:r>
          </w:p>
        </w:tc>
        <w:tc>
          <w:tcPr>
            <w:tcW w:w="951" w:type="dxa"/>
            <w:noWrap w:val="0"/>
            <w:vAlign w:val="center"/>
          </w:tcPr>
          <w:p w14:paraId="7C2604B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入侵防御系统</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5C13315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生产厂商：深信服；</w:t>
            </w:r>
          </w:p>
          <w:p w14:paraId="12FEEB0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 NIPS-2000 B2100</w:t>
            </w:r>
          </w:p>
          <w:p w14:paraId="58D98D4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云智订阅软件</w:t>
            </w:r>
          </w:p>
          <w:p w14:paraId="00F85B9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产品质保（标准版）</w:t>
            </w:r>
          </w:p>
          <w:p w14:paraId="46593A2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软件升级,续保1年</w:t>
            </w:r>
          </w:p>
          <w:p w14:paraId="65229C2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55A77B3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00785360">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3B79FCBB">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3A7B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7AEEEDB4">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7</w:t>
            </w:r>
          </w:p>
        </w:tc>
        <w:tc>
          <w:tcPr>
            <w:tcW w:w="951" w:type="dxa"/>
            <w:noWrap w:val="0"/>
            <w:vAlign w:val="center"/>
          </w:tcPr>
          <w:p w14:paraId="1001C60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WEB防火墙</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2C1438D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生产厂商：深信服；</w:t>
            </w:r>
          </w:p>
          <w:p w14:paraId="6691BD9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设备型号：WAF-1000 B1600</w:t>
            </w:r>
          </w:p>
          <w:p w14:paraId="1BF8AB7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云智订阅软件（AF8.0.7及以上版本适用）</w:t>
            </w:r>
          </w:p>
          <w:p w14:paraId="0670490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产品质保（标准版）</w:t>
            </w:r>
          </w:p>
          <w:p w14:paraId="7B69300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软件升级,续保1年</w:t>
            </w:r>
          </w:p>
          <w:p w14:paraId="58FDD81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148177E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79B7368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296CD3A2">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D5D1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40B6A4A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8</w:t>
            </w:r>
          </w:p>
        </w:tc>
        <w:tc>
          <w:tcPr>
            <w:tcW w:w="951" w:type="dxa"/>
            <w:noWrap w:val="0"/>
            <w:vAlign w:val="center"/>
          </w:tcPr>
          <w:p w14:paraId="0BDF884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终端准入系统</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17F4443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生产厂商：深信服；</w:t>
            </w:r>
          </w:p>
          <w:p w14:paraId="5EF6BA0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 AC-1000 B1500</w:t>
            </w:r>
          </w:p>
          <w:p w14:paraId="6FA44D2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URL&amp;应用识别规则库升级</w:t>
            </w:r>
          </w:p>
          <w:p w14:paraId="40258A1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产品质保（标准版）</w:t>
            </w:r>
          </w:p>
          <w:p w14:paraId="171CC5A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软件升级,续保1年</w:t>
            </w:r>
          </w:p>
          <w:p w14:paraId="049D78A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506574E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79E6986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294AA81C">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60F6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254E4EC">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9</w:t>
            </w:r>
          </w:p>
        </w:tc>
        <w:tc>
          <w:tcPr>
            <w:tcW w:w="951" w:type="dxa"/>
            <w:noWrap w:val="0"/>
            <w:vAlign w:val="center"/>
          </w:tcPr>
          <w:p w14:paraId="3776A5D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终端杀毒软件</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53C52D2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生产厂商：深信服；</w:t>
            </w:r>
          </w:p>
          <w:p w14:paraId="466213E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 EDR-1000 B600</w:t>
            </w:r>
          </w:p>
          <w:p w14:paraId="6F40599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产品质保（标准版）</w:t>
            </w:r>
          </w:p>
          <w:p w14:paraId="505E21D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软件升级（200智防），续保1年</w:t>
            </w:r>
          </w:p>
          <w:p w14:paraId="6B10D6D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48F5228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6C8CE93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7863F8F1">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31DB4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6DD4555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10</w:t>
            </w:r>
          </w:p>
        </w:tc>
        <w:tc>
          <w:tcPr>
            <w:tcW w:w="951" w:type="dxa"/>
            <w:noWrap w:val="0"/>
            <w:vAlign w:val="center"/>
          </w:tcPr>
          <w:p w14:paraId="308FE5C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数据库审计系统</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093F6C4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生产厂商：深信服；</w:t>
            </w:r>
          </w:p>
          <w:p w14:paraId="6899CAD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 DAS-1000 A640</w:t>
            </w:r>
          </w:p>
          <w:p w14:paraId="2770279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产品质保（标准版）</w:t>
            </w:r>
          </w:p>
          <w:p w14:paraId="0EC00EB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软件升级，续保1年</w:t>
            </w:r>
          </w:p>
          <w:p w14:paraId="0C4B2BE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17FE5F6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0BD5E85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0361534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23D6E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75A69FA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11</w:t>
            </w:r>
          </w:p>
        </w:tc>
        <w:tc>
          <w:tcPr>
            <w:tcW w:w="951" w:type="dxa"/>
            <w:noWrap w:val="0"/>
            <w:vAlign w:val="center"/>
          </w:tcPr>
          <w:p w14:paraId="034574C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政务自助终端</w:t>
            </w:r>
            <w:r>
              <w:rPr>
                <w:rFonts w:hint="eastAsia" w:ascii="宋体" w:hAnsi="宋体" w:cs="宋体"/>
                <w:b w:val="0"/>
                <w:bCs w:val="0"/>
                <w:i w:val="0"/>
                <w:iCs w:val="0"/>
                <w:color w:val="auto"/>
                <w:kern w:val="0"/>
                <w:sz w:val="21"/>
                <w:szCs w:val="21"/>
                <w:highlight w:val="none"/>
                <w:u w:val="none"/>
                <w:lang w:val="en-US" w:eastAsia="zh-CN" w:bidi="ar"/>
              </w:rPr>
              <w:t>维保</w:t>
            </w:r>
          </w:p>
        </w:tc>
        <w:tc>
          <w:tcPr>
            <w:tcW w:w="6726" w:type="dxa"/>
            <w:noWrap w:val="0"/>
            <w:vAlign w:val="center"/>
          </w:tcPr>
          <w:p w14:paraId="13D2E63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u w:val="none"/>
                <w:lang w:val="en-US" w:eastAsia="zh-CN" w:bidi="ar"/>
              </w:rPr>
              <w:t>生产厂商：国泰新点软件股份有限公司</w:t>
            </w:r>
          </w:p>
          <w:p w14:paraId="24C30FD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u w:val="none"/>
                <w:lang w:val="en-US" w:eastAsia="zh-CN" w:bidi="ar"/>
              </w:rPr>
              <w:t>设备型号：SST5.0、SPC3.0</w:t>
            </w:r>
          </w:p>
          <w:p w14:paraId="07599A7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u w:val="none"/>
                <w:lang w:val="en-US" w:eastAsia="zh-CN" w:bidi="ar"/>
              </w:rPr>
              <w:t>项目硬件维护内容包含：自助服务终端（sst5.0）和自助打印拓展终端（SPC3.0）。</w:t>
            </w:r>
          </w:p>
          <w:p w14:paraId="645F87A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u w:val="none"/>
                <w:lang w:val="en-US" w:eastAsia="zh-CN" w:bidi="ar"/>
              </w:rPr>
              <w:t>通过运维单位的运维服务体系，提供硬件设备的定期巡检、预警信息及时传达，第一时间排查故障并解决，保证硬件设备正常运行1年。</w:t>
            </w:r>
          </w:p>
        </w:tc>
        <w:tc>
          <w:tcPr>
            <w:tcW w:w="427" w:type="dxa"/>
            <w:noWrap w:val="0"/>
            <w:vAlign w:val="center"/>
          </w:tcPr>
          <w:p w14:paraId="56B2B16C">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6DC82C0E">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23</w:t>
            </w:r>
          </w:p>
        </w:tc>
        <w:tc>
          <w:tcPr>
            <w:tcW w:w="427" w:type="dxa"/>
            <w:noWrap w:val="0"/>
            <w:vAlign w:val="center"/>
          </w:tcPr>
          <w:p w14:paraId="32838CDF">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914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70C751C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12</w:t>
            </w:r>
          </w:p>
        </w:tc>
        <w:tc>
          <w:tcPr>
            <w:tcW w:w="951" w:type="dxa"/>
            <w:noWrap w:val="0"/>
            <w:vAlign w:val="center"/>
          </w:tcPr>
          <w:p w14:paraId="0EB31AB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证照自助服务一体机</w:t>
            </w:r>
            <w:r>
              <w:rPr>
                <w:rFonts w:hint="eastAsia" w:ascii="宋体" w:hAnsi="宋体" w:cs="宋体"/>
                <w:b w:val="0"/>
                <w:bCs w:val="0"/>
                <w:i w:val="0"/>
                <w:iCs w:val="0"/>
                <w:color w:val="auto"/>
                <w:kern w:val="0"/>
                <w:sz w:val="21"/>
                <w:szCs w:val="21"/>
                <w:highlight w:val="none"/>
                <w:u w:val="none"/>
                <w:lang w:val="en-US" w:eastAsia="zh-CN" w:bidi="ar"/>
              </w:rPr>
              <w:t>维保</w:t>
            </w:r>
          </w:p>
        </w:tc>
        <w:tc>
          <w:tcPr>
            <w:tcW w:w="6726" w:type="dxa"/>
            <w:noWrap w:val="0"/>
            <w:vAlign w:val="center"/>
          </w:tcPr>
          <w:p w14:paraId="7AE32C4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生产厂商：江苏星网软件有限公司</w:t>
            </w:r>
          </w:p>
          <w:p w14:paraId="5030AC4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设备型号：XW-ASM6806</w:t>
            </w:r>
          </w:p>
          <w:p w14:paraId="48A3F52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1、基本现场维保：</w:t>
            </w:r>
          </w:p>
          <w:p w14:paraId="13825E8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维保期内负责硬件设备的故障维修，1个小时内故障响应，根据现场情况，如电话或远程解决不了的问题，最迟6个小时内到达现场,保证硬件设备正常运行1年。</w:t>
            </w:r>
          </w:p>
          <w:p w14:paraId="28E0575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2、故障配件更换</w:t>
            </w:r>
          </w:p>
          <w:p w14:paraId="428586F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服务工程师确定故障元件，并及时采取措施，免费更换配件（不包含耗材（打印机墨粉、硒鼓、纸张、滚轮）、人为损坏、一代机配件）。硬件损坏并更换后，配合用户完成更换元器件所需的其他后续工作。</w:t>
            </w:r>
          </w:p>
          <w:p w14:paraId="44B1710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3、支持电话及远程指导以及其他的软件服务、巡检等</w:t>
            </w:r>
          </w:p>
          <w:p w14:paraId="03A0B8D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4、提供“营业执照打印”软件的免费升级服务，负责完成系统软件升级工作，包括提出升级方案，升级操作，系统跟踪等工作。</w:t>
            </w:r>
          </w:p>
          <w:p w14:paraId="37EF761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24F466B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6B3187A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427" w:type="dxa"/>
            <w:noWrap w:val="0"/>
            <w:vAlign w:val="center"/>
          </w:tcPr>
          <w:p w14:paraId="4F00F26F">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29C9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7F8C47F">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13</w:t>
            </w:r>
          </w:p>
        </w:tc>
        <w:tc>
          <w:tcPr>
            <w:tcW w:w="951" w:type="dxa"/>
            <w:noWrap w:val="0"/>
            <w:vAlign w:val="center"/>
          </w:tcPr>
          <w:p w14:paraId="2A78AFE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升级“苏服办”APP旗舰店</w:t>
            </w:r>
          </w:p>
        </w:tc>
        <w:tc>
          <w:tcPr>
            <w:tcW w:w="6726" w:type="dxa"/>
            <w:noWrap w:val="0"/>
            <w:vAlign w:val="center"/>
          </w:tcPr>
          <w:p w14:paraId="5539DA6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对“苏服办”App 射阳县旗舰店适配优化改造，基于江苏一体化政务服务平台多端低代码系统及移动多端平台对“苏服办”App 射阳县旗舰店进行鸿蒙适配改造，改造工作包含页面开发、功能规划、前端框架改造、业务功能组件适配、应用容器适配等工作，进一步提升数据安全性与系统稳定性，确保“苏服办”APP在鸿蒙系统上高效运行。</w:t>
            </w:r>
          </w:p>
          <w:p w14:paraId="0A5D556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1、页面设计与开发</w:t>
            </w:r>
          </w:p>
          <w:p w14:paraId="1E65565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须结合“苏服办”App鸿蒙架构开发要求，完成页面设计与页面开发工作，保障“苏服办”App射阳县旗舰店整体页面在鸿蒙端进行正常展现，页面设计与开发内容包括：首页、消息中心、旗舰店功能模块等。</w:t>
            </w:r>
          </w:p>
          <w:p w14:paraId="438DA2A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2、功能规划</w:t>
            </w:r>
          </w:p>
          <w:p w14:paraId="475DC21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能够对“苏服办”APP射阳县旗舰店整体功能进行规划，确保障旗舰店鸿蒙端与IOS、Android双端服务内容一致。</w:t>
            </w:r>
          </w:p>
          <w:p w14:paraId="6E23962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3、前端框架改造</w:t>
            </w:r>
          </w:p>
          <w:p w14:paraId="2372778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根据省数据局《关于配合开展鸿蒙版“苏服办”APP旗舰店改造的通知》要求，能够在江苏一体化政务服务平台多端低代码系统上搭建站点和旗舰店页面，使用基础组件与自定义组件进行页面开发，确保页面在不同设备和浏览器上的兼容性，能够适配不同用户群体的使用习惯，集成原生功能或调用第三方服务，增强应用功能性和用户体验。</w:t>
            </w:r>
          </w:p>
          <w:p w14:paraId="123534F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4、保障业务功能组件适配</w:t>
            </w:r>
          </w:p>
          <w:p w14:paraId="48334B5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须调用江苏一体化政务服务平台多端低代码系统内置的基础组件、导航组件、列表组件、选项卡组件、轮播组件。并能够基于原旗舰店已上线功能开展组件定制适配工作，包含但不限于：静态展示、动态滚动、交互效果等。</w:t>
            </w:r>
          </w:p>
          <w:p w14:paraId="504CECC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5、应用容器适配</w:t>
            </w:r>
          </w:p>
          <w:p w14:paraId="216427D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能够针对存量应用能力进行适配改造，包含但不限于：服务订阅、服务检索、服务使用以及服务查看等功能，确保其能够在新的或不同的应用容器中顺畅运行。能够与“苏服办”App鸿蒙版应用容器的通信协议、数据格式、服务调用机制以及用户界面标准相兼容，从而提升应用的性能、稳定性和用户体验。</w:t>
            </w:r>
          </w:p>
          <w:p w14:paraId="7426EAFE">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lang w:val="en-US" w:eastAsia="zh-CN" w:bidi="ar"/>
              </w:rPr>
              <w:t>6、</w:t>
            </w:r>
            <w:r>
              <w:rPr>
                <w:rFonts w:hint="eastAsia" w:ascii="宋体" w:hAnsi="宋体" w:eastAsia="宋体" w:cs="宋体"/>
                <w:b w:val="0"/>
                <w:bCs w:val="0"/>
                <w:i w:val="0"/>
                <w:iCs w:val="0"/>
                <w:color w:val="auto"/>
                <w:kern w:val="0"/>
                <w:sz w:val="21"/>
                <w:szCs w:val="21"/>
                <w:highlight w:val="none"/>
                <w:u w:val="none"/>
                <w:lang w:val="en-US" w:eastAsia="zh-CN" w:bidi="ar"/>
              </w:rPr>
              <w:t>政务服务网优化</w:t>
            </w:r>
          </w:p>
          <w:p w14:paraId="0A49C518">
            <w:pPr>
              <w:keepNext w:val="0"/>
              <w:keepLines w:val="0"/>
              <w:pageBreakBefore w:val="0"/>
              <w:widowControl w:val="0"/>
              <w:numPr>
                <w:ilvl w:val="0"/>
                <w:numId w:val="0"/>
              </w:numPr>
              <w:suppressLineNumbers w:val="0"/>
              <w:kinsoku/>
              <w:wordWrap/>
              <w:overflowPunct/>
              <w:topLinePunct w:val="0"/>
              <w:bidi w:val="0"/>
              <w:snapToGrid w:val="0"/>
              <w:ind w:leftChars="0" w:right="0" w:right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各类“一件事”事项点击链接跳转到相应“一件事”具体办事指南，而不是跳转到省高效办成一件事专区。</w:t>
            </w:r>
          </w:p>
          <w:p w14:paraId="4E3EB763">
            <w:pPr>
              <w:keepNext w:val="0"/>
              <w:keepLines w:val="0"/>
              <w:pageBreakBefore w:val="0"/>
              <w:widowControl w:val="0"/>
              <w:numPr>
                <w:ilvl w:val="0"/>
                <w:numId w:val="0"/>
              </w:numPr>
              <w:suppressLineNumbers w:val="0"/>
              <w:kinsoku/>
              <w:wordWrap/>
              <w:overflowPunct/>
              <w:topLinePunct w:val="0"/>
              <w:bidi w:val="0"/>
              <w:snapToGrid w:val="0"/>
              <w:ind w:leftChars="0" w:right="0" w:right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17D99BE0">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0E234F9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5CEBE91F">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1CB3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27364FE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14</w:t>
            </w:r>
          </w:p>
        </w:tc>
        <w:tc>
          <w:tcPr>
            <w:tcW w:w="951" w:type="dxa"/>
            <w:noWrap w:val="0"/>
            <w:vAlign w:val="center"/>
          </w:tcPr>
          <w:p w14:paraId="1EBF266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12345平台智能分析系统</w:t>
            </w:r>
          </w:p>
        </w:tc>
        <w:tc>
          <w:tcPr>
            <w:tcW w:w="6726" w:type="dxa"/>
            <w:noWrap w:val="0"/>
            <w:vAlign w:val="center"/>
          </w:tcPr>
          <w:p w14:paraId="7EFD78D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（1）话题解析模块，基于系统自动化标签能力，围绕话题总览、关键指标、热点词云、趋势分析、责任主体分析、处置单位分析、诉求人分析、高发地区分析、关联工单分析9个角度构建热点话题分析体系。</w:t>
            </w:r>
          </w:p>
          <w:p w14:paraId="553CB56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对象速析模块，基于系统自动化标签能力，围绕诉求人总览、关键指标、热点词云、诉求人画像分析、趋势分析、责任主体分析、处置单位分析、话题分析、关联工单分析、超期工单分析、延期工单分析、不满意工单分析12个角度构建诉求人分析体系。</w:t>
            </w:r>
            <w:r>
              <w:rPr>
                <w:rFonts w:hint="eastAsia" w:ascii="宋体" w:hAnsi="宋体" w:cs="宋体"/>
                <w:b w:val="0"/>
                <w:bCs w:val="0"/>
                <w:i w:val="0"/>
                <w:iCs w:val="0"/>
                <w:color w:val="auto"/>
                <w:kern w:val="0"/>
                <w:sz w:val="21"/>
                <w:szCs w:val="21"/>
                <w:highlight w:val="none"/>
                <w:u w:val="none"/>
                <w:lang w:val="en-US" w:eastAsia="zh-CN" w:bidi="ar"/>
              </w:rPr>
              <w:t>（提供相关截图并加盖投标人公章）</w:t>
            </w:r>
          </w:p>
          <w:p w14:paraId="24940C3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（3）主体分析模块，基于系统自动化标签能力，以责任主体总览、关键指标、热点词云、类型分析、诉求人分析、处置单位分析、话题分析、高发地区分析、关联工单分析9个角度构建责任主体分析体系。</w:t>
            </w:r>
          </w:p>
          <w:p w14:paraId="363DA07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单位效析模块，基于系统自动化标签能力，通过对处置单位总览、关键指标、热点词云、处置单位画像分析、诉求人分析、责任主体分析、话题分析、高发地区分析、不作为行为工单分析9个角度的分析，来构建一个完整的处置单位分析体系。</w:t>
            </w:r>
            <w:r>
              <w:rPr>
                <w:rFonts w:hint="eastAsia" w:ascii="宋体" w:hAnsi="宋体" w:cs="宋体"/>
                <w:b w:val="0"/>
                <w:bCs w:val="0"/>
                <w:i w:val="0"/>
                <w:iCs w:val="0"/>
                <w:color w:val="auto"/>
                <w:kern w:val="0"/>
                <w:sz w:val="21"/>
                <w:szCs w:val="21"/>
                <w:highlight w:val="none"/>
                <w:u w:val="none"/>
                <w:lang w:val="en-US" w:eastAsia="zh-CN" w:bidi="ar"/>
              </w:rPr>
              <w:t>（提供相关截图并加盖投标人公章）</w:t>
            </w:r>
          </w:p>
          <w:p w14:paraId="78F9AFF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民意速查模块，基于系统灵活条件查询工具和工单聚类分析能力，为用户提供全方位、多维度的工单查询能力，通过结合自身需求灵活设置筛选条件，自定义查询相关工单分析参数，以获取精准的工单数据。基于系统智能化的报告生成能力,为业务部门提供全面、高效、灵活、智能的周期报告编制支撑，快速生成用户想要的民意报告，并提供趋势分析和整改建议。</w:t>
            </w:r>
          </w:p>
          <w:p w14:paraId="2063C85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（6）民意报告模块，基于系统智能化的报告生成能力，为业务部门提供全面、高效、灵活、智能的周期报告编制支撑，快速生成用户想要的民意报告，并提供趋势分析和整改建议。</w:t>
            </w:r>
          </w:p>
          <w:p w14:paraId="6D0EC59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▲（7）敏感词管理模块，基于系统敏感词库和敏感词列表，实现对系统使用的敏感词进行管理维护，提供敏感词库管理和关联列表管理能力。</w:t>
            </w:r>
            <w:r>
              <w:rPr>
                <w:rFonts w:hint="eastAsia" w:ascii="宋体" w:hAnsi="宋体" w:cs="宋体"/>
                <w:b w:val="0"/>
                <w:bCs w:val="0"/>
                <w:i w:val="0"/>
                <w:iCs w:val="0"/>
                <w:color w:val="auto"/>
                <w:kern w:val="0"/>
                <w:sz w:val="21"/>
                <w:szCs w:val="21"/>
                <w:highlight w:val="none"/>
                <w:u w:val="none"/>
                <w:lang w:val="en-US" w:eastAsia="zh-CN" w:bidi="ar"/>
              </w:rPr>
              <w:t>（提供相关截图并加盖投标人公章）</w:t>
            </w:r>
          </w:p>
          <w:p w14:paraId="1F7299E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▲（8）标签管理模块，基于归口、地域、类型要素对工单数据进行自动化的标签分类，主要功能包括标签清单、标签创建、标签删除和标签导入。</w:t>
            </w:r>
            <w:r>
              <w:rPr>
                <w:rFonts w:hint="eastAsia" w:ascii="宋体" w:hAnsi="宋体" w:cs="宋体"/>
                <w:b w:val="0"/>
                <w:bCs w:val="0"/>
                <w:i w:val="0"/>
                <w:iCs w:val="0"/>
                <w:color w:val="auto"/>
                <w:kern w:val="0"/>
                <w:sz w:val="21"/>
                <w:szCs w:val="21"/>
                <w:highlight w:val="none"/>
                <w:u w:val="none"/>
                <w:lang w:val="en-US" w:eastAsia="zh-CN" w:bidi="ar"/>
              </w:rPr>
              <w:t>（提供相关截图并加盖投标人公章）</w:t>
            </w:r>
          </w:p>
          <w:p w14:paraId="5F41DA2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大屏可视化模块，基于热点话题分析、责任主体分析、敏感词识别、处置单位分析多种数据分析能力，以大屏可视化形式呈现分析结果，功能包含态势概览、高频诉求人、热点话题、高频敏感词、高发主体、不作为处置分析和趋势研判。</w:t>
            </w:r>
            <w:r>
              <w:rPr>
                <w:rFonts w:hint="eastAsia" w:ascii="宋体" w:hAnsi="宋体" w:cs="宋体"/>
                <w:b w:val="0"/>
                <w:bCs w:val="0"/>
                <w:i w:val="0"/>
                <w:iCs w:val="0"/>
                <w:color w:val="auto"/>
                <w:kern w:val="0"/>
                <w:sz w:val="21"/>
                <w:szCs w:val="21"/>
                <w:highlight w:val="none"/>
                <w:u w:val="none"/>
                <w:lang w:val="en-US" w:eastAsia="zh-CN" w:bidi="ar"/>
              </w:rPr>
              <w:t>（提供相关截图并加盖投标人公章）</w:t>
            </w:r>
          </w:p>
          <w:p w14:paraId="1EEA93A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（10）对接共享交换平台，需通过对接当地共享交换平台，获取盐城市回流的射阳县热线工单数据，用于进行数据分析。</w:t>
            </w:r>
          </w:p>
          <w:p w14:paraId="0AF3E06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（11）对接射阳政务服务管理平台，系统建成后需接入射阳政务服务管理平台，通过射阳政务服务管理平台单点登录。</w:t>
            </w:r>
          </w:p>
          <w:p w14:paraId="5D6A495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3C9467EA">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495901FC">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18D0702D">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4654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34B6E5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15</w:t>
            </w:r>
          </w:p>
        </w:tc>
        <w:tc>
          <w:tcPr>
            <w:tcW w:w="951" w:type="dxa"/>
            <w:noWrap w:val="0"/>
            <w:vAlign w:val="center"/>
          </w:tcPr>
          <w:p w14:paraId="4F60CCA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射阳县政务管理平台测评服务</w:t>
            </w:r>
          </w:p>
        </w:tc>
        <w:tc>
          <w:tcPr>
            <w:tcW w:w="6726" w:type="dxa"/>
            <w:noWrap w:val="0"/>
            <w:vAlign w:val="center"/>
          </w:tcPr>
          <w:p w14:paraId="25DC251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三级等保测评服务1次，需免费提供一年感知设备供市民中心大楼使用。</w:t>
            </w:r>
          </w:p>
        </w:tc>
        <w:tc>
          <w:tcPr>
            <w:tcW w:w="427" w:type="dxa"/>
            <w:noWrap w:val="0"/>
            <w:vAlign w:val="center"/>
          </w:tcPr>
          <w:p w14:paraId="7DE8AC9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10F35E7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4355D5E4">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1EA4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491002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16</w:t>
            </w:r>
          </w:p>
        </w:tc>
        <w:tc>
          <w:tcPr>
            <w:tcW w:w="951" w:type="dxa"/>
            <w:noWrap w:val="0"/>
            <w:vAlign w:val="center"/>
          </w:tcPr>
          <w:p w14:paraId="5EBD931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射阳县公共资源交易管理平台测评服务</w:t>
            </w:r>
          </w:p>
        </w:tc>
        <w:tc>
          <w:tcPr>
            <w:tcW w:w="6726" w:type="dxa"/>
            <w:noWrap w:val="0"/>
            <w:vAlign w:val="center"/>
          </w:tcPr>
          <w:p w14:paraId="5CC7C56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三级等保测评服务1次，需免费提供一年三次的巡检、漏扫、重保服务。</w:t>
            </w:r>
          </w:p>
        </w:tc>
        <w:tc>
          <w:tcPr>
            <w:tcW w:w="427" w:type="dxa"/>
            <w:noWrap w:val="0"/>
            <w:vAlign w:val="center"/>
          </w:tcPr>
          <w:p w14:paraId="7119CF0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4BE313A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5F10359C">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73B4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2B05DB2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17</w:t>
            </w:r>
          </w:p>
        </w:tc>
        <w:tc>
          <w:tcPr>
            <w:tcW w:w="951" w:type="dxa"/>
            <w:noWrap w:val="0"/>
            <w:vAlign w:val="center"/>
          </w:tcPr>
          <w:p w14:paraId="203C73C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射阳县政务外网系统</w:t>
            </w:r>
          </w:p>
        </w:tc>
        <w:tc>
          <w:tcPr>
            <w:tcW w:w="6726" w:type="dxa"/>
            <w:noWrap w:val="0"/>
            <w:vAlign w:val="center"/>
          </w:tcPr>
          <w:p w14:paraId="2F57EE3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二级等保测评服务1次</w:t>
            </w:r>
          </w:p>
        </w:tc>
        <w:tc>
          <w:tcPr>
            <w:tcW w:w="427" w:type="dxa"/>
            <w:noWrap w:val="0"/>
            <w:vAlign w:val="center"/>
          </w:tcPr>
          <w:p w14:paraId="7D01CBF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5D17E5CC">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770EAFF5">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E1E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4A3121B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18</w:t>
            </w:r>
          </w:p>
        </w:tc>
        <w:tc>
          <w:tcPr>
            <w:tcW w:w="951" w:type="dxa"/>
            <w:noWrap w:val="0"/>
            <w:vAlign w:val="center"/>
          </w:tcPr>
          <w:p w14:paraId="217B014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核心交换机</w:t>
            </w:r>
            <w:r>
              <w:rPr>
                <w:rFonts w:hint="eastAsia" w:ascii="宋体" w:hAnsi="宋体" w:cs="宋体"/>
                <w:b w:val="0"/>
                <w:bCs w:val="0"/>
                <w:i w:val="0"/>
                <w:iCs w:val="0"/>
                <w:color w:val="auto"/>
                <w:kern w:val="0"/>
                <w:sz w:val="21"/>
                <w:szCs w:val="21"/>
                <w:highlight w:val="none"/>
                <w:u w:val="none"/>
                <w:lang w:val="en-US" w:eastAsia="zh-CN" w:bidi="ar"/>
              </w:rPr>
              <w:t>续保</w:t>
            </w:r>
          </w:p>
        </w:tc>
        <w:tc>
          <w:tcPr>
            <w:tcW w:w="6726" w:type="dxa"/>
            <w:noWrap w:val="0"/>
            <w:vAlign w:val="center"/>
          </w:tcPr>
          <w:p w14:paraId="444D52D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设备型号：S7506；</w:t>
            </w:r>
          </w:p>
          <w:p w14:paraId="29CFABF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交流电源模块,2500W；44端口千兆以太网光口(SFP,LC)+4端口万兆以太网光接口模块(SFP+,LC)；H3C S7506E-X-主控板，B类；H3C S7506E-X-交换网板,C类；H3C S7506E-X 以太网交换机主机。网络产品基本维保服务标准版(7x24)，1年。</w:t>
            </w:r>
          </w:p>
          <w:p w14:paraId="0CA70D8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4E74A31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24AAF35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427" w:type="dxa"/>
            <w:noWrap w:val="0"/>
            <w:vAlign w:val="center"/>
          </w:tcPr>
          <w:p w14:paraId="5CB69E67">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A95A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EEC278C">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19</w:t>
            </w:r>
          </w:p>
        </w:tc>
        <w:tc>
          <w:tcPr>
            <w:tcW w:w="951" w:type="dxa"/>
            <w:noWrap w:val="0"/>
            <w:vAlign w:val="center"/>
          </w:tcPr>
          <w:p w14:paraId="49D83D6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核心路由器</w:t>
            </w:r>
            <w:r>
              <w:rPr>
                <w:rFonts w:hint="eastAsia" w:ascii="宋体" w:hAnsi="宋体" w:cs="宋体"/>
                <w:b w:val="0"/>
                <w:bCs w:val="0"/>
                <w:i w:val="0"/>
                <w:iCs w:val="0"/>
                <w:color w:val="auto"/>
                <w:kern w:val="0"/>
                <w:sz w:val="21"/>
                <w:szCs w:val="21"/>
                <w:highlight w:val="none"/>
                <w:u w:val="none"/>
                <w:lang w:val="en-US" w:eastAsia="zh-CN" w:bidi="ar"/>
              </w:rPr>
              <w:t>维保</w:t>
            </w:r>
          </w:p>
        </w:tc>
        <w:tc>
          <w:tcPr>
            <w:tcW w:w="6726" w:type="dxa"/>
            <w:noWrap w:val="0"/>
            <w:vAlign w:val="center"/>
          </w:tcPr>
          <w:p w14:paraId="4B21109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设备型号：SR6608；</w:t>
            </w:r>
          </w:p>
          <w:p w14:paraId="2673E15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主控单元RPE-X3(2G DDR3/1CON&amp;AUX/1GE Mgt/1MiniUSBCON/1USB)；SR6600 机箱附件(RPE-X3配套)；16端口千兆以太网光口(SFP)+4端口千兆以太网Combo口+2端口万兆以太网光口(SFP+)模块；4端口千兆以太网电接口模块；H3C PSR1200A 交流电源模块,1200W；H3C SR6608 路由器机框。网络产品基本维保服务标准版(7x24)，1年。</w:t>
            </w:r>
          </w:p>
          <w:p w14:paraId="7F18EEA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09035B5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27F3CE1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427" w:type="dxa"/>
            <w:noWrap w:val="0"/>
            <w:vAlign w:val="center"/>
          </w:tcPr>
          <w:p w14:paraId="73935E6B">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022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7615480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20</w:t>
            </w:r>
          </w:p>
        </w:tc>
        <w:tc>
          <w:tcPr>
            <w:tcW w:w="951" w:type="dxa"/>
            <w:noWrap w:val="0"/>
            <w:vAlign w:val="center"/>
          </w:tcPr>
          <w:p w14:paraId="5BEE585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网络服务</w:t>
            </w:r>
          </w:p>
        </w:tc>
        <w:tc>
          <w:tcPr>
            <w:tcW w:w="6726" w:type="dxa"/>
            <w:noWrap w:val="0"/>
            <w:vAlign w:val="center"/>
          </w:tcPr>
          <w:p w14:paraId="62EBB09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确保电子政务外网线路接入到237个村级终端，提供相应线缆接入服务，对射阳县电子政务核心机房现有设备、线缆整改</w:t>
            </w:r>
          </w:p>
          <w:p w14:paraId="392CB87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6BB7182E">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42656FA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451848C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84DE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4848F4C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21</w:t>
            </w:r>
          </w:p>
        </w:tc>
        <w:tc>
          <w:tcPr>
            <w:tcW w:w="951" w:type="dxa"/>
            <w:noWrap w:val="0"/>
            <w:vAlign w:val="center"/>
          </w:tcPr>
          <w:p w14:paraId="75B6822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现场运维</w:t>
            </w:r>
          </w:p>
        </w:tc>
        <w:tc>
          <w:tcPr>
            <w:tcW w:w="6726" w:type="dxa"/>
            <w:noWrap w:val="0"/>
            <w:vAlign w:val="center"/>
          </w:tcPr>
          <w:p w14:paraId="749322A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提供一名现场运维人员提供三年运维服务</w:t>
            </w:r>
          </w:p>
          <w:p w14:paraId="47C6503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3CB965B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0228752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1B2B669F">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4179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D11125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22</w:t>
            </w:r>
          </w:p>
        </w:tc>
        <w:tc>
          <w:tcPr>
            <w:tcW w:w="951" w:type="dxa"/>
            <w:noWrap w:val="0"/>
            <w:vAlign w:val="center"/>
          </w:tcPr>
          <w:p w14:paraId="73B2AAF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运维显示屏</w:t>
            </w:r>
          </w:p>
        </w:tc>
        <w:tc>
          <w:tcPr>
            <w:tcW w:w="6726" w:type="dxa"/>
            <w:noWrap w:val="0"/>
            <w:vAlign w:val="center"/>
          </w:tcPr>
          <w:p w14:paraId="6B85FE6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75寸壁挂式显示器，含壁挂支架；不低于4K分辨率，支持16：9显示。</w:t>
            </w:r>
          </w:p>
          <w:p w14:paraId="5B311B8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220C012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项</w:t>
            </w:r>
          </w:p>
        </w:tc>
        <w:tc>
          <w:tcPr>
            <w:tcW w:w="636" w:type="dxa"/>
            <w:noWrap w:val="0"/>
            <w:vAlign w:val="center"/>
          </w:tcPr>
          <w:p w14:paraId="7B3B97D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79C2FDF1">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7CBEA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57C5078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23</w:t>
            </w:r>
          </w:p>
        </w:tc>
        <w:tc>
          <w:tcPr>
            <w:tcW w:w="951" w:type="dxa"/>
            <w:noWrap w:val="0"/>
            <w:vAlign w:val="center"/>
          </w:tcPr>
          <w:p w14:paraId="30B3AE0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威胁网关</w:t>
            </w:r>
          </w:p>
        </w:tc>
        <w:tc>
          <w:tcPr>
            <w:tcW w:w="6726" w:type="dxa"/>
            <w:noWrap w:val="0"/>
            <w:vAlign w:val="center"/>
          </w:tcPr>
          <w:p w14:paraId="6224C5F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1、Console口：≥1个；USB接口：≥2个 2.0；固定接口：≥10个（≥6个千兆电口、≥4个万兆光口，其中包含1个千兆管理电口、≥2对千兆 Bypass 电口）扩展模块槽：≥2个通用扩展槽；内存：≥32GB；存储：≥32GB SSD；硬盘：≥1TB；包含 3年威胁情报软件授权及更新，硬件质保；</w:t>
            </w:r>
            <w:r>
              <w:rPr>
                <w:rFonts w:hint="eastAsia" w:ascii="宋体" w:hAnsi="宋体" w:eastAsia="宋体" w:cs="宋体"/>
                <w:b w:val="0"/>
                <w:bCs w:val="0"/>
                <w:i w:val="0"/>
                <w:iCs w:val="0"/>
                <w:color w:val="auto"/>
                <w:kern w:val="0"/>
                <w:sz w:val="21"/>
                <w:szCs w:val="21"/>
                <w:highlight w:val="none"/>
                <w:u w:val="none"/>
                <w:lang w:val="en-US" w:eastAsia="zh-CN" w:bidi="ar"/>
              </w:rPr>
              <w:t>满足国产化需求。</w:t>
            </w:r>
          </w:p>
          <w:p w14:paraId="47951B8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2、设备吞吐量&gt;2 Gbps，支持并发连接数&gt;500W，支持新建连接数&gt;5W，dns请求数量上限至少1200w；</w:t>
            </w:r>
          </w:p>
          <w:p w14:paraId="6671AF3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3、设备支持旁路部署、网桥部署、虚拟网线部署、混合部署多种部署方式；</w:t>
            </w:r>
          </w:p>
          <w:p w14:paraId="71DD8CC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4、支持可视化展示部署逻辑图，自动识别启用接口、展示接口连线及与部署模式的对应关系；</w:t>
            </w:r>
          </w:p>
          <w:p w14:paraId="50B0342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支持对多种类型的入侵攻击进行检测和防护，包括侦查、漏洞利用、病毒攻击、建立通信隧道、网站后门&amp;shell、连接远控地址、木马远控、远控工具流量、挖矿、僵尸网络行为、蠕虫攻击、勒索攻击、数据窃取、尝试下载恶意文件、钓鱼、对外攻击、攻击持久化操作等；</w:t>
            </w:r>
          </w:p>
          <w:p w14:paraId="2322BC4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6、▲设备需要支持高危0day漏洞攻击防护能力，支持0day漏洞防护数量不少于300个；（需提供0day漏洞防护相关截图并加盖投标人公章）</w:t>
            </w:r>
          </w:p>
          <w:p w14:paraId="24B6DB3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7、支持针对勒索攻击的网络威胁进行防护，对勒索病毒挂马的各类主机反连行为进行实时检测和自动化防护，具备勒索攻击防护场景下的安全策略设置、检测防护效果专项页面。</w:t>
            </w:r>
          </w:p>
          <w:p w14:paraId="15EAC01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8、支持针对钓鱼攻击的网络威胁进行专项防护，对通过各类钓鱼链接发起的主机反连行为进行实时检测和自动化防护，具备钓鱼攻击防护场景下的安全策略设置、检测防护效果专项页面。</w:t>
            </w:r>
          </w:p>
          <w:p w14:paraId="239BA40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9、支持针对APT攻击的网络威胁进行专项防护，支持对APT组织攻击行为的检测和拦截，具备APT攻击防护场景的安全策略设置、检测防护效果专项页面。</w:t>
            </w:r>
          </w:p>
          <w:p w14:paraId="5AC1C0F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10、支持对于各类木马远控、挖矿、DNSlog等恶意软件引发的失陷威胁进行防护，对各类型失陷主机的反连行为进行实时检测和自动化防护；</w:t>
            </w:r>
          </w:p>
          <w:p w14:paraId="76C7166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11、设备失陷类（IOC）情报数量不低于200W，且能够保持分钟级频率更新；</w:t>
            </w:r>
          </w:p>
          <w:p w14:paraId="7C75EE4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12、支持对至少300+的APT攻击组织进行有效防护，能够覆盖其最新的攻击行为和攻击工具；</w:t>
            </w:r>
          </w:p>
          <w:p w14:paraId="6D4FB97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13、▲支持旁路部署模式下对威胁进行有效阻断，需要同时支持对TCP连接和UDP连接的阻断，阻断率不低于99%；（提供相关截图并加盖投标人公章）</w:t>
            </w:r>
          </w:p>
          <w:p w14:paraId="506ACF4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14、支持通过API接口调用的方式和三方设备进行联动，通过联动对设备黑白名单进行增、删、改、查操作，实现威胁自动化联动封禁；</w:t>
            </w:r>
          </w:p>
          <w:p w14:paraId="4B8E140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15、▲支持配置HTTP请求头字段来监测和阻断潜在的恶意流量，支持通过Http Header字段中URL、Referer、User-Agent、Cookie、Http请求方法等字段及自定义请求参数进行组合防护；（提供相关截图并加盖投标人公章）</w:t>
            </w:r>
          </w:p>
          <w:p w14:paraId="4D31AE8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16、▲设置支持IPV6黑名单封禁；（提供相关截图并加盖投标人公章）</w:t>
            </w:r>
          </w:p>
          <w:p w14:paraId="758CBFA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17、▲设备支持接入DHCP日志，展示告警主机关联的IP、MAC地址、主机名信息，实现内网真实失陷主机的精准定位；（提供相关截图并加盖投标人公章）</w:t>
            </w:r>
          </w:p>
          <w:p w14:paraId="5A962C8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18、系统具备默认高危端口组，支持管理并自定义高危端口组，支持将高危端口组引入安全策略中，为不同的资产组设置不同的高危端口组并设置不同的防护动作，支持查看高危端口防护日志；</w:t>
            </w:r>
          </w:p>
          <w:p w14:paraId="3FD7313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19、▲可支持封禁策略20W条以上，支持封禁IP无上限。（提供相关截图并加盖投标人公章）</w:t>
            </w:r>
          </w:p>
          <w:p w14:paraId="2E50E3A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20、▲支持在攻防演练场景下，自动获取攻击队情报信息，检测且拦截攻击队攻击行为；（提供相关截图并加盖投标人公章）</w:t>
            </w:r>
          </w:p>
          <w:p w14:paraId="7279B5E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1BCEE85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72EEB2C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44A89C48">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43F3A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1207C8F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24</w:t>
            </w:r>
          </w:p>
        </w:tc>
        <w:tc>
          <w:tcPr>
            <w:tcW w:w="951" w:type="dxa"/>
            <w:noWrap w:val="0"/>
            <w:vAlign w:val="center"/>
          </w:tcPr>
          <w:p w14:paraId="4F9E66C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互联网行为管理</w:t>
            </w:r>
          </w:p>
          <w:p w14:paraId="75BA8FC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p>
        </w:tc>
        <w:tc>
          <w:tcPr>
            <w:tcW w:w="6726" w:type="dxa"/>
            <w:noWrap w:val="0"/>
            <w:vAlign w:val="center"/>
          </w:tcPr>
          <w:p w14:paraId="7B3F10A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1.网络层吞吐量（大包）≥20Gb，应用层吞吐量≥6Gb，带宽性能≥4Gb，支持用户数≥40000，包转发率≥625Kpps，每秒新建连接数≥75000，最大并发连接数：3000000。规格≥2U，内存大小≥32G，硬盘容量≥128G SSD+960G SSD，电源≥冗余电源，接口≥4千兆电口+4千兆光口SFP+2万兆光口SFP+，含三年软硬件质保及规则库升级，满足国产化需求。</w:t>
            </w:r>
          </w:p>
          <w:p w14:paraId="1CA15F0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2.▲支持ssl中间人解密和准入客户端解密。（提供第三方检测报告并加盖投标人公章）。</w:t>
            </w:r>
          </w:p>
          <w:p w14:paraId="40CA529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3.支持在设置流量策略后，根据整体线路或者某流量通道内的空闲情况，自动启用和停止使用流量控制策略，以提升带宽的高使用率，具有负载均衡功能。</w:t>
            </w:r>
          </w:p>
          <w:p w14:paraId="557408B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4.支持将非法热点接入网络的行为通过邮件告警通知管理员</w:t>
            </w:r>
          </w:p>
          <w:p w14:paraId="51F0773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5.支持根据标签选择应用，标签分类至少包含安全风险、高带宽消耗、发送电子邮件、降低工作效率、外发文件泄密风险、主流论坛和微博发帖6大类；支持给每个应用自定义标签。</w:t>
            </w:r>
          </w:p>
          <w:p w14:paraId="55100DF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6.能够针对各种URL类型做识别和分类，同时所有URL类型都支持区分“网站浏览”、“文件上传”、“其他上传”、“HTTPS”等细分行为并分别做权限控制；</w:t>
            </w:r>
          </w:p>
          <w:p w14:paraId="18C6A48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7.支持记录全部或者指定类别URL、网页标题、网页内容等信息，支持网页内容审计后的网页快照功能；</w:t>
            </w:r>
          </w:p>
          <w:p w14:paraId="3CA0C48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8.▲支持查看当前网络诊断结果与受影响用户,同时支持对单用户进行定向 Web 访问质量检测；（提供第三方检测报告并加盖投标人公章）</w:t>
            </w:r>
          </w:p>
          <w:p w14:paraId="3F836A5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9.支持对加密HTTPS、SMTP-SSL、SMTP的邮件进行识别；</w:t>
            </w:r>
          </w:p>
          <w:p w14:paraId="6F86A57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10.▲支持短信和微信实现快捷登录认证。（提供第三方检测报告并加盖投标人公章）</w:t>
            </w:r>
          </w:p>
          <w:p w14:paraId="376FB4B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0DB4EDEE">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3BB937D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387474EB">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A08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2203F3C">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25</w:t>
            </w:r>
          </w:p>
        </w:tc>
        <w:tc>
          <w:tcPr>
            <w:tcW w:w="951" w:type="dxa"/>
            <w:noWrap w:val="0"/>
            <w:vAlign w:val="center"/>
          </w:tcPr>
          <w:p w14:paraId="06E8BA7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防毒墙</w:t>
            </w:r>
          </w:p>
        </w:tc>
        <w:tc>
          <w:tcPr>
            <w:tcW w:w="6726" w:type="dxa"/>
            <w:noWrap w:val="0"/>
            <w:vAlign w:val="center"/>
          </w:tcPr>
          <w:p w14:paraId="567F6EE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 个千兆电口、≥4 个千兆Bypass电口、≥4个万兆Bypass光口，内存≥32GB，硬盘≥2T，配置550W双电源。国产操作系统，CPU使用国产海光 3250（3.0GHz，8 核）或同级别以上其他国产CPU。防病毒吞吐率≥2.0Gbpss。提供3年防病毒特征码升级和硬件保修服务。</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2、▲能够多维度展示威胁统计，展示维度至少包括威胁类型统计（至少包含勒索、挖矿、病毒、APT、漏洞利用威胁事件）、近30天威胁事件趋势、攻击源IP TOP5、受影响主机TOP5、勒索&amp;挖矿事件拦截统计、热门威胁事件TOP5、自定义黑名单TOP5等。（提供相关截图并加盖投标人公章）</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3、▲支持对最多20层的压缩文件进行解压查杀（提供相关截图并加盖投标人公章）</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4、▲能够允许定义被扫描文件的大小范围，最大不小于2G（提供相关截图并加盖投标人公章）</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5、可对CPU、内存阈值进行设置，当超过该阈值，防毒墙主进程自动清理且不中断业务</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6、支持虚拟补丁功能，能通过CVE编号搜索对应的防护规则，在网络层面对漏洞攻击进行阻断。</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7、能够支持超过100种协议的解析, 包括但不限于</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HTTP/SMTP/POP3/FTP/SMB/TFTP/TCP/UDP/NFS/SNMP/ICMP/RTMP/DNS/IRC等</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8、能够支持SMBv1/SMBv2/SMBv3文件共享协议的病毒检测与查杀,且针对SMBv3协议，并能对256k以上的文件进行病毒检测和过滤</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9、能够防御多种类型的恶意软件 (包括但不限于病毒、木马、蠕虫、后门、间谍软件、灰色软件、Rootkits等)</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10、支持反向代理部署模式，支持该模式下对HTTP/HTTPS流量解析检测，并支持阻断或监控模式</w:t>
            </w:r>
          </w:p>
          <w:p w14:paraId="7BBC9C8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3B3BBD04">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13F82080">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427" w:type="dxa"/>
            <w:noWrap w:val="0"/>
            <w:vAlign w:val="center"/>
          </w:tcPr>
          <w:p w14:paraId="4A0DDB3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18B3A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6A0957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26</w:t>
            </w:r>
          </w:p>
        </w:tc>
        <w:tc>
          <w:tcPr>
            <w:tcW w:w="951" w:type="dxa"/>
            <w:noWrap w:val="0"/>
            <w:vAlign w:val="center"/>
          </w:tcPr>
          <w:p w14:paraId="2867A77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防火墙</w:t>
            </w:r>
          </w:p>
        </w:tc>
        <w:tc>
          <w:tcPr>
            <w:tcW w:w="6726" w:type="dxa"/>
            <w:noWrap w:val="0"/>
            <w:vAlign w:val="center"/>
          </w:tcPr>
          <w:p w14:paraId="44F705C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1、须满足自主可控，关键芯片需满足国产化需求。</w:t>
            </w:r>
          </w:p>
          <w:p w14:paraId="143A521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2、机架式硬件架构，实配双电源，可插拔风扇</w:t>
            </w:r>
          </w:p>
          <w:p w14:paraId="5A7FA0A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3、设备实配≥16个千兆电口，8个千兆光口，8个万兆光口，2个100G光口。</w:t>
            </w:r>
          </w:p>
          <w:p w14:paraId="68320CF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4、吞吐量≥10Gbps；并发连接数≥400万；新建连接数≥10万；开启IPS及AV后，吞吐性能≥4.5Gbps；</w:t>
            </w:r>
          </w:p>
          <w:p w14:paraId="59C03AB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5、实配≥480G SSD硬盘，三年IPS/AV特征库升级授权</w:t>
            </w:r>
          </w:p>
          <w:p w14:paraId="16D57FC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6、▲支持多对多的NAT功能，NAT地址池支持动态探测和可用地址分配。（提供相关截图并加盖投标人公章）</w:t>
            </w:r>
          </w:p>
          <w:p w14:paraId="32275BE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7、支持IPsec VPN智能选路，根据隧道质量调度流量</w:t>
            </w:r>
          </w:p>
          <w:p w14:paraId="1E8E095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8、支持基于域名的安全策略模糊匹配</w:t>
            </w:r>
          </w:p>
          <w:p w14:paraId="7608DCB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9、支持基于应用风险的自动批量和手动逐条策略调优，可根据流量、应用、风险类型等细粒度展示，并给出总体安全评分。</w:t>
            </w:r>
          </w:p>
          <w:p w14:paraId="54196FF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10、▲支持流量自学习功能，可设置自学习时间，并自动生成DDoS防范策略（提供相关截图并加盖投标人公章）</w:t>
            </w:r>
          </w:p>
          <w:p w14:paraId="77E3160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11、支持二级虚拟化技术，支持CPU、内存、存储等硬件资源划分的完全虚拟化</w:t>
            </w:r>
          </w:p>
          <w:p w14:paraId="2AA16FF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12、支持DNS透明代理功能，可基于负载均衡算法代理内网用户进行DNS请求转发，避免单运营商DNS解析出现单一链路流量过载，平衡多条运营商线路的带宽利用率</w:t>
            </w:r>
          </w:p>
          <w:p w14:paraId="2D5DE20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13、IPS发现攻击后抓取报文，并支持通过WEB下载对应抓包文件</w:t>
            </w:r>
          </w:p>
          <w:p w14:paraId="7739040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14、支持超过22000种特征检测库</w:t>
            </w:r>
          </w:p>
          <w:p w14:paraId="720D65E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15、发现病毒发送的告警信息，支持用户编辑告警内容</w:t>
            </w:r>
          </w:p>
          <w:p w14:paraId="57913C9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16、支持独立的WEB应用防护功能，超过5000种Web特征检测库</w:t>
            </w:r>
          </w:p>
          <w:p w14:paraId="37AB055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17、防火墙接口支持 mtu 值修改</w:t>
            </w:r>
          </w:p>
          <w:p w14:paraId="6102D87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4E61EFDF">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42A3F54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427" w:type="dxa"/>
            <w:noWrap w:val="0"/>
            <w:vAlign w:val="center"/>
          </w:tcPr>
          <w:p w14:paraId="1FF5140A">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4A453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27F644C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lang w:val="en-US" w:eastAsia="zh-CN" w:bidi="ar"/>
              </w:rPr>
            </w:pPr>
            <w:r>
              <w:rPr>
                <w:rFonts w:hint="eastAsia" w:ascii="宋体" w:hAnsi="宋体" w:cs="宋体"/>
                <w:b w:val="0"/>
                <w:bCs w:val="0"/>
                <w:i w:val="0"/>
                <w:iCs w:val="0"/>
                <w:color w:val="auto"/>
                <w:kern w:val="0"/>
                <w:sz w:val="21"/>
                <w:szCs w:val="20"/>
                <w:highlight w:val="none"/>
                <w:u w:val="none"/>
                <w:lang w:val="en-US" w:eastAsia="zh-CN" w:bidi="ar"/>
              </w:rPr>
              <w:t>27</w:t>
            </w:r>
          </w:p>
        </w:tc>
        <w:tc>
          <w:tcPr>
            <w:tcW w:w="951" w:type="dxa"/>
            <w:noWrap w:val="0"/>
            <w:vAlign w:val="center"/>
          </w:tcPr>
          <w:p w14:paraId="44BE983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防火墙</w:t>
            </w:r>
          </w:p>
        </w:tc>
        <w:tc>
          <w:tcPr>
            <w:tcW w:w="6726" w:type="dxa"/>
            <w:noWrap w:val="0"/>
            <w:vAlign w:val="center"/>
          </w:tcPr>
          <w:p w14:paraId="4B065AEF">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Cs w:val="21"/>
                <w:highlight w:val="none"/>
                <w:lang w:val="en-US" w:eastAsia="zh-CN"/>
              </w:rPr>
              <w:t>机架式2U设备，采用国产化CPU和操作系统；</w:t>
            </w:r>
          </w:p>
          <w:p w14:paraId="39FA1CDD">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内存≥16G，系统盘≥</w:t>
            </w:r>
            <w:r>
              <w:rPr>
                <w:rFonts w:hint="eastAsia" w:ascii="宋体" w:hAnsi="宋体" w:eastAsia="宋体" w:cs="宋体"/>
                <w:color w:val="auto"/>
                <w:szCs w:val="21"/>
                <w:highlight w:val="none"/>
                <w:lang w:val="en-US" w:eastAsia="zh-CN"/>
              </w:rPr>
              <w:t>16</w:t>
            </w:r>
            <w:r>
              <w:rPr>
                <w:rFonts w:hint="eastAsia" w:ascii="宋体" w:hAnsi="宋体" w:eastAsia="宋体" w:cs="宋体"/>
                <w:color w:val="auto"/>
                <w:szCs w:val="21"/>
                <w:highlight w:val="none"/>
              </w:rPr>
              <w:t>G</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m</w:t>
            </w:r>
            <w:r>
              <w:rPr>
                <w:rFonts w:hint="eastAsia" w:ascii="宋体" w:hAnsi="宋体" w:eastAsia="宋体" w:cs="宋体"/>
                <w:color w:val="auto"/>
                <w:szCs w:val="21"/>
                <w:highlight w:val="none"/>
                <w:lang w:val="en-US" w:eastAsia="zh-CN"/>
              </w:rPr>
              <w:t>s</w:t>
            </w:r>
            <w:r>
              <w:rPr>
                <w:rFonts w:hint="eastAsia" w:ascii="宋体" w:hAnsi="宋体" w:eastAsia="宋体" w:cs="宋体"/>
                <w:color w:val="auto"/>
                <w:szCs w:val="21"/>
                <w:highlight w:val="none"/>
              </w:rPr>
              <w:t>ata，硬盘≥4T，冗余电源</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实配1个MGMT口、1个HA口、</w:t>
            </w:r>
            <w:r>
              <w:rPr>
                <w:rFonts w:hint="eastAsia" w:ascii="宋体" w:hAnsi="宋体" w:eastAsia="宋体" w:cs="宋体"/>
                <w:color w:val="auto"/>
                <w:szCs w:val="21"/>
                <w:highlight w:val="none"/>
              </w:rPr>
              <w:t>≥6个千兆电口，≥</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个千兆光插槽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满配千兆多模模块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6个万兆光口</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满配</w:t>
            </w:r>
            <w:r>
              <w:rPr>
                <w:rFonts w:hint="eastAsia" w:ascii="宋体" w:hAnsi="宋体" w:eastAsia="宋体" w:cs="宋体"/>
                <w:color w:val="auto"/>
                <w:szCs w:val="21"/>
                <w:highlight w:val="none"/>
                <w:lang w:val="en-US" w:eastAsia="zh-CN"/>
              </w:rPr>
              <w:t>万</w:t>
            </w:r>
            <w:r>
              <w:rPr>
                <w:rFonts w:hint="eastAsia" w:ascii="宋体" w:hAnsi="宋体" w:eastAsia="宋体" w:cs="宋体"/>
                <w:color w:val="auto"/>
                <w:szCs w:val="21"/>
                <w:highlight w:val="none"/>
              </w:rPr>
              <w:t>兆多模模块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w:t>
            </w:r>
          </w:p>
          <w:p w14:paraId="0D262D0D">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防火墙吞吐≥1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G，并发连接≥300万，每秒新建连接≥1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万，应用层吞吐量≥</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G，全威胁吞吐量≥1G，默认包含应用识别功能，</w:t>
            </w:r>
            <w:r>
              <w:rPr>
                <w:rFonts w:hint="eastAsia" w:ascii="宋体" w:hAnsi="宋体" w:eastAsia="宋体" w:cs="宋体"/>
                <w:color w:val="auto"/>
                <w:szCs w:val="21"/>
                <w:highlight w:val="none"/>
                <w:lang w:val="en-US" w:eastAsia="zh-CN"/>
              </w:rPr>
              <w:t>配置3年IPS入侵库、AV防病毒</w:t>
            </w:r>
            <w:r>
              <w:rPr>
                <w:rFonts w:hint="eastAsia" w:ascii="宋体" w:hAnsi="宋体" w:eastAsia="宋体" w:cs="宋体"/>
                <w:color w:val="auto"/>
                <w:szCs w:val="21"/>
                <w:highlight w:val="none"/>
                <w:lang w:eastAsia="zh-CN"/>
              </w:rPr>
              <w:t>库升级服务许可；</w:t>
            </w:r>
          </w:p>
          <w:p w14:paraId="2B936A0F">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2"/>
                <w:sz w:val="21"/>
                <w:szCs w:val="21"/>
                <w:highlight w:val="none"/>
                <w:lang w:val="en-US" w:eastAsia="zh-CN" w:bidi="ar-SA"/>
              </w:rPr>
              <w:t>4</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szCs w:val="21"/>
                <w:highlight w:val="none"/>
              </w:rPr>
              <w:t>支持路由、交换、虚拟线、Listening、混合工作模式</w:t>
            </w:r>
            <w:r>
              <w:rPr>
                <w:rFonts w:hint="eastAsia" w:ascii="宋体" w:hAnsi="宋体" w:eastAsia="宋体" w:cs="宋体"/>
                <w:color w:val="auto"/>
                <w:szCs w:val="21"/>
                <w:highlight w:val="none"/>
                <w:lang w:eastAsia="zh-CN"/>
              </w:rPr>
              <w:t>。</w:t>
            </w:r>
          </w:p>
          <w:p w14:paraId="2DF90837">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支持手动和LACP链路聚合，可根据源/目的MAC、源/目的IP、源/目的端口、五元组、端口轮询等条件提供不少于10种链路负载算法</w:t>
            </w:r>
            <w:r>
              <w:rPr>
                <w:rFonts w:hint="eastAsia" w:ascii="宋体" w:hAnsi="宋体" w:eastAsia="宋体" w:cs="宋体"/>
                <w:color w:val="auto"/>
                <w:szCs w:val="21"/>
                <w:highlight w:val="none"/>
                <w:lang w:eastAsia="zh-CN"/>
              </w:rPr>
              <w:t>。</w:t>
            </w:r>
          </w:p>
          <w:p w14:paraId="658C789A">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支持IPv6，支持NAT64、NAT46、NAT-PT等种IPv4/v6过渡技术</w:t>
            </w:r>
            <w:r>
              <w:rPr>
                <w:rFonts w:hint="eastAsia" w:ascii="宋体" w:hAnsi="宋体" w:eastAsia="宋体" w:cs="宋体"/>
                <w:color w:val="auto"/>
                <w:szCs w:val="21"/>
                <w:highlight w:val="none"/>
                <w:lang w:eastAsia="zh-CN"/>
              </w:rPr>
              <w:t>；</w:t>
            </w:r>
          </w:p>
          <w:p w14:paraId="17385994">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2"/>
                <w:sz w:val="21"/>
                <w:szCs w:val="21"/>
                <w:highlight w:val="none"/>
                <w:lang w:val="en-US" w:eastAsia="zh-CN" w:bidi="ar-SA"/>
              </w:rPr>
              <w:t>7</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szCs w:val="21"/>
                <w:highlight w:val="none"/>
              </w:rPr>
              <w:t>支持一体化安全策略配置，可以通过一条策略实现五元组、源MAC、源地区、目的地区、域名、应用、服务、时间、长连接、IPS、AV、数据过滤、文件过滤等功能配置</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简化用户管理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提供策略分析功能</w:t>
            </w:r>
            <w:r>
              <w:rPr>
                <w:rFonts w:hint="eastAsia" w:ascii="宋体" w:hAnsi="宋体" w:eastAsia="宋体" w:cs="宋体"/>
                <w:color w:val="auto"/>
                <w:szCs w:val="21"/>
                <w:highlight w:val="none"/>
                <w:lang w:eastAsia="zh-CN"/>
              </w:rPr>
              <w:t>。</w:t>
            </w:r>
          </w:p>
          <w:p w14:paraId="0B9A3965">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支持策略命中分析、策略冗余分析、策略冲突检查、策略包含分析，可在WEB界面显示检测结果；</w:t>
            </w:r>
          </w:p>
          <w:p w14:paraId="440000A9">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9、</w:t>
            </w:r>
            <w:r>
              <w:rPr>
                <w:rFonts w:hint="eastAsia" w:ascii="宋体" w:hAnsi="宋体" w:eastAsia="宋体" w:cs="宋体"/>
                <w:color w:val="auto"/>
                <w:szCs w:val="21"/>
                <w:highlight w:val="none"/>
              </w:rPr>
              <w:t>支持独立的入侵防护规则特征库</w:t>
            </w:r>
            <w:r>
              <w:rPr>
                <w:rFonts w:hint="eastAsia" w:ascii="宋体" w:hAnsi="宋体" w:eastAsia="宋体" w:cs="宋体"/>
                <w:color w:val="auto"/>
                <w:szCs w:val="21"/>
                <w:highlight w:val="none"/>
                <w:lang w:eastAsia="zh-CN"/>
              </w:rPr>
              <w:t>，</w:t>
            </w:r>
            <w:r>
              <w:rPr>
                <w:rFonts w:hint="eastAsia" w:ascii="宋体" w:hAnsi="宋体" w:cs="宋体"/>
                <w:color w:val="auto"/>
                <w:szCs w:val="18"/>
                <w:highlight w:val="none"/>
              </w:rPr>
              <w:t>能对常见漏洞进行安全防护</w:t>
            </w:r>
            <w:r>
              <w:rPr>
                <w:rFonts w:hint="eastAsia" w:ascii="宋体" w:hAnsi="宋体" w:eastAsia="宋体" w:cs="宋体"/>
                <w:color w:val="auto"/>
                <w:szCs w:val="21"/>
                <w:highlight w:val="none"/>
              </w:rPr>
              <w:t>；</w:t>
            </w:r>
          </w:p>
          <w:p w14:paraId="6CE0BF1E">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支持对HTTP/SMTP/POP3/FTP/IM等协议进行病毒防御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支持针对IP、ICMP、TCP、UDP、DNS、HTTP、NTP等协议进行DDOS防护；</w:t>
            </w:r>
          </w:p>
          <w:p w14:paraId="16CA8E93">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rPr>
              <w:t>支持预定义和自定义策略模板</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内置内容过滤功能</w:t>
            </w:r>
            <w:r>
              <w:rPr>
                <w:rFonts w:hint="eastAsia" w:ascii="宋体" w:hAnsi="宋体" w:eastAsia="宋体" w:cs="宋体"/>
                <w:color w:val="auto"/>
                <w:szCs w:val="21"/>
                <w:highlight w:val="none"/>
                <w:lang w:eastAsia="zh-CN"/>
              </w:rPr>
              <w:t>。</w:t>
            </w:r>
          </w:p>
          <w:p w14:paraId="507A33A1">
            <w:pPr>
              <w:keepNext w:val="0"/>
              <w:keepLines w:val="0"/>
              <w:pageBreakBefore w:val="0"/>
              <w:widowControl w:val="0"/>
              <w:numPr>
                <w:ilvl w:val="0"/>
                <w:numId w:val="0"/>
              </w:numPr>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支持基于HTTP、FTP、TELNET、SMTP、POP3、IMAP等协议的内容过滤策略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内置行为分析功能，对会话、流量等数据进行统计分析，建立业务行为基线，对异常行为进行告警；支持行为分析监控展示，可展示不同行为分析策略的实时数据和基线数据趋势</w:t>
            </w:r>
            <w:r>
              <w:rPr>
                <w:rFonts w:hint="eastAsia" w:ascii="宋体" w:hAnsi="宋体" w:eastAsia="宋体" w:cs="宋体"/>
                <w:color w:val="auto"/>
                <w:szCs w:val="21"/>
                <w:highlight w:val="none"/>
                <w:lang w:eastAsia="zh-CN"/>
              </w:rPr>
              <w:t>。</w:t>
            </w:r>
          </w:p>
          <w:p w14:paraId="2A2089D7">
            <w:pPr>
              <w:keepNext w:val="0"/>
              <w:keepLines w:val="0"/>
              <w:pageBreakBefore w:val="0"/>
              <w:widowControl w:val="0"/>
              <w:numPr>
                <w:ilvl w:val="0"/>
                <w:numId w:val="0"/>
              </w:numPr>
              <w:suppressLineNumbers w:val="0"/>
              <w:kinsoku/>
              <w:wordWrap/>
              <w:overflowPunct/>
              <w:topLinePunct w:val="0"/>
              <w:bidi w:val="0"/>
              <w:snapToGrid w:val="0"/>
              <w:ind w:leftChars="0" w:right="0" w:right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0B1D3E20">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lang w:val="en-US" w:eastAsia="zh-CN" w:bidi="ar"/>
              </w:rPr>
            </w:pPr>
            <w:r>
              <w:rPr>
                <w:rFonts w:hint="eastAsia" w:ascii="宋体" w:hAnsi="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0853DB3E">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lang w:val="en-US" w:eastAsia="zh-CN" w:bidi="ar"/>
              </w:rPr>
            </w:pPr>
            <w:r>
              <w:rPr>
                <w:rFonts w:hint="eastAsia" w:ascii="宋体" w:hAnsi="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325D2350">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DF8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29F84A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28</w:t>
            </w:r>
          </w:p>
        </w:tc>
        <w:tc>
          <w:tcPr>
            <w:tcW w:w="951" w:type="dxa"/>
            <w:noWrap w:val="0"/>
            <w:vAlign w:val="center"/>
          </w:tcPr>
          <w:p w14:paraId="1A447C0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零信任组件（可信访问控制系统）</w:t>
            </w:r>
            <w:r>
              <w:rPr>
                <w:rFonts w:hint="eastAsia" w:ascii="宋体" w:hAnsi="宋体" w:cs="宋体"/>
                <w:b w:val="0"/>
                <w:bCs w:val="0"/>
                <w:i w:val="0"/>
                <w:iCs w:val="0"/>
                <w:color w:val="auto"/>
                <w:kern w:val="0"/>
                <w:sz w:val="21"/>
                <w:szCs w:val="21"/>
                <w:highlight w:val="none"/>
                <w:u w:val="none"/>
                <w:lang w:val="en-US" w:eastAsia="zh-CN" w:bidi="ar"/>
              </w:rPr>
              <w:t>（核心产品）</w:t>
            </w:r>
          </w:p>
        </w:tc>
        <w:tc>
          <w:tcPr>
            <w:tcW w:w="6726" w:type="dxa"/>
            <w:noWrap w:val="0"/>
            <w:vAlign w:val="center"/>
          </w:tcPr>
          <w:p w14:paraId="4C57C6B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1、电源：冗余电源；接口：≥6千兆电口，≥4个千兆SFP，≥2个扩展插槽；CPU：国产CPU≥8核（物理核）；操作系统：国产系统；内存：≥32G；硬盘：≥256G SSD，4T HDD机械硬盘，≥1个硬盘扩展槽；≥1个VGA接口。 性能参数：最大并发用户数≥2000；新建用户数≥200。 软件及硬件质保3年。</w:t>
            </w:r>
          </w:p>
          <w:p w14:paraId="185DAED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2、支持UDP+TCP单包授权机制，UDP+TCP方式默认不开放端口，可避免业务应用的端口被扫描，进而避免利用端口对业务应用发起攻击的风险。</w:t>
            </w:r>
          </w:p>
          <w:p w14:paraId="479776C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3、▲支持按代理网关设置不同的SPA敲门策略，以满足外网接入要敲门，内网接入不敲门的不同安全接入要求。（提供相关截图并加盖投标人公章）</w:t>
            </w:r>
          </w:p>
          <w:p w14:paraId="4C328C9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4、▲支持通过输入安全码激活客户端，完成SPA敲门。安全码可支持共享码、一人一码两种模式，以满足不同场景的需求。（提供相关截图并加盖投标人公章）</w:t>
            </w:r>
          </w:p>
          <w:p w14:paraId="6AE441A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5、提供用户组管理，支持动态用户组，可按照规则进组，使得满足规则的用户自动能够进入组，并继承组所拥有的权限、访问策略等，而不需要依次手工添加，减轻了管理的负担</w:t>
            </w:r>
          </w:p>
          <w:p w14:paraId="1019ED5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6、提供应用限流限速，支持通过限制响应传输速率设置相应阈值进行限流限速，缓解快速返回响应导致业务应用造成的压力和资源消耗，从而确保业务的连续性、可用性。</w:t>
            </w:r>
          </w:p>
          <w:p w14:paraId="3D8B459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7、支持多认证门户，门户可以设置认证策略，用户访问时能够通过浏览器类型、访问地址来导航到不同的认证门户，从而实现在不同访问场景下可展示并使用不同认证门户。</w:t>
            </w:r>
          </w:p>
          <w:p w14:paraId="70D7F26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建立用户与设备绑定/解绑维护和管理，支持设置设备绑定策略，包括单个用户可绑定的PC设备数、可绑定的移动设备数，支持按照用户组分别设置可绑定的PC设备数、可绑定的移动设备数等，从而加强设备的管控。</w:t>
            </w:r>
          </w:p>
          <w:p w14:paraId="28EA4EE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ARM/X86架构下的国产操作系统高危端口、运行的软件、零信任客户端版本、运行的杀毒软件、运行的远控软件、运行的虚拟机软件、安装的防病毒软件等环境感知和采集，以实现基于终端安全状况的访问控制措施。</w:t>
            </w:r>
          </w:p>
          <w:p w14:paraId="25C9C06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支持移动端Android操作系统版本，零信任客户端版本，系统是否被ROOT/越狱、USB调试模式开启、锁屏密码开启、蓝牙开启、NFC开启、WiFi热点开启、自动填充服务开启等环境感知和采集，以实现基于移动终端安全状况的访问控制措施。</w:t>
            </w:r>
          </w:p>
          <w:p w14:paraId="56CBFE0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支持与本方案中终端安全管理系统联动，可以基于终端安全管系统对终端设备评分实现动态访问控制、可以根据终端安全管理系统设备在线\离线状态实施动态访问控制，可通过终端安全管理系统在线安装零信任客户端.</w:t>
            </w:r>
          </w:p>
          <w:p w14:paraId="7B40D9E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▲12、支持WEB应用数据脱敏，可根据内置脱敏规则和策略对身份证号、电子邮箱、电话等个人隐私数据进行脱敏处置，避免隐私数据的泄露。（提供相关截图并加盖投标人公章）</w:t>
            </w:r>
          </w:p>
          <w:p w14:paraId="7BF9077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13、零信任设备支持多认证门户，门户可以设置认证策略，用户访问时能够通过浏览器类型、访问地址来导航到不同的认证门户，从而实现在不同访问场景下可展示并使用不同认证门户。</w:t>
            </w:r>
          </w:p>
          <w:p w14:paraId="78C3402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14、为方便用户管理、零信任系统能够具备统计能力，包括终端总数、启用终端数、锁定终端数、禁用终端数等信息，且系统能够通过自助解绑功能，根据用户需求设置是否允许用户自助解绑，以及解绑是否要求做多因子认证，进一步加强设备解绑的管控。</w:t>
            </w:r>
          </w:p>
          <w:p w14:paraId="56B1815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15、为确保系统自身安全性、系统能够提供暴力破解防护，系统能够在2分钟内同一IP错误登陆SSH后台10次，该IP将被锁定1小时，从而缓解暴力攻击尝试登录管理后台，对零信任系统进行攻击的安全风险。</w:t>
            </w:r>
          </w:p>
        </w:tc>
        <w:tc>
          <w:tcPr>
            <w:tcW w:w="427" w:type="dxa"/>
            <w:noWrap w:val="0"/>
            <w:vAlign w:val="center"/>
          </w:tcPr>
          <w:p w14:paraId="786F17D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33571034">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2FCE99CA">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42C7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1" w:hRule="atLeast"/>
          <w:jc w:val="center"/>
        </w:trPr>
        <w:tc>
          <w:tcPr>
            <w:tcW w:w="427" w:type="dxa"/>
            <w:noWrap w:val="0"/>
            <w:vAlign w:val="center"/>
          </w:tcPr>
          <w:p w14:paraId="2D2F96E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29</w:t>
            </w:r>
          </w:p>
        </w:tc>
        <w:tc>
          <w:tcPr>
            <w:tcW w:w="951" w:type="dxa"/>
            <w:noWrap w:val="0"/>
            <w:vAlign w:val="center"/>
          </w:tcPr>
          <w:p w14:paraId="019D3E9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零信任组件（应用代理系统）</w:t>
            </w:r>
          </w:p>
        </w:tc>
        <w:tc>
          <w:tcPr>
            <w:tcW w:w="6726" w:type="dxa"/>
            <w:noWrap w:val="0"/>
            <w:vAlign w:val="center"/>
          </w:tcPr>
          <w:p w14:paraId="0588587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1、电源：冗余电源；接口：≥6千兆电口，≥4个千兆SFP，≥2个扩展插槽；CPU：国产≥8核（物理核）；操作系统：国产系统；内存：≥16G；硬盘：≥256G SSD，≥4T HDD，≥1个硬盘扩展槽；≥1个VGA接口。 性能参数：加密吞吐：800Mbps；最大理论并发用户数：≥2000；最大理论https并发连接数：≥48000；理论https新建连接数（个/秒）：≥500。 软件及硬件质保3年。</w:t>
            </w:r>
          </w:p>
          <w:p w14:paraId="4326545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2、支持标准TLS1.0/TLS1.1/TLS1.2/TLS1.3版本的协议，接入国密卡和国密算法：ECC-SM4-SM3算法，以满足对国密合规性要求</w:t>
            </w:r>
          </w:p>
          <w:p w14:paraId="2C85FC3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3、提供终端用户业务访问日志、网络访问流量统计等信息，并进行日志上报、外发，便于实现业务数据的审计、安全风险的分析。</w:t>
            </w:r>
          </w:p>
          <w:p w14:paraId="5913060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4、▲支持预防synflood攻击、忽略icmp回显请求以及通过TOA、ProxyProtocol获取客户端源IP（提供相关截图并加盖投标人公章）</w:t>
            </w:r>
          </w:p>
          <w:p w14:paraId="46D4240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连接到访问控制台可信访问控制系统，并根据可信访问控制系统的自身策略，提供文件监控与防护，可监控与防护文件的读取、写入、删除、创建、执行、链接、重命名操作，从而缓解通过恶意文件的方式，对零信任系统进行攻击的安全风险。</w:t>
            </w:r>
          </w:p>
          <w:p w14:paraId="6C5C1C0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6、支持客户端UI自定义管理，可以自助上传替换图片资源包，替换客户端风格。</w:t>
            </w:r>
          </w:p>
          <w:p w14:paraId="6EA51F9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7、支持客户端的灰度升级，可按照指定组织机构/用户组、部分用户等范围进行灰度升级，支持按比例升级、按用户组/组织机构升级的机制。</w:t>
            </w:r>
          </w:p>
          <w:p w14:paraId="1725AA7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8、支持全部互联网访问或指定IP范围的互联网访问引流到代理网关，通过代理网关转发审计设备或系统，以便对互联网访问进行审计。</w:t>
            </w:r>
          </w:p>
          <w:p w14:paraId="49CFA13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1B56D03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141FFAC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55B8CE3C">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4038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621A9A4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30</w:t>
            </w:r>
          </w:p>
        </w:tc>
        <w:tc>
          <w:tcPr>
            <w:tcW w:w="951" w:type="dxa"/>
            <w:noWrap w:val="0"/>
            <w:vAlign w:val="center"/>
          </w:tcPr>
          <w:p w14:paraId="49366AE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零信任并发用户授权</w:t>
            </w:r>
          </w:p>
        </w:tc>
        <w:tc>
          <w:tcPr>
            <w:tcW w:w="6726" w:type="dxa"/>
            <w:noWrap w:val="0"/>
            <w:vAlign w:val="center"/>
          </w:tcPr>
          <w:p w14:paraId="2EF107E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本次授权配置支持2000个并发用户。支持PC客户端和移动端。</w:t>
            </w:r>
          </w:p>
        </w:tc>
        <w:tc>
          <w:tcPr>
            <w:tcW w:w="427" w:type="dxa"/>
            <w:noWrap w:val="0"/>
            <w:vAlign w:val="center"/>
          </w:tcPr>
          <w:p w14:paraId="3621F1C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个</w:t>
            </w:r>
          </w:p>
        </w:tc>
        <w:tc>
          <w:tcPr>
            <w:tcW w:w="636" w:type="dxa"/>
            <w:noWrap w:val="0"/>
            <w:vAlign w:val="center"/>
          </w:tcPr>
          <w:p w14:paraId="4D4C761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2000</w:t>
            </w:r>
          </w:p>
        </w:tc>
        <w:tc>
          <w:tcPr>
            <w:tcW w:w="427" w:type="dxa"/>
            <w:noWrap w:val="0"/>
            <w:vAlign w:val="center"/>
          </w:tcPr>
          <w:p w14:paraId="065CEC7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BDBE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2BCFBBD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31</w:t>
            </w:r>
          </w:p>
        </w:tc>
        <w:tc>
          <w:tcPr>
            <w:tcW w:w="951" w:type="dxa"/>
            <w:noWrap w:val="0"/>
            <w:vAlign w:val="center"/>
          </w:tcPr>
          <w:p w14:paraId="31659C4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零信任组件（终端安全套件）</w:t>
            </w:r>
          </w:p>
        </w:tc>
        <w:tc>
          <w:tcPr>
            <w:tcW w:w="6726" w:type="dxa"/>
            <w:noWrap w:val="0"/>
            <w:vAlign w:val="center"/>
          </w:tcPr>
          <w:p w14:paraId="343620A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1、需与本方案中零信任联动、将终端的安全状况评估结果上传到零信任平台进行分析。</w:t>
            </w:r>
          </w:p>
          <w:p w14:paraId="27E2887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2、本次配置2000个防病毒授权。支持windows-PC和通用国产系统。</w:t>
            </w:r>
          </w:p>
          <w:p w14:paraId="52FA7AB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根据分组、计算机名称、IP地址、MAC地址、通信IP地址、接入点、客户端类型、操作系统类型、操作系统版本等条件的组合筛选出符合条件的终端进行管理，自由对终端进行转移分组、删除终端、重启系统和终端跃迁。</w:t>
            </w:r>
          </w:p>
          <w:p w14:paraId="39587D0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客户端主程序、病毒库版本支持按分组和多批次进行灰度更新，保持在低风险中完成终端能力更新。支持设置不同终端类型设置和每批次观察时长。当检测到新版本将从第一批次重新观察（提供相关截图并加盖投标人公章）</w:t>
            </w:r>
          </w:p>
          <w:p w14:paraId="6944476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5、支持不同分组，客户端轻量化模式一键切换功能；</w:t>
            </w:r>
          </w:p>
          <w:p w14:paraId="7A37994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6、支持自定义告警规则，例如系统一段时间内病毒和未知文件超过一定数量后会通过邮件发送给收件人查阅。支持邮件和阿里云平台的短信告警通知</w:t>
            </w:r>
          </w:p>
          <w:p w14:paraId="43ED7C4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7、支持对终端当扫描到感染型病毒、顽固木马时，自动进入深度查模式，可设置禁止终端用户管理路径或文件白名单、禁止终端用户管理扩展名白名单、扫描时不允许终端用户暂停或停止扫描任务。</w:t>
            </w:r>
          </w:p>
          <w:p w14:paraId="22EAB8D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8、支持仅利用多个非工作时间时间段完成一次全盘扫描</w:t>
            </w:r>
          </w:p>
          <w:p w14:paraId="2DB1F1E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9、支持对进程防护、注册表防护、驱动防护、U盘安全防护、邮件防护、下载防护、IM防护、局域网文件防护、网页安全防护、勒索软件防护。</w:t>
            </w:r>
          </w:p>
          <w:p w14:paraId="77DC0D7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10、支持网络入侵拦截对流入本机的网络包数据和行为进行检测，根据策略在网络层拦截漏洞攻击、黑客入侵等威胁。</w:t>
            </w:r>
          </w:p>
          <w:p w14:paraId="619D148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11、▲支持不少于三个杀毒引擎混合使用，提高病毒检出率。（提供相关截图并加盖投标人公章）</w:t>
            </w:r>
          </w:p>
          <w:p w14:paraId="6402D25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w:t>
            </w: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能够通过设置病毒库自动灰度更新策略，并根据设置灰度观察的组和时间长短，把所有终端系统发现的病毒库版本一键回退到历史版本。</w:t>
            </w:r>
          </w:p>
          <w:p w14:paraId="540A9AD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w:t>
            </w: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为方便管理员统一管控终端安全问题,系统能应具备安全助手功能,可以通过手动扫描和清理软件安装残留文件、并能设置检测和优化终端系统的启动项、进程服务等。</w:t>
            </w:r>
          </w:p>
          <w:p w14:paraId="158A405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2698F90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个</w:t>
            </w:r>
          </w:p>
        </w:tc>
        <w:tc>
          <w:tcPr>
            <w:tcW w:w="636" w:type="dxa"/>
            <w:noWrap w:val="0"/>
            <w:vAlign w:val="center"/>
          </w:tcPr>
          <w:p w14:paraId="3095FB9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2000</w:t>
            </w:r>
          </w:p>
        </w:tc>
        <w:tc>
          <w:tcPr>
            <w:tcW w:w="427" w:type="dxa"/>
            <w:noWrap w:val="0"/>
            <w:vAlign w:val="center"/>
          </w:tcPr>
          <w:p w14:paraId="6335018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11E6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168B343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32</w:t>
            </w:r>
          </w:p>
        </w:tc>
        <w:tc>
          <w:tcPr>
            <w:tcW w:w="951" w:type="dxa"/>
            <w:noWrap w:val="0"/>
            <w:vAlign w:val="center"/>
          </w:tcPr>
          <w:p w14:paraId="28541D3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日志审计</w:t>
            </w:r>
          </w:p>
        </w:tc>
        <w:tc>
          <w:tcPr>
            <w:tcW w:w="6726" w:type="dxa"/>
            <w:noWrap w:val="0"/>
            <w:vAlign w:val="center"/>
          </w:tcPr>
          <w:p w14:paraId="6CA8D37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1、授权资产数≥3000个,数据平均处理能力≥20000EPS,数据峰值处理能力≥30000EPS</w:t>
            </w:r>
          </w:p>
          <w:p w14:paraId="60D713E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2、国产CPU≥2.6GHz 24核24线程*2；国产操作系统；内存≥256G内存；硬盘≥96T；网络接口：千兆电口≥4个，管理千兆电口≥1个，接口扩展槽≥6个，满足≥180天的日志存储要求；软件及硬件质保3年。</w:t>
            </w:r>
          </w:p>
          <w:p w14:paraId="262519E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3、日志转发与存储支持数字签名与加密，数字签名支持SM3和SHA256，加密模式支持AES和SM4，日志接收支持解密。</w:t>
            </w:r>
          </w:p>
          <w:p w14:paraId="2899A3A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4、内置5000+解析规则，支持对收集的5000+设备类型日志进行解析（标准化、归一化），解析维度多达200+，解析规则可以根据客户要求定制扩展。</w:t>
            </w:r>
          </w:p>
          <w:p w14:paraId="0467ADA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5、三维关联分析；支持通过资产、安全知识库、弱点库三个维度分析事件是否存在威胁，并形成关联事件。</w:t>
            </w:r>
          </w:p>
          <w:p w14:paraId="1723D30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6、注册用户资产时，提供自动发现识别能力。</w:t>
            </w:r>
          </w:p>
          <w:p w14:paraId="567B8DE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7、资产拓扑支持按照实际的用户环境进行编辑发布并可以和资产进行绑定，拓扑可以显示资产采集的事件数量被采集资产的状态等信息。</w:t>
            </w:r>
          </w:p>
          <w:p w14:paraId="7074B73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8、支持监控设备自身CPU、内存、硬盘等工作运行状况。</w:t>
            </w:r>
          </w:p>
          <w:p w14:paraId="18EE556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9、通过在目标主机上安装Agent程序，支持监测目标主机的CPU利用率、内存使用率、硬盘使用率、硬盘使用情况、流量等信息。</w:t>
            </w:r>
          </w:p>
          <w:p w14:paraId="711D61B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1732C9E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79E809C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1D03CA50">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4CDD1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C74708F">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33</w:t>
            </w:r>
          </w:p>
        </w:tc>
        <w:tc>
          <w:tcPr>
            <w:tcW w:w="951" w:type="dxa"/>
            <w:noWrap w:val="0"/>
            <w:vAlign w:val="center"/>
          </w:tcPr>
          <w:p w14:paraId="2AAFF26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安全管理平台</w:t>
            </w:r>
          </w:p>
        </w:tc>
        <w:tc>
          <w:tcPr>
            <w:tcW w:w="6726" w:type="dxa"/>
            <w:noWrap w:val="0"/>
            <w:vAlign w:val="center"/>
          </w:tcPr>
          <w:p w14:paraId="05ED48D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1、数据采集和处理性能≥15000EPS，全流量接入≥2G，只接告警≥10G；</w:t>
            </w:r>
          </w:p>
          <w:p w14:paraId="4982A24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2、国产CPU ≥16核 ，内存≥256GB，配置企业级存储磁盘总容量≥48TB；网口配置：千兆电口≥4个，管理口≥1个，万兆光口≥2个；</w:t>
            </w:r>
          </w:p>
          <w:p w14:paraId="563E5BD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3、平台内置包括规则模型、关联模型、统计模型、情报模型等安全分析模型，用户根据实际需求对上述模型进行添加、编辑、删除、复制等；</w:t>
            </w:r>
          </w:p>
          <w:p w14:paraId="6C03947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4、支持展示攻击者和受害者的威胁情报与资产信息，可查看会话详情，会话详情包括检测、响应等基本信息，并支持查看会话关联告警情况，及添加白名单、发布预警、生成工单等操作；</w:t>
            </w:r>
          </w:p>
          <w:p w14:paraId="2323F3B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5、平台具有统一的安全运营门户，作为重点关注功能的统一入口，如集成态势感知、通报预警、联动策略、运行监测等多个功能模块，实现平台功能的快速跳转；</w:t>
            </w:r>
          </w:p>
          <w:p w14:paraId="0E68F07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私网IP、公网IP、MAC地址、域名、主机名多种类型资产识别方式，IP类资产支持IPv4和IPv6，并支持资产组织架构、责任人、重要程度、资产类型、地理位置属性的批量修改；支持资产信息的增量导入和替换导入；</w:t>
            </w:r>
          </w:p>
          <w:p w14:paraId="1CF358D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7、支持与现网流里探针、安全设备日志数据对接，能够清晰展示所有数据内容。</w:t>
            </w:r>
          </w:p>
        </w:tc>
        <w:tc>
          <w:tcPr>
            <w:tcW w:w="427" w:type="dxa"/>
            <w:noWrap w:val="0"/>
            <w:vAlign w:val="center"/>
          </w:tcPr>
          <w:p w14:paraId="0E8AE4B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34A6ACC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02F96359">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00A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600CA94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34</w:t>
            </w:r>
          </w:p>
        </w:tc>
        <w:tc>
          <w:tcPr>
            <w:tcW w:w="951" w:type="dxa"/>
            <w:noWrap w:val="0"/>
            <w:vAlign w:val="center"/>
          </w:tcPr>
          <w:p w14:paraId="3B72126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漏洞扫描</w:t>
            </w:r>
          </w:p>
        </w:tc>
        <w:tc>
          <w:tcPr>
            <w:tcW w:w="6726" w:type="dxa"/>
            <w:noWrap w:val="0"/>
            <w:vAlign w:val="center"/>
          </w:tcPr>
          <w:p w14:paraId="15A4B13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产品需使用国产化硬件平台以及自主可控的安全操作系统，双电源模块，1*RJ45串口，1*GE管理口，配置≥6*GE扫描接口，≥4*SFP，≥2个网卡扩展插槽，≥1*4TB硬盘，标准配置提供1路授权扫描端口，最大并发主机数≥50,最大并发任务数≥10，IP点授权可扫描总数量不少于1000个无限制范围的IP地址或域名。含三年系统漏洞扫描模块、Web漏洞扫描模块等升级服务，三年软件升级和硬件维保服务。</w:t>
            </w:r>
          </w:p>
          <w:p w14:paraId="6816ED2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2、▲支持检测的漏洞数大于350000条，兼容CVE、CNCVE、CNNVD、CNVD等主流标准</w:t>
            </w:r>
          </w:p>
          <w:p w14:paraId="07522DC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3、产品应支持通过多种维度对漏洞进行检索，包括：CVE ID、BUGTRAQ ID、CNCVE ID、CNVD ID、CNNVD ID、MS 编号、风险等级、漏洞名称、是否使用危险插件、漏洞发布日期等信息</w:t>
            </w:r>
          </w:p>
          <w:p w14:paraId="5A9D227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4、同时支持远程扫描和采用SMB、SSH、Telnet、RDP、HTTP、HTTPS、WinRM等协议对Windows、Linux等系统进行登录扫描</w:t>
            </w:r>
          </w:p>
          <w:p w14:paraId="0604848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5、内置不同的漏洞模板针对Unix、Windows操作系统、网络设备和防火墙等模板，同时支持用户自定义扫描范围和扫描策略；支持自动模板匹配技术</w:t>
            </w:r>
          </w:p>
          <w:p w14:paraId="5022978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6、支持扫描国产操作系统、应用及软件的安全漏洞，如中标麒麟、银河麒麟、深度等，提供详细漏洞列表</w:t>
            </w:r>
          </w:p>
          <w:p w14:paraId="246E4E5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7、▲支持通过直观展示资产风险值、主机风险等级分布、资产风险趋势、资产风险分布趋势等内容，并可查看详情（提供相关截图并加盖投标人公章）</w:t>
            </w:r>
          </w:p>
          <w:p w14:paraId="1EDCEE9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8、支持专门针对DNS服务的安全漏洞检测，包括DNS投毒等漏洞检测能力；支持“幽灵木马”检测</w:t>
            </w:r>
          </w:p>
          <w:p w14:paraId="5C4E932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9、支持立即执行、定时执行、周期执行扫描任务，自定义的周期时间可精确至每*月第*个星期*的*点*分</w:t>
            </w:r>
          </w:p>
          <w:p w14:paraId="2A8CA60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10、具备单独口令猜测扫描任务，支持多种口令猜测方式，包括利用SMB、RDP、TELNET、FTP、SSH、POP3、Tomcat、SQL SERVER、MySQL、Oracle、Sybase、DB2、MONGODB、SNMP等协议进行口令猜测，允许外挂用户提供的用户名字典、密码字典和用户名密码组合字典</w:t>
            </w:r>
          </w:p>
          <w:p w14:paraId="2DDA676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11、支持将按IP范围、起止时间、任务名称、任务状态、漏洞模板、用户等筛选扫描任务,并对筛选结果进行汇总,和生成在线及离线报表</w:t>
            </w:r>
          </w:p>
          <w:p w14:paraId="5A84EF8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12、支持多用户分级权限管理，可为每个用户角色分配账号、任务级的权限分配、允许登录的IP范围和允许扫描的IP范围等</w:t>
            </w:r>
          </w:p>
          <w:p w14:paraId="64AA377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13、提供审计功能，能够对登录日志、操作日志和异常报告进行记录和查询</w:t>
            </w:r>
          </w:p>
          <w:p w14:paraId="57BF86D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4979CB7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1D90ED2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27" w:type="dxa"/>
            <w:noWrap w:val="0"/>
            <w:vAlign w:val="center"/>
          </w:tcPr>
          <w:p w14:paraId="6BC44484">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08837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268B89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35</w:t>
            </w:r>
          </w:p>
        </w:tc>
        <w:tc>
          <w:tcPr>
            <w:tcW w:w="951" w:type="dxa"/>
            <w:noWrap w:val="0"/>
            <w:vAlign w:val="center"/>
          </w:tcPr>
          <w:p w14:paraId="118C410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超融合</w:t>
            </w:r>
          </w:p>
        </w:tc>
        <w:tc>
          <w:tcPr>
            <w:tcW w:w="6726" w:type="dxa"/>
            <w:noWrap w:val="0"/>
            <w:vAlign w:val="center"/>
          </w:tcPr>
          <w:p w14:paraId="1930008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1.CPU≥2颗，性能不低于Hygon 5440 16C 2.5GHZ（16C），内存≥8*32GB DDR5 5600，系统盘≥2*480GB SATA SSD，缓存盘≥2*960G-SATA-SSD（读密集型），数据盘≥4*4T，标配盘位数≥12，电源≥白金，冗余电源，接口≥4千兆电口+2万兆光口。含配套CPU颗数的云管、计算、存储、网络虚拟化软件授权及服务器配套麒麟或其他国产化操作系统的内核授权，三年软硬件质保。同时提供服务器配套万兆交换机*2台，配置不低于12个万兆光口、12个千兆电口，≥6*光纤线-多模-LC-LC-3M，12*万兆多模-850-300m-双纤；交换容量≥2.4Tbps/24Tbps。</w:t>
            </w:r>
          </w:p>
          <w:p w14:paraId="4DE9AD4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2.支持大屏展示便于客户直观查看虚拟化资源池的使用情况和健康状态，包括集群资源情况，各主机资源使用情况，包括内存/CPU/磁盘使用趋势，以及集群故障与告警等</w:t>
            </w:r>
          </w:p>
          <w:p w14:paraId="7C772C4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3.▲支持内存ECC自动纠错机制，当扫描到物理主机的内存条出现ECC CE和UE错误时，能够将对应内存空间进行隔离并定位故障内存的槽位，减少硬件问题对业务的影响（提供第三方检测报告并加盖投标人公章）</w:t>
            </w:r>
          </w:p>
          <w:p w14:paraId="0035E17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4.支持集群动态资源调度DRS，系统支持自动评估物理主机的负载情况，当物理主机负载过高时，自动将该物理主机上的虚拟机迁移到其他负载较低的主机上，确保业务持续稳定和集群主机负载均衡</w:t>
            </w:r>
          </w:p>
          <w:p w14:paraId="2D498D3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5.为了更好地进行运维，支持智能坏道预测，准确识别出接下来会出现坏道的硬盘，实现故障前预测并处理，规避故障风险</w:t>
            </w:r>
          </w:p>
          <w:p w14:paraId="030930B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6.分布式存储能够提供超高性能，性能随着节点数增加线性增长，在NVMe混闪，多虚拟机多盘配置下，通过 Iometer 并采用4k rand read 100%模型，三节点集群能够提供百万级的IOPS能力</w:t>
            </w:r>
          </w:p>
          <w:p w14:paraId="2A59BB9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7.▲支持条带化功能，能以虚拟磁盘为粒度配置不同的条带数，并能自动检测磁盘性能动态调整条带数的数值。（提供第三方检测报告并加盖投标人公章）</w:t>
            </w:r>
          </w:p>
          <w:p w14:paraId="37884D0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8.可以支持手动指定虚拟路由器运行在固定的物理主机上，可以自动将虚拟路由器规划到高性能和高吞吐的物理主机上</w:t>
            </w:r>
          </w:p>
          <w:p w14:paraId="789EFC8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9.随着政策要求和业务对IPV6的覆盖，要求支持为虚拟机配置IPv6地址，并可通过IPv6地址访问该业务</w:t>
            </w:r>
          </w:p>
          <w:p w14:paraId="05C09A8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为避免平台虚拟机误删操作，需支持点击还原按钮，还原回收站列表指定项，可设置回收站文件保留天数，可以查看回收站列表项信息，包括名称、描述、存储和删除时间和保留时间（提供第三方检测报告并加盖投标人公章）</w:t>
            </w:r>
          </w:p>
          <w:p w14:paraId="110A962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default" w:asciiTheme="majorEastAsia" w:hAnsiTheme="majorEastAsia" w:eastAsiaTheme="majorEastAsia" w:cstheme="majorEastAsia"/>
                <w:i w:val="0"/>
                <w:iCs w:val="0"/>
                <w:color w:val="auto"/>
                <w:kern w:val="0"/>
                <w:sz w:val="22"/>
                <w:szCs w:val="22"/>
                <w:highlight w:val="none"/>
                <w:u w:val="none"/>
                <w:lang w:val="en-US" w:eastAsia="zh-CN" w:bidi="ar"/>
              </w:rPr>
            </w:pPr>
          </w:p>
        </w:tc>
        <w:tc>
          <w:tcPr>
            <w:tcW w:w="427" w:type="dxa"/>
            <w:noWrap w:val="0"/>
            <w:vAlign w:val="center"/>
          </w:tcPr>
          <w:p w14:paraId="0E009A84">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2652C7B8">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427" w:type="dxa"/>
            <w:noWrap w:val="0"/>
            <w:vAlign w:val="center"/>
          </w:tcPr>
          <w:p w14:paraId="3E8AC474">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744B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3DE7DB86">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36</w:t>
            </w:r>
          </w:p>
        </w:tc>
        <w:tc>
          <w:tcPr>
            <w:tcW w:w="951" w:type="dxa"/>
            <w:noWrap w:val="0"/>
            <w:vAlign w:val="center"/>
          </w:tcPr>
          <w:p w14:paraId="5E4095C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负载均衡</w:t>
            </w:r>
          </w:p>
        </w:tc>
        <w:tc>
          <w:tcPr>
            <w:tcW w:w="6726" w:type="dxa"/>
            <w:noWrap w:val="0"/>
            <w:vAlign w:val="center"/>
          </w:tcPr>
          <w:p w14:paraId="7BD185C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1.产品采用国产化CPU及操作系统，4层吞吐量 （默认网口）≥20G，四层并发连接数≥2000W，4层新建连接数 CPS≥30W，7层新建连接数 RPS≥50W。规格≥2U，内存大小≥16G，硬盘容量≥480G SSD，电源≥冗余电源，接口≥6千兆电口+6万兆光口SFP+，含三年软硬件质保。</w:t>
            </w:r>
          </w:p>
          <w:p w14:paraId="73482BD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2.支持针对不同的web页面进行数据优化，支持动态压缩技术，基于数据流进行压缩，减少不必要的数据传输；</w:t>
            </w:r>
          </w:p>
          <w:p w14:paraId="799E7F7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3.支持基于URL的链路调度功能，内置不少于10万条的国外URL网址库，无需手动导入并支持自动更新，管理员可查看。可根据URL将访问国外网站的请求调度到指定线路；</w:t>
            </w:r>
          </w:p>
          <w:p w14:paraId="1733E9C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4.支持多种链路检测方法，能够通过PING、TCP、HTTP等方式监控链路的连通性，当某一条链路故障时，可将访问流量切换到其它链路，保障用户业务的持久通畅；</w:t>
            </w:r>
          </w:p>
          <w:p w14:paraId="0D6C9951">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5.▲支持非对称式部署的传输协议优化技术（单边加速），不用在用户终端上安装任何插件和软件，即可提升用户访问应用服务的速度；(提供第三方检测报告并加盖投标人公章)；</w:t>
            </w:r>
          </w:p>
          <w:p w14:paraId="43B7B17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6.支持轮询、加权轮询、按主机加权轮询、加权最小连接、按主机加权最小连接、动态反馈、最快响应时间、加权最小流量、按主机加权最小流量、源IP源端口哈希、源IP哈希、URI哈希和HOST哈希等；</w:t>
            </w:r>
          </w:p>
          <w:p w14:paraId="1DD8F4A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7.支持HTTP被动健康检查，可配置指定检查URL、响应状态码、响应超时时间、统计时间以及可设置异常URL上限，并且能开启/关闭调试日志功能；</w:t>
            </w:r>
          </w:p>
          <w:p w14:paraId="3F9B79E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8.▲设备支持图片优化技术，通过对图片格式的转换，减少传输流量，提升 web页面加载速度；无需改动服务器端的图片源文件可根据浏览器种类自动识别转换类型，将图片转换为对应支持的 WebP 或JPEG 格式,优化加速效果。（提供第三方检测报告并加盖投标人公章）</w:t>
            </w:r>
          </w:p>
          <w:p w14:paraId="141324B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9.▲支持在 Web 页面修改虚拟服务名称，支持在同一个虚拟服务下同时配置多个 IPv4 和 IPv6 地址以及多个不连续应用端口或者端口范围。（提供第三方检测报告并加盖投标人公章）</w:t>
            </w:r>
          </w:p>
          <w:p w14:paraId="4432B1B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10.IPv6改造方案能够解决天窗问题，支持一条策略匹配多个外链网站，同时外链和网站子链发生修改时支持自动识别并做主动修改，不允许通过人工解析配置的方式解决天窗问题。</w:t>
            </w:r>
          </w:p>
          <w:p w14:paraId="17BA2B1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0A7463A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2D70868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427" w:type="dxa"/>
            <w:noWrap w:val="0"/>
            <w:vAlign w:val="center"/>
          </w:tcPr>
          <w:p w14:paraId="39684E46">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785E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428202B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37</w:t>
            </w:r>
          </w:p>
        </w:tc>
        <w:tc>
          <w:tcPr>
            <w:tcW w:w="951" w:type="dxa"/>
            <w:noWrap w:val="0"/>
            <w:vAlign w:val="center"/>
          </w:tcPr>
          <w:p w14:paraId="735E979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违规外联与跨网互联检测系统硬件</w:t>
            </w:r>
          </w:p>
        </w:tc>
        <w:tc>
          <w:tcPr>
            <w:tcW w:w="6726" w:type="dxa"/>
            <w:noWrap w:val="0"/>
            <w:vAlign w:val="center"/>
          </w:tcPr>
          <w:p w14:paraId="6A61EF6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违规外联检测引擎、国产兆芯CPU、1个Console口，≥6个千兆电口，≥4个千兆光口，≥2扩，≥16G内存，≥2TB硬盘。默认含36个月标准维保服务。</w:t>
            </w:r>
          </w:p>
          <w:p w14:paraId="5C98768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1.设备类型识别：通过快速扫描方法，实现对网络中视频设备及其他设备数量和类型的分类统计，能够识别包括摄像头、NVR、DVR、存储服务器及其他计算机、交换机、服务器、移动终端等设备类型。</w:t>
            </w:r>
          </w:p>
          <w:p w14:paraId="41D6777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2.通讯关系展示：以图形化形式展示网络内设备与设备之间的网络通讯关系，基于图形化数据可直观定位关键应用设备</w:t>
            </w:r>
          </w:p>
          <w:p w14:paraId="48CAE67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识别库管理：支持指纹库管理，对于未识别成功的终端，可通过人工录入指纹的方式修正终端信息扫描结果，支持指纹库的外部导入及备份。</w:t>
            </w:r>
          </w:p>
          <w:p w14:paraId="1BC7FF0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3.网络拓扑管理：图形化展示网络拓扑，直观地展示网络设备之间的连接关系和设备概要信息，可对拓扑进行自定义编辑手动修改连接关系。</w:t>
            </w:r>
          </w:p>
          <w:p w14:paraId="64FD8D8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4.▲支持检测隔离网络中的终端通过双网卡连接另外一个隔离网络，但违规终端未正确配置网络，仅物理层将两个网络打通的情况。（提供第三方检测报告并加盖投标人公章）</w:t>
            </w:r>
          </w:p>
          <w:p w14:paraId="123A01F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5.被动探测：支持通过被动触发的方式，在不影响客户业务的的情况下通过元素或者网站的方式检测到同时连接到内网以及隔离网的终端，</w:t>
            </w:r>
          </w:p>
          <w:p w14:paraId="48A754F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6.主动扫描：支持通过主动扫描的方式，实时发现同时连接到内网以及隔离网的终端</w:t>
            </w:r>
          </w:p>
          <w:p w14:paraId="0277B18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7.NAT发现：自动发现管理域内的子网，包括带NAT功能的路由器、代理、虚拟机等各种子网，上报其边界点IP。</w:t>
            </w:r>
          </w:p>
          <w:p w14:paraId="0F220BD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8.▲系统内置漏洞库，支持通过匹配设备信息检测存在的漏洞信息。（提供第三方检测报告并加盖投标人公章）</w:t>
            </w:r>
          </w:p>
          <w:p w14:paraId="0024EAE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9.探测器互联：支持探测在隔离网中不通NIT服务器的连接，判断隔离网之间是否存在互联通道</w:t>
            </w:r>
          </w:p>
          <w:p w14:paraId="365BAD3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10.外联取证：结合云检测平台对违规接入提取证据，方便查找相关责任人以及后续处理。取证的内容包括外网IP、内网IP、发现方式、发现时间等。</w:t>
            </w:r>
          </w:p>
          <w:p w14:paraId="40CB951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11.▲外联终端阻断：支持以手动或者自动的方式对外联的终端或设备进行阻断操作，支持对历史数据自动清理。（提供第三方检测报告并加盖投标人公章）</w:t>
            </w:r>
          </w:p>
          <w:p w14:paraId="4B1673A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12.▲弱口令监测：支持对哑终端进行弱口令扫描功能，提供扫描IP、时间周期、协议、主机最大探测时间等自定义配置。自持内置口令+自定义口令组合配置。（提供相关截图并加盖投标人公章）</w:t>
            </w:r>
          </w:p>
          <w:p w14:paraId="5E13BDE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13.▲漏洞扫描：系统内置漏洞库，支持通过匹配设备信息检测存在的漏洞信息。（提供相关截图并加盖投标人公章）</w:t>
            </w:r>
          </w:p>
          <w:p w14:paraId="6B65AB8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14.,地址冲突发现：支持发现网络内的地址冲突事件，支持发现冲突设备的MAC和接入位置。</w:t>
            </w:r>
          </w:p>
          <w:p w14:paraId="67C04166">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15.▲支持检测两个隔离网络网络之间，通过网线将两个隔离网络的交换机相互联通的情况,（提供第三方检测报告并加盖投标人公章）</w:t>
            </w:r>
          </w:p>
        </w:tc>
        <w:tc>
          <w:tcPr>
            <w:tcW w:w="427" w:type="dxa"/>
            <w:noWrap w:val="0"/>
            <w:vAlign w:val="center"/>
          </w:tcPr>
          <w:p w14:paraId="450D53D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36D6AD17">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54B78B47">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7B9B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578910F">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38</w:t>
            </w:r>
          </w:p>
        </w:tc>
        <w:tc>
          <w:tcPr>
            <w:tcW w:w="951" w:type="dxa"/>
            <w:noWrap w:val="0"/>
            <w:vAlign w:val="center"/>
          </w:tcPr>
          <w:p w14:paraId="7B42FDC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违规外联与跨网互联检测系统软件</w:t>
            </w:r>
          </w:p>
        </w:tc>
        <w:tc>
          <w:tcPr>
            <w:tcW w:w="6726" w:type="dxa"/>
            <w:noWrap w:val="0"/>
            <w:vAlign w:val="center"/>
          </w:tcPr>
          <w:p w14:paraId="5CC2307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软件部署方式、配合内网部署的违规外联探测引擎，在互联网侧部署的检测告警服务器，用于持续监测并验证来自内网设备的外联数据，一旦发现有外联行为，就以邮件和短信等方式向管理员告警。默认含3年维保服务。</w:t>
            </w:r>
          </w:p>
          <w:p w14:paraId="72ED1DA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1.标签设置：支持通过设置不同外联标签区分外联设备的来源及组织归属；支持自定义或手动生成外联标签信息。</w:t>
            </w:r>
          </w:p>
          <w:p w14:paraId="5E26BC7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2.管理员账号管理：支持对管理员账号的增删改查以及登录限制；支持根据管理员角色分配不同功能及标签权限。</w:t>
            </w:r>
          </w:p>
          <w:p w14:paraId="0ACFAA8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3.告警通知设置：支持以网页、邮件、短信的方式实时通知告警信息，支持自定义配置邮件及短信服务器。</w:t>
            </w:r>
          </w:p>
          <w:p w14:paraId="769AD38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4.日志审计：支持记录系统、操作及外联日志告警，支持日志自动清理。</w:t>
            </w:r>
          </w:p>
          <w:p w14:paraId="767DDAA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5.系统异常告警：自持配置系统异常告警规则，及时上报当前服务器的管理员登录控制、系统资源、系统服务等异常行为告警信息；支持自定义告警信息级别。</w:t>
            </w:r>
          </w:p>
          <w:p w14:paraId="537DC2B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6.外联终端告警：支持外联终端告警，支持自定义外联终端告警级别及告警方式；记录内IP、外网 IP、主机名、MAC 地址、告警时间、处理状态等信息记录。</w:t>
            </w:r>
          </w:p>
          <w:p w14:paraId="07901C3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7.数据管理：支持对告警数据的统计、筛选；支持对数据的导出留存。</w:t>
            </w:r>
          </w:p>
          <w:p w14:paraId="59F074D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23E67879">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5EC3A0E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53CC0083">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5DB5C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693A74B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39</w:t>
            </w:r>
          </w:p>
        </w:tc>
        <w:tc>
          <w:tcPr>
            <w:tcW w:w="951" w:type="dxa"/>
            <w:noWrap w:val="0"/>
            <w:vAlign w:val="center"/>
          </w:tcPr>
          <w:p w14:paraId="0962D1A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堡垒机</w:t>
            </w:r>
          </w:p>
        </w:tc>
        <w:tc>
          <w:tcPr>
            <w:tcW w:w="6726" w:type="dxa"/>
            <w:noWrap w:val="0"/>
            <w:vAlign w:val="center"/>
          </w:tcPr>
          <w:p w14:paraId="6C5A6EF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1、授权资产数≥500个,并发字符连接最大数≥200个,并发图形连接最大数≥30个；</w:t>
            </w:r>
          </w:p>
          <w:p w14:paraId="61EFA72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2、国产芯片+国产操作系统，内存≥16G 硬盘容量≥500G SSD+2T，网络接口:千兆电口管理口≥2个、千兆业务电口≥6个、千兆业务光口≥4个；3年质保。</w:t>
            </w:r>
          </w:p>
          <w:p w14:paraId="7FA374A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3、支持标准化对接CAS、JWT、SAML2、OAuth2单点登录认证，且支持配置是否自动创建堡垒机中不存在用户。</w:t>
            </w:r>
          </w:p>
          <w:p w14:paraId="5E442AC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4、支持自动收集设备IP、运维协议、端口号、账号、密码、与用户的权限关系，可自动完成授权。</w:t>
            </w:r>
          </w:p>
          <w:p w14:paraId="4D0CF7A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5、标准支持DB2、Oracle、MySql、SQL Server、PostgreSQL、KingbaseES、DM、GBase8a、GBASE8s的协议运维代理，可实现自动登录，自动登录可直接调用本地windows系统的数据库客户端工具（包括ssms、sqlwb、DBeaver、mysqlcli、MySQLWorkbench、MySQLFront、DbVisualizer、PLSQL、SQLPlus、Toad、ToadforDB2、db2cmd、QuestCentral、pgAdmin3、psql、Ksql、Isql、DIsql、DMmanger、GBaseDateStudio、navicat系列等），无需应用发布前置机。</w:t>
            </w:r>
          </w:p>
          <w:p w14:paraId="26D34E8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6、支持对常见数据库及国产数据库的自动改密功能，包括DB2、oracle、mysql、sqlserver、PG、人大金仓、GBase8a、GBase8s、达梦数据库等。</w:t>
            </w:r>
          </w:p>
          <w:p w14:paraId="743929B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7、支持定期自动修改windows服务器、网络设备、linux/unix等目标设备密码功能，且自动改密不借助于Agent，无需开放445、135、139等高危端口。</w:t>
            </w:r>
          </w:p>
          <w:p w14:paraId="18346A7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8、支持对重要命令进行审核：运维人员执行命令后，需等到管理员审批通过后才可执行成功。可选择性设置自定义时间内未审批，对命令自动放行。</w:t>
            </w:r>
          </w:p>
          <w:p w14:paraId="406D708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9、H5运维及查看录像全程支持水印功能，支持调整水印显示透明度</w:t>
            </w:r>
          </w:p>
          <w:p w14:paraId="257AA87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10、支持国密和非国密通信兼容模式，在开启国密通信的同时兼容普通加密通信，能够满足在国密兼容模式下，使用国密浏览器时协商国密通信，使用普通浏览器时协商普通加密通信的相关能力。</w:t>
            </w:r>
          </w:p>
          <w:p w14:paraId="4EB3E03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11、支持内置VPN模块，无需与其他VPN设备联动，实现运维入口安全接入。</w:t>
            </w:r>
          </w:p>
          <w:p w14:paraId="2BFEDE4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60DF989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3A83D635">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5AACD168">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7F97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6CDAB5AC">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40</w:t>
            </w:r>
          </w:p>
        </w:tc>
        <w:tc>
          <w:tcPr>
            <w:tcW w:w="951" w:type="dxa"/>
            <w:noWrap w:val="0"/>
            <w:vAlign w:val="center"/>
          </w:tcPr>
          <w:p w14:paraId="602EAF6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WAF</w:t>
            </w:r>
          </w:p>
        </w:tc>
        <w:tc>
          <w:tcPr>
            <w:tcW w:w="6726" w:type="dxa"/>
            <w:noWrap w:val="0"/>
            <w:vAlign w:val="center"/>
          </w:tcPr>
          <w:p w14:paraId="28AE685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1、国产化芯片、国产化操作系统，含交流冗余电源模块，≥2*USB接口，1*RJ45串口，≥2*GE管理口，≥6千兆电口（带bypass），≥4千兆光口（非bypass），≥2个接口扩展槽位。≥4T硬盘+256G</w:t>
            </w:r>
          </w:p>
          <w:p w14:paraId="72F396E5">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2、网络层吞吐≥20G，应用层吞吐≥2G，HTTP最大并发数≥300000个</w:t>
            </w:r>
          </w:p>
          <w:p w14:paraId="7BA3D34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3、支持记录X-Forwarded-For字段，在日志中展示真实源IP地址，并可对真实源IP地址进行封禁</w:t>
            </w:r>
          </w:p>
          <w:p w14:paraId="12384F1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4、▲支持可根据会话标识、指定网站资源、用户名进行会话跟踪，还原攻击场景(提供第三方检测报告并加盖投标人公章）</w:t>
            </w:r>
          </w:p>
          <w:p w14:paraId="49A286B8">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5、支持基于规则体系构建黑名单安全策略和自学习白名单机制；产品自学习应该能够支持url,http method,请求响应码，请求参数名称及其对应的值，cookie 参数名称及其对应值等信息。</w:t>
            </w:r>
          </w:p>
          <w:p w14:paraId="037AE9E3">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6、▲支持XML防护，包括XML基础校验、Schema校验以及SOAP校验(提供第三方检测报告并加盖投标人公章）</w:t>
            </w:r>
          </w:p>
          <w:p w14:paraId="72785B2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支持针对主流Web服务器及插件的已知漏洞防护。Web服务器应覆盖主流服务器：apache、tomcat、lightpd、NGINX、IIS等插件应覆盖:dedecms、phpmyadmin、PHPWind、shopex、discuz、ecshop、vbulletin、wordpress等，提供Java反序列化漏洞（Jboss）防护规则（提供相关截图并加盖投标人公章）</w:t>
            </w:r>
          </w:p>
          <w:p w14:paraId="1F9A4A7E">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8、▲支持Nginx插件部署，以Nginx扩展模块的形式与waf进行交互，通过插件将流量转发至源站前，通过子请求将流量复制一份给waf进行检测，保证业务的高稳定性(提供第三检测报告并加盖投标人公章）</w:t>
            </w:r>
          </w:p>
          <w:p w14:paraId="7F636BC2">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9、▲支持紧急模式：当并发连接数超过设置阀值时，WAF自动进入紧急模式，已经代理的连接正常代理，对新增的请求直接转发；当连接数恢复正常时，自动退出紧急模式。(提供第三方检测报告并加盖投标人公章)</w:t>
            </w:r>
          </w:p>
          <w:p w14:paraId="2F61C8AC">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191A36A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25BE57F2">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1</w:t>
            </w:r>
          </w:p>
        </w:tc>
        <w:tc>
          <w:tcPr>
            <w:tcW w:w="427" w:type="dxa"/>
            <w:noWrap w:val="0"/>
            <w:vAlign w:val="center"/>
          </w:tcPr>
          <w:p w14:paraId="65C38724">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r w14:paraId="7C0FE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7" w:type="dxa"/>
            <w:noWrap w:val="0"/>
            <w:vAlign w:val="center"/>
          </w:tcPr>
          <w:p w14:paraId="032A443D">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default" w:ascii="宋体" w:hAnsi="宋体" w:eastAsia="宋体" w:cs="宋体"/>
                <w:b w:val="0"/>
                <w:bCs w:val="0"/>
                <w:i w:val="0"/>
                <w:iCs w:val="0"/>
                <w:color w:val="auto"/>
                <w:kern w:val="0"/>
                <w:sz w:val="21"/>
                <w:szCs w:val="20"/>
                <w:highlight w:val="none"/>
                <w:u w:val="none"/>
                <w:lang w:val="en-US"/>
              </w:rPr>
            </w:pPr>
            <w:r>
              <w:rPr>
                <w:rFonts w:hint="eastAsia" w:ascii="宋体" w:hAnsi="宋体" w:eastAsia="宋体" w:cs="宋体"/>
                <w:b w:val="0"/>
                <w:bCs w:val="0"/>
                <w:i w:val="0"/>
                <w:iCs w:val="0"/>
                <w:color w:val="auto"/>
                <w:kern w:val="0"/>
                <w:sz w:val="21"/>
                <w:szCs w:val="20"/>
                <w:highlight w:val="none"/>
                <w:u w:val="none"/>
                <w:lang w:val="en-US" w:eastAsia="zh-CN" w:bidi="ar"/>
              </w:rPr>
              <w:t>41</w:t>
            </w:r>
          </w:p>
        </w:tc>
        <w:tc>
          <w:tcPr>
            <w:tcW w:w="951" w:type="dxa"/>
            <w:noWrap w:val="0"/>
            <w:vAlign w:val="center"/>
          </w:tcPr>
          <w:p w14:paraId="38B43C13">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TAP交换机</w:t>
            </w:r>
          </w:p>
        </w:tc>
        <w:tc>
          <w:tcPr>
            <w:tcW w:w="6726" w:type="dxa"/>
            <w:noWrap w:val="0"/>
            <w:vAlign w:val="center"/>
          </w:tcPr>
          <w:p w14:paraId="10C10859">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1、交换容量≥4.8Tbps，包转发率≥2000Mpps，整机提供≥48个万兆以太网光口，2端口40G以太网光接口，4端口100G以太网光接口。</w:t>
            </w:r>
          </w:p>
          <w:p w14:paraId="10A3ABBD">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2、支持IPv4和IPv6双协议栈，支持RIP、OSPF、IS-IS、BGP、等价路由、策略路由。</w:t>
            </w:r>
          </w:p>
          <w:p w14:paraId="476CFBEF">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3、MAC地址表≥128K，路由表≥64K，ARP表≥64K。</w:t>
            </w:r>
          </w:p>
          <w:p w14:paraId="03D0529A">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4、支持 Telemetry 技术，实时采集设备数据并上送至网络分析组件平台，实现流量可视化。</w:t>
            </w:r>
          </w:p>
          <w:p w14:paraId="2DA8CF10">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5、实现CPU保护功能，能限制非法报文对CPU的攻击，保护交换机在各种环境下稳定工作。</w:t>
            </w:r>
          </w:p>
          <w:p w14:paraId="04FE9847">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6、支持TAP分流功能，支持流量的负载均衡，支持N:M的流量镜像。</w:t>
            </w:r>
          </w:p>
          <w:p w14:paraId="443FE204">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本次配置冗余热插拔电源、冗余热插拔风扇。</w:t>
            </w:r>
          </w:p>
          <w:p w14:paraId="06F5D4EB">
            <w:pPr>
              <w:keepNext w:val="0"/>
              <w:keepLines w:val="0"/>
              <w:pageBreakBefore w:val="0"/>
              <w:widowControl w:val="0"/>
              <w:suppressLineNumbers w:val="0"/>
              <w:kinsoku/>
              <w:wordWrap/>
              <w:overflowPunct/>
              <w:topLinePunct w:val="0"/>
              <w:bidi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27" w:type="dxa"/>
            <w:noWrap w:val="0"/>
            <w:vAlign w:val="center"/>
          </w:tcPr>
          <w:p w14:paraId="451BA2BB">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台</w:t>
            </w:r>
          </w:p>
        </w:tc>
        <w:tc>
          <w:tcPr>
            <w:tcW w:w="636" w:type="dxa"/>
            <w:noWrap w:val="0"/>
            <w:vAlign w:val="center"/>
          </w:tcPr>
          <w:p w14:paraId="6C9F0771">
            <w:pPr>
              <w:keepNext w:val="0"/>
              <w:keepLines w:val="0"/>
              <w:pageBreakBefore w:val="0"/>
              <w:widowControl w:val="0"/>
              <w:suppressLineNumbers w:val="0"/>
              <w:kinsoku/>
              <w:wordWrap/>
              <w:overflowPunct/>
              <w:topLinePunct w:val="0"/>
              <w:bidi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0"/>
                <w:sz w:val="21"/>
                <w:szCs w:val="20"/>
                <w:highlight w:val="none"/>
                <w:u w:val="none"/>
              </w:rPr>
            </w:pPr>
            <w:r>
              <w:rPr>
                <w:rFonts w:hint="eastAsia" w:ascii="宋体" w:hAnsi="宋体" w:eastAsia="宋体" w:cs="宋体"/>
                <w:b w:val="0"/>
                <w:bCs w:val="0"/>
                <w:i w:val="0"/>
                <w:iCs w:val="0"/>
                <w:color w:val="auto"/>
                <w:kern w:val="0"/>
                <w:sz w:val="21"/>
                <w:szCs w:val="20"/>
                <w:highlight w:val="none"/>
                <w:u w:val="none"/>
                <w:lang w:val="en-US" w:eastAsia="zh-CN" w:bidi="ar"/>
              </w:rPr>
              <w:t>2</w:t>
            </w:r>
          </w:p>
        </w:tc>
        <w:tc>
          <w:tcPr>
            <w:tcW w:w="427" w:type="dxa"/>
            <w:noWrap w:val="0"/>
            <w:vAlign w:val="center"/>
          </w:tcPr>
          <w:p w14:paraId="2F280A63">
            <w:pPr>
              <w:keepNext w:val="0"/>
              <w:keepLines w:val="0"/>
              <w:pageBreakBefore w:val="0"/>
              <w:widowControl w:val="0"/>
              <w:kinsoku/>
              <w:wordWrap/>
              <w:overflowPunct/>
              <w:topLinePunct w:val="0"/>
              <w:bidi w:val="0"/>
              <w:snapToGrid w:val="0"/>
              <w:ind w:left="0" w:leftChars="0" w:right="0" w:rightChars="0" w:firstLine="0" w:firstLineChars="0"/>
              <w:jc w:val="center"/>
              <w:rPr>
                <w:rFonts w:hint="eastAsia" w:ascii="宋体" w:hAnsi="宋体" w:eastAsia="宋体" w:cs="宋体"/>
                <w:b w:val="0"/>
                <w:bCs w:val="0"/>
                <w:i w:val="0"/>
                <w:iCs w:val="0"/>
                <w:color w:val="auto"/>
                <w:kern w:val="0"/>
                <w:sz w:val="21"/>
                <w:szCs w:val="20"/>
                <w:highlight w:val="none"/>
                <w:u w:val="none"/>
              </w:rPr>
            </w:pPr>
          </w:p>
        </w:tc>
      </w:tr>
    </w:tbl>
    <w:p w14:paraId="3B696EB1">
      <w:pPr>
        <w:keepNext w:val="0"/>
        <w:keepLines w:val="0"/>
        <w:pageBreakBefore w:val="0"/>
        <w:widowControl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Arial"/>
          <w:b/>
          <w:bCs/>
          <w:color w:val="auto"/>
          <w:kern w:val="0"/>
          <w:sz w:val="24"/>
          <w:szCs w:val="24"/>
          <w:highlight w:val="none"/>
        </w:rPr>
      </w:pPr>
    </w:p>
    <w:p w14:paraId="164BC19A">
      <w:pPr>
        <w:keepNext w:val="0"/>
        <w:keepLines w:val="0"/>
        <w:pageBreakBefore w:val="0"/>
        <w:widowControl w:val="0"/>
        <w:kinsoku/>
        <w:wordWrap/>
        <w:overflowPunct/>
        <w:topLinePunct w:val="0"/>
        <w:bidi w:val="0"/>
        <w:snapToGrid w:val="0"/>
        <w:jc w:val="both"/>
        <w:rPr>
          <w:rFonts w:ascii="Arial" w:hAnsi="Arial" w:eastAsia="宋体" w:cs="Arial"/>
          <w:b/>
          <w:bCs/>
          <w:color w:val="auto"/>
          <w:sz w:val="27"/>
          <w:szCs w:val="24"/>
          <w:highlight w:val="none"/>
          <w:lang w:val="en-US" w:eastAsia="zh-CN" w:bidi="ar-SA"/>
        </w:rPr>
      </w:pPr>
    </w:p>
    <w:p w14:paraId="36F984E2">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三、实施时间及地点</w:t>
      </w:r>
    </w:p>
    <w:p w14:paraId="39D6233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b w:val="0"/>
          <w:bCs w:val="0"/>
          <w:color w:val="auto"/>
          <w:kern w:val="0"/>
          <w:sz w:val="24"/>
          <w:szCs w:val="24"/>
          <w:highlight w:val="none"/>
          <w:u w:val="single"/>
          <w:lang w:val="en-US" w:eastAsia="zh-CN"/>
        </w:rPr>
      </w:pPr>
      <w:r>
        <w:rPr>
          <w:rFonts w:hint="eastAsia" w:ascii="宋体" w:hAnsi="宋体" w:eastAsia="宋体" w:cs="宋体"/>
          <w:b w:val="0"/>
          <w:bCs w:val="0"/>
          <w:color w:val="auto"/>
          <w:kern w:val="0"/>
          <w:sz w:val="24"/>
          <w:szCs w:val="24"/>
          <w:highlight w:val="none"/>
        </w:rPr>
        <w:t>实施时间（工期）：</w:t>
      </w:r>
      <w:r>
        <w:rPr>
          <w:rFonts w:hint="eastAsia" w:ascii="宋体" w:hAnsi="宋体" w:eastAsia="宋体" w:cs="宋体"/>
          <w:b w:val="0"/>
          <w:bCs w:val="0"/>
          <w:color w:val="auto"/>
          <w:kern w:val="0"/>
          <w:sz w:val="24"/>
          <w:szCs w:val="24"/>
          <w:highlight w:val="none"/>
          <w:u w:val="single"/>
        </w:rPr>
        <w:t>合同签订后</w:t>
      </w:r>
      <w:r>
        <w:rPr>
          <w:rFonts w:hint="eastAsia" w:ascii="宋体" w:hAnsi="宋体" w:eastAsia="宋体" w:cs="宋体"/>
          <w:b w:val="0"/>
          <w:bCs w:val="0"/>
          <w:color w:val="auto"/>
          <w:kern w:val="0"/>
          <w:sz w:val="24"/>
          <w:szCs w:val="24"/>
          <w:highlight w:val="none"/>
          <w:u w:val="single"/>
          <w:lang w:val="en-US" w:eastAsia="zh-CN"/>
        </w:rPr>
        <w:t>180</w:t>
      </w:r>
      <w:r>
        <w:rPr>
          <w:rFonts w:hint="eastAsia" w:ascii="宋体" w:hAnsi="宋体" w:eastAsia="宋体" w:cs="宋体"/>
          <w:b w:val="0"/>
          <w:bCs w:val="0"/>
          <w:color w:val="auto"/>
          <w:kern w:val="0"/>
          <w:sz w:val="24"/>
          <w:szCs w:val="24"/>
          <w:highlight w:val="none"/>
          <w:u w:val="single"/>
        </w:rPr>
        <w:t>日内完成全部系统开发、设备交货并通过验收。</w:t>
      </w:r>
      <w:r>
        <w:rPr>
          <w:rFonts w:hint="eastAsia" w:ascii="宋体" w:hAnsi="宋体" w:eastAsia="宋体" w:cs="宋体"/>
          <w:b w:val="0"/>
          <w:bCs w:val="0"/>
          <w:color w:val="auto"/>
          <w:kern w:val="0"/>
          <w:sz w:val="24"/>
          <w:szCs w:val="24"/>
          <w:highlight w:val="none"/>
          <w:u w:val="single"/>
          <w:lang w:val="en-US" w:eastAsia="zh-CN"/>
        </w:rPr>
        <w:t xml:space="preserve">                                                                     </w:t>
      </w:r>
    </w:p>
    <w:p w14:paraId="12172C5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实施地点：指定地点。</w:t>
      </w:r>
    </w:p>
    <w:p w14:paraId="2BE2D0D5">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四、付款方式：</w:t>
      </w:r>
    </w:p>
    <w:p w14:paraId="05A1796D">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w:t>
      </w:r>
      <w:r>
        <w:rPr>
          <w:rFonts w:hint="eastAsia" w:ascii="宋体" w:hAnsi="宋体" w:eastAsia="宋体" w:cs="宋体"/>
          <w:color w:val="auto"/>
          <w:highlight w:val="none"/>
          <w:u w:val="single"/>
          <w:lang w:val="en-US" w:eastAsia="zh-CN"/>
        </w:rPr>
        <w:t>合同签订后7日内，招标人向中标人</w:t>
      </w:r>
      <w:r>
        <w:rPr>
          <w:rFonts w:hint="eastAsia" w:ascii="宋体" w:hAnsi="宋体" w:eastAsia="宋体" w:cs="宋体"/>
          <w:color w:val="auto"/>
          <w:highlight w:val="none"/>
          <w:u w:val="single"/>
        </w:rPr>
        <w:t>支付合同价的</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预付</w:t>
      </w:r>
      <w:r>
        <w:rPr>
          <w:rFonts w:hint="eastAsia" w:ascii="宋体" w:hAnsi="宋体" w:eastAsia="宋体" w:cs="宋体"/>
          <w:color w:val="auto"/>
          <w:highlight w:val="none"/>
          <w:u w:val="single"/>
        </w:rPr>
        <w:t>款；供应商明确表示无需预付款或者主动要求降低预付款比例的由双方另行商定</w:t>
      </w:r>
      <w:r>
        <w:rPr>
          <w:rFonts w:hint="eastAsia" w:ascii="宋体" w:hAnsi="宋体" w:eastAsia="宋体" w:cs="宋体"/>
          <w:color w:val="auto"/>
          <w:highlight w:val="none"/>
          <w:u w:val="single"/>
          <w:lang w:val="en-US" w:eastAsia="zh-CN"/>
        </w:rPr>
        <w:t>并出具书面材料</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7D993022">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2）</w:t>
      </w:r>
      <w:r>
        <w:rPr>
          <w:rFonts w:hint="eastAsia" w:ascii="宋体" w:hAnsi="宋体" w:eastAsia="宋体" w:cs="宋体"/>
          <w:color w:val="auto"/>
          <w:highlight w:val="none"/>
          <w:u w:val="single"/>
          <w:lang w:val="en-US" w:eastAsia="zh-CN"/>
        </w:rPr>
        <w:t>项目</w:t>
      </w:r>
      <w:r>
        <w:rPr>
          <w:rFonts w:hint="eastAsia" w:ascii="宋体" w:hAnsi="宋体" w:eastAsia="宋体" w:cs="宋体"/>
          <w:color w:val="auto"/>
          <w:highlight w:val="none"/>
          <w:u w:val="single"/>
        </w:rPr>
        <w:t>竣工</w:t>
      </w:r>
      <w:r>
        <w:rPr>
          <w:rFonts w:hint="eastAsia" w:ascii="宋体" w:hAnsi="宋体" w:eastAsia="宋体" w:cs="宋体"/>
          <w:color w:val="auto"/>
          <w:highlight w:val="none"/>
          <w:u w:val="single"/>
          <w:lang w:val="en-US" w:eastAsia="zh-CN"/>
        </w:rPr>
        <w:t>验收合格</w:t>
      </w:r>
      <w:r>
        <w:rPr>
          <w:rFonts w:hint="eastAsia" w:ascii="宋体" w:hAnsi="宋体" w:eastAsia="宋体" w:cs="宋体"/>
          <w:color w:val="auto"/>
          <w:highlight w:val="none"/>
          <w:u w:val="single"/>
        </w:rPr>
        <w:t>后</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付至合同价的</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0%</w:t>
      </w:r>
      <w:r>
        <w:rPr>
          <w:rFonts w:hint="eastAsia" w:ascii="宋体" w:hAnsi="宋体" w:eastAsia="宋体" w:cs="宋体"/>
          <w:color w:val="auto"/>
          <w:highlight w:val="none"/>
          <w:u w:val="single"/>
          <w:lang w:val="en-US" w:eastAsia="zh-CN"/>
        </w:rPr>
        <w:t>合同款</w:t>
      </w:r>
      <w:r>
        <w:rPr>
          <w:rFonts w:hint="eastAsia" w:ascii="宋体" w:hAnsi="宋体" w:eastAsia="宋体" w:cs="宋体"/>
          <w:color w:val="auto"/>
          <w:highlight w:val="none"/>
          <w:u w:val="single"/>
        </w:rPr>
        <w:t>（包括以前支付</w:t>
      </w:r>
      <w:r>
        <w:rPr>
          <w:rFonts w:hint="eastAsia" w:ascii="宋体" w:hAnsi="宋体" w:eastAsia="宋体" w:cs="宋体"/>
          <w:color w:val="auto"/>
          <w:highlight w:val="none"/>
          <w:u w:val="single"/>
          <w:lang w:val="en-US" w:eastAsia="zh-CN"/>
        </w:rPr>
        <w:t>的预付款</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6A9BE720">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3）</w:t>
      </w:r>
      <w:r>
        <w:rPr>
          <w:rFonts w:hint="eastAsia" w:ascii="宋体" w:hAnsi="宋体" w:eastAsia="宋体" w:cs="宋体"/>
          <w:color w:val="auto"/>
          <w:highlight w:val="none"/>
          <w:u w:val="single"/>
          <w:lang w:val="en-US" w:eastAsia="zh-CN"/>
        </w:rPr>
        <w:t>项目</w:t>
      </w:r>
      <w:r>
        <w:rPr>
          <w:rFonts w:hint="eastAsia" w:ascii="宋体" w:hAnsi="宋体" w:eastAsia="宋体" w:cs="宋体"/>
          <w:color w:val="auto"/>
          <w:highlight w:val="none"/>
          <w:u w:val="single"/>
        </w:rPr>
        <w:t>竣工验收合格满一年，中标人完成（自竣工验收合格后之日起第一年）</w:t>
      </w:r>
      <w:r>
        <w:rPr>
          <w:rFonts w:hint="eastAsia" w:ascii="宋体" w:hAnsi="宋体" w:eastAsia="宋体" w:cs="宋体"/>
          <w:color w:val="auto"/>
          <w:highlight w:val="none"/>
          <w:u w:val="single"/>
          <w:lang w:val="en-US" w:eastAsia="zh-CN"/>
        </w:rPr>
        <w:t>质保</w:t>
      </w:r>
      <w:r>
        <w:rPr>
          <w:rFonts w:hint="eastAsia" w:ascii="宋体" w:hAnsi="宋体" w:eastAsia="宋体" w:cs="宋体"/>
          <w:color w:val="auto"/>
          <w:highlight w:val="none"/>
          <w:u w:val="single"/>
        </w:rPr>
        <w:t>服务工作，付至</w:t>
      </w:r>
      <w:r>
        <w:rPr>
          <w:rFonts w:hint="eastAsia" w:ascii="宋体" w:hAnsi="宋体" w:eastAsia="宋体" w:cs="宋体"/>
          <w:color w:val="auto"/>
          <w:highlight w:val="none"/>
          <w:u w:val="single"/>
          <w:lang w:val="en-US" w:eastAsia="zh-CN"/>
        </w:rPr>
        <w:t>合同</w:t>
      </w:r>
      <w:r>
        <w:rPr>
          <w:rFonts w:hint="eastAsia" w:ascii="宋体" w:hAnsi="宋体" w:eastAsia="宋体" w:cs="宋体"/>
          <w:color w:val="auto"/>
          <w:highlight w:val="none"/>
          <w:u w:val="single"/>
        </w:rPr>
        <w:t>价的 90%</w:t>
      </w:r>
      <w:r>
        <w:rPr>
          <w:rFonts w:hint="eastAsia" w:ascii="宋体" w:hAnsi="宋体" w:eastAsia="宋体" w:cs="宋体"/>
          <w:color w:val="auto"/>
          <w:highlight w:val="none"/>
          <w:u w:val="single"/>
          <w:lang w:val="en-US" w:eastAsia="zh-CN"/>
        </w:rPr>
        <w:t>款项</w:t>
      </w:r>
      <w:r>
        <w:rPr>
          <w:rFonts w:hint="eastAsia" w:ascii="宋体" w:hAnsi="宋体" w:eastAsia="宋体" w:cs="宋体"/>
          <w:color w:val="auto"/>
          <w:highlight w:val="none"/>
          <w:u w:val="single"/>
        </w:rPr>
        <w:t>（包括以前</w:t>
      </w:r>
      <w:r>
        <w:rPr>
          <w:rFonts w:hint="eastAsia" w:ascii="宋体" w:hAnsi="宋体" w:eastAsia="宋体" w:cs="宋体"/>
          <w:color w:val="auto"/>
          <w:highlight w:val="none"/>
          <w:u w:val="single"/>
          <w:lang w:val="en-US" w:eastAsia="zh-CN"/>
        </w:rPr>
        <w:t>已</w:t>
      </w:r>
      <w:r>
        <w:rPr>
          <w:rFonts w:hint="eastAsia" w:ascii="宋体" w:hAnsi="宋体" w:eastAsia="宋体" w:cs="宋体"/>
          <w:color w:val="auto"/>
          <w:highlight w:val="none"/>
          <w:u w:val="single"/>
        </w:rPr>
        <w:t>支付</w:t>
      </w:r>
      <w:r>
        <w:rPr>
          <w:rFonts w:hint="eastAsia" w:ascii="宋体" w:hAnsi="宋体" w:eastAsia="宋体" w:cs="宋体"/>
          <w:color w:val="auto"/>
          <w:highlight w:val="none"/>
          <w:u w:val="single"/>
          <w:lang w:val="en-US" w:eastAsia="zh-CN"/>
        </w:rPr>
        <w:t>的预付款、进度款</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3D7244AC">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4）自竣工验收合格之日起，中标人完成三年</w:t>
      </w:r>
      <w:r>
        <w:rPr>
          <w:rFonts w:hint="eastAsia" w:ascii="宋体" w:hAnsi="宋体" w:eastAsia="宋体" w:cs="宋体"/>
          <w:color w:val="auto"/>
          <w:highlight w:val="none"/>
          <w:u w:val="single"/>
          <w:lang w:val="en-US" w:eastAsia="zh-CN"/>
        </w:rPr>
        <w:t>质保</w:t>
      </w:r>
      <w:r>
        <w:rPr>
          <w:rFonts w:hint="eastAsia" w:ascii="宋体" w:hAnsi="宋体" w:eastAsia="宋体" w:cs="宋体"/>
          <w:color w:val="auto"/>
          <w:highlight w:val="none"/>
          <w:u w:val="single"/>
        </w:rPr>
        <w:t>服务工作，招标人结清剩余</w:t>
      </w:r>
      <w:r>
        <w:rPr>
          <w:rFonts w:hint="eastAsia" w:ascii="宋体" w:hAnsi="宋体" w:eastAsia="宋体" w:cs="宋体"/>
          <w:color w:val="auto"/>
          <w:highlight w:val="none"/>
          <w:u w:val="single"/>
          <w:lang w:val="en-US" w:eastAsia="zh-CN"/>
        </w:rPr>
        <w:t>款项</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1AAEEB57">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5）按上述进度付款，无利息补偿；</w:t>
      </w:r>
      <w:r>
        <w:rPr>
          <w:rFonts w:hint="eastAsia" w:ascii="宋体" w:hAnsi="宋体" w:eastAsia="宋体" w:cs="宋体"/>
          <w:color w:val="auto"/>
          <w:highlight w:val="none"/>
          <w:u w:val="single"/>
          <w:lang w:val="en-US" w:eastAsia="zh-CN"/>
        </w:rPr>
        <w:t>质保期内</w:t>
      </w:r>
      <w:r>
        <w:rPr>
          <w:rFonts w:hint="eastAsia" w:ascii="宋体" w:hAnsi="宋体" w:eastAsia="宋体" w:cs="宋体"/>
          <w:color w:val="auto"/>
          <w:highlight w:val="none"/>
          <w:u w:val="single"/>
        </w:rPr>
        <w:t>需要返工、更换、维修、调试等所产生的各项费用由中标人承担，给招标人造成的各项损失在</w:t>
      </w:r>
      <w:r>
        <w:rPr>
          <w:rFonts w:hint="eastAsia" w:ascii="宋体" w:hAnsi="宋体" w:eastAsia="宋体" w:cs="宋体"/>
          <w:color w:val="auto"/>
          <w:highlight w:val="none"/>
          <w:u w:val="single"/>
          <w:lang w:val="en-US" w:eastAsia="zh-CN"/>
        </w:rPr>
        <w:t>合同款</w:t>
      </w:r>
      <w:r>
        <w:rPr>
          <w:rFonts w:hint="eastAsia" w:ascii="宋体" w:hAnsi="宋体" w:eastAsia="宋体" w:cs="宋体"/>
          <w:color w:val="auto"/>
          <w:highlight w:val="none"/>
          <w:u w:val="single"/>
        </w:rPr>
        <w:t>中扣除。</w:t>
      </w:r>
      <w:r>
        <w:rPr>
          <w:rFonts w:hint="eastAsia" w:ascii="宋体" w:hAnsi="宋体" w:eastAsia="宋体" w:cs="宋体"/>
          <w:color w:val="auto"/>
          <w:highlight w:val="none"/>
          <w:u w:val="single"/>
          <w:lang w:val="en-US" w:eastAsia="zh-CN"/>
        </w:rPr>
        <w:t xml:space="preserve">      </w:t>
      </w:r>
    </w:p>
    <w:p w14:paraId="628DFB79">
      <w:pPr>
        <w:pStyle w:val="11"/>
        <w:keepNext w:val="0"/>
        <w:keepLines w:val="0"/>
        <w:pageBreakBefore w:val="0"/>
        <w:widowControl w:val="0"/>
        <w:kinsoku/>
        <w:wordWrap/>
        <w:overflowPunct/>
        <w:topLinePunct w:val="0"/>
        <w:autoSpaceDE/>
        <w:autoSpaceDN/>
        <w:bidi w:val="0"/>
        <w:adjustRightInd/>
        <w:snapToGrid w:val="0"/>
        <w:spacing w:before="0" w:beforeAutospacing="0" w:after="0" w:afterAutospacing="0" w:line="580" w:lineRule="exact"/>
        <w:ind w:firstLine="480" w:firstLineChars="200"/>
        <w:jc w:val="both"/>
        <w:textAlignment w:val="auto"/>
        <w:rPr>
          <w:rFonts w:hint="eastAsia" w:ascii="宋体" w:hAnsi="宋体" w:eastAsia="宋体" w:cs="宋体"/>
          <w:color w:val="auto"/>
          <w:highlight w:val="none"/>
          <w:u w:val="single"/>
          <w:lang w:val="en-US" w:eastAsia="zh-CN"/>
        </w:rPr>
      </w:pPr>
    </w:p>
    <w:p w14:paraId="3C9FBC4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五、质量要求：</w:t>
      </w:r>
    </w:p>
    <w:p w14:paraId="49B172F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投标人</w:t>
      </w:r>
      <w:r>
        <w:rPr>
          <w:rFonts w:hint="eastAsia" w:ascii="宋体" w:hAnsi="宋体" w:eastAsia="宋体" w:cs="宋体"/>
          <w:b w:val="0"/>
          <w:bCs w:val="0"/>
          <w:color w:val="auto"/>
          <w:kern w:val="0"/>
          <w:sz w:val="24"/>
          <w:szCs w:val="24"/>
          <w:highlight w:val="none"/>
        </w:rPr>
        <w:t>不能简单照搬招标文件提供的需求，必须按招标文件技术规格逐项作出实质性应答，如照搬照抄项目需求中的技术的，中标后</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在同采购人签订合同和履约环节中不得提出异议，一切后果和损失由</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承担。</w:t>
      </w:r>
    </w:p>
    <w:p w14:paraId="51752A7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须明确所投设备的生产厂家、品牌、型号、规格等。</w:t>
      </w:r>
    </w:p>
    <w:p w14:paraId="3C07CD6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应保证货物是全新、未使用过的原厂合格产品，并完全符合招标文件规定的质量、规格和参数的要求。验收过程中发现产品不符合上述要求的，将视作不合格产品，使用方有权</w:t>
      </w:r>
      <w:r>
        <w:rPr>
          <w:rFonts w:hint="eastAsia" w:ascii="宋体" w:hAnsi="宋体" w:eastAsia="宋体" w:cs="宋体"/>
          <w:b w:val="0"/>
          <w:bCs w:val="0"/>
          <w:color w:val="auto"/>
          <w:kern w:val="0"/>
          <w:sz w:val="24"/>
          <w:szCs w:val="24"/>
          <w:highlight w:val="none"/>
          <w:lang w:val="en-US" w:eastAsia="zh-CN"/>
        </w:rPr>
        <w:t>要求更换，或有权</w:t>
      </w:r>
      <w:r>
        <w:rPr>
          <w:rFonts w:hint="eastAsia" w:ascii="宋体" w:hAnsi="宋体" w:eastAsia="宋体" w:cs="宋体"/>
          <w:b w:val="0"/>
          <w:bCs w:val="0"/>
          <w:color w:val="auto"/>
          <w:kern w:val="0"/>
          <w:sz w:val="24"/>
          <w:szCs w:val="24"/>
          <w:highlight w:val="none"/>
        </w:rPr>
        <w:t>终止合同</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由此</w:t>
      </w:r>
      <w:r>
        <w:rPr>
          <w:rFonts w:hint="eastAsia" w:ascii="宋体" w:hAnsi="宋体" w:eastAsia="宋体" w:cs="宋体"/>
          <w:b w:val="0"/>
          <w:bCs w:val="0"/>
          <w:color w:val="auto"/>
          <w:kern w:val="0"/>
          <w:sz w:val="24"/>
          <w:szCs w:val="24"/>
          <w:highlight w:val="none"/>
        </w:rPr>
        <w:t>造成的</w:t>
      </w:r>
      <w:r>
        <w:rPr>
          <w:rFonts w:hint="eastAsia" w:ascii="宋体" w:hAnsi="宋体" w:eastAsia="宋体" w:cs="宋体"/>
          <w:b w:val="0"/>
          <w:bCs w:val="0"/>
          <w:color w:val="auto"/>
          <w:kern w:val="0"/>
          <w:sz w:val="24"/>
          <w:szCs w:val="24"/>
          <w:highlight w:val="none"/>
          <w:lang w:val="en-US" w:eastAsia="zh-CN"/>
        </w:rPr>
        <w:t>直接和间接</w:t>
      </w:r>
      <w:r>
        <w:rPr>
          <w:rFonts w:hint="eastAsia" w:ascii="宋体" w:hAnsi="宋体" w:eastAsia="宋体" w:cs="宋体"/>
          <w:b w:val="0"/>
          <w:bCs w:val="0"/>
          <w:color w:val="auto"/>
          <w:kern w:val="0"/>
          <w:sz w:val="24"/>
          <w:szCs w:val="24"/>
          <w:highlight w:val="none"/>
        </w:rPr>
        <w:t>损失由</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承担。</w:t>
      </w:r>
    </w:p>
    <w:p w14:paraId="6819F64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应保证提供的产品不得侵犯第三方专利权、商标权和设计权、版权等。否则，</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应负全部责任，并承担由此引起的一切后果。</w:t>
      </w:r>
    </w:p>
    <w:p w14:paraId="2CCD4B8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应保证其货物在正确安装、正常使用下，在其使用寿命期内应具有满意的性能。</w:t>
      </w:r>
    </w:p>
    <w:p w14:paraId="7D4D649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应采取必要的安全措施保证货物的运输及安装的安全，并承担货物的运输及安装过程中产生的风险。</w:t>
      </w:r>
    </w:p>
    <w:p w14:paraId="0105FB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7、所有报价的产品的各项技术标准应当符合现行相关生产标准和规范及招标文件的要求。</w:t>
      </w:r>
    </w:p>
    <w:p w14:paraId="3269544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8、交货时必须随产品提供出厂材料，包括但不限于检验报告（复印件）、产品合格证（原件）以及设备的测试、运行、保养手册。</w:t>
      </w:r>
    </w:p>
    <w:p w14:paraId="2608ECB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9、招标人将</w:t>
      </w:r>
      <w:r>
        <w:rPr>
          <w:rFonts w:hint="eastAsia" w:ascii="宋体" w:hAnsi="宋体" w:eastAsia="宋体" w:cs="宋体"/>
          <w:b w:val="0"/>
          <w:bCs w:val="0"/>
          <w:color w:val="auto"/>
          <w:kern w:val="0"/>
          <w:sz w:val="24"/>
          <w:szCs w:val="24"/>
          <w:highlight w:val="none"/>
          <w:lang w:val="en-US" w:eastAsia="zh-CN"/>
        </w:rPr>
        <w:t>委托</w:t>
      </w:r>
      <w:r>
        <w:rPr>
          <w:rFonts w:hint="eastAsia" w:ascii="宋体" w:hAnsi="宋体" w:eastAsia="宋体" w:cs="宋体"/>
          <w:b w:val="0"/>
          <w:bCs w:val="0"/>
          <w:color w:val="auto"/>
          <w:kern w:val="0"/>
          <w:sz w:val="24"/>
          <w:szCs w:val="24"/>
          <w:highlight w:val="none"/>
        </w:rPr>
        <w:t>专业人员，对安装到位的设备进行全面检查，发现使用不符合要求的产品，无条件更换，并没收履约保证金。</w:t>
      </w:r>
    </w:p>
    <w:p w14:paraId="2CC16979">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六、售后服务及其他（含安装、调试、培训、维护等）：</w:t>
      </w:r>
    </w:p>
    <w:p w14:paraId="268FD94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1、本项目包含但不限于免费质保、维护、</w:t>
      </w:r>
      <w:r>
        <w:rPr>
          <w:rFonts w:hint="eastAsia" w:ascii="宋体" w:hAnsi="宋体" w:eastAsia="宋体" w:cs="宋体"/>
          <w:b w:val="0"/>
          <w:bCs w:val="0"/>
          <w:color w:val="auto"/>
          <w:kern w:val="0"/>
          <w:sz w:val="24"/>
          <w:szCs w:val="24"/>
          <w:highlight w:val="none"/>
          <w:lang w:val="zh-CN"/>
        </w:rPr>
        <w:t>操作、维护人员的技术培训服务</w:t>
      </w:r>
      <w:r>
        <w:rPr>
          <w:rFonts w:hint="eastAsia" w:ascii="宋体" w:hAnsi="宋体" w:eastAsia="宋体" w:cs="宋体"/>
          <w:b w:val="0"/>
          <w:bCs w:val="0"/>
          <w:color w:val="auto"/>
          <w:kern w:val="0"/>
          <w:sz w:val="24"/>
          <w:szCs w:val="24"/>
          <w:highlight w:val="none"/>
        </w:rPr>
        <w:t>等服务时间为</w:t>
      </w: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rPr>
        <w:t>年（以验收合格之日为起始时间）。在质保期内，</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应以优良的服务态度，一旦发生质量问题，提供2小时以内响应，12小时到达现场，24小时以内完成</w:t>
      </w:r>
      <w:r>
        <w:rPr>
          <w:rFonts w:hint="eastAsia" w:ascii="宋体" w:hAnsi="宋体" w:eastAsia="宋体" w:cs="宋体"/>
          <w:b w:val="0"/>
          <w:bCs w:val="0"/>
          <w:color w:val="auto"/>
          <w:kern w:val="0"/>
          <w:sz w:val="24"/>
          <w:szCs w:val="24"/>
          <w:highlight w:val="none"/>
          <w:lang w:val="en-US" w:eastAsia="zh-CN"/>
        </w:rPr>
        <w:t>招标人</w:t>
      </w:r>
      <w:r>
        <w:rPr>
          <w:rFonts w:hint="eastAsia" w:ascii="宋体" w:hAnsi="宋体" w:eastAsia="宋体" w:cs="宋体"/>
          <w:b w:val="0"/>
          <w:bCs w:val="0"/>
          <w:color w:val="auto"/>
          <w:kern w:val="0"/>
          <w:sz w:val="24"/>
          <w:szCs w:val="24"/>
          <w:highlight w:val="none"/>
        </w:rPr>
        <w:t>提出的免费维修要求，修理、更换或退货的费用均由中标人负责。</w:t>
      </w:r>
    </w:p>
    <w:p w14:paraId="58CC4B9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2、所有安装施工材料质量必须严格按照国家规范的有关要求执行。</w:t>
      </w:r>
    </w:p>
    <w:p w14:paraId="7CCD64F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3、设备在安装时，应根据生产厂家所提供的产品安装说明书施工，安装辅材必须采用优质产品。</w:t>
      </w:r>
    </w:p>
    <w:p w14:paraId="480A191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应对</w:t>
      </w:r>
      <w:r>
        <w:rPr>
          <w:rFonts w:hint="eastAsia" w:ascii="宋体" w:hAnsi="宋体" w:eastAsia="宋体" w:cs="宋体"/>
          <w:b w:val="0"/>
          <w:bCs w:val="0"/>
          <w:color w:val="auto"/>
          <w:kern w:val="0"/>
          <w:sz w:val="24"/>
          <w:szCs w:val="24"/>
          <w:highlight w:val="none"/>
          <w:lang w:val="en-US" w:eastAsia="zh-CN"/>
        </w:rPr>
        <w:t>设备、软件</w:t>
      </w:r>
      <w:r>
        <w:rPr>
          <w:rFonts w:hint="eastAsia" w:ascii="宋体" w:hAnsi="宋体" w:eastAsia="宋体" w:cs="宋体"/>
          <w:b w:val="0"/>
          <w:bCs w:val="0"/>
          <w:color w:val="auto"/>
          <w:kern w:val="0"/>
          <w:sz w:val="24"/>
          <w:szCs w:val="24"/>
          <w:highlight w:val="none"/>
        </w:rPr>
        <w:t>安装质量全面负责，如</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原因造成质量事故</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承担一切经济法律责任。中标</w:t>
      </w:r>
      <w:r>
        <w:rPr>
          <w:rFonts w:hint="eastAsia" w:ascii="宋体" w:hAnsi="宋体" w:eastAsia="宋体" w:cs="宋体"/>
          <w:b w:val="0"/>
          <w:bCs w:val="0"/>
          <w:color w:val="auto"/>
          <w:kern w:val="0"/>
          <w:sz w:val="24"/>
          <w:szCs w:val="24"/>
          <w:highlight w:val="none"/>
          <w:lang w:val="en-US" w:eastAsia="zh-CN"/>
        </w:rPr>
        <w:t>人</w:t>
      </w:r>
      <w:r>
        <w:rPr>
          <w:rFonts w:hint="eastAsia" w:ascii="宋体" w:hAnsi="宋体" w:eastAsia="宋体" w:cs="宋体"/>
          <w:b w:val="0"/>
          <w:bCs w:val="0"/>
          <w:color w:val="auto"/>
          <w:kern w:val="0"/>
          <w:sz w:val="24"/>
          <w:szCs w:val="24"/>
          <w:highlight w:val="none"/>
        </w:rPr>
        <w:t>在</w:t>
      </w:r>
      <w:r>
        <w:rPr>
          <w:rFonts w:hint="eastAsia" w:ascii="宋体" w:hAnsi="宋体" w:eastAsia="宋体" w:cs="宋体"/>
          <w:b w:val="0"/>
          <w:bCs w:val="0"/>
          <w:color w:val="auto"/>
          <w:kern w:val="0"/>
          <w:sz w:val="24"/>
          <w:szCs w:val="24"/>
          <w:highlight w:val="none"/>
          <w:lang w:val="en-US" w:eastAsia="zh-CN"/>
        </w:rPr>
        <w:t>项目</w:t>
      </w:r>
      <w:r>
        <w:rPr>
          <w:rFonts w:hint="eastAsia" w:ascii="宋体" w:hAnsi="宋体" w:eastAsia="宋体" w:cs="宋体"/>
          <w:b w:val="0"/>
          <w:bCs w:val="0"/>
          <w:color w:val="auto"/>
          <w:kern w:val="0"/>
          <w:sz w:val="24"/>
          <w:szCs w:val="24"/>
          <w:highlight w:val="none"/>
        </w:rPr>
        <w:t>实施过程中，严格按照国家规范、</w:t>
      </w:r>
      <w:r>
        <w:rPr>
          <w:rFonts w:hint="eastAsia" w:ascii="宋体" w:hAnsi="宋体" w:eastAsia="宋体" w:cs="宋体"/>
          <w:b w:val="0"/>
          <w:bCs w:val="0"/>
          <w:color w:val="auto"/>
          <w:kern w:val="0"/>
          <w:sz w:val="24"/>
          <w:szCs w:val="24"/>
          <w:highlight w:val="none"/>
          <w:lang w:val="en-US" w:eastAsia="zh-CN"/>
        </w:rPr>
        <w:t>图纸</w:t>
      </w:r>
      <w:r>
        <w:rPr>
          <w:rFonts w:hint="eastAsia" w:ascii="宋体" w:hAnsi="宋体" w:eastAsia="宋体" w:cs="宋体"/>
          <w:b w:val="0"/>
          <w:bCs w:val="0"/>
          <w:color w:val="auto"/>
          <w:kern w:val="0"/>
          <w:sz w:val="24"/>
          <w:szCs w:val="24"/>
          <w:highlight w:val="none"/>
        </w:rPr>
        <w:t>施工，加强安全管理工作，确保安全文明施工，所有该</w:t>
      </w:r>
      <w:r>
        <w:rPr>
          <w:rFonts w:hint="eastAsia" w:ascii="宋体" w:hAnsi="宋体" w:eastAsia="宋体" w:cs="宋体"/>
          <w:b w:val="0"/>
          <w:bCs w:val="0"/>
          <w:color w:val="auto"/>
          <w:kern w:val="0"/>
          <w:sz w:val="24"/>
          <w:szCs w:val="24"/>
          <w:highlight w:val="none"/>
          <w:lang w:val="en-US" w:eastAsia="zh-CN"/>
        </w:rPr>
        <w:t>项目</w:t>
      </w:r>
      <w:r>
        <w:rPr>
          <w:rFonts w:hint="eastAsia" w:ascii="宋体" w:hAnsi="宋体" w:eastAsia="宋体" w:cs="宋体"/>
          <w:b w:val="0"/>
          <w:bCs w:val="0"/>
          <w:color w:val="auto"/>
          <w:kern w:val="0"/>
          <w:sz w:val="24"/>
          <w:szCs w:val="24"/>
          <w:highlight w:val="none"/>
        </w:rPr>
        <w:t>的安全文明施工措施费用均含在</w:t>
      </w:r>
      <w:r>
        <w:rPr>
          <w:rFonts w:hint="eastAsia" w:ascii="宋体" w:hAnsi="宋体" w:eastAsia="宋体" w:cs="宋体"/>
          <w:b w:val="0"/>
          <w:bCs w:val="0"/>
          <w:color w:val="auto"/>
          <w:kern w:val="0"/>
          <w:sz w:val="24"/>
          <w:szCs w:val="24"/>
          <w:highlight w:val="none"/>
          <w:lang w:val="en-US" w:eastAsia="zh-CN"/>
        </w:rPr>
        <w:t>投标总价之中</w:t>
      </w:r>
      <w:r>
        <w:rPr>
          <w:rFonts w:hint="eastAsia" w:ascii="宋体" w:hAnsi="宋体" w:eastAsia="宋体" w:cs="宋体"/>
          <w:b w:val="0"/>
          <w:bCs w:val="0"/>
          <w:color w:val="auto"/>
          <w:kern w:val="0"/>
          <w:sz w:val="24"/>
          <w:szCs w:val="24"/>
          <w:highlight w:val="none"/>
        </w:rPr>
        <w:t>。</w:t>
      </w:r>
    </w:p>
    <w:p w14:paraId="7638B21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5、在安装施工期间，</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应无条件的遵守</w:t>
      </w:r>
      <w:r>
        <w:rPr>
          <w:rFonts w:hint="eastAsia" w:ascii="宋体" w:hAnsi="宋体" w:eastAsia="宋体" w:cs="宋体"/>
          <w:b w:val="0"/>
          <w:bCs w:val="0"/>
          <w:color w:val="auto"/>
          <w:kern w:val="0"/>
          <w:sz w:val="24"/>
          <w:szCs w:val="24"/>
          <w:highlight w:val="none"/>
          <w:lang w:val="en-US" w:eastAsia="zh-CN"/>
        </w:rPr>
        <w:t>项目</w:t>
      </w:r>
      <w:r>
        <w:rPr>
          <w:rFonts w:hint="eastAsia" w:ascii="宋体" w:hAnsi="宋体" w:eastAsia="宋体" w:cs="宋体"/>
          <w:b w:val="0"/>
          <w:bCs w:val="0"/>
          <w:color w:val="auto"/>
          <w:kern w:val="0"/>
          <w:sz w:val="24"/>
          <w:szCs w:val="24"/>
          <w:highlight w:val="none"/>
        </w:rPr>
        <w:t>现场的各项规章制度。</w:t>
      </w:r>
    </w:p>
    <w:p w14:paraId="1A502EE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6、在安装期间，</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应无条件的接受</w:t>
      </w:r>
      <w:r>
        <w:rPr>
          <w:rFonts w:hint="eastAsia" w:ascii="宋体" w:hAnsi="宋体" w:eastAsia="宋体" w:cs="宋体"/>
          <w:b w:val="0"/>
          <w:bCs w:val="0"/>
          <w:color w:val="auto"/>
          <w:kern w:val="0"/>
          <w:sz w:val="24"/>
          <w:szCs w:val="24"/>
          <w:highlight w:val="none"/>
          <w:lang w:val="en-US" w:eastAsia="zh-CN"/>
        </w:rPr>
        <w:t>招标人</w:t>
      </w:r>
      <w:r>
        <w:rPr>
          <w:rFonts w:hint="eastAsia" w:ascii="宋体" w:hAnsi="宋体" w:eastAsia="宋体" w:cs="宋体"/>
          <w:b w:val="0"/>
          <w:bCs w:val="0"/>
          <w:color w:val="auto"/>
          <w:kern w:val="0"/>
          <w:sz w:val="24"/>
          <w:szCs w:val="24"/>
          <w:highlight w:val="none"/>
        </w:rPr>
        <w:t>的质量监督，提出的质量问题要及时整改，整改完毕后通知采购方检查验收，合格后书面报送</w:t>
      </w:r>
      <w:r>
        <w:rPr>
          <w:rFonts w:hint="eastAsia" w:ascii="宋体" w:hAnsi="宋体" w:eastAsia="宋体" w:cs="宋体"/>
          <w:b w:val="0"/>
          <w:bCs w:val="0"/>
          <w:color w:val="auto"/>
          <w:kern w:val="0"/>
          <w:sz w:val="24"/>
          <w:szCs w:val="24"/>
          <w:highlight w:val="none"/>
          <w:lang w:val="en-US" w:eastAsia="zh-CN"/>
        </w:rPr>
        <w:t>招标人</w:t>
      </w:r>
      <w:r>
        <w:rPr>
          <w:rFonts w:hint="eastAsia" w:ascii="宋体" w:hAnsi="宋体" w:eastAsia="宋体" w:cs="宋体"/>
          <w:b w:val="0"/>
          <w:bCs w:val="0"/>
          <w:color w:val="auto"/>
          <w:kern w:val="0"/>
          <w:sz w:val="24"/>
          <w:szCs w:val="24"/>
          <w:highlight w:val="none"/>
        </w:rPr>
        <w:t>备案。</w:t>
      </w:r>
    </w:p>
    <w:p w14:paraId="6319986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必须按照</w:t>
      </w:r>
      <w:r>
        <w:rPr>
          <w:rFonts w:hint="eastAsia" w:ascii="宋体" w:hAnsi="宋体" w:eastAsia="宋体" w:cs="宋体"/>
          <w:b w:val="0"/>
          <w:bCs w:val="0"/>
          <w:color w:val="auto"/>
          <w:kern w:val="0"/>
          <w:sz w:val="24"/>
          <w:szCs w:val="24"/>
          <w:highlight w:val="none"/>
          <w:lang w:val="en-US" w:eastAsia="zh-CN"/>
        </w:rPr>
        <w:t>项目</w:t>
      </w:r>
      <w:r>
        <w:rPr>
          <w:rFonts w:hint="eastAsia" w:ascii="宋体" w:hAnsi="宋体" w:eastAsia="宋体" w:cs="宋体"/>
          <w:b w:val="0"/>
          <w:bCs w:val="0"/>
          <w:color w:val="auto"/>
          <w:kern w:val="0"/>
          <w:sz w:val="24"/>
          <w:szCs w:val="24"/>
          <w:highlight w:val="none"/>
        </w:rPr>
        <w:t>设计和技术标准施工，不得擅自修改设计，不得偷工减料。</w:t>
      </w:r>
    </w:p>
    <w:p w14:paraId="583C6FD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必须建立健全质量检查制度，严格工序管理，隐蔽工程在隐蔽前应通知采购方检查验收；本着谁施工谁负责产品保护，谁破坏产品谁负责赔偿的原则，</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必须采取切实有效的产品保护措施，并编制相应的产品保护方案报</w:t>
      </w:r>
      <w:r>
        <w:rPr>
          <w:rFonts w:hint="eastAsia" w:ascii="宋体" w:hAnsi="宋体" w:eastAsia="宋体" w:cs="宋体"/>
          <w:b w:val="0"/>
          <w:bCs w:val="0"/>
          <w:color w:val="auto"/>
          <w:kern w:val="0"/>
          <w:sz w:val="24"/>
          <w:szCs w:val="24"/>
          <w:highlight w:val="none"/>
          <w:lang w:val="en-US" w:eastAsia="zh-CN"/>
        </w:rPr>
        <w:t>招标人</w:t>
      </w:r>
      <w:r>
        <w:rPr>
          <w:rFonts w:hint="eastAsia" w:ascii="宋体" w:hAnsi="宋体" w:eastAsia="宋体" w:cs="宋体"/>
          <w:b w:val="0"/>
          <w:bCs w:val="0"/>
          <w:color w:val="auto"/>
          <w:kern w:val="0"/>
          <w:sz w:val="24"/>
          <w:szCs w:val="24"/>
          <w:highlight w:val="none"/>
        </w:rPr>
        <w:t>批准同意后组织实施。</w:t>
      </w:r>
    </w:p>
    <w:p w14:paraId="28CD17FE">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9、质保期外服务要求：</w:t>
      </w:r>
    </w:p>
    <w:p w14:paraId="11AE21A9">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a.质量保证期过后，</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和制造商应同样提供免费电话咨询服务。</w:t>
      </w:r>
    </w:p>
    <w:p w14:paraId="1369BD2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b.质量保证期过后，</w:t>
      </w:r>
      <w:r>
        <w:rPr>
          <w:rFonts w:hint="eastAsia" w:ascii="宋体" w:hAnsi="宋体" w:eastAsia="宋体" w:cs="宋体"/>
          <w:b w:val="0"/>
          <w:bCs w:val="0"/>
          <w:color w:val="auto"/>
          <w:kern w:val="0"/>
          <w:sz w:val="24"/>
          <w:szCs w:val="24"/>
          <w:highlight w:val="none"/>
          <w:lang w:val="en-US" w:eastAsia="zh-CN"/>
        </w:rPr>
        <w:t>招标人</w:t>
      </w:r>
      <w:r>
        <w:rPr>
          <w:rFonts w:hint="eastAsia" w:ascii="宋体" w:hAnsi="宋体" w:eastAsia="宋体" w:cs="宋体"/>
          <w:b w:val="0"/>
          <w:bCs w:val="0"/>
          <w:color w:val="auto"/>
          <w:kern w:val="0"/>
          <w:sz w:val="24"/>
          <w:szCs w:val="24"/>
          <w:highlight w:val="none"/>
        </w:rPr>
        <w:t>需要继续由</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和制造商提供售后服务的，该</w:t>
      </w:r>
      <w:r>
        <w:rPr>
          <w:rFonts w:hint="eastAsia" w:ascii="宋体" w:hAnsi="宋体" w:eastAsia="宋体" w:cs="宋体"/>
          <w:b w:val="0"/>
          <w:bCs w:val="0"/>
          <w:color w:val="auto"/>
          <w:kern w:val="0"/>
          <w:sz w:val="24"/>
          <w:szCs w:val="24"/>
          <w:highlight w:val="none"/>
          <w:lang w:val="en-US" w:eastAsia="zh-CN"/>
        </w:rPr>
        <w:t>中标人</w:t>
      </w:r>
      <w:r>
        <w:rPr>
          <w:rFonts w:hint="eastAsia" w:ascii="宋体" w:hAnsi="宋体" w:eastAsia="宋体" w:cs="宋体"/>
          <w:b w:val="0"/>
          <w:bCs w:val="0"/>
          <w:color w:val="auto"/>
          <w:kern w:val="0"/>
          <w:sz w:val="24"/>
          <w:szCs w:val="24"/>
          <w:highlight w:val="none"/>
        </w:rPr>
        <w:t>和制造商应以优惠价格提供售后服务。</w:t>
      </w:r>
    </w:p>
    <w:p w14:paraId="5BF39330">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10、免费质保期：3年</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特别约定的除外</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w:t>
      </w:r>
    </w:p>
    <w:p w14:paraId="7399E54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七、特别说明：</w:t>
      </w:r>
    </w:p>
    <w:p w14:paraId="122D50F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1、所报配置为主要配置，其他按标准配置配备；不得在</w:t>
      </w:r>
      <w:r>
        <w:rPr>
          <w:rFonts w:hint="eastAsia" w:ascii="宋体" w:hAnsi="宋体" w:eastAsia="宋体" w:cs="宋体"/>
          <w:b w:val="0"/>
          <w:bCs w:val="0"/>
          <w:color w:val="auto"/>
          <w:kern w:val="0"/>
          <w:sz w:val="24"/>
          <w:szCs w:val="24"/>
          <w:highlight w:val="none"/>
          <w:lang w:val="en-US" w:eastAsia="zh-CN"/>
        </w:rPr>
        <w:t>招标人要求</w:t>
      </w:r>
      <w:r>
        <w:rPr>
          <w:rFonts w:hint="eastAsia" w:ascii="宋体" w:hAnsi="宋体" w:eastAsia="宋体" w:cs="宋体"/>
          <w:b w:val="0"/>
          <w:bCs w:val="0"/>
          <w:color w:val="auto"/>
          <w:kern w:val="0"/>
          <w:sz w:val="24"/>
          <w:szCs w:val="24"/>
          <w:highlight w:val="none"/>
        </w:rPr>
        <w:t>标准配置的基础上减少或降低技术配置。</w:t>
      </w:r>
    </w:p>
    <w:p w14:paraId="5B5492F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投标报价中已包含</w:t>
      </w:r>
      <w:r>
        <w:rPr>
          <w:rFonts w:hint="eastAsia" w:ascii="宋体" w:hAnsi="宋体" w:eastAsia="宋体" w:cs="宋体"/>
          <w:b w:val="0"/>
          <w:bCs w:val="0"/>
          <w:color w:val="auto"/>
          <w:kern w:val="0"/>
          <w:sz w:val="24"/>
          <w:szCs w:val="24"/>
          <w:highlight w:val="none"/>
        </w:rPr>
        <w:t>交付使用前</w:t>
      </w:r>
      <w:r>
        <w:rPr>
          <w:rFonts w:hint="eastAsia" w:ascii="宋体" w:hAnsi="宋体" w:eastAsia="宋体" w:cs="宋体"/>
          <w:b w:val="0"/>
          <w:bCs w:val="0"/>
          <w:color w:val="auto"/>
          <w:kern w:val="0"/>
          <w:sz w:val="24"/>
          <w:szCs w:val="24"/>
          <w:highlight w:val="none"/>
          <w:lang w:val="en-US" w:eastAsia="zh-CN"/>
        </w:rPr>
        <w:t>所产生的</w:t>
      </w:r>
      <w:r>
        <w:rPr>
          <w:rFonts w:hint="eastAsia" w:ascii="宋体" w:hAnsi="宋体" w:eastAsia="宋体" w:cs="宋体"/>
          <w:b w:val="0"/>
          <w:bCs w:val="0"/>
          <w:color w:val="auto"/>
          <w:kern w:val="0"/>
          <w:sz w:val="24"/>
          <w:szCs w:val="24"/>
          <w:highlight w:val="none"/>
        </w:rPr>
        <w:t>一切费用；本次招标不接受选择性报价。</w:t>
      </w:r>
    </w:p>
    <w:p w14:paraId="5E20784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3、投标人如未能在承诺时间内</w:t>
      </w:r>
      <w:r>
        <w:rPr>
          <w:rFonts w:hint="eastAsia" w:ascii="宋体" w:hAnsi="宋体" w:eastAsia="宋体" w:cs="宋体"/>
          <w:b w:val="0"/>
          <w:bCs w:val="0"/>
          <w:color w:val="auto"/>
          <w:kern w:val="0"/>
          <w:sz w:val="24"/>
          <w:szCs w:val="24"/>
          <w:highlight w:val="none"/>
          <w:lang w:val="en-US" w:eastAsia="zh-CN"/>
        </w:rPr>
        <w:t>完工并验收合格</w:t>
      </w:r>
      <w:r>
        <w:rPr>
          <w:rFonts w:hint="eastAsia" w:ascii="宋体" w:hAnsi="宋体" w:eastAsia="宋体" w:cs="宋体"/>
          <w:b w:val="0"/>
          <w:bCs w:val="0"/>
          <w:color w:val="auto"/>
          <w:kern w:val="0"/>
          <w:sz w:val="24"/>
          <w:szCs w:val="24"/>
          <w:highlight w:val="none"/>
        </w:rPr>
        <w:t>的，</w:t>
      </w:r>
      <w:r>
        <w:rPr>
          <w:rFonts w:hint="eastAsia" w:ascii="宋体" w:hAnsi="宋体" w:eastAsia="宋体" w:cs="宋体"/>
          <w:b w:val="0"/>
          <w:bCs w:val="0"/>
          <w:color w:val="auto"/>
          <w:kern w:val="0"/>
          <w:sz w:val="24"/>
          <w:szCs w:val="24"/>
          <w:highlight w:val="none"/>
          <w:lang w:val="en-US" w:eastAsia="zh-CN"/>
        </w:rPr>
        <w:t>招标人</w:t>
      </w:r>
      <w:r>
        <w:rPr>
          <w:rFonts w:hint="eastAsia" w:ascii="宋体" w:hAnsi="宋体" w:eastAsia="宋体" w:cs="宋体"/>
          <w:b w:val="0"/>
          <w:bCs w:val="0"/>
          <w:color w:val="auto"/>
          <w:kern w:val="0"/>
          <w:sz w:val="24"/>
          <w:szCs w:val="24"/>
          <w:highlight w:val="none"/>
        </w:rPr>
        <w:t>有权没收</w:t>
      </w:r>
      <w:r>
        <w:rPr>
          <w:rFonts w:hint="eastAsia" w:ascii="宋体" w:hAnsi="宋体" w:eastAsia="宋体" w:cs="宋体"/>
          <w:b w:val="0"/>
          <w:bCs w:val="0"/>
          <w:color w:val="auto"/>
          <w:kern w:val="0"/>
          <w:sz w:val="24"/>
          <w:szCs w:val="24"/>
          <w:highlight w:val="none"/>
          <w:lang w:val="en-US" w:eastAsia="zh-CN"/>
        </w:rPr>
        <w:t>中标人提交的</w:t>
      </w:r>
      <w:r>
        <w:rPr>
          <w:rFonts w:hint="eastAsia" w:ascii="宋体" w:hAnsi="宋体" w:eastAsia="宋体" w:cs="宋体"/>
          <w:b w:val="0"/>
          <w:bCs w:val="0"/>
          <w:color w:val="auto"/>
          <w:kern w:val="0"/>
          <w:sz w:val="24"/>
          <w:szCs w:val="24"/>
          <w:highlight w:val="none"/>
        </w:rPr>
        <w:t>履约保证金（作为预定的损害赔偿而非罚款）。</w:t>
      </w:r>
    </w:p>
    <w:p w14:paraId="691F2D0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4、本项目不接受进口产品投标。</w:t>
      </w:r>
    </w:p>
    <w:p w14:paraId="55CA982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5、根据招标文件第五章“评标方法与评标标准”相关约定，投标人随身自备电脑，用于系统演示（配音或现场讲解）。</w:t>
      </w:r>
    </w:p>
    <w:p w14:paraId="565B681E">
      <w:pPr>
        <w:pStyle w:val="11"/>
        <w:spacing w:beforeAutospacing="0" w:afterAutospacing="0" w:line="0" w:lineRule="atLeast"/>
        <w:ind w:firstLine="480"/>
        <w:jc w:val="both"/>
        <w:rPr>
          <w:rFonts w:hint="eastAsia" w:ascii="宋体" w:hAnsi="宋体" w:eastAsia="宋体" w:cs="宋体"/>
          <w:color w:val="auto"/>
          <w:sz w:val="24"/>
          <w:szCs w:val="24"/>
          <w:highlight w:val="none"/>
        </w:rPr>
      </w:pPr>
    </w:p>
    <w:p w14:paraId="201E7F78">
      <w:pPr>
        <w:pStyle w:val="11"/>
        <w:spacing w:beforeAutospacing="0" w:afterAutospacing="0"/>
        <w:ind w:firstLine="602"/>
        <w:jc w:val="both"/>
        <w:rPr>
          <w:rFonts w:hint="eastAsia" w:ascii="宋体" w:hAnsi="宋体" w:eastAsia="宋体" w:cs="宋体"/>
          <w:color w:val="auto"/>
          <w:sz w:val="24"/>
          <w:szCs w:val="24"/>
          <w:highlight w:val="none"/>
        </w:rPr>
      </w:pPr>
    </w:p>
    <w:bookmarkEnd w:id="169"/>
    <w:bookmarkEnd w:id="170"/>
    <w:p w14:paraId="1959BAAA">
      <w:pPr>
        <w:pStyle w:val="11"/>
        <w:spacing w:beforeAutospacing="0" w:afterAutospacing="0" w:line="0" w:lineRule="atLeast"/>
        <w:ind w:firstLine="480"/>
        <w:jc w:val="both"/>
        <w:rPr>
          <w:rFonts w:hint="eastAsia" w:ascii="宋体" w:hAnsi="宋体" w:eastAsia="宋体" w:cs="宋体"/>
          <w:color w:val="auto"/>
          <w:sz w:val="24"/>
          <w:szCs w:val="24"/>
          <w:highlight w:val="none"/>
        </w:rPr>
      </w:pPr>
    </w:p>
    <w:p w14:paraId="47FCEAE4">
      <w:pPr>
        <w:pStyle w:val="11"/>
        <w:spacing w:beforeAutospacing="0" w:afterAutospacing="0"/>
        <w:ind w:firstLine="602"/>
        <w:jc w:val="both"/>
        <w:rPr>
          <w:rFonts w:hint="eastAsia" w:ascii="宋体" w:hAnsi="宋体" w:eastAsia="宋体" w:cs="宋体"/>
          <w:color w:val="auto"/>
          <w:sz w:val="24"/>
          <w:szCs w:val="24"/>
          <w:highlight w:val="none"/>
        </w:rPr>
      </w:pPr>
      <w:bookmarkStart w:id="171" w:name="_Toc120614281"/>
    </w:p>
    <w:p w14:paraId="7A556461">
      <w:pPr>
        <w:pStyle w:val="11"/>
        <w:spacing w:beforeAutospacing="0" w:afterAutospacing="0"/>
        <w:ind w:firstLine="602"/>
        <w:jc w:val="both"/>
        <w:rPr>
          <w:rFonts w:hint="eastAsia" w:ascii="宋体" w:hAnsi="宋体" w:eastAsia="宋体" w:cs="宋体"/>
          <w:color w:val="auto"/>
          <w:sz w:val="24"/>
          <w:szCs w:val="24"/>
          <w:highlight w:val="none"/>
        </w:rPr>
      </w:pPr>
    </w:p>
    <w:p w14:paraId="7DBEF80A">
      <w:pPr>
        <w:pStyle w:val="11"/>
        <w:spacing w:beforeAutospacing="0" w:afterAutospacing="0"/>
        <w:ind w:firstLine="602"/>
        <w:jc w:val="both"/>
        <w:rPr>
          <w:rFonts w:hint="eastAsia" w:ascii="宋体" w:hAnsi="宋体" w:eastAsia="宋体" w:cs="宋体"/>
          <w:color w:val="auto"/>
          <w:sz w:val="24"/>
          <w:szCs w:val="24"/>
          <w:highlight w:val="none"/>
        </w:rPr>
      </w:pPr>
    </w:p>
    <w:p w14:paraId="3F07F2D9">
      <w:pPr>
        <w:pStyle w:val="11"/>
        <w:spacing w:beforeAutospacing="0" w:afterAutospacing="0"/>
        <w:ind w:firstLine="602"/>
        <w:jc w:val="both"/>
        <w:rPr>
          <w:rFonts w:hint="eastAsia" w:ascii="宋体" w:hAnsi="宋体" w:eastAsia="宋体" w:cs="宋体"/>
          <w:color w:val="auto"/>
          <w:sz w:val="24"/>
          <w:szCs w:val="24"/>
          <w:highlight w:val="none"/>
        </w:rPr>
      </w:pPr>
    </w:p>
    <w:p w14:paraId="7097DEF8">
      <w:pPr>
        <w:pStyle w:val="11"/>
        <w:spacing w:beforeAutospacing="0" w:afterAutospacing="0"/>
        <w:ind w:firstLine="602"/>
        <w:jc w:val="both"/>
        <w:rPr>
          <w:rFonts w:hint="eastAsia" w:ascii="宋体" w:hAnsi="宋体" w:eastAsia="宋体" w:cs="宋体"/>
          <w:color w:val="auto"/>
          <w:sz w:val="24"/>
          <w:szCs w:val="24"/>
          <w:highlight w:val="none"/>
        </w:rPr>
      </w:pPr>
    </w:p>
    <w:p w14:paraId="0DEAE9DE">
      <w:pPr>
        <w:pStyle w:val="11"/>
        <w:spacing w:beforeAutospacing="0" w:afterAutospacing="0"/>
        <w:ind w:firstLine="602"/>
        <w:jc w:val="both"/>
        <w:rPr>
          <w:rFonts w:hint="eastAsia" w:ascii="宋体" w:hAnsi="宋体" w:eastAsia="宋体" w:cs="宋体"/>
          <w:color w:val="auto"/>
          <w:sz w:val="24"/>
          <w:szCs w:val="24"/>
          <w:highlight w:val="none"/>
        </w:rPr>
      </w:pPr>
    </w:p>
    <w:p w14:paraId="17C3F811">
      <w:pPr>
        <w:pStyle w:val="11"/>
        <w:spacing w:beforeAutospacing="0" w:afterAutospacing="0"/>
        <w:ind w:firstLine="602"/>
        <w:jc w:val="both"/>
        <w:rPr>
          <w:rFonts w:hint="eastAsia" w:ascii="宋体" w:hAnsi="宋体" w:eastAsia="宋体" w:cs="宋体"/>
          <w:color w:val="auto"/>
          <w:sz w:val="24"/>
          <w:szCs w:val="24"/>
          <w:highlight w:val="none"/>
        </w:rPr>
      </w:pPr>
    </w:p>
    <w:p w14:paraId="3F561BB6">
      <w:pPr>
        <w:pStyle w:val="11"/>
        <w:spacing w:beforeAutospacing="0" w:afterAutospacing="0"/>
        <w:ind w:firstLine="602"/>
        <w:jc w:val="both"/>
        <w:rPr>
          <w:rFonts w:hint="eastAsia" w:ascii="宋体" w:hAnsi="宋体" w:eastAsia="宋体" w:cs="宋体"/>
          <w:color w:val="auto"/>
          <w:sz w:val="24"/>
          <w:szCs w:val="24"/>
          <w:highlight w:val="none"/>
        </w:rPr>
      </w:pPr>
    </w:p>
    <w:p w14:paraId="0404F034">
      <w:pPr>
        <w:pStyle w:val="11"/>
        <w:spacing w:beforeAutospacing="0" w:afterAutospacing="0"/>
        <w:ind w:firstLine="602"/>
        <w:jc w:val="both"/>
        <w:rPr>
          <w:rFonts w:hint="eastAsia" w:ascii="宋体" w:hAnsi="宋体" w:eastAsia="宋体" w:cs="宋体"/>
          <w:color w:val="auto"/>
          <w:sz w:val="24"/>
          <w:szCs w:val="24"/>
          <w:highlight w:val="none"/>
        </w:rPr>
      </w:pPr>
    </w:p>
    <w:p w14:paraId="5E83D868">
      <w:pPr>
        <w:pStyle w:val="11"/>
        <w:spacing w:beforeAutospacing="0" w:afterAutospacing="0"/>
        <w:ind w:firstLine="602"/>
        <w:jc w:val="both"/>
        <w:rPr>
          <w:rFonts w:hint="eastAsia" w:ascii="宋体" w:hAnsi="宋体" w:eastAsia="宋体" w:cs="宋体"/>
          <w:color w:val="auto"/>
          <w:sz w:val="24"/>
          <w:szCs w:val="24"/>
          <w:highlight w:val="none"/>
        </w:rPr>
      </w:pPr>
    </w:p>
    <w:p w14:paraId="626F0624">
      <w:pPr>
        <w:pStyle w:val="11"/>
        <w:spacing w:beforeAutospacing="0" w:afterAutospacing="0"/>
        <w:ind w:firstLine="602"/>
        <w:jc w:val="both"/>
        <w:rPr>
          <w:rFonts w:hint="eastAsia" w:ascii="宋体" w:hAnsi="宋体" w:eastAsia="宋体" w:cs="宋体"/>
          <w:color w:val="auto"/>
          <w:sz w:val="24"/>
          <w:szCs w:val="24"/>
          <w:highlight w:val="none"/>
        </w:rPr>
      </w:pPr>
    </w:p>
    <w:p w14:paraId="0353199D">
      <w:pPr>
        <w:pStyle w:val="11"/>
        <w:spacing w:beforeAutospacing="0" w:afterAutospacing="0"/>
        <w:ind w:firstLine="602"/>
        <w:jc w:val="both"/>
        <w:rPr>
          <w:rFonts w:hint="eastAsia" w:ascii="宋体" w:hAnsi="宋体" w:eastAsia="宋体" w:cs="宋体"/>
          <w:color w:val="auto"/>
          <w:sz w:val="24"/>
          <w:szCs w:val="24"/>
          <w:highlight w:val="none"/>
        </w:rPr>
      </w:pPr>
    </w:p>
    <w:p w14:paraId="0B45085E">
      <w:pPr>
        <w:pStyle w:val="11"/>
        <w:spacing w:beforeAutospacing="0" w:afterAutospacing="0"/>
        <w:ind w:firstLine="602"/>
        <w:jc w:val="both"/>
        <w:rPr>
          <w:rFonts w:hint="eastAsia" w:ascii="宋体" w:hAnsi="宋体" w:eastAsia="宋体" w:cs="宋体"/>
          <w:color w:val="auto"/>
          <w:sz w:val="24"/>
          <w:szCs w:val="24"/>
          <w:highlight w:val="none"/>
        </w:rPr>
      </w:pPr>
    </w:p>
    <w:p w14:paraId="71308D03">
      <w:pPr>
        <w:pStyle w:val="11"/>
        <w:spacing w:beforeAutospacing="0" w:afterAutospacing="0"/>
        <w:ind w:firstLine="602"/>
        <w:jc w:val="both"/>
        <w:rPr>
          <w:rFonts w:hint="eastAsia" w:ascii="宋体" w:hAnsi="宋体" w:eastAsia="宋体" w:cs="宋体"/>
          <w:color w:val="auto"/>
          <w:sz w:val="24"/>
          <w:szCs w:val="24"/>
          <w:highlight w:val="none"/>
        </w:rPr>
      </w:pPr>
    </w:p>
    <w:p w14:paraId="40BAF048">
      <w:pPr>
        <w:pStyle w:val="11"/>
        <w:spacing w:beforeAutospacing="0" w:afterAutospacing="0"/>
        <w:ind w:firstLine="602"/>
        <w:jc w:val="both"/>
        <w:rPr>
          <w:rFonts w:hint="eastAsia" w:ascii="宋体" w:hAnsi="宋体" w:eastAsia="宋体" w:cs="宋体"/>
          <w:color w:val="auto"/>
          <w:sz w:val="24"/>
          <w:szCs w:val="24"/>
          <w:highlight w:val="none"/>
        </w:rPr>
      </w:pPr>
    </w:p>
    <w:p w14:paraId="516E2505">
      <w:pPr>
        <w:pStyle w:val="11"/>
        <w:spacing w:beforeAutospacing="0" w:afterAutospacing="0"/>
        <w:ind w:firstLine="602"/>
        <w:jc w:val="both"/>
        <w:rPr>
          <w:rFonts w:hint="eastAsia" w:ascii="宋体" w:hAnsi="宋体" w:eastAsia="宋体" w:cs="宋体"/>
          <w:color w:val="auto"/>
          <w:sz w:val="24"/>
          <w:szCs w:val="24"/>
          <w:highlight w:val="none"/>
        </w:rPr>
      </w:pPr>
    </w:p>
    <w:p w14:paraId="28D476DD">
      <w:pPr>
        <w:pStyle w:val="11"/>
        <w:spacing w:beforeAutospacing="0" w:afterAutospacing="0"/>
        <w:ind w:firstLine="602"/>
        <w:jc w:val="both"/>
        <w:rPr>
          <w:rFonts w:hint="eastAsia" w:ascii="宋体" w:hAnsi="宋体" w:eastAsia="宋体" w:cs="宋体"/>
          <w:color w:val="auto"/>
          <w:sz w:val="24"/>
          <w:szCs w:val="24"/>
          <w:highlight w:val="none"/>
        </w:rPr>
      </w:pPr>
    </w:p>
    <w:p w14:paraId="53617FE2">
      <w:pPr>
        <w:pStyle w:val="11"/>
        <w:spacing w:beforeAutospacing="0" w:afterAutospacing="0"/>
        <w:ind w:firstLine="602"/>
        <w:jc w:val="both"/>
        <w:rPr>
          <w:rFonts w:hint="eastAsia" w:ascii="宋体" w:hAnsi="宋体" w:eastAsia="宋体" w:cs="宋体"/>
          <w:color w:val="auto"/>
          <w:sz w:val="24"/>
          <w:szCs w:val="24"/>
          <w:highlight w:val="none"/>
        </w:rPr>
      </w:pPr>
    </w:p>
    <w:p w14:paraId="0199ADF6">
      <w:pPr>
        <w:pStyle w:val="11"/>
        <w:spacing w:beforeAutospacing="0" w:afterAutospacing="0"/>
        <w:ind w:firstLine="602"/>
        <w:jc w:val="both"/>
        <w:rPr>
          <w:rFonts w:hint="eastAsia" w:ascii="宋体" w:hAnsi="宋体" w:eastAsia="宋体" w:cs="宋体"/>
          <w:color w:val="auto"/>
          <w:sz w:val="24"/>
          <w:szCs w:val="24"/>
          <w:highlight w:val="none"/>
        </w:rPr>
      </w:pPr>
    </w:p>
    <w:p w14:paraId="32CDA1CE">
      <w:pPr>
        <w:pStyle w:val="11"/>
        <w:spacing w:beforeAutospacing="0" w:afterAutospacing="0"/>
        <w:ind w:firstLine="602"/>
        <w:jc w:val="both"/>
        <w:rPr>
          <w:rFonts w:hint="eastAsia" w:ascii="宋体" w:hAnsi="宋体" w:eastAsia="宋体" w:cs="宋体"/>
          <w:color w:val="auto"/>
          <w:sz w:val="24"/>
          <w:szCs w:val="24"/>
          <w:highlight w:val="none"/>
        </w:rPr>
      </w:pPr>
    </w:p>
    <w:p w14:paraId="01A62773">
      <w:pPr>
        <w:pStyle w:val="11"/>
        <w:spacing w:beforeAutospacing="0" w:afterAutospacing="0"/>
        <w:ind w:firstLine="602"/>
        <w:jc w:val="both"/>
        <w:rPr>
          <w:rFonts w:hint="eastAsia" w:ascii="宋体" w:hAnsi="宋体" w:eastAsia="宋体" w:cs="宋体"/>
          <w:color w:val="auto"/>
          <w:sz w:val="24"/>
          <w:szCs w:val="24"/>
          <w:highlight w:val="none"/>
        </w:rPr>
      </w:pPr>
    </w:p>
    <w:p w14:paraId="5454BA63">
      <w:pPr>
        <w:pStyle w:val="11"/>
        <w:spacing w:beforeAutospacing="0" w:afterAutospacing="0"/>
        <w:ind w:firstLine="602"/>
        <w:jc w:val="both"/>
        <w:rPr>
          <w:rFonts w:hint="eastAsia" w:ascii="宋体" w:hAnsi="宋体" w:eastAsia="宋体" w:cs="宋体"/>
          <w:color w:val="auto"/>
          <w:sz w:val="24"/>
          <w:szCs w:val="24"/>
          <w:highlight w:val="none"/>
        </w:rPr>
      </w:pPr>
    </w:p>
    <w:p w14:paraId="1E626AA2">
      <w:pPr>
        <w:pStyle w:val="11"/>
        <w:spacing w:beforeAutospacing="0" w:afterAutospacing="0"/>
        <w:ind w:firstLine="602"/>
        <w:jc w:val="both"/>
        <w:rPr>
          <w:rFonts w:hint="eastAsia" w:ascii="宋体" w:hAnsi="宋体" w:eastAsia="宋体" w:cs="宋体"/>
          <w:color w:val="auto"/>
          <w:sz w:val="24"/>
          <w:szCs w:val="24"/>
          <w:highlight w:val="none"/>
        </w:rPr>
      </w:pPr>
    </w:p>
    <w:p w14:paraId="7EB89BFA">
      <w:pPr>
        <w:pStyle w:val="11"/>
        <w:spacing w:beforeAutospacing="0" w:afterAutospacing="0"/>
        <w:ind w:firstLine="602"/>
        <w:jc w:val="both"/>
        <w:rPr>
          <w:rFonts w:hint="eastAsia" w:ascii="宋体" w:hAnsi="宋体" w:eastAsia="宋体" w:cs="宋体"/>
          <w:color w:val="auto"/>
          <w:sz w:val="24"/>
          <w:szCs w:val="24"/>
          <w:highlight w:val="none"/>
        </w:rPr>
      </w:pPr>
    </w:p>
    <w:p w14:paraId="4D22A606">
      <w:pPr>
        <w:pStyle w:val="11"/>
        <w:spacing w:beforeAutospacing="0" w:afterAutospacing="0"/>
        <w:ind w:firstLine="602"/>
        <w:jc w:val="both"/>
        <w:rPr>
          <w:rFonts w:hint="eastAsia" w:ascii="宋体" w:hAnsi="宋体" w:eastAsia="宋体" w:cs="宋体"/>
          <w:color w:val="auto"/>
          <w:sz w:val="24"/>
          <w:szCs w:val="24"/>
          <w:highlight w:val="none"/>
        </w:rPr>
      </w:pPr>
    </w:p>
    <w:p w14:paraId="778B0D6F">
      <w:pPr>
        <w:pStyle w:val="11"/>
        <w:spacing w:beforeAutospacing="0" w:afterAutospacing="0"/>
        <w:ind w:firstLine="602"/>
        <w:jc w:val="both"/>
        <w:rPr>
          <w:rFonts w:hint="eastAsia" w:ascii="宋体" w:hAnsi="宋体" w:eastAsia="宋体" w:cs="宋体"/>
          <w:color w:val="auto"/>
          <w:sz w:val="24"/>
          <w:szCs w:val="24"/>
          <w:highlight w:val="none"/>
        </w:rPr>
      </w:pPr>
    </w:p>
    <w:p w14:paraId="52139E43">
      <w:pPr>
        <w:pStyle w:val="11"/>
        <w:spacing w:beforeAutospacing="0" w:afterAutospacing="0"/>
        <w:ind w:firstLine="602"/>
        <w:jc w:val="both"/>
        <w:rPr>
          <w:rFonts w:hint="eastAsia" w:ascii="宋体" w:hAnsi="宋体" w:eastAsia="宋体" w:cs="宋体"/>
          <w:color w:val="auto"/>
          <w:sz w:val="24"/>
          <w:szCs w:val="24"/>
          <w:highlight w:val="none"/>
        </w:rPr>
      </w:pPr>
    </w:p>
    <w:p w14:paraId="1483B9A6">
      <w:pPr>
        <w:pStyle w:val="11"/>
        <w:spacing w:beforeAutospacing="0" w:afterAutospacing="0"/>
        <w:ind w:firstLine="602"/>
        <w:jc w:val="both"/>
        <w:rPr>
          <w:rFonts w:hint="eastAsia" w:ascii="宋体" w:hAnsi="宋体" w:eastAsia="宋体" w:cs="宋体"/>
          <w:color w:val="auto"/>
          <w:sz w:val="24"/>
          <w:szCs w:val="24"/>
          <w:highlight w:val="none"/>
        </w:rPr>
      </w:pPr>
    </w:p>
    <w:p w14:paraId="37C987D5">
      <w:pPr>
        <w:pStyle w:val="11"/>
        <w:spacing w:beforeAutospacing="0" w:afterAutospacing="0"/>
        <w:ind w:firstLine="602"/>
        <w:jc w:val="both"/>
        <w:rPr>
          <w:rFonts w:hint="eastAsia" w:ascii="宋体" w:hAnsi="宋体" w:eastAsia="宋体" w:cs="宋体"/>
          <w:color w:val="auto"/>
          <w:sz w:val="24"/>
          <w:szCs w:val="24"/>
          <w:highlight w:val="none"/>
        </w:rPr>
      </w:pPr>
    </w:p>
    <w:p w14:paraId="559EF963">
      <w:pPr>
        <w:pStyle w:val="11"/>
        <w:spacing w:beforeAutospacing="0" w:afterAutospacing="0"/>
        <w:ind w:firstLine="602"/>
        <w:jc w:val="both"/>
        <w:rPr>
          <w:rFonts w:hint="eastAsia" w:ascii="宋体" w:hAnsi="宋体" w:eastAsia="宋体" w:cs="宋体"/>
          <w:color w:val="auto"/>
          <w:sz w:val="24"/>
          <w:szCs w:val="24"/>
          <w:highlight w:val="none"/>
        </w:rPr>
      </w:pPr>
    </w:p>
    <w:p w14:paraId="6BF6A6AE">
      <w:pPr>
        <w:pStyle w:val="11"/>
        <w:spacing w:beforeAutospacing="0" w:afterAutospacing="0"/>
        <w:ind w:firstLine="602"/>
        <w:jc w:val="both"/>
        <w:rPr>
          <w:rFonts w:hint="eastAsia" w:ascii="宋体" w:hAnsi="宋体" w:eastAsia="宋体" w:cs="宋体"/>
          <w:color w:val="auto"/>
          <w:sz w:val="24"/>
          <w:szCs w:val="24"/>
          <w:highlight w:val="none"/>
        </w:rPr>
      </w:pPr>
    </w:p>
    <w:p w14:paraId="17BD4A4F">
      <w:pPr>
        <w:pStyle w:val="11"/>
        <w:spacing w:beforeAutospacing="0" w:afterAutospacing="0"/>
        <w:ind w:firstLine="602"/>
        <w:jc w:val="both"/>
        <w:rPr>
          <w:rFonts w:hint="eastAsia" w:ascii="宋体" w:hAnsi="宋体" w:eastAsia="宋体" w:cs="宋体"/>
          <w:color w:val="auto"/>
          <w:sz w:val="24"/>
          <w:szCs w:val="24"/>
          <w:highlight w:val="none"/>
        </w:rPr>
      </w:pPr>
    </w:p>
    <w:p w14:paraId="48FADC32">
      <w:pPr>
        <w:pStyle w:val="11"/>
        <w:spacing w:beforeAutospacing="0" w:afterAutospacing="0"/>
        <w:ind w:firstLine="602"/>
        <w:jc w:val="both"/>
        <w:rPr>
          <w:rFonts w:hint="eastAsia" w:ascii="宋体" w:hAnsi="宋体" w:eastAsia="宋体" w:cs="宋体"/>
          <w:color w:val="auto"/>
          <w:sz w:val="24"/>
          <w:szCs w:val="24"/>
          <w:highlight w:val="none"/>
        </w:rPr>
      </w:pPr>
    </w:p>
    <w:p w14:paraId="5C40D9D5">
      <w:pPr>
        <w:pStyle w:val="11"/>
        <w:spacing w:beforeAutospacing="0" w:afterAutospacing="0"/>
        <w:ind w:firstLine="602"/>
        <w:jc w:val="both"/>
        <w:rPr>
          <w:rFonts w:hint="eastAsia" w:ascii="宋体" w:hAnsi="宋体" w:eastAsia="宋体" w:cs="宋体"/>
          <w:color w:val="auto"/>
          <w:sz w:val="24"/>
          <w:szCs w:val="24"/>
          <w:highlight w:val="none"/>
        </w:rPr>
      </w:pPr>
    </w:p>
    <w:p w14:paraId="00772AC3">
      <w:pPr>
        <w:pStyle w:val="11"/>
        <w:spacing w:beforeAutospacing="0" w:afterAutospacing="0"/>
        <w:ind w:firstLine="602"/>
        <w:jc w:val="both"/>
        <w:rPr>
          <w:rFonts w:hint="eastAsia" w:ascii="宋体" w:hAnsi="宋体" w:eastAsia="宋体" w:cs="宋体"/>
          <w:color w:val="auto"/>
          <w:sz w:val="24"/>
          <w:szCs w:val="24"/>
          <w:highlight w:val="none"/>
        </w:rPr>
      </w:pPr>
    </w:p>
    <w:p w14:paraId="4F52B17C">
      <w:pPr>
        <w:pStyle w:val="3"/>
        <w:ind w:left="0" w:leftChars="0" w:firstLine="0" w:firstLineChars="0"/>
        <w:jc w:val="center"/>
        <w:rPr>
          <w:b w:val="0"/>
          <w:bCs w:val="0"/>
          <w:color w:val="auto"/>
          <w:highlight w:val="none"/>
        </w:rPr>
      </w:pPr>
      <w:r>
        <w:rPr>
          <w:rFonts w:hint="eastAsia" w:ascii="黑体" w:hAnsi="黑体" w:eastAsia="黑体" w:cs="黑体"/>
          <w:b w:val="0"/>
          <w:bCs w:val="0"/>
          <w:color w:val="auto"/>
          <w:kern w:val="0"/>
          <w:sz w:val="44"/>
          <w:szCs w:val="44"/>
          <w:highlight w:val="none"/>
        </w:rPr>
        <w:t>第五</w:t>
      </w:r>
      <w:r>
        <w:rPr>
          <w:rFonts w:hint="eastAsia" w:ascii="黑体" w:hAnsi="宋体" w:eastAsia="黑体" w:cs="黑体"/>
          <w:b w:val="0"/>
          <w:bCs w:val="0"/>
          <w:color w:val="auto"/>
          <w:sz w:val="44"/>
          <w:szCs w:val="44"/>
          <w:highlight w:val="none"/>
        </w:rPr>
        <w:t>章  评标方法与评标标准</w:t>
      </w:r>
    </w:p>
    <w:p w14:paraId="119DF58E">
      <w:pPr>
        <w:pStyle w:val="11"/>
        <w:spacing w:beforeAutospacing="0" w:afterAutospacing="0"/>
        <w:jc w:val="both"/>
        <w:rPr>
          <w:color w:val="auto"/>
          <w:highlight w:val="none"/>
        </w:rPr>
      </w:pPr>
      <w:r>
        <w:rPr>
          <w:color w:val="auto"/>
          <w:highlight w:val="none"/>
        </w:rPr>
        <w:t> </w:t>
      </w:r>
    </w:p>
    <w:p w14:paraId="668FEA9F">
      <w:pPr>
        <w:pStyle w:val="11"/>
        <w:spacing w:before="120" w:beforeAutospacing="0" w:after="120" w:afterAutospacing="0" w:line="460" w:lineRule="exac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C328EAE">
      <w:pPr>
        <w:keepNext w:val="0"/>
        <w:keepLines w:val="0"/>
        <w:pageBreakBefore w:val="0"/>
        <w:widowControl w:val="0"/>
        <w:kinsoku/>
        <w:wordWrap/>
        <w:overflowPunct/>
        <w:topLinePunct w:val="0"/>
        <w:autoSpaceDE/>
        <w:autoSpaceDN/>
        <w:bidi w:val="0"/>
        <w:snapToGrid w:val="0"/>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2A7125E0">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4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7BAAA33E">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1、小微型企业价格扣除</w:t>
      </w:r>
    </w:p>
    <w:p w14:paraId="187A4FA4">
      <w:pPr>
        <w:pStyle w:val="21"/>
        <w:keepNext w:val="0"/>
        <w:keepLines w:val="0"/>
        <w:pageBreakBefore w:val="0"/>
        <w:widowControl w:val="0"/>
        <w:kinsoku/>
        <w:wordWrap/>
        <w:overflowPunct/>
        <w:topLinePunct w:val="0"/>
        <w:autoSpaceDE/>
        <w:autoSpaceDN/>
        <w:bidi w:val="0"/>
        <w:spacing w:line="56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（1）本项目若不专门面向中小企业采购，对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393B146D">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07751C33">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2DCA9D8F">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2、残疾人福利单位价格扣除</w:t>
      </w:r>
    </w:p>
    <w:p w14:paraId="0E8D4170">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left="120" w:firstLine="36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441B7F16">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574A996A">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500E9357">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3、监狱和戒毒企业价格扣除</w:t>
      </w:r>
    </w:p>
    <w:p w14:paraId="78CD3014">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759EF746">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5AB6C78C">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残疾人福利单位、监狱企业属于小型、微型企业的，不重复享受政策。</w:t>
      </w:r>
    </w:p>
    <w:p w14:paraId="5C8243AF">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4608FE61">
      <w:pPr>
        <w:pStyle w:val="11"/>
        <w:keepNext w:val="0"/>
        <w:keepLines w:val="0"/>
        <w:pageBreakBefore w:val="0"/>
        <w:widowControl w:val="0"/>
        <w:kinsoku/>
        <w:wordWrap/>
        <w:overflowPunct/>
        <w:topLinePunct w:val="0"/>
        <w:autoSpaceDE/>
        <w:autoSpaceDN/>
        <w:bidi w:val="0"/>
        <w:spacing w:before="120" w:beforeAutospacing="0" w:after="120" w:afterAutospacing="0" w:line="560" w:lineRule="exact"/>
        <w:ind w:left="120" w:firstLine="36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6、</w:t>
      </w:r>
      <w:r>
        <w:rPr>
          <w:rFonts w:hint="eastAsia" w:ascii="宋体" w:hAnsi="宋体" w:eastAsia="宋体" w:cs="宋体"/>
          <w:color w:val="auto"/>
          <w:sz w:val="24"/>
          <w:szCs w:val="24"/>
          <w:highlight w:val="none"/>
        </w:rPr>
        <w:t>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w:t>
      </w:r>
    </w:p>
    <w:p w14:paraId="28F003F6">
      <w:pPr>
        <w:keepNext w:val="0"/>
        <w:keepLines w:val="0"/>
        <w:pageBreakBefore w:val="0"/>
        <w:widowControl w:val="0"/>
        <w:kinsoku/>
        <w:wordWrap/>
        <w:overflowPunct/>
        <w:topLinePunct w:val="0"/>
        <w:autoSpaceDE/>
        <w:autoSpaceDN/>
        <w:bidi w:val="0"/>
        <w:adjustRightInd w:val="0"/>
        <w:spacing w:line="560" w:lineRule="exact"/>
        <w:ind w:firstLine="482" w:firstLineChars="200"/>
        <w:jc w:val="left"/>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7、采购本国产品的支持政策</w:t>
      </w:r>
    </w:p>
    <w:p w14:paraId="7ED836E6">
      <w:pPr>
        <w:keepNext w:val="0"/>
        <w:keepLines w:val="0"/>
        <w:pageBreakBefore w:val="0"/>
        <w:widowControl w:val="0"/>
        <w:kinsoku/>
        <w:wordWrap/>
        <w:overflowPunct/>
        <w:topLinePunct w:val="0"/>
        <w:autoSpaceDE/>
        <w:autoSpaceDN/>
        <w:bidi w:val="0"/>
        <w:adjustRightInd w:val="0"/>
        <w:spacing w:line="560" w:lineRule="exact"/>
        <w:ind w:firstLine="480" w:firstLineChars="200"/>
        <w:jc w:val="left"/>
        <w:textAlignment w:val="baseline"/>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color w:val="auto"/>
          <w:sz w:val="24"/>
          <w:szCs w:val="24"/>
          <w:highlight w:val="none"/>
          <w:u w:val="single"/>
        </w:rPr>
        <w:t>20%</w:t>
      </w:r>
      <w:r>
        <w:rPr>
          <w:rFonts w:hint="eastAsia" w:asciiTheme="minorEastAsia" w:hAnsiTheme="minorEastAsia" w:eastAsiaTheme="minorEastAsia" w:cstheme="minorEastAsia"/>
          <w:color w:val="auto"/>
          <w:sz w:val="24"/>
          <w:szCs w:val="24"/>
          <w:highlight w:val="none"/>
        </w:rPr>
        <w:t>的价格扣除，用扣除后的价格参与评审。</w:t>
      </w:r>
      <w:r>
        <w:rPr>
          <w:rFonts w:hint="eastAsia" w:asciiTheme="minorEastAsia" w:hAnsiTheme="minorEastAsia" w:cstheme="minorEastAsia"/>
          <w:color w:val="auto"/>
          <w:sz w:val="24"/>
          <w:szCs w:val="24"/>
          <w:highlight w:val="none"/>
          <w:lang w:val="en-US" w:eastAsia="zh-CN"/>
        </w:rPr>
        <w:t>若因其它因素已享受20%的优惠政策，不再享受本条优惠。</w:t>
      </w:r>
    </w:p>
    <w:p w14:paraId="3F4F60AA">
      <w:pPr>
        <w:keepNext w:val="0"/>
        <w:keepLines w:val="0"/>
        <w:pageBreakBefore w:val="0"/>
        <w:widowControl w:val="0"/>
        <w:kinsoku/>
        <w:wordWrap/>
        <w:overflowPunct/>
        <w:topLinePunct w:val="0"/>
        <w:autoSpaceDE/>
        <w:autoSpaceDN/>
        <w:bidi w:val="0"/>
        <w:adjustRightInd w:val="0"/>
        <w:spacing w:line="560" w:lineRule="exact"/>
        <w:ind w:firstLine="480" w:firstLineChars="20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single"/>
        </w:rPr>
        <w:t>80%</w:t>
      </w:r>
      <w:r>
        <w:rPr>
          <w:rFonts w:hint="eastAsia" w:asciiTheme="minorEastAsia" w:hAnsiTheme="minorEastAsia" w:eastAsiaTheme="minorEastAsia" w:cstheme="minorEastAsia"/>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single"/>
        </w:rPr>
        <w:t>20%</w:t>
      </w:r>
      <w:r>
        <w:rPr>
          <w:rFonts w:hint="eastAsia" w:asciiTheme="minorEastAsia" w:hAnsiTheme="minorEastAsia" w:eastAsiaTheme="minorEastAsia" w:cstheme="minorEastAsia"/>
          <w:color w:val="auto"/>
          <w:sz w:val="24"/>
          <w:szCs w:val="24"/>
          <w:highlight w:val="none"/>
        </w:rPr>
        <w:t>的价格扣除，用扣除后的价格参与评审。供应商未填写比例数值，或比例数值未达到80%的，将不享受本国产品价格评审优惠。</w:t>
      </w:r>
    </w:p>
    <w:p w14:paraId="7A74A732">
      <w:pPr>
        <w:keepNext w:val="0"/>
        <w:keepLines w:val="0"/>
        <w:pageBreakBefore w:val="0"/>
        <w:widowControl w:val="0"/>
        <w:kinsoku/>
        <w:wordWrap/>
        <w:overflowPunct/>
        <w:topLinePunct w:val="0"/>
        <w:autoSpaceDE/>
        <w:autoSpaceDN/>
        <w:bidi w:val="0"/>
        <w:adjustRightInd w:val="0"/>
        <w:spacing w:line="560" w:lineRule="exact"/>
        <w:ind w:firstLine="480" w:firstLineChars="20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 供应商需按照招标文件的要求提供《关于符合本国产品标准的声明函》（以下简称《声明函》），如不提供将不享受本国产品价格评审优惠。</w:t>
      </w:r>
    </w:p>
    <w:p w14:paraId="3CCAA339">
      <w:pPr>
        <w:keepNext w:val="0"/>
        <w:keepLines w:val="0"/>
        <w:pageBreakBefore w:val="0"/>
        <w:widowControl w:val="0"/>
        <w:kinsoku/>
        <w:wordWrap/>
        <w:overflowPunct/>
        <w:topLinePunct w:val="0"/>
        <w:autoSpaceDE/>
        <w:autoSpaceDN/>
        <w:bidi w:val="0"/>
        <w:adjustRightInd w:val="0"/>
        <w:spacing w:line="560" w:lineRule="exact"/>
        <w:ind w:firstLine="480" w:firstLineChars="20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 供应商需在《声明函》中逐一、准确填写产品名称、厂名、生产厂址三项信息（《声明函》中用</w:t>
      </w:r>
      <w:r>
        <w:rPr>
          <w:rFonts w:hint="eastAsia" w:asciiTheme="minorEastAsia" w:hAnsiTheme="minorEastAsia" w:cstheme="minorEastAsia"/>
          <w:color w:val="auto"/>
          <w:sz w:val="24"/>
          <w:szCs w:val="24"/>
          <w:highlight w:val="none"/>
          <w:lang w:val="en-US" w:eastAsia="zh-CN"/>
        </w:rPr>
        <w:t>横</w:t>
      </w:r>
      <w:r>
        <w:rPr>
          <w:rFonts w:hint="eastAsia" w:asciiTheme="minorEastAsia" w:hAnsiTheme="minorEastAsia" w:eastAsiaTheme="minorEastAsia" w:cstheme="minorEastAsia"/>
          <w:color w:val="auto"/>
          <w:sz w:val="24"/>
          <w:szCs w:val="24"/>
          <w:highlight w:val="none"/>
        </w:rPr>
        <w:t>线划除的地方无需填写），三项信息中任意一项未填写的视为该项产品不符合本国产品标准，不享受本国产品价格评审优惠。</w:t>
      </w:r>
    </w:p>
    <w:p w14:paraId="5621DD79">
      <w:pPr>
        <w:keepNext w:val="0"/>
        <w:keepLines w:val="0"/>
        <w:pageBreakBefore w:val="0"/>
        <w:widowControl w:val="0"/>
        <w:kinsoku/>
        <w:wordWrap/>
        <w:overflowPunct/>
        <w:topLinePunct w:val="0"/>
        <w:autoSpaceDE/>
        <w:autoSpaceDN/>
        <w:bidi w:val="0"/>
        <w:adjustRightInd w:val="0"/>
        <w:spacing w:line="560" w:lineRule="exact"/>
        <w:ind w:firstLine="480" w:firstLineChars="200"/>
        <w:jc w:val="left"/>
        <w:textAlignment w:val="baseline"/>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w:t>
      </w:r>
      <w:r>
        <w:rPr>
          <w:rFonts w:hint="eastAsia" w:asciiTheme="minorEastAsia" w:hAnsiTheme="minorEastAsia" w:eastAsiaTheme="minorEastAsia" w:cstheme="minorEastAsia"/>
          <w:color w:val="auto"/>
          <w:sz w:val="24"/>
          <w:szCs w:val="24"/>
          <w:highlight w:val="none"/>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DDDC1C">
      <w:pPr>
        <w:keepNext w:val="0"/>
        <w:keepLines w:val="0"/>
        <w:pageBreakBefore w:val="0"/>
        <w:widowControl w:val="0"/>
        <w:kinsoku/>
        <w:wordWrap/>
        <w:overflowPunct/>
        <w:topLinePunct w:val="0"/>
        <w:autoSpaceDE/>
        <w:autoSpaceDN/>
        <w:bidi w:val="0"/>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7601506D">
      <w:pPr>
        <w:pStyle w:val="11"/>
        <w:spacing w:before="120" w:beforeAutospacing="0" w:after="120" w:afterAutospacing="0" w:line="460" w:lineRule="exact"/>
        <w:outlineLvl w:val="1"/>
        <w:rPr>
          <w:rFonts w:hint="eastAsia" w:ascii="宋体" w:hAnsi="宋体" w:eastAsia="宋体" w:cs="宋体"/>
          <w:b/>
          <w:color w:val="auto"/>
          <w:highlight w:val="none"/>
        </w:rPr>
      </w:pPr>
    </w:p>
    <w:p w14:paraId="221663B1">
      <w:pPr>
        <w:pStyle w:val="11"/>
        <w:spacing w:before="120" w:beforeAutospacing="0" w:after="120" w:afterAutospacing="0" w:line="460" w:lineRule="exact"/>
        <w:outlineLvl w:val="1"/>
        <w:rPr>
          <w:rFonts w:ascii="宋体" w:hAnsi="宋体" w:eastAsia="宋体" w:cs="宋体"/>
          <w:b/>
          <w:color w:val="auto"/>
          <w:highlight w:val="none"/>
        </w:rPr>
      </w:pPr>
      <w:r>
        <w:rPr>
          <w:rFonts w:hint="eastAsia" w:ascii="宋体" w:hAnsi="宋体" w:eastAsia="宋体" w:cs="宋体"/>
          <w:b/>
          <w:color w:val="auto"/>
          <w:highlight w:val="none"/>
        </w:rPr>
        <w:t>二、符合性审查</w:t>
      </w:r>
    </w:p>
    <w:p w14:paraId="20FB13C8">
      <w:pPr>
        <w:spacing w:line="460" w:lineRule="exact"/>
        <w:ind w:firstLine="420"/>
        <w:rPr>
          <w:rFonts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6BE22546">
      <w:pPr>
        <w:spacing w:line="460" w:lineRule="exact"/>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p w14:paraId="2398144F">
      <w:pPr>
        <w:spacing w:line="460" w:lineRule="exact"/>
        <w:ind w:firstLine="420"/>
        <w:rPr>
          <w:rFonts w:hint="eastAsia" w:ascii="宋体" w:hAnsi="宋体" w:cs="宋体"/>
          <w:color w:val="auto"/>
          <w:sz w:val="24"/>
          <w:highlight w:val="none"/>
        </w:rPr>
      </w:pPr>
    </w:p>
    <w:tbl>
      <w:tblPr>
        <w:tblStyle w:val="12"/>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72"/>
        <w:gridCol w:w="4400"/>
      </w:tblGrid>
      <w:tr w14:paraId="16BCC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72" w:type="dxa"/>
            <w:noWrap/>
            <w:vAlign w:val="center"/>
          </w:tcPr>
          <w:p w14:paraId="44F7855D">
            <w:pPr>
              <w:spacing w:line="460" w:lineRule="exact"/>
              <w:jc w:val="center"/>
              <w:rPr>
                <w:rFonts w:ascii="宋体" w:hAnsi="宋体" w:cs="宋体"/>
                <w:color w:val="auto"/>
                <w:sz w:val="24"/>
                <w:highlight w:val="none"/>
              </w:rPr>
            </w:pPr>
            <w:r>
              <w:rPr>
                <w:rFonts w:hint="eastAsia" w:ascii="宋体" w:hAnsi="宋体" w:cs="宋体"/>
                <w:color w:val="auto"/>
                <w:sz w:val="24"/>
                <w:highlight w:val="none"/>
              </w:rPr>
              <w:t>符合性审查因素</w:t>
            </w:r>
          </w:p>
        </w:tc>
        <w:tc>
          <w:tcPr>
            <w:tcW w:w="4400" w:type="dxa"/>
            <w:noWrap/>
            <w:vAlign w:val="center"/>
          </w:tcPr>
          <w:p w14:paraId="0DCDC438">
            <w:pPr>
              <w:spacing w:line="460" w:lineRule="exact"/>
              <w:jc w:val="center"/>
              <w:rPr>
                <w:rFonts w:ascii="宋体" w:hAnsi="宋体" w:cs="宋体"/>
                <w:color w:val="auto"/>
                <w:sz w:val="24"/>
                <w:highlight w:val="none"/>
              </w:rPr>
            </w:pPr>
            <w:r>
              <w:rPr>
                <w:rFonts w:hint="eastAsia" w:ascii="宋体" w:hAnsi="宋体" w:cs="宋体"/>
                <w:color w:val="auto"/>
                <w:sz w:val="24"/>
                <w:highlight w:val="none"/>
              </w:rPr>
              <w:t>审查标准</w:t>
            </w:r>
          </w:p>
        </w:tc>
      </w:tr>
      <w:tr w14:paraId="2675E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772" w:type="dxa"/>
            <w:noWrap/>
            <w:vAlign w:val="center"/>
          </w:tcPr>
          <w:p w14:paraId="1B659437">
            <w:pPr>
              <w:spacing w:line="460" w:lineRule="exact"/>
              <w:jc w:val="left"/>
              <w:rPr>
                <w:rFonts w:ascii="宋体" w:hAnsi="宋体" w:cs="宋体"/>
                <w:color w:val="auto"/>
                <w:sz w:val="24"/>
                <w:highlight w:val="none"/>
              </w:rPr>
            </w:pPr>
            <w:r>
              <w:rPr>
                <w:rFonts w:hint="eastAsia" w:ascii="宋体" w:hAnsi="宋体" w:cs="宋体"/>
                <w:color w:val="auto"/>
                <w:sz w:val="24"/>
                <w:highlight w:val="none"/>
              </w:rPr>
              <w:t>投标函</w:t>
            </w:r>
          </w:p>
        </w:tc>
        <w:tc>
          <w:tcPr>
            <w:tcW w:w="4400" w:type="dxa"/>
            <w:noWrap/>
            <w:vAlign w:val="center"/>
          </w:tcPr>
          <w:p w14:paraId="43CC60DC">
            <w:pPr>
              <w:spacing w:line="460" w:lineRule="exact"/>
              <w:jc w:val="left"/>
              <w:rPr>
                <w:rFonts w:ascii="宋体" w:hAnsi="宋体" w:cs="宋体"/>
                <w:color w:val="auto"/>
                <w:sz w:val="24"/>
                <w:highlight w:val="none"/>
              </w:rPr>
            </w:pPr>
            <w:r>
              <w:rPr>
                <w:rFonts w:hint="eastAsia" w:ascii="宋体" w:hAnsi="宋体" w:cs="宋体"/>
                <w:color w:val="auto"/>
                <w:sz w:val="24"/>
                <w:highlight w:val="none"/>
              </w:rPr>
              <w:t>符合招标文件的要求</w:t>
            </w:r>
          </w:p>
        </w:tc>
      </w:tr>
      <w:tr w14:paraId="1A644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72" w:type="dxa"/>
            <w:noWrap/>
            <w:vAlign w:val="center"/>
          </w:tcPr>
          <w:p w14:paraId="7CCA580E">
            <w:pPr>
              <w:spacing w:line="46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4400" w:type="dxa"/>
            <w:noWrap/>
            <w:vAlign w:val="center"/>
          </w:tcPr>
          <w:p w14:paraId="689CFC8C">
            <w:pPr>
              <w:spacing w:line="460" w:lineRule="exact"/>
              <w:jc w:val="left"/>
              <w:rPr>
                <w:rFonts w:ascii="宋体" w:hAnsi="宋体" w:cs="宋体"/>
                <w:color w:val="auto"/>
                <w:sz w:val="24"/>
                <w:highlight w:val="none"/>
              </w:rPr>
            </w:pPr>
            <w:r>
              <w:rPr>
                <w:rFonts w:hint="eastAsia" w:ascii="宋体" w:hAnsi="宋体" w:cs="宋体"/>
                <w:color w:val="auto"/>
                <w:sz w:val="24"/>
                <w:highlight w:val="none"/>
              </w:rPr>
              <w:t>投标报价不得高于最高限价</w:t>
            </w:r>
          </w:p>
        </w:tc>
      </w:tr>
      <w:tr w14:paraId="47170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72" w:type="dxa"/>
            <w:noWrap/>
            <w:vAlign w:val="center"/>
          </w:tcPr>
          <w:p w14:paraId="41040FD3">
            <w:pPr>
              <w:spacing w:line="460" w:lineRule="exact"/>
              <w:jc w:val="left"/>
              <w:rPr>
                <w:rFonts w:ascii="宋体" w:hAnsi="宋体" w:cs="宋体"/>
                <w:color w:val="auto"/>
                <w:sz w:val="24"/>
                <w:highlight w:val="none"/>
              </w:rPr>
            </w:pPr>
            <w:r>
              <w:rPr>
                <w:rFonts w:hint="eastAsia" w:ascii="宋体" w:hAnsi="宋体" w:cs="宋体"/>
                <w:color w:val="auto"/>
                <w:sz w:val="24"/>
                <w:highlight w:val="none"/>
              </w:rPr>
              <w:t>投标文件对招标文件的实质性条款的响应性</w:t>
            </w:r>
          </w:p>
        </w:tc>
        <w:tc>
          <w:tcPr>
            <w:tcW w:w="4400" w:type="dxa"/>
            <w:noWrap/>
            <w:vAlign w:val="center"/>
          </w:tcPr>
          <w:p w14:paraId="38A9EA90">
            <w:pPr>
              <w:spacing w:line="460" w:lineRule="exact"/>
              <w:jc w:val="left"/>
              <w:rPr>
                <w:rFonts w:ascii="宋体" w:hAnsi="宋体" w:cs="宋体"/>
                <w:color w:val="auto"/>
                <w:sz w:val="24"/>
                <w:highlight w:val="none"/>
              </w:rPr>
            </w:pPr>
            <w:r>
              <w:rPr>
                <w:rFonts w:hint="eastAsia" w:ascii="宋体" w:hAnsi="宋体" w:cs="宋体"/>
                <w:color w:val="auto"/>
                <w:sz w:val="24"/>
                <w:highlight w:val="none"/>
              </w:rPr>
              <w:t>符合招标文件规定</w:t>
            </w:r>
          </w:p>
        </w:tc>
      </w:tr>
    </w:tbl>
    <w:p w14:paraId="26A99EDF">
      <w:pPr>
        <w:pStyle w:val="11"/>
        <w:spacing w:before="120" w:beforeAutospacing="0" w:after="120" w:afterAutospacing="0" w:line="460" w:lineRule="exact"/>
        <w:outlineLvl w:val="1"/>
        <w:rPr>
          <w:rFonts w:hint="eastAsia" w:ascii="宋体" w:hAnsi="宋体" w:eastAsia="宋体" w:cs="宋体"/>
          <w:b/>
          <w:color w:val="auto"/>
          <w:highlight w:val="none"/>
        </w:rPr>
      </w:pPr>
    </w:p>
    <w:p w14:paraId="748C6FD0">
      <w:pPr>
        <w:pStyle w:val="11"/>
        <w:spacing w:before="120" w:beforeAutospacing="0" w:after="120" w:afterAutospacing="0" w:line="460" w:lineRule="exact"/>
        <w:outlineLvl w:val="1"/>
        <w:rPr>
          <w:rFonts w:ascii="宋体" w:hAnsi="宋体" w:eastAsia="宋体" w:cs="宋体"/>
          <w:b/>
          <w:color w:val="auto"/>
          <w:highlight w:val="none"/>
        </w:rPr>
      </w:pPr>
      <w:r>
        <w:rPr>
          <w:rFonts w:hint="eastAsia" w:ascii="宋体" w:hAnsi="宋体" w:eastAsia="宋体" w:cs="宋体"/>
          <w:b/>
          <w:color w:val="auto"/>
          <w:highlight w:val="none"/>
        </w:rPr>
        <w:t>三、评标方法与评标标准</w:t>
      </w:r>
    </w:p>
    <w:p w14:paraId="61ED9949">
      <w:pPr>
        <w:pStyle w:val="11"/>
        <w:keepNext w:val="0"/>
        <w:keepLines w:val="0"/>
        <w:pageBreakBefore w:val="0"/>
        <w:widowControl w:val="0"/>
        <w:kinsoku/>
        <w:wordWrap/>
        <w:overflowPunct/>
        <w:topLinePunct w:val="0"/>
        <w:autoSpaceDE/>
        <w:autoSpaceDN/>
        <w:bidi w:val="0"/>
        <w:spacing w:before="0" w:beforeAutospacing="0" w:after="0" w:afterAutospacing="0" w:line="560" w:lineRule="exact"/>
        <w:rPr>
          <w:rFonts w:hint="eastAsia" w:ascii="宋体" w:hAnsi="宋体" w:eastAsia="宋体" w:cs="宋体"/>
          <w:color w:val="auto"/>
          <w:sz w:val="24"/>
          <w:szCs w:val="24"/>
          <w:highlight w:val="none"/>
          <w:shd w:val="clear" w:color="auto" w:fill="auto"/>
        </w:rPr>
      </w:pPr>
    </w:p>
    <w:tbl>
      <w:tblPr>
        <w:tblStyle w:val="12"/>
        <w:tblW w:w="811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17"/>
        <w:gridCol w:w="6402"/>
      </w:tblGrid>
      <w:tr w14:paraId="5404C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2"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790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投标报价</w:t>
            </w:r>
          </w:p>
          <w:p w14:paraId="018C2F6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highlight w:val="none"/>
                <w:u w:val="none"/>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（30分）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6C513">
            <w:pPr>
              <w:pStyle w:val="11"/>
              <w:spacing w:before="120" w:beforeAutospacing="0" w:after="120" w:afterAutospacing="0" w:line="360" w:lineRule="auto"/>
              <w:ind w:firstLine="440" w:firstLineChars="200"/>
              <w:rPr>
                <w:rFonts w:hint="default"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满足招标文件要求且投标价格最低的投标报价为评标基准价，其价格分为满分30分。其他投标报价得分=(评标基准价／投标报价)×30（按四舍五入取至小数点后两位）。</w:t>
            </w:r>
          </w:p>
        </w:tc>
      </w:tr>
      <w:tr w14:paraId="562CE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9"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6E06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技术参数</w:t>
            </w:r>
          </w:p>
          <w:p w14:paraId="5D537FC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highlight w:val="none"/>
                <w:u w:val="none"/>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（24分）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AD925">
            <w:pPr>
              <w:pStyle w:val="11"/>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highlight w:val="none"/>
              </w:rPr>
            </w:pPr>
            <w:r>
              <w:rPr>
                <w:rFonts w:hint="eastAsia" w:asciiTheme="majorEastAsia" w:hAnsiTheme="majorEastAsia" w:eastAsiaTheme="majorEastAsia" w:cstheme="majorEastAsia"/>
                <w:color w:val="auto"/>
                <w:sz w:val="22"/>
                <w:szCs w:val="22"/>
                <w:highlight w:val="none"/>
              </w:rPr>
              <w:t>根据投标人</w:t>
            </w:r>
            <w:r>
              <w:rPr>
                <w:rFonts w:hint="eastAsia" w:asciiTheme="majorEastAsia" w:hAnsiTheme="majorEastAsia" w:eastAsiaTheme="majorEastAsia" w:cstheme="majorEastAsia"/>
                <w:color w:val="auto"/>
                <w:sz w:val="22"/>
                <w:szCs w:val="22"/>
                <w:highlight w:val="none"/>
                <w:lang w:val="en-US" w:eastAsia="zh-CN"/>
              </w:rPr>
              <w:t>投标文件响应招标文件中采购</w:t>
            </w:r>
            <w:r>
              <w:rPr>
                <w:rFonts w:hint="eastAsia" w:asciiTheme="majorEastAsia" w:hAnsiTheme="majorEastAsia" w:eastAsiaTheme="majorEastAsia" w:cstheme="majorEastAsia"/>
                <w:color w:val="auto"/>
                <w:sz w:val="22"/>
                <w:szCs w:val="22"/>
                <w:highlight w:val="none"/>
              </w:rPr>
              <w:t>货物技术参数程度评定</w:t>
            </w:r>
            <w:r>
              <w:rPr>
                <w:rFonts w:hint="eastAsia" w:asciiTheme="majorEastAsia" w:hAnsiTheme="majorEastAsia" w:eastAsiaTheme="majorEastAsia" w:cstheme="majorEastAsia"/>
                <w:color w:val="auto"/>
                <w:sz w:val="22"/>
                <w:szCs w:val="22"/>
                <w:highlight w:val="none"/>
                <w:lang w:eastAsia="zh-CN"/>
              </w:rPr>
              <w:t>。</w:t>
            </w:r>
            <w:r>
              <w:rPr>
                <w:rFonts w:hint="eastAsia" w:asciiTheme="majorEastAsia" w:hAnsiTheme="majorEastAsia" w:eastAsiaTheme="majorEastAsia" w:cstheme="majorEastAsia"/>
                <w:color w:val="auto"/>
                <w:sz w:val="22"/>
                <w:szCs w:val="22"/>
                <w:highlight w:val="none"/>
              </w:rPr>
              <w:t>全部满足或正偏离招标文件</w:t>
            </w:r>
            <w:r>
              <w:rPr>
                <w:rFonts w:hint="eastAsia" w:asciiTheme="majorEastAsia" w:hAnsiTheme="majorEastAsia" w:eastAsiaTheme="majorEastAsia" w:cstheme="majorEastAsia"/>
                <w:color w:val="auto"/>
                <w:sz w:val="22"/>
                <w:szCs w:val="22"/>
                <w:highlight w:val="none"/>
                <w:lang w:val="en-US" w:eastAsia="zh-CN"/>
              </w:rPr>
              <w:t>中采购货物</w:t>
            </w:r>
            <w:r>
              <w:rPr>
                <w:rFonts w:hint="eastAsia" w:asciiTheme="majorEastAsia" w:hAnsiTheme="majorEastAsia" w:eastAsiaTheme="majorEastAsia" w:cstheme="majorEastAsia"/>
                <w:color w:val="auto"/>
                <w:sz w:val="22"/>
                <w:szCs w:val="22"/>
                <w:highlight w:val="none"/>
              </w:rPr>
              <w:t>“主要设备技术参数要求”的得满分</w:t>
            </w:r>
            <w:r>
              <w:rPr>
                <w:rFonts w:hint="eastAsia" w:asciiTheme="majorEastAsia" w:hAnsiTheme="majorEastAsia" w:eastAsiaTheme="majorEastAsia" w:cstheme="majorEastAsia"/>
                <w:color w:val="auto"/>
                <w:sz w:val="22"/>
                <w:szCs w:val="22"/>
                <w:highlight w:val="none"/>
                <w:lang w:val="en-US" w:eastAsia="zh-CN"/>
              </w:rPr>
              <w:t>24</w:t>
            </w:r>
            <w:r>
              <w:rPr>
                <w:rFonts w:hint="eastAsia" w:asciiTheme="majorEastAsia" w:hAnsiTheme="majorEastAsia" w:eastAsiaTheme="majorEastAsia" w:cstheme="majorEastAsia"/>
                <w:color w:val="auto"/>
                <w:sz w:val="22"/>
                <w:szCs w:val="22"/>
                <w:highlight w:val="none"/>
              </w:rPr>
              <w:t>分</w:t>
            </w:r>
            <w:r>
              <w:rPr>
                <w:rFonts w:hint="eastAsia" w:asciiTheme="majorEastAsia" w:hAnsiTheme="majorEastAsia" w:eastAsiaTheme="majorEastAsia" w:cstheme="majorEastAsia"/>
                <w:color w:val="auto"/>
                <w:sz w:val="22"/>
                <w:szCs w:val="22"/>
                <w:highlight w:val="none"/>
                <w:lang w:eastAsia="zh-CN"/>
              </w:rPr>
              <w:t>。</w:t>
            </w:r>
            <w:r>
              <w:rPr>
                <w:rFonts w:hint="eastAsia" w:asciiTheme="majorEastAsia" w:hAnsiTheme="majorEastAsia" w:eastAsiaTheme="majorEastAsia" w:cstheme="majorEastAsia"/>
                <w:color w:val="auto"/>
                <w:sz w:val="22"/>
                <w:szCs w:val="22"/>
                <w:highlight w:val="none"/>
              </w:rPr>
              <w:t>其中负偏离</w:t>
            </w:r>
            <w:r>
              <w:rPr>
                <w:rFonts w:hint="eastAsia" w:asciiTheme="majorEastAsia" w:hAnsiTheme="majorEastAsia" w:eastAsiaTheme="majorEastAsia" w:cstheme="majorEastAsia"/>
                <w:color w:val="auto"/>
                <w:sz w:val="22"/>
                <w:szCs w:val="22"/>
                <w:highlight w:val="none"/>
                <w:lang w:val="en-US" w:eastAsia="zh-CN"/>
              </w:rPr>
              <w:t>的</w:t>
            </w:r>
            <w:r>
              <w:rPr>
                <w:rFonts w:hint="eastAsia" w:asciiTheme="majorEastAsia" w:hAnsiTheme="majorEastAsia" w:eastAsiaTheme="majorEastAsia" w:cstheme="majorEastAsia"/>
                <w:color w:val="auto"/>
                <w:sz w:val="22"/>
                <w:szCs w:val="22"/>
                <w:highlight w:val="none"/>
              </w:rPr>
              <w:t>扣分</w:t>
            </w:r>
            <w:r>
              <w:rPr>
                <w:rFonts w:hint="eastAsia" w:asciiTheme="majorEastAsia" w:hAnsiTheme="majorEastAsia" w:eastAsiaTheme="majorEastAsia" w:cstheme="majorEastAsia"/>
                <w:color w:val="auto"/>
                <w:sz w:val="22"/>
                <w:szCs w:val="22"/>
                <w:highlight w:val="none"/>
                <w:lang w:eastAsia="zh-CN"/>
              </w:rPr>
              <w:t>：</w:t>
            </w:r>
            <w:r>
              <w:rPr>
                <w:rFonts w:hint="eastAsia" w:asciiTheme="majorEastAsia" w:hAnsiTheme="majorEastAsia" w:eastAsiaTheme="majorEastAsia" w:cstheme="majorEastAsia"/>
                <w:color w:val="auto"/>
                <w:sz w:val="22"/>
                <w:szCs w:val="22"/>
                <w:highlight w:val="none"/>
              </w:rPr>
              <w:t>带▲</w:t>
            </w:r>
            <w:r>
              <w:rPr>
                <w:rFonts w:hint="eastAsia" w:asciiTheme="majorEastAsia" w:hAnsiTheme="majorEastAsia" w:eastAsiaTheme="majorEastAsia" w:cstheme="majorEastAsia"/>
                <w:color w:val="auto"/>
                <w:sz w:val="22"/>
                <w:szCs w:val="22"/>
                <w:highlight w:val="none"/>
                <w:lang w:val="en-US" w:eastAsia="zh-CN"/>
              </w:rPr>
              <w:t>项</w:t>
            </w:r>
            <w:r>
              <w:rPr>
                <w:rFonts w:hint="eastAsia" w:asciiTheme="majorEastAsia" w:hAnsiTheme="majorEastAsia" w:eastAsiaTheme="majorEastAsia" w:cstheme="majorEastAsia"/>
                <w:color w:val="auto"/>
                <w:sz w:val="22"/>
                <w:szCs w:val="22"/>
                <w:highlight w:val="none"/>
              </w:rPr>
              <w:t>的参数每负偏离一项扣0.</w:t>
            </w:r>
            <w:r>
              <w:rPr>
                <w:rFonts w:hint="eastAsia" w:asciiTheme="majorEastAsia" w:hAnsiTheme="majorEastAsia" w:eastAsiaTheme="majorEastAsia" w:cstheme="majorEastAsia"/>
                <w:color w:val="auto"/>
                <w:sz w:val="22"/>
                <w:szCs w:val="22"/>
                <w:highlight w:val="none"/>
                <w:lang w:val="en-US" w:eastAsia="zh-CN"/>
              </w:rPr>
              <w:t>5</w:t>
            </w:r>
            <w:r>
              <w:rPr>
                <w:rFonts w:hint="eastAsia" w:asciiTheme="majorEastAsia" w:hAnsiTheme="majorEastAsia" w:eastAsiaTheme="majorEastAsia" w:cstheme="majorEastAsia"/>
                <w:color w:val="auto"/>
                <w:sz w:val="22"/>
                <w:szCs w:val="22"/>
                <w:highlight w:val="none"/>
              </w:rPr>
              <w:t>分，共计</w:t>
            </w:r>
            <w:r>
              <w:rPr>
                <w:rFonts w:hint="eastAsia" w:asciiTheme="majorEastAsia" w:hAnsiTheme="majorEastAsia" w:eastAsiaTheme="majorEastAsia" w:cstheme="majorEastAsia"/>
                <w:color w:val="auto"/>
                <w:sz w:val="22"/>
                <w:szCs w:val="22"/>
                <w:highlight w:val="none"/>
                <w:lang w:val="en-US" w:eastAsia="zh-CN"/>
              </w:rPr>
              <w:t>22.5</w:t>
            </w:r>
            <w:r>
              <w:rPr>
                <w:rFonts w:hint="eastAsia" w:asciiTheme="majorEastAsia" w:hAnsiTheme="majorEastAsia" w:eastAsiaTheme="majorEastAsia" w:cstheme="majorEastAsia"/>
                <w:color w:val="auto"/>
                <w:sz w:val="22"/>
                <w:szCs w:val="22"/>
                <w:highlight w:val="none"/>
              </w:rPr>
              <w:t>分</w:t>
            </w:r>
            <w:r>
              <w:rPr>
                <w:rFonts w:hint="eastAsia" w:asciiTheme="majorEastAsia" w:hAnsiTheme="majorEastAsia" w:eastAsiaTheme="majorEastAsia" w:cstheme="majorEastAsia"/>
                <w:color w:val="auto"/>
                <w:sz w:val="22"/>
                <w:szCs w:val="22"/>
                <w:highlight w:val="none"/>
                <w:lang w:eastAsia="zh-CN"/>
              </w:rPr>
              <w:t>；</w:t>
            </w:r>
            <w:r>
              <w:rPr>
                <w:rFonts w:hint="eastAsia" w:asciiTheme="majorEastAsia" w:hAnsiTheme="majorEastAsia" w:eastAsiaTheme="majorEastAsia" w:cstheme="majorEastAsia"/>
                <w:color w:val="auto"/>
                <w:sz w:val="22"/>
                <w:szCs w:val="22"/>
                <w:highlight w:val="none"/>
              </w:rPr>
              <w:t>未带“▲”</w:t>
            </w:r>
            <w:r>
              <w:rPr>
                <w:rFonts w:hint="eastAsia" w:asciiTheme="majorEastAsia" w:hAnsiTheme="majorEastAsia" w:eastAsiaTheme="majorEastAsia" w:cstheme="majorEastAsia"/>
                <w:color w:val="auto"/>
                <w:sz w:val="22"/>
                <w:szCs w:val="22"/>
                <w:highlight w:val="none"/>
                <w:lang w:eastAsia="zh-CN"/>
              </w:rPr>
              <w:t>、“★”</w:t>
            </w:r>
            <w:r>
              <w:rPr>
                <w:rFonts w:hint="eastAsia" w:asciiTheme="majorEastAsia" w:hAnsiTheme="majorEastAsia" w:eastAsiaTheme="majorEastAsia" w:cstheme="majorEastAsia"/>
                <w:color w:val="auto"/>
                <w:sz w:val="22"/>
                <w:szCs w:val="22"/>
                <w:highlight w:val="none"/>
                <w:lang w:val="en-US" w:eastAsia="zh-CN"/>
              </w:rPr>
              <w:t>项</w:t>
            </w:r>
            <w:r>
              <w:rPr>
                <w:rFonts w:hint="eastAsia" w:asciiTheme="majorEastAsia" w:hAnsiTheme="majorEastAsia" w:eastAsiaTheme="majorEastAsia" w:cstheme="majorEastAsia"/>
                <w:color w:val="auto"/>
                <w:sz w:val="22"/>
                <w:szCs w:val="22"/>
                <w:highlight w:val="none"/>
              </w:rPr>
              <w:t>的技术参数</w:t>
            </w:r>
            <w:r>
              <w:rPr>
                <w:rFonts w:hint="eastAsia" w:asciiTheme="majorEastAsia" w:hAnsiTheme="majorEastAsia" w:eastAsiaTheme="majorEastAsia" w:cstheme="majorEastAsia"/>
                <w:color w:val="auto"/>
                <w:sz w:val="22"/>
                <w:szCs w:val="22"/>
                <w:highlight w:val="none"/>
                <w:lang w:val="en-US" w:eastAsia="zh-CN"/>
              </w:rPr>
              <w:t>累计</w:t>
            </w:r>
            <w:r>
              <w:rPr>
                <w:rFonts w:hint="eastAsia" w:asciiTheme="majorEastAsia" w:hAnsiTheme="majorEastAsia" w:eastAsiaTheme="majorEastAsia" w:cstheme="majorEastAsia"/>
                <w:color w:val="auto"/>
                <w:sz w:val="22"/>
                <w:szCs w:val="22"/>
                <w:highlight w:val="none"/>
              </w:rPr>
              <w:t>负偏离1-</w:t>
            </w:r>
            <w:r>
              <w:rPr>
                <w:rFonts w:hint="eastAsia" w:asciiTheme="majorEastAsia" w:hAnsiTheme="majorEastAsia" w:eastAsiaTheme="majorEastAsia" w:cstheme="majorEastAsia"/>
                <w:color w:val="auto"/>
                <w:sz w:val="22"/>
                <w:szCs w:val="22"/>
                <w:highlight w:val="none"/>
                <w:lang w:val="en-US" w:eastAsia="zh-CN"/>
              </w:rPr>
              <w:t>1</w:t>
            </w:r>
            <w:r>
              <w:rPr>
                <w:rFonts w:hint="eastAsia" w:asciiTheme="majorEastAsia" w:hAnsiTheme="majorEastAsia" w:eastAsiaTheme="majorEastAsia" w:cstheme="majorEastAsia"/>
                <w:color w:val="auto"/>
                <w:sz w:val="22"/>
                <w:szCs w:val="22"/>
                <w:highlight w:val="none"/>
              </w:rPr>
              <w:t>00项扣</w:t>
            </w:r>
            <w:r>
              <w:rPr>
                <w:rFonts w:hint="eastAsia" w:asciiTheme="majorEastAsia" w:hAnsiTheme="majorEastAsia" w:eastAsiaTheme="majorEastAsia" w:cstheme="majorEastAsia"/>
                <w:color w:val="auto"/>
                <w:sz w:val="22"/>
                <w:szCs w:val="22"/>
                <w:highlight w:val="none"/>
                <w:lang w:val="en-US" w:eastAsia="zh-CN"/>
              </w:rPr>
              <w:t>0.5</w:t>
            </w:r>
            <w:r>
              <w:rPr>
                <w:rFonts w:hint="eastAsia" w:asciiTheme="majorEastAsia" w:hAnsiTheme="majorEastAsia" w:eastAsiaTheme="majorEastAsia" w:cstheme="majorEastAsia"/>
                <w:color w:val="auto"/>
                <w:sz w:val="22"/>
                <w:szCs w:val="22"/>
                <w:highlight w:val="none"/>
              </w:rPr>
              <w:t>分，</w:t>
            </w:r>
            <w:r>
              <w:rPr>
                <w:rFonts w:hint="eastAsia" w:asciiTheme="majorEastAsia" w:hAnsiTheme="majorEastAsia" w:eastAsiaTheme="majorEastAsia" w:cstheme="majorEastAsia"/>
                <w:color w:val="auto"/>
                <w:sz w:val="22"/>
                <w:szCs w:val="22"/>
                <w:highlight w:val="none"/>
                <w:lang w:val="en-US" w:eastAsia="zh-CN"/>
              </w:rPr>
              <w:t>累计</w:t>
            </w:r>
            <w:r>
              <w:rPr>
                <w:rFonts w:hint="eastAsia" w:asciiTheme="majorEastAsia" w:hAnsiTheme="majorEastAsia" w:eastAsiaTheme="majorEastAsia" w:cstheme="majorEastAsia"/>
                <w:color w:val="auto"/>
                <w:sz w:val="22"/>
                <w:szCs w:val="22"/>
                <w:highlight w:val="none"/>
              </w:rPr>
              <w:t>负偏离</w:t>
            </w:r>
            <w:r>
              <w:rPr>
                <w:rFonts w:hint="eastAsia" w:asciiTheme="majorEastAsia" w:hAnsiTheme="majorEastAsia" w:eastAsiaTheme="majorEastAsia" w:cstheme="majorEastAsia"/>
                <w:color w:val="auto"/>
                <w:sz w:val="22"/>
                <w:szCs w:val="22"/>
                <w:highlight w:val="none"/>
                <w:lang w:val="en-US" w:eastAsia="zh-CN"/>
              </w:rPr>
              <w:t>1</w:t>
            </w:r>
            <w:r>
              <w:rPr>
                <w:rFonts w:hint="eastAsia" w:asciiTheme="majorEastAsia" w:hAnsiTheme="majorEastAsia" w:eastAsiaTheme="majorEastAsia" w:cstheme="majorEastAsia"/>
                <w:color w:val="auto"/>
                <w:sz w:val="22"/>
                <w:szCs w:val="22"/>
                <w:highlight w:val="none"/>
              </w:rPr>
              <w:t>01-</w:t>
            </w:r>
            <w:r>
              <w:rPr>
                <w:rFonts w:hint="eastAsia" w:asciiTheme="majorEastAsia" w:hAnsiTheme="majorEastAsia" w:eastAsiaTheme="majorEastAsia" w:cstheme="majorEastAsia"/>
                <w:color w:val="auto"/>
                <w:sz w:val="22"/>
                <w:szCs w:val="22"/>
                <w:highlight w:val="none"/>
                <w:lang w:val="en-US" w:eastAsia="zh-CN"/>
              </w:rPr>
              <w:t>2</w:t>
            </w:r>
            <w:r>
              <w:rPr>
                <w:rFonts w:hint="eastAsia" w:asciiTheme="majorEastAsia" w:hAnsiTheme="majorEastAsia" w:eastAsiaTheme="majorEastAsia" w:cstheme="majorEastAsia"/>
                <w:color w:val="auto"/>
                <w:sz w:val="22"/>
                <w:szCs w:val="22"/>
                <w:highlight w:val="none"/>
              </w:rPr>
              <w:t>00项</w:t>
            </w:r>
            <w:r>
              <w:rPr>
                <w:rFonts w:hint="eastAsia" w:asciiTheme="majorEastAsia" w:hAnsiTheme="majorEastAsia" w:eastAsiaTheme="majorEastAsia" w:cstheme="majorEastAsia"/>
                <w:color w:val="auto"/>
                <w:sz w:val="22"/>
                <w:szCs w:val="22"/>
                <w:highlight w:val="none"/>
                <w:lang w:val="en-US" w:eastAsia="zh-CN"/>
              </w:rPr>
              <w:t>再</w:t>
            </w:r>
            <w:r>
              <w:rPr>
                <w:rFonts w:hint="eastAsia" w:asciiTheme="majorEastAsia" w:hAnsiTheme="majorEastAsia" w:eastAsiaTheme="majorEastAsia" w:cstheme="majorEastAsia"/>
                <w:color w:val="auto"/>
                <w:sz w:val="22"/>
                <w:szCs w:val="22"/>
                <w:highlight w:val="none"/>
              </w:rPr>
              <w:t>扣</w:t>
            </w:r>
            <w:r>
              <w:rPr>
                <w:rFonts w:hint="eastAsia" w:asciiTheme="majorEastAsia" w:hAnsiTheme="majorEastAsia" w:eastAsiaTheme="majorEastAsia" w:cstheme="majorEastAsia"/>
                <w:color w:val="auto"/>
                <w:sz w:val="22"/>
                <w:szCs w:val="22"/>
                <w:highlight w:val="none"/>
                <w:lang w:val="en-US" w:eastAsia="zh-CN"/>
              </w:rPr>
              <w:t>0.5</w:t>
            </w:r>
            <w:r>
              <w:rPr>
                <w:rFonts w:hint="eastAsia" w:asciiTheme="majorEastAsia" w:hAnsiTheme="majorEastAsia" w:eastAsiaTheme="majorEastAsia" w:cstheme="majorEastAsia"/>
                <w:color w:val="auto"/>
                <w:sz w:val="22"/>
                <w:szCs w:val="22"/>
                <w:highlight w:val="none"/>
              </w:rPr>
              <w:t>分，</w:t>
            </w:r>
            <w:r>
              <w:rPr>
                <w:rFonts w:hint="eastAsia" w:asciiTheme="majorEastAsia" w:hAnsiTheme="majorEastAsia" w:eastAsiaTheme="majorEastAsia" w:cstheme="majorEastAsia"/>
                <w:color w:val="auto"/>
                <w:sz w:val="22"/>
                <w:szCs w:val="22"/>
                <w:highlight w:val="none"/>
                <w:lang w:val="en-US" w:eastAsia="zh-CN"/>
              </w:rPr>
              <w:t>累计</w:t>
            </w:r>
            <w:r>
              <w:rPr>
                <w:rFonts w:hint="eastAsia" w:asciiTheme="majorEastAsia" w:hAnsiTheme="majorEastAsia" w:eastAsiaTheme="majorEastAsia" w:cstheme="majorEastAsia"/>
                <w:color w:val="auto"/>
                <w:sz w:val="22"/>
                <w:szCs w:val="22"/>
                <w:highlight w:val="none"/>
              </w:rPr>
              <w:t>负偏离</w:t>
            </w:r>
            <w:r>
              <w:rPr>
                <w:rFonts w:hint="eastAsia" w:asciiTheme="majorEastAsia" w:hAnsiTheme="majorEastAsia" w:eastAsiaTheme="majorEastAsia" w:cstheme="majorEastAsia"/>
                <w:color w:val="auto"/>
                <w:sz w:val="22"/>
                <w:szCs w:val="22"/>
                <w:highlight w:val="none"/>
                <w:lang w:val="en-US" w:eastAsia="zh-CN"/>
              </w:rPr>
              <w:t>2</w:t>
            </w:r>
            <w:r>
              <w:rPr>
                <w:rFonts w:hint="eastAsia" w:asciiTheme="majorEastAsia" w:hAnsiTheme="majorEastAsia" w:eastAsiaTheme="majorEastAsia" w:cstheme="majorEastAsia"/>
                <w:color w:val="auto"/>
                <w:sz w:val="22"/>
                <w:szCs w:val="22"/>
                <w:highlight w:val="none"/>
              </w:rPr>
              <w:t>01-</w:t>
            </w:r>
            <w:r>
              <w:rPr>
                <w:rFonts w:hint="eastAsia" w:asciiTheme="majorEastAsia" w:hAnsiTheme="majorEastAsia" w:eastAsiaTheme="majorEastAsia" w:cstheme="majorEastAsia"/>
                <w:color w:val="auto"/>
                <w:sz w:val="22"/>
                <w:szCs w:val="22"/>
                <w:highlight w:val="none"/>
                <w:lang w:val="en-US" w:eastAsia="zh-CN"/>
              </w:rPr>
              <w:t>5</w:t>
            </w:r>
            <w:r>
              <w:rPr>
                <w:rFonts w:hint="eastAsia" w:asciiTheme="majorEastAsia" w:hAnsiTheme="majorEastAsia" w:eastAsiaTheme="majorEastAsia" w:cstheme="majorEastAsia"/>
                <w:color w:val="auto"/>
                <w:sz w:val="22"/>
                <w:szCs w:val="22"/>
                <w:highlight w:val="none"/>
              </w:rPr>
              <w:t>00项</w:t>
            </w:r>
            <w:r>
              <w:rPr>
                <w:rFonts w:hint="eastAsia" w:asciiTheme="majorEastAsia" w:hAnsiTheme="majorEastAsia" w:eastAsiaTheme="majorEastAsia" w:cstheme="majorEastAsia"/>
                <w:color w:val="auto"/>
                <w:sz w:val="22"/>
                <w:szCs w:val="22"/>
                <w:highlight w:val="none"/>
                <w:lang w:val="en-US" w:eastAsia="zh-CN"/>
              </w:rPr>
              <w:t>再</w:t>
            </w:r>
            <w:r>
              <w:rPr>
                <w:rFonts w:hint="eastAsia" w:asciiTheme="majorEastAsia" w:hAnsiTheme="majorEastAsia" w:eastAsiaTheme="majorEastAsia" w:cstheme="majorEastAsia"/>
                <w:color w:val="auto"/>
                <w:sz w:val="22"/>
                <w:szCs w:val="22"/>
                <w:highlight w:val="none"/>
              </w:rPr>
              <w:t>扣</w:t>
            </w:r>
            <w:r>
              <w:rPr>
                <w:rFonts w:hint="eastAsia" w:asciiTheme="majorEastAsia" w:hAnsiTheme="majorEastAsia" w:eastAsiaTheme="majorEastAsia" w:cstheme="majorEastAsia"/>
                <w:color w:val="auto"/>
                <w:sz w:val="22"/>
                <w:szCs w:val="22"/>
                <w:highlight w:val="none"/>
                <w:lang w:val="en-US" w:eastAsia="zh-CN"/>
              </w:rPr>
              <w:t>0.5</w:t>
            </w:r>
            <w:r>
              <w:rPr>
                <w:rFonts w:hint="eastAsia" w:asciiTheme="majorEastAsia" w:hAnsiTheme="majorEastAsia" w:eastAsiaTheme="majorEastAsia" w:cstheme="majorEastAsia"/>
                <w:color w:val="auto"/>
                <w:sz w:val="22"/>
                <w:szCs w:val="22"/>
                <w:highlight w:val="none"/>
              </w:rPr>
              <w:t>分，</w:t>
            </w:r>
            <w:r>
              <w:rPr>
                <w:rFonts w:hint="eastAsia" w:asciiTheme="majorEastAsia" w:hAnsiTheme="majorEastAsia" w:eastAsiaTheme="majorEastAsia" w:cstheme="majorEastAsia"/>
                <w:color w:val="auto"/>
                <w:sz w:val="22"/>
                <w:szCs w:val="22"/>
                <w:highlight w:val="none"/>
                <w:lang w:val="en-US" w:eastAsia="zh-CN"/>
              </w:rPr>
              <w:t>累计扣1.5</w:t>
            </w:r>
            <w:r>
              <w:rPr>
                <w:rFonts w:hint="eastAsia" w:asciiTheme="majorEastAsia" w:hAnsiTheme="majorEastAsia" w:eastAsiaTheme="majorEastAsia" w:cstheme="majorEastAsia"/>
                <w:color w:val="auto"/>
                <w:sz w:val="22"/>
                <w:szCs w:val="22"/>
                <w:highlight w:val="none"/>
              </w:rPr>
              <w:t xml:space="preserve">分。 </w:t>
            </w:r>
          </w:p>
          <w:p w14:paraId="709C1CC9">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sz w:val="22"/>
                <w:szCs w:val="22"/>
                <w:highlight w:val="none"/>
                <w:u w:val="none"/>
              </w:rPr>
            </w:pPr>
            <w:r>
              <w:rPr>
                <w:rFonts w:hint="eastAsia" w:asciiTheme="majorEastAsia" w:hAnsiTheme="majorEastAsia" w:eastAsiaTheme="majorEastAsia" w:cstheme="majorEastAsia"/>
                <w:color w:val="auto"/>
                <w:sz w:val="22"/>
                <w:szCs w:val="22"/>
                <w:highlight w:val="none"/>
              </w:rPr>
              <w:t>注：“▲”</w:t>
            </w:r>
            <w:r>
              <w:rPr>
                <w:rFonts w:hint="eastAsia" w:asciiTheme="majorEastAsia" w:hAnsiTheme="majorEastAsia" w:eastAsiaTheme="majorEastAsia" w:cstheme="majorEastAsia"/>
                <w:color w:val="auto"/>
                <w:sz w:val="22"/>
                <w:szCs w:val="22"/>
                <w:highlight w:val="none"/>
                <w:lang w:val="en-US" w:eastAsia="zh-CN"/>
              </w:rPr>
              <w:t>项</w:t>
            </w:r>
            <w:r>
              <w:rPr>
                <w:rFonts w:hint="eastAsia" w:asciiTheme="majorEastAsia" w:hAnsiTheme="majorEastAsia" w:eastAsiaTheme="majorEastAsia" w:cstheme="majorEastAsia"/>
                <w:color w:val="auto"/>
                <w:sz w:val="22"/>
                <w:szCs w:val="22"/>
                <w:highlight w:val="none"/>
              </w:rPr>
              <w:t>参数如要求提供检测报告</w:t>
            </w:r>
            <w:r>
              <w:rPr>
                <w:rFonts w:hint="eastAsia" w:asciiTheme="majorEastAsia" w:hAnsiTheme="majorEastAsia" w:eastAsiaTheme="majorEastAsia" w:cstheme="majorEastAsia"/>
                <w:color w:val="auto"/>
                <w:sz w:val="22"/>
                <w:szCs w:val="22"/>
                <w:highlight w:val="none"/>
                <w:lang w:val="en-US" w:eastAsia="zh-CN"/>
              </w:rPr>
              <w:t>或</w:t>
            </w:r>
            <w:r>
              <w:rPr>
                <w:rFonts w:hint="eastAsia" w:asciiTheme="majorEastAsia" w:hAnsiTheme="majorEastAsia" w:eastAsiaTheme="majorEastAsia" w:cstheme="majorEastAsia"/>
                <w:color w:val="auto"/>
                <w:sz w:val="22"/>
                <w:szCs w:val="22"/>
                <w:highlight w:val="none"/>
              </w:rPr>
              <w:t>证明</w:t>
            </w:r>
            <w:r>
              <w:rPr>
                <w:rFonts w:hint="eastAsia" w:asciiTheme="majorEastAsia" w:hAnsiTheme="majorEastAsia" w:eastAsiaTheme="majorEastAsia" w:cstheme="majorEastAsia"/>
                <w:color w:val="auto"/>
                <w:sz w:val="22"/>
                <w:szCs w:val="22"/>
                <w:highlight w:val="none"/>
                <w:lang w:val="en-US" w:eastAsia="zh-CN"/>
              </w:rPr>
              <w:t>材料</w:t>
            </w:r>
            <w:r>
              <w:rPr>
                <w:rFonts w:hint="eastAsia" w:asciiTheme="majorEastAsia" w:hAnsiTheme="majorEastAsia" w:eastAsiaTheme="majorEastAsia" w:cstheme="majorEastAsia"/>
                <w:color w:val="auto"/>
                <w:sz w:val="22"/>
                <w:szCs w:val="22"/>
                <w:highlight w:val="none"/>
              </w:rPr>
              <w:t>的，评标委员会必须根据投标</w:t>
            </w:r>
            <w:r>
              <w:rPr>
                <w:rFonts w:hint="eastAsia" w:asciiTheme="majorEastAsia" w:hAnsiTheme="majorEastAsia" w:eastAsiaTheme="majorEastAsia" w:cstheme="majorEastAsia"/>
                <w:color w:val="auto"/>
                <w:sz w:val="22"/>
                <w:szCs w:val="22"/>
                <w:highlight w:val="none"/>
                <w:lang w:val="en-US" w:eastAsia="zh-CN"/>
              </w:rPr>
              <w:t>人</w:t>
            </w:r>
            <w:r>
              <w:rPr>
                <w:rFonts w:hint="eastAsia" w:asciiTheme="majorEastAsia" w:hAnsiTheme="majorEastAsia" w:eastAsiaTheme="majorEastAsia" w:cstheme="majorEastAsia"/>
                <w:color w:val="auto"/>
                <w:sz w:val="22"/>
                <w:szCs w:val="22"/>
                <w:highlight w:val="none"/>
              </w:rPr>
              <w:t>提供的检测报告</w:t>
            </w:r>
            <w:r>
              <w:rPr>
                <w:rFonts w:hint="eastAsia" w:asciiTheme="majorEastAsia" w:hAnsiTheme="majorEastAsia" w:eastAsiaTheme="majorEastAsia" w:cstheme="majorEastAsia"/>
                <w:color w:val="auto"/>
                <w:sz w:val="22"/>
                <w:szCs w:val="22"/>
                <w:highlight w:val="none"/>
                <w:lang w:val="en-US" w:eastAsia="zh-CN"/>
              </w:rPr>
              <w:t>或</w:t>
            </w:r>
            <w:r>
              <w:rPr>
                <w:rFonts w:hint="eastAsia" w:asciiTheme="majorEastAsia" w:hAnsiTheme="majorEastAsia" w:eastAsiaTheme="majorEastAsia" w:cstheme="majorEastAsia"/>
                <w:color w:val="auto"/>
                <w:sz w:val="22"/>
                <w:szCs w:val="22"/>
                <w:highlight w:val="none"/>
              </w:rPr>
              <w:t>证明</w:t>
            </w:r>
            <w:r>
              <w:rPr>
                <w:rFonts w:hint="eastAsia" w:asciiTheme="majorEastAsia" w:hAnsiTheme="majorEastAsia" w:eastAsiaTheme="majorEastAsia" w:cstheme="majorEastAsia"/>
                <w:color w:val="auto"/>
                <w:sz w:val="22"/>
                <w:szCs w:val="22"/>
                <w:highlight w:val="none"/>
                <w:lang w:val="en-US" w:eastAsia="zh-CN"/>
              </w:rPr>
              <w:t>材料</w:t>
            </w:r>
            <w:r>
              <w:rPr>
                <w:rFonts w:hint="eastAsia" w:asciiTheme="majorEastAsia" w:hAnsiTheme="majorEastAsia" w:eastAsiaTheme="majorEastAsia" w:cstheme="majorEastAsia"/>
                <w:color w:val="auto"/>
                <w:sz w:val="22"/>
                <w:szCs w:val="22"/>
                <w:highlight w:val="none"/>
              </w:rPr>
              <w:t>进行</w:t>
            </w:r>
            <w:r>
              <w:rPr>
                <w:rFonts w:hint="eastAsia" w:asciiTheme="majorEastAsia" w:hAnsiTheme="majorEastAsia" w:eastAsiaTheme="majorEastAsia" w:cstheme="majorEastAsia"/>
                <w:color w:val="auto"/>
                <w:sz w:val="22"/>
                <w:szCs w:val="22"/>
                <w:highlight w:val="none"/>
                <w:lang w:val="en-US" w:eastAsia="zh-CN"/>
              </w:rPr>
              <w:t>核对扣分</w:t>
            </w:r>
            <w:r>
              <w:rPr>
                <w:rFonts w:hint="eastAsia" w:asciiTheme="majorEastAsia" w:hAnsiTheme="majorEastAsia" w:eastAsiaTheme="majorEastAsia" w:cstheme="majorEastAsia"/>
                <w:color w:val="auto"/>
                <w:sz w:val="22"/>
                <w:szCs w:val="22"/>
                <w:highlight w:val="none"/>
              </w:rPr>
              <w:t>（提供的检测报告</w:t>
            </w:r>
            <w:r>
              <w:rPr>
                <w:rFonts w:hint="eastAsia" w:asciiTheme="majorEastAsia" w:hAnsiTheme="majorEastAsia" w:eastAsiaTheme="majorEastAsia" w:cstheme="majorEastAsia"/>
                <w:color w:val="auto"/>
                <w:sz w:val="22"/>
                <w:szCs w:val="22"/>
                <w:highlight w:val="none"/>
                <w:lang w:val="en-US" w:eastAsia="zh-CN"/>
              </w:rPr>
              <w:t>或</w:t>
            </w:r>
            <w:r>
              <w:rPr>
                <w:rFonts w:hint="eastAsia" w:asciiTheme="majorEastAsia" w:hAnsiTheme="majorEastAsia" w:eastAsiaTheme="majorEastAsia" w:cstheme="majorEastAsia"/>
                <w:color w:val="auto"/>
                <w:sz w:val="22"/>
                <w:szCs w:val="22"/>
                <w:highlight w:val="none"/>
              </w:rPr>
              <w:t>证明</w:t>
            </w:r>
            <w:r>
              <w:rPr>
                <w:rFonts w:hint="eastAsia" w:asciiTheme="majorEastAsia" w:hAnsiTheme="majorEastAsia" w:eastAsiaTheme="majorEastAsia" w:cstheme="majorEastAsia"/>
                <w:color w:val="auto"/>
                <w:sz w:val="22"/>
                <w:szCs w:val="22"/>
                <w:highlight w:val="none"/>
                <w:lang w:val="en-US" w:eastAsia="zh-CN"/>
              </w:rPr>
              <w:t>材料</w:t>
            </w:r>
            <w:r>
              <w:rPr>
                <w:rFonts w:hint="eastAsia" w:asciiTheme="majorEastAsia" w:hAnsiTheme="majorEastAsia" w:eastAsiaTheme="majorEastAsia" w:cstheme="majorEastAsia"/>
                <w:color w:val="auto"/>
                <w:sz w:val="22"/>
                <w:szCs w:val="22"/>
                <w:highlight w:val="none"/>
              </w:rPr>
              <w:t>需满足招标文件的参数要求），未提供相关检测报告</w:t>
            </w:r>
            <w:r>
              <w:rPr>
                <w:rFonts w:hint="eastAsia" w:asciiTheme="majorEastAsia" w:hAnsiTheme="majorEastAsia" w:eastAsiaTheme="majorEastAsia" w:cstheme="majorEastAsia"/>
                <w:color w:val="auto"/>
                <w:sz w:val="22"/>
                <w:szCs w:val="22"/>
                <w:highlight w:val="none"/>
                <w:lang w:val="en-US" w:eastAsia="zh-CN"/>
              </w:rPr>
              <w:t>或</w:t>
            </w:r>
            <w:r>
              <w:rPr>
                <w:rFonts w:hint="eastAsia" w:asciiTheme="majorEastAsia" w:hAnsiTheme="majorEastAsia" w:eastAsiaTheme="majorEastAsia" w:cstheme="majorEastAsia"/>
                <w:color w:val="auto"/>
                <w:sz w:val="22"/>
                <w:szCs w:val="22"/>
                <w:highlight w:val="none"/>
              </w:rPr>
              <w:t>证明</w:t>
            </w:r>
            <w:r>
              <w:rPr>
                <w:rFonts w:hint="eastAsia" w:asciiTheme="majorEastAsia" w:hAnsiTheme="majorEastAsia" w:eastAsiaTheme="majorEastAsia" w:cstheme="majorEastAsia"/>
                <w:color w:val="auto"/>
                <w:sz w:val="22"/>
                <w:szCs w:val="22"/>
                <w:highlight w:val="none"/>
                <w:lang w:val="en-US" w:eastAsia="zh-CN"/>
              </w:rPr>
              <w:t>材料</w:t>
            </w:r>
            <w:r>
              <w:rPr>
                <w:rFonts w:hint="eastAsia" w:asciiTheme="majorEastAsia" w:hAnsiTheme="majorEastAsia" w:eastAsiaTheme="majorEastAsia" w:cstheme="majorEastAsia"/>
                <w:color w:val="auto"/>
                <w:sz w:val="22"/>
                <w:szCs w:val="22"/>
                <w:highlight w:val="none"/>
              </w:rPr>
              <w:t>或提供的检测报告</w:t>
            </w:r>
            <w:r>
              <w:rPr>
                <w:rFonts w:hint="eastAsia" w:asciiTheme="majorEastAsia" w:hAnsiTheme="majorEastAsia" w:eastAsiaTheme="majorEastAsia" w:cstheme="majorEastAsia"/>
                <w:color w:val="auto"/>
                <w:sz w:val="22"/>
                <w:szCs w:val="22"/>
                <w:highlight w:val="none"/>
                <w:lang w:val="en-US" w:eastAsia="zh-CN"/>
              </w:rPr>
              <w:t>或</w:t>
            </w:r>
            <w:r>
              <w:rPr>
                <w:rFonts w:hint="eastAsia" w:asciiTheme="majorEastAsia" w:hAnsiTheme="majorEastAsia" w:eastAsiaTheme="majorEastAsia" w:cstheme="majorEastAsia"/>
                <w:color w:val="auto"/>
                <w:sz w:val="22"/>
                <w:szCs w:val="22"/>
                <w:highlight w:val="none"/>
              </w:rPr>
              <w:t>证明</w:t>
            </w:r>
            <w:r>
              <w:rPr>
                <w:rFonts w:hint="eastAsia" w:asciiTheme="majorEastAsia" w:hAnsiTheme="majorEastAsia" w:eastAsiaTheme="majorEastAsia" w:cstheme="majorEastAsia"/>
                <w:color w:val="auto"/>
                <w:sz w:val="22"/>
                <w:szCs w:val="22"/>
                <w:highlight w:val="none"/>
                <w:lang w:val="en-US" w:eastAsia="zh-CN"/>
              </w:rPr>
              <w:t>材料</w:t>
            </w:r>
            <w:r>
              <w:rPr>
                <w:rFonts w:hint="eastAsia" w:asciiTheme="majorEastAsia" w:hAnsiTheme="majorEastAsia" w:eastAsiaTheme="majorEastAsia" w:cstheme="majorEastAsia"/>
                <w:color w:val="auto"/>
                <w:sz w:val="22"/>
                <w:szCs w:val="22"/>
                <w:highlight w:val="none"/>
              </w:rPr>
              <w:t>不符合招标文件要求的视为负偏离。</w:t>
            </w:r>
          </w:p>
        </w:tc>
      </w:tr>
      <w:tr w14:paraId="43A88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9"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55E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技术团队</w:t>
            </w:r>
          </w:p>
          <w:p w14:paraId="6DEF63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（14分）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D4BB">
            <w:pPr>
              <w:pStyle w:val="11"/>
              <w:spacing w:before="120" w:beforeAutospacing="0" w:after="120" w:afterAutospacing="0" w:line="360" w:lineRule="auto"/>
              <w:ind w:firstLine="440" w:firstLineChars="200"/>
              <w:rPr>
                <w:rFonts w:hint="default" w:asciiTheme="majorEastAsia" w:hAnsiTheme="majorEastAsia" w:eastAsiaTheme="majorEastAsia" w:cstheme="majorEastAsia"/>
                <w:color w:val="auto"/>
                <w:sz w:val="22"/>
                <w:szCs w:val="22"/>
                <w:highlight w:val="none"/>
                <w:lang w:val="en-US" w:eastAsia="zh-CN"/>
              </w:rPr>
            </w:pPr>
            <w:r>
              <w:rPr>
                <w:rFonts w:hint="eastAsia" w:asciiTheme="majorEastAsia" w:hAnsiTheme="majorEastAsia" w:eastAsiaTheme="majorEastAsia" w:cstheme="majorEastAsia"/>
                <w:color w:val="auto"/>
                <w:sz w:val="22"/>
                <w:szCs w:val="22"/>
                <w:highlight w:val="none"/>
                <w:lang w:val="en-US" w:eastAsia="zh-CN"/>
              </w:rPr>
              <w:t>1、投标人拟投入本项目的项目负责人</w:t>
            </w:r>
            <w:r>
              <w:rPr>
                <w:rFonts w:hint="eastAsia" w:asciiTheme="majorEastAsia" w:hAnsiTheme="majorEastAsia" w:eastAsiaTheme="majorEastAsia" w:cstheme="majorEastAsia"/>
                <w:color w:val="auto"/>
                <w:sz w:val="22"/>
                <w:szCs w:val="22"/>
                <w:highlight w:val="none"/>
                <w:lang w:val="zh-CN" w:eastAsia="zh-CN"/>
              </w:rPr>
              <w:t>（仅限一人）：</w:t>
            </w:r>
            <w:r>
              <w:rPr>
                <w:rFonts w:hint="eastAsia" w:asciiTheme="majorEastAsia" w:hAnsiTheme="majorEastAsia" w:eastAsiaTheme="majorEastAsia" w:cstheme="majorEastAsia"/>
                <w:color w:val="auto"/>
                <w:sz w:val="22"/>
                <w:szCs w:val="22"/>
                <w:highlight w:val="none"/>
                <w:lang w:val="en-US" w:eastAsia="zh-CN"/>
              </w:rPr>
              <w:t>具有信息系统项目管理师证书的计2分；具有电子信息类高级工程师证书计2分。该小项累计计4分。</w:t>
            </w:r>
          </w:p>
          <w:p w14:paraId="424282FE">
            <w:pPr>
              <w:pStyle w:val="11"/>
              <w:spacing w:before="120" w:beforeAutospacing="0" w:after="120" w:afterAutospacing="0" w:line="360" w:lineRule="auto"/>
              <w:ind w:firstLine="440" w:firstLineChars="200"/>
              <w:rPr>
                <w:rFonts w:hint="default" w:asciiTheme="majorEastAsia" w:hAnsiTheme="majorEastAsia" w:eastAsiaTheme="majorEastAsia" w:cstheme="majorEastAsia"/>
                <w:color w:val="auto"/>
                <w:sz w:val="22"/>
                <w:szCs w:val="22"/>
                <w:highlight w:val="none"/>
                <w:lang w:val="en-US" w:eastAsia="zh-CN"/>
              </w:rPr>
            </w:pPr>
            <w:r>
              <w:rPr>
                <w:rFonts w:hint="eastAsia" w:asciiTheme="majorEastAsia" w:hAnsiTheme="majorEastAsia" w:eastAsiaTheme="majorEastAsia" w:cstheme="majorEastAsia"/>
                <w:color w:val="auto"/>
                <w:sz w:val="22"/>
                <w:szCs w:val="22"/>
                <w:highlight w:val="none"/>
                <w:lang w:val="en-US" w:eastAsia="zh-CN"/>
              </w:rPr>
              <w:t>2、</w:t>
            </w:r>
            <w:r>
              <w:rPr>
                <w:rFonts w:hint="eastAsia" w:asciiTheme="majorEastAsia" w:hAnsiTheme="majorEastAsia" w:eastAsiaTheme="majorEastAsia" w:cstheme="majorEastAsia"/>
                <w:color w:val="auto"/>
                <w:sz w:val="22"/>
                <w:szCs w:val="22"/>
                <w:highlight w:val="none"/>
                <w:lang w:val="zh-CN" w:eastAsia="zh-CN"/>
              </w:rPr>
              <w:t>投标人拟投入本项目的技术负责人（仅限一人）：</w:t>
            </w:r>
            <w:r>
              <w:rPr>
                <w:rFonts w:hint="eastAsia" w:asciiTheme="majorEastAsia" w:hAnsiTheme="majorEastAsia" w:eastAsiaTheme="majorEastAsia" w:cstheme="majorEastAsia"/>
                <w:color w:val="auto"/>
                <w:sz w:val="22"/>
                <w:szCs w:val="22"/>
                <w:highlight w:val="none"/>
                <w:lang w:val="en-US" w:eastAsia="zh-CN"/>
              </w:rPr>
              <w:t>具有信息系统项目管理师证书的计2分；具有电子信息类高级工程师证书计2分。该小项累计计4分。</w:t>
            </w:r>
          </w:p>
          <w:p w14:paraId="13909CEA">
            <w:pPr>
              <w:pStyle w:val="11"/>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highlight w:val="none"/>
                <w:lang w:val="zh-CN" w:eastAsia="zh-CN"/>
              </w:rPr>
            </w:pPr>
            <w:r>
              <w:rPr>
                <w:rFonts w:hint="eastAsia" w:asciiTheme="majorEastAsia" w:hAnsiTheme="majorEastAsia" w:eastAsiaTheme="majorEastAsia" w:cstheme="majorEastAsia"/>
                <w:color w:val="auto"/>
                <w:sz w:val="22"/>
                <w:szCs w:val="22"/>
                <w:highlight w:val="none"/>
                <w:lang w:val="en-US" w:eastAsia="zh-CN"/>
              </w:rPr>
              <w:t>3、上述项目负责人、技术负责人每人每具有系统集成项目管理工程师证书、信息安全工程师证书、</w:t>
            </w:r>
            <w:r>
              <w:rPr>
                <w:rFonts w:hint="eastAsia" w:asciiTheme="majorEastAsia" w:hAnsiTheme="majorEastAsia" w:eastAsiaTheme="majorEastAsia" w:cstheme="majorEastAsia"/>
                <w:color w:val="auto"/>
                <w:sz w:val="22"/>
                <w:szCs w:val="22"/>
                <w:highlight w:val="none"/>
                <w:lang w:val="zh-CN" w:eastAsia="zh-CN"/>
              </w:rPr>
              <w:t>系统规划与管理师证书</w:t>
            </w:r>
            <w:r>
              <w:rPr>
                <w:rFonts w:hint="eastAsia" w:asciiTheme="majorEastAsia" w:hAnsiTheme="majorEastAsia" w:eastAsiaTheme="majorEastAsia" w:cstheme="majorEastAsia"/>
                <w:color w:val="auto"/>
                <w:sz w:val="22"/>
                <w:szCs w:val="22"/>
                <w:highlight w:val="none"/>
                <w:lang w:val="en-US" w:eastAsia="zh-CN"/>
              </w:rPr>
              <w:t>计2分，该小项累计计6</w:t>
            </w:r>
            <w:r>
              <w:rPr>
                <w:rFonts w:hint="eastAsia" w:asciiTheme="majorEastAsia" w:hAnsiTheme="majorEastAsia" w:eastAsiaTheme="majorEastAsia" w:cstheme="majorEastAsia"/>
                <w:color w:val="auto"/>
                <w:sz w:val="22"/>
                <w:szCs w:val="22"/>
                <w:highlight w:val="none"/>
                <w:lang w:val="zh-CN" w:eastAsia="zh-CN"/>
              </w:rPr>
              <w:t>分。</w:t>
            </w:r>
          </w:p>
          <w:p w14:paraId="207CBC15">
            <w:pPr>
              <w:pStyle w:val="11"/>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highlight w:val="none"/>
                <w:lang w:val="en-US" w:eastAsia="zh-CN"/>
              </w:rPr>
            </w:pPr>
            <w:r>
              <w:rPr>
                <w:rFonts w:hint="eastAsia" w:asciiTheme="majorEastAsia" w:hAnsiTheme="majorEastAsia" w:eastAsiaTheme="majorEastAsia" w:cstheme="majorEastAsia"/>
                <w:color w:val="auto"/>
                <w:sz w:val="22"/>
                <w:szCs w:val="22"/>
                <w:highlight w:val="none"/>
                <w:lang w:val="en-US" w:eastAsia="zh-CN"/>
              </w:rPr>
              <w:t>备注：</w:t>
            </w:r>
          </w:p>
          <w:p w14:paraId="790BAF7A">
            <w:pPr>
              <w:pStyle w:val="11"/>
              <w:spacing w:before="120" w:beforeAutospacing="0" w:after="120" w:afterAutospacing="0" w:line="360" w:lineRule="auto"/>
              <w:ind w:firstLine="440" w:firstLineChars="200"/>
              <w:rPr>
                <w:rFonts w:hint="default" w:asciiTheme="majorEastAsia" w:hAnsiTheme="majorEastAsia" w:eastAsiaTheme="majorEastAsia" w:cstheme="majorEastAsia"/>
                <w:b w:val="0"/>
                <w:bCs w:val="0"/>
                <w:color w:val="auto"/>
                <w:sz w:val="22"/>
                <w:szCs w:val="22"/>
                <w:highlight w:val="none"/>
                <w:lang w:val="en-US" w:eastAsia="zh-CN"/>
              </w:rPr>
            </w:pPr>
            <w:r>
              <w:rPr>
                <w:rFonts w:hint="eastAsia" w:asciiTheme="majorEastAsia" w:hAnsiTheme="majorEastAsia" w:eastAsiaTheme="majorEastAsia" w:cstheme="majorEastAsia"/>
                <w:b w:val="0"/>
                <w:bCs w:val="0"/>
                <w:color w:val="auto"/>
                <w:sz w:val="22"/>
                <w:szCs w:val="22"/>
                <w:highlight w:val="none"/>
                <w:lang w:val="en-US" w:eastAsia="zh-CN"/>
              </w:rPr>
              <w:t>（1）若是联合体投标，上述投标人指牵头方。</w:t>
            </w:r>
          </w:p>
          <w:p w14:paraId="718FD144">
            <w:pPr>
              <w:pStyle w:val="11"/>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highlight w:val="none"/>
                <w:lang w:val="zh-CN" w:eastAsia="zh-CN"/>
              </w:rPr>
            </w:pPr>
            <w:r>
              <w:rPr>
                <w:rFonts w:hint="eastAsia" w:asciiTheme="majorEastAsia" w:hAnsiTheme="majorEastAsia" w:eastAsiaTheme="majorEastAsia" w:cstheme="majorEastAsia"/>
                <w:color w:val="auto"/>
                <w:sz w:val="22"/>
                <w:szCs w:val="22"/>
                <w:highlight w:val="none"/>
                <w:lang w:val="en-US" w:eastAsia="zh-CN"/>
              </w:rPr>
              <w:t>（2）须</w:t>
            </w:r>
            <w:r>
              <w:rPr>
                <w:rFonts w:hint="eastAsia" w:asciiTheme="majorEastAsia" w:hAnsiTheme="majorEastAsia" w:eastAsiaTheme="majorEastAsia" w:cstheme="majorEastAsia"/>
                <w:color w:val="auto"/>
                <w:sz w:val="22"/>
                <w:szCs w:val="22"/>
                <w:highlight w:val="none"/>
                <w:lang w:val="zh-CN" w:eastAsia="zh-CN"/>
              </w:rPr>
              <w:t>提供上述人员</w:t>
            </w:r>
            <w:r>
              <w:rPr>
                <w:rFonts w:hint="eastAsia" w:asciiTheme="majorEastAsia" w:hAnsiTheme="majorEastAsia" w:eastAsiaTheme="majorEastAsia" w:cstheme="majorEastAsia"/>
                <w:color w:val="auto"/>
                <w:sz w:val="22"/>
                <w:szCs w:val="22"/>
                <w:highlight w:val="none"/>
                <w:lang w:val="en-US" w:eastAsia="zh-CN"/>
              </w:rPr>
              <w:t>相关证书原件彩色</w:t>
            </w:r>
            <w:r>
              <w:rPr>
                <w:rFonts w:hint="eastAsia" w:asciiTheme="majorEastAsia" w:hAnsiTheme="majorEastAsia" w:eastAsiaTheme="majorEastAsia" w:cstheme="majorEastAsia"/>
                <w:color w:val="auto"/>
                <w:sz w:val="22"/>
                <w:szCs w:val="22"/>
                <w:highlight w:val="none"/>
                <w:lang w:val="zh-CN" w:eastAsia="zh-CN"/>
              </w:rPr>
              <w:t>扫描件加盖投标人公（</w:t>
            </w:r>
            <w:r>
              <w:rPr>
                <w:rFonts w:hint="eastAsia" w:asciiTheme="majorEastAsia" w:hAnsiTheme="majorEastAsia" w:eastAsiaTheme="majorEastAsia" w:cstheme="majorEastAsia"/>
                <w:color w:val="auto"/>
                <w:sz w:val="22"/>
                <w:szCs w:val="22"/>
                <w:highlight w:val="none"/>
                <w:lang w:val="en-US" w:eastAsia="zh-CN"/>
              </w:rPr>
              <w:t>签</w:t>
            </w:r>
            <w:r>
              <w:rPr>
                <w:rFonts w:hint="eastAsia" w:asciiTheme="majorEastAsia" w:hAnsiTheme="majorEastAsia" w:eastAsiaTheme="majorEastAsia" w:cstheme="majorEastAsia"/>
                <w:color w:val="auto"/>
                <w:sz w:val="22"/>
                <w:szCs w:val="22"/>
                <w:highlight w:val="none"/>
                <w:lang w:val="zh-CN" w:eastAsia="zh-CN"/>
              </w:rPr>
              <w:t>）章。</w:t>
            </w:r>
          </w:p>
          <w:p w14:paraId="5BFE1C4C">
            <w:pPr>
              <w:pStyle w:val="11"/>
              <w:spacing w:before="120" w:beforeAutospacing="0" w:after="120" w:afterAutospacing="0" w:line="360" w:lineRule="auto"/>
              <w:ind w:firstLine="440" w:firstLineChars="200"/>
              <w:rPr>
                <w:rFonts w:hint="default" w:asciiTheme="majorEastAsia" w:hAnsiTheme="majorEastAsia" w:eastAsiaTheme="majorEastAsia" w:cstheme="majorEastAsia"/>
                <w:color w:val="auto"/>
                <w:sz w:val="22"/>
                <w:szCs w:val="22"/>
                <w:highlight w:val="none"/>
                <w:lang w:val="en-US" w:eastAsia="zh-CN"/>
              </w:rPr>
            </w:pPr>
          </w:p>
        </w:tc>
      </w:tr>
      <w:tr w14:paraId="0B156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7"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2A2B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系统功能</w:t>
            </w:r>
          </w:p>
          <w:p w14:paraId="36A6E2D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（10分）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00B6">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lang w:val="en-US" w:eastAsia="zh-CN" w:bidi="ar"/>
              </w:rPr>
              <w:t>1、</w:t>
            </w: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为满足“苏服办”APP旗舰店多端低代码系统升级要求，投标人所投产品具有“多端低代码”系统描述的软件著作权计2分，同时提供相关测试报告的另得1分，该小项最高计3分；</w:t>
            </w:r>
          </w:p>
          <w:p w14:paraId="54D5EA32">
            <w:pPr>
              <w:pStyle w:val="11"/>
              <w:spacing w:before="120" w:beforeAutospacing="0" w:after="120" w:afterAutospacing="0" w:line="360" w:lineRule="auto"/>
              <w:ind w:firstLine="440" w:firstLineChars="200"/>
              <w:rPr>
                <w:rFonts w:hint="default"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lang w:val="en-US" w:eastAsia="zh-CN" w:bidi="ar"/>
              </w:rPr>
              <w:t>2、</w:t>
            </w: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为保证现有（续保设备）入侵防御系统、数据库审计系统、核心路由器正常升级，投标人投标时承诺中标后提供原产品品牌生产厂家出具的“厂商服务授权函”的计3分，未提供或提供不全的不计分。该“承诺函”格式自拟。</w:t>
            </w:r>
          </w:p>
          <w:p w14:paraId="71F69A7B">
            <w:pPr>
              <w:pStyle w:val="11"/>
              <w:spacing w:before="120" w:beforeAutospacing="0" w:after="120" w:afterAutospacing="0" w:line="360" w:lineRule="auto"/>
              <w:ind w:firstLine="440" w:firstLineChars="200"/>
              <w:rPr>
                <w:rFonts w:hint="default"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3、本项目涉及到与12345平台对接，投标人投标时提供承诺函，承诺中标后与原12345平台对接，并承诺中标后提供由原平台电子信息服务商出具的“测试函”，计4分，未提供不计分。该“承诺函”格式自拟。</w:t>
            </w:r>
          </w:p>
          <w:p w14:paraId="0C4754B9">
            <w:pPr>
              <w:pStyle w:val="11"/>
              <w:spacing w:before="120" w:beforeAutospacing="0" w:after="120" w:afterAutospacing="0" w:line="360" w:lineRule="auto"/>
              <w:ind w:firstLine="440" w:firstLineChars="200"/>
              <w:rPr>
                <w:rFonts w:hint="default"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说明：以上原厂出具的承诺需在领取中标通知书前提供，未提供视为虚假响应。</w:t>
            </w:r>
          </w:p>
        </w:tc>
      </w:tr>
      <w:tr w14:paraId="3DA34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2"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7F26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现场功能演示（5）</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539F1">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color w:val="auto"/>
                <w:sz w:val="22"/>
                <w:szCs w:val="22"/>
                <w:highlight w:val="none"/>
                <w:lang w:val="en-US" w:eastAsia="zh-CN"/>
              </w:rPr>
              <w:t>招标</w:t>
            </w: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文件需求清单带“★”的技术参数为功能演示项，须采用现场演示方式。</w:t>
            </w:r>
          </w:p>
          <w:p w14:paraId="2305C540">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采用真实平台演示，符合演示要求每项计1分；采用Demo或PPT模拟演示，符合演示要求每项计0.5分。该小项最多计5分。未演示不得分。</w:t>
            </w:r>
          </w:p>
          <w:p w14:paraId="6BB89B1F">
            <w:pPr>
              <w:pStyle w:val="11"/>
              <w:spacing w:before="120" w:beforeAutospacing="0" w:after="120" w:afterAutospacing="0" w:line="360" w:lineRule="auto"/>
              <w:ind w:firstLine="440" w:firstLineChars="200"/>
              <w:rPr>
                <w:rFonts w:hint="eastAsia" w:asciiTheme="majorEastAsia" w:hAnsiTheme="majorEastAsia" w:eastAsiaTheme="majorEastAsia" w:cstheme="majorEastAsia"/>
                <w:b w:val="0"/>
                <w:bCs w:val="0"/>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b w:val="0"/>
                <w:bCs w:val="0"/>
                <w:i w:val="0"/>
                <w:iCs w:val="0"/>
                <w:color w:val="auto"/>
                <w:kern w:val="0"/>
                <w:sz w:val="22"/>
                <w:szCs w:val="22"/>
                <w:highlight w:val="none"/>
                <w:u w:val="none"/>
                <w:lang w:val="en-US" w:eastAsia="zh-CN" w:bidi="ar"/>
              </w:rPr>
              <w:t>注：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p>
          <w:p w14:paraId="1DE34B61">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p>
        </w:tc>
      </w:tr>
      <w:tr w14:paraId="2F558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7"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969E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技术方案</w:t>
            </w:r>
          </w:p>
          <w:p w14:paraId="5BB97DB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（10分）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6469C">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 xml:space="preserve">投标人根据项目采购需求，编制并提供满足项目采购需求的技术方案。方案包括组织方案、进度计划、质量控制措施等内容。   </w:t>
            </w:r>
          </w:p>
          <w:p w14:paraId="5227737D">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评委根据投标人提供的组织方案、进度计划、质量控制措施等内容进行评分。全部优于或满足项目采购需求的技术方案不扣分（得10分）；投标人提供的技术方案基本满足项目采购需求（但中标后需进行完善和补充）的技术方案在10分基础上扣3分；未提供或提供的技术方案不满足项目采购需求的不得分。</w:t>
            </w:r>
          </w:p>
          <w:p w14:paraId="40F1AA83">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p>
        </w:tc>
      </w:tr>
      <w:tr w14:paraId="4E22C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35EE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服务承诺</w:t>
            </w:r>
          </w:p>
          <w:p w14:paraId="5EEBB7A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2"/>
                <w:sz w:val="22"/>
                <w:szCs w:val="22"/>
                <w:highlight w:val="none"/>
                <w:u w:val="none"/>
                <w:lang w:val="en-US" w:eastAsia="zh-CN" w:bidi="ar-SA"/>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（5分）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D0CF3">
            <w:pPr>
              <w:pStyle w:val="11"/>
              <w:spacing w:before="120" w:beforeAutospacing="0" w:after="120" w:afterAutospacing="0" w:line="360" w:lineRule="auto"/>
              <w:ind w:firstLine="44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因本</w:t>
            </w:r>
            <w:r>
              <w:rPr>
                <w:rFonts w:hint="eastAsia" w:asciiTheme="majorEastAsia" w:hAnsiTheme="majorEastAsia" w:eastAsiaTheme="majorEastAsia" w:cstheme="majorEastAsia"/>
                <w:color w:val="auto"/>
                <w:sz w:val="22"/>
                <w:szCs w:val="22"/>
                <w:highlight w:val="none"/>
                <w:lang w:val="en-US" w:eastAsia="zh-CN"/>
              </w:rPr>
              <w:t>项目</w:t>
            </w: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涉及电子政务网运营商链路调试割接，投标人承诺所产生的费用及协调工作由投标人独立完成并承担费用的计3分，未承诺的不计分；提供任意一家主、备用电子政务网运营商“服务承诺函”的计2分，未提供的不计分。该项最高计5分。</w:t>
            </w:r>
          </w:p>
          <w:p w14:paraId="6F920624">
            <w:pPr>
              <w:pStyle w:val="11"/>
              <w:spacing w:before="120" w:beforeAutospacing="0" w:after="120" w:afterAutospacing="0" w:line="360" w:lineRule="auto"/>
              <w:ind w:firstLine="440" w:firstLineChars="200"/>
              <w:rPr>
                <w:rFonts w:hint="default"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Theme="majorEastAsia" w:hAnsiTheme="majorEastAsia" w:eastAsiaTheme="majorEastAsia" w:cstheme="majorEastAsia"/>
                <w:i w:val="0"/>
                <w:iCs w:val="0"/>
                <w:color w:val="auto"/>
                <w:kern w:val="0"/>
                <w:sz w:val="22"/>
                <w:szCs w:val="22"/>
                <w:highlight w:val="none"/>
                <w:u w:val="none"/>
                <w:lang w:val="en-US" w:eastAsia="zh-CN" w:bidi="ar"/>
              </w:rPr>
              <w:t>该“承诺函”格式由投标人自拟。</w:t>
            </w:r>
          </w:p>
        </w:tc>
      </w:tr>
      <w:tr w14:paraId="01E09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645E">
            <w:pPr>
              <w:pStyle w:val="21"/>
              <w:widowControl/>
              <w:spacing w:line="380" w:lineRule="exact"/>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节能环保</w:t>
            </w:r>
          </w:p>
          <w:p w14:paraId="0E664A25">
            <w:pPr>
              <w:pStyle w:val="21"/>
              <w:widowControl/>
              <w:spacing w:line="380" w:lineRule="exact"/>
              <w:ind w:firstLine="0" w:firstLineChars="0"/>
              <w:jc w:val="center"/>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宋体" w:hAnsi="宋体" w:eastAsia="宋体" w:cs="宋体"/>
                <w:color w:val="auto"/>
                <w:sz w:val="21"/>
                <w:szCs w:val="21"/>
                <w:highlight w:val="none"/>
              </w:rPr>
              <w:t>（2分）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CA79">
            <w:pPr>
              <w:pStyle w:val="11"/>
              <w:spacing w:before="120" w:beforeAutospacing="0" w:after="120" w:afterAutospacing="0"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p>
          <w:p w14:paraId="0898874A">
            <w:pPr>
              <w:pStyle w:val="11"/>
              <w:spacing w:before="120" w:beforeAutospacing="0" w:after="120" w:afterAutospacing="0" w:line="360" w:lineRule="auto"/>
              <w:ind w:firstLine="420" w:firstLineChars="200"/>
              <w:rPr>
                <w:rFonts w:hint="eastAsia" w:asciiTheme="majorEastAsia" w:hAnsiTheme="majorEastAsia" w:eastAsiaTheme="majorEastAsia" w:cstheme="majorEastAsia"/>
                <w:i w:val="0"/>
                <w:iCs w:val="0"/>
                <w:color w:val="auto"/>
                <w:kern w:val="0"/>
                <w:sz w:val="22"/>
                <w:szCs w:val="22"/>
                <w:highlight w:val="none"/>
                <w:u w:val="none"/>
                <w:lang w:val="en-US" w:eastAsia="zh-CN" w:bidi="ar"/>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投标产品属于财政部、生态环境部公布的“环境标志产品品目清单”范围内的，投标人提供国家确定的认证机构出具的、处于有效期内的该环保产品认证证书的，有1个得0.5分，最多得1分。</w:t>
            </w:r>
          </w:p>
        </w:tc>
      </w:tr>
    </w:tbl>
    <w:p w14:paraId="52725BA1">
      <w:pPr>
        <w:pStyle w:val="11"/>
        <w:keepNext w:val="0"/>
        <w:keepLines w:val="0"/>
        <w:pageBreakBefore w:val="0"/>
        <w:widowControl w:val="0"/>
        <w:kinsoku/>
        <w:wordWrap/>
        <w:overflowPunct/>
        <w:topLinePunct w:val="0"/>
        <w:autoSpaceDE/>
        <w:autoSpaceDN/>
        <w:bidi w:val="0"/>
        <w:spacing w:before="0" w:beforeAutospacing="0" w:after="0" w:afterAutospacing="0" w:line="560" w:lineRule="exact"/>
        <w:rPr>
          <w:rFonts w:hint="eastAsia" w:ascii="宋体" w:hAnsi="宋体" w:eastAsia="宋体" w:cs="宋体"/>
          <w:color w:val="auto"/>
          <w:sz w:val="24"/>
          <w:szCs w:val="24"/>
          <w:highlight w:val="none"/>
          <w:shd w:val="clear" w:color="auto" w:fill="auto"/>
        </w:rPr>
      </w:pPr>
    </w:p>
    <w:p w14:paraId="7ED9E63A">
      <w:pPr>
        <w:pStyle w:val="11"/>
        <w:keepNext/>
        <w:spacing w:beforeAutospacing="0" w:afterAutospacing="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7D63EED">
      <w:pPr>
        <w:spacing w:line="520" w:lineRule="exact"/>
        <w:ind w:firstLine="482"/>
        <w:rPr>
          <w:rFonts w:hint="eastAsia" w:ascii="宋体" w:hAnsi="宋体"/>
          <w:b w:val="0"/>
          <w:bCs/>
          <w:color w:val="auto"/>
          <w:kern w:val="0"/>
          <w:sz w:val="24"/>
          <w:szCs w:val="24"/>
          <w:highlight w:val="none"/>
        </w:rPr>
      </w:pPr>
      <w:r>
        <w:rPr>
          <w:rFonts w:hint="eastAsia" w:ascii="宋体" w:hAnsi="宋体"/>
          <w:b w:val="0"/>
          <w:bCs/>
          <w:color w:val="auto"/>
          <w:kern w:val="0"/>
          <w:sz w:val="24"/>
          <w:szCs w:val="24"/>
          <w:highlight w:val="none"/>
        </w:rPr>
        <w:t>备注：</w:t>
      </w:r>
    </w:p>
    <w:p w14:paraId="2CAB16BA">
      <w:pPr>
        <w:spacing w:line="520" w:lineRule="exact"/>
        <w:ind w:firstLine="482"/>
        <w:rPr>
          <w:rFonts w:hint="eastAsia" w:ascii="宋体" w:hAnsi="宋体"/>
          <w:b w:val="0"/>
          <w:bCs/>
          <w:color w:val="auto"/>
          <w:kern w:val="0"/>
          <w:sz w:val="24"/>
          <w:szCs w:val="24"/>
          <w:highlight w:val="none"/>
        </w:rPr>
      </w:pPr>
      <w:r>
        <w:rPr>
          <w:rFonts w:hint="eastAsia" w:ascii="宋体" w:hAnsi="宋体"/>
          <w:b w:val="0"/>
          <w:bCs/>
          <w:color w:val="auto"/>
          <w:kern w:val="0"/>
          <w:sz w:val="24"/>
          <w:szCs w:val="24"/>
          <w:highlight w:val="none"/>
          <w:lang w:val="en-US" w:eastAsia="zh-CN"/>
        </w:rPr>
        <w:t>1、</w:t>
      </w:r>
      <w:r>
        <w:rPr>
          <w:rFonts w:hint="eastAsia" w:ascii="宋体" w:hAnsi="宋体"/>
          <w:b w:val="0"/>
          <w:bCs/>
          <w:color w:val="auto"/>
          <w:kern w:val="0"/>
          <w:sz w:val="24"/>
          <w:szCs w:val="24"/>
          <w:highlight w:val="none"/>
        </w:rPr>
        <w:t>评分标准中要求提供的证明材料均以原件扫描加盖</w:t>
      </w:r>
      <w:r>
        <w:rPr>
          <w:rFonts w:hint="eastAsia" w:ascii="宋体" w:hAnsi="宋体"/>
          <w:b w:val="0"/>
          <w:bCs/>
          <w:color w:val="auto"/>
          <w:kern w:val="0"/>
          <w:sz w:val="24"/>
          <w:szCs w:val="24"/>
          <w:highlight w:val="none"/>
          <w:lang w:val="en-US" w:eastAsia="zh-CN"/>
        </w:rPr>
        <w:t>投标人的</w:t>
      </w:r>
      <w:r>
        <w:rPr>
          <w:rFonts w:hint="eastAsia" w:ascii="宋体" w:hAnsi="宋体"/>
          <w:b w:val="0"/>
          <w:bCs/>
          <w:color w:val="auto"/>
          <w:kern w:val="0"/>
          <w:sz w:val="24"/>
          <w:szCs w:val="24"/>
          <w:highlight w:val="none"/>
        </w:rPr>
        <w:t>公章</w:t>
      </w:r>
      <w:r>
        <w:rPr>
          <w:rFonts w:hint="eastAsia" w:ascii="宋体" w:hAnsi="宋体"/>
          <w:b w:val="0"/>
          <w:bCs/>
          <w:color w:val="auto"/>
          <w:kern w:val="0"/>
          <w:sz w:val="24"/>
          <w:szCs w:val="24"/>
          <w:highlight w:val="none"/>
          <w:lang w:val="en-US" w:eastAsia="zh-CN"/>
        </w:rPr>
        <w:t>或电子签章</w:t>
      </w:r>
      <w:r>
        <w:rPr>
          <w:rFonts w:hint="eastAsia" w:ascii="宋体" w:hAnsi="宋体"/>
          <w:b w:val="0"/>
          <w:bCs/>
          <w:color w:val="auto"/>
          <w:kern w:val="0"/>
          <w:sz w:val="24"/>
          <w:szCs w:val="24"/>
          <w:highlight w:val="none"/>
          <w:lang w:eastAsia="zh-CN"/>
        </w:rPr>
        <w:t>（</w:t>
      </w:r>
      <w:r>
        <w:rPr>
          <w:rFonts w:hint="eastAsia" w:ascii="宋体" w:hAnsi="宋体"/>
          <w:b w:val="0"/>
          <w:bCs/>
          <w:color w:val="auto"/>
          <w:kern w:val="0"/>
          <w:sz w:val="24"/>
          <w:szCs w:val="24"/>
          <w:highlight w:val="none"/>
          <w:lang w:val="en-US" w:eastAsia="zh-CN"/>
        </w:rPr>
        <w:t>若是联合体投标，加盖牵头方公章</w:t>
      </w:r>
      <w:r>
        <w:rPr>
          <w:rFonts w:hint="eastAsia" w:ascii="宋体" w:hAnsi="宋体"/>
          <w:b w:val="0"/>
          <w:bCs/>
          <w:color w:val="auto"/>
          <w:kern w:val="0"/>
          <w:sz w:val="24"/>
          <w:szCs w:val="24"/>
          <w:highlight w:val="none"/>
          <w:lang w:eastAsia="zh-CN"/>
        </w:rPr>
        <w:t>）</w:t>
      </w:r>
      <w:r>
        <w:rPr>
          <w:rFonts w:hint="eastAsia" w:ascii="宋体" w:hAnsi="宋体"/>
          <w:b w:val="0"/>
          <w:bCs/>
          <w:color w:val="auto"/>
          <w:kern w:val="0"/>
          <w:sz w:val="24"/>
          <w:szCs w:val="24"/>
          <w:highlight w:val="none"/>
        </w:rPr>
        <w:t>在投标文件中反映，相关证明材料须按要求完整提供且不得涂改，本项目所须提供的证明材料均应原件扫描（如原件是彩色件，则扫描件须是彩色）。否则不能得分。</w:t>
      </w:r>
    </w:p>
    <w:p w14:paraId="37AA898C">
      <w:pPr>
        <w:spacing w:line="520" w:lineRule="exact"/>
        <w:ind w:firstLine="482"/>
        <w:rPr>
          <w:rFonts w:hint="eastAsia" w:ascii="宋体" w:hAnsi="宋体"/>
          <w:b w:val="0"/>
          <w:bCs/>
          <w:color w:val="auto"/>
          <w:kern w:val="0"/>
          <w:sz w:val="24"/>
          <w:szCs w:val="24"/>
          <w:highlight w:val="none"/>
        </w:rPr>
      </w:pPr>
      <w:r>
        <w:rPr>
          <w:rFonts w:hint="eastAsia" w:ascii="宋体" w:hAnsi="宋体"/>
          <w:b w:val="0"/>
          <w:bCs/>
          <w:color w:val="auto"/>
          <w:kern w:val="0"/>
          <w:sz w:val="24"/>
          <w:szCs w:val="24"/>
          <w:highlight w:val="none"/>
          <w:lang w:val="en-US" w:eastAsia="zh-CN"/>
        </w:rPr>
        <w:t>2、</w:t>
      </w:r>
      <w:r>
        <w:rPr>
          <w:rFonts w:hint="eastAsia" w:ascii="宋体" w:hAnsi="宋体"/>
          <w:b w:val="0"/>
          <w:bCs/>
          <w:color w:val="auto"/>
          <w:kern w:val="0"/>
          <w:sz w:val="24"/>
          <w:szCs w:val="24"/>
          <w:highlight w:val="none"/>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483885CB">
      <w:pPr>
        <w:spacing w:line="520" w:lineRule="exact"/>
        <w:ind w:firstLine="482"/>
        <w:rPr>
          <w:rFonts w:hint="eastAsia" w:ascii="宋体" w:hAnsi="宋体"/>
          <w:b w:val="0"/>
          <w:bCs/>
          <w:color w:val="auto"/>
          <w:kern w:val="0"/>
          <w:sz w:val="24"/>
          <w:szCs w:val="24"/>
          <w:highlight w:val="none"/>
        </w:rPr>
      </w:pPr>
      <w:r>
        <w:rPr>
          <w:rFonts w:hint="eastAsia" w:ascii="宋体" w:hAnsi="宋体"/>
          <w:b w:val="0"/>
          <w:bCs/>
          <w:color w:val="auto"/>
          <w:kern w:val="0"/>
          <w:sz w:val="24"/>
          <w:szCs w:val="24"/>
          <w:highlight w:val="none"/>
        </w:rPr>
        <w:t>中标人须在合同签订前向采购人提供其投标文件中书面承诺的支撑资料，否则采购人有权取消其中标资格。</w:t>
      </w:r>
    </w:p>
    <w:p w14:paraId="0B1464DF">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0367625D">
      <w:pPr>
        <w:pStyle w:val="3"/>
        <w:ind w:firstLine="216"/>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p>
    <w:p w14:paraId="3CBEE5C8">
      <w:pPr>
        <w:rPr>
          <w:rFonts w:hint="eastAsia" w:ascii="黑体" w:hAnsi="宋体" w:eastAsia="黑体" w:cs="黑体"/>
          <w:color w:val="auto"/>
          <w:sz w:val="44"/>
          <w:szCs w:val="44"/>
          <w:highlight w:val="none"/>
        </w:rPr>
      </w:pPr>
    </w:p>
    <w:p w14:paraId="2575CF64">
      <w:pPr>
        <w:pStyle w:val="6"/>
        <w:rPr>
          <w:rFonts w:hint="eastAsia" w:ascii="黑体" w:hAnsi="宋体" w:eastAsia="黑体" w:cs="黑体"/>
          <w:color w:val="auto"/>
          <w:sz w:val="44"/>
          <w:szCs w:val="44"/>
          <w:highlight w:val="none"/>
        </w:rPr>
      </w:pPr>
    </w:p>
    <w:p w14:paraId="411EACD0">
      <w:pPr>
        <w:pStyle w:val="7"/>
        <w:rPr>
          <w:rFonts w:hint="eastAsia" w:ascii="黑体" w:hAnsi="宋体" w:eastAsia="黑体" w:cs="黑体"/>
          <w:color w:val="auto"/>
          <w:sz w:val="44"/>
          <w:szCs w:val="44"/>
          <w:highlight w:val="none"/>
        </w:rPr>
      </w:pPr>
    </w:p>
    <w:p w14:paraId="5987A00E">
      <w:pPr>
        <w:pStyle w:val="7"/>
        <w:rPr>
          <w:rFonts w:hint="eastAsia" w:ascii="黑体" w:hAnsi="宋体" w:eastAsia="黑体" w:cs="黑体"/>
          <w:color w:val="auto"/>
          <w:sz w:val="44"/>
          <w:szCs w:val="44"/>
          <w:highlight w:val="none"/>
        </w:rPr>
      </w:pPr>
    </w:p>
    <w:p w14:paraId="062580D0">
      <w:pPr>
        <w:pStyle w:val="7"/>
        <w:rPr>
          <w:rFonts w:hint="eastAsia" w:ascii="黑体" w:hAnsi="宋体" w:eastAsia="黑体" w:cs="黑体"/>
          <w:color w:val="auto"/>
          <w:sz w:val="44"/>
          <w:szCs w:val="44"/>
          <w:highlight w:val="none"/>
        </w:rPr>
      </w:pPr>
    </w:p>
    <w:p w14:paraId="3FD02587">
      <w:pPr>
        <w:pStyle w:val="7"/>
        <w:rPr>
          <w:rFonts w:hint="eastAsia" w:ascii="黑体" w:hAnsi="宋体" w:eastAsia="黑体" w:cs="黑体"/>
          <w:color w:val="auto"/>
          <w:sz w:val="44"/>
          <w:szCs w:val="44"/>
          <w:highlight w:val="none"/>
        </w:rPr>
      </w:pPr>
    </w:p>
    <w:p w14:paraId="4C478801">
      <w:pPr>
        <w:pStyle w:val="7"/>
        <w:rPr>
          <w:rFonts w:hint="eastAsia" w:ascii="黑体" w:hAnsi="宋体" w:eastAsia="黑体" w:cs="黑体"/>
          <w:color w:val="auto"/>
          <w:sz w:val="44"/>
          <w:szCs w:val="44"/>
          <w:highlight w:val="none"/>
        </w:rPr>
      </w:pPr>
    </w:p>
    <w:p w14:paraId="1E088851">
      <w:pPr>
        <w:pStyle w:val="7"/>
        <w:rPr>
          <w:rFonts w:hint="eastAsia" w:ascii="黑体" w:hAnsi="宋体" w:eastAsia="黑体" w:cs="黑体"/>
          <w:color w:val="auto"/>
          <w:sz w:val="44"/>
          <w:szCs w:val="44"/>
          <w:highlight w:val="none"/>
        </w:rPr>
      </w:pPr>
    </w:p>
    <w:p w14:paraId="14335F36">
      <w:pPr>
        <w:pStyle w:val="7"/>
        <w:rPr>
          <w:rFonts w:hint="eastAsia" w:ascii="黑体" w:hAnsi="宋体" w:eastAsia="黑体" w:cs="黑体"/>
          <w:color w:val="auto"/>
          <w:sz w:val="44"/>
          <w:szCs w:val="44"/>
          <w:highlight w:val="none"/>
        </w:rPr>
      </w:pPr>
    </w:p>
    <w:p w14:paraId="62F86DDF">
      <w:pPr>
        <w:pStyle w:val="7"/>
        <w:rPr>
          <w:rFonts w:hint="eastAsia" w:ascii="黑体" w:hAnsi="宋体" w:eastAsia="黑体" w:cs="黑体"/>
          <w:color w:val="auto"/>
          <w:sz w:val="44"/>
          <w:szCs w:val="44"/>
          <w:highlight w:val="none"/>
        </w:rPr>
      </w:pPr>
    </w:p>
    <w:p w14:paraId="2BF28633">
      <w:pPr>
        <w:pStyle w:val="7"/>
        <w:rPr>
          <w:rFonts w:hint="eastAsia" w:ascii="黑体" w:hAnsi="宋体" w:eastAsia="黑体" w:cs="黑体"/>
          <w:color w:val="auto"/>
          <w:sz w:val="44"/>
          <w:szCs w:val="44"/>
          <w:highlight w:val="none"/>
        </w:rPr>
      </w:pPr>
    </w:p>
    <w:p w14:paraId="727876E3">
      <w:pPr>
        <w:pStyle w:val="7"/>
        <w:rPr>
          <w:rFonts w:hint="eastAsia" w:ascii="黑体" w:hAnsi="宋体" w:eastAsia="黑体" w:cs="黑体"/>
          <w:color w:val="auto"/>
          <w:sz w:val="44"/>
          <w:szCs w:val="44"/>
          <w:highlight w:val="none"/>
        </w:rPr>
      </w:pPr>
    </w:p>
    <w:p w14:paraId="487AC055">
      <w:pPr>
        <w:pStyle w:val="7"/>
        <w:rPr>
          <w:rFonts w:hint="eastAsia" w:ascii="黑体" w:hAnsi="宋体" w:eastAsia="黑体" w:cs="黑体"/>
          <w:color w:val="auto"/>
          <w:sz w:val="44"/>
          <w:szCs w:val="44"/>
          <w:highlight w:val="none"/>
        </w:rPr>
      </w:pPr>
    </w:p>
    <w:p w14:paraId="04F72591">
      <w:pPr>
        <w:pStyle w:val="7"/>
        <w:rPr>
          <w:rFonts w:hint="eastAsia" w:ascii="黑体" w:hAnsi="宋体" w:eastAsia="黑体" w:cs="黑体"/>
          <w:color w:val="auto"/>
          <w:sz w:val="44"/>
          <w:szCs w:val="44"/>
          <w:highlight w:val="none"/>
        </w:rPr>
      </w:pPr>
    </w:p>
    <w:p w14:paraId="45449374">
      <w:pPr>
        <w:pStyle w:val="7"/>
        <w:rPr>
          <w:rFonts w:hint="eastAsia" w:ascii="黑体" w:hAnsi="宋体" w:eastAsia="黑体" w:cs="黑体"/>
          <w:color w:val="auto"/>
          <w:sz w:val="44"/>
          <w:szCs w:val="44"/>
          <w:highlight w:val="none"/>
        </w:rPr>
      </w:pPr>
    </w:p>
    <w:p w14:paraId="105E93E2">
      <w:pPr>
        <w:pStyle w:val="7"/>
        <w:rPr>
          <w:rFonts w:hint="eastAsia" w:ascii="黑体" w:hAnsi="宋体" w:eastAsia="黑体" w:cs="黑体"/>
          <w:color w:val="auto"/>
          <w:sz w:val="44"/>
          <w:szCs w:val="44"/>
          <w:highlight w:val="none"/>
        </w:rPr>
      </w:pPr>
    </w:p>
    <w:p w14:paraId="19D11521">
      <w:pPr>
        <w:pStyle w:val="7"/>
        <w:rPr>
          <w:rFonts w:hint="eastAsia" w:ascii="黑体" w:hAnsi="宋体" w:eastAsia="黑体" w:cs="黑体"/>
          <w:color w:val="auto"/>
          <w:sz w:val="44"/>
          <w:szCs w:val="44"/>
          <w:highlight w:val="none"/>
        </w:rPr>
      </w:pPr>
    </w:p>
    <w:p w14:paraId="38E92FB2">
      <w:pPr>
        <w:pStyle w:val="7"/>
        <w:rPr>
          <w:rFonts w:hint="eastAsia" w:ascii="黑体" w:hAnsi="宋体" w:eastAsia="黑体" w:cs="黑体"/>
          <w:color w:val="auto"/>
          <w:sz w:val="44"/>
          <w:szCs w:val="44"/>
          <w:highlight w:val="none"/>
        </w:rPr>
      </w:pPr>
    </w:p>
    <w:p w14:paraId="510C73AA">
      <w:pPr>
        <w:pStyle w:val="7"/>
        <w:rPr>
          <w:rFonts w:hint="eastAsia" w:ascii="黑体" w:hAnsi="宋体" w:eastAsia="黑体" w:cs="黑体"/>
          <w:color w:val="auto"/>
          <w:sz w:val="44"/>
          <w:szCs w:val="44"/>
          <w:highlight w:val="none"/>
        </w:rPr>
      </w:pPr>
    </w:p>
    <w:p w14:paraId="4A005780">
      <w:pPr>
        <w:pStyle w:val="7"/>
        <w:rPr>
          <w:rFonts w:hint="eastAsia" w:ascii="黑体" w:hAnsi="宋体" w:eastAsia="黑体" w:cs="黑体"/>
          <w:color w:val="auto"/>
          <w:sz w:val="44"/>
          <w:szCs w:val="44"/>
          <w:highlight w:val="none"/>
        </w:rPr>
      </w:pPr>
    </w:p>
    <w:p w14:paraId="0B1A27A8">
      <w:pPr>
        <w:pStyle w:val="11"/>
        <w:spacing w:beforeAutospacing="0" w:afterAutospacing="0"/>
        <w:jc w:val="center"/>
        <w:rPr>
          <w:color w:val="auto"/>
          <w:highlight w:val="none"/>
        </w:rPr>
      </w:pPr>
      <w:bookmarkStart w:id="172" w:name="_Toc120614282"/>
      <w:bookmarkEnd w:id="172"/>
      <w:bookmarkStart w:id="173" w:name="_Toc49090576"/>
      <w:bookmarkEnd w:id="173"/>
      <w:bookmarkStart w:id="174" w:name="_Hlt26955039"/>
      <w:bookmarkStart w:id="175" w:name="_Hlt26671244"/>
      <w:bookmarkStart w:id="176" w:name="_Toc26554094"/>
      <w:r>
        <w:rPr>
          <w:rFonts w:hint="eastAsia" w:ascii="宋体" w:hAnsi="宋体" w:eastAsia="宋体" w:cs="宋体"/>
          <w:b/>
          <w:color w:val="auto"/>
          <w:sz w:val="72"/>
          <w:szCs w:val="72"/>
          <w:highlight w:val="none"/>
        </w:rPr>
        <w:t>投  标  文  件</w:t>
      </w:r>
    </w:p>
    <w:p w14:paraId="6F7385F4">
      <w:pPr>
        <w:pStyle w:val="11"/>
        <w:spacing w:beforeAutospacing="0" w:afterAutospacing="0"/>
        <w:jc w:val="center"/>
        <w:rPr>
          <w:color w:val="auto"/>
          <w:highlight w:val="none"/>
        </w:rPr>
      </w:pPr>
      <w:r>
        <w:rPr>
          <w:color w:val="auto"/>
          <w:highlight w:val="none"/>
        </w:rPr>
        <w:t> </w:t>
      </w:r>
    </w:p>
    <w:p w14:paraId="116EE8BE">
      <w:pPr>
        <w:pStyle w:val="11"/>
        <w:spacing w:beforeAutospacing="0" w:afterAutospacing="0"/>
        <w:jc w:val="center"/>
        <w:rPr>
          <w:color w:val="auto"/>
          <w:highlight w:val="none"/>
        </w:rPr>
      </w:pPr>
      <w:r>
        <w:rPr>
          <w:color w:val="auto"/>
          <w:highlight w:val="none"/>
        </w:rPr>
        <w:t> </w:t>
      </w:r>
    </w:p>
    <w:p w14:paraId="1689E381">
      <w:pPr>
        <w:pStyle w:val="11"/>
        <w:spacing w:beforeAutospacing="0" w:afterAutospacing="0"/>
        <w:jc w:val="center"/>
        <w:rPr>
          <w:color w:val="auto"/>
          <w:highlight w:val="none"/>
        </w:rPr>
      </w:pPr>
      <w:r>
        <w:rPr>
          <w:color w:val="auto"/>
          <w:highlight w:val="none"/>
        </w:rPr>
        <w:t> </w:t>
      </w:r>
    </w:p>
    <w:p w14:paraId="1172103B">
      <w:pPr>
        <w:pStyle w:val="11"/>
        <w:spacing w:beforeAutospacing="0" w:afterAutospacing="0"/>
        <w:jc w:val="center"/>
        <w:rPr>
          <w:color w:val="auto"/>
          <w:highlight w:val="none"/>
        </w:rPr>
      </w:pPr>
      <w:r>
        <w:rPr>
          <w:color w:val="auto"/>
          <w:highlight w:val="none"/>
        </w:rPr>
        <w:t> </w:t>
      </w:r>
    </w:p>
    <w:p w14:paraId="773BE420">
      <w:pPr>
        <w:pStyle w:val="11"/>
        <w:spacing w:beforeAutospacing="0" w:afterAutospacing="0"/>
        <w:jc w:val="center"/>
        <w:rPr>
          <w:color w:val="auto"/>
          <w:highlight w:val="none"/>
        </w:rPr>
      </w:pPr>
      <w:r>
        <w:rPr>
          <w:color w:val="auto"/>
          <w:highlight w:val="none"/>
        </w:rPr>
        <w:t> </w:t>
      </w:r>
    </w:p>
    <w:p w14:paraId="0D9C9B44">
      <w:pPr>
        <w:pStyle w:val="11"/>
        <w:keepNext w:val="0"/>
        <w:keepLines w:val="0"/>
        <w:pageBreakBefore w:val="0"/>
        <w:widowControl w:val="0"/>
        <w:kinsoku/>
        <w:wordWrap/>
        <w:overflowPunct/>
        <w:topLinePunct w:val="0"/>
        <w:autoSpaceDE/>
        <w:autoSpaceDN/>
        <w:bidi w:val="0"/>
        <w:adjustRightInd/>
        <w:snapToGrid/>
        <w:spacing w:beforeAutospacing="0" w:afterAutospacing="0" w:line="780" w:lineRule="exact"/>
        <w:ind w:firstLine="1084"/>
        <w:jc w:val="both"/>
        <w:textAlignment w:val="auto"/>
        <w:rPr>
          <w:rFonts w:hint="default" w:eastAsia="宋体"/>
          <w:color w:val="auto"/>
          <w:highlight w:val="none"/>
          <w:lang w:val="en-US" w:eastAsia="zh-CN"/>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4C9C4B28">
      <w:pPr>
        <w:pStyle w:val="11"/>
        <w:keepNext w:val="0"/>
        <w:keepLines w:val="0"/>
        <w:pageBreakBefore w:val="0"/>
        <w:widowControl w:val="0"/>
        <w:kinsoku/>
        <w:wordWrap/>
        <w:overflowPunct/>
        <w:topLinePunct w:val="0"/>
        <w:autoSpaceDE/>
        <w:autoSpaceDN/>
        <w:bidi w:val="0"/>
        <w:adjustRightInd/>
        <w:snapToGrid/>
        <w:spacing w:beforeAutospacing="0" w:afterAutospacing="0" w:line="780" w:lineRule="exact"/>
        <w:ind w:firstLine="1084"/>
        <w:jc w:val="both"/>
        <w:textAlignment w:val="auto"/>
        <w:rPr>
          <w:rFonts w:hint="default" w:eastAsia="宋体"/>
          <w:color w:val="auto"/>
          <w:highlight w:val="none"/>
          <w:lang w:val="en-US" w:eastAsia="zh-CN"/>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2B329B95">
      <w:pPr>
        <w:pStyle w:val="11"/>
        <w:keepNext w:val="0"/>
        <w:keepLines w:val="0"/>
        <w:pageBreakBefore w:val="0"/>
        <w:widowControl w:val="0"/>
        <w:kinsoku/>
        <w:wordWrap/>
        <w:overflowPunct/>
        <w:topLinePunct w:val="0"/>
        <w:autoSpaceDE/>
        <w:autoSpaceDN/>
        <w:bidi w:val="0"/>
        <w:adjustRightInd/>
        <w:snapToGrid/>
        <w:spacing w:beforeAutospacing="0" w:afterAutospacing="0" w:line="780" w:lineRule="exact"/>
        <w:jc w:val="both"/>
        <w:textAlignment w:val="auto"/>
        <w:rPr>
          <w:rFonts w:hint="default" w:eastAsia="宋体"/>
          <w:color w:val="auto"/>
          <w:highlight w:val="none"/>
          <w:lang w:val="en-US" w:eastAsia="zh-CN"/>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1E760D54">
      <w:pPr>
        <w:pStyle w:val="11"/>
        <w:keepNext w:val="0"/>
        <w:keepLines w:val="0"/>
        <w:pageBreakBefore w:val="0"/>
        <w:widowControl w:val="0"/>
        <w:kinsoku/>
        <w:wordWrap/>
        <w:overflowPunct/>
        <w:topLinePunct w:val="0"/>
        <w:autoSpaceDE/>
        <w:autoSpaceDN/>
        <w:bidi w:val="0"/>
        <w:adjustRightInd/>
        <w:snapToGrid/>
        <w:spacing w:beforeAutospacing="0" w:afterAutospacing="0" w:line="780" w:lineRule="exact"/>
        <w:jc w:val="both"/>
        <w:textAlignment w:val="auto"/>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307A6EE9">
      <w:pPr>
        <w:pStyle w:val="11"/>
        <w:spacing w:beforeAutospacing="0" w:afterAutospacing="0" w:line="0" w:lineRule="atLeast"/>
        <w:jc w:val="center"/>
        <w:rPr>
          <w:color w:val="auto"/>
          <w:highlight w:val="none"/>
        </w:rPr>
      </w:pPr>
    </w:p>
    <w:p w14:paraId="522BF4B7">
      <w:pPr>
        <w:pStyle w:val="11"/>
        <w:spacing w:beforeAutospacing="0" w:afterAutospacing="0" w:line="0" w:lineRule="atLeast"/>
        <w:jc w:val="center"/>
        <w:rPr>
          <w:color w:val="auto"/>
          <w:highlight w:val="none"/>
        </w:rPr>
      </w:pPr>
    </w:p>
    <w:p w14:paraId="1D6C4EA9">
      <w:pPr>
        <w:pStyle w:val="11"/>
        <w:spacing w:beforeAutospacing="0" w:afterAutospacing="0" w:line="0" w:lineRule="atLeast"/>
        <w:jc w:val="center"/>
        <w:rPr>
          <w:color w:val="auto"/>
          <w:highlight w:val="none"/>
        </w:rPr>
      </w:pPr>
    </w:p>
    <w:p w14:paraId="3FCD9059">
      <w:pPr>
        <w:pStyle w:val="11"/>
        <w:spacing w:beforeAutospacing="0" w:afterAutospacing="0" w:line="0" w:lineRule="atLeast"/>
        <w:jc w:val="center"/>
        <w:rPr>
          <w:color w:val="auto"/>
          <w:highlight w:val="none"/>
        </w:rPr>
      </w:pPr>
    </w:p>
    <w:p w14:paraId="65EE8389">
      <w:pPr>
        <w:pStyle w:val="11"/>
        <w:spacing w:beforeAutospacing="0" w:afterAutospacing="0" w:line="0" w:lineRule="atLeast"/>
        <w:jc w:val="center"/>
        <w:rPr>
          <w:color w:val="auto"/>
          <w:highlight w:val="none"/>
        </w:rPr>
      </w:pPr>
    </w:p>
    <w:p w14:paraId="1F00DE46">
      <w:pPr>
        <w:pStyle w:val="11"/>
        <w:spacing w:beforeAutospacing="0" w:afterAutospacing="0" w:line="0" w:lineRule="atLeast"/>
        <w:jc w:val="center"/>
        <w:rPr>
          <w:color w:val="auto"/>
          <w:highlight w:val="none"/>
        </w:rPr>
      </w:pPr>
    </w:p>
    <w:p w14:paraId="1FFCB483">
      <w:pPr>
        <w:pStyle w:val="11"/>
        <w:spacing w:beforeAutospacing="0" w:afterAutospacing="0" w:line="0" w:lineRule="atLeast"/>
        <w:jc w:val="center"/>
        <w:rPr>
          <w:color w:val="auto"/>
          <w:highlight w:val="none"/>
        </w:rPr>
      </w:pPr>
    </w:p>
    <w:p w14:paraId="69C2000F">
      <w:pPr>
        <w:pStyle w:val="11"/>
        <w:spacing w:beforeAutospacing="0" w:afterAutospacing="0" w:line="0" w:lineRule="atLeast"/>
        <w:jc w:val="center"/>
        <w:rPr>
          <w:color w:val="auto"/>
          <w:highlight w:val="none"/>
        </w:rPr>
      </w:pPr>
    </w:p>
    <w:p w14:paraId="7E4BDA90">
      <w:pPr>
        <w:pStyle w:val="11"/>
        <w:spacing w:beforeAutospacing="0" w:afterAutospacing="0" w:line="0" w:lineRule="atLeast"/>
        <w:jc w:val="center"/>
        <w:rPr>
          <w:color w:val="auto"/>
          <w:highlight w:val="none"/>
        </w:rPr>
      </w:pPr>
    </w:p>
    <w:p w14:paraId="50411275">
      <w:pPr>
        <w:pStyle w:val="11"/>
        <w:spacing w:beforeAutospacing="0" w:afterAutospacing="0" w:line="0" w:lineRule="atLeast"/>
        <w:jc w:val="center"/>
        <w:rPr>
          <w:color w:val="auto"/>
          <w:highlight w:val="none"/>
        </w:rPr>
      </w:pPr>
    </w:p>
    <w:p w14:paraId="35984E94">
      <w:pPr>
        <w:pStyle w:val="11"/>
        <w:spacing w:beforeAutospacing="0" w:afterAutospacing="0" w:line="0" w:lineRule="atLeast"/>
        <w:jc w:val="center"/>
        <w:rPr>
          <w:color w:val="auto"/>
          <w:highlight w:val="none"/>
        </w:rPr>
      </w:pPr>
    </w:p>
    <w:p w14:paraId="0EA21101">
      <w:pPr>
        <w:pStyle w:val="11"/>
        <w:spacing w:beforeAutospacing="0" w:afterAutospacing="0" w:line="0" w:lineRule="atLeast"/>
        <w:jc w:val="center"/>
        <w:rPr>
          <w:color w:val="auto"/>
          <w:highlight w:val="none"/>
        </w:rPr>
      </w:pPr>
    </w:p>
    <w:p w14:paraId="598F55FA">
      <w:pPr>
        <w:pStyle w:val="11"/>
        <w:spacing w:beforeAutospacing="0" w:afterAutospacing="0" w:line="0" w:lineRule="atLeast"/>
        <w:jc w:val="center"/>
        <w:rPr>
          <w:color w:val="auto"/>
          <w:highlight w:val="none"/>
        </w:rPr>
      </w:pPr>
    </w:p>
    <w:p w14:paraId="5694C6B0">
      <w:pPr>
        <w:pStyle w:val="11"/>
        <w:spacing w:beforeAutospacing="0" w:afterAutospacing="0" w:line="0" w:lineRule="atLeast"/>
        <w:jc w:val="center"/>
        <w:rPr>
          <w:color w:val="auto"/>
          <w:highlight w:val="none"/>
        </w:rPr>
      </w:pPr>
    </w:p>
    <w:p w14:paraId="014757FE">
      <w:pPr>
        <w:pStyle w:val="11"/>
        <w:spacing w:beforeAutospacing="0" w:afterAutospacing="0" w:line="0" w:lineRule="atLeast"/>
        <w:jc w:val="center"/>
        <w:rPr>
          <w:color w:val="auto"/>
          <w:highlight w:val="none"/>
        </w:rPr>
      </w:pPr>
    </w:p>
    <w:p w14:paraId="557FDC97">
      <w:pPr>
        <w:pStyle w:val="11"/>
        <w:spacing w:beforeAutospacing="0" w:afterAutospacing="0" w:line="0" w:lineRule="atLeast"/>
        <w:jc w:val="center"/>
        <w:rPr>
          <w:color w:val="auto"/>
          <w:highlight w:val="none"/>
        </w:rPr>
      </w:pPr>
    </w:p>
    <w:p w14:paraId="77D2DCD6">
      <w:pPr>
        <w:pStyle w:val="11"/>
        <w:spacing w:beforeAutospacing="0" w:afterAutospacing="0" w:line="0" w:lineRule="atLeast"/>
        <w:jc w:val="center"/>
        <w:rPr>
          <w:color w:val="auto"/>
          <w:highlight w:val="none"/>
        </w:rPr>
      </w:pPr>
    </w:p>
    <w:p w14:paraId="6C7F995A">
      <w:pPr>
        <w:pStyle w:val="11"/>
        <w:spacing w:beforeAutospacing="0" w:afterAutospacing="0" w:line="0" w:lineRule="atLeast"/>
        <w:jc w:val="center"/>
        <w:rPr>
          <w:color w:val="auto"/>
          <w:highlight w:val="none"/>
        </w:rPr>
      </w:pPr>
    </w:p>
    <w:p w14:paraId="1B5D24F9">
      <w:pPr>
        <w:pStyle w:val="11"/>
        <w:spacing w:beforeAutospacing="0" w:afterAutospacing="0" w:line="0" w:lineRule="atLeast"/>
        <w:jc w:val="center"/>
        <w:rPr>
          <w:color w:val="auto"/>
          <w:highlight w:val="none"/>
        </w:rPr>
      </w:pPr>
    </w:p>
    <w:p w14:paraId="5E66756A">
      <w:pPr>
        <w:pStyle w:val="11"/>
        <w:spacing w:beforeAutospacing="0" w:afterAutospacing="0" w:line="0" w:lineRule="atLeast"/>
        <w:jc w:val="center"/>
        <w:rPr>
          <w:color w:val="auto"/>
          <w:highlight w:val="none"/>
        </w:rPr>
      </w:pPr>
    </w:p>
    <w:p w14:paraId="28E7D65B">
      <w:pPr>
        <w:pStyle w:val="11"/>
        <w:spacing w:beforeAutospacing="0" w:afterAutospacing="0" w:line="0" w:lineRule="atLeast"/>
        <w:jc w:val="center"/>
        <w:rPr>
          <w:color w:val="auto"/>
          <w:highlight w:val="none"/>
        </w:rPr>
      </w:pPr>
    </w:p>
    <w:p w14:paraId="4257AF04">
      <w:pPr>
        <w:pStyle w:val="11"/>
        <w:spacing w:beforeAutospacing="0" w:afterAutospacing="0" w:line="0" w:lineRule="atLeast"/>
        <w:jc w:val="center"/>
        <w:rPr>
          <w:color w:val="auto"/>
          <w:highlight w:val="none"/>
        </w:rPr>
      </w:pPr>
    </w:p>
    <w:p w14:paraId="00C82BB9">
      <w:pPr>
        <w:pStyle w:val="11"/>
        <w:spacing w:beforeAutospacing="0" w:afterAutospacing="0" w:line="0" w:lineRule="atLeast"/>
        <w:jc w:val="center"/>
        <w:rPr>
          <w:color w:val="auto"/>
          <w:highlight w:val="none"/>
        </w:rPr>
      </w:pPr>
    </w:p>
    <w:p w14:paraId="11655BD1">
      <w:pPr>
        <w:pStyle w:val="11"/>
        <w:spacing w:beforeAutospacing="0" w:afterAutospacing="0" w:line="0" w:lineRule="atLeast"/>
        <w:jc w:val="center"/>
        <w:rPr>
          <w:color w:val="auto"/>
          <w:highlight w:val="none"/>
        </w:rPr>
      </w:pPr>
    </w:p>
    <w:p w14:paraId="5F9B54D1">
      <w:pPr>
        <w:pStyle w:val="11"/>
        <w:spacing w:beforeAutospacing="0" w:afterAutospacing="0" w:line="0" w:lineRule="atLeast"/>
        <w:jc w:val="center"/>
        <w:rPr>
          <w:color w:val="auto"/>
          <w:highlight w:val="none"/>
        </w:rPr>
      </w:pPr>
    </w:p>
    <w:p w14:paraId="33439636">
      <w:pPr>
        <w:pStyle w:val="11"/>
        <w:spacing w:beforeAutospacing="0" w:afterAutospacing="0" w:line="0" w:lineRule="atLeast"/>
        <w:jc w:val="center"/>
        <w:rPr>
          <w:color w:val="auto"/>
          <w:highlight w:val="none"/>
        </w:rPr>
      </w:pPr>
    </w:p>
    <w:p w14:paraId="0DC7683E">
      <w:pPr>
        <w:pStyle w:val="11"/>
        <w:spacing w:beforeAutospacing="0" w:afterAutospacing="0" w:line="0" w:lineRule="atLeast"/>
        <w:jc w:val="center"/>
        <w:rPr>
          <w:color w:val="auto"/>
          <w:highlight w:val="none"/>
        </w:rPr>
      </w:pPr>
    </w:p>
    <w:p w14:paraId="2D890F00">
      <w:pPr>
        <w:pStyle w:val="11"/>
        <w:spacing w:beforeAutospacing="0" w:afterAutospacing="0" w:line="0" w:lineRule="atLeast"/>
        <w:jc w:val="center"/>
        <w:rPr>
          <w:color w:val="auto"/>
          <w:highlight w:val="none"/>
        </w:rPr>
      </w:pPr>
    </w:p>
    <w:p w14:paraId="2AF7236C">
      <w:pPr>
        <w:pStyle w:val="11"/>
        <w:spacing w:beforeAutospacing="0" w:afterAutospacing="0" w:line="0" w:lineRule="atLeast"/>
        <w:jc w:val="both"/>
        <w:rPr>
          <w:color w:val="auto"/>
          <w:highlight w:val="none"/>
        </w:rPr>
      </w:pPr>
      <w:r>
        <w:rPr>
          <w:color w:val="auto"/>
          <w:highlight w:val="none"/>
        </w:rPr>
        <w:t> </w:t>
      </w:r>
    </w:p>
    <w:p w14:paraId="659BF965">
      <w:pPr>
        <w:pStyle w:val="11"/>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0D494503">
      <w:pPr>
        <w:pStyle w:val="11"/>
        <w:spacing w:beforeAutospacing="0" w:afterAutospacing="0" w:line="0" w:lineRule="atLeast"/>
        <w:jc w:val="center"/>
        <w:rPr>
          <w:color w:val="auto"/>
          <w:highlight w:val="none"/>
        </w:rPr>
      </w:pPr>
      <w:r>
        <w:rPr>
          <w:color w:val="auto"/>
          <w:highlight w:val="none"/>
        </w:rPr>
        <w:t> </w:t>
      </w:r>
    </w:p>
    <w:p w14:paraId="2DD541B5">
      <w:pPr>
        <w:pStyle w:val="11"/>
        <w:keepNext w:val="0"/>
        <w:keepLines w:val="0"/>
        <w:pageBreakBefore w:val="0"/>
        <w:kinsoku/>
        <w:wordWrap/>
        <w:overflowPunct/>
        <w:topLinePunct w:val="0"/>
        <w:autoSpaceDE/>
        <w:autoSpaceDN/>
        <w:bidi w:val="0"/>
        <w:adjustRightInd/>
        <w:snapToGrid/>
        <w:spacing w:beforeAutospacing="0" w:afterAutospacing="0" w:line="560" w:lineRule="exact"/>
        <w:ind w:left="480"/>
        <w:jc w:val="both"/>
        <w:textAlignment w:val="auto"/>
        <w:rPr>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47C0EAF7">
      <w:pPr>
        <w:keepNext w:val="0"/>
        <w:keepLines w:val="0"/>
        <w:pageBreakBefore w:val="0"/>
        <w:tabs>
          <w:tab w:val="left" w:pos="1331"/>
        </w:tabs>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二、上一年度的财务状况报告（至少提供资产负债表、利润表、现金流量表，</w:t>
      </w:r>
    </w:p>
    <w:p w14:paraId="3C361A66">
      <w:pPr>
        <w:pStyle w:val="11"/>
        <w:keepNext w:val="0"/>
        <w:keepLines w:val="0"/>
        <w:pageBreakBefore w:val="0"/>
        <w:kinsoku/>
        <w:wordWrap/>
        <w:overflowPunct/>
        <w:topLinePunct w:val="0"/>
        <w:autoSpaceDE/>
        <w:autoSpaceDN/>
        <w:bidi w:val="0"/>
        <w:adjustRightInd/>
        <w:snapToGrid/>
        <w:spacing w:beforeAutospacing="0" w:afterAutospacing="0" w:line="560" w:lineRule="exact"/>
        <w:ind w:left="480"/>
        <w:jc w:val="both"/>
        <w:textAlignment w:val="auto"/>
        <w:rPr>
          <w:i w:val="0"/>
          <w:iCs/>
          <w:color w:val="auto"/>
          <w:highlight w:val="none"/>
          <w:u w:val="none"/>
        </w:rPr>
      </w:pPr>
      <w:r>
        <w:rPr>
          <w:rFonts w:hint="eastAsia" w:ascii="宋体" w:hAnsi="宋体" w:eastAsia="宋体" w:cs="宋体"/>
          <w:i w:val="0"/>
          <w:iCs/>
          <w:color w:val="auto"/>
          <w:highlight w:val="none"/>
          <w:u w:val="none"/>
        </w:rPr>
        <w:t>投标人成立不满一年无需提供）</w:t>
      </w:r>
    </w:p>
    <w:p w14:paraId="3629C146">
      <w:pPr>
        <w:pStyle w:val="11"/>
        <w:keepNext w:val="0"/>
        <w:keepLines w:val="0"/>
        <w:pageBreakBefore w:val="0"/>
        <w:kinsoku/>
        <w:wordWrap/>
        <w:overflowPunct/>
        <w:topLinePunct w:val="0"/>
        <w:autoSpaceDE/>
        <w:autoSpaceDN/>
        <w:bidi w:val="0"/>
        <w:adjustRightInd/>
        <w:snapToGrid/>
        <w:spacing w:beforeAutospacing="0" w:afterAutospacing="0" w:line="56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45838A78">
      <w:pPr>
        <w:pStyle w:val="11"/>
        <w:keepNext w:val="0"/>
        <w:keepLines w:val="0"/>
        <w:pageBreakBefore w:val="0"/>
        <w:kinsoku/>
        <w:wordWrap/>
        <w:overflowPunct/>
        <w:topLinePunct w:val="0"/>
        <w:autoSpaceDE/>
        <w:autoSpaceDN/>
        <w:bidi w:val="0"/>
        <w:adjustRightInd/>
        <w:snapToGrid/>
        <w:spacing w:beforeAutospacing="0" w:afterAutospacing="0" w:line="56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01D8E114">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57BC2220">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七、法人授权书</w:t>
      </w:r>
    </w:p>
    <w:p w14:paraId="0FD35EF1">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八、投标函</w:t>
      </w:r>
    </w:p>
    <w:p w14:paraId="62AB6C8F">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60ADE039">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17BA7854">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29DB9556">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、联合体协议</w:t>
      </w:r>
      <w:r>
        <w:rPr>
          <w:rFonts w:hint="eastAsia" w:ascii="宋体" w:hAnsi="宋体" w:eastAsia="宋体" w:cs="宋体"/>
          <w:i w:val="0"/>
          <w:iCs/>
          <w:color w:val="auto"/>
          <w:highlight w:val="none"/>
          <w:u w:val="none"/>
          <w:lang w:eastAsia="zh-CN"/>
        </w:rPr>
        <w:t>（</w:t>
      </w:r>
      <w:r>
        <w:rPr>
          <w:rFonts w:hint="eastAsia" w:ascii="宋体" w:hAnsi="宋体" w:eastAsia="宋体" w:cs="宋体"/>
          <w:i w:val="0"/>
          <w:iCs/>
          <w:color w:val="auto"/>
          <w:highlight w:val="none"/>
          <w:u w:val="none"/>
          <w:lang w:val="en-US" w:eastAsia="zh-CN"/>
        </w:rPr>
        <w:t>如有</w:t>
      </w:r>
      <w:r>
        <w:rPr>
          <w:rFonts w:hint="eastAsia" w:ascii="宋体" w:hAnsi="宋体" w:eastAsia="宋体" w:cs="宋体"/>
          <w:i w:val="0"/>
          <w:iCs/>
          <w:color w:val="auto"/>
          <w:highlight w:val="none"/>
          <w:u w:val="none"/>
          <w:lang w:eastAsia="zh-CN"/>
        </w:rPr>
        <w:t>）</w:t>
      </w:r>
    </w:p>
    <w:p w14:paraId="5987F8F5">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十三、投标分项报价表</w:t>
      </w:r>
    </w:p>
    <w:p w14:paraId="76B6F922">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、技术要求响应及偏离表</w:t>
      </w:r>
    </w:p>
    <w:p w14:paraId="7FA5AC6A">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五</w:t>
      </w:r>
      <w:r>
        <w:rPr>
          <w:rFonts w:hint="eastAsia" w:ascii="宋体" w:hAnsi="宋体" w:eastAsia="宋体" w:cs="宋体"/>
          <w:i w:val="0"/>
          <w:iCs/>
          <w:color w:val="auto"/>
          <w:highlight w:val="none"/>
          <w:u w:val="none"/>
        </w:rPr>
        <w:t>、商务要求响应及偏离表</w:t>
      </w:r>
    </w:p>
    <w:p w14:paraId="099B3743">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、开标一览表</w:t>
      </w:r>
    </w:p>
    <w:p w14:paraId="1988DFAF">
      <w:pPr>
        <w:keepNext w:val="0"/>
        <w:keepLines w:val="0"/>
        <w:pageBreakBefore w:val="0"/>
        <w:widowControl/>
        <w:kinsoku/>
        <w:wordWrap/>
        <w:overflowPunct/>
        <w:topLinePunct w:val="0"/>
        <w:autoSpaceDE/>
        <w:autoSpaceDN/>
        <w:bidi w:val="0"/>
        <w:adjustRightInd/>
        <w:snapToGrid/>
        <w:spacing w:before="50" w:after="50" w:line="560" w:lineRule="exact"/>
        <w:ind w:firstLine="480" w:firstLineChars="200"/>
        <w:textAlignment w:val="auto"/>
        <w:rPr>
          <w:rFonts w:ascii="宋体" w:hAnsi="宋体" w:eastAsia="宋体" w:cs="宋体"/>
          <w:i w:val="0"/>
          <w:iCs/>
          <w:color w:val="auto"/>
          <w:kern w:val="0"/>
          <w:sz w:val="24"/>
          <w:highlight w:val="none"/>
          <w:u w:val="none"/>
        </w:rPr>
      </w:pPr>
      <w:r>
        <w:rPr>
          <w:rFonts w:hint="eastAsia" w:ascii="宋体" w:hAnsi="宋体" w:eastAsia="宋体" w:cs="宋体"/>
          <w:i w:val="0"/>
          <w:iCs/>
          <w:color w:val="auto"/>
          <w:kern w:val="0"/>
          <w:sz w:val="24"/>
          <w:highlight w:val="none"/>
          <w:u w:val="none"/>
        </w:rPr>
        <w:t>十</w:t>
      </w:r>
      <w:r>
        <w:rPr>
          <w:rFonts w:hint="eastAsia" w:ascii="宋体" w:hAnsi="宋体" w:eastAsia="宋体" w:cs="宋体"/>
          <w:i w:val="0"/>
          <w:iCs/>
          <w:color w:val="auto"/>
          <w:kern w:val="0"/>
          <w:sz w:val="24"/>
          <w:highlight w:val="none"/>
          <w:u w:val="none"/>
          <w:lang w:val="en-US" w:eastAsia="zh-CN"/>
        </w:rPr>
        <w:t>七</w:t>
      </w:r>
      <w:r>
        <w:rPr>
          <w:rFonts w:hint="eastAsia" w:ascii="宋体" w:hAnsi="宋体" w:eastAsia="宋体" w:cs="宋体"/>
          <w:i w:val="0"/>
          <w:iCs/>
          <w:color w:val="auto"/>
          <w:kern w:val="0"/>
          <w:sz w:val="24"/>
          <w:highlight w:val="none"/>
          <w:u w:val="none"/>
        </w:rPr>
        <w:t>、技术方案、服务承诺、培训承诺等</w:t>
      </w:r>
    </w:p>
    <w:p w14:paraId="3F7B4795">
      <w:pPr>
        <w:pStyle w:val="11"/>
        <w:keepNext w:val="0"/>
        <w:keepLines w:val="0"/>
        <w:pageBreakBefore w:val="0"/>
        <w:kinsoku/>
        <w:wordWrap/>
        <w:overflowPunct/>
        <w:topLinePunct w:val="0"/>
        <w:autoSpaceDE/>
        <w:autoSpaceDN/>
        <w:bidi w:val="0"/>
        <w:adjustRightInd/>
        <w:snapToGrid/>
        <w:spacing w:beforeAutospacing="0" w:afterAutospacing="0" w:line="56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八</w:t>
      </w:r>
      <w:r>
        <w:rPr>
          <w:rFonts w:hint="eastAsia" w:ascii="宋体" w:hAnsi="宋体" w:eastAsia="宋体" w:cs="宋体"/>
          <w:i w:val="0"/>
          <w:iCs/>
          <w:color w:val="auto"/>
          <w:highlight w:val="none"/>
          <w:u w:val="none"/>
        </w:rPr>
        <w:t>、盐城市政府采购事前信用承诺书</w:t>
      </w:r>
    </w:p>
    <w:p w14:paraId="626E3581">
      <w:pPr>
        <w:pStyle w:val="11"/>
        <w:spacing w:beforeAutospacing="0" w:afterAutospacing="0" w:line="0" w:lineRule="atLeast"/>
        <w:ind w:firstLine="480"/>
        <w:jc w:val="both"/>
        <w:rPr>
          <w:color w:val="auto"/>
          <w:highlight w:val="none"/>
        </w:rPr>
      </w:pPr>
      <w:r>
        <w:rPr>
          <w:color w:val="auto"/>
          <w:highlight w:val="none"/>
        </w:rPr>
        <w:t> </w:t>
      </w:r>
    </w:p>
    <w:p w14:paraId="374F5D55">
      <w:pPr>
        <w:pStyle w:val="3"/>
        <w:ind w:firstLine="216"/>
        <w:jc w:val="center"/>
        <w:rPr>
          <w:rFonts w:hint="eastAsia" w:ascii="黑体" w:hAnsi="宋体" w:eastAsia="黑体" w:cs="黑体"/>
          <w:b w:val="0"/>
          <w:bCs w:val="0"/>
          <w:i w:val="0"/>
          <w:iCs/>
          <w:color w:val="auto"/>
          <w:sz w:val="32"/>
          <w:szCs w:val="32"/>
          <w:highlight w:val="none"/>
          <w:u w:val="none"/>
          <w:lang w:val="en-US" w:eastAsia="zh-CN"/>
        </w:rPr>
      </w:pPr>
      <w:r>
        <w:rPr>
          <w:rFonts w:hint="eastAsia" w:ascii="黑体" w:hAnsi="宋体" w:eastAsia="黑体" w:cs="黑体"/>
          <w:b w:val="0"/>
          <w:bCs w:val="0"/>
          <w:i w:val="0"/>
          <w:iCs/>
          <w:color w:val="auto"/>
          <w:sz w:val="32"/>
          <w:szCs w:val="32"/>
          <w:highlight w:val="none"/>
          <w:u w:val="none"/>
          <w:lang w:val="en-US" w:eastAsia="zh-CN"/>
        </w:rPr>
        <w:t>一、法人或者其他组织的营业执照等证明文件，自然人的身份证明</w:t>
      </w:r>
    </w:p>
    <w:p w14:paraId="6915940C">
      <w:pPr>
        <w:pStyle w:val="11"/>
        <w:spacing w:beforeAutospacing="0" w:afterAutospacing="0" w:line="0" w:lineRule="atLeast"/>
        <w:ind w:firstLine="480"/>
        <w:jc w:val="both"/>
        <w:rPr>
          <w:color w:val="auto"/>
          <w:highlight w:val="none"/>
        </w:rPr>
      </w:pPr>
    </w:p>
    <w:p w14:paraId="71FFF976">
      <w:pPr>
        <w:pStyle w:val="11"/>
        <w:spacing w:beforeAutospacing="0" w:afterAutospacing="0" w:line="0" w:lineRule="atLeast"/>
        <w:ind w:firstLine="480"/>
        <w:jc w:val="both"/>
        <w:rPr>
          <w:rFonts w:hint="eastAsia"/>
          <w:color w:val="auto"/>
          <w:highlight w:val="none"/>
          <w:lang w:val="en-US" w:eastAsia="zh-CN"/>
        </w:rPr>
      </w:pPr>
      <w:r>
        <w:rPr>
          <w:color w:val="auto"/>
          <w:highlight w:val="none"/>
        </w:rPr>
        <w:t> </w:t>
      </w:r>
      <w:r>
        <w:rPr>
          <w:rFonts w:hint="eastAsia"/>
          <w:color w:val="auto"/>
          <w:highlight w:val="none"/>
          <w:lang w:val="en-US" w:eastAsia="zh-CN"/>
        </w:rPr>
        <w:t>说明：若是联合体投标，联合体成员各方均需提供。</w:t>
      </w:r>
    </w:p>
    <w:p w14:paraId="73E57370">
      <w:pPr>
        <w:pStyle w:val="11"/>
        <w:spacing w:beforeAutospacing="0" w:afterAutospacing="0" w:line="0" w:lineRule="atLeast"/>
        <w:ind w:firstLine="480"/>
        <w:jc w:val="both"/>
        <w:rPr>
          <w:rFonts w:hint="eastAsia"/>
          <w:color w:val="auto"/>
          <w:highlight w:val="none"/>
          <w:lang w:val="en-US" w:eastAsia="zh-CN"/>
        </w:rPr>
      </w:pPr>
    </w:p>
    <w:p w14:paraId="4A069467">
      <w:pPr>
        <w:pStyle w:val="11"/>
        <w:spacing w:beforeAutospacing="0" w:afterAutospacing="0" w:line="0" w:lineRule="atLeast"/>
        <w:ind w:firstLine="480"/>
        <w:jc w:val="both"/>
        <w:rPr>
          <w:rFonts w:hint="eastAsia"/>
          <w:color w:val="auto"/>
          <w:highlight w:val="none"/>
          <w:lang w:val="en-US" w:eastAsia="zh-CN"/>
        </w:rPr>
      </w:pPr>
    </w:p>
    <w:p w14:paraId="6F025941">
      <w:pPr>
        <w:pStyle w:val="11"/>
        <w:spacing w:beforeAutospacing="0" w:afterAutospacing="0" w:line="0" w:lineRule="atLeast"/>
        <w:ind w:firstLine="480"/>
        <w:jc w:val="both"/>
        <w:rPr>
          <w:rFonts w:hint="eastAsia"/>
          <w:color w:val="auto"/>
          <w:highlight w:val="none"/>
          <w:lang w:val="en-US" w:eastAsia="zh-CN"/>
        </w:rPr>
      </w:pPr>
    </w:p>
    <w:p w14:paraId="0EF80A8C">
      <w:pPr>
        <w:pStyle w:val="11"/>
        <w:spacing w:beforeAutospacing="0" w:afterAutospacing="0" w:line="0" w:lineRule="atLeast"/>
        <w:ind w:firstLine="480"/>
        <w:jc w:val="both"/>
        <w:rPr>
          <w:rFonts w:hint="eastAsia"/>
          <w:color w:val="auto"/>
          <w:highlight w:val="none"/>
          <w:lang w:val="en-US" w:eastAsia="zh-CN"/>
        </w:rPr>
      </w:pPr>
    </w:p>
    <w:p w14:paraId="014C234B">
      <w:pPr>
        <w:pStyle w:val="11"/>
        <w:spacing w:beforeAutospacing="0" w:afterAutospacing="0" w:line="0" w:lineRule="atLeast"/>
        <w:ind w:firstLine="480"/>
        <w:jc w:val="both"/>
        <w:rPr>
          <w:rFonts w:hint="eastAsia"/>
          <w:color w:val="auto"/>
          <w:highlight w:val="none"/>
          <w:lang w:val="en-US" w:eastAsia="zh-CN"/>
        </w:rPr>
      </w:pPr>
    </w:p>
    <w:p w14:paraId="5B87E34A">
      <w:pPr>
        <w:pStyle w:val="11"/>
        <w:spacing w:beforeAutospacing="0" w:afterAutospacing="0" w:line="0" w:lineRule="atLeast"/>
        <w:ind w:firstLine="480"/>
        <w:jc w:val="both"/>
        <w:rPr>
          <w:rFonts w:hint="eastAsia"/>
          <w:color w:val="auto"/>
          <w:highlight w:val="none"/>
          <w:lang w:val="en-US" w:eastAsia="zh-CN"/>
        </w:rPr>
      </w:pPr>
    </w:p>
    <w:p w14:paraId="49E019EB">
      <w:pPr>
        <w:pStyle w:val="11"/>
        <w:spacing w:beforeAutospacing="0" w:afterAutospacing="0" w:line="0" w:lineRule="atLeast"/>
        <w:ind w:firstLine="480"/>
        <w:jc w:val="both"/>
        <w:rPr>
          <w:rFonts w:hint="eastAsia"/>
          <w:color w:val="auto"/>
          <w:highlight w:val="none"/>
          <w:lang w:val="en-US" w:eastAsia="zh-CN"/>
        </w:rPr>
      </w:pPr>
    </w:p>
    <w:p w14:paraId="48F4B3BB">
      <w:pPr>
        <w:pStyle w:val="11"/>
        <w:spacing w:beforeAutospacing="0" w:afterAutospacing="0" w:line="0" w:lineRule="atLeast"/>
        <w:ind w:firstLine="480"/>
        <w:jc w:val="both"/>
        <w:rPr>
          <w:rFonts w:hint="eastAsia"/>
          <w:color w:val="auto"/>
          <w:highlight w:val="none"/>
          <w:lang w:val="en-US" w:eastAsia="zh-CN"/>
        </w:rPr>
      </w:pPr>
    </w:p>
    <w:p w14:paraId="4AF42C54">
      <w:pPr>
        <w:pStyle w:val="11"/>
        <w:spacing w:beforeAutospacing="0" w:afterAutospacing="0" w:line="0" w:lineRule="atLeast"/>
        <w:ind w:firstLine="480"/>
        <w:jc w:val="both"/>
        <w:rPr>
          <w:rFonts w:hint="eastAsia"/>
          <w:color w:val="auto"/>
          <w:highlight w:val="none"/>
          <w:lang w:val="en-US" w:eastAsia="zh-CN"/>
        </w:rPr>
      </w:pPr>
    </w:p>
    <w:p w14:paraId="646C96F5">
      <w:pPr>
        <w:pStyle w:val="11"/>
        <w:spacing w:beforeAutospacing="0" w:afterAutospacing="0" w:line="0" w:lineRule="atLeast"/>
        <w:ind w:firstLine="480"/>
        <w:jc w:val="both"/>
        <w:rPr>
          <w:rFonts w:hint="eastAsia"/>
          <w:color w:val="auto"/>
          <w:highlight w:val="none"/>
          <w:lang w:val="en-US" w:eastAsia="zh-CN"/>
        </w:rPr>
      </w:pPr>
    </w:p>
    <w:p w14:paraId="3DE3236A">
      <w:pPr>
        <w:pStyle w:val="11"/>
        <w:spacing w:beforeAutospacing="0" w:afterAutospacing="0" w:line="0" w:lineRule="atLeast"/>
        <w:ind w:firstLine="480"/>
        <w:jc w:val="both"/>
        <w:rPr>
          <w:rFonts w:hint="eastAsia"/>
          <w:color w:val="auto"/>
          <w:highlight w:val="none"/>
          <w:lang w:val="en-US" w:eastAsia="zh-CN"/>
        </w:rPr>
      </w:pPr>
    </w:p>
    <w:p w14:paraId="6FBDB5B6">
      <w:pPr>
        <w:pStyle w:val="11"/>
        <w:spacing w:beforeAutospacing="0" w:afterAutospacing="0" w:line="0" w:lineRule="atLeast"/>
        <w:ind w:firstLine="480"/>
        <w:jc w:val="both"/>
        <w:rPr>
          <w:rFonts w:hint="eastAsia"/>
          <w:color w:val="auto"/>
          <w:highlight w:val="none"/>
          <w:lang w:val="en-US" w:eastAsia="zh-CN"/>
        </w:rPr>
      </w:pPr>
    </w:p>
    <w:p w14:paraId="4B766338">
      <w:pPr>
        <w:pStyle w:val="11"/>
        <w:spacing w:beforeAutospacing="0" w:afterAutospacing="0" w:line="0" w:lineRule="atLeast"/>
        <w:ind w:firstLine="480"/>
        <w:jc w:val="both"/>
        <w:rPr>
          <w:rFonts w:hint="eastAsia"/>
          <w:color w:val="auto"/>
          <w:highlight w:val="none"/>
          <w:lang w:val="en-US" w:eastAsia="zh-CN"/>
        </w:rPr>
      </w:pPr>
    </w:p>
    <w:p w14:paraId="60BF8353">
      <w:pPr>
        <w:pStyle w:val="11"/>
        <w:spacing w:beforeAutospacing="0" w:afterAutospacing="0" w:line="0" w:lineRule="atLeast"/>
        <w:ind w:firstLine="480"/>
        <w:jc w:val="both"/>
        <w:rPr>
          <w:rFonts w:hint="eastAsia"/>
          <w:color w:val="auto"/>
          <w:highlight w:val="none"/>
          <w:lang w:val="en-US" w:eastAsia="zh-CN"/>
        </w:rPr>
      </w:pPr>
    </w:p>
    <w:p w14:paraId="58B1683A">
      <w:pPr>
        <w:pStyle w:val="11"/>
        <w:spacing w:beforeAutospacing="0" w:afterAutospacing="0" w:line="0" w:lineRule="atLeast"/>
        <w:ind w:firstLine="480"/>
        <w:jc w:val="both"/>
        <w:rPr>
          <w:rFonts w:hint="eastAsia"/>
          <w:color w:val="auto"/>
          <w:highlight w:val="none"/>
          <w:lang w:val="en-US" w:eastAsia="zh-CN"/>
        </w:rPr>
      </w:pPr>
    </w:p>
    <w:p w14:paraId="166BCB9E">
      <w:pPr>
        <w:pStyle w:val="11"/>
        <w:spacing w:beforeAutospacing="0" w:afterAutospacing="0" w:line="0" w:lineRule="atLeast"/>
        <w:ind w:firstLine="480"/>
        <w:jc w:val="both"/>
        <w:rPr>
          <w:rFonts w:hint="eastAsia"/>
          <w:color w:val="auto"/>
          <w:highlight w:val="none"/>
          <w:lang w:val="en-US" w:eastAsia="zh-CN"/>
        </w:rPr>
      </w:pPr>
    </w:p>
    <w:p w14:paraId="70DFA4EB">
      <w:pPr>
        <w:pStyle w:val="11"/>
        <w:spacing w:beforeAutospacing="0" w:afterAutospacing="0" w:line="0" w:lineRule="atLeast"/>
        <w:ind w:firstLine="480"/>
        <w:jc w:val="both"/>
        <w:rPr>
          <w:rFonts w:hint="eastAsia"/>
          <w:color w:val="auto"/>
          <w:highlight w:val="none"/>
          <w:lang w:val="en-US" w:eastAsia="zh-CN"/>
        </w:rPr>
      </w:pPr>
    </w:p>
    <w:p w14:paraId="7C16762E">
      <w:pPr>
        <w:pStyle w:val="11"/>
        <w:spacing w:beforeAutospacing="0" w:afterAutospacing="0" w:line="0" w:lineRule="atLeast"/>
        <w:ind w:firstLine="480"/>
        <w:jc w:val="both"/>
        <w:rPr>
          <w:rFonts w:hint="eastAsia"/>
          <w:color w:val="auto"/>
          <w:highlight w:val="none"/>
          <w:lang w:val="en-US" w:eastAsia="zh-CN"/>
        </w:rPr>
      </w:pPr>
    </w:p>
    <w:p w14:paraId="185B0BDA">
      <w:pPr>
        <w:pStyle w:val="11"/>
        <w:spacing w:beforeAutospacing="0" w:afterAutospacing="0" w:line="0" w:lineRule="atLeast"/>
        <w:ind w:firstLine="480"/>
        <w:jc w:val="both"/>
        <w:rPr>
          <w:rFonts w:hint="eastAsia"/>
          <w:color w:val="auto"/>
          <w:highlight w:val="none"/>
          <w:lang w:val="en-US" w:eastAsia="zh-CN"/>
        </w:rPr>
      </w:pPr>
    </w:p>
    <w:p w14:paraId="14E09EEE">
      <w:pPr>
        <w:pStyle w:val="11"/>
        <w:spacing w:beforeAutospacing="0" w:afterAutospacing="0" w:line="0" w:lineRule="atLeast"/>
        <w:ind w:firstLine="480"/>
        <w:jc w:val="both"/>
        <w:rPr>
          <w:rFonts w:hint="eastAsia"/>
          <w:color w:val="auto"/>
          <w:highlight w:val="none"/>
          <w:lang w:val="en-US" w:eastAsia="zh-CN"/>
        </w:rPr>
      </w:pPr>
    </w:p>
    <w:p w14:paraId="7E33E9B7">
      <w:pPr>
        <w:pStyle w:val="11"/>
        <w:spacing w:beforeAutospacing="0" w:afterAutospacing="0" w:line="0" w:lineRule="atLeast"/>
        <w:ind w:firstLine="480"/>
        <w:jc w:val="both"/>
        <w:rPr>
          <w:rFonts w:hint="eastAsia"/>
          <w:color w:val="auto"/>
          <w:highlight w:val="none"/>
          <w:lang w:val="en-US" w:eastAsia="zh-CN"/>
        </w:rPr>
      </w:pPr>
    </w:p>
    <w:p w14:paraId="574AF8C6">
      <w:pPr>
        <w:pStyle w:val="11"/>
        <w:spacing w:beforeAutospacing="0" w:afterAutospacing="0" w:line="0" w:lineRule="atLeast"/>
        <w:ind w:firstLine="480"/>
        <w:jc w:val="both"/>
        <w:rPr>
          <w:rFonts w:hint="eastAsia"/>
          <w:color w:val="auto"/>
          <w:highlight w:val="none"/>
          <w:lang w:val="en-US" w:eastAsia="zh-CN"/>
        </w:rPr>
      </w:pPr>
    </w:p>
    <w:p w14:paraId="2FDAA550">
      <w:pPr>
        <w:pStyle w:val="11"/>
        <w:spacing w:beforeAutospacing="0" w:afterAutospacing="0" w:line="0" w:lineRule="atLeast"/>
        <w:ind w:firstLine="480"/>
        <w:jc w:val="both"/>
        <w:rPr>
          <w:rFonts w:hint="eastAsia"/>
          <w:color w:val="auto"/>
          <w:highlight w:val="none"/>
          <w:lang w:val="en-US" w:eastAsia="zh-CN"/>
        </w:rPr>
      </w:pPr>
    </w:p>
    <w:p w14:paraId="0E9B86EF">
      <w:pPr>
        <w:pStyle w:val="11"/>
        <w:spacing w:beforeAutospacing="0" w:afterAutospacing="0" w:line="0" w:lineRule="atLeast"/>
        <w:ind w:firstLine="480"/>
        <w:jc w:val="both"/>
        <w:rPr>
          <w:rFonts w:hint="eastAsia"/>
          <w:color w:val="auto"/>
          <w:highlight w:val="none"/>
          <w:lang w:val="en-US" w:eastAsia="zh-CN"/>
        </w:rPr>
      </w:pPr>
    </w:p>
    <w:p w14:paraId="7E686491">
      <w:pPr>
        <w:pStyle w:val="11"/>
        <w:spacing w:beforeAutospacing="0" w:afterAutospacing="0" w:line="0" w:lineRule="atLeast"/>
        <w:ind w:firstLine="480"/>
        <w:jc w:val="both"/>
        <w:rPr>
          <w:rFonts w:hint="eastAsia"/>
          <w:color w:val="auto"/>
          <w:highlight w:val="none"/>
          <w:lang w:val="en-US" w:eastAsia="zh-CN"/>
        </w:rPr>
      </w:pPr>
    </w:p>
    <w:p w14:paraId="2BDCDE9E">
      <w:pPr>
        <w:pStyle w:val="11"/>
        <w:spacing w:beforeAutospacing="0" w:afterAutospacing="0" w:line="0" w:lineRule="atLeast"/>
        <w:ind w:firstLine="480"/>
        <w:jc w:val="both"/>
        <w:rPr>
          <w:rFonts w:hint="eastAsia"/>
          <w:color w:val="auto"/>
          <w:highlight w:val="none"/>
          <w:lang w:val="en-US" w:eastAsia="zh-CN"/>
        </w:rPr>
      </w:pPr>
    </w:p>
    <w:p w14:paraId="72042912">
      <w:pPr>
        <w:pStyle w:val="11"/>
        <w:spacing w:beforeAutospacing="0" w:afterAutospacing="0" w:line="0" w:lineRule="atLeast"/>
        <w:ind w:firstLine="480"/>
        <w:jc w:val="both"/>
        <w:rPr>
          <w:rFonts w:hint="eastAsia"/>
          <w:color w:val="auto"/>
          <w:highlight w:val="none"/>
          <w:lang w:val="en-US" w:eastAsia="zh-CN"/>
        </w:rPr>
      </w:pPr>
    </w:p>
    <w:p w14:paraId="1DBEC3C3">
      <w:pPr>
        <w:pStyle w:val="11"/>
        <w:spacing w:beforeAutospacing="0" w:afterAutospacing="0" w:line="0" w:lineRule="atLeast"/>
        <w:ind w:firstLine="480"/>
        <w:jc w:val="both"/>
        <w:rPr>
          <w:rFonts w:hint="eastAsia"/>
          <w:color w:val="auto"/>
          <w:highlight w:val="none"/>
          <w:lang w:val="en-US" w:eastAsia="zh-CN"/>
        </w:rPr>
      </w:pPr>
    </w:p>
    <w:p w14:paraId="3D8EFAE3">
      <w:pPr>
        <w:pStyle w:val="11"/>
        <w:spacing w:beforeAutospacing="0" w:afterAutospacing="0" w:line="0" w:lineRule="atLeast"/>
        <w:ind w:firstLine="480"/>
        <w:jc w:val="both"/>
        <w:rPr>
          <w:rFonts w:hint="eastAsia"/>
          <w:color w:val="auto"/>
          <w:highlight w:val="none"/>
          <w:lang w:val="en-US" w:eastAsia="zh-CN"/>
        </w:rPr>
      </w:pPr>
    </w:p>
    <w:p w14:paraId="34651D5E">
      <w:pPr>
        <w:pStyle w:val="11"/>
        <w:spacing w:beforeAutospacing="0" w:afterAutospacing="0" w:line="0" w:lineRule="atLeast"/>
        <w:ind w:firstLine="480"/>
        <w:jc w:val="both"/>
        <w:rPr>
          <w:rFonts w:hint="eastAsia"/>
          <w:color w:val="auto"/>
          <w:highlight w:val="none"/>
          <w:lang w:val="en-US" w:eastAsia="zh-CN"/>
        </w:rPr>
      </w:pPr>
    </w:p>
    <w:p w14:paraId="70CD13E6">
      <w:pPr>
        <w:pStyle w:val="11"/>
        <w:spacing w:beforeAutospacing="0" w:afterAutospacing="0" w:line="0" w:lineRule="atLeast"/>
        <w:ind w:firstLine="480"/>
        <w:jc w:val="both"/>
        <w:rPr>
          <w:rFonts w:hint="eastAsia"/>
          <w:color w:val="auto"/>
          <w:highlight w:val="none"/>
          <w:lang w:val="en-US" w:eastAsia="zh-CN"/>
        </w:rPr>
      </w:pPr>
    </w:p>
    <w:p w14:paraId="60B609D3">
      <w:pPr>
        <w:pStyle w:val="11"/>
        <w:spacing w:beforeAutospacing="0" w:afterAutospacing="0" w:line="0" w:lineRule="atLeast"/>
        <w:ind w:firstLine="480"/>
        <w:jc w:val="both"/>
        <w:rPr>
          <w:rFonts w:hint="eastAsia"/>
          <w:color w:val="auto"/>
          <w:highlight w:val="none"/>
          <w:lang w:val="en-US" w:eastAsia="zh-CN"/>
        </w:rPr>
      </w:pPr>
    </w:p>
    <w:p w14:paraId="25BD21E3">
      <w:pPr>
        <w:pStyle w:val="11"/>
        <w:spacing w:beforeAutospacing="0" w:afterAutospacing="0" w:line="0" w:lineRule="atLeast"/>
        <w:ind w:firstLine="480"/>
        <w:jc w:val="both"/>
        <w:rPr>
          <w:rFonts w:hint="eastAsia"/>
          <w:color w:val="auto"/>
          <w:highlight w:val="none"/>
          <w:lang w:val="en-US" w:eastAsia="zh-CN"/>
        </w:rPr>
      </w:pPr>
    </w:p>
    <w:p w14:paraId="33E08F33">
      <w:pPr>
        <w:pStyle w:val="11"/>
        <w:spacing w:beforeAutospacing="0" w:afterAutospacing="0" w:line="0" w:lineRule="atLeast"/>
        <w:ind w:firstLine="480"/>
        <w:jc w:val="both"/>
        <w:rPr>
          <w:rFonts w:hint="eastAsia"/>
          <w:color w:val="auto"/>
          <w:highlight w:val="none"/>
          <w:lang w:val="en-US" w:eastAsia="zh-CN"/>
        </w:rPr>
      </w:pPr>
    </w:p>
    <w:p w14:paraId="2C96279B">
      <w:pPr>
        <w:pStyle w:val="11"/>
        <w:spacing w:beforeAutospacing="0" w:afterAutospacing="0" w:line="0" w:lineRule="atLeast"/>
        <w:ind w:firstLine="480"/>
        <w:jc w:val="both"/>
        <w:rPr>
          <w:rFonts w:hint="eastAsia"/>
          <w:color w:val="auto"/>
          <w:highlight w:val="none"/>
          <w:lang w:val="en-US" w:eastAsia="zh-CN"/>
        </w:rPr>
      </w:pPr>
    </w:p>
    <w:p w14:paraId="046D87E5">
      <w:pPr>
        <w:pStyle w:val="11"/>
        <w:spacing w:beforeAutospacing="0" w:afterAutospacing="0" w:line="0" w:lineRule="atLeast"/>
        <w:ind w:firstLine="480"/>
        <w:jc w:val="both"/>
        <w:rPr>
          <w:rFonts w:hint="eastAsia"/>
          <w:color w:val="auto"/>
          <w:highlight w:val="none"/>
          <w:lang w:val="en-US" w:eastAsia="zh-CN"/>
        </w:rPr>
      </w:pPr>
    </w:p>
    <w:p w14:paraId="7F7F7D17">
      <w:pPr>
        <w:pStyle w:val="11"/>
        <w:spacing w:beforeAutospacing="0" w:afterAutospacing="0" w:line="0" w:lineRule="atLeast"/>
        <w:ind w:firstLine="480"/>
        <w:jc w:val="both"/>
        <w:rPr>
          <w:rFonts w:hint="eastAsia"/>
          <w:color w:val="auto"/>
          <w:highlight w:val="none"/>
          <w:lang w:val="en-US" w:eastAsia="zh-CN"/>
        </w:rPr>
      </w:pPr>
    </w:p>
    <w:p w14:paraId="70E125E4">
      <w:pPr>
        <w:pStyle w:val="11"/>
        <w:spacing w:beforeAutospacing="0" w:afterAutospacing="0" w:line="0" w:lineRule="atLeast"/>
        <w:ind w:firstLine="480"/>
        <w:jc w:val="both"/>
        <w:rPr>
          <w:rFonts w:hint="eastAsia"/>
          <w:color w:val="auto"/>
          <w:highlight w:val="none"/>
          <w:lang w:val="en-US" w:eastAsia="zh-CN"/>
        </w:rPr>
      </w:pPr>
    </w:p>
    <w:p w14:paraId="58E12FFD">
      <w:pPr>
        <w:pStyle w:val="11"/>
        <w:spacing w:beforeAutospacing="0" w:afterAutospacing="0" w:line="0" w:lineRule="atLeast"/>
        <w:ind w:firstLine="480"/>
        <w:jc w:val="both"/>
        <w:rPr>
          <w:rFonts w:hint="default"/>
          <w:color w:val="auto"/>
          <w:highlight w:val="none"/>
          <w:lang w:val="en-US" w:eastAsia="zh-CN"/>
        </w:rPr>
      </w:pPr>
    </w:p>
    <w:p w14:paraId="61468E47">
      <w:pPr>
        <w:pStyle w:val="3"/>
        <w:ind w:firstLine="216"/>
        <w:jc w:val="center"/>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二、</w:t>
      </w:r>
      <w:r>
        <w:rPr>
          <w:rFonts w:hint="eastAsia" w:ascii="黑体" w:hAnsi="宋体" w:eastAsia="黑体" w:cs="黑体"/>
          <w:i w:val="0"/>
          <w:iCs/>
          <w:color w:val="auto"/>
          <w:sz w:val="32"/>
          <w:szCs w:val="32"/>
          <w:highlight w:val="none"/>
          <w:u w:val="none"/>
          <w:lang w:val="en-US" w:eastAsia="zh-CN"/>
        </w:rPr>
        <w:t>上一年度</w:t>
      </w:r>
      <w:r>
        <w:rPr>
          <w:rFonts w:hint="eastAsia" w:ascii="黑体" w:hAnsi="宋体" w:eastAsia="黑体" w:cs="黑体"/>
          <w:i w:val="0"/>
          <w:iCs/>
          <w:color w:val="auto"/>
          <w:sz w:val="32"/>
          <w:szCs w:val="32"/>
          <w:highlight w:val="none"/>
          <w:u w:val="none"/>
        </w:rPr>
        <w:t>的财务状况报</w:t>
      </w:r>
      <w:r>
        <w:rPr>
          <w:rFonts w:hint="eastAsia" w:ascii="黑体" w:hAnsi="宋体" w:eastAsia="黑体" w:cs="黑体"/>
          <w:i w:val="0"/>
          <w:iCs/>
          <w:color w:val="auto"/>
          <w:sz w:val="32"/>
          <w:szCs w:val="32"/>
          <w:highlight w:val="none"/>
          <w:u w:val="none"/>
          <w:lang w:val="en-US" w:eastAsia="zh-CN"/>
        </w:rPr>
        <w:t>告</w:t>
      </w:r>
    </w:p>
    <w:p w14:paraId="343B95EC">
      <w:pPr>
        <w:keepNext w:val="0"/>
        <w:keepLines w:val="0"/>
        <w:pageBreakBefore w:val="0"/>
        <w:widowControl w:val="0"/>
        <w:tabs>
          <w:tab w:val="left" w:pos="1331"/>
        </w:tabs>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i w:val="0"/>
          <w:iCs/>
          <w:color w:val="auto"/>
          <w:highlight w:val="none"/>
          <w:u w:val="none"/>
        </w:rPr>
      </w:pPr>
    </w:p>
    <w:p w14:paraId="2B89BF48">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2"/>
        <w:jc w:val="both"/>
        <w:textAlignment w:val="auto"/>
        <w:rPr>
          <w:rFonts w:hint="eastAsia"/>
          <w:color w:val="auto"/>
          <w:highlight w:val="none"/>
          <w:lang w:val="en-US" w:eastAsia="zh-CN"/>
        </w:rPr>
      </w:pPr>
      <w:r>
        <w:rPr>
          <w:rFonts w:hint="eastAsia"/>
          <w:color w:val="auto"/>
          <w:highlight w:val="none"/>
          <w:lang w:val="en-US" w:eastAsia="zh-CN"/>
        </w:rPr>
        <w:t>说明：</w:t>
      </w:r>
    </w:p>
    <w:p w14:paraId="3A367F91">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2"/>
        <w:jc w:val="both"/>
        <w:textAlignment w:val="auto"/>
        <w:rPr>
          <w:rFonts w:hint="default"/>
          <w:color w:val="auto"/>
          <w:highlight w:val="none"/>
          <w:lang w:val="en-US" w:eastAsia="zh-CN"/>
        </w:rPr>
      </w:pPr>
      <w:r>
        <w:rPr>
          <w:rFonts w:hint="eastAsia"/>
          <w:color w:val="auto"/>
          <w:highlight w:val="none"/>
          <w:lang w:val="en-US" w:eastAsia="zh-CN"/>
        </w:rPr>
        <w:t>（1）若是联合体投标，联合体成员各方均需提供；</w:t>
      </w:r>
    </w:p>
    <w:p w14:paraId="2AB5FC7F">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2"/>
        <w:jc w:val="both"/>
        <w:textAlignment w:val="auto"/>
        <w:rPr>
          <w:rFonts w:hint="eastAsia"/>
          <w:color w:val="auto"/>
          <w:highlight w:val="none"/>
          <w:lang w:val="en-US" w:eastAsia="zh-CN"/>
        </w:rPr>
      </w:pPr>
      <w:r>
        <w:rPr>
          <w:rFonts w:hint="eastAsia"/>
          <w:color w:val="auto"/>
          <w:highlight w:val="none"/>
          <w:lang w:val="en-US" w:eastAsia="zh-CN"/>
        </w:rPr>
        <w:t>（2）投标人成立不满一年无需提供；</w:t>
      </w:r>
    </w:p>
    <w:p w14:paraId="13CE4AFE">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2"/>
        <w:jc w:val="both"/>
        <w:textAlignment w:val="auto"/>
        <w:rPr>
          <w:rFonts w:hint="eastAsia"/>
          <w:color w:val="auto"/>
          <w:highlight w:val="none"/>
          <w:lang w:val="en-US" w:eastAsia="zh-CN"/>
        </w:rPr>
      </w:pPr>
      <w:r>
        <w:rPr>
          <w:rFonts w:hint="eastAsia"/>
          <w:color w:val="auto"/>
          <w:highlight w:val="none"/>
          <w:lang w:val="en-US" w:eastAsia="zh-CN"/>
        </w:rPr>
        <w:t>（3）若投标人2025年财务状况报告尚未完成，可提供2024年财务状况报告。</w:t>
      </w:r>
    </w:p>
    <w:p w14:paraId="5C00B530">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rFonts w:hint="default"/>
          <w:color w:val="auto"/>
          <w:highlight w:val="none"/>
          <w:lang w:val="en-US" w:eastAsia="zh-CN"/>
        </w:rPr>
      </w:pPr>
    </w:p>
    <w:p w14:paraId="25F2526A">
      <w:pPr>
        <w:pStyle w:val="11"/>
        <w:spacing w:beforeAutospacing="0" w:afterAutospacing="0"/>
        <w:jc w:val="both"/>
        <w:rPr>
          <w:rFonts w:hint="default"/>
          <w:color w:val="auto"/>
          <w:highlight w:val="none"/>
          <w:lang w:val="en-US" w:eastAsia="zh-CN"/>
        </w:rPr>
      </w:pPr>
    </w:p>
    <w:p w14:paraId="37DA7809">
      <w:pPr>
        <w:pStyle w:val="11"/>
        <w:spacing w:beforeAutospacing="0" w:afterAutospacing="0"/>
        <w:jc w:val="both"/>
        <w:rPr>
          <w:rFonts w:hint="default"/>
          <w:color w:val="auto"/>
          <w:highlight w:val="none"/>
          <w:lang w:val="en-US" w:eastAsia="zh-CN"/>
        </w:rPr>
      </w:pPr>
    </w:p>
    <w:p w14:paraId="5A94227A">
      <w:pPr>
        <w:pStyle w:val="11"/>
        <w:spacing w:beforeAutospacing="0" w:afterAutospacing="0"/>
        <w:jc w:val="both"/>
        <w:rPr>
          <w:rFonts w:hint="default"/>
          <w:color w:val="auto"/>
          <w:highlight w:val="none"/>
          <w:lang w:val="en-US" w:eastAsia="zh-CN"/>
        </w:rPr>
      </w:pPr>
    </w:p>
    <w:p w14:paraId="04747832">
      <w:pPr>
        <w:pStyle w:val="11"/>
        <w:spacing w:beforeAutospacing="0" w:afterAutospacing="0"/>
        <w:jc w:val="both"/>
        <w:rPr>
          <w:rFonts w:hint="default"/>
          <w:color w:val="auto"/>
          <w:highlight w:val="none"/>
          <w:lang w:val="en-US" w:eastAsia="zh-CN"/>
        </w:rPr>
      </w:pPr>
    </w:p>
    <w:p w14:paraId="5430143B">
      <w:pPr>
        <w:pStyle w:val="11"/>
        <w:spacing w:beforeAutospacing="0" w:afterAutospacing="0"/>
        <w:jc w:val="both"/>
        <w:rPr>
          <w:rFonts w:hint="default"/>
          <w:color w:val="auto"/>
          <w:highlight w:val="none"/>
          <w:lang w:val="en-US" w:eastAsia="zh-CN"/>
        </w:rPr>
      </w:pPr>
    </w:p>
    <w:p w14:paraId="551F839B">
      <w:pPr>
        <w:pStyle w:val="11"/>
        <w:spacing w:beforeAutospacing="0" w:afterAutospacing="0"/>
        <w:jc w:val="both"/>
        <w:rPr>
          <w:rFonts w:hint="default"/>
          <w:color w:val="auto"/>
          <w:highlight w:val="none"/>
          <w:lang w:val="en-US" w:eastAsia="zh-CN"/>
        </w:rPr>
      </w:pPr>
    </w:p>
    <w:p w14:paraId="2A0493FE">
      <w:pPr>
        <w:pStyle w:val="11"/>
        <w:spacing w:beforeAutospacing="0" w:afterAutospacing="0"/>
        <w:jc w:val="both"/>
        <w:rPr>
          <w:rFonts w:hint="default"/>
          <w:color w:val="auto"/>
          <w:highlight w:val="none"/>
          <w:lang w:val="en-US" w:eastAsia="zh-CN"/>
        </w:rPr>
      </w:pPr>
    </w:p>
    <w:p w14:paraId="71859939">
      <w:pPr>
        <w:pStyle w:val="11"/>
        <w:spacing w:beforeAutospacing="0" w:afterAutospacing="0"/>
        <w:jc w:val="both"/>
        <w:rPr>
          <w:rFonts w:hint="default"/>
          <w:color w:val="auto"/>
          <w:highlight w:val="none"/>
          <w:lang w:val="en-US" w:eastAsia="zh-CN"/>
        </w:rPr>
      </w:pPr>
    </w:p>
    <w:p w14:paraId="36DE05BC">
      <w:pPr>
        <w:pStyle w:val="11"/>
        <w:spacing w:beforeAutospacing="0" w:afterAutospacing="0"/>
        <w:jc w:val="both"/>
        <w:rPr>
          <w:rFonts w:hint="default"/>
          <w:color w:val="auto"/>
          <w:highlight w:val="none"/>
          <w:lang w:val="en-US" w:eastAsia="zh-CN"/>
        </w:rPr>
      </w:pPr>
    </w:p>
    <w:p w14:paraId="5B48D2D9">
      <w:pPr>
        <w:pStyle w:val="11"/>
        <w:spacing w:beforeAutospacing="0" w:afterAutospacing="0"/>
        <w:jc w:val="both"/>
        <w:rPr>
          <w:rFonts w:hint="default"/>
          <w:color w:val="auto"/>
          <w:highlight w:val="none"/>
          <w:lang w:val="en-US" w:eastAsia="zh-CN"/>
        </w:rPr>
      </w:pPr>
    </w:p>
    <w:p w14:paraId="0BF22695">
      <w:pPr>
        <w:pStyle w:val="11"/>
        <w:spacing w:beforeAutospacing="0" w:afterAutospacing="0"/>
        <w:jc w:val="both"/>
        <w:rPr>
          <w:rFonts w:hint="default"/>
          <w:color w:val="auto"/>
          <w:highlight w:val="none"/>
          <w:lang w:val="en-US" w:eastAsia="zh-CN"/>
        </w:rPr>
      </w:pPr>
    </w:p>
    <w:p w14:paraId="7970BD4E">
      <w:pPr>
        <w:pStyle w:val="11"/>
        <w:spacing w:beforeAutospacing="0" w:afterAutospacing="0"/>
        <w:jc w:val="both"/>
        <w:rPr>
          <w:rFonts w:hint="default"/>
          <w:color w:val="auto"/>
          <w:highlight w:val="none"/>
          <w:lang w:val="en-US" w:eastAsia="zh-CN"/>
        </w:rPr>
      </w:pPr>
    </w:p>
    <w:p w14:paraId="5C61453A">
      <w:pPr>
        <w:pStyle w:val="11"/>
        <w:spacing w:beforeAutospacing="0" w:afterAutospacing="0"/>
        <w:jc w:val="both"/>
        <w:rPr>
          <w:rFonts w:hint="default"/>
          <w:color w:val="auto"/>
          <w:highlight w:val="none"/>
          <w:lang w:val="en-US" w:eastAsia="zh-CN"/>
        </w:rPr>
      </w:pPr>
    </w:p>
    <w:p w14:paraId="2875F11F">
      <w:pPr>
        <w:pStyle w:val="11"/>
        <w:spacing w:beforeAutospacing="0" w:afterAutospacing="0"/>
        <w:jc w:val="both"/>
        <w:rPr>
          <w:rFonts w:hint="default"/>
          <w:color w:val="auto"/>
          <w:highlight w:val="none"/>
          <w:lang w:val="en-US" w:eastAsia="zh-CN"/>
        </w:rPr>
      </w:pPr>
    </w:p>
    <w:p w14:paraId="76B47BA4">
      <w:pPr>
        <w:pStyle w:val="11"/>
        <w:spacing w:beforeAutospacing="0" w:afterAutospacing="0"/>
        <w:jc w:val="both"/>
        <w:rPr>
          <w:rFonts w:hint="default"/>
          <w:color w:val="auto"/>
          <w:highlight w:val="none"/>
          <w:lang w:val="en-US" w:eastAsia="zh-CN"/>
        </w:rPr>
      </w:pPr>
    </w:p>
    <w:p w14:paraId="29E660C9">
      <w:pPr>
        <w:pStyle w:val="11"/>
        <w:spacing w:beforeAutospacing="0" w:afterAutospacing="0"/>
        <w:jc w:val="both"/>
        <w:rPr>
          <w:rFonts w:hint="default"/>
          <w:color w:val="auto"/>
          <w:highlight w:val="none"/>
          <w:lang w:val="en-US" w:eastAsia="zh-CN"/>
        </w:rPr>
      </w:pPr>
    </w:p>
    <w:p w14:paraId="0C657FA7">
      <w:pPr>
        <w:pStyle w:val="11"/>
        <w:spacing w:beforeAutospacing="0" w:afterAutospacing="0"/>
        <w:jc w:val="both"/>
        <w:rPr>
          <w:rFonts w:hint="default"/>
          <w:color w:val="auto"/>
          <w:highlight w:val="none"/>
          <w:lang w:val="en-US" w:eastAsia="zh-CN"/>
        </w:rPr>
      </w:pPr>
    </w:p>
    <w:p w14:paraId="08E0B281">
      <w:pPr>
        <w:pStyle w:val="11"/>
        <w:spacing w:beforeAutospacing="0" w:afterAutospacing="0"/>
        <w:jc w:val="both"/>
        <w:rPr>
          <w:rFonts w:hint="default"/>
          <w:color w:val="auto"/>
          <w:highlight w:val="none"/>
          <w:lang w:val="en-US" w:eastAsia="zh-CN"/>
        </w:rPr>
      </w:pPr>
    </w:p>
    <w:p w14:paraId="607A0300">
      <w:pPr>
        <w:pStyle w:val="11"/>
        <w:spacing w:beforeAutospacing="0" w:afterAutospacing="0"/>
        <w:jc w:val="both"/>
        <w:rPr>
          <w:rFonts w:hint="default"/>
          <w:color w:val="auto"/>
          <w:highlight w:val="none"/>
          <w:lang w:val="en-US" w:eastAsia="zh-CN"/>
        </w:rPr>
      </w:pPr>
    </w:p>
    <w:p w14:paraId="26417912">
      <w:pPr>
        <w:pStyle w:val="11"/>
        <w:spacing w:beforeAutospacing="0" w:afterAutospacing="0"/>
        <w:jc w:val="both"/>
        <w:rPr>
          <w:rFonts w:hint="default"/>
          <w:color w:val="auto"/>
          <w:highlight w:val="none"/>
          <w:lang w:val="en-US" w:eastAsia="zh-CN"/>
        </w:rPr>
      </w:pPr>
    </w:p>
    <w:p w14:paraId="3B8276D9">
      <w:pPr>
        <w:pStyle w:val="11"/>
        <w:spacing w:beforeAutospacing="0" w:afterAutospacing="0"/>
        <w:jc w:val="both"/>
        <w:rPr>
          <w:rFonts w:hint="default"/>
          <w:color w:val="auto"/>
          <w:highlight w:val="none"/>
          <w:lang w:val="en-US" w:eastAsia="zh-CN"/>
        </w:rPr>
      </w:pPr>
    </w:p>
    <w:p w14:paraId="3AEB0F3C">
      <w:pPr>
        <w:pStyle w:val="11"/>
        <w:spacing w:beforeAutospacing="0" w:afterAutospacing="0"/>
        <w:jc w:val="both"/>
        <w:rPr>
          <w:rFonts w:hint="default"/>
          <w:color w:val="auto"/>
          <w:highlight w:val="none"/>
          <w:lang w:val="en-US" w:eastAsia="zh-CN"/>
        </w:rPr>
      </w:pPr>
    </w:p>
    <w:p w14:paraId="35AB63A4">
      <w:pPr>
        <w:pStyle w:val="11"/>
        <w:spacing w:beforeAutospacing="0" w:afterAutospacing="0"/>
        <w:jc w:val="both"/>
        <w:rPr>
          <w:rFonts w:hint="default"/>
          <w:color w:val="auto"/>
          <w:highlight w:val="none"/>
          <w:lang w:val="en-US" w:eastAsia="zh-CN"/>
        </w:rPr>
      </w:pPr>
    </w:p>
    <w:p w14:paraId="74A0D334">
      <w:pPr>
        <w:pStyle w:val="11"/>
        <w:spacing w:beforeAutospacing="0" w:afterAutospacing="0"/>
        <w:jc w:val="both"/>
        <w:rPr>
          <w:rFonts w:hint="default"/>
          <w:color w:val="auto"/>
          <w:highlight w:val="none"/>
          <w:lang w:val="en-US" w:eastAsia="zh-CN"/>
        </w:rPr>
      </w:pPr>
    </w:p>
    <w:p w14:paraId="5340689E">
      <w:pPr>
        <w:pStyle w:val="11"/>
        <w:spacing w:beforeAutospacing="0" w:afterAutospacing="0"/>
        <w:jc w:val="both"/>
        <w:rPr>
          <w:rFonts w:hint="default"/>
          <w:color w:val="auto"/>
          <w:highlight w:val="none"/>
          <w:lang w:val="en-US" w:eastAsia="zh-CN"/>
        </w:rPr>
      </w:pPr>
    </w:p>
    <w:p w14:paraId="1B0E0F01">
      <w:pPr>
        <w:pStyle w:val="11"/>
        <w:spacing w:beforeAutospacing="0" w:afterAutospacing="0"/>
        <w:jc w:val="both"/>
        <w:rPr>
          <w:rFonts w:hint="default"/>
          <w:color w:val="auto"/>
          <w:highlight w:val="none"/>
          <w:lang w:val="en-US" w:eastAsia="zh-CN"/>
        </w:rPr>
      </w:pPr>
    </w:p>
    <w:p w14:paraId="1BF43D2F">
      <w:pPr>
        <w:pStyle w:val="11"/>
        <w:spacing w:beforeAutospacing="0" w:afterAutospacing="0"/>
        <w:jc w:val="both"/>
        <w:rPr>
          <w:rFonts w:hint="default"/>
          <w:color w:val="auto"/>
          <w:highlight w:val="none"/>
          <w:lang w:val="en-US" w:eastAsia="zh-CN"/>
        </w:rPr>
      </w:pPr>
    </w:p>
    <w:p w14:paraId="3FB7D822">
      <w:pPr>
        <w:pStyle w:val="11"/>
        <w:spacing w:beforeAutospacing="0" w:afterAutospacing="0"/>
        <w:jc w:val="both"/>
        <w:rPr>
          <w:rFonts w:hint="default"/>
          <w:color w:val="auto"/>
          <w:highlight w:val="none"/>
          <w:lang w:val="en-US" w:eastAsia="zh-CN"/>
        </w:rPr>
      </w:pPr>
    </w:p>
    <w:p w14:paraId="7716CC22">
      <w:pPr>
        <w:pStyle w:val="11"/>
        <w:spacing w:beforeAutospacing="0" w:afterAutospacing="0"/>
        <w:jc w:val="both"/>
        <w:rPr>
          <w:rFonts w:hint="default"/>
          <w:color w:val="auto"/>
          <w:highlight w:val="none"/>
          <w:lang w:val="en-US" w:eastAsia="zh-CN"/>
        </w:rPr>
      </w:pPr>
    </w:p>
    <w:p w14:paraId="17FFDD6D">
      <w:pPr>
        <w:pStyle w:val="3"/>
        <w:ind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三</w:t>
      </w:r>
      <w:r>
        <w:rPr>
          <w:rFonts w:hint="eastAsia" w:ascii="黑体" w:hAnsi="宋体" w:eastAsia="黑体" w:cs="黑体"/>
          <w:i w:val="0"/>
          <w:iCs/>
          <w:color w:val="auto"/>
          <w:sz w:val="32"/>
          <w:szCs w:val="32"/>
          <w:highlight w:val="none"/>
          <w:u w:val="none"/>
        </w:rPr>
        <w:t>、具备履行合同所必需的设备和专业技术能力</w:t>
      </w:r>
    </w:p>
    <w:p w14:paraId="3B215A68">
      <w:pPr>
        <w:pStyle w:val="3"/>
        <w:ind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的书面声明</w:t>
      </w:r>
    </w:p>
    <w:p w14:paraId="4FC50556">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ind w:firstLine="493"/>
        <w:jc w:val="both"/>
        <w:textAlignment w:val="auto"/>
        <w:rPr>
          <w:rFonts w:hint="eastAsia" w:ascii="宋体" w:hAnsi="宋体" w:eastAsia="宋体" w:cs="宋体"/>
          <w:color w:val="auto"/>
          <w:highlight w:val="none"/>
        </w:rPr>
      </w:pPr>
    </w:p>
    <w:p w14:paraId="4A3F2575">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ind w:firstLine="493"/>
        <w:jc w:val="both"/>
        <w:textAlignment w:val="auto"/>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158CE18">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ind w:firstLine="493"/>
        <w:jc w:val="both"/>
        <w:textAlignment w:val="auto"/>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C40D482">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ind w:firstLine="493"/>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ECD58D6">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ind w:firstLine="493"/>
        <w:jc w:val="both"/>
        <w:textAlignment w:val="auto"/>
        <w:rPr>
          <w:rFonts w:hint="eastAsia" w:ascii="宋体" w:hAnsi="宋体" w:eastAsia="宋体" w:cs="宋体"/>
          <w:color w:val="auto"/>
          <w:highlight w:val="none"/>
          <w:lang w:val="en-US" w:eastAsia="zh-CN"/>
        </w:rPr>
      </w:pPr>
    </w:p>
    <w:p w14:paraId="771EF230">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ind w:firstLine="493"/>
        <w:jc w:val="both"/>
        <w:textAlignment w:val="auto"/>
        <w:rPr>
          <w:rFonts w:hint="eastAsia" w:ascii="宋体" w:hAnsi="宋体" w:eastAsia="宋体" w:cs="宋体"/>
          <w:color w:val="auto"/>
          <w:highlight w:val="none"/>
          <w:lang w:val="en-US" w:eastAsia="zh-CN"/>
        </w:rPr>
      </w:pPr>
    </w:p>
    <w:p w14:paraId="0BE2EBF8">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ind w:firstLine="493"/>
        <w:jc w:val="both"/>
        <w:textAlignment w:val="auto"/>
        <w:rPr>
          <w:rFonts w:hint="eastAsia" w:ascii="宋体" w:hAnsi="宋体" w:eastAsia="宋体" w:cs="宋体"/>
          <w:color w:val="auto"/>
          <w:highlight w:val="none"/>
          <w:lang w:val="en-US" w:eastAsia="zh-CN"/>
        </w:rPr>
      </w:pPr>
    </w:p>
    <w:p w14:paraId="037BECCB">
      <w:pPr>
        <w:pStyle w:val="11"/>
        <w:spacing w:beforeAutospacing="0" w:afterAutospacing="0" w:line="0" w:lineRule="atLeast"/>
        <w:ind w:firstLine="480"/>
        <w:jc w:val="both"/>
        <w:rPr>
          <w:rFonts w:hint="default" w:eastAsiaTheme="minorEastAsia"/>
          <w:b/>
          <w:bCs/>
          <w:color w:val="auto"/>
          <w:highlight w:val="none"/>
          <w:lang w:val="en-US" w:eastAsia="zh-CN"/>
        </w:rPr>
      </w:pPr>
      <w:r>
        <w:rPr>
          <w:rFonts w:hint="eastAsia"/>
          <w:b/>
          <w:bCs/>
          <w:color w:val="auto"/>
          <w:highlight w:val="none"/>
          <w:lang w:val="en-US" w:eastAsia="zh-CN"/>
        </w:rPr>
        <w:t>说明：若是联合体投标，联合体成员各方均需提供。</w:t>
      </w:r>
    </w:p>
    <w:p w14:paraId="4BF85C08">
      <w:pPr>
        <w:pStyle w:val="3"/>
        <w:ind w:firstLine="216"/>
        <w:jc w:val="left"/>
        <w:rPr>
          <w:rFonts w:hint="eastAsia" w:ascii="黑体" w:hAnsi="宋体" w:eastAsia="黑体" w:cs="黑体"/>
          <w:i/>
          <w:color w:val="auto"/>
          <w:sz w:val="32"/>
          <w:szCs w:val="32"/>
          <w:highlight w:val="none"/>
          <w:u w:val="single"/>
          <w:lang w:val="en-US" w:eastAsia="zh-CN"/>
        </w:rPr>
      </w:pPr>
    </w:p>
    <w:p w14:paraId="6B4FEB7C">
      <w:pPr>
        <w:rPr>
          <w:rFonts w:hint="eastAsia" w:ascii="黑体" w:hAnsi="宋体" w:eastAsia="黑体" w:cs="黑体"/>
          <w:i/>
          <w:color w:val="auto"/>
          <w:sz w:val="32"/>
          <w:szCs w:val="32"/>
          <w:highlight w:val="none"/>
          <w:u w:val="single"/>
          <w:lang w:val="en-US" w:eastAsia="zh-CN"/>
        </w:rPr>
      </w:pPr>
    </w:p>
    <w:p w14:paraId="6E0D0881">
      <w:pPr>
        <w:rPr>
          <w:rFonts w:hint="eastAsia" w:ascii="黑体" w:hAnsi="宋体" w:eastAsia="黑体" w:cs="黑体"/>
          <w:i/>
          <w:color w:val="auto"/>
          <w:sz w:val="32"/>
          <w:szCs w:val="32"/>
          <w:highlight w:val="none"/>
          <w:u w:val="single"/>
          <w:lang w:val="en-US" w:eastAsia="zh-CN"/>
        </w:rPr>
      </w:pPr>
    </w:p>
    <w:p w14:paraId="0BC930A8">
      <w:pPr>
        <w:rPr>
          <w:rFonts w:hint="eastAsia" w:ascii="黑体" w:hAnsi="宋体" w:eastAsia="黑体" w:cs="黑体"/>
          <w:i/>
          <w:color w:val="auto"/>
          <w:sz w:val="32"/>
          <w:szCs w:val="32"/>
          <w:highlight w:val="none"/>
          <w:u w:val="single"/>
          <w:lang w:val="en-US" w:eastAsia="zh-CN"/>
        </w:rPr>
      </w:pPr>
    </w:p>
    <w:p w14:paraId="26765800">
      <w:pPr>
        <w:rPr>
          <w:rFonts w:hint="eastAsia" w:ascii="黑体" w:hAnsi="宋体" w:eastAsia="黑体" w:cs="黑体"/>
          <w:i/>
          <w:color w:val="auto"/>
          <w:sz w:val="32"/>
          <w:szCs w:val="32"/>
          <w:highlight w:val="none"/>
          <w:u w:val="single"/>
          <w:lang w:val="en-US" w:eastAsia="zh-CN"/>
        </w:rPr>
      </w:pPr>
    </w:p>
    <w:p w14:paraId="7BFDB225">
      <w:pPr>
        <w:rPr>
          <w:rFonts w:hint="eastAsia" w:ascii="黑体" w:hAnsi="宋体" w:eastAsia="黑体" w:cs="黑体"/>
          <w:i/>
          <w:color w:val="auto"/>
          <w:sz w:val="32"/>
          <w:szCs w:val="32"/>
          <w:highlight w:val="none"/>
          <w:u w:val="single"/>
          <w:lang w:val="en-US" w:eastAsia="zh-CN"/>
        </w:rPr>
      </w:pPr>
    </w:p>
    <w:p w14:paraId="045AC958">
      <w:pPr>
        <w:rPr>
          <w:rFonts w:hint="eastAsia" w:ascii="黑体" w:hAnsi="宋体" w:eastAsia="黑体" w:cs="黑体"/>
          <w:i/>
          <w:color w:val="auto"/>
          <w:sz w:val="32"/>
          <w:szCs w:val="32"/>
          <w:highlight w:val="none"/>
          <w:u w:val="single"/>
          <w:lang w:val="en-US" w:eastAsia="zh-CN"/>
        </w:rPr>
      </w:pPr>
    </w:p>
    <w:p w14:paraId="686B1748">
      <w:pPr>
        <w:rPr>
          <w:rFonts w:hint="eastAsia" w:ascii="黑体" w:hAnsi="宋体" w:eastAsia="黑体" w:cs="黑体"/>
          <w:i/>
          <w:color w:val="auto"/>
          <w:sz w:val="32"/>
          <w:szCs w:val="32"/>
          <w:highlight w:val="none"/>
          <w:u w:val="single"/>
          <w:lang w:val="en-US" w:eastAsia="zh-CN"/>
        </w:rPr>
      </w:pPr>
    </w:p>
    <w:p w14:paraId="627055B6">
      <w:pPr>
        <w:rPr>
          <w:rFonts w:hint="eastAsia" w:ascii="黑体" w:hAnsi="宋体" w:eastAsia="黑体" w:cs="黑体"/>
          <w:i/>
          <w:color w:val="auto"/>
          <w:sz w:val="32"/>
          <w:szCs w:val="32"/>
          <w:highlight w:val="none"/>
          <w:u w:val="single"/>
          <w:lang w:val="en-US" w:eastAsia="zh-CN"/>
        </w:rPr>
      </w:pPr>
    </w:p>
    <w:p w14:paraId="3D6D2E36">
      <w:pPr>
        <w:rPr>
          <w:rFonts w:hint="eastAsia" w:ascii="黑体" w:hAnsi="宋体" w:eastAsia="黑体" w:cs="黑体"/>
          <w:i/>
          <w:color w:val="auto"/>
          <w:sz w:val="32"/>
          <w:szCs w:val="32"/>
          <w:highlight w:val="none"/>
          <w:u w:val="single"/>
          <w:lang w:val="en-US" w:eastAsia="zh-CN"/>
        </w:rPr>
      </w:pPr>
    </w:p>
    <w:p w14:paraId="40225B15">
      <w:pPr>
        <w:pStyle w:val="3"/>
        <w:ind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四</w:t>
      </w:r>
      <w:r>
        <w:rPr>
          <w:rFonts w:hint="eastAsia" w:ascii="黑体" w:hAnsi="宋体" w:eastAsia="黑体" w:cs="黑体"/>
          <w:i w:val="0"/>
          <w:iCs/>
          <w:color w:val="auto"/>
          <w:sz w:val="32"/>
          <w:szCs w:val="32"/>
          <w:highlight w:val="none"/>
          <w:u w:val="none"/>
        </w:rPr>
        <w:t>、依法缴纳税收和社会保障资金的相关材料</w:t>
      </w:r>
    </w:p>
    <w:p w14:paraId="25503094">
      <w:pPr>
        <w:pStyle w:val="11"/>
        <w:keepNext w:val="0"/>
        <w:keepLines w:val="0"/>
        <w:pageBreakBefore w:val="0"/>
        <w:widowControl w:val="0"/>
        <w:kinsoku/>
        <w:wordWrap/>
        <w:overflowPunct/>
        <w:topLinePunct w:val="0"/>
        <w:autoSpaceDE/>
        <w:autoSpaceDN/>
        <w:bidi w:val="0"/>
        <w:adjustRightInd/>
        <w:snapToGrid/>
        <w:spacing w:beforeAutospacing="0" w:afterAutospacing="0" w:line="620" w:lineRule="exact"/>
        <w:ind w:firstLine="482"/>
        <w:jc w:val="both"/>
        <w:textAlignment w:val="auto"/>
        <w:rPr>
          <w:rFonts w:hint="eastAsia" w:ascii="宋体" w:hAnsi="宋体" w:eastAsia="宋体" w:cs="宋体"/>
          <w:color w:val="auto"/>
          <w:highlight w:val="none"/>
        </w:rPr>
      </w:pPr>
    </w:p>
    <w:p w14:paraId="6636CD36">
      <w:pPr>
        <w:pStyle w:val="11"/>
        <w:keepNext w:val="0"/>
        <w:keepLines w:val="0"/>
        <w:pageBreakBefore w:val="0"/>
        <w:widowControl w:val="0"/>
        <w:kinsoku/>
        <w:wordWrap/>
        <w:overflowPunct/>
        <w:topLinePunct w:val="0"/>
        <w:autoSpaceDE/>
        <w:autoSpaceDN/>
        <w:bidi w:val="0"/>
        <w:adjustRightInd/>
        <w:snapToGrid/>
        <w:spacing w:beforeAutospacing="0" w:afterAutospacing="0" w:line="620" w:lineRule="exact"/>
        <w:ind w:firstLine="482"/>
        <w:jc w:val="both"/>
        <w:textAlignment w:val="auto"/>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CC8D874">
      <w:pPr>
        <w:pStyle w:val="11"/>
        <w:spacing w:beforeAutospacing="0" w:afterAutospacing="0"/>
        <w:jc w:val="both"/>
        <w:rPr>
          <w:color w:val="auto"/>
          <w:highlight w:val="none"/>
        </w:rPr>
      </w:pPr>
      <w:r>
        <w:rPr>
          <w:color w:val="auto"/>
          <w:highlight w:val="none"/>
        </w:rPr>
        <w:t> </w:t>
      </w:r>
    </w:p>
    <w:p w14:paraId="5FD25C13">
      <w:pPr>
        <w:pStyle w:val="11"/>
        <w:spacing w:beforeAutospacing="0" w:afterAutospacing="0" w:line="0" w:lineRule="atLeast"/>
        <w:ind w:firstLine="480"/>
        <w:jc w:val="both"/>
        <w:rPr>
          <w:rFonts w:hint="eastAsia"/>
          <w:color w:val="auto"/>
          <w:highlight w:val="none"/>
          <w:lang w:val="en-US" w:eastAsia="zh-CN"/>
        </w:rPr>
      </w:pPr>
    </w:p>
    <w:p w14:paraId="14B48D94">
      <w:pPr>
        <w:pStyle w:val="11"/>
        <w:spacing w:beforeAutospacing="0" w:afterAutospacing="0" w:line="0" w:lineRule="atLeast"/>
        <w:ind w:firstLine="480"/>
        <w:jc w:val="both"/>
        <w:rPr>
          <w:rFonts w:hint="default" w:eastAsiaTheme="minorEastAsia"/>
          <w:b/>
          <w:bCs/>
          <w:color w:val="auto"/>
          <w:highlight w:val="none"/>
          <w:lang w:val="en-US" w:eastAsia="zh-CN"/>
        </w:rPr>
      </w:pPr>
      <w:r>
        <w:rPr>
          <w:rFonts w:hint="eastAsia"/>
          <w:b/>
          <w:bCs/>
          <w:color w:val="auto"/>
          <w:highlight w:val="none"/>
          <w:lang w:val="en-US" w:eastAsia="zh-CN"/>
        </w:rPr>
        <w:t>说明：若是联合体投标，联合体成员各方均需提供。</w:t>
      </w:r>
    </w:p>
    <w:p w14:paraId="489C88FB">
      <w:pPr>
        <w:pStyle w:val="11"/>
        <w:spacing w:beforeAutospacing="0" w:afterAutospacing="0"/>
        <w:jc w:val="both"/>
        <w:rPr>
          <w:color w:val="auto"/>
          <w:highlight w:val="none"/>
        </w:rPr>
      </w:pPr>
    </w:p>
    <w:p w14:paraId="0F1088D5">
      <w:pPr>
        <w:pStyle w:val="11"/>
        <w:spacing w:beforeAutospacing="0" w:afterAutospacing="0"/>
        <w:jc w:val="both"/>
        <w:rPr>
          <w:color w:val="auto"/>
          <w:highlight w:val="none"/>
        </w:rPr>
      </w:pPr>
    </w:p>
    <w:p w14:paraId="4A6B1D45">
      <w:pPr>
        <w:pStyle w:val="11"/>
        <w:spacing w:beforeAutospacing="0" w:afterAutospacing="0"/>
        <w:jc w:val="both"/>
        <w:rPr>
          <w:color w:val="auto"/>
          <w:highlight w:val="none"/>
        </w:rPr>
      </w:pPr>
    </w:p>
    <w:p w14:paraId="6D8B30EC">
      <w:pPr>
        <w:pStyle w:val="11"/>
        <w:spacing w:beforeAutospacing="0" w:afterAutospacing="0"/>
        <w:jc w:val="both"/>
        <w:rPr>
          <w:color w:val="auto"/>
          <w:highlight w:val="none"/>
        </w:rPr>
      </w:pPr>
    </w:p>
    <w:p w14:paraId="736CB51C">
      <w:pPr>
        <w:pStyle w:val="11"/>
        <w:spacing w:beforeAutospacing="0" w:afterAutospacing="0"/>
        <w:jc w:val="both"/>
        <w:rPr>
          <w:color w:val="auto"/>
          <w:highlight w:val="none"/>
        </w:rPr>
      </w:pPr>
    </w:p>
    <w:p w14:paraId="43D76BF3">
      <w:pPr>
        <w:pStyle w:val="11"/>
        <w:spacing w:beforeAutospacing="0" w:afterAutospacing="0"/>
        <w:jc w:val="both"/>
        <w:rPr>
          <w:color w:val="auto"/>
          <w:highlight w:val="none"/>
        </w:rPr>
      </w:pPr>
    </w:p>
    <w:p w14:paraId="67F580C0">
      <w:pPr>
        <w:pStyle w:val="11"/>
        <w:spacing w:beforeAutospacing="0" w:afterAutospacing="0"/>
        <w:jc w:val="both"/>
        <w:rPr>
          <w:color w:val="auto"/>
          <w:highlight w:val="none"/>
        </w:rPr>
      </w:pPr>
    </w:p>
    <w:p w14:paraId="0545E968">
      <w:pPr>
        <w:pStyle w:val="11"/>
        <w:spacing w:beforeAutospacing="0" w:afterAutospacing="0"/>
        <w:jc w:val="both"/>
        <w:rPr>
          <w:color w:val="auto"/>
          <w:highlight w:val="none"/>
        </w:rPr>
      </w:pPr>
    </w:p>
    <w:p w14:paraId="33B0787F">
      <w:pPr>
        <w:pStyle w:val="11"/>
        <w:spacing w:beforeAutospacing="0" w:afterAutospacing="0"/>
        <w:jc w:val="both"/>
        <w:rPr>
          <w:color w:val="auto"/>
          <w:highlight w:val="none"/>
        </w:rPr>
      </w:pPr>
    </w:p>
    <w:p w14:paraId="6299F0A6">
      <w:pPr>
        <w:pStyle w:val="11"/>
        <w:spacing w:beforeAutospacing="0" w:afterAutospacing="0"/>
        <w:jc w:val="both"/>
        <w:rPr>
          <w:color w:val="auto"/>
          <w:highlight w:val="none"/>
        </w:rPr>
      </w:pPr>
    </w:p>
    <w:p w14:paraId="39E8DDE5">
      <w:pPr>
        <w:pStyle w:val="11"/>
        <w:spacing w:beforeAutospacing="0" w:afterAutospacing="0"/>
        <w:jc w:val="both"/>
        <w:rPr>
          <w:color w:val="auto"/>
          <w:highlight w:val="none"/>
        </w:rPr>
      </w:pPr>
    </w:p>
    <w:p w14:paraId="479F1B76">
      <w:pPr>
        <w:pStyle w:val="11"/>
        <w:spacing w:beforeAutospacing="0" w:afterAutospacing="0"/>
        <w:jc w:val="both"/>
        <w:rPr>
          <w:color w:val="auto"/>
          <w:highlight w:val="none"/>
        </w:rPr>
      </w:pPr>
    </w:p>
    <w:p w14:paraId="679D407A">
      <w:pPr>
        <w:pStyle w:val="11"/>
        <w:spacing w:beforeAutospacing="0" w:afterAutospacing="0"/>
        <w:jc w:val="both"/>
        <w:rPr>
          <w:color w:val="auto"/>
          <w:highlight w:val="none"/>
        </w:rPr>
      </w:pPr>
    </w:p>
    <w:p w14:paraId="51EC5FB4">
      <w:pPr>
        <w:pStyle w:val="11"/>
        <w:spacing w:beforeAutospacing="0" w:afterAutospacing="0"/>
        <w:jc w:val="both"/>
        <w:rPr>
          <w:color w:val="auto"/>
          <w:highlight w:val="none"/>
        </w:rPr>
      </w:pPr>
    </w:p>
    <w:p w14:paraId="2DA0D20A">
      <w:pPr>
        <w:pStyle w:val="11"/>
        <w:spacing w:beforeAutospacing="0" w:afterAutospacing="0"/>
        <w:jc w:val="both"/>
        <w:rPr>
          <w:color w:val="auto"/>
          <w:highlight w:val="none"/>
        </w:rPr>
      </w:pPr>
    </w:p>
    <w:p w14:paraId="792DBAA1">
      <w:pPr>
        <w:pStyle w:val="11"/>
        <w:spacing w:beforeAutospacing="0" w:afterAutospacing="0"/>
        <w:jc w:val="both"/>
        <w:rPr>
          <w:color w:val="auto"/>
          <w:highlight w:val="none"/>
        </w:rPr>
      </w:pPr>
    </w:p>
    <w:p w14:paraId="55CA27B6">
      <w:pPr>
        <w:pStyle w:val="11"/>
        <w:spacing w:beforeAutospacing="0" w:afterAutospacing="0"/>
        <w:jc w:val="both"/>
        <w:rPr>
          <w:color w:val="auto"/>
          <w:highlight w:val="none"/>
        </w:rPr>
      </w:pPr>
    </w:p>
    <w:p w14:paraId="1C7C3BAB">
      <w:pPr>
        <w:pStyle w:val="11"/>
        <w:spacing w:beforeAutospacing="0" w:afterAutospacing="0"/>
        <w:jc w:val="both"/>
        <w:rPr>
          <w:color w:val="auto"/>
          <w:highlight w:val="none"/>
        </w:rPr>
      </w:pPr>
    </w:p>
    <w:p w14:paraId="707385A6">
      <w:pPr>
        <w:pStyle w:val="11"/>
        <w:spacing w:beforeAutospacing="0" w:afterAutospacing="0"/>
        <w:jc w:val="both"/>
        <w:rPr>
          <w:color w:val="auto"/>
          <w:highlight w:val="none"/>
        </w:rPr>
      </w:pPr>
    </w:p>
    <w:p w14:paraId="48B7B7AA">
      <w:pPr>
        <w:pStyle w:val="11"/>
        <w:spacing w:beforeAutospacing="0" w:afterAutospacing="0"/>
        <w:jc w:val="both"/>
        <w:rPr>
          <w:color w:val="auto"/>
          <w:highlight w:val="none"/>
        </w:rPr>
      </w:pPr>
    </w:p>
    <w:p w14:paraId="7062CB2B">
      <w:pPr>
        <w:pStyle w:val="11"/>
        <w:spacing w:beforeAutospacing="0" w:afterAutospacing="0"/>
        <w:jc w:val="both"/>
        <w:rPr>
          <w:color w:val="auto"/>
          <w:highlight w:val="none"/>
        </w:rPr>
      </w:pPr>
    </w:p>
    <w:p w14:paraId="26E9B1F4">
      <w:pPr>
        <w:pStyle w:val="11"/>
        <w:spacing w:beforeAutospacing="0" w:afterAutospacing="0"/>
        <w:jc w:val="both"/>
        <w:rPr>
          <w:color w:val="auto"/>
          <w:highlight w:val="none"/>
        </w:rPr>
      </w:pPr>
    </w:p>
    <w:p w14:paraId="1753617C">
      <w:pPr>
        <w:pStyle w:val="11"/>
        <w:spacing w:beforeAutospacing="0" w:afterAutospacing="0"/>
        <w:jc w:val="both"/>
        <w:rPr>
          <w:color w:val="auto"/>
          <w:highlight w:val="none"/>
        </w:rPr>
      </w:pPr>
    </w:p>
    <w:p w14:paraId="226DC48A">
      <w:pPr>
        <w:pStyle w:val="11"/>
        <w:spacing w:beforeAutospacing="0" w:afterAutospacing="0"/>
        <w:jc w:val="both"/>
        <w:rPr>
          <w:color w:val="auto"/>
          <w:highlight w:val="none"/>
        </w:rPr>
      </w:pPr>
    </w:p>
    <w:p w14:paraId="2EBB15C9">
      <w:pPr>
        <w:pStyle w:val="11"/>
        <w:spacing w:beforeAutospacing="0" w:afterAutospacing="0"/>
        <w:jc w:val="both"/>
        <w:rPr>
          <w:color w:val="auto"/>
          <w:highlight w:val="none"/>
        </w:rPr>
      </w:pPr>
    </w:p>
    <w:p w14:paraId="0856BC9E">
      <w:pPr>
        <w:pStyle w:val="11"/>
        <w:spacing w:beforeAutospacing="0" w:afterAutospacing="0"/>
        <w:jc w:val="both"/>
        <w:rPr>
          <w:color w:val="auto"/>
          <w:highlight w:val="none"/>
        </w:rPr>
      </w:pPr>
    </w:p>
    <w:p w14:paraId="0FE2FC72">
      <w:pPr>
        <w:pStyle w:val="11"/>
        <w:spacing w:beforeAutospacing="0" w:afterAutospacing="0"/>
        <w:jc w:val="both"/>
        <w:rPr>
          <w:color w:val="auto"/>
          <w:highlight w:val="none"/>
        </w:rPr>
      </w:pPr>
    </w:p>
    <w:p w14:paraId="41FF2FDE">
      <w:pPr>
        <w:pStyle w:val="11"/>
        <w:spacing w:beforeAutospacing="0" w:afterAutospacing="0"/>
        <w:jc w:val="both"/>
        <w:rPr>
          <w:color w:val="auto"/>
          <w:highlight w:val="none"/>
        </w:rPr>
      </w:pPr>
    </w:p>
    <w:p w14:paraId="1147651A">
      <w:pPr>
        <w:pStyle w:val="11"/>
        <w:spacing w:beforeAutospacing="0" w:afterAutospacing="0"/>
        <w:jc w:val="both"/>
        <w:rPr>
          <w:color w:val="auto"/>
          <w:highlight w:val="none"/>
        </w:rPr>
      </w:pPr>
    </w:p>
    <w:p w14:paraId="3FECE0E4">
      <w:pPr>
        <w:pStyle w:val="11"/>
        <w:spacing w:beforeAutospacing="0" w:afterAutospacing="0"/>
        <w:jc w:val="both"/>
        <w:rPr>
          <w:color w:val="auto"/>
          <w:highlight w:val="none"/>
        </w:rPr>
      </w:pPr>
    </w:p>
    <w:p w14:paraId="7F3368D2">
      <w:pPr>
        <w:pStyle w:val="3"/>
        <w:ind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五、参加政府采购活动前 3 年内在经营活动中没有重大违法记录的书面声明</w:t>
      </w:r>
    </w:p>
    <w:p w14:paraId="7448B83F">
      <w:pPr>
        <w:pStyle w:val="11"/>
        <w:spacing w:beforeAutospacing="0" w:afterAutospacing="0" w:line="0" w:lineRule="atLeast"/>
        <w:jc w:val="both"/>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w:t>
      </w:r>
    </w:p>
    <w:p w14:paraId="67A6C76F">
      <w:pPr>
        <w:pStyle w:val="11"/>
        <w:spacing w:beforeAutospacing="0" w:afterAutospacing="0" w:line="0" w:lineRule="atLeast"/>
        <w:ind w:firstLine="3092" w:firstLineChars="700"/>
        <w:jc w:val="both"/>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声  明</w:t>
      </w:r>
    </w:p>
    <w:p w14:paraId="18906DD0">
      <w:pPr>
        <w:pStyle w:val="11"/>
        <w:spacing w:beforeAutospacing="0" w:afterAutospacing="0" w:line="0" w:lineRule="atLeast"/>
        <w:ind w:firstLine="3092" w:firstLineChars="700"/>
        <w:jc w:val="both"/>
        <w:rPr>
          <w:rFonts w:hint="eastAsia" w:ascii="宋体" w:hAnsi="宋体" w:eastAsia="宋体" w:cs="宋体"/>
          <w:b/>
          <w:color w:val="auto"/>
          <w:sz w:val="44"/>
          <w:szCs w:val="44"/>
          <w:highlight w:val="none"/>
        </w:rPr>
      </w:pPr>
    </w:p>
    <w:p w14:paraId="45A26DB1">
      <w:pPr>
        <w:pStyle w:val="11"/>
        <w:keepNext w:val="0"/>
        <w:keepLines w:val="0"/>
        <w:pageBreakBefore w:val="0"/>
        <w:widowControl w:val="0"/>
        <w:kinsoku/>
        <w:wordWrap/>
        <w:overflowPunct/>
        <w:topLinePunct w:val="0"/>
        <w:autoSpaceDE/>
        <w:autoSpaceDN/>
        <w:bidi w:val="0"/>
        <w:adjustRightInd/>
        <w:snapToGrid/>
        <w:spacing w:beforeAutospacing="0" w:afterAutospacing="0" w:line="580" w:lineRule="atLeast"/>
        <w:jc w:val="both"/>
        <w:textAlignment w:val="auto"/>
        <w:rPr>
          <w:color w:val="auto"/>
          <w:highlight w:val="none"/>
        </w:rPr>
      </w:pPr>
      <w:r>
        <w:rPr>
          <w:rFonts w:hint="eastAsia" w:ascii="宋体" w:hAnsi="宋体" w:eastAsia="宋体" w:cs="宋体"/>
          <w:b/>
          <w:color w:val="auto"/>
          <w:highlight w:val="none"/>
        </w:rPr>
        <w:t>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0174D61F">
      <w:pPr>
        <w:pStyle w:val="11"/>
        <w:spacing w:beforeAutospacing="0" w:afterAutospacing="0"/>
        <w:jc w:val="both"/>
        <w:rPr>
          <w:color w:val="auto"/>
          <w:highlight w:val="none"/>
        </w:rPr>
      </w:pPr>
      <w:r>
        <w:rPr>
          <w:color w:val="auto"/>
          <w:highlight w:val="none"/>
        </w:rPr>
        <w:t> </w:t>
      </w:r>
    </w:p>
    <w:p w14:paraId="7C4BFC91">
      <w:pPr>
        <w:pStyle w:val="11"/>
        <w:spacing w:beforeAutospacing="0" w:afterAutospacing="0"/>
        <w:jc w:val="both"/>
        <w:rPr>
          <w:color w:val="auto"/>
          <w:highlight w:val="none"/>
        </w:rPr>
      </w:pPr>
    </w:p>
    <w:p w14:paraId="3033706D">
      <w:pPr>
        <w:pStyle w:val="11"/>
        <w:spacing w:beforeAutospacing="0" w:afterAutospacing="0" w:line="0" w:lineRule="atLeast"/>
        <w:ind w:firstLine="480"/>
        <w:jc w:val="both"/>
        <w:rPr>
          <w:rFonts w:hint="eastAsia"/>
          <w:color w:val="auto"/>
          <w:highlight w:val="none"/>
          <w:lang w:val="en-US" w:eastAsia="zh-CN"/>
        </w:rPr>
      </w:pPr>
    </w:p>
    <w:p w14:paraId="0026B9C1">
      <w:pPr>
        <w:pStyle w:val="11"/>
        <w:spacing w:beforeAutospacing="0" w:afterAutospacing="0" w:line="0" w:lineRule="atLeast"/>
        <w:ind w:firstLine="480"/>
        <w:jc w:val="both"/>
        <w:rPr>
          <w:rFonts w:hint="default" w:eastAsiaTheme="minorEastAsia"/>
          <w:b/>
          <w:bCs/>
          <w:color w:val="auto"/>
          <w:highlight w:val="none"/>
          <w:lang w:val="en-US" w:eastAsia="zh-CN"/>
        </w:rPr>
      </w:pPr>
      <w:r>
        <w:rPr>
          <w:rFonts w:hint="eastAsia"/>
          <w:b/>
          <w:bCs/>
          <w:color w:val="auto"/>
          <w:highlight w:val="none"/>
          <w:lang w:val="en-US" w:eastAsia="zh-CN"/>
        </w:rPr>
        <w:t>说明：若是联合体投标，联合体成员各方均需提供。</w:t>
      </w:r>
    </w:p>
    <w:p w14:paraId="3773E550">
      <w:pPr>
        <w:pStyle w:val="11"/>
        <w:spacing w:beforeAutospacing="0" w:afterAutospacing="0"/>
        <w:jc w:val="both"/>
        <w:rPr>
          <w:color w:val="auto"/>
          <w:highlight w:val="none"/>
        </w:rPr>
      </w:pPr>
    </w:p>
    <w:p w14:paraId="5530BE0D">
      <w:pPr>
        <w:pStyle w:val="11"/>
        <w:spacing w:beforeAutospacing="0" w:afterAutospacing="0"/>
        <w:jc w:val="both"/>
        <w:rPr>
          <w:color w:val="auto"/>
          <w:highlight w:val="none"/>
        </w:rPr>
      </w:pPr>
    </w:p>
    <w:p w14:paraId="0603220E">
      <w:pPr>
        <w:pStyle w:val="11"/>
        <w:spacing w:beforeAutospacing="0" w:afterAutospacing="0"/>
        <w:jc w:val="both"/>
        <w:rPr>
          <w:color w:val="auto"/>
          <w:highlight w:val="none"/>
        </w:rPr>
      </w:pPr>
    </w:p>
    <w:p w14:paraId="443D7256">
      <w:pPr>
        <w:pStyle w:val="11"/>
        <w:spacing w:beforeAutospacing="0" w:afterAutospacing="0"/>
        <w:jc w:val="both"/>
        <w:rPr>
          <w:color w:val="auto"/>
          <w:highlight w:val="none"/>
        </w:rPr>
      </w:pPr>
    </w:p>
    <w:p w14:paraId="61A49D02">
      <w:pPr>
        <w:pStyle w:val="11"/>
        <w:spacing w:beforeAutospacing="0" w:afterAutospacing="0"/>
        <w:jc w:val="both"/>
        <w:rPr>
          <w:color w:val="auto"/>
          <w:highlight w:val="none"/>
        </w:rPr>
      </w:pPr>
    </w:p>
    <w:p w14:paraId="05336437">
      <w:pPr>
        <w:pStyle w:val="11"/>
        <w:spacing w:beforeAutospacing="0" w:afterAutospacing="0"/>
        <w:jc w:val="both"/>
        <w:rPr>
          <w:color w:val="auto"/>
          <w:highlight w:val="none"/>
        </w:rPr>
      </w:pPr>
    </w:p>
    <w:p w14:paraId="6D6C5FB1">
      <w:pPr>
        <w:pStyle w:val="11"/>
        <w:spacing w:beforeAutospacing="0" w:afterAutospacing="0"/>
        <w:jc w:val="both"/>
        <w:rPr>
          <w:color w:val="auto"/>
          <w:highlight w:val="none"/>
        </w:rPr>
      </w:pPr>
    </w:p>
    <w:p w14:paraId="54AA4ECC">
      <w:pPr>
        <w:pStyle w:val="11"/>
        <w:spacing w:beforeAutospacing="0" w:afterAutospacing="0"/>
        <w:jc w:val="both"/>
        <w:rPr>
          <w:color w:val="auto"/>
          <w:highlight w:val="none"/>
        </w:rPr>
      </w:pPr>
    </w:p>
    <w:p w14:paraId="5E186541">
      <w:pPr>
        <w:pStyle w:val="11"/>
        <w:spacing w:beforeAutospacing="0" w:afterAutospacing="0"/>
        <w:jc w:val="both"/>
        <w:rPr>
          <w:color w:val="auto"/>
          <w:highlight w:val="none"/>
        </w:rPr>
      </w:pPr>
    </w:p>
    <w:p w14:paraId="49409DB5">
      <w:pPr>
        <w:pStyle w:val="11"/>
        <w:spacing w:beforeAutospacing="0" w:afterAutospacing="0"/>
        <w:jc w:val="both"/>
        <w:rPr>
          <w:color w:val="auto"/>
          <w:highlight w:val="none"/>
        </w:rPr>
      </w:pPr>
    </w:p>
    <w:p w14:paraId="34684AD0">
      <w:pPr>
        <w:pStyle w:val="11"/>
        <w:spacing w:beforeAutospacing="0" w:afterAutospacing="0"/>
        <w:jc w:val="both"/>
        <w:rPr>
          <w:color w:val="auto"/>
          <w:highlight w:val="none"/>
        </w:rPr>
      </w:pPr>
    </w:p>
    <w:p w14:paraId="3F5275A2">
      <w:pPr>
        <w:pStyle w:val="11"/>
        <w:spacing w:beforeAutospacing="0" w:afterAutospacing="0"/>
        <w:jc w:val="both"/>
        <w:rPr>
          <w:color w:val="auto"/>
          <w:highlight w:val="none"/>
        </w:rPr>
      </w:pPr>
    </w:p>
    <w:p w14:paraId="6877DCC0">
      <w:pPr>
        <w:pStyle w:val="11"/>
        <w:spacing w:beforeAutospacing="0" w:afterAutospacing="0"/>
        <w:jc w:val="both"/>
        <w:rPr>
          <w:color w:val="auto"/>
          <w:highlight w:val="none"/>
        </w:rPr>
      </w:pPr>
    </w:p>
    <w:p w14:paraId="569E6B5A">
      <w:pPr>
        <w:pStyle w:val="11"/>
        <w:spacing w:beforeAutospacing="0" w:afterAutospacing="0"/>
        <w:jc w:val="both"/>
        <w:rPr>
          <w:color w:val="auto"/>
          <w:highlight w:val="none"/>
        </w:rPr>
      </w:pPr>
    </w:p>
    <w:p w14:paraId="4E75560E">
      <w:pPr>
        <w:pStyle w:val="11"/>
        <w:spacing w:beforeAutospacing="0" w:afterAutospacing="0"/>
        <w:jc w:val="both"/>
        <w:rPr>
          <w:color w:val="auto"/>
          <w:highlight w:val="none"/>
        </w:rPr>
      </w:pPr>
    </w:p>
    <w:p w14:paraId="1E891E4D">
      <w:pPr>
        <w:pStyle w:val="11"/>
        <w:spacing w:beforeAutospacing="0" w:afterAutospacing="0"/>
        <w:jc w:val="both"/>
        <w:rPr>
          <w:color w:val="auto"/>
          <w:highlight w:val="none"/>
        </w:rPr>
      </w:pPr>
    </w:p>
    <w:p w14:paraId="4843ABD1">
      <w:pPr>
        <w:pStyle w:val="11"/>
        <w:spacing w:beforeAutospacing="0" w:afterAutospacing="0"/>
        <w:jc w:val="both"/>
        <w:rPr>
          <w:color w:val="auto"/>
          <w:highlight w:val="none"/>
        </w:rPr>
      </w:pPr>
    </w:p>
    <w:p w14:paraId="53C60FC4">
      <w:pPr>
        <w:pStyle w:val="11"/>
        <w:spacing w:beforeAutospacing="0" w:afterAutospacing="0"/>
        <w:jc w:val="both"/>
        <w:rPr>
          <w:color w:val="auto"/>
          <w:highlight w:val="none"/>
        </w:rPr>
      </w:pPr>
    </w:p>
    <w:p w14:paraId="32B3C95B">
      <w:pPr>
        <w:pStyle w:val="11"/>
        <w:spacing w:beforeAutospacing="0" w:afterAutospacing="0"/>
        <w:jc w:val="both"/>
        <w:rPr>
          <w:color w:val="auto"/>
          <w:highlight w:val="none"/>
        </w:rPr>
      </w:pPr>
    </w:p>
    <w:p w14:paraId="5E8B8192">
      <w:pPr>
        <w:pStyle w:val="11"/>
        <w:spacing w:beforeAutospacing="0" w:afterAutospacing="0"/>
        <w:jc w:val="both"/>
        <w:rPr>
          <w:color w:val="auto"/>
          <w:highlight w:val="none"/>
        </w:rPr>
      </w:pPr>
    </w:p>
    <w:p w14:paraId="561F6100">
      <w:pPr>
        <w:pStyle w:val="11"/>
        <w:spacing w:beforeAutospacing="0" w:afterAutospacing="0"/>
        <w:jc w:val="both"/>
        <w:rPr>
          <w:color w:val="auto"/>
          <w:highlight w:val="none"/>
        </w:rPr>
      </w:pPr>
    </w:p>
    <w:p w14:paraId="53EC3760">
      <w:pPr>
        <w:pStyle w:val="11"/>
        <w:spacing w:beforeAutospacing="0" w:afterAutospacing="0"/>
        <w:jc w:val="both"/>
        <w:rPr>
          <w:color w:val="auto"/>
          <w:highlight w:val="none"/>
        </w:rPr>
      </w:pPr>
    </w:p>
    <w:p w14:paraId="02A985DB">
      <w:pPr>
        <w:pStyle w:val="3"/>
        <w:ind w:firstLine="216"/>
        <w:jc w:val="center"/>
        <w:rPr>
          <w:rFonts w:hint="eastAsia" w:ascii="黑体" w:hAnsi="宋体" w:eastAsia="黑体" w:cs="黑体"/>
          <w:i w:val="0"/>
          <w:iCs/>
          <w:color w:val="auto"/>
          <w:sz w:val="32"/>
          <w:szCs w:val="32"/>
          <w:highlight w:val="none"/>
          <w:u w:val="none"/>
          <w:lang w:eastAsia="zh-CN"/>
        </w:rPr>
      </w:pPr>
      <w:r>
        <w:rPr>
          <w:rFonts w:hint="eastAsia" w:ascii="黑体" w:hAnsi="宋体" w:eastAsia="黑体" w:cs="黑体"/>
          <w:i w:val="0"/>
          <w:iCs/>
          <w:color w:val="auto"/>
          <w:sz w:val="32"/>
          <w:szCs w:val="32"/>
          <w:highlight w:val="none"/>
          <w:u w:val="none"/>
        </w:rPr>
        <w:t>六、特定资格要求的证明文件</w:t>
      </w:r>
      <w:r>
        <w:rPr>
          <w:rFonts w:hint="eastAsia" w:ascii="黑体" w:hAnsi="宋体" w:eastAsia="黑体" w:cs="黑体"/>
          <w:i w:val="0"/>
          <w:iCs/>
          <w:color w:val="auto"/>
          <w:sz w:val="32"/>
          <w:szCs w:val="32"/>
          <w:highlight w:val="none"/>
          <w:u w:val="none"/>
          <w:lang w:eastAsia="zh-CN"/>
        </w:rPr>
        <w:t>（</w:t>
      </w:r>
      <w:r>
        <w:rPr>
          <w:rFonts w:hint="eastAsia" w:ascii="黑体" w:hAnsi="宋体" w:eastAsia="黑体" w:cs="黑体"/>
          <w:i w:val="0"/>
          <w:iCs/>
          <w:color w:val="auto"/>
          <w:sz w:val="32"/>
          <w:szCs w:val="32"/>
          <w:highlight w:val="none"/>
          <w:u w:val="none"/>
          <w:lang w:val="en-US" w:eastAsia="zh-CN"/>
        </w:rPr>
        <w:t>无</w:t>
      </w:r>
      <w:r>
        <w:rPr>
          <w:rFonts w:hint="eastAsia" w:ascii="黑体" w:hAnsi="宋体" w:eastAsia="黑体" w:cs="黑体"/>
          <w:i w:val="0"/>
          <w:iCs/>
          <w:color w:val="auto"/>
          <w:sz w:val="32"/>
          <w:szCs w:val="32"/>
          <w:highlight w:val="none"/>
          <w:u w:val="none"/>
          <w:lang w:eastAsia="zh-CN"/>
        </w:rPr>
        <w:t>）</w:t>
      </w:r>
    </w:p>
    <w:p w14:paraId="040F340B">
      <w:pPr>
        <w:pStyle w:val="1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4A7199A">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如果本项目申请人的特定资格要求中要求提供的，必须提供。</w:t>
      </w:r>
    </w:p>
    <w:p w14:paraId="151D0F8F">
      <w:pPr>
        <w:pStyle w:val="11"/>
        <w:spacing w:beforeAutospacing="0" w:afterAutospacing="0"/>
        <w:jc w:val="center"/>
        <w:rPr>
          <w:rFonts w:ascii="黑体" w:hAnsi="宋体" w:eastAsia="黑体" w:cs="黑体"/>
          <w:i/>
          <w:color w:val="auto"/>
          <w:sz w:val="32"/>
          <w:szCs w:val="32"/>
          <w:highlight w:val="none"/>
          <w:u w:val="single"/>
        </w:rPr>
      </w:pPr>
      <w:bookmarkStart w:id="177" w:name="_Toc120614284"/>
    </w:p>
    <w:p w14:paraId="485E3873">
      <w:pPr>
        <w:pStyle w:val="11"/>
        <w:spacing w:beforeAutospacing="0" w:afterAutospacing="0"/>
        <w:jc w:val="center"/>
        <w:rPr>
          <w:rFonts w:ascii="黑体" w:hAnsi="宋体" w:eastAsia="黑体" w:cs="黑体"/>
          <w:i/>
          <w:color w:val="auto"/>
          <w:sz w:val="32"/>
          <w:szCs w:val="32"/>
          <w:highlight w:val="none"/>
          <w:u w:val="single"/>
        </w:rPr>
      </w:pPr>
    </w:p>
    <w:p w14:paraId="2955E12A">
      <w:pPr>
        <w:pStyle w:val="11"/>
        <w:spacing w:beforeAutospacing="0" w:afterAutospacing="0"/>
        <w:jc w:val="center"/>
        <w:rPr>
          <w:rFonts w:ascii="黑体" w:hAnsi="宋体" w:eastAsia="黑体" w:cs="黑体"/>
          <w:i/>
          <w:color w:val="auto"/>
          <w:sz w:val="32"/>
          <w:szCs w:val="32"/>
          <w:highlight w:val="none"/>
          <w:u w:val="single"/>
        </w:rPr>
      </w:pPr>
    </w:p>
    <w:p w14:paraId="77E1AD35">
      <w:pPr>
        <w:pStyle w:val="11"/>
        <w:spacing w:beforeAutospacing="0" w:afterAutospacing="0"/>
        <w:jc w:val="center"/>
        <w:rPr>
          <w:rFonts w:ascii="黑体" w:hAnsi="宋体" w:eastAsia="黑体" w:cs="黑体"/>
          <w:i/>
          <w:color w:val="auto"/>
          <w:sz w:val="32"/>
          <w:szCs w:val="32"/>
          <w:highlight w:val="none"/>
          <w:u w:val="single"/>
        </w:rPr>
      </w:pPr>
    </w:p>
    <w:p w14:paraId="315220A5">
      <w:pPr>
        <w:pStyle w:val="11"/>
        <w:spacing w:beforeAutospacing="0" w:afterAutospacing="0"/>
        <w:jc w:val="center"/>
        <w:rPr>
          <w:rFonts w:ascii="黑体" w:hAnsi="宋体" w:eastAsia="黑体" w:cs="黑体"/>
          <w:i/>
          <w:color w:val="auto"/>
          <w:sz w:val="32"/>
          <w:szCs w:val="32"/>
          <w:highlight w:val="none"/>
          <w:u w:val="single"/>
        </w:rPr>
      </w:pPr>
    </w:p>
    <w:p w14:paraId="28471B8E">
      <w:pPr>
        <w:pStyle w:val="11"/>
        <w:spacing w:beforeAutospacing="0" w:afterAutospacing="0"/>
        <w:jc w:val="center"/>
        <w:rPr>
          <w:rFonts w:ascii="黑体" w:hAnsi="宋体" w:eastAsia="黑体" w:cs="黑体"/>
          <w:i/>
          <w:color w:val="auto"/>
          <w:sz w:val="32"/>
          <w:szCs w:val="32"/>
          <w:highlight w:val="none"/>
          <w:u w:val="single"/>
        </w:rPr>
      </w:pPr>
    </w:p>
    <w:p w14:paraId="1BEC5CB8">
      <w:pPr>
        <w:pStyle w:val="11"/>
        <w:spacing w:beforeAutospacing="0" w:afterAutospacing="0"/>
        <w:jc w:val="center"/>
        <w:rPr>
          <w:rFonts w:ascii="黑体" w:hAnsi="宋体" w:eastAsia="黑体" w:cs="黑体"/>
          <w:i/>
          <w:color w:val="auto"/>
          <w:sz w:val="32"/>
          <w:szCs w:val="32"/>
          <w:highlight w:val="none"/>
          <w:u w:val="single"/>
        </w:rPr>
      </w:pPr>
    </w:p>
    <w:p w14:paraId="1984BBCD">
      <w:pPr>
        <w:pStyle w:val="11"/>
        <w:spacing w:beforeAutospacing="0" w:afterAutospacing="0"/>
        <w:jc w:val="center"/>
        <w:rPr>
          <w:rFonts w:ascii="黑体" w:hAnsi="宋体" w:eastAsia="黑体" w:cs="黑体"/>
          <w:i/>
          <w:color w:val="auto"/>
          <w:sz w:val="32"/>
          <w:szCs w:val="32"/>
          <w:highlight w:val="none"/>
          <w:u w:val="single"/>
        </w:rPr>
      </w:pPr>
    </w:p>
    <w:p w14:paraId="3611D09C">
      <w:pPr>
        <w:pStyle w:val="11"/>
        <w:spacing w:beforeAutospacing="0" w:afterAutospacing="0"/>
        <w:jc w:val="center"/>
        <w:rPr>
          <w:rFonts w:ascii="黑体" w:hAnsi="宋体" w:eastAsia="黑体" w:cs="黑体"/>
          <w:i/>
          <w:color w:val="auto"/>
          <w:sz w:val="32"/>
          <w:szCs w:val="32"/>
          <w:highlight w:val="none"/>
          <w:u w:val="single"/>
        </w:rPr>
      </w:pPr>
    </w:p>
    <w:p w14:paraId="7FF306C5">
      <w:pPr>
        <w:pStyle w:val="11"/>
        <w:spacing w:beforeAutospacing="0" w:afterAutospacing="0"/>
        <w:jc w:val="center"/>
        <w:rPr>
          <w:rFonts w:ascii="黑体" w:hAnsi="宋体" w:eastAsia="黑体" w:cs="黑体"/>
          <w:i/>
          <w:color w:val="auto"/>
          <w:sz w:val="32"/>
          <w:szCs w:val="32"/>
          <w:highlight w:val="none"/>
          <w:u w:val="single"/>
        </w:rPr>
      </w:pPr>
    </w:p>
    <w:p w14:paraId="3D32FE72">
      <w:pPr>
        <w:pStyle w:val="11"/>
        <w:spacing w:beforeAutospacing="0" w:afterAutospacing="0"/>
        <w:jc w:val="center"/>
        <w:rPr>
          <w:rFonts w:ascii="黑体" w:hAnsi="宋体" w:eastAsia="黑体" w:cs="黑体"/>
          <w:i/>
          <w:color w:val="auto"/>
          <w:sz w:val="32"/>
          <w:szCs w:val="32"/>
          <w:highlight w:val="none"/>
          <w:u w:val="single"/>
        </w:rPr>
      </w:pPr>
    </w:p>
    <w:p w14:paraId="01CC31D3">
      <w:pPr>
        <w:pStyle w:val="11"/>
        <w:spacing w:beforeAutospacing="0" w:afterAutospacing="0"/>
        <w:jc w:val="center"/>
        <w:rPr>
          <w:rFonts w:ascii="黑体" w:hAnsi="宋体" w:eastAsia="黑体" w:cs="黑体"/>
          <w:i/>
          <w:color w:val="auto"/>
          <w:sz w:val="32"/>
          <w:szCs w:val="32"/>
          <w:highlight w:val="none"/>
          <w:u w:val="single"/>
        </w:rPr>
      </w:pPr>
    </w:p>
    <w:p w14:paraId="6E726798">
      <w:pPr>
        <w:pStyle w:val="11"/>
        <w:spacing w:beforeAutospacing="0" w:afterAutospacing="0"/>
        <w:jc w:val="center"/>
        <w:rPr>
          <w:rFonts w:ascii="黑体" w:hAnsi="宋体" w:eastAsia="黑体" w:cs="黑体"/>
          <w:i/>
          <w:color w:val="auto"/>
          <w:sz w:val="32"/>
          <w:szCs w:val="32"/>
          <w:highlight w:val="none"/>
          <w:u w:val="single"/>
        </w:rPr>
      </w:pPr>
    </w:p>
    <w:p w14:paraId="2D0D4BA7">
      <w:pPr>
        <w:pStyle w:val="11"/>
        <w:spacing w:beforeAutospacing="0" w:afterAutospacing="0"/>
        <w:jc w:val="center"/>
        <w:rPr>
          <w:rFonts w:ascii="黑体" w:hAnsi="宋体" w:eastAsia="黑体" w:cs="黑体"/>
          <w:i/>
          <w:color w:val="auto"/>
          <w:sz w:val="32"/>
          <w:szCs w:val="32"/>
          <w:highlight w:val="none"/>
          <w:u w:val="single"/>
        </w:rPr>
      </w:pPr>
    </w:p>
    <w:p w14:paraId="32527C75">
      <w:pPr>
        <w:pStyle w:val="11"/>
        <w:spacing w:beforeAutospacing="0" w:afterAutospacing="0"/>
        <w:jc w:val="center"/>
        <w:rPr>
          <w:rFonts w:ascii="黑体" w:hAnsi="宋体" w:eastAsia="黑体" w:cs="黑体"/>
          <w:i/>
          <w:color w:val="auto"/>
          <w:sz w:val="32"/>
          <w:szCs w:val="32"/>
          <w:highlight w:val="none"/>
          <w:u w:val="single"/>
        </w:rPr>
      </w:pPr>
    </w:p>
    <w:p w14:paraId="0F05A424">
      <w:pPr>
        <w:pStyle w:val="11"/>
        <w:spacing w:beforeAutospacing="0" w:afterAutospacing="0"/>
        <w:jc w:val="center"/>
        <w:rPr>
          <w:rFonts w:ascii="黑体" w:hAnsi="宋体" w:eastAsia="黑体" w:cs="黑体"/>
          <w:i/>
          <w:color w:val="auto"/>
          <w:sz w:val="32"/>
          <w:szCs w:val="32"/>
          <w:highlight w:val="none"/>
          <w:u w:val="single"/>
        </w:rPr>
      </w:pPr>
    </w:p>
    <w:p w14:paraId="2A77D3F2">
      <w:pPr>
        <w:pStyle w:val="11"/>
        <w:spacing w:beforeAutospacing="0" w:afterAutospacing="0"/>
        <w:jc w:val="center"/>
        <w:rPr>
          <w:rFonts w:ascii="黑体" w:hAnsi="宋体" w:eastAsia="黑体" w:cs="黑体"/>
          <w:i/>
          <w:color w:val="auto"/>
          <w:sz w:val="32"/>
          <w:szCs w:val="32"/>
          <w:highlight w:val="none"/>
          <w:u w:val="single"/>
        </w:rPr>
      </w:pPr>
    </w:p>
    <w:p w14:paraId="375A0F7E">
      <w:pPr>
        <w:pStyle w:val="11"/>
        <w:spacing w:beforeAutospacing="0" w:afterAutospacing="0"/>
        <w:jc w:val="center"/>
        <w:rPr>
          <w:rFonts w:ascii="黑体" w:hAnsi="宋体" w:eastAsia="黑体" w:cs="黑体"/>
          <w:i/>
          <w:color w:val="auto"/>
          <w:sz w:val="32"/>
          <w:szCs w:val="32"/>
          <w:highlight w:val="none"/>
          <w:u w:val="single"/>
        </w:rPr>
      </w:pPr>
    </w:p>
    <w:p w14:paraId="56B66977">
      <w:pPr>
        <w:pStyle w:val="11"/>
        <w:spacing w:beforeAutospacing="0" w:afterAutospacing="0"/>
        <w:jc w:val="center"/>
        <w:rPr>
          <w:rFonts w:ascii="黑体" w:hAnsi="宋体" w:eastAsia="黑体" w:cs="黑体"/>
          <w:i/>
          <w:color w:val="auto"/>
          <w:sz w:val="32"/>
          <w:szCs w:val="32"/>
          <w:highlight w:val="none"/>
          <w:u w:val="single"/>
        </w:rPr>
      </w:pPr>
    </w:p>
    <w:p w14:paraId="1D70069C">
      <w:pPr>
        <w:pStyle w:val="11"/>
        <w:spacing w:beforeAutospacing="0" w:afterAutospacing="0"/>
        <w:jc w:val="center"/>
        <w:rPr>
          <w:rFonts w:ascii="黑体" w:hAnsi="宋体" w:eastAsia="黑体" w:cs="黑体"/>
          <w:i/>
          <w:color w:val="auto"/>
          <w:sz w:val="32"/>
          <w:szCs w:val="32"/>
          <w:highlight w:val="none"/>
          <w:u w:val="single"/>
        </w:rPr>
      </w:pPr>
    </w:p>
    <w:p w14:paraId="1CEC30E9">
      <w:pPr>
        <w:pStyle w:val="3"/>
        <w:ind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七、法人授权书</w:t>
      </w:r>
    </w:p>
    <w:p w14:paraId="04BED8CA">
      <w:pPr>
        <w:pStyle w:val="11"/>
        <w:tabs>
          <w:tab w:val="left" w:pos="360"/>
        </w:tabs>
        <w:spacing w:beforeAutospacing="0" w:afterAutospacing="0"/>
        <w:ind w:firstLine="480"/>
        <w:jc w:val="both"/>
        <w:rPr>
          <w:rFonts w:ascii="Times New Roman" w:hAnsi="Times New Roman"/>
          <w:color w:val="auto"/>
          <w:highlight w:val="none"/>
        </w:rPr>
      </w:pPr>
    </w:p>
    <w:p w14:paraId="54D35F1F">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ind w:firstLine="480"/>
        <w:jc w:val="both"/>
        <w:textAlignment w:val="auto"/>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09221004">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ind w:firstLine="480"/>
        <w:jc w:val="both"/>
        <w:textAlignment w:val="auto"/>
        <w:rPr>
          <w:color w:val="auto"/>
          <w:highlight w:val="none"/>
        </w:rPr>
      </w:pPr>
      <w:r>
        <w:rPr>
          <w:rFonts w:ascii="Times New Roman" w:hAnsi="Times New Roman"/>
          <w:color w:val="auto"/>
          <w:highlight w:val="none"/>
        </w:rPr>
        <w:t>本授权书于______年____月____日起生效，特此声明。</w:t>
      </w:r>
    </w:p>
    <w:p w14:paraId="4E6AAD21">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ind w:firstLine="480"/>
        <w:jc w:val="both"/>
        <w:textAlignment w:val="auto"/>
        <w:rPr>
          <w:rFonts w:ascii="Times New Roman" w:hAnsi="Times New Roman"/>
          <w:color w:val="auto"/>
          <w:highlight w:val="none"/>
        </w:rPr>
      </w:pPr>
      <w:r>
        <w:rPr>
          <w:rFonts w:ascii="Times New Roman" w:hAnsi="Times New Roman"/>
          <w:color w:val="auto"/>
          <w:highlight w:val="none"/>
        </w:rPr>
        <w:t> </w:t>
      </w:r>
    </w:p>
    <w:p w14:paraId="684AF516">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ind w:firstLine="480"/>
        <w:jc w:val="both"/>
        <w:textAlignment w:val="auto"/>
        <w:rPr>
          <w:rFonts w:hint="default" w:eastAsiaTheme="minorEastAsia"/>
          <w:color w:val="auto"/>
          <w:highlight w:val="none"/>
          <w:lang w:val="en-US" w:eastAsia="zh-CN"/>
        </w:rPr>
      </w:pPr>
      <w:r>
        <w:rPr>
          <w:rFonts w:ascii="Times New Roman" w:hAnsi="Times New Roman"/>
          <w:color w:val="auto"/>
          <w:highlight w:val="none"/>
        </w:rPr>
        <w:t>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p>
    <w:p w14:paraId="15C3BC56">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jc w:val="both"/>
        <w:textAlignment w:val="auto"/>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5EAA9380">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ind w:left="0" w:leftChars="0" w:firstLine="660" w:firstLineChars="275"/>
        <w:jc w:val="both"/>
        <w:textAlignment w:val="auto"/>
        <w:rPr>
          <w:rFonts w:hint="default" w:eastAsiaTheme="minorEastAsia"/>
          <w:color w:val="auto"/>
          <w:highlight w:val="none"/>
          <w:lang w:val="en-US" w:eastAsia="zh-CN"/>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r>
        <w:rPr>
          <w:rFonts w:hint="eastAsia" w:ascii="Times New Roman" w:hAnsi="Times New Roman"/>
          <w:color w:val="auto"/>
          <w:highlight w:val="none"/>
          <w:u w:val="single"/>
          <w:lang w:val="en-US" w:eastAsia="zh-CN"/>
        </w:rPr>
        <w:t xml:space="preserve">     </w:t>
      </w:r>
    </w:p>
    <w:p w14:paraId="208F15E9">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ind w:firstLine="480"/>
        <w:jc w:val="both"/>
        <w:textAlignment w:val="auto"/>
        <w:rPr>
          <w:rFonts w:hint="default" w:eastAsiaTheme="minorEastAsia"/>
          <w:color w:val="auto"/>
          <w:highlight w:val="none"/>
          <w:lang w:val="en-US" w:eastAsia="zh-CN"/>
        </w:rPr>
      </w:pPr>
      <w:r>
        <w:rPr>
          <w:rFonts w:ascii="Times New Roman" w:hAnsi="Times New Roman"/>
          <w:color w:val="auto"/>
          <w:highlight w:val="none"/>
        </w:rPr>
        <w:t>  单位地址：</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u w:val="none"/>
          <w:lang w:val="en-US" w:eastAsia="zh-CN"/>
        </w:rPr>
        <w:t xml:space="preserve">    </w:t>
      </w:r>
    </w:p>
    <w:p w14:paraId="1ABE4D75">
      <w:pPr>
        <w:pStyle w:val="11"/>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80" w:lineRule="exact"/>
        <w:ind w:firstLine="480"/>
        <w:jc w:val="both"/>
        <w:textAlignment w:val="auto"/>
        <w:rPr>
          <w:color w:val="auto"/>
          <w:highlight w:val="none"/>
        </w:rPr>
      </w:pPr>
      <w:r>
        <w:rPr>
          <w:rFonts w:ascii="Times New Roman" w:hAnsi="Times New Roman"/>
          <w:color w:val="auto"/>
          <w:highlight w:val="none"/>
        </w:rPr>
        <w:t>   日期：</w:t>
      </w:r>
      <w:bookmarkStart w:id="178" w:name="_Hlt26955070"/>
      <w:bookmarkStart w:id="179" w:name="_格式3__银行出具的资信证明"/>
      <w:bookmarkStart w:id="180" w:name="_Hlt26671380"/>
      <w:r>
        <w:rPr>
          <w:rFonts w:ascii="Times New Roman" w:hAnsi="Times New Roman"/>
          <w:color w:val="auto"/>
          <w:highlight w:val="none"/>
          <w:u w:val="single"/>
        </w:rPr>
        <w:t>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p>
    <w:p w14:paraId="22BC2E0E">
      <w:pPr>
        <w:pStyle w:val="11"/>
        <w:spacing w:beforeAutospacing="0" w:afterAutospacing="0"/>
        <w:ind w:firstLine="420"/>
        <w:jc w:val="both"/>
        <w:rPr>
          <w:color w:val="auto"/>
          <w:highlight w:val="none"/>
        </w:rPr>
      </w:pPr>
      <w:r>
        <w:rPr>
          <w:color w:val="auto"/>
          <w:highlight w:val="none"/>
        </w:rPr>
        <w:t> </w:t>
      </w:r>
    </w:p>
    <w:p w14:paraId="12042EB6">
      <w:pPr>
        <w:pStyle w:val="11"/>
        <w:spacing w:beforeAutospacing="0" w:afterAutospacing="0"/>
        <w:jc w:val="both"/>
        <w:rPr>
          <w:color w:val="auto"/>
          <w:highlight w:val="none"/>
        </w:rPr>
      </w:pPr>
      <w:r>
        <w:rPr>
          <w:color w:val="auto"/>
          <w:highlight w:val="none"/>
        </w:rPr>
        <w:t> </w:t>
      </w:r>
    </w:p>
    <w:p w14:paraId="65AE7B26">
      <w:pPr>
        <w:pStyle w:val="1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A33E572">
      <w:pPr>
        <w:pStyle w:val="11"/>
        <w:spacing w:beforeAutospacing="0" w:afterAutospacing="0" w:line="0" w:lineRule="atLeast"/>
        <w:jc w:val="both"/>
        <w:rPr>
          <w:color w:val="auto"/>
          <w:highlight w:val="none"/>
          <w:shd w:val="clear" w:color="auto" w:fill="auto"/>
        </w:rPr>
      </w:pPr>
    </w:p>
    <w:p w14:paraId="63435F65">
      <w:pPr>
        <w:pStyle w:val="11"/>
        <w:spacing w:beforeAutospacing="0" w:afterAutospacing="0" w:line="0" w:lineRule="atLeast"/>
        <w:jc w:val="both"/>
        <w:rPr>
          <w:color w:val="auto"/>
          <w:highlight w:val="none"/>
          <w:shd w:val="clear" w:color="auto" w:fill="auto"/>
        </w:rPr>
      </w:pPr>
    </w:p>
    <w:p w14:paraId="330F28C8">
      <w:pPr>
        <w:pStyle w:val="11"/>
        <w:spacing w:beforeAutospacing="0" w:afterAutospacing="0" w:line="0" w:lineRule="atLeast"/>
        <w:jc w:val="both"/>
        <w:rPr>
          <w:color w:val="auto"/>
          <w:highlight w:val="none"/>
          <w:shd w:val="clear" w:color="auto" w:fill="auto"/>
        </w:rPr>
      </w:pPr>
    </w:p>
    <w:p w14:paraId="0F257193">
      <w:pPr>
        <w:pStyle w:val="11"/>
        <w:spacing w:beforeAutospacing="0" w:afterAutospacing="0" w:line="0" w:lineRule="atLeast"/>
        <w:jc w:val="both"/>
        <w:rPr>
          <w:color w:val="auto"/>
          <w:highlight w:val="none"/>
          <w:shd w:val="clear" w:color="auto" w:fill="auto"/>
        </w:rPr>
      </w:pPr>
    </w:p>
    <w:p w14:paraId="451B71E5">
      <w:pPr>
        <w:pStyle w:val="11"/>
        <w:spacing w:beforeAutospacing="0" w:afterAutospacing="0" w:line="0" w:lineRule="atLeast"/>
        <w:jc w:val="both"/>
        <w:rPr>
          <w:color w:val="auto"/>
          <w:highlight w:val="none"/>
          <w:shd w:val="clear" w:color="auto" w:fill="auto"/>
        </w:rPr>
      </w:pPr>
    </w:p>
    <w:p w14:paraId="23F505AD">
      <w:pPr>
        <w:pStyle w:val="11"/>
        <w:spacing w:beforeAutospacing="0" w:afterAutospacing="0" w:line="0" w:lineRule="atLeast"/>
        <w:jc w:val="both"/>
        <w:rPr>
          <w:color w:val="auto"/>
          <w:highlight w:val="none"/>
          <w:shd w:val="clear" w:color="auto" w:fill="auto"/>
        </w:rPr>
      </w:pPr>
    </w:p>
    <w:p w14:paraId="0CB8FD9D">
      <w:pPr>
        <w:pStyle w:val="11"/>
        <w:spacing w:beforeAutospacing="0" w:afterAutospacing="0" w:line="0" w:lineRule="atLeast"/>
        <w:jc w:val="both"/>
        <w:rPr>
          <w:color w:val="auto"/>
          <w:highlight w:val="none"/>
          <w:shd w:val="clear" w:color="auto" w:fill="auto"/>
        </w:rPr>
      </w:pPr>
    </w:p>
    <w:p w14:paraId="4CB27F45">
      <w:pPr>
        <w:pStyle w:val="11"/>
        <w:spacing w:beforeAutospacing="0" w:afterAutospacing="0" w:line="0" w:lineRule="atLeast"/>
        <w:jc w:val="both"/>
        <w:rPr>
          <w:color w:val="auto"/>
          <w:highlight w:val="none"/>
          <w:shd w:val="clear" w:color="auto" w:fill="auto"/>
        </w:rPr>
      </w:pPr>
    </w:p>
    <w:p w14:paraId="56FEBA7F">
      <w:pPr>
        <w:pStyle w:val="11"/>
        <w:spacing w:beforeAutospacing="0" w:afterAutospacing="0" w:line="0" w:lineRule="atLeast"/>
        <w:jc w:val="both"/>
        <w:rPr>
          <w:color w:val="auto"/>
          <w:highlight w:val="none"/>
          <w:shd w:val="clear" w:color="auto" w:fill="auto"/>
        </w:rPr>
      </w:pPr>
    </w:p>
    <w:p w14:paraId="0329ED71">
      <w:pPr>
        <w:pStyle w:val="11"/>
        <w:spacing w:beforeAutospacing="0" w:afterAutospacing="0" w:line="0" w:lineRule="atLeast"/>
        <w:jc w:val="both"/>
        <w:rPr>
          <w:color w:val="auto"/>
          <w:highlight w:val="none"/>
          <w:shd w:val="clear" w:color="auto" w:fill="auto"/>
        </w:rPr>
      </w:pPr>
    </w:p>
    <w:p w14:paraId="07D98BA0">
      <w:pPr>
        <w:pStyle w:val="11"/>
        <w:spacing w:beforeAutospacing="0" w:afterAutospacing="0" w:line="0" w:lineRule="atLeast"/>
        <w:jc w:val="both"/>
        <w:rPr>
          <w:color w:val="auto"/>
          <w:highlight w:val="none"/>
          <w:shd w:val="clear" w:color="auto" w:fill="auto"/>
        </w:rPr>
      </w:pPr>
    </w:p>
    <w:p w14:paraId="7E312A28">
      <w:pPr>
        <w:pStyle w:val="11"/>
        <w:spacing w:beforeAutospacing="0" w:afterAutospacing="0" w:line="0" w:lineRule="atLeast"/>
        <w:jc w:val="both"/>
        <w:rPr>
          <w:color w:val="auto"/>
          <w:highlight w:val="none"/>
          <w:shd w:val="clear" w:color="auto" w:fill="auto"/>
        </w:rPr>
      </w:pPr>
    </w:p>
    <w:p w14:paraId="1C13F960">
      <w:pPr>
        <w:pStyle w:val="11"/>
        <w:spacing w:beforeAutospacing="0" w:afterAutospacing="0" w:line="0" w:lineRule="atLeast"/>
        <w:jc w:val="both"/>
        <w:rPr>
          <w:color w:val="auto"/>
          <w:highlight w:val="none"/>
          <w:shd w:val="clear" w:color="auto" w:fill="auto"/>
        </w:rPr>
      </w:pPr>
    </w:p>
    <w:p w14:paraId="5A8A6E68">
      <w:pPr>
        <w:pStyle w:val="11"/>
        <w:spacing w:beforeAutospacing="0" w:afterAutospacing="0" w:line="0" w:lineRule="atLeast"/>
        <w:jc w:val="both"/>
        <w:rPr>
          <w:color w:val="auto"/>
          <w:highlight w:val="none"/>
          <w:shd w:val="clear" w:color="auto" w:fill="auto"/>
        </w:rPr>
      </w:pPr>
    </w:p>
    <w:p w14:paraId="71EAA57A">
      <w:pPr>
        <w:pStyle w:val="11"/>
        <w:spacing w:beforeAutospacing="0" w:afterAutospacing="0" w:line="0" w:lineRule="atLeast"/>
        <w:jc w:val="both"/>
        <w:rPr>
          <w:color w:val="auto"/>
          <w:highlight w:val="none"/>
          <w:shd w:val="clear" w:color="auto" w:fill="auto"/>
        </w:rPr>
      </w:pPr>
    </w:p>
    <w:p w14:paraId="2272CD52">
      <w:pPr>
        <w:pStyle w:val="11"/>
        <w:spacing w:beforeAutospacing="0" w:afterAutospacing="0" w:line="0" w:lineRule="atLeast"/>
        <w:jc w:val="both"/>
        <w:rPr>
          <w:color w:val="auto"/>
          <w:highlight w:val="none"/>
          <w:shd w:val="clear" w:color="auto" w:fill="auto"/>
        </w:rPr>
      </w:pPr>
    </w:p>
    <w:p w14:paraId="66C128CC">
      <w:pPr>
        <w:pStyle w:val="11"/>
        <w:spacing w:beforeAutospacing="0" w:afterAutospacing="0" w:line="0" w:lineRule="atLeast"/>
        <w:jc w:val="both"/>
        <w:rPr>
          <w:color w:val="auto"/>
          <w:highlight w:val="none"/>
          <w:shd w:val="clear" w:color="auto" w:fill="auto"/>
        </w:rPr>
      </w:pPr>
    </w:p>
    <w:p w14:paraId="6A52DBF3">
      <w:pPr>
        <w:pStyle w:val="11"/>
        <w:spacing w:beforeAutospacing="0" w:afterAutospacing="0" w:line="0" w:lineRule="atLeast"/>
        <w:jc w:val="both"/>
        <w:rPr>
          <w:color w:val="auto"/>
          <w:highlight w:val="none"/>
          <w:shd w:val="clear" w:color="auto" w:fill="auto"/>
        </w:rPr>
      </w:pPr>
    </w:p>
    <w:p w14:paraId="6B051C58">
      <w:pPr>
        <w:pStyle w:val="11"/>
        <w:spacing w:beforeAutospacing="0" w:afterAutospacing="0" w:line="0" w:lineRule="atLeast"/>
        <w:jc w:val="both"/>
        <w:rPr>
          <w:color w:val="auto"/>
          <w:highlight w:val="none"/>
          <w:shd w:val="clear" w:color="auto" w:fill="auto"/>
        </w:rPr>
      </w:pPr>
    </w:p>
    <w:p w14:paraId="42465921">
      <w:pPr>
        <w:pStyle w:val="3"/>
        <w:ind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八、投标函</w:t>
      </w:r>
    </w:p>
    <w:p w14:paraId="11974A0B">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textAlignment w:val="auto"/>
        <w:rPr>
          <w:rFonts w:hint="default" w:eastAsia="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u w:val="single"/>
          <w:lang w:val="en-US" w:eastAsia="zh-CN"/>
        </w:rPr>
        <w:t xml:space="preserve">                </w:t>
      </w:r>
    </w:p>
    <w:p w14:paraId="2D58743C">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63143E90">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据此函，__________签字人兹宣布同意如下：</w:t>
      </w:r>
    </w:p>
    <w:p w14:paraId="208D0767">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6AE3C05B">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2.我们完全理解贵方不一定将合同授予最低报价的投标人。</w:t>
      </w:r>
    </w:p>
    <w:p w14:paraId="674E47C7">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83A4DCD">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6D012F91">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6E55D021">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0"/>
        <w:textAlignment w:val="auto"/>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70E91395">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5"/>
        <w:textAlignment w:val="auto"/>
        <w:rPr>
          <w:color w:val="auto"/>
          <w:highlight w:val="none"/>
        </w:rPr>
      </w:pPr>
      <w:r>
        <w:rPr>
          <w:rFonts w:hint="eastAsia" w:ascii="宋体" w:hAnsi="宋体" w:eastAsia="宋体" w:cs="宋体"/>
          <w:color w:val="auto"/>
          <w:highlight w:val="none"/>
        </w:rPr>
        <w:t>7.与本投标有关的正式通讯地址为：</w:t>
      </w:r>
    </w:p>
    <w:p w14:paraId="55E6BBDD">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rFonts w:hint="eastAsia" w:ascii="宋体" w:hAnsi="宋体" w:eastAsia="宋体" w:cs="宋体"/>
          <w:color w:val="auto"/>
          <w:highlight w:val="none"/>
        </w:rPr>
      </w:pPr>
    </w:p>
    <w:p w14:paraId="3EF35FFD">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color w:val="auto"/>
          <w:highlight w:val="none"/>
        </w:rPr>
      </w:pPr>
      <w:r>
        <w:rPr>
          <w:rFonts w:hint="eastAsia" w:ascii="宋体" w:hAnsi="宋体" w:eastAsia="宋体" w:cs="宋体"/>
          <w:color w:val="auto"/>
          <w:highlight w:val="none"/>
        </w:rPr>
        <w:t>地          址：</w:t>
      </w:r>
    </w:p>
    <w:p w14:paraId="0ABCF285">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color w:val="auto"/>
          <w:highlight w:val="none"/>
        </w:rPr>
      </w:pPr>
      <w:r>
        <w:rPr>
          <w:rFonts w:hint="eastAsia" w:ascii="宋体" w:hAnsi="宋体" w:eastAsia="宋体" w:cs="宋体"/>
          <w:color w:val="auto"/>
          <w:highlight w:val="none"/>
        </w:rPr>
        <w:t>邮          编：</w:t>
      </w:r>
    </w:p>
    <w:p w14:paraId="321F11A4">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color w:val="auto"/>
          <w:highlight w:val="none"/>
        </w:rPr>
      </w:pPr>
      <w:r>
        <w:rPr>
          <w:rFonts w:hint="eastAsia" w:ascii="宋体" w:hAnsi="宋体" w:eastAsia="宋体" w:cs="宋体"/>
          <w:color w:val="auto"/>
          <w:highlight w:val="none"/>
        </w:rPr>
        <w:t>电          话：</w:t>
      </w:r>
    </w:p>
    <w:p w14:paraId="11BBD12B">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color w:val="auto"/>
          <w:highlight w:val="none"/>
        </w:rPr>
      </w:pPr>
      <w:r>
        <w:rPr>
          <w:rFonts w:hint="eastAsia" w:ascii="宋体" w:hAnsi="宋体" w:eastAsia="宋体" w:cs="宋体"/>
          <w:color w:val="auto"/>
          <w:highlight w:val="none"/>
        </w:rPr>
        <w:t>传          真：</w:t>
      </w:r>
    </w:p>
    <w:p w14:paraId="7530FB6D">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color w:val="auto"/>
          <w:highlight w:val="none"/>
        </w:rPr>
      </w:pPr>
      <w:r>
        <w:rPr>
          <w:rFonts w:hint="eastAsia" w:ascii="宋体" w:hAnsi="宋体" w:eastAsia="宋体" w:cs="宋体"/>
          <w:color w:val="auto"/>
          <w:highlight w:val="none"/>
        </w:rPr>
        <w:t>投标人开户行：</w:t>
      </w:r>
    </w:p>
    <w:p w14:paraId="45C5F35C">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color w:val="auto"/>
          <w:highlight w:val="none"/>
        </w:rPr>
      </w:pPr>
      <w:r>
        <w:rPr>
          <w:rFonts w:hint="eastAsia" w:ascii="宋体" w:hAnsi="宋体" w:eastAsia="宋体" w:cs="宋体"/>
          <w:color w:val="auto"/>
          <w:highlight w:val="none"/>
        </w:rPr>
        <w:t xml:space="preserve">账          号： </w:t>
      </w:r>
    </w:p>
    <w:p w14:paraId="359939A7">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left="420" w:firstLine="480"/>
        <w:textAlignment w:val="auto"/>
        <w:rPr>
          <w:color w:val="auto"/>
          <w:highlight w:val="none"/>
        </w:rPr>
      </w:pPr>
      <w:r>
        <w:rPr>
          <w:rFonts w:hint="eastAsia" w:ascii="宋体" w:hAnsi="宋体" w:eastAsia="宋体" w:cs="宋体"/>
          <w:color w:val="auto"/>
          <w:highlight w:val="none"/>
        </w:rPr>
        <w:t>日         期：________年____月____日</w:t>
      </w:r>
    </w:p>
    <w:p w14:paraId="242118EF">
      <w:pPr>
        <w:pStyle w:val="11"/>
        <w:spacing w:beforeAutospacing="0" w:afterAutospacing="0" w:line="0" w:lineRule="atLeast"/>
        <w:ind w:firstLine="240"/>
        <w:jc w:val="center"/>
        <w:rPr>
          <w:color w:val="auto"/>
          <w:highlight w:val="none"/>
        </w:rPr>
      </w:pPr>
      <w:r>
        <w:rPr>
          <w:color w:val="auto"/>
          <w:highlight w:val="none"/>
        </w:rPr>
        <w:t> </w:t>
      </w:r>
    </w:p>
    <w:p w14:paraId="5FF63AF8">
      <w:pPr>
        <w:pStyle w:val="11"/>
        <w:spacing w:beforeAutospacing="0" w:afterAutospacing="0" w:line="0" w:lineRule="atLeast"/>
        <w:ind w:firstLine="240"/>
        <w:jc w:val="center"/>
        <w:rPr>
          <w:color w:val="auto"/>
          <w:highlight w:val="none"/>
        </w:rPr>
      </w:pPr>
      <w:r>
        <w:rPr>
          <w:color w:val="auto"/>
          <w:highlight w:val="none"/>
        </w:rPr>
        <w:t> </w:t>
      </w:r>
    </w:p>
    <w:p w14:paraId="09AF5CA3">
      <w:pPr>
        <w:pStyle w:val="11"/>
        <w:spacing w:beforeAutospacing="0" w:afterAutospacing="0" w:line="0" w:lineRule="atLeast"/>
        <w:ind w:firstLine="240"/>
        <w:jc w:val="center"/>
        <w:rPr>
          <w:color w:val="auto"/>
          <w:highlight w:val="none"/>
        </w:rPr>
      </w:pPr>
      <w:r>
        <w:rPr>
          <w:color w:val="auto"/>
          <w:highlight w:val="none"/>
        </w:rPr>
        <w:t> </w:t>
      </w:r>
    </w:p>
    <w:p w14:paraId="212BE2DE">
      <w:pPr>
        <w:pStyle w:val="11"/>
        <w:spacing w:beforeAutospacing="0" w:afterAutospacing="0" w:line="0" w:lineRule="atLeast"/>
        <w:ind w:firstLine="240"/>
        <w:jc w:val="center"/>
        <w:rPr>
          <w:color w:val="auto"/>
          <w:highlight w:val="none"/>
        </w:rPr>
      </w:pPr>
      <w:r>
        <w:rPr>
          <w:color w:val="auto"/>
          <w:highlight w:val="none"/>
        </w:rPr>
        <w:t> </w:t>
      </w:r>
    </w:p>
    <w:p w14:paraId="5F43314E">
      <w:pPr>
        <w:pStyle w:val="11"/>
        <w:spacing w:beforeAutospacing="0" w:afterAutospacing="0" w:line="0" w:lineRule="atLeast"/>
        <w:ind w:firstLine="240"/>
        <w:jc w:val="center"/>
        <w:rPr>
          <w:color w:val="auto"/>
          <w:highlight w:val="none"/>
        </w:rPr>
      </w:pPr>
    </w:p>
    <w:p w14:paraId="62026C5B">
      <w:pPr>
        <w:pStyle w:val="11"/>
        <w:spacing w:beforeAutospacing="0" w:afterAutospacing="0" w:line="0" w:lineRule="atLeast"/>
        <w:ind w:firstLine="240"/>
        <w:jc w:val="center"/>
        <w:rPr>
          <w:color w:val="auto"/>
          <w:highlight w:val="none"/>
        </w:rPr>
      </w:pPr>
    </w:p>
    <w:p w14:paraId="3AAF460A">
      <w:pPr>
        <w:pStyle w:val="11"/>
        <w:spacing w:beforeAutospacing="0" w:afterAutospacing="0" w:line="0" w:lineRule="atLeast"/>
        <w:ind w:firstLine="240"/>
        <w:jc w:val="center"/>
        <w:rPr>
          <w:color w:val="auto"/>
          <w:highlight w:val="none"/>
        </w:rPr>
      </w:pPr>
    </w:p>
    <w:p w14:paraId="3CB4837C">
      <w:pPr>
        <w:pStyle w:val="11"/>
        <w:spacing w:beforeAutospacing="0" w:afterAutospacing="0" w:line="0" w:lineRule="atLeast"/>
        <w:ind w:firstLine="240"/>
        <w:jc w:val="center"/>
        <w:rPr>
          <w:color w:val="auto"/>
          <w:highlight w:val="none"/>
        </w:rPr>
      </w:pPr>
    </w:p>
    <w:p w14:paraId="015F5116">
      <w:pPr>
        <w:pStyle w:val="11"/>
        <w:spacing w:beforeAutospacing="0" w:afterAutospacing="0" w:line="0" w:lineRule="atLeast"/>
        <w:ind w:firstLine="240"/>
        <w:jc w:val="center"/>
        <w:rPr>
          <w:color w:val="auto"/>
          <w:highlight w:val="none"/>
        </w:rPr>
      </w:pPr>
    </w:p>
    <w:p w14:paraId="62F8D512">
      <w:pPr>
        <w:pStyle w:val="11"/>
        <w:spacing w:beforeAutospacing="0" w:afterAutospacing="0" w:line="0" w:lineRule="atLeast"/>
        <w:ind w:firstLine="240"/>
        <w:jc w:val="center"/>
        <w:rPr>
          <w:color w:val="auto"/>
          <w:highlight w:val="none"/>
        </w:rPr>
      </w:pPr>
    </w:p>
    <w:p w14:paraId="17003511">
      <w:pPr>
        <w:pStyle w:val="11"/>
        <w:spacing w:beforeAutospacing="0" w:afterAutospacing="0" w:line="0" w:lineRule="atLeast"/>
        <w:ind w:firstLine="240"/>
        <w:jc w:val="center"/>
        <w:rPr>
          <w:color w:val="auto"/>
          <w:highlight w:val="none"/>
        </w:rPr>
      </w:pPr>
    </w:p>
    <w:p w14:paraId="5412F31A">
      <w:pPr>
        <w:pStyle w:val="11"/>
        <w:spacing w:beforeAutospacing="0" w:afterAutospacing="0" w:line="0" w:lineRule="atLeast"/>
        <w:ind w:firstLine="240"/>
        <w:jc w:val="center"/>
        <w:rPr>
          <w:color w:val="auto"/>
          <w:highlight w:val="none"/>
        </w:rPr>
      </w:pPr>
    </w:p>
    <w:p w14:paraId="1F7E3D04">
      <w:pPr>
        <w:pStyle w:val="11"/>
        <w:spacing w:beforeAutospacing="0" w:afterAutospacing="0" w:line="0" w:lineRule="atLeast"/>
        <w:ind w:firstLine="240"/>
        <w:jc w:val="center"/>
        <w:rPr>
          <w:color w:val="auto"/>
          <w:highlight w:val="none"/>
        </w:rPr>
      </w:pPr>
    </w:p>
    <w:p w14:paraId="340FED64">
      <w:pPr>
        <w:pStyle w:val="11"/>
        <w:spacing w:beforeAutospacing="0" w:afterAutospacing="0" w:line="0" w:lineRule="atLeast"/>
        <w:ind w:firstLine="240"/>
        <w:jc w:val="center"/>
        <w:rPr>
          <w:color w:val="auto"/>
          <w:highlight w:val="none"/>
        </w:rPr>
      </w:pPr>
    </w:p>
    <w:p w14:paraId="4EB3A777">
      <w:pPr>
        <w:pStyle w:val="11"/>
        <w:spacing w:beforeAutospacing="0" w:afterAutospacing="0" w:line="0" w:lineRule="atLeast"/>
        <w:ind w:firstLine="240"/>
        <w:jc w:val="center"/>
        <w:rPr>
          <w:color w:val="auto"/>
          <w:highlight w:val="none"/>
        </w:rPr>
      </w:pPr>
    </w:p>
    <w:p w14:paraId="509B8982">
      <w:pPr>
        <w:pStyle w:val="11"/>
        <w:spacing w:beforeAutospacing="0" w:afterAutospacing="0" w:line="0" w:lineRule="atLeast"/>
        <w:ind w:firstLine="240"/>
        <w:jc w:val="center"/>
        <w:rPr>
          <w:color w:val="auto"/>
          <w:highlight w:val="none"/>
        </w:rPr>
      </w:pPr>
    </w:p>
    <w:p w14:paraId="319E5D53">
      <w:pPr>
        <w:pStyle w:val="11"/>
        <w:spacing w:beforeAutospacing="0" w:afterAutospacing="0" w:line="0" w:lineRule="atLeast"/>
        <w:ind w:firstLine="240"/>
        <w:jc w:val="center"/>
        <w:rPr>
          <w:color w:val="auto"/>
          <w:highlight w:val="none"/>
        </w:rPr>
      </w:pPr>
    </w:p>
    <w:p w14:paraId="7A215D5C">
      <w:pPr>
        <w:pStyle w:val="11"/>
        <w:spacing w:beforeAutospacing="0" w:afterAutospacing="0" w:line="0" w:lineRule="atLeast"/>
        <w:ind w:firstLine="240"/>
        <w:jc w:val="center"/>
        <w:rPr>
          <w:color w:val="auto"/>
          <w:highlight w:val="none"/>
        </w:rPr>
      </w:pPr>
    </w:p>
    <w:p w14:paraId="30DE9DB2">
      <w:pPr>
        <w:pStyle w:val="11"/>
        <w:spacing w:beforeAutospacing="0" w:afterAutospacing="0" w:line="0" w:lineRule="atLeast"/>
        <w:ind w:firstLine="240"/>
        <w:jc w:val="center"/>
        <w:rPr>
          <w:color w:val="auto"/>
          <w:highlight w:val="none"/>
        </w:rPr>
      </w:pPr>
    </w:p>
    <w:p w14:paraId="24E1E381">
      <w:pPr>
        <w:pStyle w:val="11"/>
        <w:spacing w:beforeAutospacing="0" w:afterAutospacing="0" w:line="0" w:lineRule="atLeast"/>
        <w:ind w:firstLine="240"/>
        <w:jc w:val="center"/>
        <w:rPr>
          <w:color w:val="auto"/>
          <w:highlight w:val="none"/>
        </w:rPr>
      </w:pPr>
    </w:p>
    <w:p w14:paraId="5AF7BBCB">
      <w:pPr>
        <w:pStyle w:val="11"/>
        <w:spacing w:beforeAutospacing="0" w:afterAutospacing="0" w:line="0" w:lineRule="atLeast"/>
        <w:ind w:firstLine="240"/>
        <w:jc w:val="center"/>
        <w:rPr>
          <w:color w:val="auto"/>
          <w:highlight w:val="none"/>
        </w:rPr>
      </w:pPr>
    </w:p>
    <w:p w14:paraId="0F2C633F">
      <w:pPr>
        <w:pStyle w:val="11"/>
        <w:spacing w:beforeAutospacing="0" w:afterAutospacing="0" w:line="0" w:lineRule="atLeast"/>
        <w:ind w:firstLine="240"/>
        <w:jc w:val="center"/>
        <w:rPr>
          <w:color w:val="auto"/>
          <w:highlight w:val="none"/>
        </w:rPr>
      </w:pPr>
    </w:p>
    <w:p w14:paraId="44EFFB48">
      <w:pPr>
        <w:pStyle w:val="11"/>
        <w:spacing w:beforeAutospacing="0" w:afterAutospacing="0" w:line="0" w:lineRule="atLeast"/>
        <w:ind w:firstLine="240"/>
        <w:jc w:val="center"/>
        <w:rPr>
          <w:color w:val="auto"/>
          <w:highlight w:val="none"/>
        </w:rPr>
      </w:pPr>
    </w:p>
    <w:p w14:paraId="09A2D040">
      <w:pPr>
        <w:pStyle w:val="11"/>
        <w:spacing w:beforeAutospacing="0" w:afterAutospacing="0" w:line="0" w:lineRule="atLeast"/>
        <w:ind w:firstLine="240"/>
        <w:jc w:val="center"/>
        <w:rPr>
          <w:color w:val="auto"/>
          <w:highlight w:val="none"/>
        </w:rPr>
      </w:pPr>
    </w:p>
    <w:p w14:paraId="60CEFEF4">
      <w:pPr>
        <w:pStyle w:val="11"/>
        <w:spacing w:beforeAutospacing="0" w:afterAutospacing="0" w:line="0" w:lineRule="atLeast"/>
        <w:ind w:firstLine="240"/>
        <w:jc w:val="center"/>
        <w:rPr>
          <w:color w:val="auto"/>
          <w:highlight w:val="none"/>
        </w:rPr>
      </w:pPr>
    </w:p>
    <w:p w14:paraId="755E035A">
      <w:pPr>
        <w:pStyle w:val="11"/>
        <w:spacing w:beforeAutospacing="0" w:afterAutospacing="0" w:line="0" w:lineRule="atLeast"/>
        <w:ind w:firstLine="240"/>
        <w:jc w:val="center"/>
        <w:rPr>
          <w:color w:val="auto"/>
          <w:highlight w:val="none"/>
        </w:rPr>
      </w:pPr>
    </w:p>
    <w:p w14:paraId="14BE8086">
      <w:pPr>
        <w:pStyle w:val="11"/>
        <w:spacing w:beforeAutospacing="0" w:afterAutospacing="0" w:line="0" w:lineRule="atLeast"/>
        <w:ind w:firstLine="240"/>
        <w:jc w:val="center"/>
        <w:rPr>
          <w:color w:val="auto"/>
          <w:highlight w:val="none"/>
        </w:rPr>
      </w:pPr>
    </w:p>
    <w:p w14:paraId="36EE0EBB">
      <w:pPr>
        <w:pStyle w:val="11"/>
        <w:spacing w:beforeAutospacing="0" w:afterAutospacing="0" w:line="0" w:lineRule="atLeast"/>
        <w:ind w:firstLine="240"/>
        <w:jc w:val="center"/>
        <w:rPr>
          <w:color w:val="auto"/>
          <w:highlight w:val="none"/>
        </w:rPr>
      </w:pPr>
    </w:p>
    <w:p w14:paraId="2E09F163">
      <w:pPr>
        <w:pStyle w:val="11"/>
        <w:spacing w:beforeAutospacing="0" w:afterAutospacing="0" w:line="0" w:lineRule="atLeast"/>
        <w:ind w:firstLine="240"/>
        <w:jc w:val="center"/>
        <w:rPr>
          <w:color w:val="auto"/>
          <w:highlight w:val="none"/>
        </w:rPr>
      </w:pPr>
    </w:p>
    <w:p w14:paraId="011FEE6D">
      <w:pPr>
        <w:pStyle w:val="11"/>
        <w:spacing w:beforeAutospacing="0" w:afterAutospacing="0" w:line="0" w:lineRule="atLeast"/>
        <w:ind w:firstLine="240"/>
        <w:jc w:val="center"/>
        <w:rPr>
          <w:color w:val="auto"/>
          <w:highlight w:val="none"/>
        </w:rPr>
      </w:pPr>
    </w:p>
    <w:p w14:paraId="4BA7AB20">
      <w:pPr>
        <w:pStyle w:val="11"/>
        <w:spacing w:beforeAutospacing="0" w:afterAutospacing="0" w:line="0" w:lineRule="atLeast"/>
        <w:ind w:firstLine="240"/>
        <w:jc w:val="center"/>
        <w:rPr>
          <w:color w:val="auto"/>
          <w:highlight w:val="none"/>
        </w:rPr>
      </w:pPr>
    </w:p>
    <w:p w14:paraId="4D884FC8">
      <w:pPr>
        <w:pStyle w:val="11"/>
        <w:spacing w:beforeAutospacing="0" w:afterAutospacing="0" w:line="0" w:lineRule="atLeast"/>
        <w:ind w:firstLine="240"/>
        <w:jc w:val="center"/>
        <w:rPr>
          <w:color w:val="auto"/>
          <w:highlight w:val="none"/>
        </w:rPr>
      </w:pPr>
    </w:p>
    <w:p w14:paraId="7CB9E68A">
      <w:pPr>
        <w:pStyle w:val="11"/>
        <w:spacing w:beforeAutospacing="0" w:afterAutospacing="0" w:line="0" w:lineRule="atLeast"/>
        <w:ind w:firstLine="240"/>
        <w:jc w:val="center"/>
        <w:rPr>
          <w:color w:val="auto"/>
          <w:highlight w:val="none"/>
        </w:rPr>
      </w:pPr>
    </w:p>
    <w:p w14:paraId="298531D0">
      <w:pPr>
        <w:pStyle w:val="11"/>
        <w:spacing w:beforeAutospacing="0" w:afterAutospacing="0" w:line="0" w:lineRule="atLeast"/>
        <w:ind w:firstLine="240"/>
        <w:jc w:val="center"/>
        <w:rPr>
          <w:color w:val="auto"/>
          <w:highlight w:val="none"/>
        </w:rPr>
      </w:pPr>
    </w:p>
    <w:p w14:paraId="48AB7D32">
      <w:pPr>
        <w:pStyle w:val="11"/>
        <w:spacing w:beforeAutospacing="0" w:afterAutospacing="0" w:line="0" w:lineRule="atLeast"/>
        <w:ind w:firstLine="240"/>
        <w:jc w:val="center"/>
        <w:rPr>
          <w:color w:val="auto"/>
          <w:highlight w:val="none"/>
        </w:rPr>
      </w:pPr>
    </w:p>
    <w:p w14:paraId="1FECE7EA">
      <w:pPr>
        <w:pStyle w:val="11"/>
        <w:spacing w:beforeAutospacing="0" w:afterAutospacing="0" w:line="0" w:lineRule="atLeast"/>
        <w:ind w:firstLine="240"/>
        <w:jc w:val="center"/>
        <w:rPr>
          <w:color w:val="auto"/>
          <w:highlight w:val="none"/>
        </w:rPr>
      </w:pPr>
    </w:p>
    <w:p w14:paraId="3BB06D10">
      <w:pPr>
        <w:pStyle w:val="11"/>
        <w:spacing w:beforeAutospacing="0" w:afterAutospacing="0" w:line="0" w:lineRule="atLeast"/>
        <w:ind w:firstLine="240"/>
        <w:jc w:val="center"/>
        <w:rPr>
          <w:color w:val="auto"/>
          <w:highlight w:val="none"/>
        </w:rPr>
      </w:pPr>
    </w:p>
    <w:p w14:paraId="69D6B82F">
      <w:pPr>
        <w:pStyle w:val="11"/>
        <w:spacing w:beforeAutospacing="0" w:afterAutospacing="0" w:line="0" w:lineRule="atLeast"/>
        <w:ind w:firstLine="240"/>
        <w:jc w:val="center"/>
        <w:rPr>
          <w:color w:val="auto"/>
          <w:highlight w:val="none"/>
        </w:rPr>
      </w:pPr>
      <w:r>
        <w:rPr>
          <w:color w:val="auto"/>
          <w:highlight w:val="none"/>
        </w:rPr>
        <w:t> </w:t>
      </w:r>
    </w:p>
    <w:p w14:paraId="6D4B2B58">
      <w:pPr>
        <w:pStyle w:val="11"/>
        <w:spacing w:beforeAutospacing="0" w:afterAutospacing="0" w:line="0" w:lineRule="atLeast"/>
        <w:ind w:firstLine="240"/>
        <w:jc w:val="center"/>
        <w:rPr>
          <w:color w:val="auto"/>
          <w:highlight w:val="none"/>
        </w:rPr>
      </w:pPr>
    </w:p>
    <w:p w14:paraId="76E9D5C9">
      <w:pPr>
        <w:pStyle w:val="3"/>
        <w:ind w:firstLine="216"/>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3751E010">
      <w:pPr>
        <w:spacing w:line="500" w:lineRule="exact"/>
        <w:ind w:firstLine="480"/>
        <w:jc w:val="both"/>
        <w:rPr>
          <w:rFonts w:hint="eastAsia"/>
          <w:color w:val="auto"/>
          <w:sz w:val="24"/>
          <w:highlight w:val="none"/>
        </w:rPr>
      </w:pP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lang w:val="en-US" w:eastAsia="zh-CN"/>
        </w:rPr>
        <w:t>射阳县行政服务中心</w:t>
      </w:r>
      <w:r>
        <w:rPr>
          <w:rFonts w:hint="eastAsia"/>
          <w:color w:val="auto"/>
          <w:sz w:val="24"/>
          <w:highlight w:val="none"/>
        </w:rPr>
        <w:t>组织的</w:t>
      </w:r>
      <w:r>
        <w:rPr>
          <w:rFonts w:hint="eastAsia"/>
          <w:color w:val="auto"/>
          <w:sz w:val="24"/>
          <w:highlight w:val="none"/>
          <w:u w:val="single"/>
          <w:lang w:eastAsia="zh-CN"/>
        </w:rPr>
        <w:t>（</w:t>
      </w:r>
      <w:r>
        <w:rPr>
          <w:rFonts w:hint="eastAsia"/>
          <w:color w:val="auto"/>
          <w:sz w:val="24"/>
          <w:highlight w:val="none"/>
          <w:u w:val="single"/>
          <w:lang w:val="en-US" w:eastAsia="zh-CN"/>
        </w:rPr>
        <w:t>单位名称)</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4486B871">
      <w:pPr>
        <w:pStyle w:val="11"/>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F7B171">
      <w:pPr>
        <w:pStyle w:val="11"/>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362F739">
      <w:pPr>
        <w:pStyle w:val="11"/>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62779450">
      <w:pPr>
        <w:pStyle w:val="11"/>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11"/>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6E99FD6">
      <w:pPr>
        <w:pStyle w:val="11"/>
        <w:widowControl w:val="0"/>
        <w:spacing w:before="0" w:beforeAutospacing="0" w:after="0" w:afterAutospacing="0" w:line="360" w:lineRule="auto"/>
        <w:ind w:right="720"/>
        <w:jc w:val="both"/>
        <w:rPr>
          <w:color w:val="auto"/>
          <w:highlight w:val="none"/>
        </w:rPr>
      </w:pPr>
      <w:r>
        <w:rPr>
          <w:color w:val="auto"/>
          <w:highlight w:val="none"/>
        </w:rPr>
        <w:t> </w:t>
      </w:r>
    </w:p>
    <w:p w14:paraId="4026C033">
      <w:pPr>
        <w:pStyle w:val="11"/>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218AE162">
      <w:pPr>
        <w:pStyle w:val="11"/>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79A1D2DC">
      <w:pPr>
        <w:pStyle w:val="11"/>
        <w:widowControl w:val="0"/>
        <w:spacing w:before="0" w:beforeAutospacing="0" w:after="0" w:afterAutospacing="0" w:line="360" w:lineRule="auto"/>
        <w:ind w:firstLine="360"/>
        <w:jc w:val="both"/>
        <w:rPr>
          <w:color w:val="auto"/>
          <w:highlight w:val="none"/>
        </w:rPr>
      </w:pPr>
      <w:r>
        <w:rPr>
          <w:color w:val="auto"/>
          <w:highlight w:val="none"/>
        </w:rPr>
        <w:t> </w:t>
      </w:r>
    </w:p>
    <w:p w14:paraId="144BB463">
      <w:pPr>
        <w:pStyle w:val="11"/>
        <w:widowControl w:val="0"/>
        <w:spacing w:before="0" w:beforeAutospacing="0" w:after="0" w:afterAutospacing="0" w:line="360" w:lineRule="auto"/>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36B57587">
      <w:pPr>
        <w:pStyle w:val="11"/>
        <w:widowControl w:val="0"/>
        <w:spacing w:before="0" w:beforeAutospacing="0" w:after="0" w:afterAutospacing="0" w:line="360" w:lineRule="auto"/>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059B8A0F">
      <w:pPr>
        <w:pStyle w:val="11"/>
        <w:spacing w:beforeAutospacing="0" w:afterAutospacing="0" w:line="0" w:lineRule="atLeast"/>
        <w:jc w:val="center"/>
        <w:rPr>
          <w:rFonts w:hint="eastAsia" w:ascii="黑体" w:hAnsi="宋体" w:eastAsia="黑体" w:cs="黑体"/>
          <w:b/>
          <w:color w:val="auto"/>
          <w:sz w:val="32"/>
          <w:szCs w:val="32"/>
          <w:highlight w:val="none"/>
        </w:rPr>
      </w:pPr>
    </w:p>
    <w:p w14:paraId="731E1104">
      <w:pPr>
        <w:pStyle w:val="11"/>
        <w:spacing w:beforeAutospacing="0" w:afterAutospacing="0" w:line="0" w:lineRule="atLeast"/>
        <w:jc w:val="center"/>
        <w:rPr>
          <w:rFonts w:hint="eastAsia" w:ascii="黑体" w:hAnsi="宋体" w:eastAsia="黑体" w:cs="黑体"/>
          <w:b/>
          <w:color w:val="auto"/>
          <w:sz w:val="32"/>
          <w:szCs w:val="32"/>
          <w:highlight w:val="none"/>
        </w:rPr>
      </w:pPr>
    </w:p>
    <w:p w14:paraId="0A341F0B">
      <w:pPr>
        <w:pStyle w:val="11"/>
        <w:spacing w:beforeAutospacing="0" w:afterAutospacing="0" w:line="0" w:lineRule="atLeast"/>
        <w:jc w:val="center"/>
        <w:rPr>
          <w:rFonts w:hint="eastAsia" w:ascii="黑体" w:hAnsi="宋体" w:eastAsia="黑体" w:cs="黑体"/>
          <w:b/>
          <w:color w:val="auto"/>
          <w:sz w:val="32"/>
          <w:szCs w:val="32"/>
          <w:highlight w:val="none"/>
        </w:rPr>
      </w:pPr>
    </w:p>
    <w:p w14:paraId="46289143">
      <w:pPr>
        <w:pStyle w:val="3"/>
        <w:ind w:firstLine="216"/>
        <w:jc w:val="center"/>
        <w:rPr>
          <w:color w:val="auto"/>
          <w:highlight w:val="none"/>
        </w:rPr>
      </w:pPr>
      <w:r>
        <w:rPr>
          <w:rFonts w:hint="eastAsia" w:ascii="黑体" w:hAnsi="宋体" w:eastAsia="黑体" w:cs="黑体"/>
          <w:b/>
          <w:color w:val="auto"/>
          <w:sz w:val="32"/>
          <w:szCs w:val="32"/>
          <w:highlight w:val="none"/>
        </w:rPr>
        <w:t>十、残疾人福利性单位声明函</w:t>
      </w:r>
    </w:p>
    <w:p w14:paraId="5B3AF8CA">
      <w:pPr>
        <w:pStyle w:val="11"/>
        <w:spacing w:beforeAutospacing="0" w:afterAutospacing="0" w:line="0" w:lineRule="atLeast"/>
        <w:ind w:firstLine="480"/>
        <w:jc w:val="both"/>
        <w:rPr>
          <w:rFonts w:hint="eastAsia" w:ascii="宋体" w:hAnsi="宋体" w:eastAsia="宋体" w:cs="宋体"/>
          <w:color w:val="auto"/>
          <w:highlight w:val="none"/>
        </w:rPr>
      </w:pPr>
    </w:p>
    <w:p w14:paraId="7B41EFB3">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2"/>
        <w:jc w:val="both"/>
        <w:textAlignment w:val="auto"/>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513C51D7">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2"/>
        <w:jc w:val="both"/>
        <w:textAlignment w:val="auto"/>
        <w:rPr>
          <w:color w:val="auto"/>
          <w:highlight w:val="none"/>
        </w:rPr>
      </w:pPr>
      <w:r>
        <w:rPr>
          <w:rFonts w:hint="eastAsia" w:ascii="宋体" w:hAnsi="宋体" w:eastAsia="宋体" w:cs="宋体"/>
          <w:color w:val="auto"/>
          <w:highlight w:val="none"/>
        </w:rPr>
        <w:t>本单位对上述声明的真实性负责。如有虚假，将依法承担相应责任。</w:t>
      </w:r>
    </w:p>
    <w:p w14:paraId="3C91D281">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2"/>
        <w:jc w:val="both"/>
        <w:textAlignment w:val="auto"/>
        <w:rPr>
          <w:color w:val="auto"/>
          <w:highlight w:val="none"/>
        </w:rPr>
      </w:pPr>
      <w:r>
        <w:rPr>
          <w:color w:val="auto"/>
          <w:highlight w:val="none"/>
        </w:rPr>
        <w:t> </w:t>
      </w:r>
    </w:p>
    <w:p w14:paraId="27E7AEEB">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w:t>
      </w:r>
    </w:p>
    <w:p w14:paraId="0A66A76D">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2317A8">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atLeast"/>
        <w:ind w:firstLine="482"/>
        <w:jc w:val="both"/>
        <w:textAlignment w:val="auto"/>
        <w:rPr>
          <w:color w:val="auto"/>
          <w:highlight w:val="none"/>
        </w:rPr>
      </w:pPr>
      <w:r>
        <w:rPr>
          <w:rFonts w:hint="eastAsia" w:ascii="宋体" w:hAnsi="宋体" w:eastAsia="宋体" w:cs="宋体"/>
          <w:color w:val="auto"/>
          <w:highlight w:val="none"/>
        </w:rPr>
        <w:t>2、中标供应商为残疾人福利单位的，此声明函将随中标结果同时公告，接受社会监督</w:t>
      </w:r>
    </w:p>
    <w:p w14:paraId="6AEABBF0">
      <w:pPr>
        <w:pStyle w:val="11"/>
        <w:spacing w:beforeAutospacing="0" w:afterAutospacing="0" w:line="0" w:lineRule="atLeast"/>
        <w:ind w:firstLine="624"/>
        <w:jc w:val="both"/>
        <w:rPr>
          <w:color w:val="auto"/>
          <w:highlight w:val="none"/>
        </w:rPr>
      </w:pPr>
      <w:r>
        <w:rPr>
          <w:color w:val="auto"/>
          <w:highlight w:val="none"/>
        </w:rPr>
        <w:t> </w:t>
      </w:r>
    </w:p>
    <w:p w14:paraId="57BFEAD0">
      <w:pPr>
        <w:pStyle w:val="11"/>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w:t>
      </w:r>
    </w:p>
    <w:p w14:paraId="626039F8">
      <w:pPr>
        <w:pStyle w:val="11"/>
        <w:tabs>
          <w:tab w:val="left" w:pos="4864"/>
        </w:tabs>
        <w:spacing w:beforeAutospacing="0" w:afterAutospacing="0" w:line="0" w:lineRule="atLeast"/>
        <w:ind w:right="1560" w:firstLine="624"/>
        <w:jc w:val="center"/>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供应商全称（加盖CA电子公章）：</w:t>
      </w:r>
    </w:p>
    <w:p w14:paraId="5DDEF922">
      <w:pPr>
        <w:pStyle w:val="11"/>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1ACF0E">
      <w:pPr>
        <w:pStyle w:val="11"/>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4F09B48A">
      <w:pPr>
        <w:pStyle w:val="11"/>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xml:space="preserve"> 日  期：</w:t>
      </w:r>
    </w:p>
    <w:p w14:paraId="6095EC64">
      <w:pPr>
        <w:pStyle w:val="11"/>
        <w:spacing w:beforeAutospacing="0" w:afterAutospacing="0" w:line="0" w:lineRule="atLeast"/>
        <w:jc w:val="center"/>
        <w:rPr>
          <w:color w:val="auto"/>
          <w:highlight w:val="none"/>
        </w:rPr>
      </w:pPr>
      <w:r>
        <w:rPr>
          <w:color w:val="auto"/>
          <w:highlight w:val="none"/>
        </w:rPr>
        <w:t> </w:t>
      </w:r>
    </w:p>
    <w:p w14:paraId="67480088">
      <w:pPr>
        <w:pStyle w:val="11"/>
        <w:spacing w:beforeAutospacing="0" w:afterAutospacing="0" w:line="0" w:lineRule="atLeast"/>
        <w:jc w:val="center"/>
        <w:rPr>
          <w:color w:val="auto"/>
          <w:highlight w:val="none"/>
        </w:rPr>
      </w:pPr>
      <w:r>
        <w:rPr>
          <w:color w:val="auto"/>
          <w:highlight w:val="none"/>
        </w:rPr>
        <w:t> </w:t>
      </w:r>
    </w:p>
    <w:p w14:paraId="16D7708B">
      <w:pPr>
        <w:pStyle w:val="11"/>
        <w:spacing w:beforeAutospacing="0" w:afterAutospacing="0" w:line="0" w:lineRule="atLeast"/>
        <w:jc w:val="center"/>
        <w:rPr>
          <w:color w:val="auto"/>
          <w:highlight w:val="none"/>
        </w:rPr>
      </w:pPr>
      <w:r>
        <w:rPr>
          <w:color w:val="auto"/>
          <w:highlight w:val="none"/>
        </w:rPr>
        <w:t> </w:t>
      </w:r>
    </w:p>
    <w:p w14:paraId="37A39D5D">
      <w:pPr>
        <w:pStyle w:val="11"/>
        <w:spacing w:beforeAutospacing="0" w:afterAutospacing="0" w:line="0" w:lineRule="atLeast"/>
        <w:jc w:val="center"/>
        <w:rPr>
          <w:color w:val="auto"/>
          <w:highlight w:val="none"/>
        </w:rPr>
      </w:pPr>
      <w:r>
        <w:rPr>
          <w:color w:val="auto"/>
          <w:highlight w:val="none"/>
        </w:rPr>
        <w:t> </w:t>
      </w:r>
    </w:p>
    <w:p w14:paraId="4BC37A6F">
      <w:pPr>
        <w:pStyle w:val="11"/>
        <w:spacing w:beforeAutospacing="0" w:afterAutospacing="0" w:line="0" w:lineRule="atLeast"/>
        <w:jc w:val="center"/>
        <w:rPr>
          <w:color w:val="auto"/>
          <w:highlight w:val="none"/>
        </w:rPr>
      </w:pPr>
      <w:r>
        <w:rPr>
          <w:color w:val="auto"/>
          <w:highlight w:val="none"/>
        </w:rPr>
        <w:t> </w:t>
      </w:r>
    </w:p>
    <w:p w14:paraId="5CC4CBFF">
      <w:pPr>
        <w:pStyle w:val="11"/>
        <w:spacing w:beforeAutospacing="0" w:afterAutospacing="0" w:line="0" w:lineRule="atLeast"/>
        <w:jc w:val="center"/>
        <w:rPr>
          <w:color w:val="auto"/>
          <w:highlight w:val="none"/>
        </w:rPr>
      </w:pPr>
      <w:r>
        <w:rPr>
          <w:color w:val="auto"/>
          <w:highlight w:val="none"/>
        </w:rPr>
        <w:t> </w:t>
      </w:r>
    </w:p>
    <w:p w14:paraId="7599688C">
      <w:pPr>
        <w:pStyle w:val="11"/>
        <w:spacing w:beforeAutospacing="0" w:afterAutospacing="0" w:line="0" w:lineRule="atLeast"/>
        <w:jc w:val="center"/>
        <w:rPr>
          <w:color w:val="auto"/>
          <w:highlight w:val="none"/>
        </w:rPr>
      </w:pPr>
      <w:r>
        <w:rPr>
          <w:color w:val="auto"/>
          <w:highlight w:val="none"/>
        </w:rPr>
        <w:t> </w:t>
      </w:r>
    </w:p>
    <w:p w14:paraId="4C81E594">
      <w:pPr>
        <w:pStyle w:val="11"/>
        <w:spacing w:beforeAutospacing="0" w:afterAutospacing="0" w:line="0" w:lineRule="atLeast"/>
        <w:jc w:val="center"/>
        <w:rPr>
          <w:color w:val="auto"/>
          <w:highlight w:val="none"/>
        </w:rPr>
      </w:pPr>
      <w:r>
        <w:rPr>
          <w:color w:val="auto"/>
          <w:highlight w:val="none"/>
        </w:rPr>
        <w:t> </w:t>
      </w:r>
    </w:p>
    <w:p w14:paraId="75457978">
      <w:pPr>
        <w:rPr>
          <w:color w:val="auto"/>
          <w:spacing w:val="27"/>
          <w:sz w:val="39"/>
          <w:szCs w:val="39"/>
          <w:highlight w:val="none"/>
        </w:rPr>
      </w:pPr>
      <w:r>
        <w:rPr>
          <w:color w:val="auto"/>
          <w:spacing w:val="27"/>
          <w:sz w:val="39"/>
          <w:szCs w:val="39"/>
          <w:highlight w:val="none"/>
        </w:rPr>
        <w:br w:type="page"/>
      </w:r>
    </w:p>
    <w:p w14:paraId="776905E6">
      <w:pPr>
        <w:pStyle w:val="3"/>
        <w:ind w:firstLine="216"/>
        <w:jc w:val="center"/>
        <w:rPr>
          <w:color w:val="auto"/>
          <w:highlight w:val="none"/>
        </w:rPr>
      </w:pPr>
      <w:r>
        <w:rPr>
          <w:rFonts w:ascii="黑体" w:hAnsi="宋体" w:eastAsia="黑体" w:cs="黑体"/>
          <w:b/>
          <w:bCs/>
          <w:color w:val="auto"/>
          <w:sz w:val="32"/>
          <w:szCs w:val="32"/>
          <w:highlight w:val="none"/>
        </w:rPr>
        <w:t>十一、 关于符合本国产品标准的声明函</w:t>
      </w:r>
    </w:p>
    <w:p w14:paraId="3D48EB6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311B4E85">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420"/>
        <w:jc w:val="both"/>
        <w:textAlignment w:val="auto"/>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560" w:lineRule="exact"/>
        <w:ind w:left="0" w:firstLine="420"/>
        <w:jc w:val="both"/>
        <w:textAlignment w:val="auto"/>
        <w:rPr>
          <w:color w:val="auto"/>
          <w:highlight w:val="none"/>
        </w:rPr>
      </w:pPr>
      <w:r>
        <w:rPr>
          <w:rFonts w:ascii="宋体" w:hAnsi="宋体" w:eastAsia="宋体" w:cs="宋体"/>
          <w:color w:val="auto"/>
          <w:sz w:val="24"/>
          <w:szCs w:val="24"/>
          <w:highlight w:val="none"/>
          <w:shd w:val="clear" w:fill="FFFFFF"/>
        </w:rPr>
        <w:t>1.</w:t>
      </w:r>
      <w:r>
        <w:rPr>
          <w:rFonts w:ascii="宋体" w:hAnsi="宋体" w:eastAsia="宋体" w:cs="宋体"/>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vertAlign w:val="superscript"/>
        </w:rPr>
        <w:t>1</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vertAlign w:val="superscript"/>
        </w:rPr>
        <w:t>2</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 （产品名称1）</w:t>
      </w:r>
      <w:r>
        <w:rPr>
          <w:rFonts w:ascii="宋体" w:hAnsi="宋体" w:eastAsia="宋体" w:cs="宋体"/>
          <w:color w:val="auto"/>
          <w:sz w:val="24"/>
          <w:szCs w:val="24"/>
          <w:highlight w:val="none"/>
          <w:u w:val="single"/>
          <w:shd w:val="clear" w:fill="FFFFFF"/>
        </w:rPr>
        <w:t> </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strike/>
          <w:dstrike w:val="0"/>
          <w:color w:val="auto"/>
          <w:sz w:val="24"/>
          <w:szCs w:val="24"/>
          <w:highlight w:val="none"/>
          <w:shd w:val="clear" w:fill="FFFFFF"/>
          <w:vertAlign w:val="superscript"/>
        </w:rPr>
        <w:t>3</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strike/>
          <w:dstrike w:val="0"/>
          <w:color w:val="auto"/>
          <w:sz w:val="24"/>
          <w:szCs w:val="24"/>
          <w:highlight w:val="none"/>
          <w:shd w:val="clear" w:fill="FFFFFF"/>
          <w:vertAlign w:val="superscript"/>
        </w:rPr>
        <w:t>4</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strike/>
          <w:dstrike w:val="0"/>
          <w:color w:val="auto"/>
          <w:sz w:val="24"/>
          <w:szCs w:val="24"/>
          <w:highlight w:val="none"/>
          <w:shd w:val="clear" w:fill="FFFFFF"/>
          <w:vertAlign w:val="superscript"/>
        </w:rPr>
        <w:t>5</w:t>
      </w:r>
      <w:r>
        <w:rPr>
          <w:rFonts w:ascii="宋体" w:hAnsi="宋体" w:eastAsia="宋体" w:cs="宋体"/>
          <w:color w:val="auto"/>
          <w:sz w:val="24"/>
          <w:szCs w:val="24"/>
          <w:highlight w:val="none"/>
          <w:shd w:val="clear" w:fill="FFFFFF"/>
        </w:rPr>
        <w:t>在中国境内完成。</w:t>
      </w:r>
    </w:p>
    <w:p w14:paraId="20758D95">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560" w:lineRule="exact"/>
        <w:ind w:left="0" w:firstLine="420"/>
        <w:jc w:val="both"/>
        <w:textAlignment w:val="auto"/>
        <w:rPr>
          <w:color w:val="auto"/>
          <w:highlight w:val="none"/>
        </w:rPr>
      </w:pPr>
      <w:r>
        <w:rPr>
          <w:rFonts w:ascii="宋体" w:hAnsi="宋体" w:eastAsia="宋体" w:cs="宋体"/>
          <w:color w:val="auto"/>
          <w:sz w:val="24"/>
          <w:szCs w:val="24"/>
          <w:highlight w:val="none"/>
          <w:shd w:val="clear" w:fill="FFFFFF"/>
        </w:rPr>
        <w:t>2.</w:t>
      </w:r>
      <w:r>
        <w:rPr>
          <w:rFonts w:ascii="宋体" w:hAnsi="宋体" w:eastAsia="宋体" w:cs="宋体"/>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color w:val="auto"/>
          <w:sz w:val="24"/>
          <w:szCs w:val="24"/>
          <w:highlight w:val="none"/>
          <w:shd w:val="clear" w:fill="FFFFFF"/>
        </w:rPr>
        <w:t>在中国境内完成。</w:t>
      </w:r>
    </w:p>
    <w:p w14:paraId="519DADE7">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560" w:lineRule="exact"/>
        <w:ind w:left="0" w:firstLine="420"/>
        <w:jc w:val="both"/>
        <w:textAlignment w:val="auto"/>
        <w:rPr>
          <w:color w:val="auto"/>
          <w:highlight w:val="none"/>
        </w:rPr>
      </w:pPr>
      <w:r>
        <w:rPr>
          <w:rFonts w:ascii="宋体" w:hAnsi="宋体" w:eastAsia="宋体" w:cs="宋体"/>
          <w:color w:val="auto"/>
          <w:sz w:val="24"/>
          <w:szCs w:val="24"/>
          <w:highlight w:val="none"/>
          <w:shd w:val="clear" w:fill="FFFFFF"/>
        </w:rPr>
        <w:t>……</w:t>
      </w:r>
    </w:p>
    <w:p w14:paraId="2898E24F">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560" w:lineRule="exact"/>
        <w:ind w:left="0" w:firstLine="420"/>
        <w:jc w:val="both"/>
        <w:textAlignment w:val="auto"/>
        <w:rPr>
          <w:color w:val="auto"/>
          <w:highlight w:val="none"/>
        </w:rPr>
      </w:pPr>
      <w:r>
        <w:rPr>
          <w:rFonts w:ascii="宋体" w:hAnsi="宋体" w:eastAsia="宋体" w:cs="宋体"/>
          <w:color w:val="auto"/>
          <w:sz w:val="24"/>
          <w:szCs w:val="24"/>
          <w:highlight w:val="none"/>
          <w:shd w:val="clear" w:fill="FFFFFF"/>
        </w:rPr>
        <w:t>本公司（单位）对上述声明内容的真实性负责。如有虚假，愿承担相应法律责任。</w:t>
      </w:r>
    </w:p>
    <w:p w14:paraId="1CAC866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rPr>
        <w:t> </w:t>
      </w:r>
    </w:p>
    <w:p w14:paraId="4B7D6087">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ind w:left="0" w:right="480" w:firstLine="3720"/>
        <w:jc w:val="both"/>
        <w:textAlignment w:val="auto"/>
        <w:rPr>
          <w:color w:val="auto"/>
          <w:highlight w:val="none"/>
        </w:rPr>
      </w:pPr>
      <w:r>
        <w:rPr>
          <w:rFonts w:ascii="宋体" w:hAnsi="宋体" w:eastAsia="宋体" w:cs="宋体"/>
          <w:color w:val="auto"/>
          <w:sz w:val="24"/>
          <w:szCs w:val="24"/>
          <w:highlight w:val="none"/>
          <w:shd w:val="clear" w:fill="FFFFFF"/>
        </w:rPr>
        <w:t>公司（单位）名称（盖章）：　</w:t>
      </w:r>
    </w:p>
    <w:p w14:paraId="4B86CD8E">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center"/>
        <w:textAlignment w:val="auto"/>
        <w:rPr>
          <w:color w:val="auto"/>
          <w:highlight w:val="none"/>
        </w:rPr>
      </w:pPr>
      <w:r>
        <w:rPr>
          <w:rFonts w:ascii="宋体" w:hAnsi="宋体" w:eastAsia="宋体" w:cs="宋体"/>
          <w:color w:val="auto"/>
          <w:sz w:val="24"/>
          <w:szCs w:val="24"/>
          <w:highlight w:val="none"/>
          <w:shd w:val="clear" w:fill="FFFFFF"/>
        </w:rPr>
        <w:t>             日期：　   年　  月　  日         </w:t>
      </w:r>
    </w:p>
    <w:p w14:paraId="4FB4ABF3">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rFonts w:ascii="宋体" w:hAnsi="宋体" w:eastAsia="宋体" w:cs="宋体"/>
          <w:color w:val="auto"/>
          <w:sz w:val="24"/>
          <w:szCs w:val="24"/>
          <w:highlight w:val="none"/>
          <w:shd w:val="clear" w:fill="FFFFFF"/>
        </w:rPr>
      </w:pPr>
    </w:p>
    <w:p w14:paraId="563751CB">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color w:val="auto"/>
          <w:highlight w:val="none"/>
        </w:rPr>
      </w:pPr>
      <w:r>
        <w:rPr>
          <w:rFonts w:ascii="宋体" w:hAnsi="宋体" w:eastAsia="宋体" w:cs="宋体"/>
          <w:color w:val="auto"/>
          <w:sz w:val="24"/>
          <w:szCs w:val="24"/>
          <w:highlight w:val="none"/>
          <w:shd w:val="clear" w:fill="FFFFFF"/>
        </w:rPr>
        <w:t>__________________</w:t>
      </w:r>
    </w:p>
    <w:p w14:paraId="0D130BF1">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color w:val="auto"/>
          <w:highlight w:val="none"/>
        </w:rPr>
      </w:pPr>
      <w:r>
        <w:rPr>
          <w:rFonts w:ascii="宋体" w:hAnsi="宋体" w:eastAsia="宋体" w:cs="宋体"/>
          <w:color w:val="auto"/>
          <w:sz w:val="24"/>
          <w:szCs w:val="24"/>
          <w:highlight w:val="none"/>
          <w:shd w:val="clear" w:fill="FFFFFF"/>
        </w:rPr>
        <w:t>1.产品如有型号，请在“产品名称”栏一并填写。</w:t>
      </w:r>
    </w:p>
    <w:p w14:paraId="3BE63DDD">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color w:val="auto"/>
          <w:highlight w:val="none"/>
        </w:rPr>
      </w:pPr>
      <w:r>
        <w:rPr>
          <w:rFonts w:ascii="宋体" w:hAnsi="宋体" w:eastAsia="宋体" w:cs="宋体"/>
          <w:color w:val="auto"/>
          <w:sz w:val="24"/>
          <w:szCs w:val="24"/>
          <w:highlight w:val="none"/>
          <w:shd w:val="clear" w:fill="FFFFFF"/>
        </w:rPr>
        <w:t>2.生产厂名与厂址应与生产厂营业执照载明的相关信息保持一致。</w:t>
      </w:r>
    </w:p>
    <w:p w14:paraId="187E10C6">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color w:val="auto"/>
          <w:highlight w:val="none"/>
        </w:rPr>
      </w:pPr>
      <w:r>
        <w:rPr>
          <w:rFonts w:ascii="宋体" w:hAnsi="宋体" w:eastAsia="宋体" w:cs="宋体"/>
          <w:color w:val="auto"/>
          <w:sz w:val="24"/>
          <w:szCs w:val="24"/>
          <w:highlight w:val="none"/>
          <w:shd w:val="clear" w:fill="FFFFFF"/>
        </w:rPr>
        <w:t>3.该产品的中国境内生产的组件成本占比相关要求实施前，“规定比例”栏可不填，下同。</w:t>
      </w:r>
    </w:p>
    <w:p w14:paraId="3267BE6A">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color w:val="auto"/>
          <w:highlight w:val="none"/>
        </w:rPr>
      </w:pPr>
      <w:r>
        <w:rPr>
          <w:rFonts w:ascii="宋体" w:hAnsi="宋体" w:eastAsia="宋体" w:cs="宋体"/>
          <w:color w:val="auto"/>
          <w:sz w:val="24"/>
          <w:szCs w:val="24"/>
          <w:highlight w:val="none"/>
          <w:shd w:val="clear" w:fill="FFFFFF"/>
        </w:rPr>
        <w:t>4.该产品的关键组件要求实施前，“关键组件”栏可不填，下同。</w:t>
      </w:r>
    </w:p>
    <w:p w14:paraId="4E6C0834">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color w:val="auto"/>
          <w:highlight w:val="none"/>
        </w:rPr>
      </w:pPr>
      <w:r>
        <w:rPr>
          <w:rFonts w:ascii="宋体" w:hAnsi="宋体" w:eastAsia="宋体" w:cs="宋体"/>
          <w:color w:val="auto"/>
          <w:sz w:val="24"/>
          <w:szCs w:val="24"/>
          <w:highlight w:val="none"/>
          <w:shd w:val="clear" w:fill="FFFFFF"/>
        </w:rPr>
        <w:t>5.该产品的关键工序要求实施前，“关键工序”栏可不填，下同。</w:t>
      </w:r>
    </w:p>
    <w:p w14:paraId="2039D937">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0" w:beforeAutospacing="0" w:after="30" w:afterAutospacing="0" w:line="460" w:lineRule="exact"/>
        <w:jc w:val="both"/>
        <w:textAlignment w:val="auto"/>
        <w:rPr>
          <w:color w:val="auto"/>
          <w:highlight w:val="none"/>
        </w:rPr>
      </w:pPr>
      <w:r>
        <w:rPr>
          <w:rFonts w:ascii="宋体" w:hAnsi="宋体" w:eastAsia="宋体" w:cs="宋体"/>
          <w:color w:val="auto"/>
          <w:sz w:val="24"/>
          <w:szCs w:val="24"/>
          <w:highlight w:val="none"/>
          <w:shd w:val="clear" w:fill="FFFFFF"/>
        </w:rPr>
        <w:t>6.用</w:t>
      </w:r>
      <w:r>
        <w:rPr>
          <w:rFonts w:hint="eastAsia" w:ascii="宋体" w:hAnsi="宋体" w:eastAsia="宋体" w:cs="宋体"/>
          <w:color w:val="auto"/>
          <w:sz w:val="24"/>
          <w:szCs w:val="24"/>
          <w:highlight w:val="none"/>
          <w:shd w:val="clear" w:fill="FFFFFF"/>
          <w:lang w:val="en-US" w:eastAsia="zh-CN"/>
        </w:rPr>
        <w:t>横</w:t>
      </w:r>
      <w:r>
        <w:rPr>
          <w:rFonts w:ascii="宋体" w:hAnsi="宋体" w:eastAsia="宋体" w:cs="宋体"/>
          <w:color w:val="auto"/>
          <w:sz w:val="24"/>
          <w:szCs w:val="24"/>
          <w:highlight w:val="none"/>
          <w:shd w:val="clear" w:fill="FFFFFF"/>
        </w:rPr>
        <w:t>线划除的地方无需填写。</w:t>
      </w:r>
    </w:p>
    <w:p w14:paraId="434CB774">
      <w:pPr>
        <w:pStyle w:val="3"/>
        <w:ind w:firstLine="216"/>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w:t>
      </w:r>
    </w:p>
    <w:p w14:paraId="525EB2B4">
      <w:pPr>
        <w:pStyle w:val="11"/>
        <w:spacing w:beforeAutospacing="0" w:afterAutospacing="0" w:line="0" w:lineRule="atLeast"/>
        <w:jc w:val="both"/>
        <w:rPr>
          <w:rFonts w:hint="eastAsia" w:ascii="宋体" w:hAnsi="宋体" w:eastAsia="宋体" w:cs="宋体"/>
          <w:color w:val="auto"/>
          <w:highlight w:val="none"/>
        </w:rPr>
      </w:pPr>
    </w:p>
    <w:p w14:paraId="7C3ACB48">
      <w:pPr>
        <w:pStyle w:val="11"/>
        <w:keepNext w:val="0"/>
        <w:keepLines w:val="0"/>
        <w:pageBreakBefore w:val="0"/>
        <w:widowControl w:val="0"/>
        <w:kinsoku/>
        <w:wordWrap/>
        <w:overflowPunct/>
        <w:topLinePunct w:val="0"/>
        <w:autoSpaceDE/>
        <w:autoSpaceDN/>
        <w:bidi w:val="0"/>
        <w:adjustRightInd/>
        <w:snapToGrid/>
        <w:spacing w:beforeAutospacing="0" w:afterAutospacing="0" w:line="540" w:lineRule="exact"/>
        <w:jc w:val="both"/>
        <w:textAlignment w:val="auto"/>
        <w:rPr>
          <w:color w:val="auto"/>
          <w:highlight w:val="none"/>
        </w:rPr>
      </w:pPr>
      <w:r>
        <w:rPr>
          <w:rFonts w:hint="eastAsia" w:ascii="宋体" w:hAnsi="宋体" w:eastAsia="宋体" w:cs="宋体"/>
          <w:color w:val="auto"/>
          <w:highlight w:val="none"/>
        </w:rPr>
        <w:t>（联合体中各供应商全称）在此达成以下协议：</w:t>
      </w:r>
    </w:p>
    <w:p w14:paraId="7B3635D9">
      <w:pPr>
        <w:pStyle w:val="11"/>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645"/>
        <w:jc w:val="both"/>
        <w:textAlignment w:val="auto"/>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w:t>
      </w:r>
      <w:r>
        <w:rPr>
          <w:rFonts w:hint="eastAsia"/>
          <w:color w:val="auto"/>
          <w:sz w:val="24"/>
          <w:highlight w:val="none"/>
          <w:lang w:val="en-US" w:eastAsia="zh-CN"/>
        </w:rPr>
        <w:t>射阳县行政服务中心</w:t>
      </w:r>
      <w:r>
        <w:rPr>
          <w:rFonts w:hint="eastAsia" w:ascii="宋体" w:hAnsi="宋体" w:eastAsia="宋体" w:cs="宋体"/>
          <w:color w:val="auto"/>
          <w:highlight w:val="none"/>
        </w:rPr>
        <w:t>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4CB7F364">
      <w:pPr>
        <w:pStyle w:val="11"/>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645"/>
        <w:jc w:val="both"/>
        <w:textAlignment w:val="auto"/>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0FF6709">
      <w:pPr>
        <w:pStyle w:val="11"/>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645"/>
        <w:jc w:val="both"/>
        <w:textAlignment w:val="auto"/>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E96EAD5">
      <w:pPr>
        <w:pStyle w:val="11"/>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645"/>
        <w:jc w:val="both"/>
        <w:textAlignment w:val="auto"/>
        <w:rPr>
          <w:color w:val="auto"/>
          <w:highlight w:val="none"/>
        </w:rPr>
      </w:pPr>
      <w:r>
        <w:rPr>
          <w:color w:val="auto"/>
          <w:highlight w:val="none"/>
        </w:rPr>
        <w:t> </w:t>
      </w:r>
    </w:p>
    <w:p w14:paraId="68430BED">
      <w:pPr>
        <w:pStyle w:val="11"/>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645"/>
        <w:jc w:val="both"/>
        <w:textAlignment w:val="auto"/>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4B08B0BD">
      <w:pPr>
        <w:pStyle w:val="11"/>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90648D7">
      <w:pPr>
        <w:pStyle w:val="11"/>
        <w:spacing w:beforeAutospacing="0" w:afterAutospacing="0" w:line="0" w:lineRule="atLeast"/>
        <w:ind w:firstLine="645"/>
        <w:jc w:val="both"/>
        <w:rPr>
          <w:rFonts w:hint="eastAsia" w:ascii="宋体" w:hAnsi="宋体" w:eastAsia="宋体" w:cs="宋体"/>
          <w:color w:val="auto"/>
          <w:highlight w:val="none"/>
        </w:rPr>
      </w:pPr>
    </w:p>
    <w:p w14:paraId="7673F4B1">
      <w:pPr>
        <w:pStyle w:val="11"/>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3073AECD">
      <w:pPr>
        <w:pStyle w:val="11"/>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日期：</w:t>
      </w:r>
    </w:p>
    <w:p w14:paraId="52A54D15">
      <w:pPr>
        <w:pStyle w:val="11"/>
        <w:spacing w:beforeAutospacing="0" w:afterAutospacing="0" w:line="0" w:lineRule="atLeast"/>
        <w:ind w:firstLine="645"/>
        <w:jc w:val="both"/>
        <w:rPr>
          <w:color w:val="auto"/>
          <w:highlight w:val="none"/>
        </w:rPr>
      </w:pPr>
      <w:r>
        <w:rPr>
          <w:color w:val="auto"/>
          <w:highlight w:val="none"/>
        </w:rPr>
        <w:t> </w:t>
      </w:r>
    </w:p>
    <w:p w14:paraId="15A2C463">
      <w:pPr>
        <w:pStyle w:val="11"/>
        <w:spacing w:beforeAutospacing="0" w:afterAutospacing="0" w:line="0" w:lineRule="atLeast"/>
        <w:jc w:val="both"/>
        <w:rPr>
          <w:color w:val="auto"/>
          <w:highlight w:val="none"/>
        </w:rPr>
      </w:pPr>
      <w:r>
        <w:rPr>
          <w:color w:val="auto"/>
          <w:highlight w:val="none"/>
        </w:rPr>
        <w:t> </w:t>
      </w:r>
    </w:p>
    <w:p w14:paraId="5DD77C7A">
      <w:pPr>
        <w:pStyle w:val="11"/>
        <w:spacing w:beforeAutospacing="0" w:afterAutospacing="0" w:line="0" w:lineRule="atLeast"/>
        <w:jc w:val="both"/>
        <w:rPr>
          <w:color w:val="auto"/>
          <w:highlight w:val="none"/>
        </w:rPr>
      </w:pPr>
      <w:r>
        <w:rPr>
          <w:color w:val="auto"/>
          <w:highlight w:val="none"/>
        </w:rPr>
        <w:t> </w:t>
      </w:r>
    </w:p>
    <w:p w14:paraId="7FD231BA">
      <w:pPr>
        <w:pStyle w:val="11"/>
        <w:spacing w:beforeAutospacing="0" w:afterAutospacing="0" w:line="0" w:lineRule="atLeast"/>
        <w:jc w:val="both"/>
        <w:rPr>
          <w:color w:val="auto"/>
          <w:highlight w:val="none"/>
        </w:rPr>
      </w:pPr>
      <w:r>
        <w:rPr>
          <w:color w:val="auto"/>
          <w:highlight w:val="none"/>
        </w:rPr>
        <w:t> </w:t>
      </w:r>
    </w:p>
    <w:p w14:paraId="2AC8CC32">
      <w:pPr>
        <w:pStyle w:val="11"/>
        <w:spacing w:beforeAutospacing="0" w:afterAutospacing="0" w:line="0" w:lineRule="atLeast"/>
        <w:jc w:val="both"/>
        <w:rPr>
          <w:color w:val="auto"/>
          <w:highlight w:val="none"/>
        </w:rPr>
      </w:pPr>
      <w:r>
        <w:rPr>
          <w:color w:val="auto"/>
          <w:highlight w:val="none"/>
        </w:rPr>
        <w:t> </w:t>
      </w:r>
    </w:p>
    <w:p w14:paraId="5EC7EFFF">
      <w:pPr>
        <w:pStyle w:val="11"/>
        <w:spacing w:beforeAutospacing="0" w:afterAutospacing="0" w:line="0" w:lineRule="atLeast"/>
        <w:jc w:val="both"/>
        <w:rPr>
          <w:color w:val="auto"/>
          <w:highlight w:val="none"/>
        </w:rPr>
      </w:pPr>
    </w:p>
    <w:p w14:paraId="16477A67">
      <w:pPr>
        <w:pStyle w:val="11"/>
        <w:spacing w:beforeAutospacing="0" w:afterAutospacing="0" w:line="0" w:lineRule="atLeast"/>
        <w:jc w:val="both"/>
        <w:rPr>
          <w:color w:val="auto"/>
          <w:highlight w:val="none"/>
        </w:rPr>
      </w:pPr>
    </w:p>
    <w:p w14:paraId="502BB7DA">
      <w:pPr>
        <w:pStyle w:val="11"/>
        <w:spacing w:beforeAutospacing="0" w:afterAutospacing="0" w:line="0" w:lineRule="atLeast"/>
        <w:jc w:val="both"/>
        <w:rPr>
          <w:color w:val="auto"/>
          <w:highlight w:val="none"/>
        </w:rPr>
      </w:pPr>
    </w:p>
    <w:p w14:paraId="1746FEF0">
      <w:pPr>
        <w:pStyle w:val="11"/>
        <w:spacing w:beforeAutospacing="0" w:afterAutospacing="0" w:line="0" w:lineRule="atLeast"/>
        <w:jc w:val="both"/>
        <w:rPr>
          <w:color w:val="auto"/>
          <w:highlight w:val="none"/>
        </w:rPr>
      </w:pPr>
    </w:p>
    <w:p w14:paraId="11BC64E8">
      <w:pPr>
        <w:pStyle w:val="3"/>
        <w:ind w:firstLine="216"/>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w:t>
      </w:r>
    </w:p>
    <w:p w14:paraId="4B88DEEE">
      <w:pPr>
        <w:pStyle w:val="11"/>
        <w:spacing w:beforeAutospacing="0" w:afterAutospacing="0"/>
        <w:jc w:val="center"/>
        <w:rPr>
          <w:rFonts w:hint="eastAsia" w:ascii="黑体" w:hAnsi="宋体" w:eastAsia="黑体" w:cs="黑体"/>
          <w:b/>
          <w:color w:val="auto"/>
          <w:sz w:val="32"/>
          <w:szCs w:val="32"/>
          <w:highlight w:val="none"/>
        </w:rPr>
      </w:pPr>
    </w:p>
    <w:tbl>
      <w:tblPr>
        <w:tblStyle w:val="12"/>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67D4302B">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规格</w:t>
            </w:r>
          </w:p>
          <w:p w14:paraId="585F4A44">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11"/>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11"/>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11"/>
              <w:spacing w:beforeAutospacing="0" w:afterAutospacing="0" w:line="0" w:lineRule="atLeast"/>
              <w:jc w:val="both"/>
              <w:rPr>
                <w:color w:val="auto"/>
                <w:highlight w:val="none"/>
              </w:rPr>
            </w:pPr>
            <w:r>
              <w:rPr>
                <w:color w:val="auto"/>
                <w:highlight w:val="none"/>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11"/>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11"/>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11"/>
              <w:spacing w:beforeAutospacing="0" w:afterAutospacing="0" w:line="0" w:lineRule="atLeast"/>
              <w:jc w:val="both"/>
              <w:rPr>
                <w:color w:val="auto"/>
                <w:highlight w:val="none"/>
              </w:rPr>
            </w:pPr>
            <w:r>
              <w:rPr>
                <w:color w:val="auto"/>
                <w:highlight w:val="none"/>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11"/>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11"/>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11"/>
              <w:spacing w:beforeAutospacing="0" w:afterAutospacing="0" w:line="0" w:lineRule="atLeast"/>
              <w:jc w:val="both"/>
              <w:rPr>
                <w:color w:val="auto"/>
                <w:highlight w:val="none"/>
              </w:rPr>
            </w:pPr>
            <w:r>
              <w:rPr>
                <w:color w:val="auto"/>
                <w:highlight w:val="none"/>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11"/>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11"/>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11"/>
              <w:spacing w:beforeAutospacing="0" w:afterAutospacing="0" w:line="0" w:lineRule="atLeast"/>
              <w:jc w:val="both"/>
              <w:rPr>
                <w:color w:val="auto"/>
                <w:highlight w:val="none"/>
              </w:rPr>
            </w:pPr>
            <w:r>
              <w:rPr>
                <w:color w:val="auto"/>
                <w:highlight w:val="none"/>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11"/>
              <w:spacing w:beforeAutospacing="0" w:afterAutospacing="0"/>
              <w:jc w:val="center"/>
              <w:rPr>
                <w:color w:val="auto"/>
                <w:highlight w:val="none"/>
              </w:rPr>
            </w:pPr>
            <w:r>
              <w:rPr>
                <w:rFonts w:hint="eastAsia" w:ascii="宋体" w:hAnsi="宋体" w:eastAsia="宋体" w:cs="宋体"/>
                <w:color w:val="auto"/>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11"/>
              <w:spacing w:beforeAutospacing="0" w:afterAutospacing="0"/>
              <w:jc w:val="both"/>
              <w:rPr>
                <w:color w:val="auto"/>
                <w:highlight w:val="none"/>
              </w:rPr>
            </w:pPr>
            <w:r>
              <w:rPr>
                <w:color w:val="auto"/>
                <w:highlight w:val="none"/>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11"/>
              <w:spacing w:beforeAutospacing="0" w:afterAutospacing="0"/>
              <w:jc w:val="both"/>
              <w:rPr>
                <w:color w:val="auto"/>
                <w:highlight w:val="none"/>
              </w:rPr>
            </w:pPr>
            <w:r>
              <w:rPr>
                <w:rFonts w:hint="eastAsia" w:asciiTheme="minorEastAsia" w:hAnsiTheme="minorEastAsia" w:eastAsiaTheme="minorEastAsia" w:cstheme="minorEastAsia"/>
                <w:color w:val="auto"/>
                <w:sz w:val="24"/>
                <w:szCs w:val="24"/>
                <w:highlight w:val="none"/>
              </w:rPr>
              <w:t>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w:t>
            </w:r>
          </w:p>
        </w:tc>
      </w:tr>
    </w:tbl>
    <w:p w14:paraId="644D825B">
      <w:pPr>
        <w:pStyle w:val="11"/>
        <w:spacing w:beforeAutospacing="0" w:afterAutospacing="0"/>
        <w:jc w:val="both"/>
        <w:rPr>
          <w:rFonts w:hint="eastAsia" w:ascii="宋体" w:hAnsi="宋体" w:eastAsia="宋体" w:cs="宋体"/>
          <w:color w:val="auto"/>
          <w:highlight w:val="none"/>
        </w:rPr>
      </w:pPr>
    </w:p>
    <w:p w14:paraId="442238A9">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w:t>
      </w:r>
    </w:p>
    <w:p w14:paraId="2CD060BB">
      <w:pPr>
        <w:pStyle w:val="11"/>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jc w:val="both"/>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highlight w:val="none"/>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CBF482E">
      <w:pPr>
        <w:pStyle w:val="11"/>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50EB4D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912FFD9">
      <w:pPr>
        <w:pStyle w:val="11"/>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（备注：该表仅适用于项目采用货币报价的情形。项目采用折扣率报价的，如需要填写投标分项报价表，请项目经办人自行设计表格。招标文件定稿后该备注删除。）</w:t>
      </w:r>
    </w:p>
    <w:p w14:paraId="557CDBCA">
      <w:pPr>
        <w:pStyle w:val="11"/>
        <w:spacing w:beforeAutospacing="0" w:afterAutospacing="0"/>
        <w:jc w:val="both"/>
        <w:rPr>
          <w:color w:val="auto"/>
          <w:highlight w:val="none"/>
          <w:shd w:val="clear" w:color="auto" w:fill="auto"/>
        </w:rPr>
      </w:pPr>
      <w:r>
        <w:rPr>
          <w:color w:val="auto"/>
          <w:highlight w:val="none"/>
          <w:shd w:val="clear" w:color="auto" w:fill="auto"/>
        </w:rPr>
        <w:t> </w:t>
      </w:r>
    </w:p>
    <w:p w14:paraId="5C3CDF56">
      <w:pPr>
        <w:pStyle w:val="11"/>
        <w:spacing w:beforeAutospacing="0" w:afterAutospacing="0"/>
        <w:jc w:val="both"/>
        <w:rPr>
          <w:color w:val="auto"/>
          <w:highlight w:val="none"/>
        </w:rPr>
      </w:pPr>
      <w:r>
        <w:rPr>
          <w:color w:val="auto"/>
          <w:highlight w:val="none"/>
        </w:rPr>
        <w:t> </w:t>
      </w:r>
    </w:p>
    <w:p w14:paraId="391D295D">
      <w:pPr>
        <w:pStyle w:val="11"/>
        <w:spacing w:beforeAutospacing="0" w:afterAutospacing="0"/>
        <w:jc w:val="both"/>
        <w:rPr>
          <w:color w:val="auto"/>
          <w:highlight w:val="none"/>
        </w:rPr>
      </w:pPr>
      <w:r>
        <w:rPr>
          <w:color w:val="auto"/>
          <w:highlight w:val="none"/>
        </w:rPr>
        <w:t> </w:t>
      </w:r>
    </w:p>
    <w:p w14:paraId="2968EB93">
      <w:pPr>
        <w:pStyle w:val="11"/>
        <w:spacing w:beforeAutospacing="0" w:afterAutospacing="0"/>
        <w:jc w:val="both"/>
        <w:rPr>
          <w:color w:val="auto"/>
          <w:highlight w:val="none"/>
        </w:rPr>
      </w:pPr>
      <w:r>
        <w:rPr>
          <w:color w:val="auto"/>
          <w:highlight w:val="none"/>
        </w:rPr>
        <w:t> </w:t>
      </w:r>
    </w:p>
    <w:p w14:paraId="67AA6D10">
      <w:pPr>
        <w:pStyle w:val="11"/>
        <w:spacing w:beforeAutospacing="0" w:afterAutospacing="0"/>
        <w:jc w:val="both"/>
        <w:rPr>
          <w:color w:val="auto"/>
          <w:highlight w:val="none"/>
        </w:rPr>
      </w:pPr>
      <w:r>
        <w:rPr>
          <w:color w:val="auto"/>
          <w:highlight w:val="none"/>
        </w:rPr>
        <w:t> </w:t>
      </w:r>
    </w:p>
    <w:p w14:paraId="7966862D">
      <w:pPr>
        <w:pStyle w:val="11"/>
        <w:spacing w:beforeAutospacing="0" w:afterAutospacing="0"/>
        <w:jc w:val="both"/>
        <w:rPr>
          <w:color w:val="auto"/>
          <w:highlight w:val="none"/>
        </w:rPr>
      </w:pPr>
      <w:r>
        <w:rPr>
          <w:color w:val="auto"/>
          <w:highlight w:val="none"/>
        </w:rPr>
        <w:t> </w:t>
      </w:r>
    </w:p>
    <w:p w14:paraId="0926414D">
      <w:pPr>
        <w:pStyle w:val="11"/>
        <w:spacing w:beforeAutospacing="0" w:afterAutospacing="0"/>
        <w:jc w:val="both"/>
        <w:rPr>
          <w:color w:val="auto"/>
          <w:highlight w:val="none"/>
        </w:rPr>
      </w:pPr>
    </w:p>
    <w:p w14:paraId="71D5A405">
      <w:pPr>
        <w:pStyle w:val="11"/>
        <w:spacing w:beforeAutospacing="0" w:afterAutospacing="0"/>
        <w:jc w:val="both"/>
        <w:rPr>
          <w:color w:val="auto"/>
          <w:highlight w:val="none"/>
        </w:rPr>
      </w:pPr>
    </w:p>
    <w:p w14:paraId="5BFF4FA8">
      <w:pPr>
        <w:pStyle w:val="11"/>
        <w:spacing w:beforeAutospacing="0" w:afterAutospacing="0"/>
        <w:jc w:val="both"/>
        <w:rPr>
          <w:color w:val="auto"/>
          <w:highlight w:val="none"/>
        </w:rPr>
      </w:pPr>
    </w:p>
    <w:p w14:paraId="30BA1576">
      <w:pPr>
        <w:pStyle w:val="11"/>
        <w:spacing w:beforeAutospacing="0" w:afterAutospacing="0"/>
        <w:jc w:val="both"/>
        <w:rPr>
          <w:color w:val="auto"/>
          <w:highlight w:val="none"/>
        </w:rPr>
      </w:pPr>
    </w:p>
    <w:p w14:paraId="1FB887C8">
      <w:pPr>
        <w:pStyle w:val="11"/>
        <w:spacing w:beforeAutospacing="0" w:afterAutospacing="0"/>
        <w:jc w:val="both"/>
        <w:rPr>
          <w:color w:val="auto"/>
          <w:highlight w:val="none"/>
        </w:rPr>
      </w:pPr>
    </w:p>
    <w:p w14:paraId="4981A607">
      <w:pPr>
        <w:pStyle w:val="11"/>
        <w:spacing w:beforeAutospacing="0" w:afterAutospacing="0"/>
        <w:jc w:val="both"/>
        <w:rPr>
          <w:color w:val="auto"/>
          <w:highlight w:val="none"/>
        </w:rPr>
      </w:pPr>
    </w:p>
    <w:p w14:paraId="513026C0">
      <w:pPr>
        <w:pStyle w:val="11"/>
        <w:spacing w:beforeAutospacing="0" w:afterAutospacing="0"/>
        <w:jc w:val="both"/>
        <w:rPr>
          <w:color w:val="auto"/>
          <w:highlight w:val="none"/>
        </w:rPr>
      </w:pPr>
    </w:p>
    <w:p w14:paraId="60BDBB79">
      <w:pPr>
        <w:pStyle w:val="11"/>
        <w:spacing w:beforeAutospacing="0" w:afterAutospacing="0"/>
        <w:jc w:val="both"/>
        <w:rPr>
          <w:color w:val="auto"/>
          <w:highlight w:val="none"/>
        </w:rPr>
      </w:pPr>
    </w:p>
    <w:p w14:paraId="5FD057F1">
      <w:pPr>
        <w:pStyle w:val="11"/>
        <w:spacing w:beforeAutospacing="0" w:afterAutospacing="0"/>
        <w:jc w:val="both"/>
        <w:rPr>
          <w:color w:val="auto"/>
          <w:highlight w:val="none"/>
        </w:rPr>
      </w:pPr>
    </w:p>
    <w:p w14:paraId="547D1119">
      <w:pPr>
        <w:pStyle w:val="11"/>
        <w:spacing w:beforeAutospacing="0" w:afterAutospacing="0"/>
        <w:jc w:val="both"/>
        <w:rPr>
          <w:color w:val="auto"/>
          <w:highlight w:val="none"/>
        </w:rPr>
      </w:pPr>
    </w:p>
    <w:p w14:paraId="30CF1EEA">
      <w:pPr>
        <w:pStyle w:val="11"/>
        <w:spacing w:beforeAutospacing="0" w:afterAutospacing="0"/>
        <w:jc w:val="both"/>
        <w:rPr>
          <w:color w:val="auto"/>
          <w:highlight w:val="none"/>
        </w:rPr>
      </w:pPr>
    </w:p>
    <w:p w14:paraId="02B2BED2">
      <w:pPr>
        <w:pStyle w:val="11"/>
        <w:spacing w:beforeAutospacing="0" w:afterAutospacing="0"/>
        <w:jc w:val="both"/>
        <w:rPr>
          <w:color w:val="auto"/>
          <w:highlight w:val="none"/>
        </w:rPr>
      </w:pPr>
    </w:p>
    <w:p w14:paraId="08E3DDD2">
      <w:pPr>
        <w:pStyle w:val="11"/>
        <w:spacing w:beforeAutospacing="0" w:afterAutospacing="0"/>
        <w:jc w:val="both"/>
        <w:rPr>
          <w:color w:val="auto"/>
          <w:highlight w:val="none"/>
        </w:rPr>
      </w:pPr>
    </w:p>
    <w:p w14:paraId="769FF1B9">
      <w:pPr>
        <w:pStyle w:val="11"/>
        <w:spacing w:beforeAutospacing="0" w:afterAutospacing="0"/>
        <w:jc w:val="both"/>
        <w:rPr>
          <w:color w:val="auto"/>
          <w:highlight w:val="none"/>
        </w:rPr>
      </w:pPr>
    </w:p>
    <w:p w14:paraId="5168CE62">
      <w:pPr>
        <w:pStyle w:val="11"/>
        <w:spacing w:beforeAutospacing="0" w:afterAutospacing="0"/>
        <w:jc w:val="both"/>
        <w:rPr>
          <w:color w:val="auto"/>
          <w:highlight w:val="none"/>
        </w:rPr>
      </w:pPr>
    </w:p>
    <w:p w14:paraId="46774A33">
      <w:pPr>
        <w:pStyle w:val="11"/>
        <w:spacing w:beforeAutospacing="0" w:afterAutospacing="0"/>
        <w:jc w:val="both"/>
        <w:rPr>
          <w:color w:val="auto"/>
          <w:highlight w:val="none"/>
        </w:rPr>
      </w:pPr>
    </w:p>
    <w:p w14:paraId="74373F00">
      <w:pPr>
        <w:pStyle w:val="11"/>
        <w:spacing w:beforeAutospacing="0" w:afterAutospacing="0"/>
        <w:jc w:val="both"/>
        <w:rPr>
          <w:color w:val="auto"/>
          <w:highlight w:val="none"/>
        </w:rPr>
      </w:pPr>
    </w:p>
    <w:p w14:paraId="5129885D">
      <w:pPr>
        <w:pStyle w:val="11"/>
        <w:spacing w:beforeAutospacing="0" w:afterAutospacing="0"/>
        <w:jc w:val="both"/>
        <w:rPr>
          <w:color w:val="auto"/>
          <w:highlight w:val="none"/>
        </w:rPr>
      </w:pPr>
    </w:p>
    <w:p w14:paraId="7EAF3CFD">
      <w:pPr>
        <w:pStyle w:val="11"/>
        <w:spacing w:beforeAutospacing="0" w:afterAutospacing="0"/>
        <w:jc w:val="both"/>
        <w:rPr>
          <w:color w:val="auto"/>
          <w:highlight w:val="none"/>
        </w:rPr>
      </w:pPr>
    </w:p>
    <w:p w14:paraId="183A03AE">
      <w:pPr>
        <w:pStyle w:val="11"/>
        <w:spacing w:beforeAutospacing="0" w:afterAutospacing="0"/>
        <w:jc w:val="both"/>
        <w:rPr>
          <w:color w:val="auto"/>
          <w:highlight w:val="none"/>
        </w:rPr>
      </w:pPr>
    </w:p>
    <w:p w14:paraId="1D406915">
      <w:pPr>
        <w:pStyle w:val="11"/>
        <w:spacing w:beforeAutospacing="0" w:afterAutospacing="0"/>
        <w:jc w:val="both"/>
        <w:rPr>
          <w:color w:val="auto"/>
          <w:highlight w:val="none"/>
        </w:rPr>
      </w:pPr>
    </w:p>
    <w:p w14:paraId="0261544F">
      <w:pPr>
        <w:pStyle w:val="11"/>
        <w:spacing w:beforeAutospacing="0" w:afterAutospacing="0"/>
        <w:jc w:val="both"/>
        <w:rPr>
          <w:color w:val="auto"/>
          <w:highlight w:val="none"/>
        </w:rPr>
      </w:pPr>
    </w:p>
    <w:p w14:paraId="191EEB4D">
      <w:pPr>
        <w:pStyle w:val="11"/>
        <w:spacing w:beforeAutospacing="0" w:afterAutospacing="0"/>
        <w:jc w:val="both"/>
        <w:rPr>
          <w:color w:val="auto"/>
          <w:highlight w:val="none"/>
        </w:rPr>
      </w:pPr>
    </w:p>
    <w:p w14:paraId="6D3FF3C6">
      <w:pPr>
        <w:pStyle w:val="11"/>
        <w:spacing w:beforeAutospacing="0" w:afterAutospacing="0"/>
        <w:jc w:val="both"/>
        <w:rPr>
          <w:color w:val="auto"/>
          <w:highlight w:val="none"/>
        </w:rPr>
      </w:pPr>
    </w:p>
    <w:p w14:paraId="181029F2">
      <w:pPr>
        <w:pStyle w:val="11"/>
        <w:spacing w:beforeAutospacing="0" w:afterAutospacing="0"/>
        <w:jc w:val="both"/>
        <w:rPr>
          <w:color w:val="auto"/>
          <w:highlight w:val="none"/>
        </w:rPr>
      </w:pPr>
    </w:p>
    <w:p w14:paraId="42BE3465">
      <w:pPr>
        <w:pStyle w:val="11"/>
        <w:spacing w:beforeAutospacing="0" w:afterAutospacing="0"/>
        <w:jc w:val="both"/>
        <w:rPr>
          <w:color w:val="auto"/>
          <w:highlight w:val="none"/>
        </w:rPr>
      </w:pPr>
    </w:p>
    <w:p w14:paraId="783BF216">
      <w:pPr>
        <w:pStyle w:val="11"/>
        <w:spacing w:beforeAutospacing="0" w:afterAutospacing="0"/>
        <w:jc w:val="both"/>
        <w:rPr>
          <w:color w:val="auto"/>
          <w:highlight w:val="none"/>
        </w:rPr>
      </w:pPr>
    </w:p>
    <w:p w14:paraId="2DC1C123">
      <w:pPr>
        <w:pStyle w:val="11"/>
        <w:spacing w:beforeAutospacing="0" w:afterAutospacing="0"/>
        <w:jc w:val="both"/>
        <w:rPr>
          <w:color w:val="auto"/>
          <w:highlight w:val="none"/>
        </w:rPr>
      </w:pPr>
    </w:p>
    <w:p w14:paraId="48E37EAD">
      <w:pPr>
        <w:pStyle w:val="11"/>
        <w:spacing w:beforeAutospacing="0" w:afterAutospacing="0"/>
        <w:jc w:val="both"/>
        <w:rPr>
          <w:color w:val="auto"/>
          <w:highlight w:val="none"/>
        </w:rPr>
      </w:pPr>
    </w:p>
    <w:p w14:paraId="263EC39B">
      <w:pPr>
        <w:pStyle w:val="3"/>
        <w:ind w:firstLine="216"/>
        <w:jc w:val="center"/>
        <w:rPr>
          <w:rFonts w:hint="eastAsia" w:ascii="黑体" w:hAnsi="宋体" w:eastAsia="黑体" w:cs="黑体"/>
          <w:b/>
          <w:color w:val="auto"/>
          <w:sz w:val="32"/>
          <w:szCs w:val="32"/>
          <w:highlight w:val="none"/>
        </w:rPr>
      </w:pPr>
      <w:r>
        <w:rPr>
          <w:color w:val="auto"/>
          <w:highlight w:val="none"/>
        </w:rPr>
        <w:t> </w:t>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w:t>
      </w:r>
    </w:p>
    <w:p w14:paraId="300A2FB1">
      <w:pPr>
        <w:pStyle w:val="11"/>
        <w:spacing w:beforeAutospacing="0" w:afterAutospacing="0"/>
        <w:jc w:val="center"/>
        <w:rPr>
          <w:rFonts w:hint="eastAsia" w:ascii="黑体" w:hAnsi="宋体" w:eastAsia="黑体" w:cs="黑体"/>
          <w:b/>
          <w:color w:val="auto"/>
          <w:sz w:val="32"/>
          <w:szCs w:val="32"/>
          <w:highlight w:val="none"/>
        </w:rPr>
      </w:pP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947ED7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9BAE">
            <w:pPr>
              <w:pStyle w:val="11"/>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42FC">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9C51">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14B">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B8CD">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67058F1B">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49116A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F2F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80E">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180">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1514">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27E">
            <w:pPr>
              <w:pStyle w:val="11"/>
              <w:spacing w:beforeAutospacing="0" w:afterAutospacing="0"/>
              <w:jc w:val="center"/>
              <w:rPr>
                <w:color w:val="auto"/>
                <w:highlight w:val="none"/>
              </w:rPr>
            </w:pPr>
            <w:r>
              <w:rPr>
                <w:color w:val="auto"/>
                <w:highlight w:val="none"/>
              </w:rPr>
              <w:t> </w:t>
            </w:r>
          </w:p>
        </w:tc>
      </w:tr>
      <w:tr w14:paraId="71461C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3C1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C477">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72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7F7">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41BE">
            <w:pPr>
              <w:pStyle w:val="11"/>
              <w:spacing w:beforeAutospacing="0" w:afterAutospacing="0"/>
              <w:jc w:val="center"/>
              <w:rPr>
                <w:color w:val="auto"/>
                <w:highlight w:val="none"/>
              </w:rPr>
            </w:pPr>
            <w:r>
              <w:rPr>
                <w:color w:val="auto"/>
                <w:highlight w:val="none"/>
              </w:rPr>
              <w:t> </w:t>
            </w:r>
          </w:p>
        </w:tc>
      </w:tr>
      <w:tr w14:paraId="30E1A9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9AFE">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E88">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901">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77B0">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888E">
            <w:pPr>
              <w:pStyle w:val="11"/>
              <w:spacing w:beforeAutospacing="0" w:afterAutospacing="0"/>
              <w:jc w:val="center"/>
              <w:rPr>
                <w:color w:val="auto"/>
                <w:highlight w:val="none"/>
              </w:rPr>
            </w:pPr>
            <w:r>
              <w:rPr>
                <w:color w:val="auto"/>
                <w:highlight w:val="none"/>
              </w:rPr>
              <w:t> </w:t>
            </w:r>
          </w:p>
        </w:tc>
      </w:tr>
      <w:tr w14:paraId="5B3EE96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FB44">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65F">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0F52">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E09E">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04CF">
            <w:pPr>
              <w:pStyle w:val="11"/>
              <w:spacing w:beforeAutospacing="0" w:afterAutospacing="0"/>
              <w:jc w:val="center"/>
              <w:rPr>
                <w:color w:val="auto"/>
                <w:highlight w:val="none"/>
              </w:rPr>
            </w:pPr>
            <w:r>
              <w:rPr>
                <w:color w:val="auto"/>
                <w:highlight w:val="none"/>
              </w:rPr>
              <w:t> </w:t>
            </w:r>
          </w:p>
        </w:tc>
      </w:tr>
      <w:tr w14:paraId="436A21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68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9289">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164E">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E01C">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5063">
            <w:pPr>
              <w:pStyle w:val="11"/>
              <w:spacing w:beforeAutospacing="0" w:afterAutospacing="0"/>
              <w:jc w:val="center"/>
              <w:rPr>
                <w:color w:val="auto"/>
                <w:highlight w:val="none"/>
              </w:rPr>
            </w:pPr>
            <w:r>
              <w:rPr>
                <w:color w:val="auto"/>
                <w:highlight w:val="none"/>
              </w:rPr>
              <w:t> </w:t>
            </w:r>
          </w:p>
        </w:tc>
      </w:tr>
      <w:tr w14:paraId="24E3E3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AF43">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BC">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C8B6">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E6D4">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6C54">
            <w:pPr>
              <w:pStyle w:val="11"/>
              <w:spacing w:beforeAutospacing="0" w:afterAutospacing="0"/>
              <w:jc w:val="center"/>
              <w:rPr>
                <w:color w:val="auto"/>
                <w:highlight w:val="none"/>
              </w:rPr>
            </w:pPr>
            <w:r>
              <w:rPr>
                <w:color w:val="auto"/>
                <w:highlight w:val="none"/>
              </w:rPr>
              <w:t> </w:t>
            </w:r>
          </w:p>
        </w:tc>
      </w:tr>
      <w:tr w14:paraId="3238C6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382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4D71">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3AD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787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9FD5">
            <w:pPr>
              <w:pStyle w:val="11"/>
              <w:spacing w:beforeAutospacing="0" w:afterAutospacing="0"/>
              <w:jc w:val="center"/>
              <w:rPr>
                <w:color w:val="auto"/>
                <w:highlight w:val="none"/>
              </w:rPr>
            </w:pPr>
            <w:r>
              <w:rPr>
                <w:color w:val="auto"/>
                <w:highlight w:val="none"/>
              </w:rPr>
              <w:t> </w:t>
            </w:r>
          </w:p>
        </w:tc>
      </w:tr>
      <w:tr w14:paraId="0E964A8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24A0">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AB63">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CAC">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AE0">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F699">
            <w:pPr>
              <w:pStyle w:val="11"/>
              <w:spacing w:beforeAutospacing="0" w:afterAutospacing="0"/>
              <w:jc w:val="center"/>
              <w:rPr>
                <w:color w:val="auto"/>
                <w:highlight w:val="none"/>
              </w:rPr>
            </w:pPr>
            <w:r>
              <w:rPr>
                <w:color w:val="auto"/>
                <w:highlight w:val="none"/>
              </w:rPr>
              <w:t> </w:t>
            </w:r>
          </w:p>
        </w:tc>
      </w:tr>
    </w:tbl>
    <w:p w14:paraId="757BC584">
      <w:pPr>
        <w:pStyle w:val="11"/>
        <w:spacing w:beforeAutospacing="0" w:afterAutospacing="0"/>
        <w:jc w:val="both"/>
        <w:rPr>
          <w:rFonts w:hint="eastAsia" w:ascii="宋体" w:hAnsi="宋体" w:eastAsia="宋体" w:cs="宋体"/>
          <w:color w:val="auto"/>
          <w:highlight w:val="none"/>
        </w:rPr>
      </w:pPr>
    </w:p>
    <w:p w14:paraId="36AF6280">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4F1C81C5">
      <w:pPr>
        <w:pStyle w:val="11"/>
        <w:spacing w:beforeAutospacing="0" w:afterAutospacing="0"/>
        <w:jc w:val="center"/>
        <w:rPr>
          <w:color w:val="auto"/>
          <w:highlight w:val="none"/>
        </w:rPr>
      </w:pPr>
      <w:r>
        <w:rPr>
          <w:color w:val="auto"/>
          <w:highlight w:val="none"/>
        </w:rPr>
        <w:t> </w:t>
      </w:r>
    </w:p>
    <w:p w14:paraId="5D3ECF4B">
      <w:pPr>
        <w:pStyle w:val="11"/>
        <w:spacing w:beforeAutospacing="0" w:afterAutospacing="0"/>
        <w:jc w:val="center"/>
        <w:rPr>
          <w:color w:val="auto"/>
          <w:highlight w:val="none"/>
        </w:rPr>
      </w:pPr>
      <w:r>
        <w:rPr>
          <w:color w:val="auto"/>
          <w:highlight w:val="none"/>
        </w:rPr>
        <w:t> </w:t>
      </w:r>
    </w:p>
    <w:p w14:paraId="6C205399">
      <w:pPr>
        <w:pStyle w:val="11"/>
        <w:spacing w:beforeAutospacing="0" w:afterAutospacing="0"/>
        <w:jc w:val="center"/>
        <w:rPr>
          <w:color w:val="auto"/>
          <w:highlight w:val="none"/>
        </w:rPr>
      </w:pPr>
      <w:r>
        <w:rPr>
          <w:color w:val="auto"/>
          <w:highlight w:val="none"/>
        </w:rPr>
        <w:t> </w:t>
      </w:r>
    </w:p>
    <w:p w14:paraId="4AA038E0">
      <w:pPr>
        <w:pStyle w:val="11"/>
        <w:spacing w:beforeAutospacing="0" w:afterAutospacing="0"/>
        <w:jc w:val="center"/>
        <w:rPr>
          <w:color w:val="auto"/>
          <w:highlight w:val="none"/>
        </w:rPr>
      </w:pPr>
      <w:r>
        <w:rPr>
          <w:color w:val="auto"/>
          <w:highlight w:val="none"/>
        </w:rPr>
        <w:t> </w:t>
      </w:r>
    </w:p>
    <w:p w14:paraId="2959F3C4">
      <w:pPr>
        <w:pStyle w:val="11"/>
        <w:spacing w:beforeAutospacing="0" w:afterAutospacing="0"/>
        <w:jc w:val="both"/>
        <w:rPr>
          <w:color w:val="auto"/>
          <w:highlight w:val="none"/>
        </w:rPr>
      </w:pPr>
      <w:r>
        <w:rPr>
          <w:color w:val="auto"/>
          <w:highlight w:val="none"/>
        </w:rPr>
        <w:t> </w:t>
      </w:r>
    </w:p>
    <w:p w14:paraId="1B060B71">
      <w:pPr>
        <w:pStyle w:val="11"/>
        <w:spacing w:beforeAutospacing="0" w:afterAutospacing="0"/>
        <w:jc w:val="both"/>
        <w:rPr>
          <w:color w:val="auto"/>
          <w:highlight w:val="none"/>
        </w:rPr>
      </w:pPr>
      <w:r>
        <w:rPr>
          <w:color w:val="auto"/>
          <w:highlight w:val="none"/>
        </w:rPr>
        <w:t> </w:t>
      </w:r>
    </w:p>
    <w:p w14:paraId="3F046A88">
      <w:pPr>
        <w:pStyle w:val="11"/>
        <w:spacing w:beforeAutospacing="0" w:afterAutospacing="0"/>
        <w:jc w:val="both"/>
        <w:rPr>
          <w:color w:val="auto"/>
          <w:highlight w:val="none"/>
        </w:rPr>
      </w:pPr>
      <w:r>
        <w:rPr>
          <w:color w:val="auto"/>
          <w:highlight w:val="none"/>
        </w:rPr>
        <w:t> </w:t>
      </w:r>
    </w:p>
    <w:p w14:paraId="54721F13">
      <w:pPr>
        <w:pStyle w:val="11"/>
        <w:spacing w:beforeAutospacing="0" w:afterAutospacing="0"/>
        <w:jc w:val="both"/>
        <w:rPr>
          <w:color w:val="auto"/>
          <w:highlight w:val="none"/>
        </w:rPr>
      </w:pPr>
      <w:r>
        <w:rPr>
          <w:color w:val="auto"/>
          <w:highlight w:val="none"/>
        </w:rPr>
        <w:t> </w:t>
      </w:r>
    </w:p>
    <w:p w14:paraId="7F2D6E94">
      <w:pPr>
        <w:pStyle w:val="11"/>
        <w:spacing w:beforeAutospacing="0" w:afterAutospacing="0"/>
        <w:jc w:val="both"/>
        <w:rPr>
          <w:color w:val="auto"/>
          <w:highlight w:val="none"/>
        </w:rPr>
      </w:pPr>
      <w:r>
        <w:rPr>
          <w:color w:val="auto"/>
          <w:highlight w:val="none"/>
        </w:rPr>
        <w:t> </w:t>
      </w:r>
    </w:p>
    <w:p w14:paraId="79DFEAD6">
      <w:pPr>
        <w:pStyle w:val="11"/>
        <w:spacing w:beforeAutospacing="0" w:afterAutospacing="0"/>
        <w:jc w:val="both"/>
        <w:rPr>
          <w:color w:val="auto"/>
          <w:highlight w:val="none"/>
        </w:rPr>
      </w:pPr>
    </w:p>
    <w:p w14:paraId="41802066">
      <w:pPr>
        <w:pStyle w:val="11"/>
        <w:spacing w:beforeAutospacing="0" w:afterAutospacing="0"/>
        <w:jc w:val="both"/>
        <w:rPr>
          <w:color w:val="auto"/>
          <w:highlight w:val="none"/>
        </w:rPr>
      </w:pPr>
    </w:p>
    <w:p w14:paraId="15162D24">
      <w:pPr>
        <w:pStyle w:val="11"/>
        <w:spacing w:beforeAutospacing="0" w:afterAutospacing="0"/>
        <w:jc w:val="both"/>
        <w:rPr>
          <w:color w:val="auto"/>
          <w:highlight w:val="none"/>
        </w:rPr>
      </w:pPr>
    </w:p>
    <w:p w14:paraId="573890F5">
      <w:pPr>
        <w:pStyle w:val="11"/>
        <w:spacing w:beforeAutospacing="0" w:afterAutospacing="0"/>
        <w:jc w:val="both"/>
        <w:rPr>
          <w:color w:val="auto"/>
          <w:highlight w:val="none"/>
        </w:rPr>
      </w:pPr>
    </w:p>
    <w:p w14:paraId="17B0392B">
      <w:pPr>
        <w:pStyle w:val="11"/>
        <w:spacing w:beforeAutospacing="0" w:afterAutospacing="0"/>
        <w:jc w:val="both"/>
        <w:rPr>
          <w:color w:val="auto"/>
          <w:highlight w:val="none"/>
        </w:rPr>
      </w:pPr>
    </w:p>
    <w:p w14:paraId="6D7A0174">
      <w:pPr>
        <w:pStyle w:val="11"/>
        <w:spacing w:beforeAutospacing="0" w:afterAutospacing="0"/>
        <w:jc w:val="both"/>
        <w:rPr>
          <w:color w:val="auto"/>
          <w:highlight w:val="none"/>
        </w:rPr>
      </w:pPr>
    </w:p>
    <w:p w14:paraId="5622EEA8">
      <w:pPr>
        <w:pStyle w:val="11"/>
        <w:spacing w:beforeAutospacing="0" w:afterAutospacing="0"/>
        <w:jc w:val="both"/>
        <w:rPr>
          <w:color w:val="auto"/>
          <w:highlight w:val="none"/>
        </w:rPr>
      </w:pPr>
    </w:p>
    <w:p w14:paraId="632E11EB">
      <w:pPr>
        <w:pStyle w:val="11"/>
        <w:spacing w:beforeAutospacing="0" w:afterAutospacing="0"/>
        <w:jc w:val="both"/>
        <w:rPr>
          <w:color w:val="auto"/>
          <w:highlight w:val="none"/>
        </w:rPr>
      </w:pPr>
    </w:p>
    <w:p w14:paraId="7E0C087F">
      <w:pPr>
        <w:pStyle w:val="11"/>
        <w:spacing w:beforeAutospacing="0" w:afterAutospacing="0"/>
        <w:jc w:val="both"/>
        <w:rPr>
          <w:color w:val="auto"/>
          <w:highlight w:val="none"/>
        </w:rPr>
      </w:pPr>
    </w:p>
    <w:p w14:paraId="2B05566F">
      <w:pPr>
        <w:pStyle w:val="3"/>
        <w:ind w:firstLine="216"/>
        <w:jc w:val="center"/>
        <w:rPr>
          <w:rFonts w:hint="eastAsia" w:ascii="黑体" w:hAnsi="宋体" w:eastAsia="黑体" w:cs="黑体"/>
          <w:b/>
          <w:color w:val="auto"/>
          <w:sz w:val="32"/>
          <w:szCs w:val="32"/>
          <w:highlight w:val="none"/>
        </w:rPr>
      </w:pPr>
      <w:bookmarkStart w:id="181"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w:t>
      </w:r>
    </w:p>
    <w:p w14:paraId="6EE52C8A">
      <w:pPr>
        <w:pStyle w:val="11"/>
        <w:spacing w:beforeAutospacing="0" w:afterAutospacing="0"/>
        <w:jc w:val="center"/>
        <w:rPr>
          <w:rFonts w:hint="eastAsia" w:ascii="黑体" w:hAnsi="宋体" w:eastAsia="黑体" w:cs="黑体"/>
          <w:b/>
          <w:color w:val="auto"/>
          <w:sz w:val="32"/>
          <w:szCs w:val="32"/>
          <w:highlight w:val="none"/>
        </w:rPr>
      </w:pP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C8C067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E7FE">
            <w:pPr>
              <w:pStyle w:val="11"/>
              <w:spacing w:beforeAutospacing="0" w:afterAutospacing="0"/>
              <w:jc w:val="center"/>
              <w:rPr>
                <w:color w:val="auto"/>
                <w:highlight w:val="none"/>
              </w:rPr>
            </w:pPr>
            <w:bookmarkStart w:id="182" w:name="_Hlt26609391"/>
            <w:bookmarkStart w:id="183" w:name="_Hlt26671343"/>
            <w:bookmarkStart w:id="184" w:name="_Hlt26580838"/>
            <w:bookmarkStart w:id="185" w:name="_Hlt26782999"/>
            <w:bookmarkStart w:id="186" w:name="_Hlt26955064"/>
            <w:bookmarkStart w:id="187" w:name="_Hlt26955056"/>
            <w:bookmarkStart w:id="188" w:name="_Hlt26671372"/>
            <w:bookmarkStart w:id="189" w:name="_Hlt24879081"/>
            <w:r>
              <w:rPr>
                <w:rFonts w:hint="eastAsia" w:ascii="宋体" w:hAnsi="宋体" w:eastAsia="宋体" w:cs="宋体"/>
                <w:color w:val="auto"/>
                <w:highlight w:val="none"/>
              </w:rPr>
              <w:t>序号</w:t>
            </w:r>
          </w:p>
          <w:bookmarkEnd w:id="182"/>
          <w:bookmarkEnd w:id="183"/>
          <w:bookmarkEnd w:id="184"/>
          <w:bookmarkEnd w:id="185"/>
          <w:bookmarkEnd w:id="186"/>
          <w:bookmarkEnd w:id="187"/>
          <w:bookmarkEnd w:id="188"/>
          <w:bookmarkEnd w:id="189"/>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AD9">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FD01">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966">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FEE">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2F6E5C46">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0CC2F3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A8C5">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77C8">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B48">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274">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F9D">
            <w:pPr>
              <w:pStyle w:val="11"/>
              <w:spacing w:beforeAutospacing="0" w:afterAutospacing="0"/>
              <w:jc w:val="center"/>
              <w:rPr>
                <w:color w:val="auto"/>
                <w:highlight w:val="none"/>
              </w:rPr>
            </w:pPr>
            <w:r>
              <w:rPr>
                <w:color w:val="auto"/>
                <w:highlight w:val="none"/>
              </w:rPr>
              <w:t> </w:t>
            </w:r>
          </w:p>
        </w:tc>
      </w:tr>
      <w:tr w14:paraId="7E139F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8F0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311B">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975D">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C89A">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22D">
            <w:pPr>
              <w:pStyle w:val="11"/>
              <w:spacing w:beforeAutospacing="0" w:afterAutospacing="0"/>
              <w:jc w:val="center"/>
              <w:rPr>
                <w:color w:val="auto"/>
                <w:highlight w:val="none"/>
              </w:rPr>
            </w:pPr>
            <w:r>
              <w:rPr>
                <w:color w:val="auto"/>
                <w:highlight w:val="none"/>
              </w:rPr>
              <w:t> </w:t>
            </w:r>
          </w:p>
        </w:tc>
      </w:tr>
      <w:tr w14:paraId="28727F2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9A3">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932">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F10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AF86">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0C0C">
            <w:pPr>
              <w:pStyle w:val="11"/>
              <w:spacing w:beforeAutospacing="0" w:afterAutospacing="0"/>
              <w:jc w:val="center"/>
              <w:rPr>
                <w:color w:val="auto"/>
                <w:highlight w:val="none"/>
              </w:rPr>
            </w:pPr>
            <w:r>
              <w:rPr>
                <w:color w:val="auto"/>
                <w:highlight w:val="none"/>
              </w:rPr>
              <w:t> </w:t>
            </w:r>
          </w:p>
        </w:tc>
      </w:tr>
      <w:tr w14:paraId="314001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8432">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0D35">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3486">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A41F">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7FB8">
            <w:pPr>
              <w:pStyle w:val="11"/>
              <w:spacing w:beforeAutospacing="0" w:afterAutospacing="0"/>
              <w:jc w:val="center"/>
              <w:rPr>
                <w:color w:val="auto"/>
                <w:highlight w:val="none"/>
              </w:rPr>
            </w:pPr>
            <w:r>
              <w:rPr>
                <w:color w:val="auto"/>
                <w:highlight w:val="none"/>
              </w:rPr>
              <w:t> </w:t>
            </w:r>
          </w:p>
        </w:tc>
      </w:tr>
      <w:tr w14:paraId="3665F2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05EF">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678D">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9538">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48C">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41D">
            <w:pPr>
              <w:pStyle w:val="11"/>
              <w:spacing w:beforeAutospacing="0" w:afterAutospacing="0"/>
              <w:jc w:val="center"/>
              <w:rPr>
                <w:color w:val="auto"/>
                <w:highlight w:val="none"/>
              </w:rPr>
            </w:pPr>
            <w:r>
              <w:rPr>
                <w:color w:val="auto"/>
                <w:highlight w:val="none"/>
              </w:rPr>
              <w:t> </w:t>
            </w:r>
          </w:p>
        </w:tc>
      </w:tr>
      <w:tr w14:paraId="41BE70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8AF">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CD2">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200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3EA">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4153">
            <w:pPr>
              <w:pStyle w:val="11"/>
              <w:spacing w:beforeAutospacing="0" w:afterAutospacing="0"/>
              <w:jc w:val="center"/>
              <w:rPr>
                <w:color w:val="auto"/>
                <w:highlight w:val="none"/>
              </w:rPr>
            </w:pPr>
            <w:r>
              <w:rPr>
                <w:color w:val="auto"/>
                <w:highlight w:val="none"/>
              </w:rPr>
              <w:t> </w:t>
            </w:r>
          </w:p>
        </w:tc>
      </w:tr>
      <w:tr w14:paraId="0C985F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FC9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5C64">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E6E">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156C">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8FA">
            <w:pPr>
              <w:pStyle w:val="11"/>
              <w:spacing w:beforeAutospacing="0" w:afterAutospacing="0"/>
              <w:jc w:val="center"/>
              <w:rPr>
                <w:color w:val="auto"/>
                <w:highlight w:val="none"/>
              </w:rPr>
            </w:pPr>
            <w:r>
              <w:rPr>
                <w:color w:val="auto"/>
                <w:highlight w:val="none"/>
              </w:rPr>
              <w:t> </w:t>
            </w:r>
          </w:p>
        </w:tc>
      </w:tr>
      <w:tr w14:paraId="7EDA08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E60A">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3D52">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A8CB">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CE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727">
            <w:pPr>
              <w:pStyle w:val="11"/>
              <w:spacing w:beforeAutospacing="0" w:afterAutospacing="0"/>
              <w:jc w:val="center"/>
              <w:rPr>
                <w:color w:val="auto"/>
                <w:highlight w:val="none"/>
              </w:rPr>
            </w:pPr>
            <w:r>
              <w:rPr>
                <w:color w:val="auto"/>
                <w:highlight w:val="none"/>
              </w:rPr>
              <w:t> </w:t>
            </w:r>
          </w:p>
        </w:tc>
      </w:tr>
    </w:tbl>
    <w:p w14:paraId="13CFDF94">
      <w:pPr>
        <w:pStyle w:val="11"/>
        <w:spacing w:beforeAutospacing="0" w:afterAutospacing="0"/>
        <w:jc w:val="both"/>
        <w:rPr>
          <w:rFonts w:hint="eastAsia" w:ascii="宋体" w:hAnsi="宋体" w:eastAsia="宋体" w:cs="宋体"/>
          <w:color w:val="auto"/>
          <w:highlight w:val="none"/>
        </w:rPr>
      </w:pPr>
    </w:p>
    <w:p w14:paraId="72F5297B">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7D76B506">
      <w:pPr>
        <w:pStyle w:val="11"/>
        <w:spacing w:beforeAutospacing="0" w:afterAutospacing="0" w:line="480" w:lineRule="auto"/>
        <w:jc w:val="both"/>
        <w:rPr>
          <w:color w:val="auto"/>
          <w:highlight w:val="none"/>
        </w:rPr>
      </w:pPr>
      <w:r>
        <w:rPr>
          <w:color w:val="auto"/>
          <w:highlight w:val="none"/>
        </w:rPr>
        <w:t> </w:t>
      </w:r>
    </w:p>
    <w:p w14:paraId="55CA87F7">
      <w:pPr>
        <w:pStyle w:val="11"/>
        <w:spacing w:beforeAutospacing="0" w:afterAutospacing="0" w:line="480" w:lineRule="auto"/>
        <w:jc w:val="both"/>
        <w:rPr>
          <w:color w:val="auto"/>
          <w:highlight w:val="none"/>
        </w:rPr>
      </w:pPr>
      <w:r>
        <w:rPr>
          <w:color w:val="auto"/>
          <w:highlight w:val="none"/>
        </w:rPr>
        <w:t> </w:t>
      </w:r>
    </w:p>
    <w:p w14:paraId="09BB21B8">
      <w:pPr>
        <w:pStyle w:val="11"/>
        <w:spacing w:beforeAutospacing="0" w:afterAutospacing="0"/>
        <w:jc w:val="center"/>
        <w:rPr>
          <w:color w:val="auto"/>
          <w:highlight w:val="none"/>
        </w:rPr>
      </w:pPr>
      <w:bookmarkStart w:id="190" w:name="_Toc462564146"/>
      <w:bookmarkStart w:id="191" w:name="_格式2__法定代表人授权书"/>
      <w:bookmarkStart w:id="192" w:name="_Hlt26609389"/>
      <w:bookmarkStart w:id="193" w:name="_Hlt26955066"/>
      <w:bookmarkStart w:id="194" w:name="_Hlt26671374"/>
      <w:r>
        <w:rPr>
          <w:color w:val="auto"/>
          <w:highlight w:val="none"/>
        </w:rPr>
        <w:t> </w:t>
      </w:r>
    </w:p>
    <w:p w14:paraId="44E1DEF6">
      <w:pPr>
        <w:pStyle w:val="11"/>
        <w:spacing w:beforeAutospacing="0" w:afterAutospacing="0"/>
        <w:jc w:val="center"/>
        <w:rPr>
          <w:color w:val="auto"/>
          <w:highlight w:val="none"/>
        </w:rPr>
      </w:pPr>
      <w:r>
        <w:rPr>
          <w:color w:val="auto"/>
          <w:highlight w:val="none"/>
        </w:rPr>
        <w:t> </w:t>
      </w:r>
    </w:p>
    <w:p w14:paraId="1169076F">
      <w:pPr>
        <w:pStyle w:val="11"/>
        <w:spacing w:beforeAutospacing="0" w:afterAutospacing="0"/>
        <w:jc w:val="center"/>
        <w:rPr>
          <w:color w:val="auto"/>
          <w:highlight w:val="none"/>
        </w:rPr>
      </w:pPr>
      <w:r>
        <w:rPr>
          <w:color w:val="auto"/>
          <w:highlight w:val="none"/>
        </w:rPr>
        <w:t> </w:t>
      </w:r>
    </w:p>
    <w:p w14:paraId="05F6A496">
      <w:pPr>
        <w:pStyle w:val="11"/>
        <w:spacing w:beforeAutospacing="0" w:afterAutospacing="0"/>
        <w:jc w:val="center"/>
        <w:rPr>
          <w:color w:val="auto"/>
          <w:highlight w:val="none"/>
        </w:rPr>
      </w:pPr>
      <w:r>
        <w:rPr>
          <w:color w:val="auto"/>
          <w:highlight w:val="none"/>
        </w:rPr>
        <w:t> </w:t>
      </w:r>
    </w:p>
    <w:p w14:paraId="0CA17605">
      <w:pPr>
        <w:pStyle w:val="11"/>
        <w:spacing w:beforeAutospacing="0" w:afterAutospacing="0"/>
        <w:jc w:val="center"/>
        <w:rPr>
          <w:color w:val="auto"/>
          <w:highlight w:val="none"/>
        </w:rPr>
      </w:pPr>
      <w:r>
        <w:rPr>
          <w:color w:val="auto"/>
          <w:highlight w:val="none"/>
        </w:rPr>
        <w:t> </w:t>
      </w:r>
    </w:p>
    <w:p w14:paraId="0F9F9845">
      <w:pPr>
        <w:pStyle w:val="11"/>
        <w:spacing w:beforeAutospacing="0" w:afterAutospacing="0"/>
        <w:jc w:val="center"/>
        <w:rPr>
          <w:color w:val="auto"/>
          <w:highlight w:val="none"/>
        </w:rPr>
      </w:pPr>
      <w:r>
        <w:rPr>
          <w:color w:val="auto"/>
          <w:highlight w:val="none"/>
        </w:rPr>
        <w:t> </w:t>
      </w:r>
    </w:p>
    <w:p w14:paraId="6AB78516">
      <w:pPr>
        <w:pStyle w:val="11"/>
        <w:spacing w:beforeAutospacing="0" w:afterAutospacing="0"/>
        <w:jc w:val="center"/>
        <w:rPr>
          <w:color w:val="auto"/>
          <w:highlight w:val="none"/>
        </w:rPr>
      </w:pPr>
    </w:p>
    <w:p w14:paraId="1B596214">
      <w:pPr>
        <w:pStyle w:val="11"/>
        <w:spacing w:beforeAutospacing="0" w:afterAutospacing="0"/>
        <w:jc w:val="center"/>
        <w:rPr>
          <w:color w:val="auto"/>
          <w:highlight w:val="none"/>
        </w:rPr>
      </w:pPr>
    </w:p>
    <w:p w14:paraId="27ED14E9">
      <w:pPr>
        <w:pStyle w:val="11"/>
        <w:spacing w:beforeAutospacing="0" w:afterAutospacing="0"/>
        <w:jc w:val="center"/>
        <w:rPr>
          <w:color w:val="auto"/>
          <w:highlight w:val="none"/>
        </w:rPr>
      </w:pPr>
    </w:p>
    <w:p w14:paraId="71ECEF7A">
      <w:pPr>
        <w:pStyle w:val="11"/>
        <w:spacing w:beforeAutospacing="0" w:afterAutospacing="0"/>
        <w:jc w:val="center"/>
        <w:rPr>
          <w:color w:val="auto"/>
          <w:highlight w:val="none"/>
        </w:rPr>
      </w:pPr>
    </w:p>
    <w:p w14:paraId="29458EB7">
      <w:pPr>
        <w:pStyle w:val="11"/>
        <w:spacing w:beforeAutospacing="0" w:afterAutospacing="0"/>
        <w:jc w:val="center"/>
        <w:rPr>
          <w:color w:val="auto"/>
          <w:highlight w:val="none"/>
        </w:rPr>
      </w:pPr>
    </w:p>
    <w:p w14:paraId="30AAA3A2">
      <w:pPr>
        <w:pStyle w:val="11"/>
        <w:spacing w:beforeAutospacing="0" w:afterAutospacing="0"/>
        <w:jc w:val="center"/>
        <w:rPr>
          <w:color w:val="auto"/>
          <w:highlight w:val="none"/>
        </w:rPr>
      </w:pPr>
    </w:p>
    <w:p w14:paraId="679B67E8">
      <w:pPr>
        <w:pStyle w:val="11"/>
        <w:spacing w:beforeAutospacing="0" w:afterAutospacing="0"/>
        <w:jc w:val="center"/>
        <w:rPr>
          <w:color w:val="auto"/>
          <w:highlight w:val="none"/>
        </w:rPr>
      </w:pPr>
    </w:p>
    <w:p w14:paraId="2635429C">
      <w:pPr>
        <w:pStyle w:val="11"/>
        <w:spacing w:beforeAutospacing="0" w:afterAutospacing="0"/>
        <w:jc w:val="center"/>
        <w:rPr>
          <w:color w:val="auto"/>
          <w:highlight w:val="none"/>
        </w:rPr>
      </w:pPr>
    </w:p>
    <w:p w14:paraId="58D06506">
      <w:pPr>
        <w:pStyle w:val="3"/>
        <w:ind w:firstLine="216"/>
        <w:jc w:val="center"/>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single"/>
        </w:rPr>
        <w:t>十</w:t>
      </w:r>
      <w:r>
        <w:rPr>
          <w:rFonts w:hint="eastAsia" w:ascii="黑体" w:hAnsi="宋体" w:eastAsia="黑体" w:cs="黑体"/>
          <w:b/>
          <w:i w:val="0"/>
          <w:iCs/>
          <w:color w:val="auto"/>
          <w:sz w:val="32"/>
          <w:szCs w:val="32"/>
          <w:highlight w:val="none"/>
          <w:u w:val="single"/>
          <w:lang w:val="en-US" w:eastAsia="zh-CN"/>
        </w:rPr>
        <w:t>六</w:t>
      </w:r>
      <w:r>
        <w:rPr>
          <w:rFonts w:hint="eastAsia" w:ascii="黑体" w:hAnsi="宋体" w:eastAsia="黑体" w:cs="黑体"/>
          <w:b/>
          <w:i w:val="0"/>
          <w:iCs/>
          <w:color w:val="auto"/>
          <w:sz w:val="32"/>
          <w:szCs w:val="32"/>
          <w:highlight w:val="none"/>
          <w:u w:val="single"/>
        </w:rPr>
        <w:t>、开标一览表</w:t>
      </w:r>
    </w:p>
    <w:p w14:paraId="3FA122E4">
      <w:pPr>
        <w:rPr>
          <w:color w:val="auto"/>
          <w:highlight w:val="none"/>
        </w:rPr>
      </w:pPr>
    </w:p>
    <w:p w14:paraId="1A0651CC">
      <w:pPr>
        <w:pStyle w:val="11"/>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4B9E90B1">
      <w:pPr>
        <w:pStyle w:val="11"/>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065638EC">
      <w:pPr>
        <w:pStyle w:val="1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4A5D15AD">
      <w:pPr>
        <w:pStyle w:val="1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分包号：</w:t>
      </w:r>
    </w:p>
    <w:p w14:paraId="56C5A64F">
      <w:pPr>
        <w:pStyle w:val="11"/>
        <w:spacing w:beforeAutospacing="0" w:afterAutospacing="0"/>
        <w:ind w:firstLine="480"/>
        <w:jc w:val="both"/>
        <w:rPr>
          <w:rFonts w:hint="eastAsia" w:ascii="宋体" w:hAnsi="宋体" w:eastAsia="宋体" w:cs="宋体"/>
          <w:color w:val="auto"/>
          <w:highlight w:val="none"/>
        </w:rPr>
      </w:pPr>
    </w:p>
    <w:tbl>
      <w:tblPr>
        <w:tblStyle w:val="12"/>
        <w:tblW w:w="8413" w:type="dxa"/>
        <w:tblCellSpacing w:w="0" w:type="dxa"/>
        <w:tblInd w:w="118" w:type="dxa"/>
        <w:tblLayout w:type="fixed"/>
        <w:tblCellMar>
          <w:top w:w="0" w:type="dxa"/>
          <w:left w:w="108" w:type="dxa"/>
          <w:bottom w:w="0" w:type="dxa"/>
          <w:right w:w="108" w:type="dxa"/>
        </w:tblCellMar>
      </w:tblPr>
      <w:tblGrid>
        <w:gridCol w:w="2349"/>
        <w:gridCol w:w="6064"/>
      </w:tblGrid>
      <w:tr w14:paraId="47E36B59">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BD400">
            <w:pPr>
              <w:pStyle w:val="11"/>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3958C0D9">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936FA">
            <w:pPr>
              <w:pStyle w:val="11"/>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6F658AC5">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4C57C0">
            <w:pPr>
              <w:pStyle w:val="11"/>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26AB77B9">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119CC">
            <w:pPr>
              <w:pStyle w:val="11"/>
              <w:spacing w:beforeAutospacing="0" w:afterAutospacing="0" w:line="300" w:lineRule="auto"/>
              <w:jc w:val="center"/>
              <w:rPr>
                <w:color w:val="auto"/>
                <w:highlight w:val="none"/>
              </w:rPr>
            </w:pPr>
            <w:r>
              <w:rPr>
                <w:rFonts w:hint="eastAsia" w:ascii="宋体" w:hAnsi="宋体" w:eastAsia="宋体" w:cs="宋体"/>
                <w:color w:val="auto"/>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B3C3">
            <w:pPr>
              <w:pStyle w:val="11"/>
              <w:spacing w:beforeAutospacing="0" w:afterAutospacing="0" w:line="0" w:lineRule="atLeast"/>
              <w:rPr>
                <w:color w:val="auto"/>
                <w:highlight w:val="none"/>
              </w:rPr>
            </w:pPr>
            <w:r>
              <w:rPr>
                <w:color w:val="auto"/>
                <w:highlight w:val="none"/>
              </w:rPr>
              <w:t> </w:t>
            </w:r>
          </w:p>
        </w:tc>
      </w:tr>
    </w:tbl>
    <w:p w14:paraId="4A10EA11">
      <w:pPr>
        <w:pStyle w:val="11"/>
        <w:spacing w:beforeAutospacing="0" w:afterAutospacing="0"/>
        <w:jc w:val="both"/>
        <w:rPr>
          <w:color w:val="auto"/>
          <w:highlight w:val="none"/>
        </w:rPr>
      </w:pPr>
      <w:r>
        <w:rPr>
          <w:color w:val="auto"/>
          <w:highlight w:val="none"/>
        </w:rPr>
        <w:t> </w:t>
      </w:r>
    </w:p>
    <w:p w14:paraId="0D1EE0A5">
      <w:pPr>
        <w:pStyle w:val="11"/>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9051F3D">
      <w:pPr>
        <w:pStyle w:val="11"/>
        <w:spacing w:beforeAutospacing="0" w:afterAutospacing="0"/>
        <w:jc w:val="both"/>
        <w:rPr>
          <w:color w:val="auto"/>
          <w:highlight w:val="none"/>
        </w:rPr>
      </w:pPr>
      <w:r>
        <w:rPr>
          <w:color w:val="auto"/>
          <w:highlight w:val="none"/>
        </w:rPr>
        <w:t> </w:t>
      </w:r>
    </w:p>
    <w:p w14:paraId="2F50AA12">
      <w:pPr>
        <w:pStyle w:val="11"/>
        <w:spacing w:beforeAutospacing="0" w:afterAutospacing="0"/>
        <w:jc w:val="both"/>
        <w:rPr>
          <w:color w:val="auto"/>
          <w:highlight w:val="none"/>
        </w:rPr>
      </w:pPr>
    </w:p>
    <w:p w14:paraId="4009E234">
      <w:pPr>
        <w:pStyle w:val="11"/>
        <w:spacing w:beforeAutospacing="0" w:afterAutospacing="0"/>
        <w:jc w:val="both"/>
        <w:rPr>
          <w:color w:val="auto"/>
          <w:highlight w:val="none"/>
        </w:rPr>
      </w:pPr>
    </w:p>
    <w:p w14:paraId="69B217C3">
      <w:pPr>
        <w:pStyle w:val="11"/>
        <w:spacing w:beforeAutospacing="0" w:afterAutospacing="0"/>
        <w:jc w:val="both"/>
        <w:rPr>
          <w:color w:val="auto"/>
          <w:highlight w:val="none"/>
        </w:rPr>
      </w:pPr>
    </w:p>
    <w:p w14:paraId="11510110">
      <w:pPr>
        <w:pStyle w:val="11"/>
        <w:spacing w:beforeAutospacing="0" w:afterAutospacing="0"/>
        <w:jc w:val="both"/>
        <w:rPr>
          <w:color w:val="auto"/>
          <w:highlight w:val="none"/>
        </w:rPr>
      </w:pPr>
    </w:p>
    <w:p w14:paraId="7E991A72">
      <w:pPr>
        <w:pStyle w:val="11"/>
        <w:spacing w:beforeAutospacing="0" w:afterAutospacing="0"/>
        <w:jc w:val="both"/>
        <w:rPr>
          <w:color w:val="auto"/>
          <w:highlight w:val="none"/>
        </w:rPr>
      </w:pPr>
    </w:p>
    <w:p w14:paraId="4D5C5BEC">
      <w:pPr>
        <w:pStyle w:val="11"/>
        <w:spacing w:beforeAutospacing="0" w:afterAutospacing="0"/>
        <w:jc w:val="both"/>
        <w:rPr>
          <w:color w:val="auto"/>
          <w:highlight w:val="none"/>
        </w:rPr>
      </w:pPr>
    </w:p>
    <w:p w14:paraId="3809EAB9">
      <w:pPr>
        <w:pStyle w:val="11"/>
        <w:spacing w:beforeAutospacing="0" w:afterAutospacing="0"/>
        <w:jc w:val="both"/>
        <w:rPr>
          <w:color w:val="auto"/>
          <w:highlight w:val="none"/>
        </w:rPr>
      </w:pPr>
    </w:p>
    <w:p w14:paraId="5F40D65D">
      <w:pPr>
        <w:pStyle w:val="11"/>
        <w:spacing w:beforeAutospacing="0" w:afterAutospacing="0"/>
        <w:jc w:val="both"/>
        <w:rPr>
          <w:color w:val="auto"/>
          <w:highlight w:val="none"/>
        </w:rPr>
      </w:pPr>
    </w:p>
    <w:p w14:paraId="65D969F1">
      <w:pPr>
        <w:pStyle w:val="11"/>
        <w:spacing w:beforeAutospacing="0" w:afterAutospacing="0"/>
        <w:jc w:val="both"/>
        <w:rPr>
          <w:color w:val="auto"/>
          <w:highlight w:val="none"/>
        </w:rPr>
      </w:pPr>
    </w:p>
    <w:p w14:paraId="0B8B6F9B">
      <w:pPr>
        <w:pStyle w:val="11"/>
        <w:spacing w:beforeAutospacing="0" w:afterAutospacing="0"/>
        <w:jc w:val="both"/>
        <w:rPr>
          <w:color w:val="auto"/>
          <w:highlight w:val="none"/>
        </w:rPr>
      </w:pPr>
    </w:p>
    <w:p w14:paraId="63588BB8">
      <w:pPr>
        <w:pStyle w:val="11"/>
        <w:spacing w:beforeAutospacing="0" w:afterAutospacing="0"/>
        <w:jc w:val="both"/>
        <w:rPr>
          <w:color w:val="auto"/>
          <w:highlight w:val="none"/>
        </w:rPr>
      </w:pPr>
    </w:p>
    <w:p w14:paraId="179E66B1">
      <w:pPr>
        <w:pStyle w:val="11"/>
        <w:spacing w:beforeAutospacing="0" w:afterAutospacing="0"/>
        <w:jc w:val="both"/>
        <w:rPr>
          <w:color w:val="auto"/>
          <w:highlight w:val="none"/>
        </w:rPr>
      </w:pPr>
    </w:p>
    <w:p w14:paraId="601C8848">
      <w:pPr>
        <w:pStyle w:val="11"/>
        <w:spacing w:beforeAutospacing="0" w:afterAutospacing="0"/>
        <w:jc w:val="both"/>
        <w:rPr>
          <w:color w:val="auto"/>
          <w:highlight w:val="none"/>
        </w:rPr>
      </w:pPr>
    </w:p>
    <w:p w14:paraId="7DA56BF4">
      <w:pPr>
        <w:pStyle w:val="11"/>
        <w:spacing w:beforeAutospacing="0" w:afterAutospacing="0"/>
        <w:jc w:val="both"/>
        <w:rPr>
          <w:color w:val="auto"/>
          <w:highlight w:val="none"/>
        </w:rPr>
      </w:pPr>
    </w:p>
    <w:p w14:paraId="5115858B">
      <w:pPr>
        <w:pStyle w:val="11"/>
        <w:spacing w:beforeAutospacing="0" w:afterAutospacing="0"/>
        <w:jc w:val="both"/>
        <w:rPr>
          <w:color w:val="auto"/>
          <w:highlight w:val="none"/>
        </w:rPr>
      </w:pPr>
    </w:p>
    <w:p w14:paraId="2C8E4110">
      <w:pPr>
        <w:pStyle w:val="11"/>
        <w:spacing w:beforeAutospacing="0" w:afterAutospacing="0"/>
        <w:jc w:val="both"/>
        <w:rPr>
          <w:color w:val="auto"/>
          <w:highlight w:val="none"/>
        </w:rPr>
      </w:pPr>
    </w:p>
    <w:p w14:paraId="2DC5C6B1">
      <w:pPr>
        <w:pStyle w:val="11"/>
        <w:spacing w:beforeAutospacing="0" w:afterAutospacing="0"/>
        <w:jc w:val="both"/>
        <w:rPr>
          <w:color w:val="auto"/>
          <w:highlight w:val="none"/>
        </w:rPr>
      </w:pPr>
    </w:p>
    <w:p w14:paraId="6768D579">
      <w:pPr>
        <w:pStyle w:val="11"/>
        <w:spacing w:beforeAutospacing="0" w:afterAutospacing="0"/>
        <w:jc w:val="both"/>
        <w:rPr>
          <w:color w:val="auto"/>
          <w:highlight w:val="none"/>
        </w:rPr>
      </w:pPr>
    </w:p>
    <w:p w14:paraId="52621CC5">
      <w:pPr>
        <w:pStyle w:val="11"/>
        <w:spacing w:beforeAutospacing="0" w:afterAutospacing="0"/>
        <w:jc w:val="both"/>
        <w:rPr>
          <w:color w:val="auto"/>
          <w:highlight w:val="none"/>
        </w:rPr>
      </w:pPr>
    </w:p>
    <w:p w14:paraId="3C57E557">
      <w:pPr>
        <w:pStyle w:val="11"/>
        <w:spacing w:beforeAutospacing="0" w:afterAutospacing="0"/>
        <w:jc w:val="both"/>
        <w:rPr>
          <w:color w:val="auto"/>
          <w:highlight w:val="none"/>
        </w:rPr>
      </w:pPr>
    </w:p>
    <w:p w14:paraId="2695CAC7">
      <w:pPr>
        <w:pStyle w:val="3"/>
        <w:ind w:firstLine="216"/>
        <w:jc w:val="center"/>
        <w:rPr>
          <w:rFonts w:ascii="宋体" w:hAnsi="宋体" w:eastAsia="宋体" w:cs="宋体"/>
          <w:color w:val="auto"/>
          <w:sz w:val="24"/>
          <w:highlight w:val="none"/>
        </w:rPr>
      </w:pPr>
      <w:r>
        <w:rPr>
          <w:color w:val="auto"/>
          <w:highlight w:val="none"/>
        </w:rPr>
        <w:tab/>
      </w: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、技术方案、服务承诺、培训承诺等</w:t>
      </w:r>
    </w:p>
    <w:p w14:paraId="4895B667">
      <w:pPr>
        <w:pStyle w:val="11"/>
        <w:spacing w:beforeAutospacing="0" w:afterAutospacing="0"/>
        <w:jc w:val="center"/>
        <w:rPr>
          <w:rFonts w:ascii="宋体" w:hAnsi="宋体" w:eastAsia="宋体" w:cs="宋体"/>
          <w:b/>
          <w:color w:val="auto"/>
          <w:sz w:val="32"/>
          <w:szCs w:val="32"/>
          <w:highlight w:val="none"/>
        </w:rPr>
      </w:pPr>
    </w:p>
    <w:p w14:paraId="2F177277">
      <w:pPr>
        <w:tabs>
          <w:tab w:val="left" w:pos="2160"/>
        </w:tabs>
        <w:spacing w:line="360" w:lineRule="auto"/>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1、技术要求响应证明材料（包括承诺书）；</w:t>
      </w:r>
    </w:p>
    <w:p w14:paraId="58076F0C">
      <w:pPr>
        <w:tabs>
          <w:tab w:val="left" w:pos="2160"/>
        </w:tabs>
        <w:spacing w:line="360" w:lineRule="auto"/>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2、评审细则中涉及的</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技术团队</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证明材料；</w:t>
      </w:r>
    </w:p>
    <w:p w14:paraId="5A60B1C1">
      <w:pPr>
        <w:tabs>
          <w:tab w:val="left" w:pos="2160"/>
        </w:tabs>
        <w:spacing w:line="360" w:lineRule="auto"/>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3、评审细则中涉及的</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系统功能</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证明材料；</w:t>
      </w:r>
    </w:p>
    <w:p w14:paraId="2D78EFB6">
      <w:pPr>
        <w:tabs>
          <w:tab w:val="left" w:pos="2160"/>
        </w:tabs>
        <w:spacing w:line="360" w:lineRule="auto"/>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、评审细则中涉及的</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技术方案</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相关资料</w:t>
      </w:r>
      <w:r>
        <w:rPr>
          <w:rFonts w:hint="eastAsia" w:ascii="宋体" w:hAnsi="宋体" w:eastAsia="宋体" w:cs="Times New Roman"/>
          <w:color w:val="auto"/>
          <w:szCs w:val="21"/>
          <w:highlight w:val="none"/>
        </w:rPr>
        <w:t>；</w:t>
      </w:r>
    </w:p>
    <w:p w14:paraId="06FDEA8A">
      <w:pPr>
        <w:tabs>
          <w:tab w:val="left" w:pos="2160"/>
        </w:tabs>
        <w:spacing w:line="360" w:lineRule="auto"/>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、评审细则中涉及的</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服务承诺</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相关资料</w:t>
      </w:r>
      <w:r>
        <w:rPr>
          <w:rFonts w:hint="eastAsia" w:ascii="宋体" w:hAnsi="宋体" w:eastAsia="宋体" w:cs="Times New Roman"/>
          <w:color w:val="auto"/>
          <w:szCs w:val="21"/>
          <w:highlight w:val="none"/>
        </w:rPr>
        <w:t>；</w:t>
      </w:r>
    </w:p>
    <w:p w14:paraId="6DB2F0DA">
      <w:pPr>
        <w:tabs>
          <w:tab w:val="left" w:pos="2160"/>
        </w:tabs>
        <w:spacing w:line="360" w:lineRule="auto"/>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、评审细则中涉及的</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节能环保</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相关资料</w:t>
      </w:r>
      <w:r>
        <w:rPr>
          <w:rFonts w:hint="eastAsia" w:ascii="宋体" w:hAnsi="宋体" w:eastAsia="宋体" w:cs="Times New Roman"/>
          <w:color w:val="auto"/>
          <w:szCs w:val="21"/>
          <w:highlight w:val="none"/>
        </w:rPr>
        <w:t>；</w:t>
      </w:r>
    </w:p>
    <w:p w14:paraId="1A065182">
      <w:pPr>
        <w:tabs>
          <w:tab w:val="left" w:pos="2160"/>
        </w:tabs>
        <w:spacing w:line="360" w:lineRule="auto"/>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、投标人认为须提供的其它材料。</w:t>
      </w:r>
    </w:p>
    <w:p w14:paraId="67AD6E01">
      <w:pPr>
        <w:pStyle w:val="11"/>
        <w:spacing w:beforeAutospacing="0" w:afterAutospacing="0"/>
        <w:jc w:val="center"/>
        <w:rPr>
          <w:rFonts w:ascii="宋体" w:hAnsi="宋体" w:eastAsia="宋体" w:cs="宋体"/>
          <w:b/>
          <w:color w:val="auto"/>
          <w:sz w:val="32"/>
          <w:szCs w:val="32"/>
          <w:highlight w:val="none"/>
        </w:rPr>
      </w:pPr>
    </w:p>
    <w:p w14:paraId="119768F2">
      <w:pPr>
        <w:pStyle w:val="11"/>
        <w:spacing w:beforeAutospacing="0" w:afterAutospacing="0"/>
        <w:jc w:val="center"/>
        <w:rPr>
          <w:rFonts w:ascii="宋体" w:hAnsi="宋体" w:eastAsia="宋体" w:cs="宋体"/>
          <w:b/>
          <w:color w:val="auto"/>
          <w:sz w:val="32"/>
          <w:szCs w:val="32"/>
          <w:highlight w:val="none"/>
        </w:rPr>
      </w:pPr>
    </w:p>
    <w:p w14:paraId="7F5550FA">
      <w:pPr>
        <w:pStyle w:val="11"/>
        <w:spacing w:beforeAutospacing="0" w:afterAutospacing="0"/>
        <w:jc w:val="center"/>
        <w:rPr>
          <w:rFonts w:ascii="宋体" w:hAnsi="宋体" w:eastAsia="宋体" w:cs="宋体"/>
          <w:b/>
          <w:color w:val="auto"/>
          <w:sz w:val="32"/>
          <w:szCs w:val="32"/>
          <w:highlight w:val="none"/>
        </w:rPr>
      </w:pPr>
    </w:p>
    <w:p w14:paraId="10B330FB">
      <w:pPr>
        <w:pStyle w:val="11"/>
        <w:spacing w:beforeAutospacing="0" w:afterAutospacing="0"/>
        <w:jc w:val="center"/>
        <w:rPr>
          <w:rFonts w:ascii="宋体" w:hAnsi="宋体" w:eastAsia="宋体" w:cs="宋体"/>
          <w:b/>
          <w:color w:val="auto"/>
          <w:sz w:val="32"/>
          <w:szCs w:val="32"/>
          <w:highlight w:val="none"/>
        </w:rPr>
      </w:pPr>
    </w:p>
    <w:p w14:paraId="47957878">
      <w:pPr>
        <w:pStyle w:val="11"/>
        <w:spacing w:beforeAutospacing="0" w:afterAutospacing="0"/>
        <w:jc w:val="center"/>
        <w:rPr>
          <w:rFonts w:ascii="宋体" w:hAnsi="宋体" w:eastAsia="宋体" w:cs="宋体"/>
          <w:b/>
          <w:color w:val="auto"/>
          <w:sz w:val="32"/>
          <w:szCs w:val="32"/>
          <w:highlight w:val="none"/>
        </w:rPr>
      </w:pPr>
    </w:p>
    <w:p w14:paraId="322F0757">
      <w:pPr>
        <w:pStyle w:val="11"/>
        <w:spacing w:beforeAutospacing="0" w:afterAutospacing="0"/>
        <w:jc w:val="center"/>
        <w:rPr>
          <w:rFonts w:ascii="宋体" w:hAnsi="宋体" w:eastAsia="宋体" w:cs="宋体"/>
          <w:b/>
          <w:color w:val="auto"/>
          <w:sz w:val="32"/>
          <w:szCs w:val="32"/>
          <w:highlight w:val="none"/>
        </w:rPr>
      </w:pPr>
    </w:p>
    <w:p w14:paraId="70A9B6F5">
      <w:pPr>
        <w:pStyle w:val="11"/>
        <w:spacing w:beforeAutospacing="0" w:afterAutospacing="0"/>
        <w:jc w:val="center"/>
        <w:rPr>
          <w:rFonts w:ascii="宋体" w:hAnsi="宋体" w:eastAsia="宋体" w:cs="宋体"/>
          <w:b/>
          <w:color w:val="auto"/>
          <w:sz w:val="32"/>
          <w:szCs w:val="32"/>
          <w:highlight w:val="none"/>
        </w:rPr>
      </w:pPr>
    </w:p>
    <w:p w14:paraId="7EA25186">
      <w:pPr>
        <w:pStyle w:val="11"/>
        <w:spacing w:beforeAutospacing="0" w:afterAutospacing="0"/>
        <w:jc w:val="center"/>
        <w:rPr>
          <w:rFonts w:ascii="宋体" w:hAnsi="宋体" w:eastAsia="宋体" w:cs="宋体"/>
          <w:b/>
          <w:color w:val="auto"/>
          <w:sz w:val="32"/>
          <w:szCs w:val="32"/>
          <w:highlight w:val="none"/>
        </w:rPr>
      </w:pPr>
    </w:p>
    <w:p w14:paraId="13854400">
      <w:pPr>
        <w:pStyle w:val="11"/>
        <w:spacing w:beforeAutospacing="0" w:afterAutospacing="0"/>
        <w:jc w:val="center"/>
        <w:rPr>
          <w:rFonts w:ascii="宋体" w:hAnsi="宋体" w:eastAsia="宋体" w:cs="宋体"/>
          <w:b/>
          <w:color w:val="auto"/>
          <w:sz w:val="32"/>
          <w:szCs w:val="32"/>
          <w:highlight w:val="none"/>
        </w:rPr>
      </w:pPr>
    </w:p>
    <w:p w14:paraId="729FFC93">
      <w:pPr>
        <w:pStyle w:val="11"/>
        <w:spacing w:beforeAutospacing="0" w:afterAutospacing="0"/>
        <w:jc w:val="center"/>
        <w:rPr>
          <w:rFonts w:ascii="宋体" w:hAnsi="宋体" w:eastAsia="宋体" w:cs="宋体"/>
          <w:b/>
          <w:color w:val="auto"/>
          <w:sz w:val="32"/>
          <w:szCs w:val="32"/>
          <w:highlight w:val="none"/>
        </w:rPr>
      </w:pPr>
    </w:p>
    <w:p w14:paraId="5CC54300">
      <w:pPr>
        <w:pStyle w:val="11"/>
        <w:spacing w:beforeAutospacing="0" w:afterAutospacing="0"/>
        <w:jc w:val="center"/>
        <w:rPr>
          <w:rFonts w:ascii="宋体" w:hAnsi="宋体" w:eastAsia="宋体" w:cs="宋体"/>
          <w:b/>
          <w:color w:val="auto"/>
          <w:sz w:val="32"/>
          <w:szCs w:val="32"/>
          <w:highlight w:val="none"/>
        </w:rPr>
      </w:pPr>
    </w:p>
    <w:p w14:paraId="68A88541">
      <w:pPr>
        <w:pStyle w:val="11"/>
        <w:spacing w:beforeAutospacing="0" w:afterAutospacing="0"/>
        <w:jc w:val="center"/>
        <w:rPr>
          <w:rFonts w:ascii="宋体" w:hAnsi="宋体" w:eastAsia="宋体" w:cs="宋体"/>
          <w:b/>
          <w:color w:val="auto"/>
          <w:sz w:val="32"/>
          <w:szCs w:val="32"/>
          <w:highlight w:val="none"/>
        </w:rPr>
      </w:pPr>
    </w:p>
    <w:p w14:paraId="717D867E">
      <w:pPr>
        <w:pStyle w:val="11"/>
        <w:spacing w:beforeAutospacing="0" w:afterAutospacing="0"/>
        <w:jc w:val="center"/>
        <w:rPr>
          <w:rFonts w:ascii="宋体" w:hAnsi="宋体" w:eastAsia="宋体" w:cs="宋体"/>
          <w:b/>
          <w:color w:val="auto"/>
          <w:sz w:val="32"/>
          <w:szCs w:val="32"/>
          <w:highlight w:val="none"/>
        </w:rPr>
      </w:pPr>
    </w:p>
    <w:p w14:paraId="4CE3A8BF">
      <w:pPr>
        <w:pStyle w:val="11"/>
        <w:spacing w:beforeAutospacing="0" w:afterAutospacing="0"/>
        <w:jc w:val="center"/>
        <w:rPr>
          <w:rFonts w:ascii="宋体" w:hAnsi="宋体" w:eastAsia="宋体" w:cs="宋体"/>
          <w:b/>
          <w:color w:val="auto"/>
          <w:sz w:val="32"/>
          <w:szCs w:val="32"/>
          <w:highlight w:val="none"/>
        </w:rPr>
      </w:pPr>
    </w:p>
    <w:p w14:paraId="3D900FAD">
      <w:pPr>
        <w:pStyle w:val="3"/>
        <w:ind w:firstLine="216"/>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八</w:t>
      </w:r>
      <w:r>
        <w:rPr>
          <w:rFonts w:hint="eastAsia" w:ascii="宋体" w:hAnsi="宋体" w:eastAsia="宋体" w:cs="宋体"/>
          <w:color w:val="auto"/>
          <w:sz w:val="32"/>
          <w:szCs w:val="32"/>
          <w:highlight w:val="none"/>
        </w:rPr>
        <w:t>、盐城市政府采购事前信用承诺书</w:t>
      </w:r>
    </w:p>
    <w:p w14:paraId="2856B726">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7919085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3CD0212B">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23FBCF6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A11BDB8">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1B61F8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p>
    <w:p w14:paraId="098A1A66">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394C7B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36D0A244">
      <w:pPr>
        <w:pStyle w:val="11"/>
        <w:spacing w:beforeAutospacing="0" w:afterAutospacing="0"/>
        <w:jc w:val="center"/>
        <w:rPr>
          <w:color w:val="auto"/>
          <w:highlight w:val="none"/>
        </w:rPr>
      </w:pP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1"/>
    <w:bookmarkEnd w:id="174"/>
    <w:bookmarkEnd w:id="175"/>
    <w:bookmarkEnd w:id="176"/>
    <w:bookmarkEnd w:id="177"/>
    <w:bookmarkEnd w:id="178"/>
    <w:bookmarkEnd w:id="179"/>
    <w:bookmarkEnd w:id="180"/>
    <w:bookmarkEnd w:id="181"/>
    <w:bookmarkEnd w:id="190"/>
    <w:bookmarkEnd w:id="191"/>
    <w:bookmarkEnd w:id="192"/>
    <w:bookmarkEnd w:id="193"/>
    <w:bookmarkEnd w:id="194"/>
    <w:p w14:paraId="1BD58B05">
      <w:pPr>
        <w:pStyle w:val="3"/>
        <w:ind w:firstLine="216"/>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4408F78F">
      <w:pPr>
        <w:pStyle w:val="11"/>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6C307A75">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CDA18D">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204001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CB49ACA">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DB03877">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99727A8">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B88EEA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6720E08">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C51F6AF">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578280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5CA0EF62">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DF92306">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08912AC">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416D5F4">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0F609DC">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1145962">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0CD04C7">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D3C5A9C">
      <w:pPr>
        <w:pStyle w:val="1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F07B8F1">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0140CBED">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17B714BF">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1A43196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166EEFF8">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191183A">
      <w:pPr>
        <w:pStyle w:val="1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101EC82E">
      <w:pPr>
        <w:pStyle w:val="11"/>
        <w:spacing w:beforeAutospacing="0" w:afterAutospacing="0" w:line="0" w:lineRule="atLeast"/>
        <w:jc w:val="both"/>
        <w:rPr>
          <w:rFonts w:hint="eastAsia" w:ascii="宋体" w:hAnsi="宋体" w:eastAsia="宋体" w:cs="宋体"/>
          <w:b/>
          <w:color w:val="auto"/>
          <w:highlight w:val="none"/>
        </w:rPr>
      </w:pPr>
    </w:p>
    <w:p w14:paraId="486AA1DE">
      <w:pPr>
        <w:pStyle w:val="11"/>
        <w:keepNext w:val="0"/>
        <w:keepLines w:val="0"/>
        <w:pageBreakBefore w:val="0"/>
        <w:kinsoku/>
        <w:wordWrap/>
        <w:overflowPunct/>
        <w:topLinePunct w:val="0"/>
        <w:autoSpaceDE/>
        <w:autoSpaceDN/>
        <w:bidi w:val="0"/>
        <w:adjustRightInd/>
        <w:snapToGrid/>
        <w:spacing w:beforeAutospacing="0" w:afterAutospacing="0" w:line="700" w:lineRule="exact"/>
        <w:jc w:val="both"/>
        <w:textAlignment w:val="auto"/>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6ED08AD">
      <w:pPr>
        <w:pStyle w:val="11"/>
        <w:keepNext w:val="0"/>
        <w:keepLines w:val="0"/>
        <w:pageBreakBefore w:val="0"/>
        <w:widowControl/>
        <w:kinsoku/>
        <w:wordWrap/>
        <w:overflowPunct/>
        <w:topLinePunct w:val="0"/>
        <w:autoSpaceDE/>
        <w:autoSpaceDN/>
        <w:bidi w:val="0"/>
        <w:adjustRightInd/>
        <w:snapToGrid/>
        <w:spacing w:beforeAutospacing="0" w:afterAutospacing="0" w:line="7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2091F4D">
      <w:pPr>
        <w:pStyle w:val="11"/>
        <w:keepNext w:val="0"/>
        <w:keepLines w:val="0"/>
        <w:pageBreakBefore w:val="0"/>
        <w:widowControl/>
        <w:kinsoku/>
        <w:wordWrap/>
        <w:overflowPunct/>
        <w:topLinePunct w:val="0"/>
        <w:autoSpaceDE/>
        <w:autoSpaceDN/>
        <w:bidi w:val="0"/>
        <w:adjustRightInd/>
        <w:snapToGrid/>
        <w:spacing w:beforeAutospacing="0" w:afterAutospacing="0" w:line="7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11"/>
        <w:keepNext w:val="0"/>
        <w:keepLines w:val="0"/>
        <w:pageBreakBefore w:val="0"/>
        <w:widowControl/>
        <w:kinsoku/>
        <w:wordWrap/>
        <w:overflowPunct/>
        <w:topLinePunct w:val="0"/>
        <w:autoSpaceDE/>
        <w:autoSpaceDN/>
        <w:bidi w:val="0"/>
        <w:adjustRightInd/>
        <w:snapToGrid/>
        <w:spacing w:beforeAutospacing="0" w:afterAutospacing="0" w:line="7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F2A8B16">
      <w:pPr>
        <w:pStyle w:val="11"/>
        <w:keepNext w:val="0"/>
        <w:keepLines w:val="0"/>
        <w:pageBreakBefore w:val="0"/>
        <w:widowControl/>
        <w:kinsoku/>
        <w:wordWrap/>
        <w:overflowPunct/>
        <w:topLinePunct w:val="0"/>
        <w:autoSpaceDE/>
        <w:autoSpaceDN/>
        <w:bidi w:val="0"/>
        <w:adjustRightInd/>
        <w:snapToGrid/>
        <w:spacing w:beforeAutospacing="0" w:afterAutospacing="0" w:line="7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335F536F">
      <w:pPr>
        <w:pStyle w:val="11"/>
        <w:keepNext w:val="0"/>
        <w:keepLines w:val="0"/>
        <w:pageBreakBefore w:val="0"/>
        <w:widowControl/>
        <w:kinsoku/>
        <w:wordWrap/>
        <w:overflowPunct/>
        <w:topLinePunct w:val="0"/>
        <w:autoSpaceDE/>
        <w:autoSpaceDN/>
        <w:bidi w:val="0"/>
        <w:adjustRightInd/>
        <w:snapToGrid/>
        <w:spacing w:beforeAutospacing="0" w:afterAutospacing="0" w:line="7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F6A2591">
      <w:pPr>
        <w:pStyle w:val="11"/>
        <w:keepNext w:val="0"/>
        <w:keepLines w:val="0"/>
        <w:pageBreakBefore w:val="0"/>
        <w:widowControl/>
        <w:kinsoku/>
        <w:wordWrap/>
        <w:overflowPunct/>
        <w:topLinePunct w:val="0"/>
        <w:autoSpaceDE/>
        <w:autoSpaceDN/>
        <w:bidi w:val="0"/>
        <w:adjustRightInd/>
        <w:snapToGrid/>
        <w:spacing w:beforeAutospacing="0" w:afterAutospacing="0" w:line="7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A90D10F">
      <w:pPr>
        <w:pStyle w:val="11"/>
        <w:keepNext w:val="0"/>
        <w:keepLines w:val="0"/>
        <w:pageBreakBefore w:val="0"/>
        <w:kinsoku/>
        <w:wordWrap/>
        <w:overflowPunct/>
        <w:topLinePunct w:val="0"/>
        <w:autoSpaceDE/>
        <w:autoSpaceDN/>
        <w:bidi w:val="0"/>
        <w:adjustRightInd/>
        <w:snapToGrid/>
        <w:spacing w:beforeAutospacing="0" w:afterAutospacing="0" w:line="700" w:lineRule="exact"/>
        <w:textAlignment w:val="auto"/>
        <w:rPr>
          <w:color w:val="auto"/>
          <w:highlight w:val="none"/>
        </w:rPr>
      </w:pP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A74E0F7-3398-4671-9D0B-E306813AF78F}"/>
  </w:font>
  <w:font w:name="黑体">
    <w:panose1 w:val="02010609060101010101"/>
    <w:charset w:val="86"/>
    <w:family w:val="auto"/>
    <w:pitch w:val="default"/>
    <w:sig w:usb0="800002BF" w:usb1="38CF7CFA" w:usb2="00000016" w:usb3="00000000" w:csb0="00040001" w:csb1="00000000"/>
    <w:embedRegular r:id="rId2" w:fontKey="{49C6818E-478A-4563-8BE4-B637AA5E79F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394D10D-59E9-46AF-941A-CCB7C4C42CBC}"/>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embedRegular r:id="rId4" w:fontKey="{DB3B9707-75E6-46B2-9850-9E6D92C1DFF2}"/>
  </w:font>
  <w:font w:name="仿宋_GB2312">
    <w:panose1 w:val="02010609030101010101"/>
    <w:charset w:val="86"/>
    <w:family w:val="modern"/>
    <w:pitch w:val="default"/>
    <w:sig w:usb0="00000001" w:usb1="080E0000" w:usb2="00000000" w:usb3="00000000" w:csb0="00040000" w:csb1="00000000"/>
    <w:embedRegular r:id="rId5" w:fontKey="{77C5628E-2799-4296-9078-24F8BBEDC32A}"/>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E078B">
    <w:pPr>
      <w:pStyle w:val="9"/>
      <w:jc w:val="center"/>
    </w:pPr>
  </w:p>
  <w:p w14:paraId="0E00365E">
    <w:pPr>
      <w:pStyle w:val="10"/>
      <w:pBdr>
        <w:bottom w:val="none" w:color="auto" w:sz="0" w:space="0"/>
      </w:pBdr>
      <w:tabs>
        <w:tab w:val="left" w:pos="3615"/>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2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D885D2C">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3E882">
    <w:pPr>
      <w:pStyle w:val="10"/>
      <w:widowControl w:val="0"/>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bCs/>
        <w:spacing w:val="11"/>
        <w:sz w:val="18"/>
        <w:szCs w:val="18"/>
        <w:highlight w:val="none"/>
        <w:lang w:val="en-US" w:eastAsia="zh-CN"/>
      </w:rPr>
    </w:pPr>
    <w:r>
      <w:rPr>
        <w:rFonts w:hint="eastAsia" w:ascii="宋体" w:hAnsi="宋体" w:eastAsia="宋体" w:cs="宋体"/>
        <w:b/>
        <w:bCs/>
        <w:spacing w:val="11"/>
        <w:sz w:val="18"/>
        <w:szCs w:val="18"/>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273CC"/>
    <w:rsid w:val="0008414E"/>
    <w:rsid w:val="000B6FA8"/>
    <w:rsid w:val="000C3DA7"/>
    <w:rsid w:val="000D6064"/>
    <w:rsid w:val="00106EC4"/>
    <w:rsid w:val="00111440"/>
    <w:rsid w:val="00112B63"/>
    <w:rsid w:val="00152010"/>
    <w:rsid w:val="00172A27"/>
    <w:rsid w:val="002B0C85"/>
    <w:rsid w:val="003C54BE"/>
    <w:rsid w:val="004125B1"/>
    <w:rsid w:val="00427F98"/>
    <w:rsid w:val="004529E6"/>
    <w:rsid w:val="004B2B21"/>
    <w:rsid w:val="004E0F29"/>
    <w:rsid w:val="005257A0"/>
    <w:rsid w:val="00755D43"/>
    <w:rsid w:val="007E3A7B"/>
    <w:rsid w:val="007F27CB"/>
    <w:rsid w:val="00822248"/>
    <w:rsid w:val="00927A3A"/>
    <w:rsid w:val="009620FE"/>
    <w:rsid w:val="00973C6A"/>
    <w:rsid w:val="009D4169"/>
    <w:rsid w:val="009E04AF"/>
    <w:rsid w:val="00A75D0F"/>
    <w:rsid w:val="00BD1A9C"/>
    <w:rsid w:val="00BF706B"/>
    <w:rsid w:val="00C90FDD"/>
    <w:rsid w:val="00CB77BE"/>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4A102B"/>
    <w:rsid w:val="0159126E"/>
    <w:rsid w:val="015C3D17"/>
    <w:rsid w:val="0176597C"/>
    <w:rsid w:val="01AE0C97"/>
    <w:rsid w:val="01C7267B"/>
    <w:rsid w:val="01F82835"/>
    <w:rsid w:val="021B6523"/>
    <w:rsid w:val="023F66B6"/>
    <w:rsid w:val="02581DA6"/>
    <w:rsid w:val="026223A4"/>
    <w:rsid w:val="02851591"/>
    <w:rsid w:val="02867E41"/>
    <w:rsid w:val="028B748A"/>
    <w:rsid w:val="02A604E3"/>
    <w:rsid w:val="02B26E88"/>
    <w:rsid w:val="02BD5381"/>
    <w:rsid w:val="02C447F9"/>
    <w:rsid w:val="02D505AD"/>
    <w:rsid w:val="02F0175E"/>
    <w:rsid w:val="03062D2F"/>
    <w:rsid w:val="034115E7"/>
    <w:rsid w:val="034E4AD1"/>
    <w:rsid w:val="03577A2F"/>
    <w:rsid w:val="037E0789"/>
    <w:rsid w:val="03885E3A"/>
    <w:rsid w:val="03912F41"/>
    <w:rsid w:val="039E565E"/>
    <w:rsid w:val="03A762C0"/>
    <w:rsid w:val="03B56367"/>
    <w:rsid w:val="03BB6210"/>
    <w:rsid w:val="03CC5D27"/>
    <w:rsid w:val="03F67DB2"/>
    <w:rsid w:val="0442722F"/>
    <w:rsid w:val="04473600"/>
    <w:rsid w:val="04C133B2"/>
    <w:rsid w:val="04CF1FA6"/>
    <w:rsid w:val="04D64725"/>
    <w:rsid w:val="04E04478"/>
    <w:rsid w:val="04F05A45"/>
    <w:rsid w:val="04F76DD4"/>
    <w:rsid w:val="056E5657"/>
    <w:rsid w:val="058663AA"/>
    <w:rsid w:val="05AA653C"/>
    <w:rsid w:val="05C3315A"/>
    <w:rsid w:val="062C42CE"/>
    <w:rsid w:val="06484DAE"/>
    <w:rsid w:val="068A6E34"/>
    <w:rsid w:val="06AE5BB8"/>
    <w:rsid w:val="06B17456"/>
    <w:rsid w:val="071C0D73"/>
    <w:rsid w:val="076444C8"/>
    <w:rsid w:val="079832F8"/>
    <w:rsid w:val="07994E3B"/>
    <w:rsid w:val="07A02A3F"/>
    <w:rsid w:val="07A40F48"/>
    <w:rsid w:val="07CC279A"/>
    <w:rsid w:val="07EA42D2"/>
    <w:rsid w:val="07EA70C4"/>
    <w:rsid w:val="08071A24"/>
    <w:rsid w:val="081D1247"/>
    <w:rsid w:val="08236132"/>
    <w:rsid w:val="083245C7"/>
    <w:rsid w:val="083420ED"/>
    <w:rsid w:val="0854758E"/>
    <w:rsid w:val="08992D34"/>
    <w:rsid w:val="09063A89"/>
    <w:rsid w:val="09132265"/>
    <w:rsid w:val="09216B15"/>
    <w:rsid w:val="095742E5"/>
    <w:rsid w:val="095D46A1"/>
    <w:rsid w:val="09815AA0"/>
    <w:rsid w:val="09A82D92"/>
    <w:rsid w:val="09BA4874"/>
    <w:rsid w:val="0A122902"/>
    <w:rsid w:val="0A652A31"/>
    <w:rsid w:val="0A655ED0"/>
    <w:rsid w:val="0A7315F2"/>
    <w:rsid w:val="0A7B04A7"/>
    <w:rsid w:val="0AAA48E8"/>
    <w:rsid w:val="0ABC363A"/>
    <w:rsid w:val="0AD8294B"/>
    <w:rsid w:val="0B4B3B00"/>
    <w:rsid w:val="0B5331D2"/>
    <w:rsid w:val="0B550CF8"/>
    <w:rsid w:val="0B786794"/>
    <w:rsid w:val="0B8A23C1"/>
    <w:rsid w:val="0BAE3813"/>
    <w:rsid w:val="0BB7550F"/>
    <w:rsid w:val="0C517711"/>
    <w:rsid w:val="0C6F7B97"/>
    <w:rsid w:val="0CB657C6"/>
    <w:rsid w:val="0CDA001F"/>
    <w:rsid w:val="0D4728C2"/>
    <w:rsid w:val="0D4D2FC1"/>
    <w:rsid w:val="0D696CDD"/>
    <w:rsid w:val="0D841421"/>
    <w:rsid w:val="0D913B3D"/>
    <w:rsid w:val="0DB717F6"/>
    <w:rsid w:val="0DB8731C"/>
    <w:rsid w:val="0DD8702C"/>
    <w:rsid w:val="0DDF1EF8"/>
    <w:rsid w:val="0DE17B08"/>
    <w:rsid w:val="0DF06AB6"/>
    <w:rsid w:val="0DFC36AD"/>
    <w:rsid w:val="0E0362D5"/>
    <w:rsid w:val="0E0D7668"/>
    <w:rsid w:val="0E3F3599"/>
    <w:rsid w:val="0E440BB0"/>
    <w:rsid w:val="0E6B25E0"/>
    <w:rsid w:val="0E966A8C"/>
    <w:rsid w:val="0E9C09EC"/>
    <w:rsid w:val="0ED200DD"/>
    <w:rsid w:val="0EE61CD2"/>
    <w:rsid w:val="0EE7610B"/>
    <w:rsid w:val="0F227143"/>
    <w:rsid w:val="0F296723"/>
    <w:rsid w:val="0F3D21CF"/>
    <w:rsid w:val="0F672DA8"/>
    <w:rsid w:val="0F6D24BC"/>
    <w:rsid w:val="0F7D537E"/>
    <w:rsid w:val="0F847DFE"/>
    <w:rsid w:val="10007707"/>
    <w:rsid w:val="101F18D4"/>
    <w:rsid w:val="106143BD"/>
    <w:rsid w:val="106D2640"/>
    <w:rsid w:val="1077526D"/>
    <w:rsid w:val="10831E63"/>
    <w:rsid w:val="1088747A"/>
    <w:rsid w:val="109A0F5B"/>
    <w:rsid w:val="112D6D48"/>
    <w:rsid w:val="11370089"/>
    <w:rsid w:val="11755C50"/>
    <w:rsid w:val="11AB711C"/>
    <w:rsid w:val="11E249A1"/>
    <w:rsid w:val="11E626AA"/>
    <w:rsid w:val="11EC57E6"/>
    <w:rsid w:val="1223779D"/>
    <w:rsid w:val="12372F05"/>
    <w:rsid w:val="123D6042"/>
    <w:rsid w:val="12431559"/>
    <w:rsid w:val="12C329EB"/>
    <w:rsid w:val="12EF1B96"/>
    <w:rsid w:val="12F015A0"/>
    <w:rsid w:val="132A2A6A"/>
    <w:rsid w:val="13655850"/>
    <w:rsid w:val="137D2B9A"/>
    <w:rsid w:val="138E2FF9"/>
    <w:rsid w:val="13CE5AEB"/>
    <w:rsid w:val="140E5EE8"/>
    <w:rsid w:val="141259D8"/>
    <w:rsid w:val="142D3EF2"/>
    <w:rsid w:val="14477BA7"/>
    <w:rsid w:val="14830684"/>
    <w:rsid w:val="14D51756"/>
    <w:rsid w:val="14EB154F"/>
    <w:rsid w:val="14F055ED"/>
    <w:rsid w:val="14F37395"/>
    <w:rsid w:val="15233C15"/>
    <w:rsid w:val="15344B89"/>
    <w:rsid w:val="154871D8"/>
    <w:rsid w:val="154F0566"/>
    <w:rsid w:val="15A9236C"/>
    <w:rsid w:val="15BF3E2F"/>
    <w:rsid w:val="15BF56EC"/>
    <w:rsid w:val="162437A1"/>
    <w:rsid w:val="16315EBE"/>
    <w:rsid w:val="1662251B"/>
    <w:rsid w:val="16781D3E"/>
    <w:rsid w:val="16922E00"/>
    <w:rsid w:val="169263C8"/>
    <w:rsid w:val="16A61788"/>
    <w:rsid w:val="16BA3E2C"/>
    <w:rsid w:val="16BC1C2B"/>
    <w:rsid w:val="16EB42BE"/>
    <w:rsid w:val="16EB72C3"/>
    <w:rsid w:val="16F413C5"/>
    <w:rsid w:val="17033CFE"/>
    <w:rsid w:val="170F61FF"/>
    <w:rsid w:val="1740460A"/>
    <w:rsid w:val="17563E2E"/>
    <w:rsid w:val="17666D47"/>
    <w:rsid w:val="1792502D"/>
    <w:rsid w:val="17FA7FA2"/>
    <w:rsid w:val="180A4C18"/>
    <w:rsid w:val="182E6B59"/>
    <w:rsid w:val="185A0968"/>
    <w:rsid w:val="185A794E"/>
    <w:rsid w:val="189C7F66"/>
    <w:rsid w:val="18AE37F5"/>
    <w:rsid w:val="18BC4109"/>
    <w:rsid w:val="192F5D4A"/>
    <w:rsid w:val="193260E4"/>
    <w:rsid w:val="19341F4D"/>
    <w:rsid w:val="19616ABA"/>
    <w:rsid w:val="19835197"/>
    <w:rsid w:val="1A1A55E6"/>
    <w:rsid w:val="1A390BD7"/>
    <w:rsid w:val="1A491A28"/>
    <w:rsid w:val="1A4F2C83"/>
    <w:rsid w:val="1A530AF8"/>
    <w:rsid w:val="1A562397"/>
    <w:rsid w:val="1A584361"/>
    <w:rsid w:val="1A89451A"/>
    <w:rsid w:val="1A9133CF"/>
    <w:rsid w:val="1AA26BEA"/>
    <w:rsid w:val="1AC564D8"/>
    <w:rsid w:val="1AD2708F"/>
    <w:rsid w:val="1AFE6CB6"/>
    <w:rsid w:val="1B0D0CA7"/>
    <w:rsid w:val="1B5F5046"/>
    <w:rsid w:val="1B8B7B95"/>
    <w:rsid w:val="1B9509DF"/>
    <w:rsid w:val="1BA002D8"/>
    <w:rsid w:val="1BCA3215"/>
    <w:rsid w:val="1BCC6609"/>
    <w:rsid w:val="1C0025BA"/>
    <w:rsid w:val="1C026332"/>
    <w:rsid w:val="1C0A11A4"/>
    <w:rsid w:val="1C746B04"/>
    <w:rsid w:val="1C940F54"/>
    <w:rsid w:val="1CA218C3"/>
    <w:rsid w:val="1CA407DB"/>
    <w:rsid w:val="1CAC4347"/>
    <w:rsid w:val="1CCB0E1A"/>
    <w:rsid w:val="1CEC2B3E"/>
    <w:rsid w:val="1CF245F9"/>
    <w:rsid w:val="1D1C1092"/>
    <w:rsid w:val="1D2E3157"/>
    <w:rsid w:val="1D605A5A"/>
    <w:rsid w:val="1D854966"/>
    <w:rsid w:val="1D9E652E"/>
    <w:rsid w:val="1DBC0763"/>
    <w:rsid w:val="1DD43CFE"/>
    <w:rsid w:val="1DD84656"/>
    <w:rsid w:val="1DF57D64"/>
    <w:rsid w:val="1DFD1285"/>
    <w:rsid w:val="1E2E20E9"/>
    <w:rsid w:val="1E3C6958"/>
    <w:rsid w:val="1E8C4B03"/>
    <w:rsid w:val="1EA043BC"/>
    <w:rsid w:val="1EC70509"/>
    <w:rsid w:val="1ED61CF8"/>
    <w:rsid w:val="1F0625DD"/>
    <w:rsid w:val="1F084B68"/>
    <w:rsid w:val="1F282554"/>
    <w:rsid w:val="1F3A5DE3"/>
    <w:rsid w:val="1F4A0271"/>
    <w:rsid w:val="1F774734"/>
    <w:rsid w:val="1FAD4807"/>
    <w:rsid w:val="1FBB607B"/>
    <w:rsid w:val="1FC7762D"/>
    <w:rsid w:val="1FFC5635"/>
    <w:rsid w:val="201E3957"/>
    <w:rsid w:val="20516B50"/>
    <w:rsid w:val="205730E8"/>
    <w:rsid w:val="20600680"/>
    <w:rsid w:val="20733730"/>
    <w:rsid w:val="20A83FAF"/>
    <w:rsid w:val="20B16579"/>
    <w:rsid w:val="20C757F3"/>
    <w:rsid w:val="21075FF4"/>
    <w:rsid w:val="212D5EEC"/>
    <w:rsid w:val="215025DE"/>
    <w:rsid w:val="215C4736"/>
    <w:rsid w:val="21676C37"/>
    <w:rsid w:val="21B7196D"/>
    <w:rsid w:val="21CC717D"/>
    <w:rsid w:val="21F4671D"/>
    <w:rsid w:val="2228286B"/>
    <w:rsid w:val="223E416B"/>
    <w:rsid w:val="22424AA4"/>
    <w:rsid w:val="22833F45"/>
    <w:rsid w:val="22F62B8A"/>
    <w:rsid w:val="22F83FEB"/>
    <w:rsid w:val="22FE2929"/>
    <w:rsid w:val="23092164"/>
    <w:rsid w:val="23254D08"/>
    <w:rsid w:val="23534E2B"/>
    <w:rsid w:val="237D267E"/>
    <w:rsid w:val="23A93537"/>
    <w:rsid w:val="23C87262"/>
    <w:rsid w:val="23D83E1C"/>
    <w:rsid w:val="23ED3D6C"/>
    <w:rsid w:val="23F7480E"/>
    <w:rsid w:val="242C02D7"/>
    <w:rsid w:val="2443573A"/>
    <w:rsid w:val="24533DC2"/>
    <w:rsid w:val="249A3F3D"/>
    <w:rsid w:val="24CE594B"/>
    <w:rsid w:val="24EA02AB"/>
    <w:rsid w:val="24F84776"/>
    <w:rsid w:val="25317C88"/>
    <w:rsid w:val="2532334D"/>
    <w:rsid w:val="256B319A"/>
    <w:rsid w:val="25B85CB3"/>
    <w:rsid w:val="26127ABA"/>
    <w:rsid w:val="264D6D44"/>
    <w:rsid w:val="26750FF7"/>
    <w:rsid w:val="26A761E0"/>
    <w:rsid w:val="26AC213A"/>
    <w:rsid w:val="26BC17D3"/>
    <w:rsid w:val="26D6553E"/>
    <w:rsid w:val="26E9418F"/>
    <w:rsid w:val="27194423"/>
    <w:rsid w:val="27290FC5"/>
    <w:rsid w:val="272C4BAB"/>
    <w:rsid w:val="27554102"/>
    <w:rsid w:val="281F026C"/>
    <w:rsid w:val="28722A91"/>
    <w:rsid w:val="287F0D0A"/>
    <w:rsid w:val="28A77F49"/>
    <w:rsid w:val="28B9421C"/>
    <w:rsid w:val="28C826B1"/>
    <w:rsid w:val="28FC627B"/>
    <w:rsid w:val="28FE41FC"/>
    <w:rsid w:val="29051210"/>
    <w:rsid w:val="29345C52"/>
    <w:rsid w:val="2996274E"/>
    <w:rsid w:val="299B6018"/>
    <w:rsid w:val="29A94291"/>
    <w:rsid w:val="29E7300B"/>
    <w:rsid w:val="2A175CBD"/>
    <w:rsid w:val="2A181417"/>
    <w:rsid w:val="2A4648B7"/>
    <w:rsid w:val="2A5F7045"/>
    <w:rsid w:val="2A7E571E"/>
    <w:rsid w:val="2AD510B6"/>
    <w:rsid w:val="2AFB5241"/>
    <w:rsid w:val="2B005440"/>
    <w:rsid w:val="2B395AE8"/>
    <w:rsid w:val="2B4A5600"/>
    <w:rsid w:val="2BDD46C6"/>
    <w:rsid w:val="2BEF61A7"/>
    <w:rsid w:val="2C03574A"/>
    <w:rsid w:val="2C117DB2"/>
    <w:rsid w:val="2C602C01"/>
    <w:rsid w:val="2C7B3B05"/>
    <w:rsid w:val="2CC277F5"/>
    <w:rsid w:val="2D1A7254"/>
    <w:rsid w:val="2D256324"/>
    <w:rsid w:val="2D67525C"/>
    <w:rsid w:val="2D7626DC"/>
    <w:rsid w:val="2D784F24"/>
    <w:rsid w:val="2DAC25A2"/>
    <w:rsid w:val="2DE81100"/>
    <w:rsid w:val="2E3424AE"/>
    <w:rsid w:val="2E5E7AF7"/>
    <w:rsid w:val="2E717C8A"/>
    <w:rsid w:val="2E8702E5"/>
    <w:rsid w:val="2EB711FE"/>
    <w:rsid w:val="2EC9274E"/>
    <w:rsid w:val="2ED51684"/>
    <w:rsid w:val="2ED55B28"/>
    <w:rsid w:val="2EE6563F"/>
    <w:rsid w:val="2EE73822"/>
    <w:rsid w:val="2F0106CB"/>
    <w:rsid w:val="2F1877C3"/>
    <w:rsid w:val="2F1C3757"/>
    <w:rsid w:val="2F233CDB"/>
    <w:rsid w:val="2F2B1BEC"/>
    <w:rsid w:val="2F603644"/>
    <w:rsid w:val="2F7E3ACA"/>
    <w:rsid w:val="2FAD4FD9"/>
    <w:rsid w:val="2FB346FB"/>
    <w:rsid w:val="2FC64924"/>
    <w:rsid w:val="2FD951A4"/>
    <w:rsid w:val="2FFA5778"/>
    <w:rsid w:val="3005243D"/>
    <w:rsid w:val="30495C84"/>
    <w:rsid w:val="304A60A2"/>
    <w:rsid w:val="30626EBE"/>
    <w:rsid w:val="30650005"/>
    <w:rsid w:val="307F7AFA"/>
    <w:rsid w:val="30E81B43"/>
    <w:rsid w:val="310333AD"/>
    <w:rsid w:val="310D15A9"/>
    <w:rsid w:val="31122FE8"/>
    <w:rsid w:val="3145389E"/>
    <w:rsid w:val="31522189"/>
    <w:rsid w:val="31684A32"/>
    <w:rsid w:val="317E4255"/>
    <w:rsid w:val="318A49A8"/>
    <w:rsid w:val="318C4BC4"/>
    <w:rsid w:val="31D07E6C"/>
    <w:rsid w:val="31E16592"/>
    <w:rsid w:val="320D7387"/>
    <w:rsid w:val="32582CF8"/>
    <w:rsid w:val="32990C1B"/>
    <w:rsid w:val="329E6CD8"/>
    <w:rsid w:val="32B902C1"/>
    <w:rsid w:val="32CC0FF0"/>
    <w:rsid w:val="32DB1233"/>
    <w:rsid w:val="32DC56D7"/>
    <w:rsid w:val="32EF0C84"/>
    <w:rsid w:val="332B21BB"/>
    <w:rsid w:val="33440753"/>
    <w:rsid w:val="33773E42"/>
    <w:rsid w:val="33863895"/>
    <w:rsid w:val="33884F17"/>
    <w:rsid w:val="338F39E0"/>
    <w:rsid w:val="33A31D51"/>
    <w:rsid w:val="33C10429"/>
    <w:rsid w:val="33D068BE"/>
    <w:rsid w:val="33E74334"/>
    <w:rsid w:val="33EE2D99"/>
    <w:rsid w:val="34286628"/>
    <w:rsid w:val="34332B30"/>
    <w:rsid w:val="34467C10"/>
    <w:rsid w:val="344A6670"/>
    <w:rsid w:val="34A9783B"/>
    <w:rsid w:val="34AE30A3"/>
    <w:rsid w:val="34E14EA2"/>
    <w:rsid w:val="34E346A0"/>
    <w:rsid w:val="34E73CF8"/>
    <w:rsid w:val="34F36D08"/>
    <w:rsid w:val="352F1DA3"/>
    <w:rsid w:val="357C2CDC"/>
    <w:rsid w:val="359B1151"/>
    <w:rsid w:val="35AB313F"/>
    <w:rsid w:val="35AD49A2"/>
    <w:rsid w:val="35F25212"/>
    <w:rsid w:val="35F9034E"/>
    <w:rsid w:val="360B1E2F"/>
    <w:rsid w:val="361231BE"/>
    <w:rsid w:val="36172BC3"/>
    <w:rsid w:val="3628478F"/>
    <w:rsid w:val="36590DED"/>
    <w:rsid w:val="366F0610"/>
    <w:rsid w:val="36CC7C95"/>
    <w:rsid w:val="36CF07E3"/>
    <w:rsid w:val="36EB650A"/>
    <w:rsid w:val="37305FF2"/>
    <w:rsid w:val="378133A9"/>
    <w:rsid w:val="37B24C58"/>
    <w:rsid w:val="383A233E"/>
    <w:rsid w:val="385775AE"/>
    <w:rsid w:val="388163D9"/>
    <w:rsid w:val="38BF587F"/>
    <w:rsid w:val="38D04F99"/>
    <w:rsid w:val="38DB01DF"/>
    <w:rsid w:val="38FB5923"/>
    <w:rsid w:val="39101F1B"/>
    <w:rsid w:val="392D7EB3"/>
    <w:rsid w:val="39397948"/>
    <w:rsid w:val="394418E0"/>
    <w:rsid w:val="395C1320"/>
    <w:rsid w:val="39720FC7"/>
    <w:rsid w:val="39B60304"/>
    <w:rsid w:val="39BF365D"/>
    <w:rsid w:val="39CC6DF4"/>
    <w:rsid w:val="39CD52E9"/>
    <w:rsid w:val="3A35391F"/>
    <w:rsid w:val="3A64388F"/>
    <w:rsid w:val="3AB40CE8"/>
    <w:rsid w:val="3AC70A1B"/>
    <w:rsid w:val="3B0B043D"/>
    <w:rsid w:val="3BDF2457"/>
    <w:rsid w:val="3C8E39AA"/>
    <w:rsid w:val="3C926E07"/>
    <w:rsid w:val="3C940DD1"/>
    <w:rsid w:val="3CA53635"/>
    <w:rsid w:val="3CCD7E3F"/>
    <w:rsid w:val="3CD31755"/>
    <w:rsid w:val="3D0A4BEF"/>
    <w:rsid w:val="3D23372C"/>
    <w:rsid w:val="3D69400B"/>
    <w:rsid w:val="3D7A6218"/>
    <w:rsid w:val="3D9646D4"/>
    <w:rsid w:val="3DB25C92"/>
    <w:rsid w:val="3DE6565C"/>
    <w:rsid w:val="3DF80C94"/>
    <w:rsid w:val="3E064F5A"/>
    <w:rsid w:val="3E161B6B"/>
    <w:rsid w:val="3E7F5998"/>
    <w:rsid w:val="3F0056DB"/>
    <w:rsid w:val="3F147FA7"/>
    <w:rsid w:val="3F1A3023"/>
    <w:rsid w:val="3F243A9D"/>
    <w:rsid w:val="3FA05CDE"/>
    <w:rsid w:val="3FDA7B0E"/>
    <w:rsid w:val="3FF322B2"/>
    <w:rsid w:val="40104C12"/>
    <w:rsid w:val="40161AFD"/>
    <w:rsid w:val="401D2E8B"/>
    <w:rsid w:val="402D7572"/>
    <w:rsid w:val="40350295"/>
    <w:rsid w:val="404B3E9C"/>
    <w:rsid w:val="406E1D8D"/>
    <w:rsid w:val="40EE7E9B"/>
    <w:rsid w:val="40F0234E"/>
    <w:rsid w:val="411A73CB"/>
    <w:rsid w:val="416A0352"/>
    <w:rsid w:val="417E204F"/>
    <w:rsid w:val="418A4550"/>
    <w:rsid w:val="41946B8D"/>
    <w:rsid w:val="41B17D2F"/>
    <w:rsid w:val="41D37CA5"/>
    <w:rsid w:val="41FB544E"/>
    <w:rsid w:val="42053C57"/>
    <w:rsid w:val="42214BD9"/>
    <w:rsid w:val="42324DFA"/>
    <w:rsid w:val="425F30ED"/>
    <w:rsid w:val="42DE18F7"/>
    <w:rsid w:val="42FA74B4"/>
    <w:rsid w:val="431353F3"/>
    <w:rsid w:val="43324E9F"/>
    <w:rsid w:val="433B1FA6"/>
    <w:rsid w:val="43455446"/>
    <w:rsid w:val="43692E36"/>
    <w:rsid w:val="436F7EA2"/>
    <w:rsid w:val="43A37B4B"/>
    <w:rsid w:val="447119F7"/>
    <w:rsid w:val="447339C1"/>
    <w:rsid w:val="44B518E4"/>
    <w:rsid w:val="44BF6C07"/>
    <w:rsid w:val="44DA072F"/>
    <w:rsid w:val="45232CF2"/>
    <w:rsid w:val="454D0F8E"/>
    <w:rsid w:val="457A49AD"/>
    <w:rsid w:val="45A91659"/>
    <w:rsid w:val="45A932D5"/>
    <w:rsid w:val="45FC0A54"/>
    <w:rsid w:val="461D469A"/>
    <w:rsid w:val="46592743"/>
    <w:rsid w:val="466976E6"/>
    <w:rsid w:val="46EA0CE7"/>
    <w:rsid w:val="46FA3F26"/>
    <w:rsid w:val="470D4256"/>
    <w:rsid w:val="472208AE"/>
    <w:rsid w:val="47704C41"/>
    <w:rsid w:val="4783216D"/>
    <w:rsid w:val="47B925F3"/>
    <w:rsid w:val="47CA03F9"/>
    <w:rsid w:val="488C32A4"/>
    <w:rsid w:val="48910AEC"/>
    <w:rsid w:val="48B3170D"/>
    <w:rsid w:val="48B41562"/>
    <w:rsid w:val="48C26CC5"/>
    <w:rsid w:val="48F35B3F"/>
    <w:rsid w:val="490241A3"/>
    <w:rsid w:val="4924499B"/>
    <w:rsid w:val="492E6109"/>
    <w:rsid w:val="493C7DE9"/>
    <w:rsid w:val="496D09DF"/>
    <w:rsid w:val="496F6F12"/>
    <w:rsid w:val="49EC224C"/>
    <w:rsid w:val="49FE1F7F"/>
    <w:rsid w:val="4A1E13B4"/>
    <w:rsid w:val="4A233794"/>
    <w:rsid w:val="4A2C49B0"/>
    <w:rsid w:val="4A6749EC"/>
    <w:rsid w:val="4A7D1B0F"/>
    <w:rsid w:val="4A802994"/>
    <w:rsid w:val="4AAC50D1"/>
    <w:rsid w:val="4AD55B40"/>
    <w:rsid w:val="4AE82438"/>
    <w:rsid w:val="4B133808"/>
    <w:rsid w:val="4B502367"/>
    <w:rsid w:val="4B816722"/>
    <w:rsid w:val="4B92472D"/>
    <w:rsid w:val="4BCA036B"/>
    <w:rsid w:val="4BE614DC"/>
    <w:rsid w:val="4C5A2B74"/>
    <w:rsid w:val="4C5D11DF"/>
    <w:rsid w:val="4C7B3413"/>
    <w:rsid w:val="4CAC4015"/>
    <w:rsid w:val="4D0227B8"/>
    <w:rsid w:val="4D2D20D9"/>
    <w:rsid w:val="4D4B1038"/>
    <w:rsid w:val="4D866514"/>
    <w:rsid w:val="4D8E7176"/>
    <w:rsid w:val="4DA074F7"/>
    <w:rsid w:val="4DA33F07"/>
    <w:rsid w:val="4DA846DC"/>
    <w:rsid w:val="4DB0533F"/>
    <w:rsid w:val="4DDE52C0"/>
    <w:rsid w:val="4DE13C01"/>
    <w:rsid w:val="4DF5104E"/>
    <w:rsid w:val="4DFB00F6"/>
    <w:rsid w:val="4E233D62"/>
    <w:rsid w:val="4E3C4E24"/>
    <w:rsid w:val="4E8932F2"/>
    <w:rsid w:val="4EC015B1"/>
    <w:rsid w:val="4F0A4F22"/>
    <w:rsid w:val="4F500B6B"/>
    <w:rsid w:val="4F7B372A"/>
    <w:rsid w:val="4FE237A9"/>
    <w:rsid w:val="4FE439C5"/>
    <w:rsid w:val="4FE54082"/>
    <w:rsid w:val="4FF04118"/>
    <w:rsid w:val="501778F7"/>
    <w:rsid w:val="508605D9"/>
    <w:rsid w:val="509251CF"/>
    <w:rsid w:val="50926F7D"/>
    <w:rsid w:val="50970A38"/>
    <w:rsid w:val="50A078EC"/>
    <w:rsid w:val="50A1397F"/>
    <w:rsid w:val="50AD3DB7"/>
    <w:rsid w:val="512E314A"/>
    <w:rsid w:val="514546BE"/>
    <w:rsid w:val="51622DF4"/>
    <w:rsid w:val="51C75DFE"/>
    <w:rsid w:val="52496610"/>
    <w:rsid w:val="52741FCB"/>
    <w:rsid w:val="52A42F98"/>
    <w:rsid w:val="52B15DE1"/>
    <w:rsid w:val="52C8312A"/>
    <w:rsid w:val="52D06B10"/>
    <w:rsid w:val="52E02222"/>
    <w:rsid w:val="53364538"/>
    <w:rsid w:val="53401A68"/>
    <w:rsid w:val="53536515"/>
    <w:rsid w:val="536B21BA"/>
    <w:rsid w:val="537F5EDF"/>
    <w:rsid w:val="53A862CC"/>
    <w:rsid w:val="53B611D5"/>
    <w:rsid w:val="54124897"/>
    <w:rsid w:val="54177EC5"/>
    <w:rsid w:val="542A0FDA"/>
    <w:rsid w:val="544D7D8B"/>
    <w:rsid w:val="54604111"/>
    <w:rsid w:val="548B08B3"/>
    <w:rsid w:val="54B95421"/>
    <w:rsid w:val="54D2203E"/>
    <w:rsid w:val="54D45DB6"/>
    <w:rsid w:val="54E877FB"/>
    <w:rsid w:val="54ED53D0"/>
    <w:rsid w:val="55091CCC"/>
    <w:rsid w:val="55256612"/>
    <w:rsid w:val="554D7917"/>
    <w:rsid w:val="555313D1"/>
    <w:rsid w:val="556A04C9"/>
    <w:rsid w:val="557B26D6"/>
    <w:rsid w:val="55886BA1"/>
    <w:rsid w:val="559B2D78"/>
    <w:rsid w:val="561A5A4B"/>
    <w:rsid w:val="56307253"/>
    <w:rsid w:val="56313359"/>
    <w:rsid w:val="56453199"/>
    <w:rsid w:val="564B4B24"/>
    <w:rsid w:val="5652111E"/>
    <w:rsid w:val="56EF7016"/>
    <w:rsid w:val="57452F9B"/>
    <w:rsid w:val="574B7E86"/>
    <w:rsid w:val="5755514A"/>
    <w:rsid w:val="57572CCF"/>
    <w:rsid w:val="576F626A"/>
    <w:rsid w:val="5797379E"/>
    <w:rsid w:val="579F68AE"/>
    <w:rsid w:val="57A55B3D"/>
    <w:rsid w:val="57B27F05"/>
    <w:rsid w:val="57D936E4"/>
    <w:rsid w:val="582F6DAB"/>
    <w:rsid w:val="583152CE"/>
    <w:rsid w:val="585A65D3"/>
    <w:rsid w:val="588C0756"/>
    <w:rsid w:val="58AD45AF"/>
    <w:rsid w:val="58BC0A5A"/>
    <w:rsid w:val="58D4718C"/>
    <w:rsid w:val="590C78EE"/>
    <w:rsid w:val="592D018B"/>
    <w:rsid w:val="59346858"/>
    <w:rsid w:val="593E7CA2"/>
    <w:rsid w:val="59581771"/>
    <w:rsid w:val="599E6993"/>
    <w:rsid w:val="59A82CA5"/>
    <w:rsid w:val="59E44CEE"/>
    <w:rsid w:val="5A1804F3"/>
    <w:rsid w:val="5A201A9E"/>
    <w:rsid w:val="5A43590B"/>
    <w:rsid w:val="5A4C63EF"/>
    <w:rsid w:val="5A6279C1"/>
    <w:rsid w:val="5AD536B4"/>
    <w:rsid w:val="5ADF54B5"/>
    <w:rsid w:val="5AE96334"/>
    <w:rsid w:val="5AEA4CCC"/>
    <w:rsid w:val="5B031B11"/>
    <w:rsid w:val="5B0B44FC"/>
    <w:rsid w:val="5B433C96"/>
    <w:rsid w:val="5B4B2B4A"/>
    <w:rsid w:val="5B6339F0"/>
    <w:rsid w:val="5B7A63DB"/>
    <w:rsid w:val="5B7A6F8C"/>
    <w:rsid w:val="5B96574B"/>
    <w:rsid w:val="5C1E200D"/>
    <w:rsid w:val="5C3435DF"/>
    <w:rsid w:val="5C5A652B"/>
    <w:rsid w:val="5D064006"/>
    <w:rsid w:val="5D094A6B"/>
    <w:rsid w:val="5D320FC0"/>
    <w:rsid w:val="5D467388"/>
    <w:rsid w:val="5D797461"/>
    <w:rsid w:val="5D942587"/>
    <w:rsid w:val="5DE138D8"/>
    <w:rsid w:val="5DEF1EB3"/>
    <w:rsid w:val="5E0D1758"/>
    <w:rsid w:val="5E1921ED"/>
    <w:rsid w:val="5E2356B9"/>
    <w:rsid w:val="5E40270F"/>
    <w:rsid w:val="5E5461ED"/>
    <w:rsid w:val="5EDB106D"/>
    <w:rsid w:val="5EE035AA"/>
    <w:rsid w:val="5F476F94"/>
    <w:rsid w:val="5F4E6765"/>
    <w:rsid w:val="5F7D5E8E"/>
    <w:rsid w:val="5F7F522A"/>
    <w:rsid w:val="5F8328B3"/>
    <w:rsid w:val="60017C7C"/>
    <w:rsid w:val="60094B71"/>
    <w:rsid w:val="601337BB"/>
    <w:rsid w:val="606A165C"/>
    <w:rsid w:val="60A07495"/>
    <w:rsid w:val="60F33A68"/>
    <w:rsid w:val="61497B2C"/>
    <w:rsid w:val="616B1851"/>
    <w:rsid w:val="61730705"/>
    <w:rsid w:val="619B393F"/>
    <w:rsid w:val="61A46B11"/>
    <w:rsid w:val="621C0D9D"/>
    <w:rsid w:val="62281F6A"/>
    <w:rsid w:val="622C715E"/>
    <w:rsid w:val="6247406C"/>
    <w:rsid w:val="62A87E16"/>
    <w:rsid w:val="62CA561A"/>
    <w:rsid w:val="62F37D50"/>
    <w:rsid w:val="62F835B8"/>
    <w:rsid w:val="6313315F"/>
    <w:rsid w:val="632F68AE"/>
    <w:rsid w:val="63531AF3"/>
    <w:rsid w:val="63AB4186"/>
    <w:rsid w:val="63BD210C"/>
    <w:rsid w:val="63CD6C1F"/>
    <w:rsid w:val="643A2D32"/>
    <w:rsid w:val="648A0240"/>
    <w:rsid w:val="64915A72"/>
    <w:rsid w:val="64A56430"/>
    <w:rsid w:val="65055217"/>
    <w:rsid w:val="65A17F37"/>
    <w:rsid w:val="65A34757"/>
    <w:rsid w:val="65BB2793"/>
    <w:rsid w:val="65C47781"/>
    <w:rsid w:val="65E240AB"/>
    <w:rsid w:val="65FF1B98"/>
    <w:rsid w:val="662B5A52"/>
    <w:rsid w:val="664F5C5B"/>
    <w:rsid w:val="667027CF"/>
    <w:rsid w:val="667411A7"/>
    <w:rsid w:val="6688694C"/>
    <w:rsid w:val="668A4527"/>
    <w:rsid w:val="66A31A8D"/>
    <w:rsid w:val="66E83943"/>
    <w:rsid w:val="66ED0F5A"/>
    <w:rsid w:val="67112E9A"/>
    <w:rsid w:val="671464E6"/>
    <w:rsid w:val="671B0217"/>
    <w:rsid w:val="67292AA1"/>
    <w:rsid w:val="67397CFB"/>
    <w:rsid w:val="674548F2"/>
    <w:rsid w:val="678A09AE"/>
    <w:rsid w:val="67A410D5"/>
    <w:rsid w:val="67BD3D46"/>
    <w:rsid w:val="67C9169A"/>
    <w:rsid w:val="680447AD"/>
    <w:rsid w:val="681F2B7E"/>
    <w:rsid w:val="68245589"/>
    <w:rsid w:val="685A72CC"/>
    <w:rsid w:val="685C0145"/>
    <w:rsid w:val="68751AA8"/>
    <w:rsid w:val="68777DD2"/>
    <w:rsid w:val="68BF2482"/>
    <w:rsid w:val="68CC22D3"/>
    <w:rsid w:val="68D423D1"/>
    <w:rsid w:val="69201173"/>
    <w:rsid w:val="69456428"/>
    <w:rsid w:val="69983CE0"/>
    <w:rsid w:val="69D8209D"/>
    <w:rsid w:val="6A1C1694"/>
    <w:rsid w:val="6A751DB0"/>
    <w:rsid w:val="6AB95533"/>
    <w:rsid w:val="6AD95A7D"/>
    <w:rsid w:val="6B037E0E"/>
    <w:rsid w:val="6B0F76F1"/>
    <w:rsid w:val="6B3E7DF1"/>
    <w:rsid w:val="6B460C38"/>
    <w:rsid w:val="6B5D5176"/>
    <w:rsid w:val="6B7E5E0A"/>
    <w:rsid w:val="6BBA5008"/>
    <w:rsid w:val="6BDE41BB"/>
    <w:rsid w:val="6BF3491C"/>
    <w:rsid w:val="6C1D7BEB"/>
    <w:rsid w:val="6C5462A8"/>
    <w:rsid w:val="6C580C23"/>
    <w:rsid w:val="6C917FD7"/>
    <w:rsid w:val="6CCD1611"/>
    <w:rsid w:val="6D3769B4"/>
    <w:rsid w:val="6D761CA9"/>
    <w:rsid w:val="6D865F2E"/>
    <w:rsid w:val="6D8B36BB"/>
    <w:rsid w:val="6D920165"/>
    <w:rsid w:val="6D9263B7"/>
    <w:rsid w:val="6DD662A4"/>
    <w:rsid w:val="6DE363ED"/>
    <w:rsid w:val="6DE9247B"/>
    <w:rsid w:val="6E1F5E9D"/>
    <w:rsid w:val="6E3A2CD6"/>
    <w:rsid w:val="6E70494A"/>
    <w:rsid w:val="6ECC76A7"/>
    <w:rsid w:val="6F084B83"/>
    <w:rsid w:val="6F392F8E"/>
    <w:rsid w:val="6F7A4ADB"/>
    <w:rsid w:val="6F83245B"/>
    <w:rsid w:val="6FB16FC8"/>
    <w:rsid w:val="70052E70"/>
    <w:rsid w:val="706A7177"/>
    <w:rsid w:val="70741DD0"/>
    <w:rsid w:val="70DA60AB"/>
    <w:rsid w:val="70F74EAF"/>
    <w:rsid w:val="70FE1717"/>
    <w:rsid w:val="70FE448F"/>
    <w:rsid w:val="711772FF"/>
    <w:rsid w:val="71AD1A11"/>
    <w:rsid w:val="71B608C6"/>
    <w:rsid w:val="71BB7860"/>
    <w:rsid w:val="71D15E9D"/>
    <w:rsid w:val="71FC3A2A"/>
    <w:rsid w:val="72035AD5"/>
    <w:rsid w:val="721675B7"/>
    <w:rsid w:val="72440385"/>
    <w:rsid w:val="725B7B36"/>
    <w:rsid w:val="727442DD"/>
    <w:rsid w:val="72A9667D"/>
    <w:rsid w:val="72F71196"/>
    <w:rsid w:val="72FD42D3"/>
    <w:rsid w:val="73412411"/>
    <w:rsid w:val="734463A5"/>
    <w:rsid w:val="734E2D80"/>
    <w:rsid w:val="736507F6"/>
    <w:rsid w:val="73761484"/>
    <w:rsid w:val="738B18DE"/>
    <w:rsid w:val="73EF1E6D"/>
    <w:rsid w:val="73FC3121"/>
    <w:rsid w:val="74275AAB"/>
    <w:rsid w:val="743F3C99"/>
    <w:rsid w:val="746F1200"/>
    <w:rsid w:val="74835482"/>
    <w:rsid w:val="74877DC7"/>
    <w:rsid w:val="748F53FE"/>
    <w:rsid w:val="74B310ED"/>
    <w:rsid w:val="74B44E65"/>
    <w:rsid w:val="75357D54"/>
    <w:rsid w:val="75510906"/>
    <w:rsid w:val="755802CB"/>
    <w:rsid w:val="75814B25"/>
    <w:rsid w:val="75890D8F"/>
    <w:rsid w:val="75976C60"/>
    <w:rsid w:val="759B4CA8"/>
    <w:rsid w:val="75B043EA"/>
    <w:rsid w:val="75B07D22"/>
    <w:rsid w:val="75CB3D87"/>
    <w:rsid w:val="76114DD2"/>
    <w:rsid w:val="761C7166"/>
    <w:rsid w:val="76375D4D"/>
    <w:rsid w:val="763C3364"/>
    <w:rsid w:val="763E70DC"/>
    <w:rsid w:val="766308F1"/>
    <w:rsid w:val="766F4755"/>
    <w:rsid w:val="76D90F68"/>
    <w:rsid w:val="77003D79"/>
    <w:rsid w:val="7706409E"/>
    <w:rsid w:val="7718792D"/>
    <w:rsid w:val="77194977"/>
    <w:rsid w:val="775070C7"/>
    <w:rsid w:val="776C706F"/>
    <w:rsid w:val="77A80CB1"/>
    <w:rsid w:val="77C1540B"/>
    <w:rsid w:val="78397B5B"/>
    <w:rsid w:val="783E7320"/>
    <w:rsid w:val="78646D02"/>
    <w:rsid w:val="78A70F68"/>
    <w:rsid w:val="78C55892"/>
    <w:rsid w:val="78CB19C0"/>
    <w:rsid w:val="78F35EFE"/>
    <w:rsid w:val="78FF5669"/>
    <w:rsid w:val="7918780F"/>
    <w:rsid w:val="79283C44"/>
    <w:rsid w:val="793275BA"/>
    <w:rsid w:val="79366D92"/>
    <w:rsid w:val="793B5B55"/>
    <w:rsid w:val="79652BD2"/>
    <w:rsid w:val="79A724F1"/>
    <w:rsid w:val="79B56B48"/>
    <w:rsid w:val="7A4A42A1"/>
    <w:rsid w:val="7A4B7878"/>
    <w:rsid w:val="7A6D100D"/>
    <w:rsid w:val="7A9C0875"/>
    <w:rsid w:val="7A9D6AC7"/>
    <w:rsid w:val="7ABF4C89"/>
    <w:rsid w:val="7AD973D3"/>
    <w:rsid w:val="7B4231CA"/>
    <w:rsid w:val="7B6A2721"/>
    <w:rsid w:val="7BB35E76"/>
    <w:rsid w:val="7BC736D0"/>
    <w:rsid w:val="7BCE4A5E"/>
    <w:rsid w:val="7BDF6C6B"/>
    <w:rsid w:val="7C1E1BC0"/>
    <w:rsid w:val="7C5F16F8"/>
    <w:rsid w:val="7C9D3E10"/>
    <w:rsid w:val="7CAF2E48"/>
    <w:rsid w:val="7CB122FF"/>
    <w:rsid w:val="7CE81B50"/>
    <w:rsid w:val="7CFC55FB"/>
    <w:rsid w:val="7D450D50"/>
    <w:rsid w:val="7D556349"/>
    <w:rsid w:val="7D796C4C"/>
    <w:rsid w:val="7D871368"/>
    <w:rsid w:val="7D8B2F11"/>
    <w:rsid w:val="7D8C697F"/>
    <w:rsid w:val="7DBA67DE"/>
    <w:rsid w:val="7DC73E5B"/>
    <w:rsid w:val="7DCA6A7D"/>
    <w:rsid w:val="7DD32800"/>
    <w:rsid w:val="7DEE3421"/>
    <w:rsid w:val="7DF53ACA"/>
    <w:rsid w:val="7E0B01EB"/>
    <w:rsid w:val="7E53398F"/>
    <w:rsid w:val="7E9755DB"/>
    <w:rsid w:val="7EA877E8"/>
    <w:rsid w:val="7EC42148"/>
    <w:rsid w:val="7F0E4C61"/>
    <w:rsid w:val="7F2F3A66"/>
    <w:rsid w:val="7F4339B5"/>
    <w:rsid w:val="7F4734A5"/>
    <w:rsid w:val="7F4C286A"/>
    <w:rsid w:val="7F5259A6"/>
    <w:rsid w:val="7F743B6E"/>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99"/>
    <w:pPr>
      <w:keepNext/>
      <w:keepLines/>
      <w:spacing w:before="260" w:after="260" w:line="416" w:lineRule="auto"/>
      <w:outlineLvl w:val="2"/>
    </w:pPr>
    <w:rPr>
      <w:rFonts w:ascii="Times New Roman" w:hAnsi="Times New Roman" w:eastAsia="宋体"/>
      <w:b/>
      <w:bCs/>
      <w:sz w:val="32"/>
      <w:szCs w:val="32"/>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next w:val="1"/>
    <w:autoRedefine/>
    <w:unhideWhenUsed/>
    <w:qFormat/>
    <w:uiPriority w:val="0"/>
    <w:pPr>
      <w:spacing w:after="120"/>
    </w:pPr>
    <w:rPr>
      <w:rFonts w:ascii="Calibri" w:hAnsi="Calibri"/>
      <w:kern w:val="2"/>
      <w:szCs w:val="22"/>
    </w:rPr>
  </w:style>
  <w:style w:type="paragraph" w:styleId="6">
    <w:name w:val="Body Text Indent"/>
    <w:basedOn w:val="1"/>
    <w:next w:val="7"/>
    <w:qFormat/>
    <w:uiPriority w:val="0"/>
    <w:pPr>
      <w:spacing w:before="240" w:line="360" w:lineRule="auto"/>
      <w:ind w:firstLine="552"/>
    </w:pPr>
    <w:rPr>
      <w:rFonts w:ascii="宋体" w:hAnsi="宋体"/>
      <w:szCs w:val="20"/>
    </w:rPr>
  </w:style>
  <w:style w:type="paragraph" w:styleId="7">
    <w:name w:val="envelope return"/>
    <w:basedOn w:val="1"/>
    <w:qFormat/>
    <w:uiPriority w:val="0"/>
    <w:rPr>
      <w:rFonts w:ascii="Arial" w:hAnsi="Arial"/>
    </w:rPr>
  </w:style>
  <w:style w:type="paragraph" w:styleId="8">
    <w:name w:val="Plain Text"/>
    <w:basedOn w:val="1"/>
    <w:autoRedefine/>
    <w:unhideWhenUsed/>
    <w:qFormat/>
    <w:uiPriority w:val="0"/>
    <w:rPr>
      <w:rFonts w:ascii="宋体" w:hAnsi="Courier New" w:cs="Courier New"/>
      <w:kern w:val="2"/>
      <w:szCs w:val="21"/>
    </w:rPr>
  </w:style>
  <w:style w:type="paragraph" w:styleId="9">
    <w:name w:val="footer"/>
    <w:basedOn w:val="1"/>
    <w:link w:val="18"/>
    <w:autoRedefine/>
    <w:qFormat/>
    <w:uiPriority w:val="0"/>
    <w:pPr>
      <w:tabs>
        <w:tab w:val="center" w:pos="4153"/>
        <w:tab w:val="right" w:pos="8306"/>
      </w:tabs>
      <w:snapToGrid w:val="0"/>
      <w:jc w:val="left"/>
    </w:pPr>
    <w:rPr>
      <w:sz w:val="18"/>
      <w:szCs w:val="18"/>
    </w:rPr>
  </w:style>
  <w:style w:type="paragraph" w:styleId="10">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table" w:styleId="13">
    <w:name w:val="Table Grid"/>
    <w:basedOn w:val="1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Emphasis"/>
    <w:qFormat/>
    <w:uiPriority w:val="0"/>
    <w:rPr>
      <w:i/>
    </w:rPr>
  </w:style>
  <w:style w:type="paragraph" w:customStyle="1" w:styleId="16">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7">
    <w:name w:val="页眉 Char"/>
    <w:basedOn w:val="14"/>
    <w:link w:val="10"/>
    <w:autoRedefine/>
    <w:qFormat/>
    <w:uiPriority w:val="0"/>
    <w:rPr>
      <w:rFonts w:asciiTheme="minorHAnsi" w:hAnsiTheme="minorHAnsi" w:eastAsiaTheme="minorEastAsia" w:cstheme="minorBidi"/>
      <w:kern w:val="2"/>
      <w:sz w:val="18"/>
      <w:szCs w:val="18"/>
    </w:rPr>
  </w:style>
  <w:style w:type="character" w:customStyle="1" w:styleId="18">
    <w:name w:val="页脚 Char"/>
    <w:basedOn w:val="14"/>
    <w:link w:val="9"/>
    <w:autoRedefine/>
    <w:qFormat/>
    <w:uiPriority w:val="0"/>
    <w:rPr>
      <w:rFonts w:asciiTheme="minorHAnsi" w:hAnsiTheme="minorHAnsi" w:eastAsiaTheme="minorEastAsia" w:cstheme="minorBidi"/>
      <w:kern w:val="2"/>
      <w:sz w:val="18"/>
      <w:szCs w:val="18"/>
    </w:rPr>
  </w:style>
  <w:style w:type="paragraph" w:customStyle="1" w:styleId="1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
    <w:name w:val="页脚1"/>
    <w:basedOn w:val="1"/>
    <w:autoRedefine/>
    <w:unhideWhenUsed/>
    <w:qFormat/>
    <w:uiPriority w:val="99"/>
    <w:pPr>
      <w:tabs>
        <w:tab w:val="center" w:pos="4153"/>
        <w:tab w:val="right" w:pos="8306"/>
      </w:tabs>
      <w:jc w:val="left"/>
    </w:pPr>
    <w:rPr>
      <w:sz w:val="18"/>
      <w:szCs w:val="18"/>
    </w:rPr>
  </w:style>
  <w:style w:type="paragraph" w:customStyle="1" w:styleId="21">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正文空2格  1."/>
    <w:basedOn w:val="1"/>
    <w:qFormat/>
    <w:uiPriority w:val="0"/>
    <w:pPr>
      <w:adjustRightInd w:val="0"/>
      <w:spacing w:line="360" w:lineRule="auto"/>
      <w:ind w:firstLine="480" w:firstLineChars="200"/>
      <w:textAlignment w:val="baseline"/>
    </w:pPr>
    <w:rPr>
      <w:rFonts w:ascii="宋体" w:eastAsia="仿宋" w:cs="宋体"/>
    </w:rPr>
  </w:style>
  <w:style w:type="paragraph" w:customStyle="1" w:styleId="25">
    <w:name w:val="标题 1_1_0"/>
    <w:basedOn w:val="26"/>
    <w:next w:val="26"/>
    <w:qFormat/>
    <w:uiPriority w:val="9"/>
    <w:pPr>
      <w:keepNext/>
      <w:keepLines/>
      <w:spacing w:before="340" w:after="330" w:line="578" w:lineRule="auto"/>
      <w:outlineLvl w:val="0"/>
    </w:pPr>
    <w:rPr>
      <w:rFonts w:ascii="Times New Roman" w:hAnsi="Times New Roman"/>
      <w:b/>
      <w:bCs/>
      <w:kern w:val="44"/>
      <w:sz w:val="44"/>
      <w:szCs w:val="44"/>
    </w:rPr>
  </w:style>
  <w:style w:type="paragraph" w:customStyle="1" w:styleId="26">
    <w:name w:val="正文_3"/>
    <w:qFormat/>
    <w:uiPriority w:val="0"/>
    <w:pPr>
      <w:widowControl w:val="0"/>
      <w:jc w:val="both"/>
    </w:pPr>
    <w:rPr>
      <w:rFonts w:ascii="Calibri" w:hAnsi="Calibri" w:eastAsia="宋体" w:cs="Times New Roman"/>
      <w:kern w:val="2"/>
      <w:sz w:val="21"/>
      <w:szCs w:val="22"/>
      <w:lang w:val="en-US" w:eastAsia="zh-CN" w:bidi="ar-SA"/>
    </w:rPr>
  </w:style>
  <w:style w:type="paragraph" w:styleId="2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87</Pages>
  <Words>16687</Words>
  <Characters>17866</Characters>
  <Lines>183</Lines>
  <Paragraphs>51</Paragraphs>
  <TotalTime>0</TotalTime>
  <ScaleCrop>false</ScaleCrop>
  <LinksUpToDate>false</LinksUpToDate>
  <CharactersWithSpaces>19337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琪</cp:lastModifiedBy>
  <cp:lastPrinted>2026-01-28T03:36:00Z</cp:lastPrinted>
  <dcterms:modified xsi:type="dcterms:W3CDTF">2026-02-06T04:41:06Z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B8A267E6031F48889CE6C352B0658E25_13</vt:lpwstr>
  </property>
  <property fmtid="{D5CDD505-2E9C-101B-9397-08002B2CF9AE}" pid="4" name="KSOTemplateDocerSaveRecord">
    <vt:lpwstr>eyJoZGlkIjoiMjgwYjMyMWI3YzdkMDhmMjNiYzJlMDI0NDNjMWI3NWEiLCJ1c2VySWQiOiI2Mzk4MjEwNTMifQ==</vt:lpwstr>
  </property>
</Properties>
</file>