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84"/>
          <w:szCs w:val="84"/>
        </w:rPr>
      </w:pPr>
      <w:r>
        <w:rPr>
          <w:b/>
          <w:bCs/>
          <w:sz w:val="84"/>
          <w:szCs w:val="84"/>
        </w:rPr>
        <w:fldChar w:fldCharType="begin"/>
      </w:r>
      <w:r>
        <w:rPr>
          <w:rFonts w:hint="eastAsia"/>
          <w:b/>
          <w:bCs/>
          <w:sz w:val="84"/>
          <w:szCs w:val="84"/>
        </w:rPr>
        <w:instrText xml:space="preserve">ADDIN CNKISM.UserStyle</w:instrText>
      </w:r>
      <w:r>
        <w:rPr>
          <w:b/>
          <w:bCs/>
          <w:sz w:val="84"/>
          <w:szCs w:val="84"/>
        </w:rPr>
        <w:fldChar w:fldCharType="separate"/>
      </w:r>
      <w:r>
        <w:rPr>
          <w:b/>
          <w:bCs/>
          <w:sz w:val="84"/>
          <w:szCs w:val="84"/>
        </w:rPr>
        <w:fldChar w:fldCharType="end"/>
      </w:r>
      <w:r/>
    </w:p>
    <w:p>
      <w:pPr>
        <w:jc w:val="center"/>
        <w:rPr>
          <w:b/>
          <w:bCs/>
          <w:sz w:val="84"/>
          <w:szCs w:val="84"/>
        </w:rPr>
      </w:pPr>
      <w:r>
        <w:rPr>
          <w:b/>
          <w:bCs/>
          <w:sz w:val="84"/>
          <w:szCs w:val="84"/>
        </w:rPr>
      </w:r>
      <w:r/>
    </w:p>
    <w:p>
      <w:pPr>
        <w:jc w:val="center"/>
        <w:rPr>
          <w:b/>
          <w:bCs/>
          <w:sz w:val="84"/>
          <w:szCs w:val="84"/>
        </w:rPr>
      </w:pPr>
      <w:r>
        <w:rPr>
          <w:rFonts w:hint="eastAsia"/>
          <w:b/>
          <w:bCs/>
          <w:sz w:val="84"/>
          <w:szCs w:val="84"/>
        </w:rPr>
        <w:t xml:space="preserve">招标文件 </w:t>
      </w:r>
      <w:r/>
    </w:p>
    <w:p>
      <w:pPr>
        <w:jc w:val="center"/>
        <w:rPr>
          <w:b/>
          <w:bCs/>
          <w:sz w:val="84"/>
          <w:szCs w:val="84"/>
        </w:rPr>
      </w:pPr>
      <w:r>
        <w:rPr>
          <w:b/>
          <w:bCs/>
          <w:sz w:val="84"/>
          <w:szCs w:val="84"/>
        </w:rPr>
      </w:r>
      <w:r/>
    </w:p>
    <w:p>
      <w:pPr>
        <w:jc w:val="center"/>
        <w:rPr>
          <w:b/>
          <w:bCs/>
          <w:sz w:val="96"/>
          <w:szCs w:val="96"/>
        </w:rPr>
      </w:pPr>
      <w:r>
        <w:rPr>
          <w:b/>
          <w:bCs/>
          <w:sz w:val="96"/>
          <w:szCs w:val="96"/>
        </w:rPr>
      </w:r>
      <w:r/>
    </w:p>
    <w:p>
      <w:pPr>
        <w:jc w:val="center"/>
        <w:spacing w:line="500" w:lineRule="exact"/>
        <w:rPr>
          <w:rFonts w:ascii="宋体"/>
          <w:b/>
          <w:sz w:val="24"/>
          <w:szCs w:val="24"/>
        </w:rPr>
      </w:pPr>
      <w:r>
        <w:rPr>
          <w:rFonts w:ascii="宋体"/>
          <w:b/>
          <w:sz w:val="24"/>
          <w:szCs w:val="24"/>
        </w:rPr>
      </w:r>
      <w:r/>
    </w:p>
    <w:p>
      <w:pPr>
        <w:jc w:val="center"/>
        <w:rPr>
          <w:b/>
          <w:bCs/>
          <w:sz w:val="40"/>
          <w:szCs w:val="40"/>
        </w:rPr>
      </w:pPr>
      <w:r>
        <w:rPr>
          <w:b/>
          <w:bCs/>
          <w:sz w:val="40"/>
          <w:szCs w:val="40"/>
        </w:rPr>
      </w:r>
      <w:r/>
    </w:p>
    <w:p>
      <w:pPr>
        <w:jc w:val="center"/>
        <w:rPr>
          <w:rFonts w:ascii="宋体" w:hAnsi="宋体" w:cs="宋体"/>
          <w:b/>
          <w:bCs/>
          <w:sz w:val="36"/>
          <w:szCs w:val="36"/>
        </w:rPr>
      </w:pPr>
      <w:r>
        <w:rPr>
          <w:rFonts w:hint="eastAsia" w:ascii="宋体" w:hAnsi="宋体" w:cs="宋体"/>
          <w:b/>
          <w:bCs/>
          <w:sz w:val="36"/>
          <w:szCs w:val="36"/>
        </w:rPr>
        <w:t xml:space="preserve">项目编号：JSZC-320900-RHHH-G2026-0052</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bookmarkStart w:id="0" w:name="_Toc22710"/>
      <w:r>
        <w:rPr>
          <w:rFonts w:hint="eastAsia" w:ascii="宋体" w:hAnsi="宋体" w:cs="宋体"/>
          <w:b/>
          <w:bCs/>
          <w:sz w:val="36"/>
          <w:szCs w:val="36"/>
        </w:rPr>
        <w:t xml:space="preserve">项目名称：</w:t>
      </w:r>
      <w:bookmarkEnd w:id="0"/>
      <w:r>
        <w:rPr>
          <w:rFonts w:hint="eastAsia" w:ascii="宋体" w:hAnsi="宋体" w:cs="宋体"/>
          <w:b/>
          <w:bCs/>
          <w:sz w:val="36"/>
          <w:szCs w:val="36"/>
        </w:rPr>
        <w:t xml:space="preserve">盐城市公立医院改革与高质量发展示范项目</w:t>
      </w:r>
      <w:r/>
    </w:p>
    <w:p>
      <w:pPr>
        <w:jc w:val="center"/>
        <w:rPr>
          <w:rFonts w:ascii="宋体" w:hAnsi="宋体" w:cs="宋体"/>
          <w:b/>
          <w:bCs/>
          <w:sz w:val="36"/>
          <w:szCs w:val="36"/>
        </w:rPr>
      </w:pPr>
      <w:r>
        <w:rPr>
          <w:rFonts w:hint="eastAsia" w:ascii="宋体" w:hAnsi="宋体" w:cs="宋体"/>
          <w:b/>
          <w:bCs/>
          <w:sz w:val="36"/>
          <w:szCs w:val="36"/>
        </w:rPr>
        <w:t xml:space="preserve">   信息化全流程咨询与管理服务</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spacing w:line="500" w:lineRule="exact"/>
        <w:rPr>
          <w:rFonts w:ascii="宋体" w:cs="黑体"/>
          <w:bCs/>
          <w:spacing w:val="15"/>
          <w:sz w:val="32"/>
          <w:szCs w:val="32"/>
        </w:rPr>
      </w:pPr>
      <w:r>
        <w:rPr>
          <w:rFonts w:ascii="宋体" w:cs="黑体"/>
          <w:bCs/>
          <w:spacing w:val="15"/>
          <w:sz w:val="32"/>
          <w:szCs w:val="32"/>
        </w:rPr>
      </w:r>
      <w:r/>
    </w:p>
    <w:p>
      <w:pPr>
        <w:jc w:val="center"/>
        <w:spacing w:line="500" w:lineRule="exact"/>
        <w:rPr>
          <w:rFonts w:ascii="宋体" w:hAnsi="宋体" w:cs="黑体"/>
          <w:bCs/>
          <w:spacing w:val="15"/>
          <w:sz w:val="32"/>
          <w:szCs w:val="32"/>
        </w:rPr>
      </w:pPr>
      <w:r>
        <w:rPr>
          <w:rFonts w:hint="eastAsia" w:ascii="宋体" w:hAnsi="宋体" w:cs="黑体"/>
          <w:bCs/>
          <w:spacing w:val="15"/>
          <w:sz w:val="32"/>
          <w:szCs w:val="32"/>
        </w:rPr>
        <w:t xml:space="preserve">采购人：盐城市卫生健康发展中心</w:t>
      </w:r>
      <w:r/>
    </w:p>
    <w:p>
      <w:pPr>
        <w:jc w:val="center"/>
        <w:spacing w:line="500" w:lineRule="exact"/>
        <w:rPr>
          <w:rFonts w:ascii="宋体" w:hAnsi="宋体" w:cs="黑体"/>
          <w:bCs/>
          <w:spacing w:val="15"/>
          <w:sz w:val="32"/>
          <w:szCs w:val="32"/>
        </w:rPr>
      </w:pPr>
      <w:r>
        <w:rPr>
          <w:rFonts w:hint="eastAsia" w:ascii="宋体" w:hAnsi="宋体" w:cs="黑体"/>
          <w:bCs/>
          <w:spacing w:val="15"/>
          <w:sz w:val="32"/>
          <w:szCs w:val="32"/>
        </w:rPr>
        <w:t xml:space="preserve">代理机构：江苏仁禾中衡工程咨询房地产估价有限公司</w:t>
      </w:r>
      <w:r/>
    </w:p>
    <w:p>
      <w:pPr>
        <w:jc w:val="center"/>
        <w:spacing w:line="500" w:lineRule="exact"/>
        <w:rPr>
          <w:rFonts w:ascii="宋体" w:hAnsi="宋体" w:cs="黑体"/>
          <w:bCs/>
          <w:spacing w:val="15"/>
          <w:sz w:val="32"/>
          <w:szCs w:val="32"/>
        </w:rPr>
      </w:pPr>
      <w:r>
        <w:rPr>
          <w:rFonts w:ascii="宋体" w:hAnsi="宋体" w:cs="黑体"/>
          <w:bCs/>
          <w:spacing w:val="15"/>
          <w:sz w:val="32"/>
          <w:szCs w:val="32"/>
        </w:rPr>
      </w:r>
      <w:r/>
    </w:p>
    <w:p>
      <w:pPr>
        <w:jc w:val="center"/>
        <w:spacing w:line="500" w:lineRule="exact"/>
        <w:rPr>
          <w:rFonts w:ascii="宋体" w:hAnsi="宋体"/>
          <w:sz w:val="32"/>
          <w:szCs w:val="32"/>
        </w:rPr>
      </w:pPr>
      <w:r>
        <w:rPr>
          <w:rFonts w:hint="eastAsia" w:ascii="宋体" w:hAnsi="宋体"/>
          <w:sz w:val="32"/>
          <w:szCs w:val="32"/>
        </w:rPr>
        <w:t xml:space="preserve">2026年9月</w:t>
      </w:r>
      <w:r/>
    </w:p>
    <w:p>
      <w:pPr>
        <w:jc w:val="center"/>
        <w:spacing w:line="500" w:lineRule="exact"/>
        <w:rPr>
          <w:rFonts w:ascii="宋体"/>
          <w:sz w:val="32"/>
          <w:szCs w:val="32"/>
        </w:rPr>
      </w:pPr>
      <w:r>
        <w:rPr>
          <w:rFonts w:ascii="宋体"/>
          <w:sz w:val="32"/>
          <w:szCs w:val="32"/>
        </w:rPr>
      </w:r>
      <w:r/>
    </w:p>
    <w:p>
      <w:pPr>
        <w:jc w:val="center"/>
        <w:spacing w:line="500" w:lineRule="exact"/>
        <w:rPr>
          <w:rFonts w:ascii="宋体" w:hAnsi="宋体"/>
          <w:b/>
          <w:sz w:val="52"/>
          <w:szCs w:val="52"/>
        </w:rPr>
        <w:sectPr>
          <w:headerReference w:type="even" r:id="rId9"/>
          <w:footerReference w:type="even" r:id="rId10"/>
          <w:footnotePr/>
          <w:endnotePr/>
          <w:type w:val="nextPage"/>
          <w:pgSz w:w="11906" w:h="16838" w:orient="portrait"/>
          <w:pgMar w:top="1418" w:right="1588" w:bottom="1418" w:left="1365" w:header="851" w:footer="907" w:gutter="0"/>
          <w:pgNumType w:start="0"/>
          <w:cols w:num="1" w:sep="0" w:space="425" w:equalWidth="1"/>
          <w:docGrid w:linePitch="360"/>
          <w:titlePg/>
        </w:sectPr>
      </w:pPr>
      <w:r>
        <w:rPr>
          <w:rFonts w:ascii="宋体" w:hAnsi="宋体"/>
          <w:b/>
          <w:sz w:val="52"/>
          <w:szCs w:val="52"/>
        </w:rPr>
      </w:r>
      <w:r/>
    </w:p>
    <w:p>
      <w:pPr>
        <w:jc w:val="center"/>
        <w:spacing w:line="500" w:lineRule="exact"/>
        <w:rPr>
          <w:rFonts w:ascii="宋体" w:hAnsi="宋体"/>
          <w:b/>
          <w:sz w:val="52"/>
          <w:szCs w:val="52"/>
        </w:rPr>
      </w:pPr>
      <w:r>
        <w:rPr>
          <w:rFonts w:ascii="宋体" w:hAnsi="宋体"/>
          <w:b/>
          <w:sz w:val="52"/>
          <w:szCs w:val="52"/>
        </w:rPr>
      </w:r>
      <w:r/>
    </w:p>
    <w:p>
      <w:pPr>
        <w:jc w:val="center"/>
        <w:spacing w:line="500" w:lineRule="exact"/>
        <w:rPr>
          <w:rFonts w:hint="eastAsia" w:ascii="宋体" w:hAnsi="宋体"/>
          <w:b/>
          <w:bCs/>
          <w:sz w:val="48"/>
          <w:szCs w:val="48"/>
          <w:highlight w:val="none"/>
        </w:rPr>
      </w:pPr>
      <w:r>
        <w:rPr>
          <w:rFonts w:hint="eastAsia" w:ascii="宋体" w:hAnsi="宋体"/>
          <w:b/>
          <w:sz w:val="48"/>
          <w:szCs w:val="48"/>
        </w:rPr>
        <w:t xml:space="preserve">目   录</w:t>
      </w:r>
      <w:r/>
    </w:p>
    <w:p>
      <w:pPr>
        <w:jc w:val="center"/>
        <w:spacing w:line="500" w:lineRule="exact"/>
        <w:rPr>
          <w:rFonts w:ascii="宋体" w:hAnsi="宋体"/>
          <w:b/>
          <w:bCs/>
          <w:sz w:val="48"/>
          <w:szCs w:val="48"/>
        </w:rPr>
      </w:pPr>
      <w:r>
        <w:rPr>
          <w:rFonts w:hint="eastAsia" w:ascii="宋体" w:hAnsi="宋体"/>
          <w:b/>
          <w:sz w:val="48"/>
          <w:szCs w:val="48"/>
          <w:highlight w:val="none"/>
        </w:rPr>
      </w:r>
      <w:r>
        <w:rPr>
          <w:rFonts w:hint="eastAsia" w:ascii="宋体" w:hAnsi="宋体"/>
          <w:b/>
          <w:sz w:val="48"/>
          <w:szCs w:val="48"/>
          <w:highlight w:val="none"/>
        </w:rPr>
      </w:r>
    </w:p>
    <w:p>
      <w:pPr>
        <w:jc w:val="center"/>
        <w:spacing w:line="500" w:lineRule="exact"/>
        <w:rPr>
          <w:rFonts w:ascii="宋体" w:hAnsi="宋体"/>
          <w:b/>
          <w:sz w:val="48"/>
          <w:szCs w:val="48"/>
        </w:rPr>
      </w:pPr>
      <w:r>
        <w:rPr>
          <w:rFonts w:ascii="宋体" w:hAnsi="宋体"/>
          <w:b/>
          <w:sz w:val="48"/>
          <w:szCs w:val="48"/>
        </w:rPr>
      </w:r>
      <w:r/>
    </w:p>
    <w:sdt>
      <w:sdtPr>
        <w15:appearance w15:val="boundingBox"/>
        <w15:color w:val="dbdbdb"/>
        <w:id w:val="147468665"/>
        <w:docPartObj>
          <w:docPartGallery w:val="Table of Contents"/>
          <w:docPartUnique w:val="true"/>
        </w:docPartObj>
        <w:rPr>
          <w:rFonts w:ascii="宋体" w:hAnsi="宋体"/>
        </w:rPr>
      </w:sdtPr>
      <w:sdtContent>
        <w:p>
          <w:pPr>
            <w:jc w:val="center"/>
          </w:pPr>
          <w:r/>
          <w:r/>
        </w:p>
        <w:p>
          <w:pPr>
            <w:pStyle w:val="789"/>
            <w:spacing w:line="480" w:lineRule="auto"/>
            <w:tabs>
              <w:tab w:val="right" w:pos="8953"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fldChar w:fldCharType="begin"/>
          </w:r>
          <w:r>
            <w:instrText xml:space="preserve"> HYPERLINK \l "_Toc11780" </w:instrText>
          </w:r>
          <w:r>
            <w:fldChar w:fldCharType="separate"/>
          </w:r>
          <w:r>
            <w:rPr>
              <w:rFonts w:hint="eastAsia" w:ascii="宋体" w:hAnsi="宋体" w:cs="宋体"/>
              <w:b/>
              <w:bCs/>
              <w:sz w:val="28"/>
              <w:szCs w:val="28"/>
            </w:rPr>
            <w:t xml:space="preserve">第一章 招标公告</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_Toc11780 \h </w:instrText>
          </w:r>
          <w:r>
            <w:rPr>
              <w:rFonts w:hint="eastAsia" w:ascii="宋体" w:hAnsi="宋体" w:cs="宋体"/>
              <w:b/>
              <w:bCs/>
              <w:sz w:val="28"/>
              <w:szCs w:val="28"/>
            </w:rPr>
            <w:fldChar w:fldCharType="separate"/>
          </w:r>
          <w:r>
            <w:rPr>
              <w:rFonts w:hint="eastAsia" w:ascii="宋体" w:hAnsi="宋体" w:cs="宋体"/>
              <w:b/>
              <w:bCs/>
              <w:sz w:val="28"/>
              <w:szCs w:val="28"/>
            </w:rPr>
            <w:t xml:space="preserve">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789"/>
            <w:spacing w:line="480" w:lineRule="auto"/>
            <w:tabs>
              <w:tab w:val="right" w:pos="8953" w:leader="dot"/>
            </w:tabs>
            <w:rPr>
              <w:rFonts w:ascii="宋体" w:hAnsi="宋体" w:cs="宋体"/>
              <w:b/>
              <w:bCs/>
              <w:sz w:val="28"/>
              <w:szCs w:val="28"/>
            </w:rPr>
          </w:pPr>
          <w:r>
            <w:fldChar w:fldCharType="begin"/>
          </w:r>
          <w:r>
            <w:instrText xml:space="preserve"> HYPERLINK \l "_Toc8707" </w:instrText>
          </w:r>
          <w:r>
            <w:fldChar w:fldCharType="separate"/>
          </w:r>
          <w:r>
            <w:rPr>
              <w:rFonts w:hint="eastAsia" w:ascii="宋体" w:hAnsi="宋体" w:cs="宋体"/>
              <w:b/>
              <w:bCs/>
              <w:sz w:val="28"/>
              <w:szCs w:val="28"/>
            </w:rPr>
            <w:t xml:space="preserve">第二章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_Toc8707 \h </w:instrText>
          </w:r>
          <w:r>
            <w:rPr>
              <w:rFonts w:hint="eastAsia" w:ascii="宋体" w:hAnsi="宋体" w:cs="宋体"/>
              <w:b/>
              <w:bCs/>
              <w:sz w:val="28"/>
              <w:szCs w:val="28"/>
            </w:rPr>
            <w:fldChar w:fldCharType="separate"/>
          </w:r>
          <w:r>
            <w:rPr>
              <w:rFonts w:hint="eastAsia" w:ascii="宋体" w:hAnsi="宋体" w:cs="宋体"/>
              <w:b/>
              <w:bCs/>
              <w:sz w:val="28"/>
              <w:szCs w:val="28"/>
            </w:rPr>
            <w:t xml:space="preserve">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789"/>
            <w:spacing w:line="480" w:lineRule="auto"/>
            <w:tabs>
              <w:tab w:val="right" w:pos="8953" w:leader="dot"/>
            </w:tabs>
            <w:rPr>
              <w:rFonts w:ascii="宋体" w:hAnsi="宋体" w:cs="宋体"/>
              <w:b/>
              <w:bCs/>
              <w:sz w:val="28"/>
              <w:szCs w:val="28"/>
            </w:rPr>
          </w:pPr>
          <w:r>
            <w:fldChar w:fldCharType="begin"/>
          </w:r>
          <w:r>
            <w:instrText xml:space="preserve"> HYPERLINK \l "_Toc21762" </w:instrText>
          </w:r>
          <w:r>
            <w:fldChar w:fldCharType="separate"/>
          </w:r>
          <w:r>
            <w:rPr>
              <w:rFonts w:hint="eastAsia" w:ascii="宋体" w:hAnsi="宋体" w:cs="宋体"/>
              <w:b/>
              <w:bCs/>
              <w:sz w:val="28"/>
              <w:szCs w:val="28"/>
            </w:rPr>
            <w:t xml:space="preserve">第三章 合同文本格式</w:t>
          </w:r>
          <w:r>
            <w:rPr>
              <w:rFonts w:hint="eastAsia" w:ascii="宋体" w:hAnsi="宋体" w:cs="宋体"/>
              <w:b/>
              <w:bCs/>
              <w:sz w:val="28"/>
              <w:szCs w:val="28"/>
            </w:rPr>
            <w:tab/>
          </w:r>
          <w:r>
            <w:rPr>
              <w:rFonts w:hint="eastAsia" w:ascii="宋体" w:hAnsi="宋体" w:cs="宋体"/>
              <w:b/>
              <w:bCs/>
              <w:sz w:val="28"/>
              <w:szCs w:val="28"/>
            </w:rPr>
            <w:t xml:space="preserve">2</w:t>
          </w:r>
          <w:r>
            <w:rPr>
              <w:rFonts w:hint="eastAsia" w:ascii="宋体" w:hAnsi="宋体" w:cs="宋体"/>
              <w:b/>
              <w:bCs/>
              <w:sz w:val="28"/>
              <w:szCs w:val="28"/>
            </w:rPr>
            <w:fldChar w:fldCharType="end"/>
          </w:r>
          <w:r>
            <w:rPr>
              <w:rFonts w:hint="eastAsia" w:ascii="宋体" w:hAnsi="宋体" w:cs="宋体"/>
              <w:b/>
              <w:bCs/>
              <w:sz w:val="28"/>
              <w:szCs w:val="28"/>
            </w:rPr>
            <w:t xml:space="preserve">2</w:t>
          </w:r>
          <w:r/>
        </w:p>
        <w:p>
          <w:pPr>
            <w:pStyle w:val="789"/>
            <w:spacing w:line="480" w:lineRule="auto"/>
            <w:tabs>
              <w:tab w:val="right" w:pos="8953" w:leader="dot"/>
            </w:tabs>
            <w:rPr>
              <w:rFonts w:ascii="宋体" w:hAnsi="宋体" w:cs="宋体"/>
              <w:b/>
              <w:bCs/>
              <w:sz w:val="28"/>
              <w:szCs w:val="28"/>
            </w:rPr>
          </w:pPr>
          <w:r>
            <w:fldChar w:fldCharType="begin"/>
          </w:r>
          <w:r>
            <w:instrText xml:space="preserve"> HYPERLINK \l "_Toc14467" </w:instrText>
          </w:r>
          <w:r>
            <w:fldChar w:fldCharType="separate"/>
          </w:r>
          <w:r>
            <w:rPr>
              <w:rFonts w:hint="eastAsia" w:ascii="宋体" w:hAnsi="宋体" w:cs="宋体"/>
              <w:b/>
              <w:bCs/>
              <w:sz w:val="28"/>
              <w:szCs w:val="28"/>
            </w:rPr>
            <w:t xml:space="preserve">第四章 采购需求</w:t>
          </w:r>
          <w:r>
            <w:rPr>
              <w:rFonts w:hint="eastAsia" w:ascii="宋体" w:hAnsi="宋体" w:cs="宋体"/>
              <w:b/>
              <w:bCs/>
              <w:sz w:val="28"/>
              <w:szCs w:val="28"/>
            </w:rPr>
            <w:tab/>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rPr>
            <w:t xml:space="preserve">6</w:t>
          </w:r>
          <w:r/>
        </w:p>
        <w:p>
          <w:pPr>
            <w:pStyle w:val="789"/>
            <w:spacing w:line="480" w:lineRule="auto"/>
            <w:tabs>
              <w:tab w:val="right" w:pos="8953" w:leader="dot"/>
            </w:tabs>
            <w:rPr>
              <w:rFonts w:ascii="宋体" w:hAnsi="宋体" w:cs="宋体"/>
              <w:b/>
              <w:bCs/>
              <w:sz w:val="28"/>
              <w:szCs w:val="28"/>
            </w:rPr>
          </w:pPr>
          <w:r>
            <w:fldChar w:fldCharType="begin"/>
          </w:r>
          <w:r>
            <w:instrText xml:space="preserve"> HYPERLINK \l "_Toc24651" </w:instrText>
          </w:r>
          <w:r>
            <w:fldChar w:fldCharType="separate"/>
          </w:r>
          <w:r>
            <w:rPr>
              <w:rFonts w:hint="eastAsia" w:ascii="宋体" w:hAnsi="宋体" w:cs="宋体"/>
              <w:b/>
              <w:bCs/>
              <w:sz w:val="28"/>
              <w:szCs w:val="28"/>
            </w:rPr>
            <w:t xml:space="preserve">第五章 评标方法与评标标准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_Toc24651 \h </w:instrText>
          </w:r>
          <w:r>
            <w:rPr>
              <w:rFonts w:hint="eastAsia" w:ascii="宋体" w:hAnsi="宋体" w:cs="宋体"/>
              <w:b/>
              <w:bCs/>
              <w:sz w:val="28"/>
              <w:szCs w:val="28"/>
            </w:rPr>
            <w:fldChar w:fldCharType="separate"/>
          </w:r>
          <w:r>
            <w:rPr>
              <w:rFonts w:hint="eastAsia" w:ascii="宋体" w:hAnsi="宋体" w:cs="宋体"/>
              <w:b/>
              <w:bCs/>
              <w:sz w:val="28"/>
              <w:szCs w:val="28"/>
            </w:rPr>
            <w:t xml:space="preserve">45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789"/>
            <w:spacing w:line="480" w:lineRule="auto"/>
            <w:tabs>
              <w:tab w:val="right" w:pos="8953" w:leader="dot"/>
            </w:tabs>
            <w:rPr>
              <w:rFonts w:ascii="宋体" w:hAnsi="宋体" w:cs="宋体"/>
              <w:b/>
              <w:bCs/>
              <w:sz w:val="28"/>
              <w:szCs w:val="28"/>
            </w:rPr>
          </w:pPr>
          <w:r>
            <w:fldChar w:fldCharType="begin"/>
          </w:r>
          <w:r>
            <w:instrText xml:space="preserve"> HYPERLINK \l "_Toc1756" </w:instrText>
          </w:r>
          <w:r>
            <w:fldChar w:fldCharType="separate"/>
          </w:r>
          <w:r>
            <w:rPr>
              <w:rFonts w:hint="eastAsia" w:ascii="宋体" w:hAnsi="宋体" w:cs="宋体"/>
              <w:b/>
              <w:bCs/>
              <w:sz w:val="28"/>
              <w:szCs w:val="28"/>
            </w:rPr>
            <w:t xml:space="preserve">第六章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_Toc1756 \h </w:instrText>
          </w:r>
          <w:r>
            <w:rPr>
              <w:rFonts w:hint="eastAsia" w:ascii="宋体" w:hAnsi="宋体" w:cs="宋体"/>
              <w:b/>
              <w:bCs/>
              <w:sz w:val="28"/>
              <w:szCs w:val="28"/>
            </w:rPr>
            <w:fldChar w:fldCharType="separate"/>
          </w:r>
          <w:r>
            <w:rPr>
              <w:rFonts w:hint="eastAsia" w:ascii="宋体" w:hAnsi="宋体" w:cs="宋体"/>
              <w:b/>
              <w:bCs/>
              <w:sz w:val="28"/>
              <w:szCs w:val="28"/>
            </w:rPr>
            <w:t xml:space="preserve">81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789"/>
            <w:spacing w:line="480" w:lineRule="auto"/>
            <w:tabs>
              <w:tab w:val="right" w:pos="8953" w:leader="dot"/>
            </w:tabs>
            <w:rPr>
              <w:rFonts w:ascii="宋体" w:hAnsi="宋体" w:cs="宋体"/>
              <w:b/>
              <w:bCs/>
              <w:sz w:val="48"/>
              <w:szCs w:val="48"/>
            </w:rPr>
          </w:pPr>
          <w:r>
            <w:rPr>
              <w:rFonts w:ascii="宋体" w:hAnsi="宋体" w:cs="宋体"/>
              <w:b/>
              <w:bCs/>
              <w:sz w:val="48"/>
              <w:szCs w:val="48"/>
            </w:rPr>
          </w:r>
          <w:r/>
        </w:p>
        <w:p>
          <w:pPr>
            <w:jc w:val="left"/>
            <w:spacing w:line="480" w:lineRule="auto"/>
            <w:tabs>
              <w:tab w:val="left" w:pos="8121" w:leader="none"/>
            </w:tabs>
          </w:pPr>
          <w:r>
            <w:rPr>
              <w:rFonts w:hint="eastAsia" w:ascii="宋体" w:hAnsi="宋体" w:cs="宋体"/>
              <w:b/>
              <w:bCs/>
              <w:sz w:val="28"/>
              <w:szCs w:val="28"/>
            </w:rPr>
            <w:fldChar w:fldCharType="end"/>
          </w:r>
          <w:r/>
        </w:p>
      </w:sdtContent>
    </w:sdt>
    <w:p>
      <w:pPr>
        <w:jc w:val="left"/>
        <w:tabs>
          <w:tab w:val="left" w:pos="8121" w:leader="none"/>
        </w:tabs>
      </w:pPr>
      <w:r/>
      <w:r/>
    </w:p>
    <w:p>
      <w:r/>
      <w:r/>
    </w:p>
    <w:p>
      <w:r/>
      <w:r/>
    </w:p>
    <w:p>
      <w:r/>
      <w:r/>
    </w:p>
    <w:p>
      <w:r/>
      <w:r/>
    </w:p>
    <w:p>
      <w:pPr>
        <w:jc w:val="left"/>
        <w:tabs>
          <w:tab w:val="center" w:pos="4476" w:leader="none"/>
        </w:tabs>
        <w:sectPr>
          <w:footerReference w:type="default" r:id="rId11"/>
          <w:footerReference w:type="first" r:id="rId12"/>
          <w:footnotePr/>
          <w:endnotePr/>
          <w:type w:val="nextPage"/>
          <w:pgSz w:w="11906" w:h="16838" w:orient="portrait"/>
          <w:pgMar w:top="1417" w:right="1417" w:bottom="1417" w:left="1417" w:header="851" w:footer="907" w:gutter="0"/>
          <w:pgNumType w:start="5"/>
          <w:cols w:num="1" w:sep="0" w:space="0" w:equalWidth="1"/>
          <w:docGrid w:linePitch="360"/>
          <w:titlePg/>
        </w:sectPr>
      </w:pPr>
      <w:r>
        <w:rPr>
          <w:rFonts w:hint="eastAsia"/>
        </w:rPr>
        <w:tab/>
      </w:r>
      <w:r/>
    </w:p>
    <w:p>
      <w:r/>
      <w:r/>
    </w:p>
    <w:p>
      <w:pPr>
        <w:pStyle w:val="745"/>
      </w:pPr>
      <w:r/>
      <w:bookmarkStart w:id="1" w:name="_Toc1286"/>
      <w:r/>
      <w:bookmarkStart w:id="2" w:name="_Toc11780"/>
      <w:r>
        <w:rPr>
          <w:rFonts w:hint="eastAsia"/>
        </w:rPr>
        <w:t xml:space="preserve">第一章 招标公告</w:t>
      </w:r>
      <w:bookmarkEnd w:id="1"/>
      <w:r/>
      <w:bookmarkEnd w:id="2"/>
      <w:r/>
      <w:r/>
    </w:p>
    <w:p>
      <w:pPr>
        <w:ind w:left="239" w:firstLine="170"/>
        <w:jc w:val="left"/>
        <w:spacing w:line="360" w:lineRule="auto"/>
        <w:rPr>
          <w:rFonts w:asciiTheme="majorEastAsia" w:hAnsiTheme="majorEastAsia" w:eastAsiaTheme="majorEastAsia" w:cstheme="majorEastAsia"/>
          <w:sz w:val="24"/>
          <w:szCs w:val="24"/>
          <w:u w:val="single"/>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28359002"/>
      <w:r/>
      <w:bookmarkStart w:id="6" w:name="_Toc35393790"/>
      <w:r/>
      <w:bookmarkStart w:id="7" w:name="_Hlk24379207"/>
      <w:r/>
      <w:r/>
    </w:p>
    <w:p>
      <w:pPr>
        <w:ind w:left="239" w:firstLine="170"/>
        <w:jc w:val="left"/>
        <w:spacing w:line="360" w:lineRule="auto"/>
        <w:rPr>
          <w:rFonts w:asciiTheme="majorEastAsia" w:hAnsiTheme="majorEastAsia" w:eastAsiaTheme="majorEastAsia" w:cstheme="majorEastAsia"/>
          <w:sz w:val="24"/>
          <w:szCs w:val="24"/>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sz w:val="24"/>
          <w:szCs w:val="24"/>
        </w:rPr>
        <w:t xml:space="preserve">项目概况</w:t>
      </w:r>
      <w:r/>
    </w:p>
    <w:p>
      <w:pPr>
        <w:ind w:left="239" w:firstLine="170"/>
        <w:jc w:val="left"/>
        <w:spacing w:line="360" w:lineRule="auto"/>
        <w:rPr>
          <w:rFonts w:asciiTheme="majorEastAsia" w:hAnsiTheme="majorEastAsia" w:eastAsiaTheme="majorEastAsia" w:cstheme="majorEastAsia"/>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盐城市公立医院改革与高质量发展示范项目信息化全流程咨询与管理服务JSZC-320900-RHHH-G2026-0052招标项目的潜在投标人应在“苏采云”系统内免费下载（投标人必须在苏采云系统中获取采购文件，方能参与政府采购项目），并于2026年9月29日15点00分（北京时间）前递交投标文件。</w:t>
      </w:r>
      <w:r/>
    </w:p>
    <w:p>
      <w:pPr>
        <w:ind w:firstLine="482"/>
        <w:spacing w:line="500" w:lineRule="exac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 xml:space="preserve">一、项目基本情况</w:t>
      </w:r>
      <w:bookmarkEnd w:id="3"/>
      <w:r/>
      <w:bookmarkEnd w:id="4"/>
      <w:r/>
      <w:bookmarkEnd w:id="5"/>
      <w:r/>
      <w:bookmarkEnd w:id="6"/>
      <w:r/>
      <w:r/>
    </w:p>
    <w:p>
      <w:pPr>
        <w:ind w:firstLine="480"/>
        <w:spacing w:line="520" w:lineRule="exact"/>
        <w:rPr>
          <w:rFonts w:ascii="宋体" w:hAnsi="宋体" w:cs="宋体"/>
          <w:sz w:val="24"/>
          <w:szCs w:val="24"/>
        </w:rPr>
      </w:pPr>
      <w:r>
        <w:rPr>
          <w:rFonts w:hint="eastAsia" w:ascii="宋体" w:hAnsi="宋体" w:cs="宋体"/>
          <w:sz w:val="24"/>
          <w:szCs w:val="24"/>
        </w:rPr>
        <w:t xml:space="preserve">1.项目编号：JSZC-320900-RHHH-G2026-0052</w:t>
      </w:r>
      <w:r/>
    </w:p>
    <w:p>
      <w:pPr>
        <w:ind w:firstLine="480"/>
        <w:spacing w:line="520" w:lineRule="exact"/>
        <w:rPr>
          <w:rFonts w:ascii="宋体" w:hAnsi="宋体" w:cs="宋体"/>
          <w:sz w:val="24"/>
          <w:szCs w:val="24"/>
        </w:rPr>
      </w:pPr>
      <w:r>
        <w:rPr>
          <w:rFonts w:hint="eastAsia" w:ascii="宋体" w:hAnsi="宋体" w:cs="宋体"/>
          <w:sz w:val="24"/>
          <w:szCs w:val="24"/>
        </w:rPr>
        <w:t xml:space="preserve">2.项目名称：</w:t>
      </w:r>
      <w:bookmarkEnd w:id="7"/>
      <w:r>
        <w:rPr>
          <w:rFonts w:hint="eastAsia" w:ascii="宋体" w:hAnsi="宋体" w:cs="宋体"/>
          <w:sz w:val="24"/>
          <w:szCs w:val="24"/>
        </w:rPr>
        <w:t xml:space="preserve">盐城市公立医院改革与高质量发展示范项目信息化全流程咨询与管理服务</w:t>
      </w:r>
      <w:r/>
    </w:p>
    <w:p>
      <w:pPr>
        <w:pStyle w:val="801"/>
        <w:ind w:firstLine="480"/>
        <w:jc w:val="both"/>
        <w:spacing w:before="0" w:beforeAutospacing="0" w:after="0" w:afterAutospacing="0" w:line="520" w:lineRule="exact"/>
      </w:pPr>
      <w:r>
        <w:rPr>
          <w:rFonts w:hint="eastAsia"/>
          <w:shd w:val="clear" w:color="auto" w:fill="ffffff"/>
        </w:rPr>
        <w:t xml:space="preserve">3.采购方式：公开招标</w:t>
      </w:r>
      <w:r/>
    </w:p>
    <w:p>
      <w:pPr>
        <w:ind w:firstLine="480"/>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4.预算金额：</w:t>
      </w:r>
      <w:r>
        <w:rPr>
          <w:rFonts w:ascii="宋体" w:hAnsi="宋体" w:cs="宋体"/>
          <w:sz w:val="24"/>
          <w:szCs w:val="24"/>
        </w:rPr>
        <w:t xml:space="preserve">440</w:t>
      </w:r>
      <w:r>
        <w:rPr>
          <w:rFonts w:hint="eastAsia" w:ascii="宋体" w:hAnsi="宋体" w:cs="宋体"/>
          <w:sz w:val="24"/>
          <w:szCs w:val="24"/>
        </w:rPr>
        <w:t xml:space="preserve">万元</w:t>
      </w:r>
      <w:r>
        <w:rPr>
          <w:rFonts w:hint="eastAsia" w:ascii="宋体" w:hAnsi="宋体" w:cs="宋体"/>
          <w:sz w:val="24"/>
        </w:rPr>
        <w:t xml:space="preserve">。一标包</w:t>
      </w:r>
      <w:r>
        <w:rPr>
          <w:rFonts w:ascii="宋体" w:hAnsi="宋体" w:cs="宋体"/>
          <w:sz w:val="24"/>
        </w:rPr>
        <w:t xml:space="preserve">170</w:t>
      </w:r>
      <w:r>
        <w:rPr>
          <w:rFonts w:hint="eastAsia" w:ascii="宋体" w:hAnsi="宋体" w:cs="宋体"/>
          <w:sz w:val="24"/>
        </w:rPr>
        <w:t xml:space="preserve">万元，二标包</w:t>
      </w:r>
      <w:r>
        <w:rPr>
          <w:rFonts w:ascii="宋体" w:hAnsi="宋体" w:cs="宋体"/>
          <w:sz w:val="24"/>
        </w:rPr>
        <w:t xml:space="preserve">270</w:t>
      </w:r>
      <w:r>
        <w:rPr>
          <w:rFonts w:hint="eastAsia" w:ascii="宋体" w:hAnsi="宋体" w:cs="宋体"/>
          <w:sz w:val="24"/>
        </w:rPr>
        <w:t xml:space="preserve">万元。</w:t>
      </w:r>
      <w:r/>
    </w:p>
    <w:p>
      <w:pPr>
        <w:ind w:firstLine="480"/>
        <w:spacing w:line="520" w:lineRule="exact"/>
        <w:rPr>
          <w:rFonts w:ascii="宋体" w:hAnsi="宋体" w:cs="宋体"/>
          <w:sz w:val="24"/>
          <w:szCs w:val="24"/>
        </w:rPr>
      </w:pPr>
      <w:r>
        <w:rPr>
          <w:rFonts w:hint="eastAsia" w:ascii="宋体" w:hAnsi="宋体" w:cs="宋体"/>
          <w:sz w:val="24"/>
          <w:szCs w:val="24"/>
        </w:rPr>
        <w:t xml:space="preserve">5.最高限价：一标包、二标包的优惠率均不得高于采购需求结算方式的100%。</w:t>
      </w:r>
      <w:r/>
    </w:p>
    <w:p>
      <w:pPr>
        <w:ind w:firstLine="480"/>
        <w:spacing w:line="520" w:lineRule="exact"/>
        <w:rPr>
          <w:rFonts w:ascii="宋体" w:hAnsi="宋体" w:cs="宋体"/>
          <w:b/>
          <w:bCs/>
          <w:sz w:val="24"/>
          <w:szCs w:val="24"/>
        </w:rPr>
      </w:pPr>
      <w:r>
        <w:rPr>
          <w:rFonts w:hint="eastAsia" w:ascii="宋体" w:hAnsi="宋体" w:cs="宋体"/>
          <w:sz w:val="24"/>
          <w:szCs w:val="24"/>
        </w:rPr>
        <w:t xml:space="preserve">6.采购需求：本项目共分为两个标包，一标包项目招标前全流程信息化咨询与管理服务，服务内容主要包含：咨询设计、设计概算（前期论证造价）、组织项目评审服务等；二标包项目招标后全流程信息化咨询与管理服务，服务内容主要包含：全流程跟踪审计（含结算审计）服务、软件测评、工程监理、组织项目评审等。详细内容见本招标文件第四章采购需求。</w:t>
      </w:r>
      <w:r>
        <w:rPr>
          <w:rFonts w:hint="eastAsia" w:ascii="宋体" w:hAnsi="宋体" w:cs="宋体"/>
          <w:b/>
          <w:bCs/>
          <w:sz w:val="24"/>
          <w:szCs w:val="24"/>
        </w:rPr>
        <w:t xml:space="preserve">本项目允许投标人同时参与2个采购包的投标，但仅可在1个标包中中标。评审顺序：一标包→二标包。如一标包评审被选取为第1名中标候选人的，则</w:t>
      </w:r>
      <w:r>
        <w:rPr>
          <w:rFonts w:hint="eastAsia" w:ascii="宋体" w:hAnsi="宋体" w:cs="宋体"/>
          <w:b/>
          <w:bCs/>
          <w:sz w:val="24"/>
          <w:szCs w:val="24"/>
          <w:lang w:val="en-US" w:eastAsia="zh-CN"/>
        </w:rPr>
        <w:t xml:space="preserve">不再</w:t>
      </w:r>
      <w:r>
        <w:rPr>
          <w:rFonts w:hint="eastAsia" w:ascii="宋体" w:hAnsi="宋体" w:cs="宋体"/>
          <w:b/>
          <w:bCs/>
          <w:sz w:val="24"/>
          <w:szCs w:val="24"/>
        </w:rPr>
        <w:t xml:space="preserve">参加二标包评审。</w:t>
      </w:r>
      <w:r/>
    </w:p>
    <w:p>
      <w:pPr>
        <w:ind w:firstLine="480"/>
        <w:spacing w:line="520" w:lineRule="exact"/>
        <w:tabs>
          <w:tab w:val="right" w:pos="8473" w:leader="none"/>
        </w:tabs>
        <w:rPr>
          <w:rFonts w:ascii="宋体" w:hAnsi="宋体" w:cs="宋体"/>
          <w:sz w:val="24"/>
          <w:szCs w:val="24"/>
        </w:rPr>
      </w:pPr>
      <w:r>
        <w:rPr>
          <w:rFonts w:hint="eastAsia" w:ascii="宋体" w:hAnsi="宋体" w:cs="宋体"/>
          <w:sz w:val="24"/>
          <w:szCs w:val="24"/>
        </w:rPr>
        <w:t xml:space="preserve">7.合同履行期限：三年。</w:t>
      </w:r>
      <w:r/>
    </w:p>
    <w:p>
      <w:pPr>
        <w:ind w:firstLine="480"/>
        <w:spacing w:line="520" w:lineRule="exact"/>
        <w:rPr>
          <w:rFonts w:ascii="宋体" w:hAnsi="宋体" w:cs="宋体"/>
          <w:sz w:val="24"/>
          <w:szCs w:val="24"/>
        </w:rPr>
      </w:pPr>
      <w:r>
        <w:rPr>
          <w:rFonts w:hint="eastAsia" w:ascii="宋体" w:hAnsi="宋体" w:cs="宋体"/>
          <w:sz w:val="24"/>
          <w:szCs w:val="24"/>
        </w:rPr>
        <w:t xml:space="preserve">8.本项目不接受联合体参与招标。</w:t>
      </w:r>
      <w:r/>
    </w:p>
    <w:p>
      <w:pPr>
        <w:ind w:firstLine="482"/>
        <w:spacing w:line="500" w:lineRule="exact"/>
        <w:rPr>
          <w:rFonts w:asciiTheme="majorEastAsia" w:hAnsiTheme="majorEastAsia" w:eastAsiaTheme="majorEastAsia" w:cstheme="majorEastAsia"/>
          <w:b/>
          <w:bCs/>
          <w:sz w:val="24"/>
          <w:szCs w:val="24"/>
        </w:rPr>
      </w:pPr>
      <w:r/>
      <w:bookmarkStart w:id="8" w:name="_Toc28359003"/>
      <w:r/>
      <w:bookmarkStart w:id="9" w:name="_Toc28359080"/>
      <w:r/>
      <w:bookmarkStart w:id="10" w:name="_Toc35393622"/>
      <w:r/>
      <w:bookmarkStart w:id="11" w:name="_Toc35393791"/>
      <w:r>
        <w:rPr>
          <w:rFonts w:hint="eastAsia" w:asciiTheme="majorEastAsia" w:hAnsiTheme="majorEastAsia" w:eastAsiaTheme="majorEastAsia" w:cstheme="majorEastAsia"/>
          <w:b/>
          <w:bCs/>
          <w:sz w:val="24"/>
          <w:szCs w:val="24"/>
        </w:rPr>
        <w:t xml:space="preserve">二、申请人的资格要求：</w:t>
      </w:r>
      <w:bookmarkEnd w:id="8"/>
      <w:r/>
      <w:bookmarkEnd w:id="9"/>
      <w:r/>
      <w:bookmarkEnd w:id="10"/>
      <w:r/>
      <w:bookmarkEnd w:id="11"/>
      <w:r/>
      <w:r/>
    </w:p>
    <w:p>
      <w:pPr>
        <w:ind w:firstLine="480"/>
        <w:spacing w:line="500" w:lineRule="exact"/>
        <w:rPr>
          <w:rFonts w:ascii="宋体" w:hAnsi="宋体" w:cs="宋体"/>
          <w:sz w:val="24"/>
          <w:szCs w:val="24"/>
        </w:rPr>
      </w:pPr>
      <w:r/>
      <w:bookmarkStart w:id="12" w:name="_Toc28359081"/>
      <w:r/>
      <w:bookmarkStart w:id="13" w:name="_Toc35393623"/>
      <w:r/>
      <w:bookmarkStart w:id="14" w:name="_Toc35393792"/>
      <w:r/>
      <w:bookmarkStart w:id="15" w:name="_Toc28359004"/>
      <w:r>
        <w:rPr>
          <w:rFonts w:hint="eastAsia" w:ascii="宋体" w:hAnsi="宋体" w:cs="宋体"/>
          <w:sz w:val="24"/>
          <w:szCs w:val="24"/>
        </w:rPr>
        <w:t xml:space="preserve">（一）通用资格要求</w:t>
      </w:r>
      <w:r/>
    </w:p>
    <w:p>
      <w:pPr>
        <w:ind w:firstLine="480"/>
        <w:spacing w:line="500" w:lineRule="exact"/>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500" w:lineRule="exact"/>
        <w:rPr>
          <w:rFonts w:ascii="宋体" w:hAnsi="宋体" w:cs="宋体"/>
          <w:sz w:val="24"/>
          <w:szCs w:val="24"/>
        </w:rPr>
      </w:pPr>
      <w:r>
        <w:rPr>
          <w:rFonts w:hint="eastAsia" w:ascii="宋体" w:hAnsi="宋体" w:cs="宋体"/>
          <w:sz w:val="24"/>
          <w:szCs w:val="24"/>
        </w:rPr>
        <w:t xml:space="preserve">1.2 上一年度的财务状况报表（至少提供资产负债表、利润表、现金流量表，成立不满一年无需提供）；</w:t>
      </w:r>
      <w:r/>
    </w:p>
    <w:p>
      <w:pPr>
        <w:ind w:firstLine="480"/>
        <w:spacing w:line="500" w:lineRule="exact"/>
        <w:rPr>
          <w:rFonts w:ascii="宋体" w:hAnsi="宋体" w:cs="宋体"/>
          <w:sz w:val="24"/>
          <w:szCs w:val="24"/>
        </w:rPr>
      </w:pPr>
      <w:r>
        <w:rPr>
          <w:rFonts w:hint="eastAsia" w:ascii="宋体" w:hAnsi="宋体" w:cs="宋体"/>
          <w:sz w:val="24"/>
          <w:szCs w:val="24"/>
        </w:rPr>
        <w:t xml:space="preserve">1.3 具备履行合同所必需的设备和专业技术能力的书面声明；</w:t>
      </w:r>
      <w:r/>
    </w:p>
    <w:p>
      <w:pPr>
        <w:ind w:firstLine="480"/>
        <w:spacing w:line="500" w:lineRule="exact"/>
        <w:rPr>
          <w:rFonts w:ascii="宋体" w:hAnsi="宋体" w:cs="宋体"/>
          <w:sz w:val="24"/>
          <w:szCs w:val="24"/>
        </w:rPr>
      </w:pPr>
      <w:r>
        <w:rPr>
          <w:rFonts w:hint="eastAsia" w:ascii="宋体" w:hAnsi="宋体" w:cs="宋体"/>
          <w:sz w:val="24"/>
          <w:szCs w:val="24"/>
        </w:rPr>
        <w:t xml:space="preserve">1.4 依法缴纳税收和社会保障资金的相关材料（提供投标文件递交截止时间前一年内至少一个月依法缴纳税收及缴纳社会保障资金的证明材料。供应商依法享受缓缴、免缴税收、社会保障资金的提供证明材料）；</w:t>
      </w:r>
      <w:r/>
    </w:p>
    <w:p>
      <w:pPr>
        <w:ind w:firstLine="480"/>
        <w:spacing w:line="500" w:lineRule="exact"/>
        <w:rPr>
          <w:rFonts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ind w:firstLine="480"/>
        <w:spacing w:line="500" w:lineRule="exact"/>
        <w:rPr>
          <w:rFonts w:ascii="宋体" w:hAnsi="宋体" w:cs="宋体"/>
          <w:sz w:val="24"/>
          <w:szCs w:val="24"/>
        </w:rPr>
      </w:pPr>
      <w:r>
        <w:rPr>
          <w:rFonts w:hint="eastAsia" w:ascii="宋体" w:hAnsi="宋体" w:cs="宋体"/>
          <w:sz w:val="24"/>
          <w:szCs w:val="24"/>
        </w:rPr>
        <w:t xml:space="preserve">1.6 法律、行政法规规定的其他条件。</w:t>
      </w:r>
      <w:r/>
    </w:p>
    <w:p>
      <w:pPr>
        <w:ind w:firstLine="480"/>
        <w:spacing w:line="500" w:lineRule="exact"/>
        <w:rPr>
          <w:rFonts w:ascii="宋体" w:hAnsi="宋体" w:cs="宋体"/>
          <w:sz w:val="24"/>
          <w:szCs w:val="24"/>
        </w:rPr>
      </w:pPr>
      <w:r>
        <w:rPr>
          <w:rFonts w:hint="eastAsia" w:ascii="宋体" w:hAnsi="宋体" w:cs="宋体"/>
          <w:sz w:val="24"/>
          <w:szCs w:val="24"/>
        </w:rPr>
        <w:t xml:space="preserve">1.7 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rFonts w:ascii="宋体" w:hAnsi="宋体" w:cs="宋体"/>
          <w:sz w:val="24"/>
          <w:szCs w:val="24"/>
        </w:rPr>
      </w:pPr>
      <w:r>
        <w:rPr>
          <w:rFonts w:hint="eastAsia" w:ascii="宋体" w:hAnsi="宋体" w:cs="宋体"/>
          <w:sz w:val="24"/>
          <w:szCs w:val="24"/>
        </w:rPr>
        <w:t xml:space="preserve">1.8 单位负责人为同一人或者存在直接控股、管理关系的不同供应商，不得参加同一合同项下的政府采购活动。</w:t>
      </w:r>
      <w:r/>
    </w:p>
    <w:p>
      <w:pPr>
        <w:ind w:firstLine="480"/>
        <w:spacing w:line="500" w:lineRule="exact"/>
        <w:rPr>
          <w:rFonts w:ascii="宋体" w:hAnsi="宋体" w:cs="宋体"/>
          <w:sz w:val="24"/>
          <w:szCs w:val="24"/>
        </w:rPr>
      </w:pPr>
      <w:r>
        <w:rPr>
          <w:rFonts w:hint="eastAsia" w:ascii="宋体" w:hAnsi="宋体" w:cs="宋体"/>
          <w:sz w:val="24"/>
          <w:szCs w:val="24"/>
        </w:rPr>
        <w:t xml:space="preserve">2.政府采购政府执行：无</w:t>
      </w:r>
      <w:r/>
    </w:p>
    <w:p>
      <w:pPr>
        <w:ind w:firstLine="480"/>
        <w:spacing w:line="500" w:lineRule="exact"/>
        <w:rPr>
          <w:rFonts w:ascii="宋体" w:hAnsi="宋体" w:cs="宋体"/>
          <w:sz w:val="32"/>
          <w:szCs w:val="32"/>
        </w:rPr>
      </w:pPr>
      <w:r>
        <w:rPr>
          <w:rFonts w:hint="eastAsia" w:ascii="宋体" w:hAnsi="宋体" w:cs="宋体"/>
          <w:sz w:val="24"/>
          <w:szCs w:val="24"/>
        </w:rPr>
        <w:t xml:space="preserve">3.本项目的特定资格要求：</w:t>
      </w:r>
      <w:bookmarkEnd w:id="12"/>
      <w:r/>
      <w:bookmarkEnd w:id="13"/>
      <w:r/>
      <w:bookmarkEnd w:id="14"/>
      <w:r/>
      <w:bookmarkEnd w:id="15"/>
      <w:r>
        <w:rPr>
          <w:rFonts w:hint="eastAsia" w:ascii="宋体" w:hAnsi="宋体" w:cs="宋体"/>
          <w:sz w:val="24"/>
          <w:szCs w:val="24"/>
        </w:rPr>
        <w:t xml:space="preserve">无</w:t>
      </w:r>
      <w:r/>
    </w:p>
    <w:p>
      <w:pPr>
        <w:ind w:firstLine="498"/>
        <w:keepLines/>
        <w:keepNext/>
        <w:spacing w:before="145" w:after="145" w:line="500" w:lineRule="exact"/>
        <w:rPr>
          <w:rFonts w:ascii="宋体" w:hAnsi="宋体" w:cs="宋体"/>
          <w:sz w:val="24"/>
          <w:szCs w:val="24"/>
        </w:rPr>
      </w:pPr>
      <w:r/>
      <w:bookmarkStart w:id="16" w:name="_Toc28359005"/>
      <w:r/>
      <w:bookmarkStart w:id="17" w:name="_Toc35393624"/>
      <w:r/>
      <w:bookmarkStart w:id="18" w:name="_Toc28359082"/>
      <w:r/>
      <w:bookmarkStart w:id="19" w:name="_Toc35393793"/>
      <w:r/>
      <w:bookmarkStart w:id="20" w:name="_Toc35393639"/>
      <w:r/>
      <w:bookmarkStart w:id="21" w:name="_Toc28359098"/>
      <w:r/>
      <w:bookmarkStart w:id="22" w:name="_Toc35393808"/>
      <w:r/>
      <w:bookmarkStart w:id="23" w:name="_Toc28359021"/>
      <w:r/>
      <w:bookmarkStart w:id="24" w:name="_Toc120614211"/>
      <w:r>
        <w:rPr>
          <w:rFonts w:hint="eastAsia" w:ascii="宋体" w:hAnsi="宋体" w:cs="宋体"/>
          <w:b/>
          <w:sz w:val="24"/>
          <w:szCs w:val="24"/>
        </w:rPr>
        <w:t xml:space="preserve">三、获取招标文件</w:t>
      </w:r>
      <w:r/>
    </w:p>
    <w:p>
      <w:pPr>
        <w:ind w:firstLine="480"/>
        <w:jc w:val="left"/>
        <w:spacing w:line="500" w:lineRule="exact"/>
        <w:widowControl/>
        <w:rPr>
          <w:rFonts w:ascii="宋体" w:hAnsi="宋体" w:cs="宋体"/>
          <w:sz w:val="24"/>
          <w:szCs w:val="24"/>
        </w:rPr>
      </w:pPr>
      <w:r/>
      <w:bookmarkStart w:id="25" w:name="_Toc38985266"/>
      <w:r>
        <w:rPr>
          <w:rFonts w:hint="eastAsia" w:ascii="宋体" w:hAnsi="宋体" w:cs="宋体"/>
          <w:sz w:val="24"/>
          <w:szCs w:val="24"/>
        </w:rPr>
        <w:t xml:space="preserve">1.时间：</w:t>
      </w:r>
      <w:bookmarkEnd w:id="25"/>
      <w:r>
        <w:rPr>
          <w:rFonts w:hint="eastAsia" w:ascii="宋体" w:hAnsi="宋体" w:cs="宋体"/>
          <w:sz w:val="24"/>
          <w:szCs w:val="24"/>
        </w:rPr>
        <w:t xml:space="preserve">自招标文件公告发布之日起5个工作日。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2.地点：“苏采云”系统内免费下载（投标人必须在苏采云系统中获取采购文件，方能参与政府采购项目）；</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3.方式：本项目采用网上注册登记方式。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4.售价：0元</w:t>
      </w:r>
      <w:bookmarkEnd w:id="16"/>
      <w:r/>
      <w:bookmarkEnd w:id="17"/>
      <w:r/>
      <w:bookmarkEnd w:id="18"/>
      <w:r/>
      <w:bookmarkEnd w:id="19"/>
      <w:r/>
      <w:r/>
    </w:p>
    <w:p>
      <w:pPr>
        <w:ind w:firstLine="498"/>
        <w:keepLines/>
        <w:keepNext/>
        <w:spacing w:before="145" w:after="145" w:line="500" w:lineRule="exact"/>
        <w:rPr>
          <w:rFonts w:ascii="宋体" w:hAnsi="宋体" w:cs="宋体"/>
          <w:sz w:val="24"/>
          <w:szCs w:val="24"/>
        </w:rPr>
      </w:pPr>
      <w:r/>
      <w:bookmarkStart w:id="26" w:name="_Toc28359084"/>
      <w:r/>
      <w:bookmarkStart w:id="27" w:name="_Toc35393794"/>
      <w:r/>
      <w:bookmarkStart w:id="28" w:name="_Toc35393625"/>
      <w:r/>
      <w:bookmarkStart w:id="29" w:name="_Toc28359007"/>
      <w:r>
        <w:rPr>
          <w:rFonts w:hint="eastAsia" w:ascii="宋体" w:hAnsi="宋体" w:cs="宋体"/>
          <w:b/>
          <w:sz w:val="24"/>
          <w:szCs w:val="24"/>
        </w:rPr>
        <w:t xml:space="preserve">四、提交投标文件截止时间、开标时间和地点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1.时间：2026年9月29日</w:t>
      </w:r>
      <w:r>
        <w:rPr>
          <w:rFonts w:hint="eastAsia" w:ascii="宋体" w:hAnsi="宋体" w:cs="宋体" w:eastAsiaTheme="majorEastAsia"/>
          <w:sz w:val="24"/>
          <w:szCs w:val="24"/>
        </w:rPr>
        <w:t xml:space="preserve">15</w:t>
      </w:r>
      <w:r>
        <w:rPr>
          <w:rFonts w:hint="eastAsia" w:ascii="宋体" w:hAnsi="宋体" w:cs="宋体"/>
          <w:sz w:val="24"/>
          <w:szCs w:val="24"/>
        </w:rPr>
        <w:t xml:space="preserve">点00分（北京时间）</w:t>
      </w:r>
      <w:r/>
    </w:p>
    <w:p>
      <w:pPr>
        <w:ind w:firstLine="480"/>
        <w:spacing w:line="500" w:lineRule="exact"/>
        <w:rPr>
          <w:rFonts w:ascii="宋体" w:hAnsi="宋体" w:cs="宋体"/>
          <w:sz w:val="24"/>
          <w:szCs w:val="24"/>
        </w:rPr>
      </w:pPr>
      <w:r>
        <w:rPr>
          <w:rFonts w:hint="eastAsia" w:ascii="宋体" w:hAnsi="宋体" w:cs="宋体"/>
          <w:sz w:val="24"/>
          <w:szCs w:val="24"/>
        </w:rPr>
        <w:t xml:space="preserve">2.地点：苏采云“不见面”开标大厅。</w:t>
      </w:r>
      <w:r/>
    </w:p>
    <w:p>
      <w:pPr>
        <w:ind w:firstLine="498"/>
        <w:keepLines/>
        <w:keepNext/>
        <w:spacing w:before="145" w:after="145" w:line="500" w:lineRule="exact"/>
        <w:rPr>
          <w:rFonts w:ascii="宋体" w:hAnsi="宋体" w:cs="宋体"/>
          <w:b/>
          <w:sz w:val="24"/>
          <w:szCs w:val="24"/>
        </w:rPr>
      </w:pPr>
      <w:r>
        <w:rPr>
          <w:rFonts w:hint="eastAsia" w:ascii="宋体" w:hAnsi="宋体" w:cs="宋体"/>
          <w:b/>
          <w:sz w:val="24"/>
          <w:szCs w:val="24"/>
        </w:rPr>
        <w:t xml:space="preserve">五、公告期限</w:t>
      </w:r>
      <w:bookmarkEnd w:id="26"/>
      <w:r/>
      <w:bookmarkEnd w:id="27"/>
      <w:r/>
      <w:bookmarkEnd w:id="28"/>
      <w:r/>
      <w:bookmarkEnd w:id="29"/>
      <w:r/>
      <w:r/>
    </w:p>
    <w:p>
      <w:pPr>
        <w:ind w:firstLine="480"/>
        <w:spacing w:line="500" w:lineRule="exac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自本公告发布之日起5个工作日。</w:t>
      </w:r>
      <w:r/>
    </w:p>
    <w:p>
      <w:pPr>
        <w:ind w:firstLine="498"/>
        <w:keepLines/>
        <w:keepNext/>
        <w:spacing w:before="145" w:after="145" w:line="500" w:lineRule="exact"/>
        <w:rPr>
          <w:rFonts w:ascii="宋体" w:hAnsi="宋体" w:cs="宋体"/>
          <w:sz w:val="24"/>
          <w:szCs w:val="24"/>
        </w:rPr>
      </w:pPr>
      <w:r/>
      <w:bookmarkStart w:id="30" w:name="_Toc35393637"/>
      <w:r/>
      <w:bookmarkStart w:id="31" w:name="_Toc35393806"/>
      <w:r/>
      <w:bookmarkStart w:id="32" w:name="_Toc28359096"/>
      <w:r/>
      <w:bookmarkStart w:id="33" w:name="_Toc28359019"/>
      <w:r>
        <w:rPr>
          <w:rFonts w:hint="eastAsia" w:ascii="宋体" w:hAnsi="宋体" w:cs="宋体"/>
          <w:b/>
          <w:sz w:val="24"/>
          <w:szCs w:val="24"/>
        </w:rPr>
        <w:t xml:space="preserve">六、其他补充事宜</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领取CA和办理电子签章（</w:t>
      </w:r>
      <w:r>
        <w:rPr>
          <w:rFonts w:ascii="新宋体" w:hAnsi="新宋体" w:eastAsia="新宋体" w:cs="新宋体"/>
          <w:b/>
          <w:sz w:val="24"/>
          <w:szCs w:val="20"/>
        </w:rPr>
        <w:t xml:space="preserve">请至盐城市府西路1号盐城市公共资源交易中心四楼大厅10号，11号窗口办理</w:t>
      </w:r>
      <w:r>
        <w:rPr>
          <w:rFonts w:ascii="新宋体" w:hAnsi="新宋体" w:eastAsia="新宋体" w:cs="新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 潜在供应商访问电子招标响应交易平台的网络地址和方法：</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2.2潜在投标人访问“苏采云”系统方法：江苏省政府采购网首页-“苏采云”链接。</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2.3采购文件（后缀名为“.kedt”）、供应商操作手册及政府采购客户端 工具可通过“苏采云”系统相应链接进行下载。</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2.4采购代理机构将数据电文形式的采购文件加载至“苏采云”系统，供潜在供应商下载或者查阅。</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2.5请潜在投标单位提前安装相应的控件（详见《“苏采云”系统供应商操作手册》）并使用谷歌浏览器登录“苏采云”系统参与不见面开评标。</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如潜在投标人未按上述要求操作，将自行承担所产生的风险。</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3.有关本次招标的事项若存在变动或修改，敬请及时关注采购人在“中国政府采购网”、“江苏政府采购网”、“盐城市政府采购网”发布的更正公告。</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4.本次招标不收取投标保证金，不收取质量保证金。</w:t>
      </w:r>
      <w:r/>
    </w:p>
    <w:p>
      <w:pPr>
        <w:ind w:firstLine="482"/>
        <w:spacing w:line="500" w:lineRule="exact"/>
        <w:widowControl/>
      </w:pPr>
      <w:r>
        <w:rPr>
          <w:rFonts w:hint="eastAsia" w:ascii="宋体" w:hAnsi="宋体" w:cs="宋体"/>
          <w:b/>
          <w:bCs/>
          <w:sz w:val="24"/>
          <w:szCs w:val="24"/>
          <w:shd w:val="clear" w:color="auto" w:fill="ffffff"/>
          <w:lang w:bidi="ar"/>
        </w:rPr>
        <w:t xml:space="preserve">七、对本次招标提出询问，请按以下方式联系。</w:t>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bookmarkEnd w:id="30"/>
      <w:r/>
      <w:bookmarkEnd w:id="31"/>
      <w:r/>
      <w:bookmarkEnd w:id="32"/>
      <w:r/>
      <w:bookmarkEnd w:id="33"/>
      <w:r/>
      <w:r/>
    </w:p>
    <w:p>
      <w:pPr>
        <w:ind w:firstLine="480"/>
        <w:spacing w:line="500" w:lineRule="exact"/>
        <w:rPr>
          <w:rFonts w:ascii="宋体" w:hAnsi="宋体" w:cs="宋体"/>
          <w:sz w:val="24"/>
          <w:szCs w:val="24"/>
        </w:rPr>
      </w:pPr>
      <w:r/>
      <w:bookmarkStart w:id="34" w:name="_Toc28359097"/>
      <w:r/>
      <w:bookmarkStart w:id="35" w:name="_Toc35393807"/>
      <w:r/>
      <w:bookmarkStart w:id="36" w:name="_Toc28359020"/>
      <w:r/>
      <w:bookmarkStart w:id="37" w:name="_Toc35393638"/>
      <w:r>
        <w:rPr>
          <w:rFonts w:hint="eastAsia" w:ascii="宋体" w:hAnsi="宋体" w:cs="宋体"/>
          <w:sz w:val="24"/>
          <w:szCs w:val="24"/>
        </w:rPr>
        <w:t xml:space="preserve">名称：盐城市卫生健康发展中心</w:t>
      </w:r>
      <w:r/>
    </w:p>
    <w:p>
      <w:pPr>
        <w:ind w:firstLine="480"/>
        <w:spacing w:line="500" w:lineRule="exact"/>
        <w:rPr>
          <w:rFonts w:ascii="宋体" w:hAnsi="宋体" w:cs="宋体"/>
          <w:sz w:val="24"/>
          <w:szCs w:val="24"/>
        </w:rPr>
      </w:pPr>
      <w:r>
        <w:rPr>
          <w:rFonts w:hint="eastAsia" w:ascii="宋体" w:hAnsi="宋体" w:cs="宋体"/>
          <w:sz w:val="24"/>
          <w:szCs w:val="24"/>
        </w:rPr>
        <w:t xml:space="preserve">地址：盐城市亭湖区开放大道北路39号</w:t>
      </w:r>
      <w:r/>
    </w:p>
    <w:p>
      <w:pPr>
        <w:ind w:firstLine="480"/>
        <w:spacing w:line="500" w:lineRule="exact"/>
        <w:rPr>
          <w:rFonts w:ascii="宋体" w:hAnsi="宋体" w:cs="宋体"/>
          <w:sz w:val="24"/>
          <w:szCs w:val="24"/>
        </w:rPr>
      </w:pPr>
      <w:r>
        <w:rPr>
          <w:rFonts w:hint="eastAsia" w:ascii="宋体" w:hAnsi="宋体" w:cs="宋体"/>
          <w:sz w:val="24"/>
          <w:szCs w:val="24"/>
        </w:rPr>
        <w:t xml:space="preserve">联系人：王先生</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联系电话：15905110699</w:t>
      </w:r>
      <w:r/>
    </w:p>
    <w:p>
      <w:pPr>
        <w:ind w:firstLine="480"/>
        <w:spacing w:line="500" w:lineRule="exact"/>
        <w:rPr>
          <w:rFonts w:ascii="宋体" w:hAnsi="宋体" w:cs="宋体"/>
          <w:sz w:val="24"/>
          <w:szCs w:val="24"/>
        </w:rPr>
      </w:pPr>
      <w:r>
        <w:rPr>
          <w:rFonts w:hint="eastAsia" w:ascii="宋体" w:hAnsi="宋体" w:cs="宋体"/>
          <w:sz w:val="24"/>
          <w:szCs w:val="24"/>
        </w:rPr>
        <w:t xml:space="preserve">2.采购代理机构信息</w:t>
      </w:r>
      <w:bookmarkEnd w:id="34"/>
      <w:r/>
      <w:bookmarkEnd w:id="35"/>
      <w:r/>
      <w:bookmarkEnd w:id="36"/>
      <w:r/>
      <w:bookmarkEnd w:id="37"/>
      <w:r/>
      <w:r/>
    </w:p>
    <w:p>
      <w:pPr>
        <w:ind w:firstLine="480"/>
        <w:spacing w:line="500" w:lineRule="exact"/>
        <w:rPr>
          <w:rFonts w:ascii="宋体" w:hAnsi="宋体" w:cs="宋体"/>
          <w:sz w:val="24"/>
          <w:szCs w:val="24"/>
        </w:rPr>
      </w:pPr>
      <w:r>
        <w:rPr>
          <w:rFonts w:hint="eastAsia" w:ascii="宋体" w:hAnsi="宋体" w:cs="宋体"/>
          <w:sz w:val="24"/>
          <w:szCs w:val="24"/>
        </w:rPr>
        <w:t xml:space="preserve">名称：江苏仁禾中衡工程咨询房地产估价有限公司</w:t>
      </w:r>
      <w:r/>
    </w:p>
    <w:p>
      <w:pPr>
        <w:ind w:firstLine="480"/>
        <w:spacing w:line="500" w:lineRule="exact"/>
        <w:rPr>
          <w:rFonts w:ascii="宋体" w:hAnsi="宋体" w:cs="宋体"/>
          <w:sz w:val="24"/>
          <w:szCs w:val="24"/>
        </w:rPr>
      </w:pPr>
      <w:r>
        <w:rPr>
          <w:rFonts w:hint="eastAsia" w:ascii="宋体" w:hAnsi="宋体" w:cs="宋体"/>
          <w:sz w:val="24"/>
          <w:szCs w:val="24"/>
        </w:rPr>
        <w:t xml:space="preserve">地址：盐城市青年西路8号</w:t>
      </w:r>
      <w:r/>
    </w:p>
    <w:p>
      <w:pPr>
        <w:ind w:firstLine="480"/>
        <w:spacing w:line="500" w:lineRule="exact"/>
        <w:rPr>
          <w:rFonts w:ascii="宋体" w:hAnsi="宋体" w:cs="宋体"/>
          <w:sz w:val="24"/>
          <w:szCs w:val="24"/>
        </w:rPr>
      </w:pPr>
      <w:r>
        <w:rPr>
          <w:rFonts w:hint="eastAsia" w:ascii="宋体" w:hAnsi="宋体" w:cs="宋体"/>
          <w:sz w:val="24"/>
          <w:szCs w:val="24"/>
        </w:rPr>
        <w:t xml:space="preserve">联系人：胡女士</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联系电话：13815581495</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联系人：王先生</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联系电话：15905110699</w:t>
      </w:r>
      <w:bookmarkEnd w:id="20"/>
      <w:r/>
      <w:bookmarkEnd w:id="21"/>
      <w:r/>
      <w:bookmarkEnd w:id="22"/>
      <w:r/>
      <w:bookmarkEnd w:id="23"/>
      <w:r/>
      <w:bookmarkEnd w:id="24"/>
      <w:r/>
      <w:r/>
    </w:p>
    <w:p>
      <w:pPr>
        <w:pStyle w:val="797"/>
      </w:pPr>
      <w:r/>
      <w:r/>
    </w:p>
    <w:p>
      <w:p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425" w:equalWidth="1"/>
          <w:docGrid w:linePitch="360"/>
          <w:titlePg/>
        </w:sectPr>
      </w:pPr>
      <w:r/>
      <w:r/>
    </w:p>
    <w:p>
      <w:pPr>
        <w:pStyle w:val="745"/>
      </w:pPr>
      <w:r/>
      <w:bookmarkStart w:id="38" w:name="_Toc8707"/>
      <w:r/>
      <w:bookmarkStart w:id="39" w:name="_Toc513029202"/>
      <w:r/>
      <w:bookmarkStart w:id="40" w:name="_Toc20823274"/>
      <w:r/>
      <w:bookmarkStart w:id="41" w:name="_Toc16938518"/>
      <w:r/>
      <w:bookmarkStart w:id="42" w:name="_Toc120614213"/>
      <w:r/>
      <w:bookmarkStart w:id="43" w:name="_Toc12885"/>
      <w:r>
        <w:rPr>
          <w:rFonts w:hint="eastAsia"/>
        </w:rPr>
        <w:t xml:space="preserve">第二章 投标人须知</w:t>
      </w:r>
      <w:bookmarkEnd w:id="38"/>
      <w:r/>
      <w:bookmarkEnd w:id="39"/>
      <w:r/>
      <w:bookmarkEnd w:id="40"/>
      <w:r/>
      <w:bookmarkEnd w:id="41"/>
      <w:r/>
      <w:bookmarkEnd w:id="42"/>
      <w:r/>
      <w:bookmarkEnd w:id="43"/>
      <w:r/>
      <w:r/>
    </w:p>
    <w:p>
      <w:pPr>
        <w:ind w:firstLine="480"/>
        <w:tabs>
          <w:tab w:val="left" w:pos="900" w:leader="none"/>
        </w:tabs>
        <w:rPr>
          <w:rFonts w:ascii="宋体" w:hAnsi="宋体" w:cs="宋体"/>
          <w:sz w:val="24"/>
        </w:rPr>
      </w:pPr>
      <w:r>
        <w:rPr>
          <w:rFonts w:ascii="宋体" w:hAnsi="宋体" w:cs="宋体"/>
          <w:sz w:val="24"/>
        </w:rPr>
      </w:r>
      <w:r/>
    </w:p>
    <w:p>
      <w:pPr>
        <w:ind w:firstLine="482"/>
        <w:keepLines/>
        <w:keepNext/>
        <w:spacing w:line="520" w:lineRule="exact"/>
        <w:rPr>
          <w:rFonts w:ascii="宋体" w:hAnsi="宋体" w:cs="宋体"/>
          <w:sz w:val="24"/>
          <w:szCs w:val="24"/>
        </w:rPr>
      </w:pPr>
      <w:r/>
      <w:bookmarkStart w:id="44" w:name="_Toc513029203"/>
      <w:r/>
      <w:bookmarkStart w:id="45" w:name="_Toc16938519"/>
      <w:r/>
      <w:bookmarkStart w:id="46" w:name="_Toc20823275"/>
      <w:r/>
      <w:bookmarkStart w:id="47" w:name="_Toc120614214"/>
      <w:r>
        <w:rPr>
          <w:rFonts w:hint="eastAsia" w:ascii="宋体" w:hAnsi="宋体" w:cs="宋体"/>
          <w:b/>
          <w:sz w:val="24"/>
          <w:szCs w:val="24"/>
        </w:rPr>
        <w:t xml:space="preserve">一、总则</w:t>
      </w:r>
      <w:bookmarkEnd w:id="44"/>
      <w:r/>
      <w:bookmarkEnd w:id="45"/>
      <w:r/>
      <w:bookmarkEnd w:id="46"/>
      <w:r/>
      <w:bookmarkEnd w:id="47"/>
      <w:r/>
      <w:r/>
    </w:p>
    <w:p>
      <w:pPr>
        <w:ind w:firstLine="480"/>
        <w:keepLines/>
        <w:keepNext/>
        <w:spacing w:line="520" w:lineRule="exact"/>
        <w:rPr>
          <w:rFonts w:ascii="宋体" w:hAnsi="宋体" w:cs="宋体"/>
          <w:sz w:val="24"/>
          <w:szCs w:val="24"/>
        </w:rPr>
      </w:pPr>
      <w:r/>
      <w:bookmarkStart w:id="48" w:name="_Toc16938520"/>
      <w:r/>
      <w:bookmarkStart w:id="49" w:name="_Toc20823276"/>
      <w:r/>
      <w:bookmarkStart w:id="50" w:name="_Toc458694821"/>
      <w:r/>
      <w:bookmarkStart w:id="51" w:name="_Toc513029204"/>
      <w:r>
        <w:rPr>
          <w:rFonts w:hint="eastAsia" w:ascii="宋体" w:hAnsi="宋体" w:cs="宋体"/>
          <w:sz w:val="24"/>
          <w:szCs w:val="24"/>
        </w:rPr>
        <w:t xml:space="preserve">1</w:t>
      </w:r>
      <w:bookmarkEnd w:id="48"/>
      <w:r>
        <w:rPr>
          <w:rFonts w:hint="eastAsia" w:ascii="宋体" w:hAnsi="宋体" w:cs="宋体"/>
          <w:sz w:val="24"/>
          <w:szCs w:val="24"/>
        </w:rPr>
        <w:t xml:space="preserve">.招标方式</w:t>
      </w:r>
      <w:bookmarkEnd w:id="49"/>
      <w:r/>
      <w:bookmarkEnd w:id="50"/>
      <w:r/>
      <w:bookmarkEnd w:id="51"/>
      <w:r/>
      <w:r/>
    </w:p>
    <w:p>
      <w:pPr>
        <w:ind w:firstLine="480"/>
        <w:spacing w:line="520" w:lineRule="exact"/>
        <w:rPr>
          <w:rFonts w:ascii="宋体" w:hAnsi="宋体" w:cs="宋体"/>
          <w:sz w:val="24"/>
          <w:szCs w:val="24"/>
        </w:rPr>
      </w:pPr>
      <w:r>
        <w:rPr>
          <w:rFonts w:hint="eastAsia" w:ascii="宋体" w:hAnsi="宋体" w:cs="宋体"/>
          <w:sz w:val="24"/>
          <w:szCs w:val="24"/>
        </w:rPr>
        <w:t xml:space="preserve">1.1本次招标采取公开招标方式，本招标文件仅适用于招标公告中所述项目。</w:t>
      </w:r>
      <w:r/>
    </w:p>
    <w:p>
      <w:pPr>
        <w:ind w:firstLine="480"/>
        <w:keepLines/>
        <w:keepNext/>
        <w:spacing w:line="520" w:lineRule="exact"/>
        <w:rPr>
          <w:rFonts w:ascii="宋体" w:hAnsi="宋体" w:cs="宋体"/>
          <w:sz w:val="24"/>
          <w:szCs w:val="24"/>
        </w:rPr>
      </w:pPr>
      <w:r/>
      <w:bookmarkStart w:id="52" w:name="_Toc16938521"/>
      <w:r/>
      <w:bookmarkStart w:id="53" w:name="_Toc513029205"/>
      <w:r/>
      <w:bookmarkStart w:id="54" w:name="_Toc20823277"/>
      <w:r>
        <w:rPr>
          <w:rFonts w:hint="eastAsia" w:ascii="宋体" w:hAnsi="宋体" w:cs="宋体"/>
          <w:sz w:val="24"/>
          <w:szCs w:val="24"/>
        </w:rPr>
        <w:t xml:space="preserve">2.合格的投标人</w:t>
      </w:r>
      <w:bookmarkEnd w:id="52"/>
      <w:r/>
      <w:bookmarkEnd w:id="53"/>
      <w:r/>
      <w:bookmarkEnd w:id="54"/>
      <w:r/>
      <w:r/>
    </w:p>
    <w:p>
      <w:pPr>
        <w:ind w:firstLine="480"/>
        <w:spacing w:line="520" w:lineRule="exact"/>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2.2满足本文件实质性要求和条件的规定。</w:t>
      </w:r>
      <w:r/>
    </w:p>
    <w:p>
      <w:pPr>
        <w:ind w:firstLine="480"/>
        <w:keepLines/>
        <w:keepNext/>
        <w:spacing w:line="520" w:lineRule="exact"/>
        <w:rPr>
          <w:rFonts w:ascii="宋体" w:hAnsi="宋体" w:cs="宋体"/>
          <w:sz w:val="24"/>
          <w:szCs w:val="24"/>
        </w:rPr>
      </w:pPr>
      <w:r/>
      <w:bookmarkStart w:id="55" w:name="_Toc16938522"/>
      <w:r/>
      <w:bookmarkStart w:id="56" w:name="_Toc513029206"/>
      <w:r/>
      <w:bookmarkStart w:id="57" w:name="_Toc20823278"/>
      <w:r>
        <w:rPr>
          <w:rFonts w:hint="eastAsia" w:ascii="宋体" w:hAnsi="宋体" w:cs="宋体"/>
          <w:sz w:val="24"/>
          <w:szCs w:val="24"/>
        </w:rPr>
        <w:t xml:space="preserve">3.适用法律</w:t>
      </w:r>
      <w:bookmarkEnd w:id="55"/>
      <w:r/>
      <w:bookmarkEnd w:id="56"/>
      <w:r/>
      <w:bookmarkEnd w:id="57"/>
      <w:r/>
      <w:r/>
    </w:p>
    <w:p>
      <w:pPr>
        <w:ind w:firstLine="480"/>
        <w:spacing w:line="520" w:lineRule="exact"/>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58" w:name="_Toc462564067"/>
      <w:r/>
      <w:bookmarkStart w:id="59" w:name="_Toc16938523"/>
      <w:r/>
      <w:bookmarkStart w:id="60" w:name="_Toc513029207"/>
      <w:r/>
      <w:bookmarkStart w:id="61" w:name="_Toc20823279"/>
      <w:r>
        <w:rPr>
          <w:rFonts w:hint="eastAsia" w:ascii="宋体" w:hAnsi="宋体" w:cs="宋体"/>
          <w:sz w:val="24"/>
          <w:szCs w:val="24"/>
        </w:rPr>
        <w:t xml:space="preserve">4.投标费用</w:t>
      </w:r>
      <w:bookmarkEnd w:id="58"/>
      <w:r/>
      <w:bookmarkEnd w:id="59"/>
      <w:r/>
      <w:bookmarkEnd w:id="60"/>
      <w:r/>
      <w:bookmarkEnd w:id="61"/>
      <w:r/>
      <w:r/>
    </w:p>
    <w:p>
      <w:pPr>
        <w:ind w:firstLine="480"/>
        <w:spacing w:line="520" w:lineRule="exact"/>
        <w:rPr>
          <w:rFonts w:ascii="宋体" w:hAnsi="宋体" w:cs="宋体"/>
          <w:sz w:val="24"/>
          <w:szCs w:val="24"/>
        </w:rPr>
      </w:pPr>
      <w:r>
        <w:rPr>
          <w:rFonts w:hint="eastAsia" w:ascii="宋体" w:hAnsi="宋体" w:cs="宋体"/>
          <w:sz w:val="24"/>
          <w:szCs w:val="24"/>
        </w:rPr>
        <w:t xml:space="preserve">4.1投标人应自行承担所有与参加投标有关的费用，无论投标过程中的做法和结果如何，采购人和代理机构在任何情况下均无义务和责任承担这些费用。</w:t>
      </w:r>
      <w:r/>
    </w:p>
    <w:p>
      <w:pPr>
        <w:ind w:firstLine="480"/>
        <w:spacing w:line="520" w:lineRule="exact"/>
        <w:rPr>
          <w:rFonts w:ascii="宋体" w:hAnsi="宋体" w:cs="宋体"/>
          <w:sz w:val="24"/>
          <w:szCs w:val="24"/>
        </w:rPr>
      </w:pPr>
      <w:r>
        <w:rPr>
          <w:rFonts w:hint="eastAsia" w:ascii="宋体" w:hAnsi="宋体" w:cs="宋体"/>
          <w:sz w:val="24"/>
          <w:szCs w:val="24"/>
        </w:rPr>
        <w:t xml:space="preserve">4.2本次招标招标代理机构和采购人不</w:t>
      </w:r>
      <w:r>
        <w:rPr>
          <w:rFonts w:ascii="宋体" w:hAnsi="宋体" w:cs="宋体"/>
          <w:sz w:val="24"/>
          <w:szCs w:val="24"/>
        </w:rPr>
        <w:t xml:space="preserve">收取工本费。</w:t>
      </w:r>
      <w:r/>
    </w:p>
    <w:p>
      <w:pPr>
        <w:ind w:firstLine="482"/>
        <w:keepLines/>
        <w:keepNext/>
        <w:spacing w:line="520" w:lineRule="exact"/>
        <w:rPr>
          <w:rFonts w:ascii="宋体" w:hAnsi="宋体" w:cs="宋体"/>
          <w:sz w:val="24"/>
          <w:szCs w:val="24"/>
        </w:rPr>
      </w:pPr>
      <w:r>
        <w:rPr>
          <w:rFonts w:hint="eastAsia" w:ascii="宋体" w:hAnsi="宋体" w:cs="宋体"/>
          <w:b/>
          <w:sz w:val="24"/>
          <w:szCs w:val="24"/>
        </w:rPr>
        <w:t xml:space="preserve">5.</w:t>
      </w:r>
      <w:r>
        <w:rPr>
          <w:rFonts w:hint="eastAsia" w:ascii="宋体" w:hAnsi="宋体" w:cs="宋体"/>
          <w:sz w:val="24"/>
          <w:szCs w:val="24"/>
        </w:rPr>
        <w:t xml:space="preserve">招标文件的约束力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5.1投标人一旦参加本项目采购活动，即被认为接受了本招标文件的规定和约束。</w:t>
      </w:r>
      <w:r/>
    </w:p>
    <w:p>
      <w:pPr>
        <w:ind w:firstLine="482"/>
        <w:keepLines/>
        <w:keepNext/>
        <w:spacing w:line="520" w:lineRule="exact"/>
        <w:rPr>
          <w:rFonts w:ascii="宋体" w:hAnsi="宋体" w:cs="宋体"/>
          <w:sz w:val="24"/>
          <w:szCs w:val="24"/>
        </w:rPr>
      </w:pPr>
      <w:r/>
      <w:bookmarkStart w:id="62" w:name="_Toc120614215"/>
      <w:r/>
      <w:bookmarkStart w:id="63" w:name="_Toc20823281"/>
      <w:r/>
      <w:bookmarkStart w:id="64" w:name="_Toc16938525"/>
      <w:r/>
      <w:bookmarkStart w:id="65" w:name="_Toc513029209"/>
      <w:r>
        <w:rPr>
          <w:rFonts w:hint="eastAsia" w:ascii="宋体" w:hAnsi="宋体" w:cs="宋体"/>
          <w:b/>
          <w:sz w:val="24"/>
          <w:szCs w:val="24"/>
        </w:rPr>
        <w:t xml:space="preserve">二、招标文件</w:t>
      </w:r>
      <w:bookmarkEnd w:id="62"/>
      <w:r/>
      <w:bookmarkEnd w:id="63"/>
      <w:r/>
      <w:bookmarkEnd w:id="64"/>
      <w:r/>
      <w:bookmarkEnd w:id="65"/>
      <w:r/>
      <w:r/>
    </w:p>
    <w:p>
      <w:pPr>
        <w:ind w:firstLine="480"/>
        <w:keepLines/>
        <w:keepNext/>
        <w:spacing w:line="520" w:lineRule="exact"/>
        <w:rPr>
          <w:rFonts w:ascii="宋体" w:hAnsi="宋体" w:cs="宋体"/>
          <w:sz w:val="24"/>
          <w:szCs w:val="24"/>
        </w:rPr>
      </w:pPr>
      <w:r/>
      <w:bookmarkStart w:id="66" w:name="_Toc16938526"/>
      <w:r/>
      <w:bookmarkStart w:id="67" w:name="_Toc513029210"/>
      <w:r/>
      <w:bookmarkStart w:id="68" w:name="_Toc20823282"/>
      <w:r>
        <w:rPr>
          <w:rFonts w:hint="eastAsia" w:ascii="宋体" w:hAnsi="宋体" w:cs="宋体"/>
          <w:sz w:val="24"/>
          <w:szCs w:val="24"/>
        </w:rPr>
        <w:t xml:space="preserve">6.招标文件构成</w:t>
      </w:r>
      <w:bookmarkEnd w:id="66"/>
      <w:r/>
      <w:bookmarkEnd w:id="67"/>
      <w:r/>
      <w:bookmarkEnd w:id="68"/>
      <w:r/>
      <w:r/>
    </w:p>
    <w:p>
      <w:pPr>
        <w:ind w:firstLine="480"/>
        <w:spacing w:line="520" w:lineRule="exact"/>
        <w:rPr>
          <w:rFonts w:ascii="宋体" w:hAnsi="宋体" w:cs="宋体"/>
          <w:sz w:val="24"/>
          <w:szCs w:val="24"/>
        </w:rPr>
      </w:pPr>
      <w:r>
        <w:rPr>
          <w:rFonts w:hint="eastAsia" w:ascii="宋体" w:hAnsi="宋体" w:cs="宋体"/>
          <w:sz w:val="24"/>
          <w:szCs w:val="24"/>
        </w:rPr>
        <w:t xml:space="preserve">6.1招标文件由以下部分组成：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（1）招标公告</w:t>
      </w:r>
      <w:r/>
    </w:p>
    <w:p>
      <w:pPr>
        <w:ind w:firstLine="480"/>
        <w:spacing w:line="520" w:lineRule="exact"/>
        <w:rPr>
          <w:rFonts w:ascii="宋体" w:hAnsi="宋体" w:cs="宋体"/>
          <w:sz w:val="24"/>
          <w:szCs w:val="24"/>
        </w:rPr>
      </w:pPr>
      <w:r>
        <w:rPr>
          <w:rFonts w:hint="eastAsia" w:ascii="宋体" w:hAnsi="宋体" w:cs="宋体"/>
          <w:sz w:val="24"/>
          <w:szCs w:val="24"/>
        </w:rPr>
        <w:t xml:space="preserve">（2）投标人须知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（5）评标方法与评标标准</w:t>
      </w:r>
      <w:r/>
    </w:p>
    <w:p>
      <w:pPr>
        <w:ind w:firstLine="480"/>
        <w:spacing w:line="52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请仔细检查招标文件是否齐全，如有缺漏请立即与招标代理机构联系解决。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520" w:lineRule="exact"/>
        <w:rPr>
          <w:rFonts w:ascii="宋体" w:hAnsi="宋体" w:cs="宋体"/>
          <w:sz w:val="24"/>
          <w:szCs w:val="24"/>
        </w:rPr>
      </w:pPr>
      <w:r/>
      <w:bookmarkStart w:id="69" w:name="_Toc20823283"/>
      <w:r/>
      <w:bookmarkStart w:id="70" w:name="_Toc462564070"/>
      <w:r/>
      <w:bookmarkStart w:id="71" w:name="_Toc513029211"/>
      <w:r/>
      <w:bookmarkStart w:id="72" w:name="_Toc16938527"/>
      <w:r>
        <w:rPr>
          <w:rFonts w:hint="eastAsia" w:ascii="宋体" w:hAnsi="宋体" w:cs="宋体"/>
          <w:sz w:val="24"/>
          <w:szCs w:val="24"/>
        </w:rPr>
        <w:t xml:space="preserve">7.招标文件的澄清</w:t>
      </w:r>
      <w:bookmarkEnd w:id="69"/>
      <w:r/>
      <w:bookmarkEnd w:id="70"/>
      <w:r/>
      <w:bookmarkEnd w:id="71"/>
      <w:r/>
      <w:bookmarkEnd w:id="72"/>
      <w:r/>
      <w:r/>
    </w:p>
    <w:p>
      <w:pPr>
        <w:ind w:firstLine="480"/>
        <w:spacing w:line="520" w:lineRule="exact"/>
        <w:rPr>
          <w:rFonts w:ascii="宋体" w:hAnsi="宋体" w:cs="宋体"/>
          <w:sz w:val="24"/>
          <w:szCs w:val="24"/>
        </w:rPr>
      </w:pPr>
      <w:r>
        <w:rPr>
          <w:rFonts w:hint="eastAsia" w:ascii="宋体" w:hAnsi="宋体" w:cs="宋体"/>
          <w:sz w:val="24"/>
          <w:szCs w:val="24"/>
        </w:rPr>
        <w:t xml:space="preserve">7.1任何要求对招标文件进行澄清的投标人，应在投标截止期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前按招标公告中的通讯地址，以书面形式通知采购人。</w:t>
      </w:r>
      <w:r/>
    </w:p>
    <w:p>
      <w:pPr>
        <w:ind w:firstLine="480"/>
        <w:keepLines/>
        <w:keepNext/>
        <w:spacing w:line="520" w:lineRule="exact"/>
        <w:rPr>
          <w:rFonts w:ascii="宋体" w:hAnsi="宋体" w:cs="宋体"/>
          <w:sz w:val="24"/>
          <w:szCs w:val="24"/>
        </w:rPr>
      </w:pPr>
      <w:r/>
      <w:bookmarkStart w:id="73" w:name="_Toc16938528"/>
      <w:r/>
      <w:bookmarkStart w:id="74" w:name="_Toc462564071"/>
      <w:r/>
      <w:bookmarkStart w:id="75" w:name="_Toc513029212"/>
      <w:r/>
      <w:bookmarkStart w:id="76" w:name="_Toc20823284"/>
      <w:r>
        <w:rPr>
          <w:rFonts w:hint="eastAsia" w:ascii="宋体" w:hAnsi="宋体" w:cs="宋体"/>
          <w:sz w:val="24"/>
          <w:szCs w:val="24"/>
        </w:rPr>
        <w:t xml:space="preserve">8.招标文件的修改</w:t>
      </w:r>
      <w:bookmarkEnd w:id="73"/>
      <w:r/>
      <w:bookmarkEnd w:id="74"/>
      <w:r/>
      <w:bookmarkEnd w:id="75"/>
      <w:r/>
      <w:bookmarkEnd w:id="76"/>
      <w:r/>
      <w:r/>
    </w:p>
    <w:p>
      <w:pPr>
        <w:ind w:firstLine="480"/>
        <w:spacing w:line="520" w:lineRule="exact"/>
        <w:rPr>
          <w:rFonts w:ascii="宋体" w:hAnsi="宋体" w:cs="宋体"/>
          <w:sz w:val="24"/>
          <w:szCs w:val="24"/>
        </w:rPr>
      </w:pPr>
      <w:r>
        <w:rPr>
          <w:rFonts w:hint="eastAsia" w:ascii="宋体" w:hAnsi="宋体" w:cs="宋体"/>
          <w:sz w:val="24"/>
          <w:szCs w:val="24"/>
        </w:rPr>
        <w:t xml:space="preserve">8.1在投标截止时间前，采购人可以对招标文件进行修改。</w:t>
      </w:r>
      <w:r/>
    </w:p>
    <w:p>
      <w:pPr>
        <w:ind w:firstLine="480"/>
        <w:spacing w:line="520" w:lineRule="exact"/>
        <w:rPr>
          <w:rFonts w:ascii="宋体" w:hAnsi="宋体" w:cs="宋体"/>
          <w:sz w:val="24"/>
          <w:szCs w:val="24"/>
        </w:rPr>
      </w:pPr>
      <w:r>
        <w:rPr>
          <w:rFonts w:hint="eastAsia" w:ascii="宋体" w:hAnsi="宋体" w:cs="宋体"/>
          <w:sz w:val="24"/>
          <w:szCs w:val="24"/>
        </w:rPr>
        <w:t xml:space="preserve">8.2采购人有权按照法定的要求推迟投标截止日期和开标日期。</w:t>
      </w:r>
      <w:r/>
    </w:p>
    <w:p>
      <w:pPr>
        <w:ind w:firstLine="480"/>
        <w:spacing w:line="520" w:lineRule="exact"/>
        <w:rPr>
          <w:rFonts w:ascii="宋体" w:hAnsi="宋体" w:cs="宋体"/>
          <w:sz w:val="24"/>
          <w:szCs w:val="24"/>
        </w:rPr>
      </w:pPr>
      <w:r>
        <w:rPr>
          <w:rFonts w:hint="eastAsia" w:ascii="宋体" w:hAnsi="宋体" w:cs="宋体"/>
          <w:sz w:val="24"/>
          <w:szCs w:val="24"/>
        </w:rPr>
        <w:t xml:space="preserve">8.3招标文件的修改将在中国政府采购网</w:t>
      </w:r>
      <w:r>
        <w:rPr>
          <w:rFonts w:hint="eastAsia" w:ascii="宋体" w:hAnsi="宋体" w:cs="宋体"/>
          <w:sz w:val="24"/>
          <w:szCs w:val="24"/>
          <w:shd w:val="clear" w:color="auto" w:fill="ffffff"/>
        </w:rPr>
        <w:t xml:space="preserve">、</w:t>
      </w:r>
      <w:r>
        <w:rPr>
          <w:rFonts w:hint="eastAsia" w:ascii="宋体" w:hAnsi="宋体" w:cs="宋体"/>
          <w:sz w:val="24"/>
          <w:szCs w:val="24"/>
        </w:rPr>
        <w:t xml:space="preserve">江苏政府采购网、盐城市政府采购网公布，补充文件将作为招标文件的组成部分，并对投标人具有约束力。</w:t>
      </w:r>
      <w:r/>
    </w:p>
    <w:p>
      <w:pPr>
        <w:ind w:firstLine="482"/>
        <w:keepLines/>
        <w:keepNext/>
        <w:spacing w:line="520" w:lineRule="exact"/>
        <w:rPr>
          <w:rFonts w:ascii="宋体" w:hAnsi="宋体" w:cs="宋体"/>
          <w:sz w:val="24"/>
          <w:szCs w:val="24"/>
        </w:rPr>
      </w:pPr>
      <w:r/>
      <w:bookmarkStart w:id="77" w:name="_Toc20823285"/>
      <w:r/>
      <w:bookmarkStart w:id="78" w:name="_Toc513029213"/>
      <w:r/>
      <w:bookmarkStart w:id="79" w:name="_Toc462564072"/>
      <w:r/>
      <w:bookmarkStart w:id="80" w:name="_Toc120614216"/>
      <w:r/>
      <w:bookmarkStart w:id="81" w:name="_Toc16938529"/>
      <w:r>
        <w:rPr>
          <w:rFonts w:hint="eastAsia" w:ascii="宋体" w:hAnsi="宋体" w:cs="宋体"/>
          <w:b/>
          <w:sz w:val="24"/>
          <w:szCs w:val="24"/>
        </w:rPr>
        <w:t xml:space="preserve">三、投标文件的编制</w:t>
      </w:r>
      <w:bookmarkEnd w:id="77"/>
      <w:r/>
      <w:bookmarkEnd w:id="78"/>
      <w:r/>
      <w:bookmarkEnd w:id="79"/>
      <w:r/>
      <w:bookmarkEnd w:id="80"/>
      <w:r/>
      <w:bookmarkEnd w:id="81"/>
      <w:r/>
      <w:r/>
    </w:p>
    <w:p>
      <w:pPr>
        <w:ind w:firstLine="480"/>
        <w:keepLines/>
        <w:keepNext/>
        <w:spacing w:line="520" w:lineRule="exact"/>
        <w:rPr>
          <w:rFonts w:ascii="宋体" w:hAnsi="宋体" w:cs="宋体"/>
          <w:sz w:val="24"/>
          <w:szCs w:val="24"/>
        </w:rPr>
      </w:pPr>
      <w:r/>
      <w:bookmarkStart w:id="82" w:name="_Toc16938530"/>
      <w:r/>
      <w:bookmarkStart w:id="83" w:name="_Toc20823286"/>
      <w:r/>
      <w:bookmarkStart w:id="84" w:name="_Toc513029214"/>
      <w:r/>
      <w:bookmarkStart w:id="85" w:name="_Toc462564073"/>
      <w:r>
        <w:rPr>
          <w:rFonts w:hint="eastAsia" w:ascii="宋体" w:hAnsi="宋体" w:cs="宋体"/>
          <w:sz w:val="24"/>
          <w:szCs w:val="24"/>
        </w:rPr>
        <w:t xml:space="preserve">9.投标文件的语言及度量衡单位</w:t>
      </w:r>
      <w:bookmarkEnd w:id="82"/>
      <w:r/>
      <w:bookmarkEnd w:id="83"/>
      <w:r/>
      <w:bookmarkEnd w:id="84"/>
      <w:r/>
      <w:bookmarkEnd w:id="85"/>
      <w:r/>
      <w:r/>
    </w:p>
    <w:p>
      <w:pPr>
        <w:ind w:firstLine="480"/>
        <w:spacing w:line="520" w:lineRule="exact"/>
        <w:rPr>
          <w:rFonts w:ascii="宋体" w:hAnsi="宋体" w:cs="宋体"/>
          <w:sz w:val="24"/>
          <w:szCs w:val="24"/>
        </w:rPr>
      </w:pPr>
      <w:r>
        <w:rPr>
          <w:rFonts w:hint="eastAsia" w:ascii="宋体" w:hAnsi="宋体" w:cs="宋体"/>
          <w:sz w:val="24"/>
          <w:szCs w:val="24"/>
        </w:rPr>
        <w:t xml:space="preserve">9.1投标人提交的投标文件以及投标人与采购人就有关投标的所有来往通知、函件和文件均应使用</w:t>
      </w:r>
      <w:r>
        <w:rPr>
          <w:rFonts w:hint="eastAsia" w:ascii="宋体" w:hAnsi="宋体" w:cs="宋体"/>
          <w:b/>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9.2除技术性能另有规定外，投标文件所使用的度量衡单位，均须采用国家法定计量单位。</w:t>
      </w:r>
      <w:r/>
    </w:p>
    <w:p>
      <w:pPr>
        <w:ind w:firstLine="480"/>
        <w:keepLines/>
        <w:keepNext/>
        <w:spacing w:line="520" w:lineRule="exact"/>
        <w:rPr>
          <w:rFonts w:ascii="宋体" w:hAnsi="宋体" w:cs="宋体"/>
          <w:sz w:val="24"/>
          <w:szCs w:val="24"/>
        </w:rPr>
      </w:pPr>
      <w:r/>
      <w:bookmarkStart w:id="86" w:name="_Toc16938531"/>
      <w:r/>
      <w:bookmarkStart w:id="87" w:name="_Toc462564074"/>
      <w:r/>
      <w:bookmarkStart w:id="88" w:name="_Toc513029215"/>
      <w:r/>
      <w:bookmarkStart w:id="89" w:name="_Toc20823287"/>
      <w:r>
        <w:rPr>
          <w:rFonts w:hint="eastAsia" w:ascii="宋体" w:hAnsi="宋体" w:cs="宋体"/>
          <w:sz w:val="24"/>
          <w:szCs w:val="24"/>
        </w:rPr>
        <w:t xml:space="preserve">10.投标文件构成</w:t>
      </w:r>
      <w:bookmarkEnd w:id="86"/>
      <w:r/>
      <w:bookmarkEnd w:id="87"/>
      <w:r/>
      <w:bookmarkEnd w:id="88"/>
      <w:r/>
      <w:bookmarkEnd w:id="89"/>
      <w:r/>
      <w:r/>
    </w:p>
    <w:p>
      <w:pPr>
        <w:ind w:firstLine="480"/>
        <w:spacing w:line="520" w:lineRule="exact"/>
        <w:rPr>
          <w:rFonts w:ascii="宋体" w:hAnsi="宋体" w:cs="宋体"/>
          <w:sz w:val="24"/>
          <w:szCs w:val="24"/>
        </w:rPr>
      </w:pPr>
      <w:r>
        <w:rPr>
          <w:rFonts w:hint="eastAsia" w:ascii="宋体" w:hAnsi="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cs="宋体"/>
          <w:sz w:val="24"/>
          <w:szCs w:val="24"/>
        </w:rPr>
      </w:pPr>
      <w:r>
        <w:rPr>
          <w:rFonts w:hint="eastAsia" w:ascii="宋体" w:hAnsi="宋体" w:cs="宋体"/>
          <w:sz w:val="24"/>
          <w:szCs w:val="24"/>
        </w:rPr>
        <w:t xml:space="preserve">10.2如标书制作工具中格式和内容与</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w:t>
      </w:r>
      <w:r>
        <w:rPr>
          <w:rFonts w:hint="eastAsia" w:ascii="宋体" w:hAnsi="宋体" w:cs="宋体"/>
          <w:sz w:val="24"/>
          <w:szCs w:val="24"/>
        </w:rPr>
        <w:t xml:space="preserve">“江苏政府采购网”、“盐城市政府采购网”发布的招标文件不一致，请以</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w:t>
      </w:r>
      <w:r>
        <w:rPr>
          <w:rFonts w:hint="eastAsia" w:ascii="宋体" w:hAnsi="宋体" w:cs="宋体"/>
          <w:sz w:val="24"/>
          <w:szCs w:val="24"/>
        </w:rPr>
        <w:t xml:space="preserve">“江苏政府采购网”、“盐城市政府采购网”发布的招标文件为准。</w:t>
      </w:r>
      <w:r/>
    </w:p>
    <w:p>
      <w:pPr>
        <w:ind w:firstLine="480"/>
        <w:keepLines/>
        <w:keepNext/>
        <w:spacing w:line="520" w:lineRule="exact"/>
        <w:rPr>
          <w:rFonts w:ascii="宋体" w:hAnsi="宋体" w:cs="宋体"/>
          <w:sz w:val="24"/>
          <w:szCs w:val="24"/>
        </w:rPr>
      </w:pPr>
      <w:r/>
      <w:bookmarkStart w:id="90" w:name="_Toc513029216"/>
      <w:r/>
      <w:bookmarkStart w:id="91" w:name="_Toc49090509"/>
      <w:r/>
      <w:bookmarkStart w:id="92" w:name="_Toc14577354"/>
      <w:r/>
      <w:bookmarkStart w:id="93" w:name="_Toc49090507"/>
      <w:r/>
      <w:bookmarkStart w:id="94" w:name="_Toc14577357"/>
      <w:r/>
      <w:bookmarkStart w:id="95" w:name="_Toc513029219"/>
      <w:r>
        <w:rPr>
          <w:rFonts w:hint="eastAsia" w:ascii="宋体" w:hAnsi="宋体" w:cs="宋体"/>
          <w:sz w:val="24"/>
          <w:szCs w:val="24"/>
        </w:rPr>
        <w:t xml:space="preserve">11.证明投标人及投标标的符合招标文件规定的文件</w:t>
      </w:r>
      <w:bookmarkEnd w:id="90"/>
      <w:r/>
      <w:bookmarkEnd w:id="91"/>
      <w:r/>
      <w:bookmarkEnd w:id="92"/>
      <w:r/>
      <w:bookmarkEnd w:id="93"/>
      <w:r/>
      <w:bookmarkEnd w:id="94"/>
      <w:r/>
      <w:bookmarkEnd w:id="95"/>
      <w:r/>
      <w:r/>
    </w:p>
    <w:p>
      <w:pPr>
        <w:ind w:firstLine="480"/>
        <w:spacing w:line="520" w:lineRule="exact"/>
        <w:rPr>
          <w:rFonts w:ascii="宋体" w:hAnsi="宋体" w:cs="宋体"/>
          <w:sz w:val="24"/>
          <w:szCs w:val="24"/>
        </w:rPr>
      </w:pPr>
      <w:r/>
      <w:bookmarkStart w:id="96" w:name="_Toc14577355"/>
      <w:r/>
      <w:bookmarkStart w:id="97" w:name="_Toc49090508"/>
      <w:r>
        <w:rPr>
          <w:rFonts w:hint="eastAsia" w:ascii="宋体" w:hAnsi="宋体" w:cs="宋体"/>
          <w:sz w:val="24"/>
          <w:szCs w:val="24"/>
        </w:rPr>
        <w:t xml:space="preserve">11.1投标人应按照法律、法规、规章和规范性文件以及招标文件要求提交证明文件，证明其及投标标的符合招标文件规定。</w:t>
      </w:r>
      <w:bookmarkEnd w:id="96"/>
      <w:r/>
      <w:bookmarkEnd w:id="97"/>
      <w:r/>
      <w:r/>
    </w:p>
    <w:p>
      <w:pPr>
        <w:ind w:firstLine="480"/>
        <w:spacing w:line="520" w:lineRule="exact"/>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12.投标分项报价表</w:t>
      </w:r>
      <w:r/>
    </w:p>
    <w:p>
      <w:pPr>
        <w:ind w:firstLine="480"/>
        <w:spacing w:line="520" w:lineRule="exact"/>
        <w:rPr>
          <w:rFonts w:ascii="宋体" w:hAnsi="宋体" w:cs="宋体"/>
          <w:sz w:val="24"/>
          <w:szCs w:val="24"/>
        </w:rPr>
      </w:pPr>
      <w:r>
        <w:rPr>
          <w:rFonts w:hint="eastAsia" w:ascii="宋体" w:hAnsi="宋体" w:cs="宋体"/>
          <w:sz w:val="24"/>
          <w:szCs w:val="24"/>
        </w:rPr>
        <w:t xml:space="preserve">12.1投标人应按照招标文件规定格式填报投标分项报价表。</w:t>
      </w:r>
      <w:r/>
    </w:p>
    <w:p>
      <w:pPr>
        <w:ind w:firstLine="480"/>
        <w:spacing w:line="520" w:lineRule="exact"/>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13.技术要求响应及偏离表、商务要求响应及偏离表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13.1投标人需对招标文件中的技术要求与商务要求逐项作出响应或偏离，并说明原因。</w:t>
      </w:r>
      <w:r/>
    </w:p>
    <w:p>
      <w:pPr>
        <w:ind w:firstLine="480"/>
        <w:spacing w:line="520" w:lineRule="exact"/>
        <w:tabs>
          <w:tab w:val="left" w:pos="1036" w:leader="none"/>
        </w:tabs>
        <w:rPr>
          <w:rFonts w:ascii="宋体" w:hAnsi="宋体" w:cs="宋体"/>
          <w:sz w:val="24"/>
          <w:szCs w:val="24"/>
        </w:rPr>
      </w:pPr>
      <w:r>
        <w:rPr>
          <w:rFonts w:hint="eastAsia" w:ascii="宋体" w:hAnsi="宋体" w:cs="宋体"/>
          <w:sz w:val="24"/>
          <w:szCs w:val="24"/>
        </w:rPr>
        <w:t xml:space="preserve">13.2投标人可在投标文件中提供认为需要的其他技术文件或说明。</w:t>
      </w:r>
      <w:r/>
    </w:p>
    <w:p>
      <w:pPr>
        <w:ind w:firstLine="480"/>
        <w:keepLines/>
        <w:keepNext/>
        <w:spacing w:line="520" w:lineRule="exact"/>
        <w:rPr>
          <w:rFonts w:ascii="宋体" w:hAnsi="宋体" w:cs="宋体"/>
          <w:sz w:val="24"/>
          <w:szCs w:val="24"/>
        </w:rPr>
      </w:pPr>
      <w:r/>
      <w:bookmarkStart w:id="98" w:name="_Toc14577359"/>
      <w:r/>
      <w:bookmarkStart w:id="99" w:name="_Toc49090510"/>
      <w:r>
        <w:rPr>
          <w:rFonts w:hint="eastAsia" w:ascii="宋体" w:hAnsi="宋体" w:cs="宋体"/>
          <w:sz w:val="24"/>
          <w:szCs w:val="24"/>
        </w:rPr>
        <w:t xml:space="preserve">14.投标函和开标一览表</w:t>
      </w:r>
      <w:bookmarkEnd w:id="98"/>
      <w:r/>
      <w:bookmarkEnd w:id="99"/>
      <w:r/>
      <w:r/>
    </w:p>
    <w:p>
      <w:pPr>
        <w:ind w:firstLine="480"/>
        <w:spacing w:line="520" w:lineRule="exact"/>
        <w:rPr>
          <w:rFonts w:ascii="宋体" w:hAnsi="宋体" w:cs="宋体"/>
          <w:sz w:val="24"/>
          <w:szCs w:val="24"/>
        </w:rPr>
      </w:pPr>
      <w:r>
        <w:rPr>
          <w:rFonts w:hint="eastAsia" w:ascii="宋体" w:hAnsi="宋体" w:cs="宋体"/>
          <w:sz w:val="24"/>
          <w:szCs w:val="24"/>
        </w:rPr>
        <w:t xml:space="preserve">14.1投标人应按照招标文件中提供的格式完整、正确填写投标函、开标一览表。</w:t>
      </w:r>
      <w:r/>
    </w:p>
    <w:p>
      <w:pPr>
        <w:ind w:firstLine="480"/>
        <w:spacing w:line="520" w:lineRule="exact"/>
        <w:rPr>
          <w:rFonts w:ascii="宋体" w:hAnsi="宋体" w:cs="宋体"/>
          <w:sz w:val="24"/>
          <w:szCs w:val="24"/>
        </w:rPr>
      </w:pPr>
      <w:r>
        <w:rPr>
          <w:rFonts w:hint="eastAsia" w:ascii="宋体" w:hAnsi="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szCs w:val="24"/>
        </w:rPr>
        <w:t xml:space="preserve">。</w:t>
      </w:r>
      <w:r/>
    </w:p>
    <w:p>
      <w:pPr>
        <w:ind w:firstLine="480"/>
        <w:keepLines/>
        <w:keepNext/>
        <w:spacing w:line="520" w:lineRule="exact"/>
        <w:rPr>
          <w:rFonts w:ascii="宋体" w:hAnsi="宋体" w:cs="宋体"/>
          <w:sz w:val="24"/>
          <w:szCs w:val="24"/>
        </w:rPr>
      </w:pPr>
      <w:r/>
      <w:bookmarkStart w:id="100" w:name="_Toc14577360"/>
      <w:r/>
      <w:bookmarkStart w:id="101" w:name="_Toc49090511"/>
      <w:r>
        <w:rPr>
          <w:rFonts w:hint="eastAsia" w:ascii="宋体" w:hAnsi="宋体" w:cs="宋体"/>
          <w:sz w:val="24"/>
          <w:szCs w:val="24"/>
        </w:rPr>
        <w:t xml:space="preserve">15.投标有效期</w:t>
      </w:r>
      <w:bookmarkEnd w:id="100"/>
      <w:r/>
      <w:bookmarkEnd w:id="101"/>
      <w:r/>
      <w:r/>
    </w:p>
    <w:p>
      <w:pPr>
        <w:ind w:firstLine="480"/>
        <w:spacing w:line="520" w:lineRule="exact"/>
        <w:rPr>
          <w:rFonts w:ascii="宋体" w:hAnsi="宋体" w:cs="宋体"/>
          <w:sz w:val="24"/>
          <w:szCs w:val="24"/>
        </w:rPr>
      </w:pPr>
      <w:r>
        <w:rPr>
          <w:rFonts w:hint="eastAsia" w:ascii="宋体" w:hAnsi="宋体" w:cs="宋体"/>
          <w:sz w:val="24"/>
          <w:szCs w:val="24"/>
        </w:rPr>
        <w:t xml:space="preserve">15.1投标有效期为采购人规定的开标之日后</w:t>
      </w:r>
      <w:r>
        <w:rPr>
          <w:rFonts w:hint="eastAsia" w:ascii="宋体" w:hAnsi="宋体" w:cs="宋体"/>
          <w:b/>
          <w:sz w:val="24"/>
          <w:szCs w:val="24"/>
          <w:u w:val="single"/>
        </w:rPr>
        <w:t xml:space="preserve">九十（90）天</w:t>
      </w:r>
      <w:r>
        <w:rPr>
          <w:rFonts w:hint="eastAsia" w:ascii="宋体" w:hAnsi="宋体" w:cs="宋体"/>
          <w:sz w:val="24"/>
          <w:szCs w:val="24"/>
        </w:rPr>
        <w:t xml:space="preserve">。投标有效期比规定短的将被视为未实质性响应招标文件而予以拒绝。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16.投标有效期的延长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520" w:lineRule="exact"/>
        <w:rPr>
          <w:rFonts w:ascii="宋体" w:hAnsi="宋体" w:cs="宋体"/>
          <w:sz w:val="24"/>
          <w:szCs w:val="24"/>
        </w:rPr>
      </w:pPr>
      <w:r/>
      <w:bookmarkStart w:id="102" w:name="_Toc16938540"/>
      <w:r/>
      <w:bookmarkStart w:id="103" w:name="_Toc513029224"/>
      <w:r/>
      <w:bookmarkStart w:id="104" w:name="_Toc120614217"/>
      <w:r/>
      <w:bookmarkStart w:id="105" w:name="_Toc20823296"/>
      <w:r>
        <w:rPr>
          <w:rFonts w:hint="eastAsia" w:ascii="宋体" w:hAnsi="宋体" w:cs="宋体"/>
          <w:b/>
          <w:sz w:val="24"/>
          <w:szCs w:val="24"/>
        </w:rPr>
        <w:t xml:space="preserve">四、投标文件的递交</w:t>
      </w:r>
      <w:bookmarkEnd w:id="102"/>
      <w:r/>
      <w:bookmarkEnd w:id="103"/>
      <w:r/>
      <w:bookmarkEnd w:id="104"/>
      <w:r/>
      <w:bookmarkEnd w:id="105"/>
      <w:r/>
      <w:r/>
    </w:p>
    <w:p>
      <w:pPr>
        <w:ind w:firstLine="480"/>
        <w:keepLines/>
        <w:keepNext/>
        <w:spacing w:line="520" w:lineRule="exact"/>
        <w:rPr>
          <w:rFonts w:ascii="宋体" w:hAnsi="宋体" w:cs="宋体"/>
          <w:sz w:val="24"/>
          <w:szCs w:val="24"/>
        </w:rPr>
      </w:pPr>
      <w:r/>
      <w:bookmarkStart w:id="106" w:name="_Toc16938541"/>
      <w:r/>
      <w:bookmarkStart w:id="107" w:name="_Toc462564084"/>
      <w:r/>
      <w:bookmarkStart w:id="108" w:name="_Toc513029225"/>
      <w:r/>
      <w:bookmarkStart w:id="109" w:name="_Toc20823297"/>
      <w:r>
        <w:rPr>
          <w:rFonts w:hint="eastAsia" w:ascii="宋体" w:hAnsi="宋体" w:cs="宋体"/>
          <w:sz w:val="24"/>
          <w:szCs w:val="24"/>
        </w:rPr>
        <w:t xml:space="preserve">17.投标文件</w:t>
      </w:r>
      <w:bookmarkEnd w:id="106"/>
      <w:r/>
      <w:bookmarkEnd w:id="107"/>
      <w:r/>
      <w:bookmarkEnd w:id="108"/>
      <w:r/>
      <w:bookmarkEnd w:id="109"/>
      <w:r>
        <w:rPr>
          <w:rFonts w:hint="eastAsia" w:ascii="宋体" w:hAnsi="宋体" w:cs="宋体"/>
          <w:sz w:val="24"/>
          <w:szCs w:val="24"/>
        </w:rPr>
        <w:t xml:space="preserve">的递交</w:t>
      </w:r>
      <w:r/>
    </w:p>
    <w:p>
      <w:pPr>
        <w:ind w:firstLine="480"/>
        <w:spacing w:line="520" w:lineRule="exact"/>
        <w:rPr>
          <w:rFonts w:ascii="宋体" w:hAnsi="宋体" w:cs="宋体"/>
          <w:sz w:val="24"/>
          <w:szCs w:val="24"/>
        </w:rPr>
      </w:pPr>
      <w:r>
        <w:rPr>
          <w:rFonts w:hint="eastAsia" w:ascii="宋体" w:hAnsi="宋体" w:cs="宋体"/>
          <w:sz w:val="24"/>
          <w:szCs w:val="24"/>
        </w:rPr>
        <w:t xml:space="preserve">17.1 电子投标文件的递交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投标人应当按照《操作手册》规定，在投标截止时间前制作并上传电子投标文件。</w:t>
      </w:r>
      <w:bookmarkStart w:id="110" w:name="_Toc20823298"/>
      <w:r/>
      <w:bookmarkEnd w:id="110"/>
      <w:r/>
      <w:bookmarkStart w:id="111" w:name="_Toc16938542"/>
      <w:r/>
      <w:bookmarkEnd w:id="111"/>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18.投标截止时间</w:t>
      </w:r>
      <w:r/>
    </w:p>
    <w:p>
      <w:pPr>
        <w:ind w:firstLine="480"/>
        <w:spacing w:line="520" w:lineRule="exact"/>
        <w:rPr>
          <w:rFonts w:ascii="宋体" w:hAnsi="宋体" w:cs="宋体"/>
          <w:sz w:val="24"/>
          <w:szCs w:val="24"/>
        </w:rPr>
      </w:pPr>
      <w:r>
        <w:rPr>
          <w:rFonts w:hint="eastAsia" w:ascii="宋体" w:hAnsi="宋体" w:cs="宋体"/>
          <w:i/>
          <w:sz w:val="24"/>
          <w:szCs w:val="24"/>
          <w:u w:val="single"/>
        </w:rPr>
        <w:t xml:space="preserve">18.1投标人上传电子投标文件的时间不得迟于招标公告中规定的投标截止时间。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cs="宋体"/>
          <w:sz w:val="24"/>
          <w:szCs w:val="24"/>
        </w:rPr>
      </w:pPr>
      <w:r>
        <w:rPr>
          <w:rFonts w:hint="eastAsia" w:ascii="宋体" w:hAnsi="宋体" w:cs="宋体"/>
          <w:sz w:val="24"/>
          <w:szCs w:val="24"/>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520" w:lineRule="exact"/>
        <w:rPr>
          <w:rFonts w:ascii="宋体" w:hAnsi="宋体" w:cs="宋体"/>
          <w:sz w:val="24"/>
          <w:szCs w:val="24"/>
        </w:rPr>
      </w:pPr>
      <w:r/>
      <w:bookmarkStart w:id="112" w:name="_Toc16938543"/>
      <w:r/>
      <w:bookmarkStart w:id="113" w:name="_Toc20823299"/>
      <w:r/>
      <w:bookmarkStart w:id="114" w:name="_Toc513029227"/>
      <w:r>
        <w:rPr>
          <w:rFonts w:hint="eastAsia" w:ascii="宋体" w:hAnsi="宋体" w:cs="宋体"/>
          <w:sz w:val="24"/>
          <w:szCs w:val="24"/>
        </w:rPr>
        <w:t xml:space="preserve">19.投标文件</w:t>
      </w:r>
      <w:bookmarkEnd w:id="112"/>
      <w:r/>
      <w:bookmarkEnd w:id="113"/>
      <w:r/>
      <w:bookmarkEnd w:id="114"/>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19.1采购人拒绝接收在其规定的投标截止时间后上传的任何投标文件。</w:t>
      </w:r>
      <w:r/>
    </w:p>
    <w:p>
      <w:pPr>
        <w:ind w:firstLine="480"/>
        <w:keepLines/>
        <w:keepNext/>
        <w:spacing w:line="520" w:lineRule="exact"/>
        <w:rPr>
          <w:rFonts w:ascii="宋体" w:hAnsi="宋体" w:cs="宋体"/>
          <w:sz w:val="24"/>
          <w:szCs w:val="24"/>
        </w:rPr>
      </w:pPr>
      <w:r/>
      <w:bookmarkStart w:id="115" w:name="_Toc20823300"/>
      <w:r/>
      <w:bookmarkStart w:id="116" w:name="_Toc513029228"/>
      <w:r/>
      <w:bookmarkStart w:id="117" w:name="_Toc16938544"/>
      <w:r>
        <w:rPr>
          <w:rFonts w:hint="eastAsia" w:ascii="宋体" w:hAnsi="宋体" w:cs="宋体"/>
          <w:sz w:val="24"/>
          <w:szCs w:val="24"/>
        </w:rPr>
        <w:t xml:space="preserve">20.投标文件的撤回和修改</w:t>
      </w:r>
      <w:bookmarkEnd w:id="115"/>
      <w:r/>
      <w:bookmarkEnd w:id="116"/>
      <w:r/>
      <w:bookmarkEnd w:id="117"/>
      <w:r/>
      <w:r/>
    </w:p>
    <w:p>
      <w:pPr>
        <w:ind w:firstLine="480"/>
        <w:spacing w:line="520" w:lineRule="exact"/>
        <w:rPr>
          <w:rFonts w:ascii="宋体" w:hAnsi="宋体" w:cs="宋体"/>
          <w:sz w:val="24"/>
          <w:szCs w:val="24"/>
        </w:rPr>
      </w:pPr>
      <w:r>
        <w:rPr>
          <w:rFonts w:hint="eastAsia" w:ascii="宋体" w:hAnsi="宋体" w:cs="宋体"/>
          <w:sz w:val="24"/>
          <w:szCs w:val="24"/>
        </w:rPr>
        <w:t xml:space="preserve">20.1投标文件的撤回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20.1.1电子投标文件的撤回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20.1.2投标人撤回电子投标文件，则认为其不再参与本项目投标活动。</w:t>
      </w:r>
      <w:r/>
    </w:p>
    <w:p>
      <w:pPr>
        <w:ind w:firstLine="480"/>
        <w:spacing w:line="520" w:lineRule="exact"/>
        <w:rPr>
          <w:rFonts w:ascii="宋体" w:hAnsi="宋体" w:cs="宋体"/>
          <w:sz w:val="24"/>
          <w:szCs w:val="24"/>
        </w:rPr>
      </w:pPr>
      <w:r>
        <w:rPr>
          <w:rFonts w:hint="eastAsia" w:ascii="宋体" w:hAnsi="宋体" w:cs="宋体"/>
          <w:sz w:val="24"/>
          <w:szCs w:val="24"/>
        </w:rPr>
        <w:t xml:space="preserve">20.2投标文件的修改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20.2.2在投标截止时间之后，投标人不得对其电子投标文件作任何修改。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20.3在投标截止时间至招标文件中规定的投标有效期满之间的这段时间内，投标人不得撤回其投标。</w:t>
      </w:r>
      <w:r/>
    </w:p>
    <w:p>
      <w:pPr>
        <w:ind w:firstLine="482"/>
        <w:keepLines/>
        <w:keepNext/>
        <w:spacing w:line="520" w:lineRule="exact"/>
        <w:rPr>
          <w:rFonts w:ascii="宋体" w:hAnsi="宋体" w:cs="宋体"/>
          <w:sz w:val="24"/>
          <w:szCs w:val="24"/>
        </w:rPr>
      </w:pPr>
      <w:r/>
      <w:bookmarkStart w:id="118" w:name="_Toc16938545"/>
      <w:r/>
      <w:bookmarkStart w:id="119" w:name="_Toc513029229"/>
      <w:r/>
      <w:bookmarkStart w:id="120" w:name="_Toc20823301"/>
      <w:r/>
      <w:bookmarkStart w:id="121" w:name="_Toc120614218"/>
      <w:r>
        <w:rPr>
          <w:rFonts w:hint="eastAsia" w:ascii="宋体" w:hAnsi="宋体" w:cs="宋体"/>
          <w:b/>
          <w:sz w:val="24"/>
          <w:szCs w:val="24"/>
        </w:rPr>
        <w:t xml:space="preserve">五、开标与评标</w:t>
      </w:r>
      <w:bookmarkEnd w:id="118"/>
      <w:r/>
      <w:bookmarkEnd w:id="119"/>
      <w:r/>
      <w:bookmarkEnd w:id="120"/>
      <w:r/>
      <w:bookmarkEnd w:id="121"/>
      <w:r/>
      <w:r/>
    </w:p>
    <w:p>
      <w:pPr>
        <w:ind w:firstLine="480"/>
        <w:keepLines/>
        <w:keepNext/>
        <w:spacing w:line="520" w:lineRule="exact"/>
        <w:rPr>
          <w:rFonts w:ascii="宋体" w:hAnsi="宋体" w:cs="宋体"/>
          <w:sz w:val="24"/>
          <w:szCs w:val="24"/>
        </w:rPr>
      </w:pPr>
      <w:r/>
      <w:bookmarkStart w:id="122" w:name="_Toc16938546"/>
      <w:r/>
      <w:bookmarkStart w:id="123" w:name="_Toc513029230"/>
      <w:r/>
      <w:bookmarkStart w:id="124" w:name="_Toc20823302"/>
      <w:r>
        <w:rPr>
          <w:rFonts w:hint="eastAsia" w:ascii="宋体" w:hAnsi="宋体" w:cs="宋体"/>
          <w:sz w:val="24"/>
          <w:szCs w:val="24"/>
        </w:rPr>
        <w:t xml:space="preserve">21.开标</w:t>
      </w:r>
      <w:bookmarkEnd w:id="122"/>
      <w:r/>
      <w:bookmarkEnd w:id="123"/>
      <w:r/>
      <w:bookmarkEnd w:id="124"/>
      <w:r/>
      <w:r/>
    </w:p>
    <w:p>
      <w:pPr>
        <w:ind w:firstLine="480"/>
        <w:spacing w:line="520" w:lineRule="exact"/>
        <w:rPr>
          <w:rFonts w:ascii="宋体" w:hAnsi="宋体" w:cs="宋体"/>
          <w:sz w:val="24"/>
          <w:szCs w:val="24"/>
        </w:rPr>
      </w:pPr>
      <w:r>
        <w:rPr>
          <w:rFonts w:hint="eastAsia" w:ascii="宋体" w:hAnsi="宋体" w:cs="宋体"/>
          <w:sz w:val="24"/>
          <w:szCs w:val="24"/>
        </w:rPr>
        <w:t xml:space="preserve">21.1招标代理机构将在招标公告中规定的时间和地点组织公开开标。投标人应当按照《操作手册》规定，参加开标活动和在苏采云系统规定的时间内对投标文件进行解密。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sz w:val="24"/>
          <w:szCs w:val="24"/>
        </w:rPr>
      </w:pPr>
      <w:r>
        <w:rPr>
          <w:rFonts w:hint="eastAsia" w:ascii="宋体" w:hAnsi="宋体" w:cs="宋体"/>
          <w:sz w:val="24"/>
          <w:szCs w:val="24"/>
        </w:rPr>
        <w:t xml:space="preserve">21.2开标仪式由招标代理机构组织。苏采云系统将自动对项目进行开标，并宣布各投标人名称和投标价格。</w:t>
      </w:r>
      <w:r/>
    </w:p>
    <w:p>
      <w:pPr>
        <w:ind w:firstLine="480"/>
        <w:spacing w:line="520" w:lineRule="exact"/>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480"/>
        <w:spacing w:line="520" w:lineRule="exact"/>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520" w:lineRule="exact"/>
        <w:rPr>
          <w:rFonts w:ascii="宋体" w:hAnsi="宋体" w:cs="宋体"/>
          <w:sz w:val="24"/>
          <w:szCs w:val="24"/>
        </w:rPr>
      </w:pPr>
      <w:r/>
      <w:bookmarkStart w:id="125" w:name="_Toc20823303"/>
      <w:r/>
      <w:bookmarkStart w:id="126" w:name="_Toc513029231"/>
      <w:r/>
      <w:bookmarkStart w:id="127" w:name="_Toc16938547"/>
      <w:r>
        <w:rPr>
          <w:rFonts w:hint="eastAsia" w:ascii="宋体" w:hAnsi="宋体" w:cs="宋体"/>
          <w:sz w:val="24"/>
          <w:szCs w:val="24"/>
        </w:rPr>
        <w:t xml:space="preserve">22.评标委员会</w:t>
      </w:r>
      <w:bookmarkEnd w:id="125"/>
      <w:r/>
      <w:bookmarkEnd w:id="126"/>
      <w:r/>
      <w:bookmarkEnd w:id="127"/>
      <w:r/>
      <w:r/>
    </w:p>
    <w:p>
      <w:pPr>
        <w:ind w:firstLine="480"/>
        <w:spacing w:line="520" w:lineRule="exact"/>
        <w:rPr>
          <w:rFonts w:ascii="宋体" w:hAnsi="宋体" w:cs="宋体"/>
          <w:sz w:val="24"/>
          <w:szCs w:val="24"/>
        </w:rPr>
      </w:pPr>
      <w:r>
        <w:rPr>
          <w:rFonts w:hint="eastAsia" w:ascii="宋体" w:hAnsi="宋体" w:cs="宋体"/>
          <w:sz w:val="24"/>
          <w:szCs w:val="24"/>
        </w:rPr>
        <w:t xml:space="preserve">22.1开标后，采购人将立即组织评标委员会（以下简称评委会）进行评标。</w:t>
      </w:r>
      <w:r/>
    </w:p>
    <w:p>
      <w:pPr>
        <w:ind w:firstLine="480"/>
        <w:spacing w:line="520" w:lineRule="exact"/>
        <w:rPr>
          <w:rFonts w:ascii="宋体" w:hAnsi="宋体" w:cs="宋体"/>
          <w:sz w:val="24"/>
          <w:szCs w:val="24"/>
        </w:rPr>
      </w:pPr>
      <w:r>
        <w:rPr>
          <w:rFonts w:hint="eastAsia" w:ascii="宋体" w:hAnsi="宋体" w:cs="宋体"/>
          <w:sz w:val="24"/>
          <w:szCs w:val="24"/>
        </w:rPr>
        <w:t xml:space="preserve">22.2评委会由采购人代表和有关技术、经济等方面的专家组成，且人员构成符合政府采购有关规定。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22.3评委会独立工作，负责评审所有投标文件并确定中标候选人。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23.评标过程的保密与公正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23.1凡是与审查、澄清、评价和比较投标的有关资料以及授标建议等，采购人、评委、招标代理机构均不得向投标人或与评标无关的其他人员透露。</w:t>
      </w:r>
      <w:r/>
    </w:p>
    <w:p>
      <w:pPr>
        <w:ind w:firstLine="480"/>
        <w:spacing w:line="520" w:lineRule="exact"/>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80"/>
        <w:spacing w:line="520" w:lineRule="exact"/>
        <w:rPr>
          <w:rFonts w:ascii="宋体" w:hAnsi="宋体" w:cs="宋体"/>
          <w:sz w:val="24"/>
          <w:szCs w:val="24"/>
        </w:rPr>
      </w:pPr>
      <w:r>
        <w:rPr>
          <w:rFonts w:hint="eastAsia" w:ascii="宋体" w:hAnsi="宋体" w:cs="宋体"/>
          <w:sz w:val="24"/>
          <w:szCs w:val="24"/>
        </w:rPr>
        <w:t xml:space="preserve">23.3采购人和评标委员会不向未中标的投标人解释未中标原因，也不公布评标过程中的相关细节。</w:t>
      </w:r>
      <w:r/>
    </w:p>
    <w:p>
      <w:pPr>
        <w:ind w:firstLine="480"/>
        <w:spacing w:line="520" w:lineRule="exact"/>
        <w:rPr>
          <w:rFonts w:ascii="宋体" w:hAnsi="宋体" w:cs="宋体"/>
          <w:sz w:val="24"/>
          <w:szCs w:val="24"/>
        </w:rPr>
      </w:pPr>
      <w:r>
        <w:rPr>
          <w:rFonts w:hint="eastAsia" w:ascii="宋体" w:hAnsi="宋体" w:cs="宋体"/>
          <w:sz w:val="24"/>
          <w:szCs w:val="24"/>
        </w:rPr>
        <w:t xml:space="preserve">23.4采用综合评分法的项目，未中标的投标人可于中标结果公告期限届满之日起通过苏采云系统查看自己的评审得分及排序情况。</w:t>
      </w:r>
      <w:r/>
    </w:p>
    <w:p>
      <w:pPr>
        <w:ind w:firstLine="480"/>
        <w:keepLines/>
        <w:keepNext/>
        <w:spacing w:line="520" w:lineRule="exact"/>
        <w:rPr>
          <w:rFonts w:ascii="宋体" w:hAnsi="宋体" w:cs="宋体"/>
          <w:sz w:val="24"/>
          <w:szCs w:val="24"/>
        </w:rPr>
      </w:pPr>
      <w:r/>
      <w:bookmarkStart w:id="128" w:name="_Toc513029232"/>
      <w:r/>
      <w:bookmarkStart w:id="129" w:name="_Toc20823304"/>
      <w:r/>
      <w:bookmarkStart w:id="130" w:name="_Toc16938548"/>
      <w:r>
        <w:rPr>
          <w:rFonts w:hint="eastAsia" w:ascii="宋体" w:hAnsi="宋体" w:cs="宋体"/>
          <w:sz w:val="24"/>
          <w:szCs w:val="24"/>
        </w:rPr>
        <w:t xml:space="preserve">24.投标文件的澄清</w:t>
      </w:r>
      <w:bookmarkEnd w:id="128"/>
      <w:r/>
      <w:bookmarkEnd w:id="129"/>
      <w:r/>
      <w:bookmarkEnd w:id="130"/>
      <w:r/>
      <w:r/>
    </w:p>
    <w:p>
      <w:pPr>
        <w:ind w:firstLine="480"/>
        <w:spacing w:line="520" w:lineRule="exact"/>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24.3接到评委会澄清、说明和补正要求的投标人如未按规定做出澄清、说明和补正，其风险由投标人自行承担。</w:t>
      </w:r>
      <w:r/>
    </w:p>
    <w:p>
      <w:pPr>
        <w:ind w:firstLine="480"/>
        <w:keepLines/>
        <w:keepNext/>
        <w:spacing w:line="520" w:lineRule="exact"/>
        <w:rPr>
          <w:rFonts w:ascii="宋体" w:hAnsi="宋体" w:cs="宋体"/>
          <w:sz w:val="24"/>
          <w:szCs w:val="24"/>
        </w:rPr>
      </w:pPr>
      <w:r/>
      <w:bookmarkStart w:id="131" w:name="_Toc513029233"/>
      <w:r/>
      <w:bookmarkStart w:id="132" w:name="_Toc20823305"/>
      <w:r/>
      <w:bookmarkStart w:id="133" w:name="_Toc16938549"/>
      <w:r>
        <w:rPr>
          <w:rFonts w:hint="eastAsia" w:ascii="宋体" w:hAnsi="宋体" w:cs="宋体"/>
          <w:sz w:val="24"/>
          <w:szCs w:val="24"/>
        </w:rPr>
        <w:t xml:space="preserve">25.对投标文件的初审</w:t>
      </w:r>
      <w:bookmarkEnd w:id="131"/>
      <w:r/>
      <w:bookmarkEnd w:id="132"/>
      <w:r/>
      <w:bookmarkEnd w:id="133"/>
      <w:r/>
      <w:r/>
    </w:p>
    <w:p>
      <w:pPr>
        <w:ind w:firstLine="480"/>
        <w:spacing w:line="520" w:lineRule="exact"/>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cs="宋体"/>
          <w:sz w:val="24"/>
          <w:szCs w:val="24"/>
        </w:rPr>
      </w:pPr>
      <w:r>
        <w:rPr>
          <w:rFonts w:hint="eastAsia" w:ascii="宋体" w:hAnsi="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s="宋体"/>
          <w:sz w:val="24"/>
          <w:szCs w:val="24"/>
        </w:rPr>
      </w:pPr>
      <w:r>
        <w:rPr>
          <w:rFonts w:hint="eastAsia" w:ascii="宋体" w:hAnsi="宋体" w:cs="宋体"/>
          <w:sz w:val="24"/>
          <w:szCs w:val="24"/>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s="宋体"/>
          <w:sz w:val="24"/>
          <w:szCs w:val="24"/>
        </w:rPr>
      </w:pPr>
      <w:r>
        <w:rPr>
          <w:rFonts w:hint="eastAsia" w:ascii="宋体" w:hAnsi="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20" w:lineRule="exact"/>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20" w:lineRule="exact"/>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20" w:lineRule="exact"/>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20" w:lineRule="exact"/>
        <w:rPr>
          <w:rFonts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20" w:lineRule="exact"/>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s="宋体"/>
          <w:sz w:val="24"/>
          <w:szCs w:val="24"/>
        </w:rPr>
      </w:pPr>
      <w:r/>
      <w:bookmarkStart w:id="134" w:name="_Toc513029234"/>
      <w:r/>
      <w:bookmarkStart w:id="135" w:name="_Toc20823306"/>
      <w:r/>
      <w:bookmarkStart w:id="136" w:name="_Toc16938550"/>
      <w:r>
        <w:rPr>
          <w:rFonts w:hint="eastAsia" w:ascii="宋体" w:hAnsi="宋体" w:cs="宋体"/>
          <w:sz w:val="24"/>
          <w:szCs w:val="24"/>
        </w:rPr>
        <w:t xml:space="preserve">25.6投标人在开、评标全过程中应保持通讯畅通，及时登录苏采云系统查阅、答复相关信息，并安排专人与采购人及评标委员会联系。</w:t>
      </w:r>
      <w:bookmarkEnd w:id="134"/>
      <w:r/>
      <w:bookmarkEnd w:id="135"/>
      <w:r/>
      <w:bookmarkEnd w:id="136"/>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26.无效投标条款和废标条款</w:t>
      </w:r>
      <w:r/>
    </w:p>
    <w:p>
      <w:pPr>
        <w:ind w:firstLine="480"/>
        <w:spacing w:line="520" w:lineRule="exact"/>
        <w:rPr>
          <w:rFonts w:ascii="宋体" w:hAnsi="宋体" w:cs="宋体"/>
          <w:sz w:val="24"/>
          <w:szCs w:val="24"/>
        </w:rPr>
      </w:pPr>
      <w:r/>
      <w:bookmarkStart w:id="137" w:name="_Toc20823307"/>
      <w:r/>
      <w:bookmarkStart w:id="138" w:name="_Toc513029235"/>
      <w:r/>
      <w:bookmarkStart w:id="139" w:name="_Toc16938551"/>
      <w:r>
        <w:rPr>
          <w:rFonts w:hint="eastAsia" w:ascii="宋体" w:hAnsi="宋体" w:cs="宋体"/>
          <w:sz w:val="24"/>
          <w:szCs w:val="24"/>
        </w:rPr>
        <w:t xml:space="preserve">26.1无效投标条款</w:t>
      </w:r>
      <w:bookmarkEnd w:id="137"/>
      <w:r/>
      <w:bookmarkEnd w:id="138"/>
      <w:r/>
      <w:bookmarkEnd w:id="139"/>
      <w:r/>
      <w:r/>
    </w:p>
    <w:p>
      <w:pPr>
        <w:ind w:firstLine="480"/>
        <w:spacing w:line="520" w:lineRule="exact"/>
        <w:rPr>
          <w:rFonts w:ascii="宋体" w:hAnsi="宋体" w:cs="宋体"/>
          <w:sz w:val="24"/>
          <w:szCs w:val="24"/>
        </w:rPr>
      </w:pPr>
      <w:r>
        <w:rPr>
          <w:rFonts w:hint="eastAsia" w:ascii="宋体" w:hAnsi="宋体" w:cs="宋体"/>
          <w:sz w:val="24"/>
          <w:szCs w:val="24"/>
        </w:rPr>
        <w:t xml:space="preserve">26.1.1投标人在苏采云系统规定的时间内未成功解密电子投标文件的。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26.1.2投标人未按照招标文件要求上传电子投标文件的。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480"/>
        <w:spacing w:line="520" w:lineRule="exact"/>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480"/>
        <w:spacing w:line="520" w:lineRule="exact"/>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80"/>
        <w:spacing w:line="520" w:lineRule="exact"/>
        <w:rPr>
          <w:rFonts w:ascii="宋体" w:hAnsi="宋体" w:cs="宋体"/>
          <w:sz w:val="24"/>
          <w:szCs w:val="24"/>
        </w:rPr>
      </w:pPr>
      <w:r>
        <w:rPr>
          <w:rFonts w:hint="eastAsia" w:ascii="宋体" w:hAnsi="宋体" w:cs="宋体"/>
          <w:sz w:val="24"/>
          <w:szCs w:val="24"/>
        </w:rPr>
        <w:t xml:space="preserve">26.1.6未通过符合性审查的。</w:t>
      </w:r>
      <w:r/>
    </w:p>
    <w:p>
      <w:pPr>
        <w:ind w:firstLine="480"/>
        <w:spacing w:line="520" w:lineRule="exact"/>
        <w:rPr>
          <w:rFonts w:ascii="宋体" w:hAnsi="宋体" w:cs="宋体"/>
          <w:sz w:val="24"/>
          <w:szCs w:val="24"/>
        </w:rPr>
      </w:pPr>
      <w:r>
        <w:rPr>
          <w:rFonts w:hint="eastAsia" w:ascii="宋体" w:hAnsi="宋体" w:cs="宋体"/>
          <w:sz w:val="24"/>
          <w:szCs w:val="24"/>
        </w:rPr>
        <w:t xml:space="preserve">26.1.7不符合招标文件中规定的实质性要求和条件的（</w:t>
      </w:r>
      <w:r>
        <w:rPr>
          <w:rFonts w:hint="eastAsia" w:ascii="宋体" w:hAnsi="宋体" w:cs="宋体"/>
          <w:i/>
          <w:sz w:val="24"/>
          <w:szCs w:val="24"/>
          <w:u w:val="single"/>
        </w:rPr>
        <w:t xml:space="preserve">本招标文件中斜体且有下划线部分为实质性要求和条件）。</w:t>
      </w:r>
      <w:r/>
    </w:p>
    <w:p>
      <w:pPr>
        <w:ind w:firstLine="480"/>
        <w:spacing w:line="520" w:lineRule="exact"/>
        <w:rPr>
          <w:rFonts w:ascii="宋体" w:hAnsi="宋体" w:cs="宋体"/>
          <w:sz w:val="24"/>
          <w:szCs w:val="24"/>
        </w:rPr>
      </w:pPr>
      <w:r>
        <w:rPr>
          <w:rFonts w:hint="eastAsia" w:ascii="宋体" w:hAnsi="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26.1.9投标文件含有采购人不能接受的附加条件的。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26.1.10投标人不能证明其报价合理性的，评标委员会应当将其作为无效投标处理。</w:t>
      </w:r>
      <w:r/>
    </w:p>
    <w:p>
      <w:pPr>
        <w:ind w:firstLine="480"/>
        <w:spacing w:line="520" w:lineRule="exact"/>
        <w:rPr>
          <w:rFonts w:ascii="宋体" w:hAnsi="宋体" w:cs="宋体"/>
          <w:sz w:val="24"/>
          <w:szCs w:val="24"/>
        </w:rPr>
      </w:pPr>
      <w:r>
        <w:rPr>
          <w:rFonts w:hint="eastAsia" w:ascii="宋体" w:hAnsi="宋体" w:cs="宋体"/>
          <w:sz w:val="24"/>
          <w:szCs w:val="24"/>
        </w:rPr>
        <w:t xml:space="preserve">（一）评审过程中出现下列情形之一的，评标委员会应当启动异常低价投标审查程序：</w:t>
      </w:r>
      <w:r/>
    </w:p>
    <w:p>
      <w:pPr>
        <w:ind w:firstLine="480"/>
        <w:spacing w:line="520" w:lineRule="exact"/>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520" w:lineRule="exact"/>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520" w:lineRule="exact"/>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480"/>
        <w:spacing w:line="52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520" w:lineRule="exact"/>
        <w:rPr>
          <w:rFonts w:ascii="宋体" w:hAnsi="宋体" w:cs="宋体"/>
          <w:sz w:val="24"/>
          <w:szCs w:val="24"/>
        </w:rPr>
      </w:pPr>
      <w:r>
        <w:rPr>
          <w:rFonts w:hint="eastAsia" w:ascii="宋体" w:hAnsi="宋体" w:cs="宋体"/>
          <w:sz w:val="24"/>
          <w:szCs w:val="24"/>
        </w:rPr>
        <w:t xml:space="preserve">相关法律法规对供应商报价有规定的，从其规定。</w:t>
      </w:r>
      <w:r/>
    </w:p>
    <w:p>
      <w:pPr>
        <w:ind w:firstLine="480"/>
        <w:spacing w:line="520" w:lineRule="exact"/>
        <w:rPr>
          <w:rFonts w:ascii="宋体" w:hAnsi="宋体" w:cs="宋体"/>
          <w:sz w:val="24"/>
          <w:szCs w:val="24"/>
        </w:rPr>
      </w:pPr>
      <w:r>
        <w:rPr>
          <w:rFonts w:hint="eastAsia" w:ascii="宋体" w:hAnsi="宋体" w:cs="宋体"/>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至少包含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ascii="宋体" w:hAnsi="宋体" w:cs="宋体"/>
          <w:sz w:val="24"/>
          <w:szCs w:val="24"/>
        </w:rPr>
      </w:pPr>
      <w:r>
        <w:rPr>
          <w:rFonts w:hint="eastAsia" w:ascii="宋体" w:hAnsi="宋体" w:cs="宋体"/>
          <w:sz w:val="24"/>
          <w:szCs w:val="24"/>
        </w:rPr>
        <w:t xml:space="preserve">26.1.11投标文件未按照招标文件要求加盖CA电子公章的。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26.1.12其他法律、法规及本招标文件规定的属无效投标的情形。</w:t>
      </w:r>
      <w:r/>
    </w:p>
    <w:p>
      <w:pPr>
        <w:ind w:firstLine="480"/>
        <w:spacing w:line="520" w:lineRule="exact"/>
        <w:rPr>
          <w:rFonts w:ascii="宋体" w:hAnsi="宋体" w:cs="宋体"/>
          <w:sz w:val="24"/>
          <w:szCs w:val="24"/>
        </w:rPr>
      </w:pPr>
      <w:r>
        <w:rPr>
          <w:rFonts w:hint="eastAsia" w:ascii="宋体" w:hAnsi="宋体" w:cs="宋体"/>
          <w:sz w:val="24"/>
          <w:szCs w:val="24"/>
        </w:rPr>
        <w:t xml:space="preserve">26.2废标条款</w:t>
      </w:r>
      <w:r/>
    </w:p>
    <w:p>
      <w:pPr>
        <w:ind w:firstLine="480"/>
        <w:spacing w:line="520" w:lineRule="exact"/>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80"/>
        <w:spacing w:line="520" w:lineRule="exact"/>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480"/>
        <w:spacing w:line="520" w:lineRule="exact"/>
        <w:rPr>
          <w:rFonts w:ascii="宋体" w:hAnsi="宋体" w:cs="宋体"/>
          <w:sz w:val="24"/>
          <w:szCs w:val="24"/>
        </w:rPr>
      </w:pPr>
      <w:r>
        <w:rPr>
          <w:rFonts w:hint="eastAsia" w:ascii="宋体" w:hAnsi="宋体" w:cs="宋体"/>
          <w:sz w:val="24"/>
          <w:szCs w:val="24"/>
        </w:rPr>
        <w:t xml:space="preserve">26.2.3因重大变故，采购任务取消的。</w:t>
      </w:r>
      <w:r/>
    </w:p>
    <w:p>
      <w:pPr>
        <w:ind w:firstLine="480"/>
        <w:spacing w:line="520" w:lineRule="exact"/>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480"/>
        <w:spacing w:line="520" w:lineRule="exact"/>
        <w:rPr>
          <w:rFonts w:ascii="宋体" w:hAnsi="宋体" w:cs="宋体"/>
          <w:sz w:val="24"/>
          <w:szCs w:val="24"/>
        </w:rPr>
      </w:pPr>
      <w:r>
        <w:rPr>
          <w:rFonts w:hint="eastAsia" w:ascii="宋体" w:hAnsi="宋体" w:cs="宋体"/>
          <w:sz w:val="24"/>
          <w:szCs w:val="24"/>
        </w:rPr>
        <w:t xml:space="preserve">26.2.5因苏采云系统系统故障原因造成开标不成功的。</w:t>
      </w:r>
      <w:r/>
    </w:p>
    <w:p>
      <w:pPr>
        <w:ind w:firstLine="480"/>
        <w:spacing w:line="520" w:lineRule="exact"/>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80"/>
        <w:spacing w:line="520" w:lineRule="exact"/>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ascii="宋体" w:hAnsi="宋体" w:cs="宋体"/>
          <w:sz w:val="24"/>
          <w:szCs w:val="24"/>
        </w:rPr>
      </w:pPr>
      <w:r/>
      <w:bookmarkStart w:id="140" w:name="_Toc120614219"/>
      <w:r>
        <w:rPr>
          <w:rFonts w:hint="eastAsia" w:ascii="宋体" w:hAnsi="宋体" w:cs="宋体"/>
          <w:b/>
          <w:sz w:val="24"/>
          <w:szCs w:val="24"/>
        </w:rPr>
        <w:t xml:space="preserve">六、定标</w:t>
      </w:r>
      <w:bookmarkEnd w:id="140"/>
      <w:r/>
      <w:r/>
    </w:p>
    <w:p>
      <w:pPr>
        <w:ind w:firstLine="480"/>
        <w:keepLines/>
        <w:keepNext/>
        <w:spacing w:line="520" w:lineRule="exact"/>
        <w:rPr>
          <w:rFonts w:ascii="宋体" w:hAnsi="宋体" w:cs="宋体"/>
          <w:sz w:val="24"/>
          <w:szCs w:val="24"/>
        </w:rPr>
      </w:pPr>
      <w:r/>
      <w:bookmarkStart w:id="141" w:name="_Toc20823310"/>
      <w:r/>
      <w:bookmarkStart w:id="142" w:name="_Toc513029238"/>
      <w:r/>
      <w:bookmarkStart w:id="143" w:name="_Toc16938554"/>
      <w:r>
        <w:rPr>
          <w:rFonts w:hint="eastAsia" w:ascii="宋体" w:hAnsi="宋体" w:cs="宋体"/>
          <w:sz w:val="24"/>
          <w:szCs w:val="24"/>
        </w:rPr>
        <w:t xml:space="preserve">27</w:t>
      </w:r>
      <w:bookmarkEnd w:id="141"/>
      <w:r>
        <w:rPr>
          <w:rFonts w:hint="eastAsia" w:ascii="宋体" w:hAnsi="宋体" w:cs="宋体"/>
          <w:sz w:val="24"/>
          <w:szCs w:val="24"/>
        </w:rPr>
        <w:t xml:space="preserve">.确定</w:t>
      </w:r>
      <w:bookmarkEnd w:id="142"/>
      <w:r/>
      <w:bookmarkEnd w:id="143"/>
      <w:r>
        <w:rPr>
          <w:rFonts w:hint="eastAsia" w:ascii="宋体" w:hAnsi="宋体" w:cs="宋体"/>
          <w:sz w:val="24"/>
          <w:szCs w:val="24"/>
        </w:rPr>
        <w:t xml:space="preserve">中标单位</w:t>
      </w:r>
      <w:r/>
    </w:p>
    <w:p>
      <w:pPr>
        <w:ind w:firstLine="480"/>
        <w:spacing w:line="520" w:lineRule="exact"/>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480"/>
        <w:spacing w:line="520" w:lineRule="exact"/>
        <w:rPr>
          <w:rFonts w:ascii="宋体" w:hAnsi="宋体" w:cs="宋体"/>
          <w:sz w:val="24"/>
          <w:szCs w:val="24"/>
        </w:rPr>
      </w:pPr>
      <w:r>
        <w:rPr>
          <w:rFonts w:hint="eastAsia" w:ascii="宋体" w:hAnsi="宋体" w:cs="宋体"/>
          <w:sz w:val="24"/>
          <w:szCs w:val="24"/>
        </w:rPr>
        <w:t xml:space="preserve">27.2采购人应根据评委会推荐的中标候选人确定中标人。</w:t>
      </w:r>
      <w:r/>
    </w:p>
    <w:p>
      <w:pPr>
        <w:ind w:firstLine="480"/>
        <w:spacing w:line="520" w:lineRule="exact"/>
        <w:rPr>
          <w:rFonts w:ascii="宋体" w:hAnsi="宋体" w:cs="宋体"/>
          <w:sz w:val="24"/>
          <w:szCs w:val="24"/>
        </w:rPr>
      </w:pPr>
      <w:r>
        <w:rPr>
          <w:rFonts w:hint="eastAsia" w:ascii="宋体" w:hAnsi="宋体" w:cs="宋体"/>
          <w:sz w:val="24"/>
          <w:szCs w:val="24"/>
        </w:rPr>
        <w:t xml:space="preserve">27.3采购人将在“中国政府采购网”、“江苏政府采购网”、“盐城市政府采购网”发布中标公告，公告期限为1个工作日。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27.4若有充分证据证明，中标人出现下列情况之一的，一经查实，将被取消中标资格：</w:t>
      </w:r>
      <w:r/>
    </w:p>
    <w:p>
      <w:pPr>
        <w:ind w:firstLine="480"/>
        <w:spacing w:line="520" w:lineRule="exact"/>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520" w:lineRule="exact"/>
        <w:rPr>
          <w:rFonts w:ascii="宋体" w:hAnsi="宋体" w:cs="宋体"/>
          <w:sz w:val="24"/>
          <w:szCs w:val="24"/>
        </w:rPr>
      </w:pPr>
      <w:r>
        <w:rPr>
          <w:rFonts w:hint="eastAsia" w:ascii="宋体" w:hAnsi="宋体" w:cs="宋体"/>
          <w:sz w:val="24"/>
          <w:szCs w:val="24"/>
        </w:rPr>
        <w:t xml:space="preserve">27.4.2向采购人、招标代理机构行贿或者提供其他不正当利益的。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520" w:lineRule="exact"/>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520" w:lineRule="exact"/>
        <w:rPr>
          <w:rFonts w:ascii="宋体" w:hAnsi="宋体" w:cs="宋体"/>
          <w:sz w:val="24"/>
          <w:szCs w:val="24"/>
        </w:rPr>
      </w:pPr>
      <w:r/>
      <w:bookmarkStart w:id="144" w:name="_Toc200451960"/>
      <w:r>
        <w:rPr>
          <w:rFonts w:hint="eastAsia" w:ascii="宋体" w:hAnsi="宋体" w:cs="宋体"/>
          <w:sz w:val="24"/>
          <w:szCs w:val="24"/>
        </w:rPr>
        <w:t xml:space="preserve">27.5 有下列情形之一的，视为投标人串通投标，投标无效：</w:t>
      </w:r>
      <w:bookmarkEnd w:id="144"/>
      <w:r/>
      <w:r/>
    </w:p>
    <w:p>
      <w:pPr>
        <w:ind w:firstLine="480"/>
        <w:spacing w:line="520" w:lineRule="exact"/>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520" w:lineRule="exact"/>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520" w:lineRule="exact"/>
        <w:rPr>
          <w:rFonts w:ascii="宋体" w:hAnsi="宋体" w:cs="宋体"/>
          <w:sz w:val="24"/>
          <w:szCs w:val="24"/>
        </w:rPr>
      </w:pPr>
      <w:r>
        <w:rPr>
          <w:rFonts w:hint="eastAsia" w:ascii="宋体" w:hAnsi="宋体" w:cs="宋体"/>
          <w:sz w:val="24"/>
          <w:szCs w:val="24"/>
        </w:rPr>
        <w:t xml:space="preserve">27.5.3不同投标人的投标文件载明的项目管理成员或者联系人员为同一人。</w:t>
      </w:r>
      <w:r/>
    </w:p>
    <w:p>
      <w:pPr>
        <w:ind w:firstLine="480"/>
        <w:spacing w:line="520" w:lineRule="exact"/>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28.质疑处理</w:t>
      </w:r>
      <w:r/>
    </w:p>
    <w:p>
      <w:pPr>
        <w:ind w:firstLine="480"/>
        <w:spacing w:line="520" w:lineRule="exact"/>
        <w:rPr>
          <w:rFonts w:ascii="宋体" w:hAnsi="宋体" w:cs="宋体"/>
          <w:sz w:val="24"/>
          <w:szCs w:val="24"/>
        </w:rPr>
      </w:pPr>
      <w:r>
        <w:rPr>
          <w:rFonts w:hint="eastAsia" w:ascii="宋体" w:hAnsi="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520" w:lineRule="exact"/>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firstLine="480"/>
        <w:jc w:val="left"/>
        <w:spacing w:line="520" w:lineRule="exact"/>
        <w:tabs>
          <w:tab w:val="left" w:pos="1331" w:leader="none"/>
        </w:tabs>
        <w:rPr>
          <w:rFonts w:ascii="宋体" w:hAnsi="宋体" w:cs="宋体"/>
          <w:sz w:val="24"/>
          <w:szCs w:val="24"/>
        </w:rPr>
      </w:pPr>
      <w:r>
        <w:rPr>
          <w:rFonts w:hint="eastAsia" w:ascii="宋体" w:hAnsi="宋体" w:cs="宋体"/>
          <w:sz w:val="24"/>
          <w:szCs w:val="24"/>
        </w:rPr>
        <w:t xml:space="preserve">招标代理机构及采购人只接收以纸质原件形式送达的质疑，采购人和招标代理机构不接受未填写快递运单的快件。质疑接收地址：盐城青年西路8号8楼805，联系电话：0515-69057406。</w:t>
      </w:r>
      <w:r/>
    </w:p>
    <w:p>
      <w:pPr>
        <w:ind w:firstLine="480"/>
        <w:spacing w:line="52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28.5.1内容不符合《政府采购质疑和投诉办法》第十二条规定的质疑。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28.5.2超出政府采购法定期限的质疑。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28.5.3以传真、电子邮件等方式递交的非原件形式的质疑。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28.5.4未参加投标活动的供应商或在投标活动中自身权益未受到损害的供应商所提出的质疑。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29.中标通知书</w:t>
      </w:r>
      <w:r/>
    </w:p>
    <w:p>
      <w:pPr>
        <w:ind w:firstLine="480"/>
        <w:spacing w:line="520" w:lineRule="exact"/>
        <w:rPr>
          <w:rFonts w:ascii="宋体" w:hAnsi="宋体" w:cs="宋体"/>
          <w:sz w:val="24"/>
          <w:szCs w:val="24"/>
        </w:rPr>
      </w:pPr>
      <w:r>
        <w:rPr>
          <w:rFonts w:hint="eastAsia" w:ascii="宋体" w:hAnsi="宋体" w:cs="宋体"/>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520" w:lineRule="exact"/>
        <w:rPr>
          <w:rFonts w:ascii="宋体" w:hAnsi="宋体" w:cs="宋体"/>
          <w:sz w:val="24"/>
          <w:szCs w:val="24"/>
        </w:rPr>
      </w:pPr>
      <w:r/>
      <w:bookmarkStart w:id="145" w:name="_Toc513029236"/>
      <w:r/>
      <w:bookmarkStart w:id="146" w:name="_Toc120614220"/>
      <w:r/>
      <w:bookmarkStart w:id="147" w:name="_Toc20823308"/>
      <w:r/>
      <w:bookmarkStart w:id="148" w:name="_Toc16938552"/>
      <w:r>
        <w:rPr>
          <w:rFonts w:hint="eastAsia" w:ascii="宋体" w:hAnsi="宋体" w:cs="宋体"/>
          <w:b/>
          <w:sz w:val="24"/>
          <w:szCs w:val="24"/>
        </w:rPr>
        <w:t xml:space="preserve">七、授予合同</w:t>
      </w:r>
      <w:bookmarkEnd w:id="145"/>
      <w:r/>
      <w:bookmarkEnd w:id="146"/>
      <w:r/>
      <w:bookmarkEnd w:id="147"/>
      <w:r/>
      <w:bookmarkEnd w:id="148"/>
      <w:r/>
      <w:r/>
    </w:p>
    <w:p>
      <w:pPr>
        <w:ind w:firstLine="480"/>
        <w:keepLines/>
        <w:keepNext/>
        <w:spacing w:line="520" w:lineRule="exact"/>
        <w:rPr>
          <w:rFonts w:ascii="宋体" w:hAnsi="宋体" w:cs="宋体"/>
          <w:sz w:val="24"/>
          <w:szCs w:val="24"/>
        </w:rPr>
      </w:pPr>
      <w:r/>
      <w:bookmarkStart w:id="149" w:name="_Toc16938553"/>
      <w:r/>
      <w:bookmarkStart w:id="150" w:name="_Toc20823309"/>
      <w:r/>
      <w:bookmarkStart w:id="151" w:name="_Toc513029237"/>
      <w:r>
        <w:rPr>
          <w:rFonts w:hint="eastAsia" w:ascii="宋体" w:hAnsi="宋体" w:cs="宋体"/>
          <w:sz w:val="24"/>
          <w:szCs w:val="24"/>
        </w:rPr>
        <w:t xml:space="preserve">30.签订合同</w:t>
      </w:r>
      <w:bookmarkEnd w:id="149"/>
      <w:r/>
      <w:bookmarkEnd w:id="150"/>
      <w:r/>
      <w:bookmarkEnd w:id="151"/>
      <w:r/>
      <w:r/>
    </w:p>
    <w:p>
      <w:pPr>
        <w:ind w:firstLine="480"/>
        <w:spacing w:line="520" w:lineRule="exact"/>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480"/>
        <w:spacing w:line="520" w:lineRule="exact"/>
        <w:rPr>
          <w:rFonts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p>
    <w:p>
      <w:pPr>
        <w:ind w:firstLine="480"/>
        <w:spacing w:line="520" w:lineRule="exact"/>
        <w:rPr>
          <w:rFonts w:ascii="宋体" w:hAnsi="宋体" w:cs="宋体"/>
          <w:sz w:val="24"/>
          <w:szCs w:val="24"/>
        </w:rPr>
      </w:pPr>
      <w:r>
        <w:rPr>
          <w:rFonts w:hint="eastAsia" w:ascii="宋体" w:hAnsi="宋体" w:cs="宋体"/>
          <w:sz w:val="24"/>
          <w:szCs w:val="24"/>
        </w:rPr>
        <w:t xml:space="preserve">30.3签订合同后，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31.服务（包含与服务相关的货物）的追加</w:t>
      </w:r>
      <w:r/>
    </w:p>
    <w:p>
      <w:pPr>
        <w:ind w:firstLine="480"/>
        <w:spacing w:line="52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32.政府采购政策功能落实</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32.1政府采购线上合同信用融资政策</w:t>
      </w:r>
      <w:r/>
    </w:p>
    <w:p>
      <w:pPr>
        <w:ind w:firstLine="480"/>
        <w:spacing w:line="520" w:lineRule="exact"/>
        <w:rPr>
          <w:rFonts w:ascii="宋体" w:hAnsi="宋体" w:cs="宋体"/>
          <w:sz w:val="24"/>
          <w:szCs w:val="24"/>
        </w:rPr>
      </w:pPr>
      <w:r>
        <w:rPr>
          <w:rFonts w:hint="eastAsia" w:ascii="宋体" w:hAnsi="宋体" w:cs="宋体"/>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32.2进口产品</w:t>
      </w:r>
      <w:r/>
    </w:p>
    <w:p>
      <w:pPr>
        <w:ind w:firstLine="480"/>
        <w:spacing w:line="520" w:lineRule="exact"/>
        <w:rPr>
          <w:rFonts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32.3中小企业、监狱企业及残疾人福利性单位</w:t>
      </w:r>
      <w:r/>
    </w:p>
    <w:p>
      <w:pPr>
        <w:ind w:firstLine="480"/>
        <w:spacing w:line="520" w:lineRule="exact"/>
        <w:rPr>
          <w:rFonts w:ascii="宋体" w:hAnsi="宋体" w:cs="宋体"/>
          <w:sz w:val="24"/>
          <w:szCs w:val="24"/>
        </w:rPr>
      </w:pPr>
      <w:r>
        <w:rPr>
          <w:rFonts w:hint="eastAsia" w:ascii="宋体" w:hAnsi="宋体" w:cs="宋体"/>
          <w:sz w:val="24"/>
          <w:szCs w:val="24"/>
        </w:rPr>
        <w:t xml:space="preserve">32.3.1中小企业定义：</w:t>
      </w:r>
      <w:r/>
    </w:p>
    <w:p>
      <w:pPr>
        <w:ind w:firstLine="480"/>
        <w:spacing w:line="520" w:lineRule="exact"/>
        <w:rPr>
          <w:rFonts w:ascii="宋体" w:hAnsi="宋体" w:cs="宋体"/>
          <w:sz w:val="24"/>
          <w:szCs w:val="24"/>
        </w:rPr>
      </w:pPr>
      <w:r>
        <w:rPr>
          <w:rFonts w:hint="eastAsia" w:ascii="宋体" w:hAnsi="宋体" w:cs="宋体"/>
          <w:sz w:val="24"/>
          <w:szCs w:val="24"/>
        </w:rPr>
        <w:t xml:space="preserve">中小企业是</w:t>
      </w:r>
      <w:r>
        <w:rPr>
          <w:rFonts w:hint="eastAsia"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rPr>
          <w:rFonts w:ascii="宋体" w:hAnsi="宋体" w:cs="宋体"/>
          <w:sz w:val="24"/>
          <w:szCs w:val="24"/>
        </w:rPr>
      </w:pPr>
      <w:r>
        <w:rPr>
          <w:rFonts w:hint="eastAsia" w:ascii="宋体" w:hAnsi="宋体" w:cs="宋体"/>
          <w:sz w:val="24"/>
          <w:szCs w:val="24"/>
        </w:rPr>
        <w:t xml:space="preserve">32.3.2供应商提供的货物、工程或者服务符合下列情形的，享受中小企业扶持政策：</w:t>
      </w:r>
      <w:r/>
    </w:p>
    <w:p>
      <w:pPr>
        <w:ind w:firstLine="480"/>
        <w:spacing w:line="520" w:lineRule="exact"/>
        <w:rPr>
          <w:rFonts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p>
    <w:p>
      <w:pPr>
        <w:ind w:firstLine="480"/>
        <w:spacing w:line="520" w:lineRule="exact"/>
        <w:rPr>
          <w:rFonts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ind w:firstLine="480"/>
        <w:spacing w:line="520" w:lineRule="exact"/>
        <w:rPr>
          <w:rFonts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520" w:lineRule="exact"/>
        <w:rPr>
          <w:rFonts w:ascii="宋体" w:hAnsi="宋体" w:cs="宋体"/>
          <w:sz w:val="24"/>
          <w:szCs w:val="24"/>
        </w:rPr>
      </w:pPr>
      <w:r>
        <w:rPr>
          <w:rFonts w:hint="eastAsia"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520" w:lineRule="exact"/>
        <w:rPr>
          <w:rFonts w:ascii="宋体" w:hAnsi="宋体" w:cs="宋体"/>
          <w:sz w:val="24"/>
          <w:szCs w:val="24"/>
        </w:rPr>
      </w:pPr>
      <w:r>
        <w:rPr>
          <w:rFonts w:hint="eastAsia"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rPr>
          <w:rFonts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p>
    <w:p>
      <w:pPr>
        <w:ind w:firstLine="480"/>
        <w:spacing w:line="520" w:lineRule="exact"/>
        <w:rPr>
          <w:rFonts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 人（含10 人）；</w:t>
      </w:r>
      <w:r/>
    </w:p>
    <w:p>
      <w:pPr>
        <w:ind w:firstLine="480"/>
        <w:spacing w:line="520" w:lineRule="exact"/>
        <w:rPr>
          <w:rFonts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ind w:firstLine="480"/>
        <w:spacing w:line="520" w:lineRule="exact"/>
        <w:rPr>
          <w:rFonts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520" w:lineRule="exact"/>
        <w:rPr>
          <w:rFonts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520" w:lineRule="exact"/>
        <w:rPr>
          <w:rFonts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rPr>
          <w:rFonts w:ascii="宋体" w:hAnsi="宋体" w:cs="宋体"/>
          <w:sz w:val="24"/>
          <w:szCs w:val="24"/>
        </w:rPr>
      </w:pPr>
      <w:r>
        <w:rPr>
          <w:rFonts w:hint="eastAsia" w:ascii="宋体" w:hAnsi="宋体" w:cs="宋体"/>
          <w:sz w:val="24"/>
          <w:szCs w:val="24"/>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20" w:lineRule="exact"/>
        <w:rPr>
          <w:rFonts w:ascii="宋体" w:hAnsi="宋体" w:cs="宋体"/>
          <w:sz w:val="24"/>
          <w:szCs w:val="24"/>
        </w:rPr>
      </w:pPr>
      <w:r>
        <w:rPr>
          <w:rFonts w:hint="eastAsia" w:ascii="宋体" w:hAnsi="宋体" w:cs="宋体"/>
          <w:sz w:val="24"/>
          <w:szCs w:val="24"/>
        </w:rPr>
        <w:t xml:space="preserve">32.3.7本项目是否专门面向中小企业预留采购份额见第一章《招标公告》。</w:t>
      </w:r>
      <w:r/>
    </w:p>
    <w:p>
      <w:pPr>
        <w:ind w:firstLine="480"/>
        <w:spacing w:line="520" w:lineRule="exact"/>
        <w:rPr>
          <w:rFonts w:ascii="宋体" w:hAnsi="宋体" w:cs="宋体"/>
          <w:sz w:val="24"/>
          <w:szCs w:val="24"/>
        </w:rPr>
      </w:pPr>
      <w:r>
        <w:rPr>
          <w:rFonts w:hint="eastAsia" w:ascii="宋体" w:hAnsi="宋体" w:cs="宋体"/>
          <w:sz w:val="24"/>
          <w:szCs w:val="24"/>
        </w:rPr>
        <w:t xml:space="preserve">32.3.8采购标的对应的中小企业划分标准所属行业见第四章《采购需求》。</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32.4政府采购节能产品、环境标志产品</w:t>
      </w:r>
      <w:r/>
    </w:p>
    <w:p>
      <w:pPr>
        <w:ind w:firstLine="480"/>
        <w:spacing w:line="520" w:lineRule="exact"/>
        <w:rPr>
          <w:rFonts w:ascii="宋体" w:hAnsi="宋体" w:cs="宋体"/>
          <w:sz w:val="24"/>
          <w:szCs w:val="24"/>
        </w:rPr>
      </w:pPr>
      <w:r>
        <w:rPr>
          <w:rFonts w:hint="eastAsia" w:ascii="宋体" w:hAnsi="宋体" w:cs="宋体"/>
          <w:sz w:val="24"/>
          <w:szCs w:val="24"/>
        </w:rPr>
        <w:t xml:space="preserve">32.4.1严格执行政府采购关于支持</w:t>
      </w:r>
      <w:r>
        <w:rPr>
          <w:rFonts w:hint="eastAsia" w:ascii="宋体" w:hAnsi="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ascii="宋体" w:hAnsi="宋体" w:cs="宋体"/>
          <w:sz w:val="24"/>
          <w:szCs w:val="24"/>
        </w:rPr>
      </w:pPr>
      <w:r>
        <w:rPr>
          <w:rFonts w:hint="eastAsia"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ascii="宋体" w:hAnsi="宋体" w:cs="宋体"/>
          <w:sz w:val="24"/>
          <w:szCs w:val="24"/>
        </w:rPr>
      </w:pPr>
      <w:r>
        <w:rPr>
          <w:rFonts w:hint="eastAsia" w:ascii="宋体" w:hAnsi="宋体" w:cs="宋体"/>
          <w:sz w:val="24"/>
          <w:szCs w:val="24"/>
        </w:rPr>
        <w:t xml:space="preserve">32.5绿色包装</w:t>
      </w:r>
      <w:r/>
    </w:p>
    <w:p>
      <w:pPr>
        <w:ind w:firstLine="480"/>
        <w:spacing w:line="520" w:lineRule="exact"/>
        <w:rPr>
          <w:rFonts w:ascii="宋体" w:hAnsi="宋体" w:cs="宋体"/>
          <w:sz w:val="24"/>
          <w:szCs w:val="24"/>
        </w:rPr>
      </w:pPr>
      <w:r>
        <w:rPr>
          <w:rFonts w:hint="eastAsia"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32.6政府采购创新产品</w:t>
      </w:r>
      <w:r/>
    </w:p>
    <w:p>
      <w:pPr>
        <w:ind w:firstLine="480"/>
        <w:spacing w:line="520" w:lineRule="exact"/>
        <w:rPr>
          <w:rFonts w:ascii="宋体" w:hAnsi="宋体" w:cs="宋体"/>
          <w:sz w:val="24"/>
          <w:szCs w:val="24"/>
        </w:rPr>
      </w:pPr>
      <w:r>
        <w:rPr>
          <w:rFonts w:hint="eastAsia" w:ascii="宋体" w:hAnsi="宋体" w:cs="宋体"/>
          <w:sz w:val="24"/>
          <w:szCs w:val="24"/>
        </w:rPr>
        <w:t xml:space="preserve">采购人优先采购各级政府部门公开发布的有效期内的创新产品、创新服务、首台套、首购首用等《目录》的创新产品。</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32.7绿色数据中心政策</w:t>
      </w:r>
      <w:r/>
    </w:p>
    <w:p>
      <w:pPr>
        <w:ind w:firstLine="480"/>
        <w:spacing w:line="520" w:lineRule="exact"/>
        <w:rPr>
          <w:rFonts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本文件中若涉及到数据中心采购，采购人应依据《绿色数据中心政府采购需求标准（试行）》（财办库〔2023〕7号）文件精神</w:t>
      </w:r>
      <w:r>
        <w:rPr>
          <w:rFonts w:hint="eastAsia" w:ascii="宋体" w:hAnsi="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rPr>
          <w:rFonts w:ascii="宋体" w:hAnsi="宋体" w:cs="宋体"/>
          <w:sz w:val="24"/>
          <w:szCs w:val="24"/>
        </w:rPr>
      </w:pPr>
      <w:r>
        <w:rPr>
          <w:rFonts w:hint="eastAsia" w:ascii="宋体" w:hAnsi="宋体" w:cs="宋体"/>
          <w:sz w:val="24"/>
          <w:szCs w:val="24"/>
        </w:rPr>
        <w:t xml:space="preserve">32.8实施本国产品标准及相关政策</w:t>
      </w:r>
      <w:r/>
    </w:p>
    <w:p>
      <w:pPr>
        <w:ind w:firstLine="480"/>
        <w:spacing w:line="520" w:lineRule="exact"/>
        <w:rPr>
          <w:rFonts w:ascii="宋体" w:hAnsi="宋体" w:cs="宋体"/>
          <w:sz w:val="24"/>
          <w:szCs w:val="24"/>
        </w:rPr>
      </w:pPr>
      <w:r>
        <w:rPr>
          <w:rFonts w:hint="eastAsia" w:ascii="宋体" w:hAnsi="宋体" w:cs="宋体"/>
          <w:sz w:val="24"/>
          <w:szCs w:val="24"/>
        </w:rPr>
        <w:t xml:space="preserve">32.8.1本项目对采购本国产品给予政策支持，具体内容见招标文件“第五章 评标方法与评标标准”。</w:t>
      </w:r>
      <w:r/>
    </w:p>
    <w:p>
      <w:pPr>
        <w:ind w:firstLine="480"/>
        <w:spacing w:line="520" w:lineRule="exact"/>
        <w:rPr>
          <w:rFonts w:ascii="宋体" w:hAnsi="宋体" w:cs="宋体"/>
          <w:sz w:val="24"/>
          <w:szCs w:val="24"/>
        </w:rPr>
      </w:pPr>
      <w:r>
        <w:rPr>
          <w:rFonts w:hint="eastAsia" w:ascii="宋体" w:hAnsi="宋体" w:cs="宋体"/>
          <w:sz w:val="24"/>
          <w:szCs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cs="宋体"/>
          <w:sz w:val="24"/>
          <w:szCs w:val="24"/>
        </w:rPr>
      </w:pPr>
      <w:r>
        <w:rPr>
          <w:rFonts w:hint="eastAsia" w:ascii="宋体" w:hAnsi="宋体" w:cs="宋体"/>
          <w:sz w:val="24"/>
          <w:szCs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ascii="宋体" w:hAnsi="宋体" w:cs="宋体"/>
          <w:sz w:val="24"/>
          <w:szCs w:val="24"/>
        </w:rPr>
      </w:pPr>
      <w:r>
        <w:rPr>
          <w:rFonts w:hint="eastAsia" w:ascii="宋体" w:hAnsi="宋体" w:cs="宋体"/>
          <w:sz w:val="24"/>
          <w:szCs w:val="24"/>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32.9履约保证金政策</w:t>
      </w:r>
      <w:r/>
    </w:p>
    <w:p>
      <w:pPr>
        <w:ind w:firstLine="480"/>
        <w:spacing w:line="520" w:lineRule="exact"/>
        <w:rPr>
          <w:rFonts w:ascii="宋体" w:hAnsi="宋体" w:cs="宋体"/>
          <w:sz w:val="24"/>
          <w:szCs w:val="24"/>
        </w:rPr>
      </w:pPr>
      <w:r>
        <w:rPr>
          <w:rFonts w:hint="eastAsia" w:ascii="宋体" w:hAnsi="宋体" w:cs="宋体"/>
          <w:sz w:val="24"/>
          <w:szCs w:val="24"/>
        </w:rPr>
        <w:t xml:space="preserve">确需收取履约保证金的，履约保证金的缴纳形式：</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cs="宋体"/>
          <w:sz w:val="24"/>
          <w:szCs w:val="24"/>
        </w:rPr>
      </w:pPr>
      <w:r>
        <w:rPr>
          <w:rFonts w:hint="eastAsia" w:ascii="宋体" w:hAnsi="宋体" w:cs="宋体"/>
          <w:sz w:val="24"/>
          <w:szCs w:val="24"/>
        </w:rPr>
        <w:t xml:space="preserve">如以履约保函（保险）形式缴纳履约保证金，供应商可通过政府采购电子履约保函（保险）平台（www.jsdzbh.com）在线申请履约保函（保险）。</w:t>
      </w:r>
      <w:r/>
    </w:p>
    <w:p>
      <w:pPr>
        <w:ind w:firstLine="480"/>
        <w:spacing w:line="520" w:lineRule="exact"/>
        <w:rPr>
          <w:rFonts w:ascii="宋体" w:hAnsi="宋体" w:cs="宋体"/>
          <w:sz w:val="24"/>
          <w:szCs w:val="24"/>
        </w:rPr>
      </w:pPr>
      <w:r>
        <w:rPr>
          <w:rFonts w:hint="eastAsia" w:ascii="宋体" w:hAnsi="宋体" w:cs="宋体"/>
          <w:sz w:val="24"/>
          <w:szCs w:val="24"/>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0"/>
        <w:spacing w:line="520" w:lineRule="exact"/>
        <w:rPr>
          <w:rFonts w:ascii="宋体" w:hAnsi="宋体" w:cs="宋体"/>
          <w:sz w:val="24"/>
          <w:szCs w:val="24"/>
        </w:rPr>
      </w:pPr>
      <w:r>
        <w:rPr>
          <w:rFonts w:hint="eastAsia" w:ascii="宋体" w:hAnsi="宋体" w:cs="宋体"/>
          <w:sz w:val="24"/>
          <w:szCs w:val="24"/>
        </w:rPr>
        <w:t xml:space="preserve">33.预付款制度</w:t>
      </w:r>
      <w:r/>
    </w:p>
    <w:p>
      <w:pPr>
        <w:ind w:firstLine="480"/>
        <w:spacing w:line="520" w:lineRule="exact"/>
        <w:rPr>
          <w:rFonts w:ascii="宋体" w:hAnsi="宋体" w:cs="宋体"/>
          <w:sz w:val="24"/>
          <w:szCs w:val="24"/>
        </w:rPr>
      </w:pPr>
      <w:r>
        <w:rPr>
          <w:rFonts w:hint="eastAsia" w:ascii="宋体" w:hAnsi="宋体" w:cs="宋体"/>
          <w:sz w:val="24"/>
          <w:szCs w:val="24"/>
        </w:rPr>
        <w:t xml:space="preserve">本项目落实预付款制度，预付款比例为30%。在签订合同时，中标、成交供应商明确书面表示无需预付款或者主动要求降低预付款比例的，采购人可就预付款比例作相应调整。</w:t>
      </w:r>
      <w:r/>
    </w:p>
    <w:p>
      <w:pPr>
        <w:ind w:firstLine="482"/>
        <w:jc w:val="left"/>
        <w:spacing w:line="500" w:lineRule="exact"/>
        <w:rPr>
          <w:rFonts w:ascii="宋体" w:hAnsi="宋体" w:cs="宋体"/>
          <w:bCs/>
          <w:sz w:val="24"/>
        </w:rPr>
      </w:pPr>
      <w:r>
        <w:rPr>
          <w:rFonts w:hint="eastAsia" w:ascii="宋体" w:hAnsi="宋体" w:cs="宋体"/>
          <w:bCs/>
          <w:sz w:val="24"/>
        </w:rPr>
        <w:t xml:space="preserve">八、其他</w:t>
      </w:r>
      <w:r/>
    </w:p>
    <w:p>
      <w:pPr>
        <w:ind w:firstLine="480"/>
        <w:jc w:val="left"/>
        <w:spacing w:line="500" w:lineRule="exact"/>
        <w:rPr>
          <w:rFonts w:ascii="宋体" w:hAnsi="宋体" w:cs="宋体"/>
          <w:sz w:val="24"/>
          <w:szCs w:val="24"/>
        </w:rPr>
      </w:pPr>
      <w:r>
        <w:rPr>
          <w:rFonts w:hint="eastAsia" w:ascii="宋体" w:hAnsi="宋体" w:cs="宋体"/>
          <w:bCs/>
          <w:sz w:val="24"/>
        </w:rPr>
        <w:t xml:space="preserve">本项目代理机构按项目中标金额的下列比例收取代理服务费，由中标供应商在领取中标通知书前一次性向代理机构付清，中标金额在50万元以下（含）部分费率为55%，50万元至400万元（含）部分费率为0.825%，400万元至1000万（含）部分费率为0.495%。上述费用招标人已列入本采购项目预算总价中，中标人应自行综合考虑到投标报价中，无须单独列项，招标人不另支付上述费用。</w:t>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pStyle w:val="75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5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5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56"/>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56"/>
        <w:rPr>
          <w:rFonts w:ascii="宋体" w:hAnsi="宋体" w:cs="宋体"/>
          <w:sz w:val="24"/>
          <w:szCs w:val="24"/>
        </w:rPr>
      </w:pPr>
      <w:r>
        <w:rPr>
          <w:rFonts w:ascii="宋体" w:hAnsi="宋体" w:cs="宋体"/>
          <w:sz w:val="24"/>
          <w:szCs w:val="24"/>
        </w:rPr>
      </w:r>
      <w:r/>
    </w:p>
    <w:p>
      <w:r/>
      <w:r/>
    </w:p>
    <w:p>
      <w:pPr>
        <w:pStyle w:val="745"/>
      </w:pPr>
      <w:r>
        <w:rPr>
          <w:rFonts w:hint="eastAsia"/>
        </w:rPr>
        <w:t xml:space="preserve">第三章 合同文本格式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6"/>
        </w:rPr>
        <w:t xml:space="preserve">一标包合同文本格式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合同编号：</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54"/>
        <w:gridCol w:w="4454"/>
      </w:tblGrid>
      <w:tr>
        <w:trPr>
          <w:trHeight w:val="320"/>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采购人（以下称甲方）</w:t>
            </w:r>
            <w:r/>
          </w:p>
        </w:tc>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供应商：（以下称乙方）</w:t>
            </w:r>
            <w:r/>
          </w:p>
        </w:tc>
      </w:tr>
      <w:tr>
        <w:trPr>
          <w:trHeight w:val="320"/>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根据《中华人民共和国政府采购法》《中华人民共和国民法典》等法律法规的规定，甲乙双方按照采购代理机构的采购结果签订本合同。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第一条合同标的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乙方根据甲方需求提供下列服务：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一标包项目招标前全流程信息化咨询与管理服务，服务内容主要包含：咨询设计、设计概算（前期论证造价）、组织项目评审服务等。服务内容详见招标文件项目需求。</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第二条合同总价款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本合同项下折扣率为___________（100%-中标优惠率）。本项目预算金额为170万元。</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本合同总价款除采购文件和响应文件中要求的内容以外，还包含以下内容：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（1）完成本服务项目发生的所有含税费用；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（2）支付给员工的工资和国家强制缴纳的各种社会保障资金；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（3）乙方应当提供的伴随服务/售后服务费用；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（4）供应商认为需要的其他费用。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甲方除此费用外不再向乙方支付其他任何费用。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第三条合同期限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自本合同生效之日起，至乙方所承诺的服务期届满之日。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第四条组成本合同的有关文件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招标（采购）文件、投标（响应）文件，以及与本次采购活动相关的文件及有关附件是本合同不可分割的组成部分，与本合同具有同等法律效力，这些文件包括但不限于：</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（1）服务承诺；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（2）中标（成交）通知书；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（3）甲乙双方商定的其它文件。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第五条权利保证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乙方应保证向甲方提供的本合同项下服务任何一部分不受第三方提出侵犯其专利权、版权、商标权或其他权利的起诉。一旦出现侵权，乙方应承担全部责任。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第六条质量保证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第七条服务期限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1.本项目服务期为</w:t>
      </w:r>
      <w:r>
        <w:rPr>
          <w:rFonts w:ascii="宋体" w:hAnsi="宋体" w:cs="宋体"/>
          <w:sz w:val="24"/>
          <w:u w:val="single"/>
        </w:rPr>
        <w:t xml:space="preserve">      </w:t>
      </w:r>
      <w:r>
        <w:rPr>
          <w:rFonts w:ascii="宋体" w:hAnsi="宋体" w:cs="宋体"/>
          <w:sz w:val="24"/>
        </w:rPr>
        <w:t xml:space="preserve">年，服务期自___年___月___日至___年___月___日。甲方严格按照投标（响应）文件与招标（采购）文件对比验收，保留邀请第三方质检部门验收的权利。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2.验收标准：按行业通行标准、招标（采购）文件、甲方认可的设计制作方案和乙方投标（响应）文件的承诺（详见合同附件载明的标准，并不低于国家相关标准）。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第八条履约保证金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1.乙方交纳人民币</w:t>
      </w:r>
      <w:r>
        <w:rPr>
          <w:rFonts w:ascii="宋体" w:hAnsi="宋体" w:cs="宋体"/>
          <w:sz w:val="24"/>
          <w:u w:val="single"/>
        </w:rPr>
        <w:t xml:space="preserve">      </w:t>
      </w:r>
      <w:r>
        <w:rPr>
          <w:rFonts w:ascii="宋体" w:hAnsi="宋体" w:cs="宋体"/>
          <w:sz w:val="24"/>
        </w:rPr>
        <w:t xml:space="preserve">元(预算价的10%)作为本合同的履约保证金。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3.如乙方为第三方信用服务机构依据标准规范评定为 AA 级及以上的政府采购供应商（需在签订采购合同前提供信用管理部门备案的第三方信用报告，且信用报告通过“信用盐城网”可查实），降低履约保证金缴纳比例为5%。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4.合同履行结束后，甲方应及时退还交纳的履约保证金。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4.1履约保证金的退还：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4.1.1方式：无息退还至乙方缴纳履约保证金的账户。如为保函，在到期时自行失效。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4.1.2时间：合同履行期满并经甲方验收合格后30日内。</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4.1.3条件：按合同要求全部履约完成并经甲方验收合格。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4.1.4不予退还情形：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除不可抗力情况外，乙方出现下列情形之一的，其履约保证金，甲方将视情节决定不予退还或部分不予退还。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（1）乙方无正当理由拒绝签订合同的，或者在签订合同时向就甲方提出附加条件或者更改合同实质性内容要求的；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（2）乙方不履行与采购人订立的合同的；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（4）乙方采取欺骗、弄虚作假方式投标的或与其它投标人串通投标的；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4.1.5逾期退还的违约责任：甲方逾期无故未退还履约保证金的，按中国人民银行同期贷款基准利率上浮20%后的利率支付超期资金占用费，但因供应商自身原因导致无法及时退还的除外。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果乙方未能按合同、招标投标文件履约的，合同中止，履约保证金不予退还，且不予支付服务期间的费用。甲方有权终止合同的履行，乙方应承担相应的完全责任，包括赔偿因此而给本单位及第三人带来的相应损失。</w:t>
      </w:r>
      <w:r/>
    </w:p>
    <w:p>
      <w:pPr>
        <w:ind w:firstLine="480"/>
        <w:spacing w:line="49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第九条</w:t>
      </w:r>
      <w:r>
        <w:rPr>
          <w:rFonts w:hint="eastAsia" w:ascii="宋体" w:hAnsi="宋体" w:cs="宋体"/>
          <w:b/>
          <w:sz w:val="24"/>
        </w:rPr>
        <w:t xml:space="preserve">验收要求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1.验收依据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本项目所有验收工作统一以以下文件为唯一判定标准，文件冲突时按优先级从高至低执行：</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(1)本政府采购合同、补充协议、双方签字确认会议纪要、备忘录；</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(2)招标文件、乙方投标文件、中标通知书；</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(3)《盐城市信息化项目审批“一件事” 试点工作建设指南（2024）》、盐财预〔2025〕17号等省市信息化、评审收费管理文件；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(4)信息技术服务监理、软件测试、信息化造价咨询国家及行业规范；</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(5)国家公立医院改革与高质量发展示范项目管理、医改数字化、网络安全、数据安全相关法律法规；</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(6)甲方提出并经双方书面确认的服务细则、驻场、平台功能要求。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2.验收组织主体</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（1）甲方组建验收工作组,含业务、财务、信息化等相关管理人员。</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（2）乙方全程配合验收、提供全套佐证资料、现场答疑、整改优化，承担验收资料编制、演示、专家会务配套全部成本。</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3、验收内容</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3.1咨询设计成果验收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（1）项目建议书、可行性研究报告、初步设计文件完整规范，覆盖各个子项目建设必要性、技术方案、投资测算、医改效益、风险分析；</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（2）全部文档符合盐城市信息化立项审批标准，并通过主管部门评审；</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（3）配套投资估算、方案优化建议、评审答辩全套支撑材料齐全；</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（4）满足招标文件项目需求，无缺项、无漏分析。</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3.2设计概算（前期造价）审查成果验收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（1）完整完成编制依据核查、造价完整性、工程量单价、专项费用四大维度审核底稿；</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（2）出具正式、可用于财政审批的概算审查意见书，列明调减/调增明细、计价依据；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（3）全项目造价台账清晰，分档计费计算准确，无重复计费、漏项；</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（4）建立投资源头管控台账，对超概算项目出具专项预警方案。</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3.3组织评审服务验收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（1）每场评审配齐副高及以上专家，专家劳务、差旅、材料、会务全套资料归档；</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（2）评审记录、专家意见、整改清单、复核销号记录闭环完整；</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（3）统筹全年项目评审+项目验收会务落地，流程合规。</w:t>
      </w:r>
      <w:r/>
    </w:p>
    <w:p>
      <w:pPr>
        <w:ind w:firstLine="480"/>
        <w:spacing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第十条</w:t>
      </w:r>
      <w:r>
        <w:rPr>
          <w:rFonts w:ascii="宋体" w:hAnsi="宋体" w:cs="宋体"/>
          <w:b/>
          <w:sz w:val="24"/>
        </w:rPr>
        <w:t xml:space="preserve">合同款支付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1.本合同项下所有款项均以人民币支付。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2.本合同项下的采购资金由甲方自行支付，乙方向甲方开具发票。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3.付款方式：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（1）签订合同后，乙方收到中标供应商提供有效的发票后</w:t>
      </w:r>
      <w:r>
        <w:rPr>
          <w:rFonts w:hint="eastAsia" w:ascii="宋体" w:hAnsi="宋体" w:cs="宋体"/>
          <w:sz w:val="24"/>
        </w:rPr>
        <w:t xml:space="preserve">10个工作日内</w:t>
      </w:r>
      <w:r>
        <w:rPr>
          <w:rFonts w:ascii="宋体" w:hAnsi="宋体" w:cs="宋体"/>
          <w:sz w:val="24"/>
        </w:rPr>
        <w:t xml:space="preserve">，向乙方支付预算价的30%作为预付款。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（2）按季度付款，每自然季度前10个工作日，乙方向甲方提交上季度付款申请，经甲方确认且收到乙方提供有效的发票后</w:t>
      </w:r>
      <w:r>
        <w:rPr>
          <w:rFonts w:hint="eastAsia" w:ascii="宋体" w:hAnsi="宋体" w:cs="宋体"/>
          <w:sz w:val="24"/>
        </w:rPr>
        <w:t xml:space="preserve">10个工作日内</w:t>
      </w:r>
      <w:r>
        <w:rPr>
          <w:rFonts w:ascii="宋体" w:hAnsi="宋体" w:cs="宋体"/>
          <w:sz w:val="24"/>
        </w:rPr>
        <w:t xml:space="preserve">，向乙方支付款项。因乙方未按时提交付款申请，则延期至下季度予以结算。（第二次付款时，扣回预付款；不足扣回部分，下次付款时扣回，直接扣完为止）。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（3）各分项服务费申请节点约定：</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1）咨询设计费、事前审计服务费（造价）：针对单个项目核算，结算节点为项目完成招标工作后，按约定标准办理结算。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2）组织评审费：完成评审会议，办理结算。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一</w:t>
      </w:r>
      <w:r>
        <w:rPr>
          <w:rFonts w:ascii="宋体" w:hAnsi="宋体" w:cs="宋体"/>
          <w:b/>
          <w:sz w:val="24"/>
        </w:rPr>
        <w:t xml:space="preserve">条违约责任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1.甲方未按合同规定的期限向乙方支付服务款的，每逾期1天甲方向乙方偿付欠款总额的5‰滞纳金，但累计滞纳金总额不超过欠款总额的5%。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2.如乙方不能如期交付服务的；乙方应向甲方支付合同总价5%的违约金并赔偿因此给甲方造成的损失。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3.乙方逾期通过甲方验收并交付甲方使用的，每逾期1天，乙方向甲方偿付合同总额的5‰的滞纳金。如乙方逾期交付达10天，甲方有权解除合同，解除合同的通知自到达乙方时生效。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4.在乙方承诺的服务期内，如经乙方2次整改仍不能达到合同约定的质量标准，乙方应退回全部合同价款，并按本条第3款处理，同时，乙方还须赔偿甲方因此遭受的损失。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5.乙方未按本合同的规定和服务承诺提供伴随服务/售后服务的，甲方有权委托第三方提供伴随服务/售后服务，由此产生的费用由乙方承担，且乙方应按合同总价款的5%向甲方承担违约责任。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6.乙方所交付的服务不符合合同规定的，甲方有权拒收。甲方拒收的，乙方应向甲方支付合同总款5%的违约金。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8.乙方响应属虚假承诺，或服务不能满足投标（响应）文件要求，或是由于乙方的过错造成合同无法继续履行的，乙方应向甲方支付不少于合同总价5%赔偿金。</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9.验收不合格违约责任：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9.1细微不合格（非核心瑕疵，不影响成果使用）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乙方收到整改通知10日内完成全部优化，甲方复核通过视为合格；整改产生的人工、材料、会务成本全部由乙方自行承担，不增加合同费用。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9.2重大不合格（核心成果失真、平台功能缺失、服务缺项超30%、多次整改仍不达标）</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（1）第一次重大不合格：给予15日完整整改周期，整改完成后重新组织全套验收，期间暂停所有款项支付；</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（2）两次整改后仍验收不合格：甲方有权单方面解除合同，不予退还履约保证金，乙方退还甲方已支付全部服务款项，并按预算价价5%支付违约金；同时甲方可另行选聘第三方服务商，差价损失由乙方全额赔偿；</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（3）成果存在造价造假、测评虚假、监理隐瞒重大质量、资金风险的，甲方直接判定验收不合格，终止合同，上报政府采购监管部门记入失信名单，并向追究乙方全部经济损失。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二</w:t>
      </w:r>
      <w:r>
        <w:rPr>
          <w:rFonts w:ascii="宋体" w:hAnsi="宋体" w:cs="宋体"/>
          <w:b/>
          <w:sz w:val="24"/>
        </w:rPr>
        <w:t xml:space="preserve">条合同的变更和终止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1.除《中华人民共和国政府采购法》第五十条第二款规定的情形外，本合同一经签订，甲乙双方不得擅自变更、中止或终止合同。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三</w:t>
      </w:r>
      <w:r>
        <w:rPr>
          <w:rFonts w:ascii="宋体" w:hAnsi="宋体" w:cs="宋体"/>
          <w:b/>
          <w:sz w:val="24"/>
        </w:rPr>
        <w:t xml:space="preserve">条合同的转让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乙方不得擅自部分或全部转让其应履行的合同义务。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四</w:t>
      </w:r>
      <w:r>
        <w:rPr>
          <w:rFonts w:ascii="宋体" w:hAnsi="宋体" w:cs="宋体"/>
          <w:b/>
          <w:sz w:val="24"/>
        </w:rPr>
        <w:t xml:space="preserve">条争议的解决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1.因履行本合同引起的或与本合同有关的争议，甲、乙双方应首先通过友好协商解决，如果协商不能解决争议，则采取以下第（1）种方式解决争议：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（1）向甲方所在地有管辖权的人民法院提起诉讼；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（2）向盐城仲裁委员会按其仲裁规则申请仲裁。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如没有约定，默认采取第1种方式解决争议。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2.在诉讼或仲裁期间，本合同应继续履行。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五</w:t>
      </w:r>
      <w:r>
        <w:rPr>
          <w:rFonts w:ascii="宋体" w:hAnsi="宋体" w:cs="宋体"/>
          <w:b/>
          <w:sz w:val="24"/>
        </w:rPr>
        <w:t xml:space="preserve">条诚实信用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乙方应诚实信用，严格按照采购文件要求和乙方承诺履行合同，不向甲方进行商业贿赂或者提供不正当利益。</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六</w:t>
      </w:r>
      <w:r>
        <w:rPr>
          <w:rFonts w:ascii="宋体" w:hAnsi="宋体" w:cs="宋体"/>
          <w:b/>
          <w:sz w:val="24"/>
        </w:rPr>
        <w:t xml:space="preserve">条合同生效及其他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1.本合同自签订之日起生效。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2.本合同一式陆份，甲方执肆份，乙方执贰份。</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3.本合同应按照中华人民共和国的现行法律进行解释。</w:t>
      </w:r>
      <w:r/>
    </w:p>
    <w:p>
      <w:pPr>
        <w:rPr>
          <w:rFonts w:ascii="宋体" w:hAnsi="宋体" w:cs="宋体"/>
          <w:sz w:val="24"/>
        </w:rPr>
      </w:pPr>
      <w:r>
        <w:rPr>
          <w:rFonts w:ascii="宋体" w:hAnsi="宋体" w:cs="宋体"/>
          <w:sz w:val="24"/>
        </w:rPr>
      </w:r>
      <w:r/>
    </w:p>
    <w:p>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0"/>
        <w:gridCol w:w="4585"/>
      </w:tblGrid>
      <w:tr>
        <w:trPr>
          <w:trHeight w:val="266"/>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甲方：（盖章）</w:t>
            </w:r>
            <w:r/>
          </w:p>
        </w:tc>
        <w:tc>
          <w:tcPr>
            <w:shd w:val="clear" w:color="ffffff" w:fill="ffffff"/>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乙方：（盖章）</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代表人：</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代表人：</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开户银行：</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开户银行：</w:t>
            </w:r>
            <w:r/>
          </w:p>
        </w:tc>
      </w:tr>
      <w:tr>
        <w:trPr>
          <w:trHeight w:val="461"/>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账号：</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账号：</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ind w:firstLine="720"/>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年   月   日</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ind w:firstLine="720"/>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年   月  日</w:t>
            </w:r>
            <w:r/>
          </w:p>
        </w:tc>
      </w:tr>
    </w:tbl>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6"/>
        </w:rPr>
        <w:t xml:space="preserve">二标包合同文本格式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合同编号：</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54"/>
        <w:gridCol w:w="4454"/>
      </w:tblGrid>
      <w:tr>
        <w:trPr>
          <w:trHeight w:val="320"/>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采购人（以下称甲方）</w:t>
            </w:r>
            <w:r/>
          </w:p>
        </w:tc>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供应商：（以下称乙方）</w:t>
            </w:r>
            <w:r/>
          </w:p>
        </w:tc>
      </w:tr>
      <w:tr>
        <w:trPr>
          <w:trHeight w:val="320"/>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根据《中华人民共和国政府采购法》《中华人民共和国民法典》等法律法规的规定，甲乙双方按照采购代理机构的采购结果签订本合同。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第一条合同标的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乙方根据甲方需求提供下列服务：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二标包项目招标后全流程信息化咨询与管理服务，服务内容主要包含：全流程跟踪审计（含结算审计）服务、软件测评、工程监理、组织项目评审等。服务内容详见招标文件项目需求。</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二标包为配套项目，乙方须提供成熟的监理平台供甲方使用，监理平台需满足项目需求，费用包含在合同价中，甲方不另行增加费用。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第二条合同总价款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本合同项下折扣率为___________（100%-中标优惠率）。本项目预算金额为270万元。</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本合同总价款除采购文件和响应文件中要求的内容以外，还包含以下内容：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（1）完成本服务项目发生的所有含税费用；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（2）支付给员工的工资和国家强制缴纳的各种社会保障资金；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（3）乙方应当提供的伴随服务/售后服务费用；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（4）供应商认为需要的其他费用。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甲方除此费用外不再向乙方支付其他任何费用。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第三条合同期限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自本合同生效之日起，至乙方所承诺的服务期届满之日。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第四条组成本合同的有关文件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招标（采购）文件、投标（响应）文件，以及与本次采购活动相关的文件及有关附件是本合同不可分割的组成部分，与本合同具有同等法律效力，这些文件包括但不限于：</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（1）服务承诺；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（2）中标（成交）通知书；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（3）甲乙双方商定的其它文件。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第五条权利保证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乙方应保证向甲方提供的本合同项下服务任何一部分不受第三方提出侵犯其专利权、版权、商标权或其他权利的起诉。一旦出现侵权，乙方应承担全部责任。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第六条质量保证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第七条服务期限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1.本项目服务期为</w:t>
      </w:r>
      <w:r>
        <w:rPr>
          <w:rFonts w:ascii="宋体" w:hAnsi="宋体" w:cs="宋体"/>
          <w:sz w:val="24"/>
          <w:u w:val="single"/>
        </w:rPr>
        <w:t xml:space="preserve">      </w:t>
      </w:r>
      <w:r>
        <w:rPr>
          <w:rFonts w:ascii="宋体" w:hAnsi="宋体" w:cs="宋体"/>
          <w:sz w:val="24"/>
        </w:rPr>
        <w:t xml:space="preserve">年，服务期自___年___月___日至___年___月___日。甲方严格按照投标（响应）文件与招标（采购）文件对比验收，保留邀请第三方质检部门验收的权利。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2.验收标准：按行业通行标准、招标（采购）文件、甲方认可的设计制作方案和乙方投标（响应）文件的承诺（详见合同附件载明的标准，并不低于国家相关标准）。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第八条履约保证金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1.乙方交纳人民币</w:t>
      </w:r>
      <w:r>
        <w:rPr>
          <w:rFonts w:ascii="宋体" w:hAnsi="宋体" w:cs="宋体"/>
          <w:sz w:val="24"/>
          <w:u w:val="single"/>
        </w:rPr>
        <w:t xml:space="preserve">      </w:t>
      </w:r>
      <w:r>
        <w:rPr>
          <w:rFonts w:ascii="宋体" w:hAnsi="宋体" w:cs="宋体"/>
          <w:sz w:val="24"/>
        </w:rPr>
        <w:t xml:space="preserve">元(预算价的10%)作为本合同的履约保证金。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3.如乙方为第三方信用服务机构依据标准规范评定为 AA 级及以上的政府采购供应商（需在签订采购合同前提供信用管理部门备案的第三方信用报告，且信用报告通过“信用盐城网”可查实），降低履约保证金缴纳比例为5%。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4.合同履行结束后，甲方应及时退还交纳的履约保证金。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4.1履约保证金的退还：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4.4.1方式：无息退还至乙方缴纳履约保证金的账户。如为保函，在到期时自行失效。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4.4.2时间：合同履行期满并经甲方验收合格后30日内。</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4.4.3条件：按合同要求全部履约完成并经甲方验收合格。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4.4.4不予退还情形：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除不可抗力情况外，乙方出现下列情形之一的，其履约保证金，甲方将视情节决定不予退还或部分不予退还。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（1）乙方无正当理由拒绝签订合同的，或者在签订合同时向就甲方提出附加条件或者更改合同实质性内容要求的；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（2）乙方不履行与采购人订立的合同的；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（4）乙方采取欺骗、弄虚作假方式投标的或与其它投标人串通投标的；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4.4.5逾期退还的违约责任：甲方逾期无故未退还履约保证金的，按中国人民银行同期贷款基准利率上浮20%后的利率支付超期资金占用费，但因供应商自身原因导致无法及时退还的除外。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果乙方未能按合同、招标投标文件履约的，合同中止，履约保证金不予退还，且不予支付服务期间的费用。甲方有权终止合同的履行，乙方应承担相应的完全责任，包括赔偿因此而给本单位及第三人带来的相应损失。</w:t>
      </w:r>
      <w:r/>
    </w:p>
    <w:p>
      <w:pPr>
        <w:ind w:firstLine="480"/>
        <w:spacing w:line="49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第九条</w:t>
      </w:r>
      <w:r>
        <w:rPr>
          <w:rFonts w:hint="eastAsia" w:ascii="宋体" w:hAnsi="宋体" w:cs="宋体"/>
          <w:b/>
          <w:sz w:val="24"/>
        </w:rPr>
        <w:t xml:space="preserve">验收要求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1.验收依据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本项目所有验收工作统一以以下文件为唯一判定标准，文件冲突时按优先级从高至低执行：</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(1)本政府采购合同、补充协议、双方签字确认会议纪要、备忘录；</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(2)招标文件、乙方投标文件、中标通知书；</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(3)《盐城市信息化项目审批“一件事” 试点工作建设指南（2024）》、盐财预〔2025〕17号等省市信息化、评审收费管理文件；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(4)信息技术服务监理、软件测试、信息化造价咨询国家及行业规范；</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(5)国家公立医院改革与高质量发展示范项目管理、医改数字化、网络安全、数据安全相关法律法规；</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(6)甲方提出并经双方书面确认的服务细则、驻场、平台功能要求。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2.验收组织主体</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（1）甲方组建验收工作组,含业务、财务、信息化等相关管理人员。</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（2）乙方全程配合验收、提供全套佐证资料、现场答疑、整改优化，承担验收资料编制、演示、专家会务配套全部成本。</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3、验收内容</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3.1全流程跟踪审计（含结算）成果验收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（1）覆盖招投标、合同、变更签证、进度款、竣工结算全流程审计底稿；</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（2）月度审计简报、专项审计报告完整，资金风险预警、整改跟踪闭环；</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（3）分档累进计费测算准确，所有子项目结算审计资料可直接对接财政终审。</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3.2软件测评成果验收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（1）完成定制软件功能、性能、安全、兼容性、文档全维度测评；</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（2）出具具备验收效力的正式软件测评报告，缺陷整改复核记录完整。</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3.2全过程工程监理成果验收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（1）覆盖需求、设计、开发、测试、上线、验收六阶段监理台账；</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（2）质量、进度、投资、安全、合规等五大控制全套巡检、整改、会议资料；</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（3）完整监理日志、月报、专题报告、预验收监理意见书。</w:t>
      </w:r>
      <w:r/>
    </w:p>
    <w:p>
      <w:pPr>
        <w:ind w:firstLine="480"/>
        <w:spacing w:line="49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3.3监理平台专项验收（硬性前置）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平台四项功能必须全部达标，提供演示视频供核验：</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（1）项目进度百分比可视化、多颜色标记任务状态；</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（2）立项、采购、建设、验收分阶段项目数量统计；</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（3）总投资、中央资金、单个项目拨付、结余明细可视化；</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（4）自动生成标准化项目统计报表，数据可导出、可打印。</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3.4平台免费供甲方三年使用，无隐藏收费、无功能限制。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w:t>
      </w:r>
      <w:r>
        <w:rPr>
          <w:rFonts w:hint="eastAsia" w:ascii="宋体" w:hAnsi="宋体" w:cs="宋体"/>
          <w:b/>
          <w:sz w:val="24"/>
        </w:rPr>
        <w:t xml:space="preserve">十</w:t>
      </w:r>
      <w:r>
        <w:rPr>
          <w:rFonts w:ascii="宋体" w:hAnsi="宋体" w:cs="宋体"/>
          <w:b/>
          <w:sz w:val="24"/>
        </w:rPr>
        <w:t xml:space="preserve">条合同款支付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1.本合同项下所有款项均以人民币支付。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2.本合同项下的采购资金由甲方自行支付，乙方向甲方开具发票。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3.付款方式：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（1）签订合同后，乙方收到中标供应商提供有效的发票后</w:t>
      </w:r>
      <w:r>
        <w:rPr>
          <w:rFonts w:hint="eastAsia" w:ascii="宋体" w:hAnsi="宋体" w:cs="宋体"/>
          <w:sz w:val="24"/>
        </w:rPr>
        <w:t xml:space="preserve">10个工作日内</w:t>
      </w:r>
      <w:r>
        <w:rPr>
          <w:rFonts w:ascii="宋体" w:hAnsi="宋体" w:cs="宋体"/>
          <w:sz w:val="24"/>
        </w:rPr>
        <w:t xml:space="preserve">，向乙方支付预算价的30%作为预付款；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（2）按季度付款，每自然季度前10个工作日，乙方向甲方提交上季度付款申请，</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经甲方确认且收到乙方提供有效的发票后</w:t>
      </w:r>
      <w:r>
        <w:rPr>
          <w:rFonts w:hint="eastAsia" w:ascii="宋体" w:hAnsi="宋体" w:cs="宋体"/>
          <w:sz w:val="24"/>
        </w:rPr>
        <w:t xml:space="preserve">10个工作日内</w:t>
      </w:r>
      <w:r>
        <w:rPr>
          <w:rFonts w:ascii="宋体" w:hAnsi="宋体" w:cs="宋体"/>
          <w:sz w:val="24"/>
        </w:rPr>
        <w:t xml:space="preserve">，向乙方支付款项。因乙方未按时提交付款申请，则延期至下季度予以结算。（第二次付款时，扣回预付款；不足扣回部分，下次付款时扣回，直接扣完为止）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（3）各分项服务费申请节点约定：</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1）第三方软件测评费：完成软件全流程测评工作、出具正式合格测评报告后，按约定标准办理结算。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2）工程监理费、事中审计服务费：根据信息化建设项目付款进度，按比例分期办理结算。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3）组织评审费：完成评审会议，办理结算。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一</w:t>
      </w:r>
      <w:r>
        <w:rPr>
          <w:rFonts w:ascii="宋体" w:hAnsi="宋体" w:cs="宋体"/>
          <w:b/>
          <w:sz w:val="24"/>
        </w:rPr>
        <w:t xml:space="preserve">条违约责任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1.甲方未按合同规定的期限向乙方支付服务款的，每逾期1天甲方向乙方偿付欠款总额的5‰滞纳金，但累计滞纳金总额不超过欠款总额的5%。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2.如乙方不能如期交付服务的；乙方应向甲方支付合同总价5%的违约金并赔偿因此给甲方造成的损失。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3.乙方逾期通过甲方验收并交付甲方使用的，每逾期1天，乙方向甲方偿付合同总额的5‰的滞纳金。如乙方逾期交付达10天，甲方有权解除合同，解除合同的通知自到达乙方时生效。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4.在乙方承诺的服务期内，如经乙方2次整改仍不能达到合同约定的质量标准，乙方应退回全部合同价款，并按本条第3款处理，同时，乙方还须赔偿甲方因此遭受的损失。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5.乙方未按本合同的规定和服务承诺提供伴随服务/售后服务的，甲方有权委托第三方提供伴随服务/售后服务，由此产生的费用由乙方承担，且乙方应按合同总价款的5%向甲方承担违约责任。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6.乙方所交付的服务不符合合同规定的，甲方有权拒收。甲方拒收的，乙方应向甲方支付合同总款5%的违约金。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8.乙方响应属虚假承诺，或服务不能满足投标（响应）文件要求，或是由于乙方的过错造成合同无法继续履行的，乙方应向甲方支付不少于合同总价5%赔偿金。</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9.验收不合格违约责任：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9.1细微不合格（非核心瑕疵，不影响成果使用）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乙方收到整改通知10日内完成全部优化，甲方复核通过视为合格；整改产生的人工、材料、会务成本全部由乙方自行承担，不增加合同费用。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9.2重大不合格（核心成果失真、平台功能缺失、服务缺项超30%、多次整改仍不达标）</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（1）第一次重大不合格：给予15日完整整改周期，整改完成后重新组织全套验收，期间暂停所有款项支付；</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（2）两次整改后仍验收不合格：甲方有权单方面解除合同，不予退还履约保证金，乙方退还甲方已支付全部服务款项，并按预算价价5%支付违约金；同时甲方可另行选聘第三方服务商，差价损失由乙方全额赔偿；</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（3）成果存在造价造假、测评虚假、监理隐瞒重大质量、资金风险的，甲方直接判定验收不合格，终止合同，上报政府采购监管部门记入失信名单，并向追究乙方全部经济损失。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第十一条合同的变更和终止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1.除《中华人民共和国政府采购法》第五十条第二款规定的情形外，本合同一经签订，甲乙双方不得擅自变更、中止或终止合同。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第十二条合同的转让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乙方不得擅自部分或全部转让其应履行的合同义务。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第十三条争议的解决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1.因履行本合同引起的或与本合同有关的争议，甲、乙双方应首先通过友好协商解决，如果协商不能解决争议，则采取以下第（1）种方式解决争议：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（1）向甲方所在地有管辖权的人民法院提起诉讼；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（2）向盐城仲裁委员会按其仲裁规则申请仲裁。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如没有约定，默认采取第1种方式解决争议。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2.在诉讼或仲裁期间，本合同应继续履行。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第十四条诚实信用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乙方应诚实信用，严格按照采购文件要求和乙方承诺履行合同，不向甲方进行商业贿赂或者提供不正当利益。</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第十五条合同生效及其他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1.本合同自签订之日起生效。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2.本合同一式陆份，甲方执肆份，乙方执贰份。</w:t>
      </w:r>
      <w:r/>
    </w:p>
    <w:p>
      <w:pPr>
        <w:ind w:firstLine="480"/>
        <w:spacing w:line="49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3.本合同应按照中华人民共和国的现行法律进行解释。</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0"/>
        <w:gridCol w:w="4390"/>
      </w:tblGrid>
      <w:tr>
        <w:trPr>
          <w:trHeight w:val="613"/>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甲方：（盖章）</w:t>
            </w:r>
            <w:r/>
          </w:p>
        </w:tc>
        <w:tc>
          <w:tcPr>
            <w:shd w:val="clear" w:color="ffffff" w:fill="ffffff"/>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乙方：（盖章）</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代表人：</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代表人：</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r>
      <w:tr>
        <w:trPr>
          <w:trHeight w:val="62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年   月   日</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年   月  日</w:t>
            </w:r>
            <w:r/>
          </w:p>
        </w:tc>
      </w:tr>
    </w:tbl>
    <w:p>
      <w:pPr>
        <w:pStyle w:val="745"/>
      </w:pPr>
      <w:r/>
      <w:bookmarkStart w:id="152" w:name="_Toc29631"/>
      <w:r>
        <w:rPr>
          <w:rFonts w:hint="eastAsia"/>
        </w:rPr>
        <w:t xml:space="preserve">第四章采购需求</w:t>
      </w:r>
      <w:r/>
    </w:p>
    <w:p>
      <w:pPr>
        <w:pStyle w:val="745"/>
        <w:ind w:firstLine="482"/>
        <w:jc w:val="left"/>
        <w:spacing w:line="360" w:lineRule="auto"/>
        <w:rPr>
          <w:rFonts w:ascii="宋体" w:hAnsi="宋体" w:eastAsia="宋体" w:cs="宋体"/>
          <w:sz w:val="24"/>
          <w:szCs w:val="24"/>
        </w:rPr>
      </w:pPr>
      <w:r/>
      <w:bookmarkStart w:id="153" w:name="_Toc23608"/>
      <w:r/>
      <w:r/>
    </w:p>
    <w:p>
      <w:pPr>
        <w:pStyle w:val="745"/>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153"/>
      <w:r/>
      <w:r/>
    </w:p>
    <w:p>
      <w:pPr>
        <w:ind w:firstLine="480"/>
        <w:spacing w:line="360" w:lineRule="auto"/>
        <w:rPr>
          <w:rFonts w:ascii="宋体" w:hAnsi="宋体" w:cs="宋体"/>
          <w:sz w:val="24"/>
          <w:szCs w:val="24"/>
        </w:rPr>
      </w:pPr>
      <w:r>
        <w:rPr>
          <w:rFonts w:hint="eastAsia" w:ascii="宋体" w:hAnsi="宋体" w:cs="宋体"/>
          <w:sz w:val="24"/>
          <w:szCs w:val="24"/>
        </w:rPr>
        <w:t xml:space="preserve">1、2025年我市入选国家公立医院改革与高质量发展示范项目，预计信息化总投资22000万元。</w:t>
      </w:r>
      <w:r/>
    </w:p>
    <w:p>
      <w:pPr>
        <w:ind w:firstLine="480"/>
        <w:spacing w:line="360" w:lineRule="auto"/>
        <w:rPr>
          <w:rFonts w:ascii="宋体" w:hAnsi="宋体" w:cs="宋体"/>
          <w:sz w:val="24"/>
          <w:szCs w:val="24"/>
        </w:rPr>
      </w:pPr>
      <w:r>
        <w:rPr>
          <w:rFonts w:hint="eastAsia" w:ascii="宋体" w:hAnsi="宋体" w:cs="宋体"/>
          <w:sz w:val="24"/>
          <w:szCs w:val="24"/>
        </w:rPr>
        <w:t xml:space="preserve">2、信息化建设规模：盐城市公立医院改革与高质量发展示范项目预估含100万元的项目有21个，150万元的项目有1个，200万元的项目有8个，300万元的项目有12个，500万元的项目有 3 个，600万元的项目有4个，1000万元的项目有2个，1100万元的项目有6个，1500万元的项目有1个，共计58个子项目。</w:t>
      </w:r>
      <w:r/>
    </w:p>
    <w:p>
      <w:pPr>
        <w:ind w:firstLine="480"/>
        <w:spacing w:line="360" w:lineRule="auto"/>
        <w:rPr>
          <w:rFonts w:ascii="宋体" w:hAnsi="宋体" w:cs="宋体"/>
          <w:sz w:val="24"/>
          <w:szCs w:val="24"/>
        </w:rPr>
      </w:pPr>
      <w:r>
        <w:rPr>
          <w:rFonts w:hint="eastAsia" w:ascii="宋体" w:hAnsi="宋体" w:cs="宋体"/>
          <w:sz w:val="24"/>
          <w:szCs w:val="24"/>
        </w:rPr>
        <w:t xml:space="preserve">3、采购标的：本项目共分为两个标包，一标包项目招标前全流程信息化咨询与管理服务，服务内容主要包含：咨询设计、设计概算（前期论证造价）、组织项目评审服务等；二标包项目招标后全流程信息化咨询与管理服务，服务内容主要包含：全流程跟踪审计（含结算审计）服务、软件测评、工程监理、</w:t>
      </w:r>
      <w:bookmarkStart w:id="154" w:name="_Hlk230937944"/>
      <w:r>
        <w:rPr>
          <w:rFonts w:hint="eastAsia" w:ascii="宋体" w:hAnsi="宋体" w:cs="宋体"/>
          <w:sz w:val="24"/>
          <w:szCs w:val="24"/>
        </w:rPr>
        <w:t xml:space="preserve">组织项目评审</w:t>
      </w:r>
      <w:bookmarkEnd w:id="154"/>
      <w:r>
        <w:rPr>
          <w:rFonts w:hint="eastAsia" w:ascii="宋体" w:hAnsi="宋体" w:cs="宋体"/>
          <w:sz w:val="24"/>
          <w:szCs w:val="24"/>
        </w:rPr>
        <w:t xml:space="preserve">等。</w:t>
      </w:r>
      <w:r/>
    </w:p>
    <w:p>
      <w:pPr>
        <w:pStyle w:val="746"/>
        <w:ind w:firstLine="482"/>
        <w:jc w:val="both"/>
        <w:spacing w:before="0" w:after="0" w:line="360" w:lineRule="auto"/>
        <w:rPr>
          <w:rFonts w:ascii="宋体" w:hAnsi="宋体" w:cs="宋体"/>
          <w:sz w:val="24"/>
          <w:szCs w:val="24"/>
        </w:rPr>
      </w:pPr>
      <w:r>
        <w:rPr>
          <w:rFonts w:hint="eastAsia" w:ascii="宋体" w:hAnsi="宋体" w:cs="宋体"/>
          <w:sz w:val="24"/>
          <w:szCs w:val="24"/>
        </w:rPr>
        <w:t xml:space="preserve">二、采购内容</w:t>
      </w:r>
      <w:r/>
    </w:p>
    <w:p>
      <w:pPr>
        <w:ind w:firstLine="480"/>
        <w:spacing w:line="360" w:lineRule="auto"/>
        <w:rPr>
          <w:rFonts w:ascii="宋体" w:hAnsi="宋体" w:cs="宋体"/>
          <w:sz w:val="24"/>
          <w:szCs w:val="24"/>
        </w:rPr>
      </w:pPr>
      <w:r/>
      <w:bookmarkStart w:id="155" w:name="_Toc4304"/>
      <w:r>
        <w:rPr>
          <w:rFonts w:ascii="宋体" w:hAnsi="宋体" w:cs="宋体"/>
          <w:sz w:val="24"/>
          <w:szCs w:val="24"/>
        </w:rPr>
        <w:t xml:space="preserve">为进一步优化信息化项目审批流程，提高数字盐城信息化项目建设标准化、规范化、集约化水平，盐城市数据局、中共盐城市网络安全和信息化委员会办公室、盐城市财政局、盐城市国家密码管理局联合制定了盐数发〔2024〕27 号</w:t>
      </w:r>
      <w:r>
        <w:rPr>
          <w:rFonts w:hint="eastAsia" w:ascii="宋体" w:hAnsi="宋体" w:cs="宋体"/>
          <w:sz w:val="24"/>
          <w:szCs w:val="24"/>
        </w:rPr>
        <w:t xml:space="preserve">关于印发</w:t>
      </w:r>
      <w:r>
        <w:rPr>
          <w:rFonts w:ascii="宋体" w:hAnsi="宋体" w:cs="宋体"/>
          <w:sz w:val="24"/>
          <w:szCs w:val="24"/>
        </w:rPr>
        <w:t xml:space="preserve">《盐城市信息化项目审批</w:t>
      </w:r>
      <w:r>
        <w:rPr>
          <w:rFonts w:hint="eastAsia" w:ascii="宋体" w:hAnsi="宋体" w:cs="宋体"/>
          <w:sz w:val="24"/>
          <w:szCs w:val="24"/>
        </w:rPr>
        <w:t xml:space="preserve">“</w:t>
      </w:r>
      <w:r>
        <w:rPr>
          <w:rFonts w:ascii="宋体" w:hAnsi="宋体" w:cs="宋体"/>
          <w:sz w:val="24"/>
          <w:szCs w:val="24"/>
        </w:rPr>
        <w:t xml:space="preserve">一件事</w:t>
      </w:r>
      <w:r>
        <w:rPr>
          <w:rFonts w:hint="eastAsia" w:ascii="宋体" w:hAnsi="宋体" w:cs="宋体"/>
          <w:sz w:val="24"/>
          <w:szCs w:val="24"/>
        </w:rPr>
        <w:t xml:space="preserve">”</w:t>
      </w:r>
      <w:r>
        <w:rPr>
          <w:rFonts w:ascii="宋体" w:hAnsi="宋体" w:cs="宋体"/>
          <w:sz w:val="24"/>
          <w:szCs w:val="24"/>
        </w:rPr>
        <w:t xml:space="preserve">试点工作建设指南（2024）》</w:t>
      </w:r>
      <w:r>
        <w:rPr>
          <w:rFonts w:hint="eastAsia" w:ascii="宋体" w:hAnsi="宋体" w:cs="宋体"/>
          <w:sz w:val="24"/>
          <w:szCs w:val="24"/>
        </w:rPr>
        <w:t xml:space="preserve">（下简称《盐城市“一件事”》）</w:t>
      </w:r>
      <w:r>
        <w:rPr>
          <w:rFonts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按照行业惯例，并结合盐城市公立医院改革与高质量发展示范项目信息化建设实际需求，本项目</w:t>
      </w:r>
      <w:r>
        <w:rPr>
          <w:rFonts w:hint="eastAsia" w:ascii="宋体" w:hAnsi="宋体" w:cs="宋体"/>
          <w:sz w:val="24"/>
          <w:szCs w:val="24"/>
        </w:rPr>
        <w:t xml:space="preserve">全流程</w:t>
      </w:r>
      <w:r>
        <w:rPr>
          <w:rFonts w:ascii="宋体" w:hAnsi="宋体" w:cs="宋体"/>
          <w:sz w:val="24"/>
          <w:szCs w:val="24"/>
        </w:rPr>
        <w:t xml:space="preserve">咨询服务应涵盖前期咨询论证、事前审计、事中审计、软件测试</w:t>
      </w:r>
      <w:r>
        <w:rPr>
          <w:rFonts w:hint="eastAsia" w:ascii="宋体" w:hAnsi="宋体" w:cs="宋体"/>
          <w:sz w:val="24"/>
          <w:szCs w:val="24"/>
        </w:rPr>
        <w:t xml:space="preserve">、全流程</w:t>
      </w:r>
      <w:r>
        <w:rPr>
          <w:rFonts w:ascii="宋体" w:hAnsi="宋体" w:cs="宋体"/>
          <w:sz w:val="24"/>
          <w:szCs w:val="24"/>
        </w:rPr>
        <w:t xml:space="preserve">工程监理</w:t>
      </w:r>
      <w:r>
        <w:rPr>
          <w:rFonts w:hint="eastAsia" w:ascii="宋体" w:hAnsi="宋体" w:cs="宋体"/>
          <w:sz w:val="24"/>
          <w:szCs w:val="24"/>
        </w:rPr>
        <w:t xml:space="preserve">、配套评审</w:t>
      </w:r>
      <w:r>
        <w:rPr>
          <w:rFonts w:ascii="宋体" w:hAnsi="宋体" w:cs="宋体"/>
          <w:sz w:val="24"/>
          <w:szCs w:val="24"/>
        </w:rPr>
        <w:t xml:space="preserve">等全链条、全周期专业服务，确保项目规范实施、质量可控、资金安全、成效可验。前期咨询论证、事前审计、事中审计、软件测试及</w:t>
      </w:r>
      <w:r>
        <w:rPr>
          <w:rFonts w:hint="eastAsia" w:ascii="宋体" w:hAnsi="宋体" w:cs="宋体"/>
          <w:sz w:val="24"/>
          <w:szCs w:val="24"/>
        </w:rPr>
        <w:t xml:space="preserve">全流程</w:t>
      </w:r>
      <w:r>
        <w:rPr>
          <w:rFonts w:ascii="宋体" w:hAnsi="宋体" w:cs="宋体"/>
          <w:sz w:val="24"/>
          <w:szCs w:val="24"/>
        </w:rPr>
        <w:t xml:space="preserve">工程监理</w:t>
      </w:r>
      <w:r>
        <w:rPr>
          <w:rFonts w:hint="eastAsia" w:ascii="宋体" w:hAnsi="宋体" w:cs="宋体"/>
          <w:sz w:val="24"/>
          <w:szCs w:val="24"/>
        </w:rPr>
        <w:t xml:space="preserve">的计算方式参考《盐城市“一件事”》，评审配套费用按照当地相关管理办法及项目实际需求测算确定。具体内容如下：</w:t>
      </w:r>
      <w:r/>
    </w:p>
    <w:p>
      <w:pPr>
        <w:ind w:firstLine="482"/>
        <w:spacing w:line="36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、咨询设计</w:t>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hint="eastAsia" w:ascii="宋体" w:hAnsi="宋体" w:cs="宋体"/>
          <w:sz w:val="24"/>
          <w:szCs w:val="24"/>
        </w:rPr>
        <w:t xml:space="preserve">咨询</w:t>
      </w:r>
      <w:r>
        <w:rPr>
          <w:rFonts w:ascii="宋体" w:hAnsi="宋体" w:cs="宋体"/>
          <w:sz w:val="24"/>
          <w:szCs w:val="24"/>
        </w:rPr>
        <w:t xml:space="preserve">单位根据委托人要求，提供编制信息化项目建议书、可行性研究报告、初步设计文件等服务收取的费用。</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编制信息化项目建议书、可行性研究报告、初步设计文件等。</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立项阶段基础编制服务</w:t>
      </w:r>
      <w:r/>
    </w:p>
    <w:p>
      <w:pPr>
        <w:ind w:firstLine="480"/>
        <w:spacing w:line="360" w:lineRule="auto"/>
        <w:rPr>
          <w:rFonts w:ascii="宋体" w:hAnsi="宋体" w:cs="宋体"/>
          <w:sz w:val="24"/>
          <w:szCs w:val="24"/>
        </w:rPr>
      </w:pPr>
      <w:r>
        <w:rPr>
          <w:rFonts w:ascii="宋体" w:hAnsi="宋体" w:cs="宋体"/>
          <w:sz w:val="24"/>
          <w:szCs w:val="24"/>
        </w:rPr>
        <w:t xml:space="preserve">项目建议书编制：针对项目建设必要性、初步建设目标、投资估算、效益预判等内容撰写，是项目立项的第一道门槛，收费侧重基础调研与框架搭建，适用于项目初步申报、立项初审环节。</w:t>
      </w:r>
      <w:r/>
    </w:p>
    <w:p>
      <w:pPr>
        <w:ind w:firstLine="480"/>
        <w:spacing w:line="360" w:lineRule="auto"/>
        <w:rPr>
          <w:rFonts w:ascii="宋体" w:hAnsi="宋体" w:cs="宋体"/>
          <w:sz w:val="24"/>
          <w:szCs w:val="24"/>
        </w:rPr>
      </w:pPr>
      <w:r>
        <w:rPr>
          <w:rFonts w:ascii="宋体" w:hAnsi="宋体" w:cs="宋体"/>
          <w:sz w:val="24"/>
          <w:szCs w:val="24"/>
        </w:rPr>
        <w:t xml:space="preserve">可行性研究报告编制：深度开展技术可行性、经济可行性、社会可行性、风险可控性分析，配套投资概算、建设方案、实施计划、效益评估等内容，是项目审批、资金申请的核心文件，收费占比最高、工作量最大，需结合项目规模与复杂度定价。</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设计阶段深化服务</w:t>
      </w:r>
      <w:r/>
    </w:p>
    <w:p>
      <w:pPr>
        <w:ind w:firstLine="480"/>
        <w:spacing w:line="360" w:lineRule="auto"/>
        <w:rPr>
          <w:rFonts w:ascii="宋体" w:hAnsi="宋体" w:cs="宋体"/>
          <w:sz w:val="24"/>
          <w:szCs w:val="24"/>
        </w:rPr>
      </w:pPr>
      <w:r>
        <w:rPr>
          <w:rFonts w:ascii="宋体" w:hAnsi="宋体" w:cs="宋体"/>
          <w:sz w:val="24"/>
          <w:szCs w:val="24"/>
        </w:rPr>
        <w:t xml:space="preserve">初步设计文件编制：基于可研报告，细化系统架构、功能模块、软硬件配置、网络布局、安全方案、实施图纸等，明确技术标准与建设细节，为项目招投标、施工图设计提供依据，收费侧重技术落地与方案细化。</w:t>
      </w:r>
      <w:r/>
    </w:p>
    <w:p>
      <w:pPr>
        <w:ind w:firstLine="480"/>
        <w:spacing w:line="360" w:lineRule="auto"/>
        <w:rPr>
          <w:rFonts w:ascii="宋体" w:hAnsi="宋体" w:cs="宋体"/>
          <w:sz w:val="24"/>
          <w:szCs w:val="24"/>
        </w:rPr>
      </w:pPr>
      <w:r>
        <w:rPr>
          <w:rFonts w:ascii="宋体" w:hAnsi="宋体" w:cs="宋体"/>
          <w:sz w:val="24"/>
          <w:szCs w:val="24"/>
        </w:rPr>
        <w:t xml:space="preserve">概算编制与审核：配套初步设计开展投资概算编制、复核、调整，确保造价合规合理，多数咨询单位将其纳入初步设计收费，也可单独计费。</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延伸增值服务</w:t>
      </w:r>
      <w:r/>
    </w:p>
    <w:p>
      <w:pPr>
        <w:ind w:firstLine="480"/>
        <w:spacing w:line="360" w:lineRule="auto"/>
        <w:rPr>
          <w:rFonts w:ascii="宋体" w:hAnsi="宋体" w:cs="宋体"/>
          <w:sz w:val="24"/>
          <w:szCs w:val="24"/>
        </w:rPr>
      </w:pPr>
      <w:r>
        <w:rPr>
          <w:rFonts w:ascii="宋体" w:hAnsi="宋体" w:cs="宋体"/>
          <w:sz w:val="24"/>
          <w:szCs w:val="24"/>
        </w:rPr>
        <w:t xml:space="preserve">项目建议书</w:t>
      </w:r>
      <w:r>
        <w:rPr>
          <w:rFonts w:hint="eastAsia" w:ascii="宋体" w:hAnsi="宋体" w:cs="宋体"/>
          <w:sz w:val="24"/>
          <w:szCs w:val="24"/>
        </w:rPr>
        <w:t xml:space="preserve">、</w:t>
      </w:r>
      <w:r>
        <w:rPr>
          <w:rFonts w:ascii="宋体" w:hAnsi="宋体" w:cs="宋体"/>
          <w:sz w:val="24"/>
          <w:szCs w:val="24"/>
        </w:rPr>
        <w:t xml:space="preserve">可研报告</w:t>
      </w:r>
      <w:r>
        <w:rPr>
          <w:rFonts w:hint="eastAsia" w:ascii="宋体" w:hAnsi="宋体" w:cs="宋体"/>
          <w:sz w:val="24"/>
          <w:szCs w:val="24"/>
        </w:rPr>
        <w:t xml:space="preserve">、</w:t>
      </w:r>
      <w:r>
        <w:rPr>
          <w:rFonts w:ascii="宋体" w:hAnsi="宋体" w:cs="宋体"/>
          <w:sz w:val="24"/>
          <w:szCs w:val="24"/>
        </w:rPr>
        <w:t xml:space="preserve">初步设计文件的评审答辩、修改完善、专家对接服务；</w:t>
      </w:r>
      <w:r/>
    </w:p>
    <w:p>
      <w:pPr>
        <w:ind w:firstLine="480"/>
        <w:spacing w:line="360" w:lineRule="auto"/>
        <w:rPr>
          <w:rFonts w:ascii="宋体" w:hAnsi="宋体" w:cs="宋体"/>
          <w:sz w:val="24"/>
          <w:szCs w:val="24"/>
        </w:rPr>
      </w:pPr>
      <w:r>
        <w:rPr>
          <w:rFonts w:ascii="宋体" w:hAnsi="宋体" w:cs="宋体"/>
          <w:sz w:val="24"/>
          <w:szCs w:val="24"/>
        </w:rPr>
        <w:t xml:space="preserve">信息化项目规划方案、实施方案、招投标技术文件编制服务；</w:t>
      </w:r>
      <w:r/>
    </w:p>
    <w:p>
      <w:pPr>
        <w:ind w:firstLine="480"/>
        <w:spacing w:line="360" w:lineRule="auto"/>
        <w:rPr>
          <w:rFonts w:ascii="宋体" w:hAnsi="宋体" w:cs="宋体"/>
          <w:sz w:val="24"/>
          <w:szCs w:val="24"/>
        </w:rPr>
      </w:pPr>
      <w:r>
        <w:rPr>
          <w:rFonts w:ascii="宋体" w:hAnsi="宋体" w:cs="宋体"/>
          <w:sz w:val="24"/>
          <w:szCs w:val="24"/>
        </w:rPr>
        <w:t xml:space="preserve">项目评估、绩效评价、风险评估、安全合规论证等专项咨询服务；</w:t>
      </w:r>
      <w:r/>
    </w:p>
    <w:p>
      <w:pPr>
        <w:ind w:firstLine="480"/>
        <w:spacing w:line="360" w:lineRule="auto"/>
        <w:rPr>
          <w:rFonts w:ascii="宋体" w:hAnsi="宋体" w:cs="宋体"/>
          <w:sz w:val="24"/>
          <w:szCs w:val="24"/>
        </w:rPr>
      </w:pPr>
      <w:r>
        <w:rPr>
          <w:rFonts w:ascii="宋体" w:hAnsi="宋体" w:cs="宋体"/>
          <w:sz w:val="24"/>
          <w:szCs w:val="24"/>
        </w:rPr>
        <w:t xml:space="preserve">针对政务信息化、智慧城市、工业互联网、数据中心等细分领域的定制化编制服务。</w:t>
      </w:r>
      <w:r/>
    </w:p>
    <w:p>
      <w:pPr>
        <w:ind w:firstLine="482"/>
        <w:spacing w:line="360" w:lineRule="auto"/>
        <w:rPr>
          <w:rFonts w:ascii="宋体" w:hAnsi="宋体"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、审计服务</w:t>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ascii="宋体" w:hAnsi="宋体" w:cs="宋体"/>
          <w:sz w:val="24"/>
          <w:szCs w:val="24"/>
        </w:rPr>
        <w:t xml:space="preserve">第三方机构依据国家有关法律法规、技术标准，为项目提供审计服务而发生的费用。</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内容主要包括设计概算（前期论证造价）审查、</w:t>
      </w:r>
      <w:r>
        <w:rPr>
          <w:rFonts w:hint="eastAsia" w:ascii="宋体" w:hAnsi="宋体" w:cs="宋体"/>
          <w:sz w:val="24"/>
          <w:szCs w:val="24"/>
        </w:rPr>
        <w:t xml:space="preserve">全流程</w:t>
      </w:r>
      <w:r>
        <w:rPr>
          <w:rFonts w:ascii="宋体" w:hAnsi="宋体" w:cs="宋体"/>
          <w:sz w:val="24"/>
          <w:szCs w:val="24"/>
        </w:rPr>
        <w:t xml:space="preserve">跟踪审计（含结算审计）等。</w:t>
      </w:r>
      <w:r/>
    </w:p>
    <w:p>
      <w:pPr>
        <w:ind w:firstLine="480"/>
        <w:spacing w:line="360" w:lineRule="auto"/>
        <w:rPr>
          <w:rFonts w:ascii="宋体" w:hAnsi="宋体" w:cs="宋体"/>
          <w:sz w:val="24"/>
          <w:szCs w:val="24"/>
        </w:rPr>
      </w:pPr>
      <w:r>
        <w:rPr>
          <w:rFonts w:hint="eastAsia" w:ascii="宋体" w:hAnsi="宋体" w:cs="宋体"/>
          <w:sz w:val="24"/>
          <w:szCs w:val="24"/>
        </w:rPr>
        <w:t xml:space="preserve">1） </w:t>
      </w:r>
      <w:bookmarkStart w:id="156" w:name="_Hlk230937329"/>
      <w:r>
        <w:rPr>
          <w:rFonts w:ascii="宋体" w:hAnsi="宋体" w:cs="宋体"/>
          <w:sz w:val="24"/>
          <w:szCs w:val="24"/>
        </w:rPr>
        <w:t xml:space="preserve">设计概算（前期论证造价）</w:t>
      </w:r>
      <w:bookmarkEnd w:id="156"/>
      <w:r>
        <w:rPr>
          <w:rFonts w:ascii="宋体" w:hAnsi="宋体" w:cs="宋体"/>
          <w:sz w:val="24"/>
          <w:szCs w:val="24"/>
        </w:rPr>
        <w:t xml:space="preserve">审查服务</w:t>
      </w:r>
      <w:r/>
    </w:p>
    <w:p>
      <w:pPr>
        <w:ind w:firstLine="480"/>
        <w:spacing w:line="360" w:lineRule="auto"/>
        <w:rPr>
          <w:rFonts w:ascii="宋体" w:hAnsi="宋体" w:cs="宋体"/>
          <w:sz w:val="24"/>
          <w:szCs w:val="24"/>
        </w:rPr>
      </w:pPr>
      <w:r>
        <w:rPr>
          <w:rFonts w:ascii="宋体" w:hAnsi="宋体" w:cs="宋体"/>
          <w:sz w:val="24"/>
          <w:szCs w:val="24"/>
        </w:rPr>
        <w:t xml:space="preserve">设计概算审查属于信息化项目前期造价管控核心环节，聚焦项目初步设计阶段的投资概算文件开展专业审核，筑牢项目投资</w:t>
      </w:r>
      <w:r>
        <w:rPr>
          <w:rFonts w:hint="eastAsia" w:ascii="宋体" w:hAnsi="宋体" w:cs="宋体"/>
          <w:sz w:val="24"/>
          <w:szCs w:val="24"/>
        </w:rPr>
        <w:t xml:space="preserve">“</w:t>
      </w:r>
      <w:r>
        <w:rPr>
          <w:rFonts w:ascii="宋体" w:hAnsi="宋体" w:cs="宋体"/>
          <w:sz w:val="24"/>
          <w:szCs w:val="24"/>
        </w:rPr>
        <w:t xml:space="preserve">第一道防线</w:t>
      </w:r>
      <w:r>
        <w:rPr>
          <w:rFonts w:hint="eastAsia" w:ascii="宋体" w:hAnsi="宋体" w:cs="宋体"/>
          <w:sz w:val="24"/>
          <w:szCs w:val="24"/>
        </w:rPr>
        <w:t xml:space="preserve">”</w:t>
      </w:r>
      <w:r>
        <w:rPr>
          <w:rFonts w:ascii="宋体" w:hAnsi="宋体" w:cs="宋体"/>
          <w:sz w:val="24"/>
          <w:szCs w:val="24"/>
        </w:rPr>
        <w:t xml:space="preserve">，避免前期造价虚高、漏项错算导致后期投资失控，适配政府投资、国企自筹等各类信息化项目立项审批、资金批复场景。</w:t>
      </w:r>
      <w:r/>
    </w:p>
    <w:p>
      <w:pPr>
        <w:ind w:firstLine="480"/>
        <w:spacing w:line="360" w:lineRule="auto"/>
        <w:rPr>
          <w:rFonts w:ascii="宋体" w:hAnsi="宋体" w:cs="宋体"/>
          <w:sz w:val="24"/>
          <w:szCs w:val="24"/>
        </w:rPr>
      </w:pPr>
      <w:r>
        <w:rPr>
          <w:rFonts w:ascii="宋体" w:hAnsi="宋体" w:cs="宋体"/>
          <w:sz w:val="24"/>
          <w:szCs w:val="24"/>
        </w:rPr>
        <w:t xml:space="preserve">核心工作内容</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编制依据核查：审核概算编制是否符合国家、行业及地方造价规范，定额选用、取费标准、政策文件是否合规有效，杜绝违规计价。</w:t>
      </w:r>
      <w:r/>
    </w:p>
    <w:p>
      <w:pPr>
        <w:ind w:firstLine="480"/>
        <w:spacing w:line="360" w:lineRule="auto"/>
        <w:rPr>
          <w:rFonts w:ascii="宋体" w:hAnsi="宋体" w:cs="宋体"/>
          <w:sz w:val="24"/>
          <w:szCs w:val="24"/>
        </w:rPr>
      </w:pPr>
      <w:r>
        <w:rPr>
          <w:rFonts w:ascii="宋体" w:hAnsi="宋体" w:cs="宋体"/>
          <w:sz w:val="24"/>
          <w:szCs w:val="24"/>
        </w:rPr>
        <w:t xml:space="preserve">造价完整性审核：全面核对软硬件采购、系统开发、集成部署、网络建设、安全防护、运维配套、人工服务等全费用条目，排查缺项、漏项、重复计费问题。</w:t>
      </w:r>
      <w:r/>
    </w:p>
    <w:p>
      <w:pPr>
        <w:ind w:firstLine="480"/>
        <w:spacing w:line="360" w:lineRule="auto"/>
        <w:rPr>
          <w:rFonts w:ascii="宋体" w:hAnsi="宋体" w:cs="宋体"/>
          <w:sz w:val="24"/>
          <w:szCs w:val="24"/>
        </w:rPr>
      </w:pPr>
      <w:r>
        <w:rPr>
          <w:rFonts w:ascii="宋体" w:hAnsi="宋体" w:cs="宋体"/>
          <w:sz w:val="24"/>
          <w:szCs w:val="24"/>
        </w:rPr>
        <w:t xml:space="preserve">工程量与单价复核：结合初步设计方案、技术参数，核验设备数量、开发工作量、施工内容核算准确性，审核设备单价、服务费率是否符合市场公允价，挤压造价水分。</w:t>
      </w:r>
      <w:r/>
    </w:p>
    <w:p>
      <w:pPr>
        <w:ind w:firstLine="480"/>
        <w:spacing w:line="360" w:lineRule="auto"/>
        <w:rPr>
          <w:rFonts w:ascii="宋体" w:hAnsi="宋体" w:cs="宋体"/>
          <w:sz w:val="24"/>
          <w:szCs w:val="24"/>
        </w:rPr>
      </w:pPr>
      <w:r>
        <w:rPr>
          <w:rFonts w:ascii="宋体" w:hAnsi="宋体" w:cs="宋体"/>
          <w:sz w:val="24"/>
          <w:szCs w:val="24"/>
        </w:rPr>
        <w:t xml:space="preserve">专项费用审核：针对预备费、建设期利息、前期费用等专项费用，核查计取比例、使用范围是否合理，严控不合理费用列支。</w:t>
      </w:r>
      <w:r/>
    </w:p>
    <w:p>
      <w:pPr>
        <w:ind w:firstLine="480"/>
        <w:spacing w:line="360" w:lineRule="auto"/>
        <w:rPr>
          <w:rFonts w:ascii="宋体" w:hAnsi="宋体" w:cs="宋体"/>
          <w:sz w:val="24"/>
          <w:szCs w:val="24"/>
        </w:rPr>
      </w:pPr>
      <w:r>
        <w:rPr>
          <w:rFonts w:ascii="宋体" w:hAnsi="宋体" w:cs="宋体"/>
          <w:sz w:val="24"/>
          <w:szCs w:val="24"/>
        </w:rPr>
        <w:t xml:space="preserve">出具审查报告：汇总审核问题，提出造价调整意见、优化建议，形成正式概算审查意见书，作为项目审批、资金下达、后续造价管控的依据。</w:t>
      </w:r>
      <w:r/>
    </w:p>
    <w:p>
      <w:pPr>
        <w:ind w:firstLine="480"/>
        <w:spacing w:line="360" w:lineRule="auto"/>
        <w:rPr>
          <w:rFonts w:ascii="宋体" w:hAnsi="宋体" w:cs="宋体"/>
          <w:sz w:val="24"/>
          <w:szCs w:val="24"/>
        </w:rPr>
      </w:pPr>
      <w:r>
        <w:rPr>
          <w:rFonts w:ascii="宋体" w:hAnsi="宋体" w:cs="宋体"/>
          <w:sz w:val="24"/>
          <w:szCs w:val="24"/>
        </w:rPr>
        <w:t xml:space="preserve">服务价值与收费要点</w:t>
      </w:r>
      <w:r>
        <w:rPr>
          <w:rFonts w:hint="eastAsia" w:ascii="宋体" w:hAnsi="宋体" w:cs="宋体"/>
          <w:sz w:val="24"/>
          <w:szCs w:val="24"/>
        </w:rPr>
        <w:t xml:space="preserve">：</w:t>
      </w:r>
      <w:r>
        <w:rPr>
          <w:rFonts w:ascii="宋体" w:hAnsi="宋体" w:cs="宋体"/>
          <w:sz w:val="24"/>
          <w:szCs w:val="24"/>
        </w:rPr>
        <w:t xml:space="preserve">通过前期概算审查，可有效压缩虚高投资、规范造价编制，实现项目投资源头管控；收费多以项目概算投资额为基数，按比例计费，小型项目可采用固定总价，加急审查、复杂项目可适当上浮费率。</w:t>
      </w:r>
      <w:r/>
    </w:p>
    <w:p>
      <w:pPr>
        <w:ind w:firstLine="480"/>
        <w:spacing w:line="360" w:lineRule="auto"/>
        <w:rPr>
          <w:rFonts w:ascii="宋体" w:hAnsi="宋体" w:cs="宋体"/>
          <w:sz w:val="24"/>
          <w:szCs w:val="24"/>
        </w:rPr>
      </w:pPr>
      <w:r>
        <w:rPr>
          <w:rFonts w:hint="eastAsia" w:ascii="宋体" w:hAnsi="宋体" w:cs="宋体"/>
          <w:sz w:val="24"/>
          <w:szCs w:val="24"/>
        </w:rPr>
        <w:t xml:space="preserve">2）</w:t>
      </w:r>
      <w:bookmarkStart w:id="157" w:name="_Hlk230937543"/>
      <w:r>
        <w:rPr>
          <w:rFonts w:hint="eastAsia" w:ascii="宋体" w:hAnsi="宋体" w:cs="宋体"/>
          <w:sz w:val="24"/>
          <w:szCs w:val="24"/>
        </w:rPr>
        <w:t xml:space="preserve">全流程</w:t>
      </w:r>
      <w:r>
        <w:rPr>
          <w:rFonts w:ascii="宋体" w:hAnsi="宋体" w:cs="宋体"/>
          <w:sz w:val="24"/>
          <w:szCs w:val="24"/>
        </w:rPr>
        <w:t xml:space="preserve">跟踪审计（含结算审计）服务</w:t>
      </w:r>
      <w:bookmarkEnd w:id="157"/>
      <w:r/>
      <w:r/>
    </w:p>
    <w:p>
      <w:pPr>
        <w:ind w:firstLine="480"/>
        <w:spacing w:line="360" w:lineRule="auto"/>
        <w:rPr>
          <w:rFonts w:ascii="宋体" w:hAnsi="宋体" w:cs="宋体"/>
          <w:sz w:val="24"/>
          <w:szCs w:val="24"/>
        </w:rPr>
      </w:pPr>
      <w:r>
        <w:rPr>
          <w:rFonts w:hint="eastAsia" w:ascii="宋体" w:hAnsi="宋体" w:cs="宋体"/>
          <w:sz w:val="24"/>
          <w:szCs w:val="24"/>
        </w:rPr>
        <w:t xml:space="preserve">全流程</w:t>
      </w:r>
      <w:r>
        <w:rPr>
          <w:rFonts w:ascii="宋体" w:hAnsi="宋体" w:cs="宋体"/>
          <w:sz w:val="24"/>
          <w:szCs w:val="24"/>
        </w:rPr>
        <w:t xml:space="preserve">跟踪审计是贯穿信息化项目实施全周期的动态管控服务，打破事后审计的局限性，从项目招投标、合同签订、现场施工、变更签证到阶段性结算，全程介入监督审核，实时纠偏造价风险，兼顾过程管控与阶段性结算核验，尤其适用于大中型、长周期、多标段的复杂信息化项目（如智慧城市、大数据平台、智慧园区等）。</w:t>
      </w:r>
      <w:r/>
    </w:p>
    <w:p>
      <w:pPr>
        <w:ind w:firstLine="480"/>
        <w:spacing w:line="360" w:lineRule="auto"/>
        <w:rPr>
          <w:rFonts w:ascii="宋体" w:hAnsi="宋体" w:cs="宋体"/>
          <w:sz w:val="24"/>
          <w:szCs w:val="24"/>
        </w:rPr>
      </w:pPr>
      <w:r>
        <w:rPr>
          <w:rFonts w:ascii="宋体" w:hAnsi="宋体" w:cs="宋体"/>
          <w:sz w:val="24"/>
          <w:szCs w:val="24"/>
        </w:rPr>
        <w:t xml:space="preserve">核心工作内容</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前期筹备审计：审核招投标文件、合同条款的造价约定，核查中标价合理性、合同价款支付方式、违约责任条款是否合规，防范合同造价隐患。</w:t>
      </w:r>
      <w:r/>
    </w:p>
    <w:p>
      <w:pPr>
        <w:ind w:firstLine="480"/>
        <w:spacing w:line="360" w:lineRule="auto"/>
        <w:rPr>
          <w:rFonts w:ascii="宋体" w:hAnsi="宋体" w:cs="宋体"/>
          <w:sz w:val="24"/>
          <w:szCs w:val="24"/>
        </w:rPr>
      </w:pPr>
      <w:r>
        <w:rPr>
          <w:rFonts w:ascii="宋体" w:hAnsi="宋体" w:cs="宋体"/>
          <w:sz w:val="24"/>
          <w:szCs w:val="24"/>
        </w:rPr>
        <w:t xml:space="preserve">中期过程管控：监督项目实施进度，核验现场施工、系统集成、设备安装等实际内容与方案一致性；审核工程变更、现场签证、技术核定单的必要性与造价合理性，杜绝随意变更增项；复核进度款支付申请，确保按实际进度拨款，避免超付、错付。</w:t>
      </w:r>
      <w:r/>
    </w:p>
    <w:p>
      <w:pPr>
        <w:ind w:firstLine="480"/>
        <w:spacing w:line="360" w:lineRule="auto"/>
        <w:rPr>
          <w:rFonts w:ascii="宋体" w:hAnsi="宋体" w:cs="宋体"/>
          <w:sz w:val="24"/>
          <w:szCs w:val="24"/>
        </w:rPr>
      </w:pPr>
      <w:r>
        <w:rPr>
          <w:rFonts w:ascii="宋体" w:hAnsi="宋体" w:cs="宋体"/>
          <w:sz w:val="24"/>
          <w:szCs w:val="24"/>
        </w:rPr>
        <w:t xml:space="preserve">阶段性结算审计：针对项目节点完工、分批次交付的场景，开展阶段性结算审核，核对节点工程量、造价费用，出具阶段性结算审计意见，作为中期资金拨付依据。</w:t>
      </w:r>
      <w:r/>
    </w:p>
    <w:p>
      <w:pPr>
        <w:ind w:firstLine="480"/>
        <w:spacing w:line="360" w:lineRule="auto"/>
        <w:rPr>
          <w:rFonts w:ascii="宋体" w:hAnsi="宋体" w:cs="宋体"/>
          <w:sz w:val="24"/>
          <w:szCs w:val="24"/>
        </w:rPr>
      </w:pPr>
      <w:r>
        <w:rPr>
          <w:rFonts w:ascii="宋体" w:hAnsi="宋体" w:cs="宋体"/>
          <w:sz w:val="24"/>
          <w:szCs w:val="24"/>
        </w:rPr>
        <w:t xml:space="preserve">造价风险预警：全程梳理造价管控漏洞，针对超投资、违规计费、资料缺失等问题及时预警，提出整改建议，协助委托人管控投资总额。</w:t>
      </w:r>
      <w:r/>
    </w:p>
    <w:p>
      <w:pPr>
        <w:ind w:firstLine="480"/>
        <w:spacing w:line="360" w:lineRule="auto"/>
        <w:rPr>
          <w:rFonts w:ascii="宋体" w:hAnsi="宋体" w:cs="宋体"/>
          <w:sz w:val="24"/>
          <w:szCs w:val="24"/>
        </w:rPr>
      </w:pPr>
      <w:r>
        <w:rPr>
          <w:rFonts w:ascii="宋体" w:hAnsi="宋体" w:cs="宋体"/>
          <w:sz w:val="24"/>
          <w:szCs w:val="24"/>
        </w:rPr>
        <w:t xml:space="preserve">过程资料归档：全程收集、整理造价审计相关资料，建立台账，为后期竣工结算审计奠定基础。</w:t>
      </w:r>
      <w:r/>
    </w:p>
    <w:p>
      <w:pPr>
        <w:ind w:firstLine="480"/>
        <w:spacing w:line="360" w:lineRule="auto"/>
        <w:rPr>
          <w:rFonts w:ascii="宋体" w:hAnsi="宋体" w:cs="宋体"/>
          <w:sz w:val="24"/>
          <w:szCs w:val="24"/>
        </w:rPr>
      </w:pPr>
      <w:r>
        <w:rPr>
          <w:rFonts w:ascii="宋体" w:hAnsi="宋体" w:cs="宋体"/>
          <w:sz w:val="24"/>
          <w:szCs w:val="24"/>
        </w:rPr>
        <w:t xml:space="preserve">服务价值与收费要点</w:t>
      </w:r>
      <w:r>
        <w:rPr>
          <w:rFonts w:hint="eastAsia" w:ascii="宋体" w:hAnsi="宋体" w:cs="宋体"/>
          <w:sz w:val="24"/>
          <w:szCs w:val="24"/>
        </w:rPr>
        <w:t xml:space="preserve">：</w:t>
      </w:r>
      <w:r>
        <w:rPr>
          <w:rFonts w:ascii="宋体" w:hAnsi="宋体" w:cs="宋体"/>
          <w:sz w:val="24"/>
          <w:szCs w:val="24"/>
        </w:rPr>
        <w:t xml:space="preserve">该服务实现造价管控</w:t>
      </w:r>
      <w:r>
        <w:rPr>
          <w:rFonts w:hint="eastAsia" w:ascii="宋体" w:hAnsi="宋体" w:cs="宋体"/>
          <w:sz w:val="24"/>
          <w:szCs w:val="24"/>
        </w:rPr>
        <w:t xml:space="preserve">“</w:t>
      </w:r>
      <w:r>
        <w:rPr>
          <w:rFonts w:ascii="宋体" w:hAnsi="宋体" w:cs="宋体"/>
          <w:sz w:val="24"/>
          <w:szCs w:val="24"/>
        </w:rPr>
        <w:t xml:space="preserve">事前预防、事中控制</w:t>
      </w:r>
      <w:r>
        <w:rPr>
          <w:rFonts w:hint="eastAsia" w:ascii="宋体" w:hAnsi="宋体" w:cs="宋体"/>
          <w:sz w:val="24"/>
          <w:szCs w:val="24"/>
        </w:rPr>
        <w:t xml:space="preserve">”</w:t>
      </w:r>
      <w:r>
        <w:rPr>
          <w:rFonts w:ascii="宋体" w:hAnsi="宋体" w:cs="宋体"/>
          <w:sz w:val="24"/>
          <w:szCs w:val="24"/>
        </w:rPr>
        <w:t xml:space="preserve">，大幅降低后期结算纠纷、投资超支风险；收费结合项目周期、造价规模、审计频次、派驻人员资质核算，主流计费方式为按项目总投资比例计费，或按人工工时、服务周期包干计费。</w:t>
      </w:r>
      <w:r/>
    </w:p>
    <w:p>
      <w:pPr>
        <w:ind w:firstLine="482"/>
        <w:spacing w:line="360" w:lineRule="auto"/>
        <w:rPr>
          <w:rFonts w:ascii="宋体" w:hAnsi="宋体" w:cs="宋体"/>
          <w:b/>
          <w:bCs/>
          <w:sz w:val="24"/>
          <w:szCs w:val="24"/>
        </w:rPr>
      </w:pPr>
      <w:r/>
      <w:bookmarkStart w:id="158" w:name="_Hlk230937732"/>
      <w:r>
        <w:rPr>
          <w:rFonts w:ascii="宋体" w:hAnsi="宋体" w:cs="宋体"/>
          <w:b/>
          <w:bCs/>
          <w:sz w:val="24"/>
          <w:szCs w:val="24"/>
        </w:rPr>
        <w:t xml:space="preserve">3</w:t>
      </w:r>
      <w:r>
        <w:rPr>
          <w:rFonts w:hint="eastAsia" w:ascii="宋体" w:hAnsi="宋体" w:cs="宋体"/>
          <w:b/>
          <w:bCs/>
          <w:sz w:val="24"/>
          <w:szCs w:val="24"/>
        </w:rPr>
        <w:t xml:space="preserve">、软件测评</w:t>
      </w:r>
      <w:bookmarkEnd w:id="158"/>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ascii="宋体" w:hAnsi="宋体" w:cs="宋体"/>
          <w:sz w:val="24"/>
          <w:szCs w:val="24"/>
        </w:rPr>
        <w:t xml:space="preserve">指信息化项目在验收前委托第三方测评机构依据经批准的信息化项目可行性研究报告、初步设计方案、招投标文件等对用户软件进行测评。</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对用户软件功能性、非功能性、用户文档等进行测评，并出具测评报告。</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软件功能性测评</w:t>
      </w:r>
      <w:r/>
    </w:p>
    <w:p>
      <w:pPr>
        <w:ind w:firstLine="480"/>
        <w:spacing w:line="360" w:lineRule="auto"/>
        <w:rPr>
          <w:rFonts w:ascii="宋体" w:hAnsi="宋体" w:cs="宋体"/>
          <w:sz w:val="24"/>
          <w:szCs w:val="24"/>
        </w:rPr>
      </w:pPr>
      <w:r>
        <w:rPr>
          <w:rFonts w:ascii="宋体" w:hAnsi="宋体" w:cs="宋体"/>
          <w:sz w:val="24"/>
          <w:szCs w:val="24"/>
        </w:rPr>
        <w:t xml:space="preserve">功能性测评是软件测评的核心板块，聚焦软件是否满足需求规格说明书、用户实际使用场景的功能要求，核验功能实现的准确性、完整性、合规性，杜绝功能缺失、逻辑错误、操作异常等问题，保障软件核心业务正常运转。</w:t>
      </w:r>
      <w:r/>
    </w:p>
    <w:p>
      <w:pPr>
        <w:ind w:firstLine="480"/>
        <w:spacing w:line="360" w:lineRule="auto"/>
        <w:rPr>
          <w:rFonts w:ascii="宋体" w:hAnsi="宋体" w:cs="宋体"/>
          <w:sz w:val="24"/>
          <w:szCs w:val="24"/>
        </w:rPr>
      </w:pPr>
      <w:r>
        <w:rPr>
          <w:rFonts w:ascii="宋体" w:hAnsi="宋体" w:cs="宋体"/>
          <w:sz w:val="24"/>
          <w:szCs w:val="24"/>
        </w:rPr>
        <w:t xml:space="preserve">功能适配性核查：对照软件需求文档、设计方案，逐一测试各项预设功能（如数据录入、流程审批、查询统计、接口调用、业务联动等）是否按要求开发落地，排查漏开发、错开发、功能冗余问题。</w:t>
      </w:r>
      <w:r/>
    </w:p>
    <w:p>
      <w:pPr>
        <w:ind w:firstLine="480"/>
        <w:spacing w:line="360" w:lineRule="auto"/>
        <w:rPr>
          <w:rFonts w:ascii="宋体" w:hAnsi="宋体" w:cs="宋体"/>
          <w:sz w:val="24"/>
          <w:szCs w:val="24"/>
        </w:rPr>
      </w:pPr>
      <w:r>
        <w:rPr>
          <w:rFonts w:ascii="宋体" w:hAnsi="宋体" w:cs="宋体"/>
          <w:sz w:val="24"/>
          <w:szCs w:val="24"/>
        </w:rPr>
        <w:t xml:space="preserve">功能准确性测试：模拟正常、异常、边界场景，验证软件功能执行结果是否精准无误，数据计算、逻辑判断、信息反馈是否符合业务规则，杜绝数据失真、流程卡死、结果偏差等故障。</w:t>
      </w:r>
      <w:r/>
    </w:p>
    <w:p>
      <w:pPr>
        <w:ind w:firstLine="480"/>
        <w:spacing w:line="360" w:lineRule="auto"/>
        <w:rPr>
          <w:rFonts w:ascii="宋体" w:hAnsi="宋体" w:cs="宋体"/>
          <w:sz w:val="24"/>
          <w:szCs w:val="24"/>
        </w:rPr>
      </w:pPr>
      <w:r>
        <w:rPr>
          <w:rFonts w:ascii="宋体" w:hAnsi="宋体" w:cs="宋体"/>
          <w:sz w:val="24"/>
          <w:szCs w:val="24"/>
        </w:rPr>
        <w:t xml:space="preserve">功能合规性校验：针对政务软件、金融软件、医疗软件等特殊领域，核查功能是否符合行业监管要求、数据安全规范、业务办理标准，满足行业准入与合规使用条件。</w:t>
      </w:r>
      <w:r/>
    </w:p>
    <w:p>
      <w:pPr>
        <w:ind w:firstLine="480"/>
        <w:spacing w:line="360" w:lineRule="auto"/>
        <w:rPr>
          <w:rFonts w:ascii="宋体" w:hAnsi="宋体" w:cs="宋体"/>
          <w:sz w:val="24"/>
          <w:szCs w:val="24"/>
        </w:rPr>
      </w:pPr>
      <w:r>
        <w:rPr>
          <w:rFonts w:ascii="宋体" w:hAnsi="宋体" w:cs="宋体"/>
          <w:sz w:val="24"/>
          <w:szCs w:val="24"/>
        </w:rPr>
        <w:t xml:space="preserve">交互操作性测试：测试软件与配套硬件、第三方系统、数据库、中间件的对接兼容性，保障跨平台、跨系统功能联动顺畅，无接口报错、数据同步失败问题。</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软件非功能性测评</w:t>
      </w:r>
      <w:r/>
    </w:p>
    <w:p>
      <w:pPr>
        <w:ind w:firstLine="480"/>
        <w:spacing w:line="360" w:lineRule="auto"/>
        <w:rPr>
          <w:rFonts w:ascii="宋体" w:hAnsi="宋体" w:cs="宋体"/>
          <w:sz w:val="24"/>
          <w:szCs w:val="24"/>
        </w:rPr>
      </w:pPr>
      <w:r>
        <w:rPr>
          <w:rFonts w:ascii="宋体" w:hAnsi="宋体" w:cs="宋体"/>
          <w:sz w:val="24"/>
          <w:szCs w:val="24"/>
        </w:rPr>
        <w:t xml:space="preserve">非功能性测评聚焦软件运行质量与用户体验，弥补功能测试的局限性，验证软件在各类运行环境下的稳定性、安全性、高效性，避免上线后出现卡顿、崩溃、泄密、卡顿等体验问题，适配高并发、大数据量、长周期运行场景。</w:t>
      </w:r>
      <w:r/>
    </w:p>
    <w:p>
      <w:pPr>
        <w:ind w:firstLine="480"/>
        <w:spacing w:line="360" w:lineRule="auto"/>
        <w:rPr>
          <w:rFonts w:ascii="宋体" w:hAnsi="宋体" w:cs="宋体"/>
          <w:sz w:val="24"/>
          <w:szCs w:val="24"/>
        </w:rPr>
      </w:pPr>
      <w:r>
        <w:rPr>
          <w:rFonts w:ascii="宋体" w:hAnsi="宋体" w:cs="宋体"/>
          <w:sz w:val="24"/>
          <w:szCs w:val="24"/>
        </w:rPr>
        <w:t xml:space="preserve">性能效率测评：通过压力测试、负载测试、并发测试，核验软件响应速度、处理吞吐量、资源占用率（CPU、内存、带宽），验证高并发场景下软件是否流畅运行，无延迟、卡顿、宕机问题。</w:t>
      </w:r>
      <w:r/>
    </w:p>
    <w:p>
      <w:pPr>
        <w:ind w:firstLine="480"/>
        <w:spacing w:line="360" w:lineRule="auto"/>
        <w:rPr>
          <w:rFonts w:ascii="宋体" w:hAnsi="宋体" w:cs="宋体"/>
          <w:sz w:val="24"/>
          <w:szCs w:val="24"/>
        </w:rPr>
      </w:pPr>
      <w:r>
        <w:rPr>
          <w:rFonts w:ascii="宋体" w:hAnsi="宋体" w:cs="宋体"/>
          <w:sz w:val="24"/>
          <w:szCs w:val="24"/>
        </w:rPr>
        <w:t xml:space="preserve">易用性测评：从普通用户视角，测试软件界面布局、操作流程、提示信息、导航设计是否简洁易懂，降低用户学习成本，减少误操作概率，提升使用便捷度。</w:t>
      </w:r>
      <w:r/>
    </w:p>
    <w:p>
      <w:pPr>
        <w:ind w:firstLine="480"/>
        <w:spacing w:line="360" w:lineRule="auto"/>
        <w:rPr>
          <w:rFonts w:ascii="宋体" w:hAnsi="宋体" w:cs="宋体"/>
          <w:sz w:val="24"/>
          <w:szCs w:val="24"/>
        </w:rPr>
      </w:pPr>
      <w:r>
        <w:rPr>
          <w:rFonts w:ascii="宋体" w:hAnsi="宋体" w:cs="宋体"/>
          <w:sz w:val="24"/>
          <w:szCs w:val="24"/>
        </w:rPr>
        <w:t xml:space="preserve">可靠性测评：模拟长时间运行、断电重启、网络波动等场景，测试软件容错能力、故障恢复能力、数据备份有效性，保障软件7×24小时稳定运行，降低故障率。</w:t>
      </w:r>
      <w:r/>
    </w:p>
    <w:p>
      <w:pPr>
        <w:ind w:firstLine="480"/>
        <w:spacing w:line="360" w:lineRule="auto"/>
        <w:rPr>
          <w:rFonts w:ascii="宋体" w:hAnsi="宋体" w:cs="宋体"/>
          <w:sz w:val="24"/>
          <w:szCs w:val="24"/>
        </w:rPr>
      </w:pPr>
      <w:r>
        <w:rPr>
          <w:rFonts w:ascii="宋体" w:hAnsi="宋体" w:cs="宋体"/>
          <w:sz w:val="24"/>
          <w:szCs w:val="24"/>
        </w:rPr>
        <w:t xml:space="preserve">安全性测评：开展漏洞扫描、渗透测试、权限管控测试、数据加密测试、防攻击测试，排查SQL注入、越权操作、数据泄露、病毒入侵等安全隐患，保障用户数据与系统运行安全。</w:t>
      </w:r>
      <w:r/>
    </w:p>
    <w:p>
      <w:pPr>
        <w:ind w:firstLine="480"/>
        <w:spacing w:line="360" w:lineRule="auto"/>
        <w:rPr>
          <w:rFonts w:ascii="宋体" w:hAnsi="宋体" w:cs="宋体"/>
          <w:sz w:val="24"/>
          <w:szCs w:val="24"/>
        </w:rPr>
      </w:pPr>
      <w:r>
        <w:rPr>
          <w:rFonts w:ascii="宋体" w:hAnsi="宋体" w:cs="宋体"/>
          <w:sz w:val="24"/>
          <w:szCs w:val="24"/>
        </w:rPr>
        <w:t xml:space="preserve">兼容性测评：测试软件在不同操作系统（Windows、Linux、macOS、iOS、Android）、浏览器、分辨率、硬件配置下的适配效果，确保全场景正常使用。</w:t>
      </w:r>
      <w:r/>
    </w:p>
    <w:p>
      <w:pPr>
        <w:ind w:firstLine="480"/>
        <w:spacing w:line="360" w:lineRule="auto"/>
        <w:rPr>
          <w:rFonts w:ascii="宋体" w:hAnsi="宋体" w:cs="宋体"/>
          <w:sz w:val="24"/>
          <w:szCs w:val="24"/>
        </w:rPr>
      </w:pPr>
      <w:r>
        <w:rPr>
          <w:rFonts w:ascii="宋体" w:hAnsi="宋体" w:cs="宋体"/>
          <w:sz w:val="24"/>
          <w:szCs w:val="24"/>
        </w:rPr>
        <w:t xml:space="preserve">可维护性测评：核验软件代码规范度、日志完整性、升级便捷性，便于后期运维、bug修复、功能迭代，降低后期维护成本。</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用户文档测评</w:t>
      </w:r>
      <w:r/>
    </w:p>
    <w:p>
      <w:pPr>
        <w:ind w:firstLine="480"/>
        <w:spacing w:line="360" w:lineRule="auto"/>
        <w:rPr>
          <w:rFonts w:ascii="宋体" w:hAnsi="宋体" w:cs="宋体"/>
          <w:sz w:val="24"/>
          <w:szCs w:val="24"/>
        </w:rPr>
      </w:pPr>
      <w:r>
        <w:rPr>
          <w:rFonts w:ascii="宋体" w:hAnsi="宋体" w:cs="宋体"/>
          <w:sz w:val="24"/>
          <w:szCs w:val="24"/>
        </w:rPr>
        <w:t xml:space="preserve">用户文档测评针对软件配套交付资料开展合规性、完整性、准确性核查，保障文档与软件实际功能一致，为用户安装、使用、运维、二次开发提供清晰指引，同时满足项目验收、资质审核的文档要求。</w:t>
      </w:r>
      <w:r/>
    </w:p>
    <w:p>
      <w:pPr>
        <w:ind w:firstLine="480"/>
        <w:spacing w:line="360" w:lineRule="auto"/>
        <w:rPr>
          <w:rFonts w:ascii="宋体" w:hAnsi="宋体" w:cs="宋体"/>
          <w:sz w:val="24"/>
          <w:szCs w:val="24"/>
        </w:rPr>
      </w:pPr>
      <w:r>
        <w:rPr>
          <w:rFonts w:ascii="宋体" w:hAnsi="宋体" w:cs="宋体"/>
          <w:sz w:val="24"/>
          <w:szCs w:val="24"/>
        </w:rPr>
        <w:t xml:space="preserve">文档完整性核查：核验全套用户文档是否齐全，涵盖用户手册、操作手册、安装部署手册、维护手册、需求规格说明书、设计文档、测试记录、版本说明等核心资料。</w:t>
      </w:r>
      <w:r/>
    </w:p>
    <w:p>
      <w:pPr>
        <w:ind w:firstLine="480"/>
        <w:spacing w:line="360" w:lineRule="auto"/>
        <w:rPr>
          <w:rFonts w:ascii="宋体" w:hAnsi="宋体" w:cs="宋体"/>
          <w:sz w:val="24"/>
          <w:szCs w:val="24"/>
        </w:rPr>
      </w:pPr>
      <w:r>
        <w:rPr>
          <w:rFonts w:ascii="宋体" w:hAnsi="宋体" w:cs="宋体"/>
          <w:sz w:val="24"/>
          <w:szCs w:val="24"/>
        </w:rPr>
        <w:t xml:space="preserve">文档准确性测试：对照软件实际功能与操作流程，核查文档描述是否真实无误，操作步骤、参数配置、故障排查方法是否清晰可行，无错误引导、表述模糊问题。</w:t>
      </w:r>
      <w:r/>
    </w:p>
    <w:p>
      <w:pPr>
        <w:ind w:firstLine="480"/>
        <w:spacing w:line="360" w:lineRule="auto"/>
        <w:rPr>
          <w:rFonts w:ascii="宋体" w:hAnsi="宋体" w:cs="宋体"/>
          <w:sz w:val="24"/>
          <w:szCs w:val="24"/>
        </w:rPr>
      </w:pPr>
      <w:r>
        <w:rPr>
          <w:rFonts w:ascii="宋体" w:hAnsi="宋体" w:cs="宋体"/>
          <w:sz w:val="24"/>
          <w:szCs w:val="24"/>
        </w:rPr>
        <w:t xml:space="preserve">文档规范性校验：检查文档格式、排版、术语、图表是否统一规范，内容逻辑清晰、通俗易懂，满足行业文档编制标准与委托方归档要求。</w:t>
      </w:r>
      <w:r/>
    </w:p>
    <w:p>
      <w:pPr>
        <w:ind w:firstLine="480"/>
        <w:spacing w:line="360" w:lineRule="auto"/>
        <w:rPr>
          <w:rFonts w:ascii="宋体" w:hAnsi="宋体" w:cs="宋体"/>
          <w:sz w:val="24"/>
          <w:szCs w:val="24"/>
        </w:rPr>
      </w:pPr>
      <w:r>
        <w:rPr>
          <w:rFonts w:ascii="宋体" w:hAnsi="宋体" w:cs="宋体"/>
          <w:sz w:val="24"/>
          <w:szCs w:val="24"/>
        </w:rPr>
        <w:t xml:space="preserve">文档适配性核查：确保文档版本与软件版本匹配，更新日志、功能变更记录同步完善，避免文档与软件脱节。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4、</w:t>
      </w:r>
      <w:bookmarkStart w:id="159" w:name="_Hlk230937568"/>
      <w:r>
        <w:rPr>
          <w:rFonts w:ascii="宋体" w:hAnsi="宋体" w:cs="宋体"/>
          <w:b/>
          <w:bCs/>
          <w:sz w:val="24"/>
          <w:szCs w:val="24"/>
        </w:rPr>
        <w:t xml:space="preserve">工程监理</w:t>
      </w:r>
      <w:bookmarkEnd w:id="159"/>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ascii="宋体" w:hAnsi="宋体" w:cs="宋体"/>
          <w:sz w:val="24"/>
          <w:szCs w:val="24"/>
        </w:rPr>
        <w:t xml:space="preserve">由建设单位委托的监理机构，依据国家有关法律法规、技术标准，为项目提供监督管理服务而发生的费用。</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监理内容主要包括技术总体方案把关、质量控制、进度控制、投资控制、变更控制、合同管理、信息及文档管理、安全管理、沟通管理、知识产权管理等。依据合同做好相关各类项目会议的组织、记录，项目文档起草、归档、移交等管理工作</w:t>
      </w:r>
      <w:r>
        <w:rPr>
          <w:rFonts w:hint="eastAsia" w:ascii="宋体" w:hAnsi="宋体" w:cs="宋体"/>
          <w:sz w:val="24"/>
          <w:szCs w:val="24"/>
        </w:rPr>
        <w:t xml:space="preserve">，并实现档案归集以及档案数字化</w:t>
      </w:r>
      <w:r>
        <w:rPr>
          <w:rFonts w:ascii="宋体" w:hAnsi="宋体" w:cs="宋体"/>
          <w:sz w:val="24"/>
          <w:szCs w:val="24"/>
        </w:rPr>
        <w:t xml:space="preserve">；针对项目建设情况，提出合理化的改进改良建议；全面负责项目各方的工作协调、督办等；协助采购人及建设单位完成上级各部门对本项目的检查、考核、验收等工作。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核心监理管控与管理职责</w:t>
      </w:r>
      <w:r/>
    </w:p>
    <w:p>
      <w:pPr>
        <w:ind w:firstLine="480"/>
        <w:spacing w:line="360" w:lineRule="auto"/>
        <w:rPr>
          <w:rFonts w:ascii="宋体" w:hAnsi="宋体" w:cs="宋体"/>
          <w:sz w:val="24"/>
          <w:szCs w:val="24"/>
        </w:rPr>
      </w:pPr>
      <w:r>
        <w:rPr>
          <w:rFonts w:ascii="宋体" w:hAnsi="宋体" w:cs="宋体"/>
          <w:sz w:val="24"/>
          <w:szCs w:val="24"/>
        </w:rPr>
        <w:t xml:space="preserve">技术总体方案把关</w:t>
      </w:r>
      <w:r/>
    </w:p>
    <w:p>
      <w:pPr>
        <w:ind w:firstLine="480"/>
        <w:spacing w:line="360" w:lineRule="auto"/>
        <w:rPr>
          <w:rFonts w:ascii="宋体" w:hAnsi="宋体" w:cs="宋体"/>
          <w:sz w:val="24"/>
          <w:szCs w:val="24"/>
        </w:rPr>
      </w:pPr>
      <w:r>
        <w:rPr>
          <w:rFonts w:ascii="宋体" w:hAnsi="宋体" w:cs="宋体"/>
          <w:sz w:val="24"/>
          <w:szCs w:val="24"/>
        </w:rPr>
        <w:t xml:space="preserve">聚焦项目前期技术顶层设计，对承建方提交的技术总体方案、系统架构、功能设计、软硬件选型、集成方案等进行专业审核，核查方案的可行性、先进性、兼容性及合规性，研判技术风险，杜绝方案缺陷、选型不当、架构不合理等问题，从源头保障项目建设方向贴合需求、符合标准，为项目顺利实施奠定技术基础。</w:t>
      </w:r>
      <w:r/>
    </w:p>
    <w:p>
      <w:pPr>
        <w:ind w:firstLine="480"/>
        <w:spacing w:line="360" w:lineRule="auto"/>
        <w:rPr>
          <w:rFonts w:ascii="宋体" w:hAnsi="宋体" w:cs="宋体"/>
          <w:sz w:val="24"/>
          <w:szCs w:val="24"/>
        </w:rPr>
      </w:pPr>
      <w:r>
        <w:rPr>
          <w:rFonts w:ascii="宋体" w:hAnsi="宋体" w:cs="宋体"/>
          <w:sz w:val="24"/>
          <w:szCs w:val="24"/>
        </w:rPr>
        <w:t xml:space="preserve">全维度过程控制</w:t>
      </w:r>
      <w:r/>
    </w:p>
    <w:p>
      <w:pPr>
        <w:ind w:firstLine="480"/>
        <w:spacing w:line="360" w:lineRule="auto"/>
        <w:rPr>
          <w:rFonts w:ascii="宋体" w:hAnsi="宋体" w:cs="宋体"/>
          <w:sz w:val="24"/>
          <w:szCs w:val="24"/>
        </w:rPr>
      </w:pPr>
      <w:r>
        <w:rPr>
          <w:rFonts w:ascii="宋体" w:hAnsi="宋体" w:cs="宋体"/>
          <w:sz w:val="24"/>
          <w:szCs w:val="24"/>
        </w:rPr>
        <w:t xml:space="preserve">质量控制：建立全流程质量管控体系，监督承建方严格按照设计方案、技术规范、验收标准施工建设，核查设备进场检验、工序施工、系统测试、功能调试等环节质量，留存质量巡检记录，及时叫停不合规操作，督促整改质量缺陷，确保项目整体质量达标。</w:t>
      </w:r>
      <w:r/>
    </w:p>
    <w:p>
      <w:pPr>
        <w:ind w:firstLine="480"/>
        <w:spacing w:line="360" w:lineRule="auto"/>
        <w:rPr>
          <w:rFonts w:ascii="宋体" w:hAnsi="宋体" w:cs="宋体"/>
          <w:sz w:val="24"/>
          <w:szCs w:val="24"/>
        </w:rPr>
      </w:pPr>
      <w:r>
        <w:rPr>
          <w:rFonts w:ascii="宋体" w:hAnsi="宋体" w:cs="宋体"/>
          <w:sz w:val="24"/>
          <w:szCs w:val="24"/>
        </w:rPr>
        <w:t xml:space="preserve">进度控制：对照项目总工期及阶段性计划，实时跟踪建设进度，核查关键节点完成情况，梳理进度滞后原因，督促承建方优化施工计划、调配资源，化解进度延误风险，同步更新进度台账，保障项目按期推进、如期交付。</w:t>
      </w:r>
      <w:r/>
    </w:p>
    <w:p>
      <w:pPr>
        <w:ind w:firstLine="480"/>
        <w:spacing w:line="360" w:lineRule="auto"/>
        <w:rPr>
          <w:rFonts w:ascii="宋体" w:hAnsi="宋体" w:cs="宋体"/>
          <w:sz w:val="24"/>
          <w:szCs w:val="24"/>
        </w:rPr>
      </w:pPr>
      <w:r>
        <w:rPr>
          <w:rFonts w:ascii="宋体" w:hAnsi="宋体" w:cs="宋体"/>
          <w:sz w:val="24"/>
          <w:szCs w:val="24"/>
        </w:rPr>
        <w:t xml:space="preserve">投资控制：紧盯项目投资预算执行，审核工程计量、进度款支付申请，严控资金拨付流程，杜绝超预算、超范围支出，实时监控投资动态，防范资金浪费、虚报冒领等问题，保障项目投资可控合规。</w:t>
      </w:r>
      <w:r/>
    </w:p>
    <w:p>
      <w:pPr>
        <w:ind w:firstLine="480"/>
        <w:spacing w:line="360" w:lineRule="auto"/>
        <w:rPr>
          <w:rFonts w:ascii="宋体" w:hAnsi="宋体" w:cs="宋体"/>
          <w:sz w:val="24"/>
          <w:szCs w:val="24"/>
        </w:rPr>
      </w:pPr>
      <w:r>
        <w:rPr>
          <w:rFonts w:ascii="宋体" w:hAnsi="宋体" w:cs="宋体"/>
          <w:sz w:val="24"/>
          <w:szCs w:val="24"/>
        </w:rPr>
        <w:t xml:space="preserve">变更控制：规范项目变更管理流程，审核各类工程变更、技术变更、需求变更的必要性、合理性及造价影响，严格履行变更审批手续，监督变更实施</w:t>
      </w:r>
      <w:r>
        <w:rPr>
          <w:rFonts w:hint="eastAsia" w:ascii="宋体" w:hAnsi="宋体" w:cs="宋体"/>
          <w:sz w:val="24"/>
          <w:szCs w:val="24"/>
        </w:rPr>
        <w:t xml:space="preserve">全流程</w:t>
      </w:r>
      <w:r>
        <w:rPr>
          <w:rFonts w:ascii="宋体" w:hAnsi="宋体" w:cs="宋体"/>
          <w:sz w:val="24"/>
          <w:szCs w:val="24"/>
        </w:rPr>
        <w:t xml:space="preserve">，避免随意变更导致进度延误、投资超支、质量下降。</w:t>
      </w:r>
      <w:r/>
    </w:p>
    <w:p>
      <w:pPr>
        <w:ind w:firstLine="480"/>
        <w:spacing w:line="360" w:lineRule="auto"/>
        <w:rPr>
          <w:rFonts w:ascii="宋体" w:hAnsi="宋体" w:cs="宋体"/>
          <w:sz w:val="24"/>
          <w:szCs w:val="24"/>
        </w:rPr>
      </w:pPr>
      <w:r>
        <w:rPr>
          <w:rFonts w:ascii="宋体" w:hAnsi="宋体" w:cs="宋体"/>
          <w:sz w:val="24"/>
          <w:szCs w:val="24"/>
        </w:rPr>
        <w:t xml:space="preserve">专项管理工作</w:t>
      </w:r>
      <w:r/>
    </w:p>
    <w:p>
      <w:pPr>
        <w:ind w:firstLine="480"/>
        <w:spacing w:line="360" w:lineRule="auto"/>
        <w:rPr>
          <w:rFonts w:ascii="宋体" w:hAnsi="宋体" w:cs="宋体"/>
          <w:sz w:val="24"/>
          <w:szCs w:val="24"/>
        </w:rPr>
      </w:pPr>
      <w:r>
        <w:rPr>
          <w:rFonts w:ascii="宋体" w:hAnsi="宋体" w:cs="宋体"/>
          <w:sz w:val="24"/>
          <w:szCs w:val="24"/>
        </w:rPr>
        <w:t xml:space="preserve">合同管理：全面梳理项目合同条款，监督甲乙双方履约情况，核查合同约定的服务内容、工期、质量、价款等落实情况，处理合同争议、违约预警等事宜，保障合同条款落地执行。</w:t>
      </w:r>
      <w:r/>
    </w:p>
    <w:p>
      <w:pPr>
        <w:ind w:firstLine="480"/>
        <w:spacing w:line="360" w:lineRule="auto"/>
        <w:rPr>
          <w:rFonts w:ascii="宋体" w:hAnsi="宋体" w:cs="宋体"/>
          <w:sz w:val="24"/>
          <w:szCs w:val="24"/>
        </w:rPr>
      </w:pPr>
      <w:r>
        <w:rPr>
          <w:rFonts w:ascii="宋体" w:hAnsi="宋体" w:cs="宋体"/>
          <w:sz w:val="24"/>
          <w:szCs w:val="24"/>
        </w:rPr>
        <w:t xml:space="preserve">信息及文档管理：建立标准化信息台账与文档管理制度，全程收集、整理项目各类资料，规范文档起草、审核、流转、归档、移交全流程，确保项目资料完整、真实、可追溯，满足项目验收、审计、归档要求。</w:t>
      </w:r>
      <w:r/>
    </w:p>
    <w:p>
      <w:pPr>
        <w:ind w:firstLine="480"/>
        <w:spacing w:line="360" w:lineRule="auto"/>
        <w:rPr>
          <w:rFonts w:ascii="宋体" w:hAnsi="宋体" w:cs="宋体"/>
          <w:sz w:val="24"/>
          <w:szCs w:val="24"/>
        </w:rPr>
      </w:pPr>
      <w:r>
        <w:rPr>
          <w:rFonts w:ascii="宋体" w:hAnsi="宋体" w:cs="宋体"/>
          <w:sz w:val="24"/>
          <w:szCs w:val="24"/>
        </w:rPr>
        <w:t xml:space="preserve">安全管理：落实项目建设安全与信息安全双重管控，监督施工现场安全防护、系统安全部署、数据加密、权限管控等工作，排查安全隐患，督促落实安全防护措施，防范施工安全事故、数据泄露、系统被攻击等风险。</w:t>
      </w:r>
      <w:r/>
    </w:p>
    <w:p>
      <w:pPr>
        <w:ind w:firstLine="480"/>
        <w:spacing w:line="360" w:lineRule="auto"/>
        <w:rPr>
          <w:rFonts w:ascii="宋体" w:hAnsi="宋体" w:cs="宋体"/>
          <w:sz w:val="24"/>
          <w:szCs w:val="24"/>
        </w:rPr>
      </w:pPr>
      <w:r>
        <w:rPr>
          <w:rFonts w:ascii="宋体" w:hAnsi="宋体" w:cs="宋体"/>
          <w:sz w:val="24"/>
          <w:szCs w:val="24"/>
        </w:rPr>
        <w:t xml:space="preserve">沟通管理：搭建高效沟通机制，统筹项目各方沟通渠道，及时传递项目信息、反馈问题诉求，化解沟通壁垒，保障建设信息上下贯通、多方同步。</w:t>
      </w:r>
      <w:r/>
    </w:p>
    <w:p>
      <w:pPr>
        <w:ind w:firstLine="480"/>
        <w:spacing w:line="360" w:lineRule="auto"/>
        <w:rPr>
          <w:rFonts w:ascii="宋体" w:hAnsi="宋体" w:cs="宋体"/>
          <w:sz w:val="24"/>
          <w:szCs w:val="24"/>
        </w:rPr>
      </w:pPr>
      <w:r>
        <w:rPr>
          <w:rFonts w:ascii="宋体" w:hAnsi="宋体" w:cs="宋体"/>
          <w:sz w:val="24"/>
          <w:szCs w:val="24"/>
        </w:rPr>
        <w:t xml:space="preserve">知识产权管理：严格把控项目建设过程中的知识产权归属、使用与保护，监督承建方规范使用软件著作权、专利技术、商用素材等，杜绝侵权行为，保障委托方知识产权权益。</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配套项目管理与协调督办工作</w:t>
      </w:r>
      <w:r/>
    </w:p>
    <w:p>
      <w:pPr>
        <w:ind w:firstLine="480"/>
        <w:spacing w:line="360" w:lineRule="auto"/>
        <w:rPr>
          <w:rFonts w:ascii="宋体" w:hAnsi="宋体" w:cs="宋体"/>
          <w:sz w:val="24"/>
          <w:szCs w:val="24"/>
        </w:rPr>
      </w:pPr>
      <w:r>
        <w:rPr>
          <w:rFonts w:ascii="宋体" w:hAnsi="宋体" w:cs="宋体"/>
          <w:sz w:val="24"/>
          <w:szCs w:val="24"/>
        </w:rPr>
        <w:t xml:space="preserve">会议与文档全流程管理</w:t>
      </w:r>
      <w:r/>
    </w:p>
    <w:p>
      <w:pPr>
        <w:ind w:firstLine="480"/>
        <w:spacing w:line="360" w:lineRule="auto"/>
        <w:rPr>
          <w:rFonts w:ascii="宋体" w:hAnsi="宋体" w:cs="宋体"/>
          <w:sz w:val="24"/>
          <w:szCs w:val="24"/>
        </w:rPr>
      </w:pPr>
      <w:r>
        <w:rPr>
          <w:rFonts w:ascii="宋体" w:hAnsi="宋体" w:cs="宋体"/>
          <w:sz w:val="24"/>
          <w:szCs w:val="24"/>
        </w:rPr>
        <w:t xml:space="preserve">严格依据项目合同约定，统筹组织项目启动会、周例会、月度推进会、专题评审会、验收会等各类会议，做好会前筹备、会中记录、会后纪要编制与下发工作；全程负责项目各类公文、报告、纪要、函件的起草、审核、修订，按规范完成资料归档、分类保管与按期移交，实现项目会议与文档管理的标准化、闭环化。</w:t>
      </w:r>
      <w:r/>
    </w:p>
    <w:p>
      <w:pPr>
        <w:ind w:firstLine="480"/>
        <w:spacing w:line="360" w:lineRule="auto"/>
        <w:rPr>
          <w:rFonts w:ascii="宋体" w:hAnsi="宋体" w:cs="宋体"/>
          <w:sz w:val="24"/>
          <w:szCs w:val="24"/>
        </w:rPr>
      </w:pPr>
      <w:r>
        <w:rPr>
          <w:rFonts w:ascii="宋体" w:hAnsi="宋体" w:cs="宋体"/>
          <w:sz w:val="24"/>
          <w:szCs w:val="24"/>
        </w:rPr>
        <w:t xml:space="preserve">2优化建议与督导落实</w:t>
      </w:r>
      <w:r/>
    </w:p>
    <w:p>
      <w:pPr>
        <w:ind w:firstLine="480"/>
        <w:spacing w:line="360" w:lineRule="auto"/>
        <w:rPr>
          <w:rFonts w:ascii="宋体" w:hAnsi="宋体" w:cs="宋体"/>
          <w:sz w:val="24"/>
          <w:szCs w:val="24"/>
        </w:rPr>
      </w:pPr>
      <w:r>
        <w:rPr>
          <w:rFonts w:ascii="宋体" w:hAnsi="宋体" w:cs="宋体"/>
          <w:sz w:val="24"/>
          <w:szCs w:val="24"/>
        </w:rPr>
        <w:t xml:space="preserve">紧盯项目建设</w:t>
      </w:r>
      <w:r>
        <w:rPr>
          <w:rFonts w:hint="eastAsia" w:ascii="宋体" w:hAnsi="宋体" w:cs="宋体"/>
          <w:sz w:val="24"/>
          <w:szCs w:val="24"/>
        </w:rPr>
        <w:t xml:space="preserve">全流程</w:t>
      </w:r>
      <w:r>
        <w:rPr>
          <w:rFonts w:ascii="宋体" w:hAnsi="宋体" w:cs="宋体"/>
          <w:sz w:val="24"/>
          <w:szCs w:val="24"/>
        </w:rPr>
        <w:t xml:space="preserve">，结合现场实际情况、行业经验及规范要求，针对技术方案、施工工艺、进度安排、质量管控、成本优化等方面，及时提出合理化、可落地的改进改良建议；同步跟踪建议采纳情况，督促承建方落实优化措施，提升项目建设效率与质量。</w:t>
      </w:r>
      <w:r/>
    </w:p>
    <w:p>
      <w:pPr>
        <w:ind w:firstLine="480"/>
        <w:spacing w:line="360" w:lineRule="auto"/>
        <w:rPr>
          <w:rFonts w:ascii="宋体" w:hAnsi="宋体" w:cs="宋体"/>
          <w:sz w:val="24"/>
          <w:szCs w:val="24"/>
        </w:rPr>
      </w:pPr>
      <w:r>
        <w:rPr>
          <w:rFonts w:ascii="宋体" w:hAnsi="宋体" w:cs="宋体"/>
          <w:sz w:val="24"/>
          <w:szCs w:val="24"/>
        </w:rPr>
        <w:t xml:space="preserve">3多方协调与工作督办</w:t>
      </w:r>
      <w:r/>
    </w:p>
    <w:p>
      <w:pPr>
        <w:ind w:firstLine="480"/>
        <w:spacing w:line="360" w:lineRule="auto"/>
        <w:rPr>
          <w:rFonts w:ascii="宋体" w:hAnsi="宋体" w:cs="宋体"/>
          <w:sz w:val="24"/>
          <w:szCs w:val="24"/>
        </w:rPr>
      </w:pPr>
      <w:r>
        <w:rPr>
          <w:rFonts w:ascii="宋体" w:hAnsi="宋体" w:cs="宋体"/>
          <w:sz w:val="24"/>
          <w:szCs w:val="24"/>
        </w:rPr>
        <w:t xml:space="preserve">全面统筹协调采购人、承建方、设计方、检测机构等项目各方主体，梳理各方权责、化解矛盾分歧、统筹资源调配，保障项目建设步调一致；对项目关键任务、整改事项、会议决议等进行全程督办，明确时限要求、压实主体责任，确保各项工作落地见效、不拖不等。</w:t>
      </w:r>
      <w:r/>
    </w:p>
    <w:p>
      <w:pPr>
        <w:ind w:firstLine="480"/>
        <w:spacing w:line="360" w:lineRule="auto"/>
        <w:rPr>
          <w:rFonts w:ascii="宋体" w:hAnsi="宋体" w:cs="宋体"/>
          <w:sz w:val="24"/>
          <w:szCs w:val="24"/>
        </w:rPr>
      </w:pPr>
      <w:r>
        <w:rPr>
          <w:rFonts w:hint="eastAsia" w:ascii="宋体" w:hAnsi="宋体" w:cs="宋体"/>
          <w:sz w:val="24"/>
          <w:szCs w:val="24"/>
        </w:rPr>
        <w:t xml:space="preserve">3） </w:t>
      </w:r>
      <w:r>
        <w:rPr>
          <w:rFonts w:ascii="宋体" w:hAnsi="宋体" w:cs="宋体"/>
          <w:sz w:val="24"/>
          <w:szCs w:val="24"/>
        </w:rPr>
        <w:t xml:space="preserve">协助配合专项工作</w:t>
      </w:r>
      <w:r/>
    </w:p>
    <w:p>
      <w:pPr>
        <w:ind w:firstLine="480"/>
        <w:spacing w:line="360" w:lineRule="auto"/>
        <w:rPr>
          <w:rFonts w:ascii="宋体" w:hAnsi="宋体" w:cs="宋体"/>
          <w:sz w:val="24"/>
          <w:szCs w:val="24"/>
        </w:rPr>
      </w:pPr>
      <w:r>
        <w:rPr>
          <w:rFonts w:ascii="宋体" w:hAnsi="宋体" w:cs="宋体"/>
          <w:sz w:val="24"/>
          <w:szCs w:val="24"/>
        </w:rPr>
        <w:t xml:space="preserve">全力协助采购人及建设单位，对接配合上级主管部门、财政部门、审计部门等开展的各类专项检查、绩效考核、阶段性核查、竣工验收等工作；提前梳理备查资料、陪同现场核查、解答相关问询、配合整改落实，助力项目顺利通过各级考核验收，完成项目闭环收尾。</w:t>
      </w:r>
      <w:r/>
    </w:p>
    <w:p>
      <w:pPr>
        <w:ind w:firstLine="480"/>
        <w:spacing w:line="360" w:lineRule="auto"/>
        <w:rPr>
          <w:rFonts w:ascii="宋体" w:hAnsi="宋体" w:cs="宋体"/>
          <w:sz w:val="24"/>
          <w:szCs w:val="24"/>
        </w:rPr>
      </w:pPr>
      <w:r>
        <w:rPr>
          <w:rFonts w:hint="eastAsia" w:ascii="宋体" w:hAnsi="宋体" w:cs="宋体"/>
          <w:sz w:val="24"/>
          <w:szCs w:val="24"/>
        </w:rPr>
        <w:t xml:space="preserve">4） 乙方提供成熟的监理平台给甲方使用。</w:t>
      </w:r>
      <w:r/>
    </w:p>
    <w:p>
      <w:pPr>
        <w:ind w:firstLine="482"/>
        <w:spacing w:line="360" w:lineRule="auto"/>
        <w:rPr>
          <w:rFonts w:ascii="宋体" w:hAnsi="宋体" w:cs="宋体"/>
          <w:b/>
          <w:bCs/>
          <w:sz w:val="24"/>
          <w:szCs w:val="24"/>
        </w:rPr>
      </w:pPr>
      <w:r>
        <w:rPr>
          <w:rFonts w:ascii="宋体" w:hAnsi="宋体" w:cs="宋体"/>
          <w:b/>
          <w:bCs/>
          <w:sz w:val="24"/>
          <w:szCs w:val="24"/>
        </w:rPr>
        <w:t xml:space="preserve">5</w:t>
      </w:r>
      <w:r>
        <w:rPr>
          <w:rFonts w:hint="eastAsia" w:ascii="宋体" w:hAnsi="宋体" w:cs="宋体"/>
          <w:b/>
          <w:bCs/>
          <w:sz w:val="24"/>
          <w:szCs w:val="24"/>
        </w:rPr>
        <w:t xml:space="preserve">、</w:t>
      </w:r>
      <w:bookmarkStart w:id="160" w:name="_Hlk230937371"/>
      <w:r>
        <w:rPr>
          <w:rFonts w:hint="eastAsia" w:ascii="宋体" w:hAnsi="宋体" w:cs="宋体"/>
          <w:b/>
          <w:bCs/>
          <w:sz w:val="24"/>
          <w:szCs w:val="24"/>
        </w:rPr>
        <w:t xml:space="preserve">组织项目评审</w:t>
      </w:r>
      <w:bookmarkEnd w:id="160"/>
      <w:r/>
      <w:r/>
    </w:p>
    <w:p>
      <w:pPr>
        <w:ind w:firstLine="480"/>
        <w:spacing w:line="360" w:lineRule="auto"/>
        <w:rPr>
          <w:rFonts w:ascii="宋体" w:hAnsi="宋体" w:cs="宋体"/>
          <w:sz w:val="24"/>
          <w:szCs w:val="24"/>
        </w:rPr>
      </w:pPr>
      <w:r>
        <w:rPr>
          <w:rFonts w:hint="eastAsia" w:ascii="宋体" w:hAnsi="宋体" w:cs="宋体"/>
          <w:sz w:val="24"/>
          <w:szCs w:val="24"/>
        </w:rPr>
        <w:t xml:space="preserve">评审费用通常包括专家劳务、差旅、住宿、评审材料、工作餐等。其中专家劳务费参考盐财预〔2025〕17号关于印发《中共盐城市委组织部、盐城市财政局、盐城市人力资源和社会保障局关于进一步规范劳务费发放的通知（试行）》。</w:t>
      </w:r>
      <w:r/>
    </w:p>
    <w:p>
      <w:pPr>
        <w:ind w:firstLine="480"/>
        <w:spacing w:line="360" w:lineRule="auto"/>
        <w:rPr>
          <w:rFonts w:ascii="宋体" w:hAnsi="宋体" w:cs="宋体"/>
          <w:sz w:val="24"/>
          <w:szCs w:val="24"/>
        </w:rPr>
      </w:pPr>
      <w:r>
        <w:rPr>
          <w:rFonts w:hint="eastAsia" w:ascii="宋体" w:hAnsi="宋体" w:cs="宋体"/>
          <w:sz w:val="24"/>
          <w:szCs w:val="24"/>
        </w:rPr>
        <w:t xml:space="preserve">（一）适用范围</w:t>
      </w:r>
      <w:r/>
    </w:p>
    <w:p>
      <w:pPr>
        <w:ind w:firstLine="480"/>
        <w:spacing w:line="360" w:lineRule="auto"/>
        <w:rPr>
          <w:rFonts w:ascii="宋体" w:hAnsi="宋体" w:cs="宋体"/>
          <w:sz w:val="24"/>
          <w:szCs w:val="24"/>
        </w:rPr>
      </w:pPr>
      <w:r>
        <w:rPr>
          <w:rFonts w:hint="eastAsia" w:ascii="宋体" w:hAnsi="宋体" w:cs="宋体"/>
          <w:sz w:val="24"/>
          <w:szCs w:val="24"/>
        </w:rPr>
        <w:t xml:space="preserve">评审工作指在依法履行职责过程中根据工作需要组织的审核、评估论证、咨询、验收、评定、认证、鉴定等活动。评审人员应当仅限于对该项评审工作具备专业评审能力的人员。</w:t>
      </w:r>
      <w:r/>
    </w:p>
    <w:p>
      <w:pPr>
        <w:ind w:firstLine="480"/>
        <w:spacing w:line="360" w:lineRule="auto"/>
        <w:rPr>
          <w:rFonts w:ascii="宋体" w:hAnsi="宋体" w:cs="宋体"/>
          <w:sz w:val="24"/>
          <w:szCs w:val="24"/>
        </w:rPr>
      </w:pPr>
      <w:r>
        <w:rPr>
          <w:rFonts w:hint="eastAsia" w:ascii="宋体" w:hAnsi="宋体" w:cs="宋体"/>
          <w:sz w:val="24"/>
          <w:szCs w:val="24"/>
        </w:rPr>
        <w:t xml:space="preserve">（二）评审劳务费</w:t>
      </w:r>
      <w:r/>
    </w:p>
    <w:p>
      <w:pPr>
        <w:ind w:firstLine="480"/>
        <w:spacing w:line="360" w:lineRule="auto"/>
        <w:rPr>
          <w:rFonts w:ascii="宋体" w:hAnsi="宋体" w:cs="宋体"/>
          <w:sz w:val="24"/>
          <w:szCs w:val="24"/>
        </w:rPr>
      </w:pPr>
      <w:r>
        <w:rPr>
          <w:rFonts w:hint="eastAsia" w:ascii="宋体" w:hAnsi="宋体" w:cs="宋体"/>
          <w:sz w:val="24"/>
          <w:szCs w:val="24"/>
        </w:rPr>
        <w:t xml:space="preserve">评审劳务费按实际发生从项目中支取：</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正高级专业技术职称评审专家，每人每半天不超过1500元。</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副高级专业技术职称评审专家，每人每半天不超过1000元。</w:t>
      </w:r>
      <w:r/>
    </w:p>
    <w:p>
      <w:pPr>
        <w:ind w:firstLine="480"/>
        <w:spacing w:line="360" w:lineRule="auto"/>
        <w:rPr>
          <w:rFonts w:ascii="宋体" w:hAnsi="宋体" w:cs="宋体"/>
          <w:sz w:val="24"/>
          <w:szCs w:val="24"/>
        </w:rPr>
      </w:pPr>
      <w:r>
        <w:rPr>
          <w:rFonts w:ascii="宋体" w:hAnsi="宋体" w:cs="宋体"/>
          <w:sz w:val="24"/>
          <w:szCs w:val="24"/>
        </w:rPr>
        <w:t xml:space="preserve">院士、中国社会科学院学部委员、享受国务院特殊津贴人员等全国知名专家，可按正高级专业技术职称人员标准上浮50%执行。</w:t>
      </w:r>
      <w:r>
        <w:rPr>
          <w:rFonts w:hint="eastAsia" w:ascii="宋体" w:hAnsi="宋体" w:cs="宋体"/>
          <w:sz w:val="24"/>
          <w:szCs w:val="24"/>
        </w:rPr>
        <w:t xml:space="preserve">邀请的专家要求为副高级（及以上）专业技术职称评审专家。</w:t>
      </w:r>
      <w:r/>
    </w:p>
    <w:p>
      <w:pPr>
        <w:ind w:firstLine="480"/>
        <w:spacing w:line="360" w:lineRule="auto"/>
        <w:rPr>
          <w:rFonts w:ascii="宋体" w:hAnsi="宋体" w:cs="宋体"/>
          <w:sz w:val="24"/>
          <w:szCs w:val="24"/>
        </w:rPr>
      </w:pPr>
      <w:r>
        <w:rPr>
          <w:rFonts w:hint="eastAsia" w:ascii="宋体" w:hAnsi="宋体" w:cs="宋体"/>
          <w:sz w:val="24"/>
          <w:szCs w:val="24"/>
        </w:rPr>
        <w:t xml:space="preserve">（五）其他事项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项目会议</w:t>
      </w:r>
      <w:r>
        <w:rPr>
          <w:rFonts w:ascii="宋体" w:hAnsi="宋体" w:cs="宋体"/>
          <w:sz w:val="24"/>
          <w:szCs w:val="24"/>
        </w:rPr>
        <w:t xml:space="preserve">由</w:t>
      </w:r>
      <w:r>
        <w:rPr>
          <w:rFonts w:hint="eastAsia" w:ascii="宋体" w:hAnsi="宋体" w:cs="宋体"/>
          <w:sz w:val="24"/>
          <w:szCs w:val="24"/>
        </w:rPr>
        <w:t xml:space="preserve">全流程</w:t>
      </w:r>
      <w:r>
        <w:rPr>
          <w:rFonts w:ascii="宋体" w:hAnsi="宋体" w:cs="宋体"/>
          <w:sz w:val="24"/>
          <w:szCs w:val="24"/>
        </w:rPr>
        <w:t xml:space="preserve">咨询中标单位全权统筹负责</w:t>
      </w:r>
      <w:r>
        <w:rPr>
          <w:rFonts w:hint="eastAsia" w:ascii="宋体" w:hAnsi="宋体" w:cs="宋体"/>
          <w:sz w:val="24"/>
          <w:szCs w:val="24"/>
        </w:rPr>
        <w:t xml:space="preserve">，各项目大约开展四次评审、一次验收工作。</w:t>
      </w:r>
      <w:r/>
    </w:p>
    <w:p>
      <w:pPr>
        <w:pStyle w:val="746"/>
        <w:ind w:firstLine="482"/>
        <w:jc w:val="both"/>
        <w:spacing w:before="0" w:after="0" w:line="360" w:lineRule="auto"/>
        <w:rPr>
          <w:rFonts w:ascii="宋体" w:hAnsi="宋体" w:cs="宋体"/>
          <w:sz w:val="24"/>
          <w:szCs w:val="24"/>
        </w:rPr>
      </w:pPr>
      <w:r>
        <w:rPr>
          <w:rFonts w:hint="eastAsia" w:ascii="宋体" w:hAnsi="宋体" w:cs="宋体"/>
          <w:sz w:val="24"/>
          <w:szCs w:val="24"/>
        </w:rPr>
        <w:t xml:space="preserve">三、项目服务费结算方式</w:t>
      </w:r>
      <w:r/>
    </w:p>
    <w:p>
      <w:pPr>
        <w:ind w:firstLine="482"/>
        <w:spacing w:line="36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、结算方式</w:t>
      </w:r>
      <w:r/>
    </w:p>
    <w:p>
      <w:pPr>
        <w:spacing w:line="360" w:lineRule="auto"/>
        <w:rPr>
          <w:rFonts w:ascii="宋体" w:hAnsi="宋体" w:cs="宋体"/>
          <w:b/>
          <w:bCs/>
          <w:sz w:val="28"/>
          <w:szCs w:val="28"/>
        </w:rPr>
      </w:pPr>
      <w:r/>
      <w:bookmarkStart w:id="161" w:name="_Hlk230938923"/>
      <w:r>
        <w:rPr>
          <w:rFonts w:hint="eastAsia" w:ascii="宋体" w:hAnsi="宋体" w:cs="宋体"/>
          <w:b/>
          <w:bCs/>
          <w:sz w:val="28"/>
          <w:szCs w:val="28"/>
        </w:rPr>
        <w:t xml:space="preserve">   结算金额</w:t>
      </w:r>
      <w:bookmarkEnd w:id="161"/>
      <w:r>
        <w:rPr>
          <w:rFonts w:hint="eastAsia" w:ascii="宋体" w:hAnsi="宋体" w:cs="宋体"/>
          <w:b/>
          <w:bCs/>
          <w:sz w:val="28"/>
          <w:szCs w:val="28"/>
        </w:rPr>
        <w:t xml:space="preserve">=（Σ全流程服务结算单价*数量</w:t>
      </w:r>
      <w:r>
        <w:rPr>
          <w:rFonts w:ascii="宋体" w:hAnsi="宋体" w:cs="宋体"/>
          <w:b/>
          <w:bCs/>
          <w:sz w:val="28"/>
          <w:szCs w:val="28"/>
        </w:rPr>
        <w:t xml:space="preserve">*75%+</w:t>
      </w:r>
      <w:r>
        <w:rPr>
          <w:rFonts w:hint="eastAsia" w:ascii="宋体" w:hAnsi="宋体" w:cs="宋体"/>
          <w:b/>
          <w:bCs/>
          <w:sz w:val="28"/>
          <w:szCs w:val="28"/>
        </w:rPr>
        <w:t xml:space="preserve">Σ</w:t>
      </w:r>
      <w:bookmarkStart w:id="162" w:name="_Hlk230938890"/>
      <w:r>
        <w:rPr>
          <w:rFonts w:hint="eastAsia" w:ascii="宋体" w:hAnsi="宋体" w:cs="宋体"/>
          <w:b/>
          <w:bCs/>
          <w:sz w:val="28"/>
          <w:szCs w:val="28"/>
        </w:rPr>
        <w:t xml:space="preserve">组织评审会议单价</w:t>
      </w:r>
      <w:bookmarkEnd w:id="162"/>
      <w:r>
        <w:rPr>
          <w:rFonts w:hint="eastAsia" w:ascii="宋体" w:hAnsi="宋体" w:cs="宋体"/>
          <w:b/>
          <w:bCs/>
          <w:sz w:val="28"/>
          <w:szCs w:val="28"/>
        </w:rPr>
        <w:t xml:space="preserve">*数量）*中标折扣率</w:t>
      </w:r>
      <w:r/>
    </w:p>
    <w:p>
      <w:pPr>
        <w:ind w:firstLine="480"/>
        <w:spacing w:line="360" w:lineRule="auto"/>
        <w:rPr>
          <w:rFonts w:ascii="宋体" w:hAnsi="宋体" w:cs="宋体"/>
          <w:sz w:val="24"/>
          <w:szCs w:val="24"/>
        </w:rPr>
      </w:pPr>
      <w:r>
        <w:rPr>
          <w:rFonts w:hint="eastAsia" w:ascii="宋体" w:hAnsi="宋体" w:cs="宋体"/>
          <w:sz w:val="24"/>
          <w:szCs w:val="24"/>
        </w:rPr>
        <w:t xml:space="preserve">按季度付款，每自然季度前10个工作日，乙方向甲方提交上季度付款申请，经甲方确认且收到乙方提供有效的发票后，向乙方支付款项。因乙方未按时提交付款申请则延期至下季度予以结算。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w:t>
      </w:r>
      <w:bookmarkStart w:id="163" w:name="_Hlk230938439"/>
      <w:r>
        <w:rPr>
          <w:rFonts w:hint="eastAsia" w:ascii="宋体" w:hAnsi="宋体" w:cs="宋体"/>
          <w:b/>
          <w:bCs/>
          <w:sz w:val="24"/>
          <w:szCs w:val="24"/>
        </w:rPr>
        <w:t xml:space="preserve">一标包全流程服务结算单价</w:t>
      </w:r>
      <w:bookmarkEnd w:id="163"/>
      <w:r/>
      <w:r/>
    </w:p>
    <w:p>
      <w:pPr>
        <w:ind w:firstLine="480"/>
        <w:spacing w:line="360" w:lineRule="auto"/>
        <w:rPr>
          <w:rFonts w:ascii="宋体" w:hAnsi="宋体" w:cs="宋体"/>
          <w:sz w:val="24"/>
          <w:szCs w:val="24"/>
        </w:rPr>
      </w:pPr>
      <w:r>
        <w:rPr>
          <w:rFonts w:hint="eastAsia" w:ascii="宋体" w:hAnsi="宋体" w:cs="宋体"/>
          <w:sz w:val="24"/>
          <w:szCs w:val="24"/>
        </w:rPr>
        <w:t xml:space="preserve">参考《盐城市“一件事”》，</w:t>
      </w:r>
      <w:r>
        <w:rPr>
          <w:rFonts w:ascii="宋体" w:hAnsi="宋体" w:cs="宋体"/>
          <w:sz w:val="24"/>
          <w:szCs w:val="24"/>
        </w:rPr>
        <w:t xml:space="preserve">具体</w:t>
      </w:r>
      <w:r>
        <w:rPr>
          <w:rFonts w:hint="eastAsia" w:ascii="宋体" w:hAnsi="宋体" w:cs="宋体"/>
          <w:sz w:val="24"/>
          <w:szCs w:val="24"/>
        </w:rPr>
        <w:t xml:space="preserve">全流程服务结算单价</w:t>
      </w:r>
      <w:r>
        <w:rPr>
          <w:rFonts w:ascii="宋体" w:hAnsi="宋体" w:cs="宋体"/>
          <w:sz w:val="24"/>
          <w:szCs w:val="24"/>
        </w:rPr>
        <w:t xml:space="preserve">如下</w:t>
      </w:r>
      <w:r>
        <w:rPr>
          <w:rFonts w:hint="eastAsia" w:ascii="宋体" w:hAnsi="宋体" w:cs="宋体"/>
          <w:sz w:val="24"/>
          <w:szCs w:val="24"/>
        </w:rPr>
        <w:t xml:space="preserve">：</w:t>
      </w:r>
      <w:r/>
    </w:p>
    <w:p>
      <w:pPr>
        <w:numPr>
          <w:ilvl w:val="0"/>
          <w:numId w:val="2"/>
        </w:numPr>
        <w:ind w:firstLine="482"/>
        <w:spacing w:line="360" w:lineRule="auto"/>
        <w:rPr>
          <w:rFonts w:ascii="宋体" w:hAnsi="宋体" w:cs="宋体"/>
          <w:b/>
          <w:bCs/>
          <w:sz w:val="24"/>
          <w:szCs w:val="24"/>
        </w:rPr>
      </w:pPr>
      <w:r>
        <w:rPr>
          <w:rFonts w:hint="eastAsia" w:ascii="宋体" w:hAnsi="宋体" w:cs="宋体"/>
          <w:b/>
          <w:bCs/>
          <w:sz w:val="24"/>
          <w:szCs w:val="24"/>
        </w:rPr>
        <w:t xml:space="preserve">咨询设计费</w:t>
      </w:r>
      <w:r/>
    </w:p>
    <w:p>
      <w:pPr>
        <w:ind w:firstLine="723"/>
        <w:spacing w:line="360" w:lineRule="auto"/>
        <w:rPr>
          <w:rFonts w:ascii="宋体" w:hAnsi="宋体" w:cs="宋体"/>
          <w:b/>
          <w:bCs/>
          <w:sz w:val="24"/>
          <w:szCs w:val="24"/>
        </w:rPr>
      </w:pPr>
      <w:r>
        <w:rPr>
          <w:rFonts w:hint="eastAsia" w:ascii="宋体" w:hAnsi="宋体" w:cs="宋体"/>
          <w:b/>
          <w:bCs/>
          <w:sz w:val="24"/>
          <w:szCs w:val="24"/>
        </w:rPr>
        <w:t xml:space="preserve">招标结算单价为以下单价的七五折：</w:t>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blHeader/>
        </w:trPr>
        <w:tc>
          <w:tcPr>
            <w:tcW w:w="2840" w:type="dxa"/>
            <w:vAlign w:val="center"/>
            <w:textDirection w:val="lrTb"/>
            <w:noWrap w:val="false"/>
          </w:tcPr>
          <w:p>
            <w:pPr>
              <w:jc w:val="center"/>
              <w:rPr>
                <w:b/>
                <w:bCs/>
              </w:rPr>
            </w:pPr>
            <w:r>
              <w:rPr>
                <w:rFonts w:hint="eastAsia"/>
                <w:b/>
                <w:bCs/>
              </w:rPr>
              <w:t xml:space="preserve">序号</w:t>
            </w:r>
            <w:r/>
          </w:p>
        </w:tc>
        <w:tc>
          <w:tcPr>
            <w:tcW w:w="2841" w:type="dxa"/>
            <w:vAlign w:val="center"/>
            <w:textDirection w:val="lrTb"/>
            <w:noWrap w:val="false"/>
          </w:tcPr>
          <w:p>
            <w:pPr>
              <w:jc w:val="center"/>
              <w:rPr>
                <w:b/>
                <w:bCs/>
              </w:rPr>
            </w:pPr>
            <w:r>
              <w:rPr>
                <w:rFonts w:hint="eastAsia"/>
                <w:b/>
                <w:bCs/>
              </w:rPr>
              <w:t xml:space="preserve">工程建设费用（万元）</w:t>
            </w:r>
            <w:r/>
          </w:p>
        </w:tc>
        <w:tc>
          <w:tcPr>
            <w:tcW w:w="2841" w:type="dxa"/>
            <w:vAlign w:val="center"/>
            <w:textDirection w:val="lrTb"/>
            <w:noWrap w:val="false"/>
          </w:tcPr>
          <w:p>
            <w:pPr>
              <w:jc w:val="center"/>
              <w:rPr>
                <w:b/>
                <w:bCs/>
              </w:rPr>
            </w:pPr>
            <w:r>
              <w:rPr>
                <w:rFonts w:hint="eastAsia"/>
                <w:b/>
                <w:bCs/>
              </w:rPr>
              <w:t xml:space="preserve">费用（万元）</w:t>
            </w:r>
            <w:r/>
          </w:p>
        </w:tc>
      </w:tr>
      <w:tr>
        <w:trPr/>
        <w:tc>
          <w:tcPr>
            <w:tcW w:w="2840" w:type="dxa"/>
            <w:vAlign w:val="center"/>
            <w:textDirection w:val="lrTb"/>
            <w:noWrap w:val="false"/>
          </w:tcPr>
          <w:p>
            <w:pPr>
              <w:jc w:val="center"/>
              <w:rPr>
                <w:b/>
                <w:bCs/>
              </w:rPr>
            </w:pPr>
            <w:r>
              <w:rPr>
                <w:rFonts w:hint="eastAsia"/>
              </w:rPr>
              <w:t xml:space="preserve">1</w:t>
            </w:r>
            <w:r/>
          </w:p>
        </w:tc>
        <w:tc>
          <w:tcPr>
            <w:tcW w:w="2841" w:type="dxa"/>
            <w:vAlign w:val="center"/>
            <w:textDirection w:val="lrTb"/>
            <w:noWrap w:val="false"/>
          </w:tcPr>
          <w:p>
            <w:pPr>
              <w:jc w:val="center"/>
              <w:rPr>
                <w:b/>
                <w:bCs/>
              </w:rPr>
            </w:pPr>
            <w:r>
              <w:rPr>
                <w:rFonts w:hint="eastAsia"/>
              </w:rPr>
              <w:t xml:space="preserve">M≤350</w:t>
            </w:r>
            <w:r/>
          </w:p>
        </w:tc>
        <w:tc>
          <w:tcPr>
            <w:tcW w:w="2841" w:type="dxa"/>
            <w:vAlign w:val="center"/>
            <w:textDirection w:val="lrTb"/>
            <w:noWrap w:val="false"/>
          </w:tcPr>
          <w:p>
            <w:pPr>
              <w:jc w:val="center"/>
              <w:rPr>
                <w:b/>
                <w:bCs/>
              </w:rPr>
            </w:pPr>
            <w:r>
              <w:rPr>
                <w:rFonts w:hint="eastAsia"/>
              </w:rPr>
              <w:t xml:space="preserve">2</w:t>
            </w:r>
            <w:r>
              <w:t xml:space="preserve">.5</w:t>
            </w:r>
            <w:r/>
          </w:p>
        </w:tc>
      </w:tr>
      <w:tr>
        <w:trPr/>
        <w:tc>
          <w:tcPr>
            <w:tcW w:w="2840" w:type="dxa"/>
            <w:vAlign w:val="center"/>
            <w:textDirection w:val="lrTb"/>
            <w:noWrap w:val="false"/>
          </w:tcPr>
          <w:p>
            <w:pPr>
              <w:jc w:val="center"/>
              <w:rPr>
                <w:b/>
                <w:bCs/>
              </w:rPr>
            </w:pPr>
            <w:r>
              <w:rPr>
                <w:rFonts w:hint="eastAsia"/>
              </w:rPr>
              <w:t xml:space="preserve">2</w:t>
            </w:r>
            <w:r/>
          </w:p>
        </w:tc>
        <w:tc>
          <w:tcPr>
            <w:tcW w:w="2841" w:type="dxa"/>
            <w:vAlign w:val="center"/>
            <w:textDirection w:val="lrTb"/>
            <w:noWrap w:val="false"/>
          </w:tcPr>
          <w:p>
            <w:pPr>
              <w:jc w:val="center"/>
              <w:rPr>
                <w:b/>
                <w:bCs/>
              </w:rPr>
            </w:pPr>
            <w:r>
              <w:rPr>
                <w:rFonts w:hint="eastAsia"/>
              </w:rPr>
              <w:t xml:space="preserve">350&lt;M≤500</w:t>
            </w:r>
            <w:r/>
          </w:p>
        </w:tc>
        <w:tc>
          <w:tcPr>
            <w:tcW w:w="2841" w:type="dxa"/>
            <w:vAlign w:val="center"/>
            <w:textDirection w:val="lrTb"/>
            <w:noWrap w:val="false"/>
          </w:tcPr>
          <w:p>
            <w:pPr>
              <w:jc w:val="center"/>
              <w:rPr>
                <w:b/>
                <w:bCs/>
              </w:rPr>
            </w:pPr>
            <w:r>
              <w:rPr>
                <w:rFonts w:hint="eastAsia"/>
              </w:rPr>
              <w:t xml:space="preserve">3.5</w:t>
            </w:r>
            <w:r/>
          </w:p>
        </w:tc>
      </w:tr>
      <w:tr>
        <w:trPr/>
        <w:tc>
          <w:tcPr>
            <w:tcW w:w="2840" w:type="dxa"/>
            <w:vAlign w:val="center"/>
            <w:textDirection w:val="lrTb"/>
            <w:noWrap w:val="false"/>
          </w:tcPr>
          <w:p>
            <w:pPr>
              <w:jc w:val="center"/>
              <w:rPr>
                <w:b/>
                <w:bCs/>
              </w:rPr>
            </w:pPr>
            <w:r>
              <w:rPr>
                <w:rFonts w:hint="eastAsia"/>
              </w:rPr>
              <w:t xml:space="preserve">3</w:t>
            </w:r>
            <w:r/>
          </w:p>
        </w:tc>
        <w:tc>
          <w:tcPr>
            <w:tcW w:w="2841" w:type="dxa"/>
            <w:vAlign w:val="center"/>
            <w:textDirection w:val="lrTb"/>
            <w:noWrap w:val="false"/>
          </w:tcPr>
          <w:p>
            <w:pPr>
              <w:jc w:val="center"/>
              <w:rPr>
                <w:b/>
                <w:bCs/>
              </w:rPr>
            </w:pPr>
            <w:r>
              <w:rPr>
                <w:rFonts w:hint="eastAsia"/>
              </w:rPr>
              <w:t xml:space="preserve">500&lt;M≤1000</w:t>
            </w:r>
            <w:r/>
          </w:p>
        </w:tc>
        <w:tc>
          <w:tcPr>
            <w:tcW w:w="2841" w:type="dxa"/>
            <w:vAlign w:val="center"/>
            <w:textDirection w:val="lrTb"/>
            <w:noWrap w:val="false"/>
          </w:tcPr>
          <w:p>
            <w:pPr>
              <w:jc w:val="center"/>
              <w:rPr>
                <w:b/>
                <w:bCs/>
              </w:rPr>
            </w:pPr>
            <w:r>
              <w:rPr>
                <w:rFonts w:hint="eastAsia"/>
              </w:rPr>
              <w:t xml:space="preserve">5</w:t>
            </w:r>
            <w:r/>
          </w:p>
        </w:tc>
      </w:tr>
      <w:tr>
        <w:trPr/>
        <w:tc>
          <w:tcPr>
            <w:tcW w:w="2840" w:type="dxa"/>
            <w:vAlign w:val="center"/>
            <w:textDirection w:val="lrTb"/>
            <w:noWrap w:val="false"/>
          </w:tcPr>
          <w:p>
            <w:pPr>
              <w:jc w:val="center"/>
            </w:pPr>
            <w:r>
              <w:rPr>
                <w:rFonts w:hint="eastAsia"/>
              </w:rPr>
              <w:t xml:space="preserve">4</w:t>
            </w:r>
            <w:r/>
          </w:p>
        </w:tc>
        <w:tc>
          <w:tcPr>
            <w:tcW w:w="2841" w:type="dxa"/>
            <w:vAlign w:val="center"/>
            <w:textDirection w:val="lrTb"/>
            <w:noWrap w:val="false"/>
          </w:tcPr>
          <w:p>
            <w:pPr>
              <w:jc w:val="center"/>
            </w:pPr>
            <w:r>
              <w:rPr>
                <w:rFonts w:hint="eastAsia"/>
              </w:rPr>
              <w:t xml:space="preserve">1000&lt;M≤3000</w:t>
            </w:r>
            <w:r/>
          </w:p>
        </w:tc>
        <w:tc>
          <w:tcPr>
            <w:tcW w:w="2841" w:type="dxa"/>
            <w:vAlign w:val="center"/>
            <w:textDirection w:val="lrTb"/>
            <w:noWrap w:val="false"/>
          </w:tcPr>
          <w:p>
            <w:pPr>
              <w:jc w:val="center"/>
            </w:pPr>
            <w:r>
              <w:rPr>
                <w:rFonts w:hint="eastAsia"/>
              </w:rPr>
              <w:t xml:space="preserve">10</w:t>
            </w:r>
            <w:r/>
          </w:p>
        </w:tc>
      </w:tr>
      <w:tr>
        <w:trPr/>
        <w:tc>
          <w:tcPr>
            <w:tcW w:w="2840" w:type="dxa"/>
            <w:vAlign w:val="center"/>
            <w:textDirection w:val="lrTb"/>
            <w:noWrap w:val="false"/>
          </w:tcPr>
          <w:p>
            <w:pPr>
              <w:jc w:val="center"/>
            </w:pPr>
            <w:r>
              <w:rPr>
                <w:rFonts w:hint="eastAsia"/>
              </w:rPr>
              <w:t xml:space="preserve">5</w:t>
            </w:r>
            <w:r/>
          </w:p>
        </w:tc>
        <w:tc>
          <w:tcPr>
            <w:tcW w:w="2841" w:type="dxa"/>
            <w:vAlign w:val="center"/>
            <w:textDirection w:val="lrTb"/>
            <w:noWrap w:val="false"/>
          </w:tcPr>
          <w:p>
            <w:pPr>
              <w:jc w:val="center"/>
            </w:pPr>
            <w:r>
              <w:rPr>
                <w:rFonts w:hint="eastAsia"/>
              </w:rPr>
              <w:t xml:space="preserve">3000&lt;M</w:t>
            </w:r>
            <w:r/>
          </w:p>
        </w:tc>
        <w:tc>
          <w:tcPr>
            <w:tcW w:w="2841" w:type="dxa"/>
            <w:vAlign w:val="center"/>
            <w:textDirection w:val="lrTb"/>
            <w:noWrap w:val="false"/>
          </w:tcPr>
          <w:p>
            <w:pPr>
              <w:jc w:val="center"/>
            </w:pPr>
            <w:r>
              <w:rPr>
                <w:rFonts w:hint="eastAsia"/>
              </w:rPr>
              <w:t xml:space="preserve">15</w:t>
            </w:r>
            <w:r/>
          </w:p>
        </w:tc>
      </w:tr>
    </w:tbl>
    <w:p>
      <w:r>
        <w:rPr>
          <w:rFonts w:hint="eastAsia"/>
        </w:rPr>
        <w:t xml:space="preserve">注：咨询设计费用取费依据为投标限价（即M为投标限价）。</w:t>
      </w:r>
      <w:r/>
    </w:p>
    <w:p>
      <w:pPr>
        <w:ind w:firstLine="482"/>
        <w:spacing w:line="360" w:lineRule="auto"/>
        <w:rPr>
          <w:rFonts w:ascii="宋体" w:hAnsi="宋体" w:cs="宋体"/>
          <w:b/>
          <w:bCs/>
          <w:sz w:val="24"/>
          <w:szCs w:val="24"/>
        </w:rPr>
      </w:pPr>
      <w:r>
        <w:rPr>
          <w:rFonts w:ascii="宋体" w:hAnsi="宋体" w:cs="宋体"/>
          <w:b/>
          <w:bCs/>
          <w:sz w:val="24"/>
          <w:szCs w:val="24"/>
        </w:rPr>
      </w:r>
      <w:r/>
    </w:p>
    <w:p>
      <w:pPr>
        <w:numPr>
          <w:ilvl w:val="0"/>
          <w:numId w:val="2"/>
        </w:numPr>
        <w:ind w:firstLine="482"/>
        <w:spacing w:line="360" w:lineRule="auto"/>
        <w:rPr>
          <w:rFonts w:ascii="宋体" w:hAnsi="宋体" w:cs="宋体"/>
          <w:b/>
          <w:bCs/>
          <w:sz w:val="24"/>
          <w:szCs w:val="24"/>
        </w:rPr>
      </w:pPr>
      <w:r>
        <w:rPr>
          <w:rFonts w:hint="eastAsia" w:ascii="宋体" w:hAnsi="宋体" w:cs="宋体"/>
          <w:b/>
          <w:bCs/>
          <w:sz w:val="24"/>
          <w:szCs w:val="24"/>
        </w:rPr>
        <w:t xml:space="preserve">设计概算（前期论证造价）</w:t>
      </w:r>
      <w:r>
        <w:rPr>
          <w:rFonts w:ascii="宋体" w:hAnsi="宋体" w:cs="宋体"/>
          <w:b/>
          <w:bCs/>
          <w:sz w:val="24"/>
          <w:szCs w:val="24"/>
        </w:rPr>
        <w:t xml:space="preserve">服务费</w:t>
      </w:r>
      <w:r/>
    </w:p>
    <w:p>
      <w:pPr>
        <w:ind w:firstLine="723"/>
        <w:spacing w:line="360" w:lineRule="auto"/>
        <w:rPr>
          <w:rFonts w:ascii="宋体" w:hAnsi="宋体" w:cs="宋体"/>
          <w:b/>
          <w:bCs/>
          <w:sz w:val="24"/>
          <w:szCs w:val="24"/>
        </w:rPr>
      </w:pPr>
      <w:r>
        <w:rPr>
          <w:rFonts w:hint="eastAsia" w:ascii="宋体" w:hAnsi="宋体" w:cs="宋体"/>
          <w:b/>
          <w:bCs/>
          <w:sz w:val="24"/>
          <w:szCs w:val="24"/>
        </w:rPr>
        <w:t xml:space="preserve">招标结算单价为以下单价的七五折：</w:t>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30"/>
        <w:gridCol w:w="2130"/>
        <w:gridCol w:w="2130"/>
      </w:tblGrid>
      <w:tr>
        <w:trPr>
          <w:tblHeader/>
        </w:trPr>
        <w:tc>
          <w:tcPr>
            <w:gridSpan w:val="2"/>
            <w:tcW w:w="4259" w:type="dxa"/>
            <w:vAlign w:val="center"/>
            <w:textDirection w:val="lrTb"/>
            <w:noWrap w:val="false"/>
          </w:tcPr>
          <w:p>
            <w:pPr>
              <w:jc w:val="center"/>
              <w:rPr>
                <w:b/>
                <w:bCs/>
              </w:rPr>
            </w:pPr>
            <w:r>
              <w:rPr>
                <w:rFonts w:hint="eastAsia"/>
                <w:b/>
                <w:bCs/>
              </w:rPr>
              <w:t xml:space="preserve">类型和级别</w:t>
            </w:r>
            <w:r/>
          </w:p>
        </w:tc>
        <w:tc>
          <w:tcPr>
            <w:tcW w:w="2130" w:type="dxa"/>
            <w:vAlign w:val="center"/>
            <w:textDirection w:val="lrTb"/>
            <w:noWrap w:val="false"/>
          </w:tcPr>
          <w:p>
            <w:pPr>
              <w:jc w:val="center"/>
              <w:rPr>
                <w:b/>
                <w:bCs/>
              </w:rPr>
            </w:pPr>
            <w:r>
              <w:rPr>
                <w:b/>
                <w:bCs/>
              </w:rPr>
              <w:t xml:space="preserve">项目金额（万元）</w:t>
            </w:r>
            <w:r/>
          </w:p>
        </w:tc>
        <w:tc>
          <w:tcPr>
            <w:tcW w:w="2130" w:type="dxa"/>
            <w:vAlign w:val="center"/>
            <w:textDirection w:val="lrTb"/>
            <w:noWrap w:val="false"/>
          </w:tcPr>
          <w:p>
            <w:pPr>
              <w:jc w:val="center"/>
              <w:rPr>
                <w:b/>
                <w:bCs/>
              </w:rPr>
            </w:pPr>
            <w:r>
              <w:rPr>
                <w:b/>
                <w:bCs/>
              </w:rPr>
              <w:t xml:space="preserve">费率</w:t>
            </w:r>
            <w:r/>
          </w:p>
        </w:tc>
      </w:tr>
      <w:tr>
        <w:trPr/>
        <w:tc>
          <w:tcPr>
            <w:tcW w:w="2129" w:type="dxa"/>
            <w:vAlign w:val="center"/>
            <w:vMerge w:val="restart"/>
            <w:textDirection w:val="lrTb"/>
            <w:noWrap w:val="false"/>
          </w:tcPr>
          <w:p>
            <w:pPr>
              <w:jc w:val="center"/>
            </w:pPr>
            <w:r>
              <w:t xml:space="preserve">设计概算（前期论证造价）</w:t>
            </w:r>
            <w:r/>
          </w:p>
        </w:tc>
        <w:tc>
          <w:tcPr>
            <w:tcW w:w="2130" w:type="dxa"/>
            <w:vAlign w:val="center"/>
            <w:textDirection w:val="lrTb"/>
            <w:noWrap w:val="false"/>
          </w:tcPr>
          <w:p>
            <w:pPr>
              <w:jc w:val="center"/>
            </w:pPr>
            <w:r>
              <w:rPr>
                <w:rFonts w:hint="eastAsia"/>
              </w:rPr>
              <w:t xml:space="preserve">1</w:t>
            </w:r>
            <w:r/>
          </w:p>
        </w:tc>
        <w:tc>
          <w:tcPr>
            <w:tcW w:w="2130" w:type="dxa"/>
            <w:vAlign w:val="center"/>
            <w:textDirection w:val="lrTb"/>
            <w:noWrap w:val="false"/>
          </w:tcPr>
          <w:p>
            <w:pPr>
              <w:jc w:val="center"/>
            </w:pPr>
            <w:r>
              <w:rPr>
                <w:rFonts w:hint="eastAsia"/>
              </w:rPr>
              <w:t xml:space="preserve">M≤30</w:t>
            </w:r>
            <w:r/>
          </w:p>
        </w:tc>
        <w:tc>
          <w:tcPr>
            <w:tcW w:w="2130" w:type="dxa"/>
            <w:vAlign w:val="center"/>
            <w:textDirection w:val="lrTb"/>
            <w:noWrap w:val="false"/>
          </w:tcPr>
          <w:p>
            <w:pPr>
              <w:jc w:val="center"/>
            </w:pPr>
            <w:r>
              <w:t xml:space="preserve">0.40%</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2</w:t>
            </w:r>
            <w:r/>
          </w:p>
        </w:tc>
        <w:tc>
          <w:tcPr>
            <w:tcW w:w="2130" w:type="dxa"/>
            <w:vAlign w:val="center"/>
            <w:textDirection w:val="lrTb"/>
            <w:noWrap w:val="false"/>
          </w:tcPr>
          <w:p>
            <w:pPr>
              <w:jc w:val="center"/>
            </w:pPr>
            <w:r>
              <w:rPr>
                <w:rFonts w:hint="eastAsia"/>
              </w:rPr>
              <w:t xml:space="preserve">30＜M≤100</w:t>
            </w:r>
            <w:r/>
          </w:p>
        </w:tc>
        <w:tc>
          <w:tcPr>
            <w:tcW w:w="2130" w:type="dxa"/>
            <w:vAlign w:val="center"/>
            <w:textDirection w:val="lrTb"/>
            <w:noWrap w:val="false"/>
          </w:tcPr>
          <w:p>
            <w:pPr>
              <w:jc w:val="center"/>
            </w:pPr>
            <w:r>
              <w:t xml:space="preserve">0.30%</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3</w:t>
            </w:r>
            <w:r/>
          </w:p>
        </w:tc>
        <w:tc>
          <w:tcPr>
            <w:tcW w:w="2130" w:type="dxa"/>
            <w:vAlign w:val="center"/>
            <w:textDirection w:val="lrTb"/>
            <w:noWrap w:val="false"/>
          </w:tcPr>
          <w:p>
            <w:pPr>
              <w:jc w:val="center"/>
            </w:pPr>
            <w:r>
              <w:rPr>
                <w:rFonts w:hint="eastAsia"/>
              </w:rPr>
              <w:t xml:space="preserve">1</w:t>
            </w:r>
            <w:r>
              <w:t xml:space="preserve">00＜M≤</w:t>
            </w:r>
            <w:r>
              <w:rPr>
                <w:rFonts w:hint="eastAsia"/>
              </w:rPr>
              <w:t xml:space="preserve">5</w:t>
            </w:r>
            <w:r>
              <w:t xml:space="preserve">00</w:t>
            </w:r>
            <w:r/>
          </w:p>
        </w:tc>
        <w:tc>
          <w:tcPr>
            <w:tcW w:w="2130" w:type="dxa"/>
            <w:vAlign w:val="center"/>
            <w:textDirection w:val="lrTb"/>
            <w:noWrap w:val="false"/>
          </w:tcPr>
          <w:p>
            <w:pPr>
              <w:jc w:val="center"/>
            </w:pPr>
            <w:r>
              <w:t xml:space="preserve">0.2</w:t>
            </w:r>
            <w:r>
              <w:rPr>
                <w:rFonts w:hint="eastAsia"/>
              </w:rPr>
              <w:t xml:space="preserve">0</w:t>
            </w:r>
            <w:r>
              <w:t xml:space="preserve">%</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4</w:t>
            </w:r>
            <w:r/>
          </w:p>
        </w:tc>
        <w:tc>
          <w:tcPr>
            <w:tcW w:w="2130" w:type="dxa"/>
            <w:vAlign w:val="center"/>
            <w:textDirection w:val="lrTb"/>
            <w:noWrap w:val="false"/>
          </w:tcPr>
          <w:p>
            <w:pPr>
              <w:jc w:val="center"/>
            </w:pPr>
            <w:r>
              <w:rPr>
                <w:rFonts w:hint="eastAsia"/>
              </w:rPr>
              <w:t xml:space="preserve">500＜M≤1000</w:t>
            </w:r>
            <w:r/>
          </w:p>
        </w:tc>
        <w:tc>
          <w:tcPr>
            <w:tcW w:w="2130" w:type="dxa"/>
            <w:vAlign w:val="center"/>
            <w:textDirection w:val="lrTb"/>
            <w:noWrap w:val="false"/>
          </w:tcPr>
          <w:p>
            <w:pPr>
              <w:jc w:val="center"/>
            </w:pPr>
            <w:r>
              <w:t xml:space="preserve">0.15%</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5</w:t>
            </w:r>
            <w:r/>
          </w:p>
        </w:tc>
        <w:tc>
          <w:tcPr>
            <w:tcW w:w="2130" w:type="dxa"/>
            <w:vAlign w:val="center"/>
            <w:textDirection w:val="lrTb"/>
            <w:noWrap w:val="false"/>
          </w:tcPr>
          <w:p>
            <w:pPr>
              <w:jc w:val="center"/>
            </w:pPr>
            <w:r>
              <w:rPr>
                <w:rFonts w:hint="eastAsia"/>
              </w:rPr>
              <w:t xml:space="preserve">1000＜M</w:t>
            </w:r>
            <w:r/>
          </w:p>
        </w:tc>
        <w:tc>
          <w:tcPr>
            <w:tcW w:w="2130" w:type="dxa"/>
            <w:vAlign w:val="center"/>
            <w:textDirection w:val="lrTb"/>
            <w:noWrap w:val="false"/>
          </w:tcPr>
          <w:p>
            <w:pPr>
              <w:jc w:val="center"/>
            </w:pPr>
            <w:r>
              <w:t xml:space="preserve">0.08%</w:t>
            </w:r>
            <w:r/>
          </w:p>
        </w:tc>
      </w:tr>
    </w:tbl>
    <w:p>
      <w:r>
        <w:rPr>
          <w:rFonts w:hint="eastAsia"/>
        </w:rPr>
        <w:t xml:space="preserve">注：审计服务费用取费依据为合同价（即M为合同价）。</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3）组织评审会议单价</w:t>
      </w:r>
      <w:r/>
    </w:p>
    <w:p>
      <w:pPr>
        <w:ind w:firstLine="480"/>
        <w:spacing w:line="360" w:lineRule="auto"/>
        <w:rPr>
          <w:rFonts w:ascii="宋体" w:hAnsi="宋体" w:cs="宋体"/>
          <w:sz w:val="24"/>
          <w:szCs w:val="24"/>
        </w:rPr>
      </w:pPr>
      <w:r>
        <w:rPr>
          <w:rFonts w:hint="eastAsia" w:ascii="宋体" w:hAnsi="宋体" w:cs="宋体"/>
          <w:sz w:val="24"/>
          <w:szCs w:val="24"/>
        </w:rPr>
        <w:t xml:space="preserve">包括专家劳务、差旅、住宿、评审材料、工作餐等。由采购人邀请专家确定人数，专家职称必须是副高以上。</w:t>
      </w:r>
      <w:r/>
    </w:p>
    <w:p>
      <w:pPr>
        <w:ind w:firstLine="480"/>
        <w:spacing w:line="360" w:lineRule="auto"/>
        <w:rPr>
          <w:rFonts w:ascii="宋体" w:hAnsi="宋体" w:cs="宋体"/>
          <w:sz w:val="24"/>
          <w:szCs w:val="24"/>
        </w:rPr>
      </w:pPr>
      <w:r>
        <w:rPr>
          <w:rFonts w:hint="eastAsia" w:ascii="宋体" w:hAnsi="宋体" w:cs="宋体"/>
          <w:sz w:val="24"/>
          <w:szCs w:val="24"/>
        </w:rPr>
        <w:t xml:space="preserve">评审会议招标单价：专家人数*</w:t>
      </w:r>
      <w:r>
        <w:rPr>
          <w:rFonts w:ascii="宋体" w:hAnsi="宋体" w:cs="宋体"/>
          <w:sz w:val="24"/>
          <w:szCs w:val="24"/>
        </w:rPr>
        <w:t xml:space="preserve">1000</w:t>
      </w:r>
      <w:r>
        <w:rPr>
          <w:rFonts w:hint="eastAsia" w:ascii="宋体" w:hAnsi="宋体" w:cs="宋体"/>
          <w:sz w:val="24"/>
          <w:szCs w:val="24"/>
        </w:rPr>
        <w:t xml:space="preserve">元/场。</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3、二标包全流程服务结算单价</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审计服务费</w:t>
      </w:r>
      <w:r/>
    </w:p>
    <w:p>
      <w:pPr>
        <w:ind w:firstLine="723"/>
        <w:spacing w:line="360" w:lineRule="auto"/>
        <w:rPr>
          <w:rFonts w:ascii="宋体" w:hAnsi="宋体" w:cs="宋体"/>
          <w:b/>
          <w:bCs/>
          <w:sz w:val="24"/>
          <w:szCs w:val="24"/>
        </w:rPr>
      </w:pPr>
      <w:r>
        <w:rPr>
          <w:rFonts w:hint="eastAsia" w:ascii="宋体" w:hAnsi="宋体" w:cs="宋体"/>
          <w:b/>
          <w:bCs/>
          <w:sz w:val="24"/>
          <w:szCs w:val="24"/>
        </w:rPr>
        <w:t xml:space="preserve">招标结算单价为以下单价的七五折：</w:t>
      </w:r>
      <w:r/>
    </w:p>
    <w:p>
      <w:pPr>
        <w:jc w:val="center"/>
        <w:rPr>
          <w:rFonts w:ascii="黑体" w:hAnsi="黑体" w:eastAsia="黑体" w:cs="黑体"/>
          <w:b/>
          <w:bCs/>
        </w:rPr>
      </w:pPr>
      <w:r>
        <w:rPr>
          <w:rFonts w:ascii="黑体" w:hAnsi="黑体" w:eastAsia="黑体" w:cs="黑体"/>
          <w:b/>
          <w:bCs/>
        </w:rPr>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30"/>
        <w:gridCol w:w="2130"/>
        <w:gridCol w:w="2130"/>
      </w:tblGrid>
      <w:tr>
        <w:trPr>
          <w:trHeight w:val="472"/>
          <w:tblHeader/>
        </w:trPr>
        <w:tc>
          <w:tcPr>
            <w:gridSpan w:val="2"/>
            <w:tcW w:w="4259" w:type="dxa"/>
            <w:vAlign w:val="center"/>
            <w:textDirection w:val="lrTb"/>
            <w:noWrap w:val="false"/>
          </w:tcPr>
          <w:p>
            <w:pPr>
              <w:jc w:val="center"/>
              <w:rPr>
                <w:b/>
                <w:bCs/>
              </w:rPr>
            </w:pPr>
            <w:r>
              <w:rPr>
                <w:rFonts w:hint="eastAsia"/>
                <w:b/>
                <w:bCs/>
              </w:rPr>
              <w:t xml:space="preserve">类型和级别</w:t>
            </w:r>
            <w:r/>
          </w:p>
        </w:tc>
        <w:tc>
          <w:tcPr>
            <w:tcW w:w="2130" w:type="dxa"/>
            <w:vAlign w:val="center"/>
            <w:textDirection w:val="lrTb"/>
            <w:noWrap w:val="false"/>
          </w:tcPr>
          <w:p>
            <w:pPr>
              <w:jc w:val="center"/>
              <w:rPr>
                <w:b/>
                <w:bCs/>
              </w:rPr>
            </w:pPr>
            <w:r>
              <w:rPr>
                <w:b/>
                <w:bCs/>
              </w:rPr>
              <w:t xml:space="preserve">项目金额（万元）</w:t>
            </w:r>
            <w:r/>
          </w:p>
        </w:tc>
        <w:tc>
          <w:tcPr>
            <w:tcW w:w="2130" w:type="dxa"/>
            <w:vAlign w:val="center"/>
            <w:textDirection w:val="lrTb"/>
            <w:noWrap w:val="false"/>
          </w:tcPr>
          <w:p>
            <w:pPr>
              <w:jc w:val="center"/>
              <w:rPr>
                <w:b/>
                <w:bCs/>
              </w:rPr>
            </w:pPr>
            <w:r>
              <w:rPr>
                <w:b/>
                <w:bCs/>
              </w:rPr>
              <w:t xml:space="preserve">费率</w:t>
            </w:r>
            <w:r/>
          </w:p>
        </w:tc>
      </w:tr>
      <w:tr>
        <w:trPr/>
        <w:tc>
          <w:tcPr>
            <w:tcW w:w="2129" w:type="dxa"/>
            <w:vAlign w:val="center"/>
            <w:vMerge w:val="restart"/>
            <w:textDirection w:val="lrTb"/>
            <w:noWrap w:val="false"/>
          </w:tcPr>
          <w:p>
            <w:pPr>
              <w:jc w:val="center"/>
            </w:pPr>
            <w:r>
              <w:rPr>
                <w:rFonts w:hint="eastAsia"/>
              </w:rPr>
              <w:t xml:space="preserve">全流程</w:t>
            </w:r>
            <w:r>
              <w:t xml:space="preserve">跟踪审计（含</w:t>
            </w:r>
            <w:r/>
          </w:p>
          <w:p>
            <w:pPr>
              <w:jc w:val="center"/>
            </w:pPr>
            <w:r>
              <w:t xml:space="preserve">结算审计）</w:t>
            </w:r>
            <w:r/>
          </w:p>
        </w:tc>
        <w:tc>
          <w:tcPr>
            <w:tcW w:w="2130" w:type="dxa"/>
            <w:vAlign w:val="center"/>
            <w:textDirection w:val="lrTb"/>
            <w:noWrap w:val="false"/>
          </w:tcPr>
          <w:p>
            <w:pPr>
              <w:jc w:val="center"/>
            </w:pPr>
            <w:r>
              <w:rPr>
                <w:rFonts w:hint="eastAsia"/>
              </w:rPr>
              <w:t xml:space="preserve">1</w:t>
            </w:r>
            <w:r/>
          </w:p>
        </w:tc>
        <w:tc>
          <w:tcPr>
            <w:tcW w:w="2130" w:type="dxa"/>
            <w:vAlign w:val="center"/>
            <w:textDirection w:val="lrTb"/>
            <w:noWrap w:val="false"/>
          </w:tcPr>
          <w:p>
            <w:pPr>
              <w:jc w:val="center"/>
            </w:pPr>
            <w:r>
              <w:rPr>
                <w:rFonts w:hint="eastAsia"/>
              </w:rPr>
              <w:t xml:space="preserve">M≤30</w:t>
            </w:r>
            <w:r/>
          </w:p>
        </w:tc>
        <w:tc>
          <w:tcPr>
            <w:tcW w:w="2130" w:type="dxa"/>
            <w:vAlign w:val="center"/>
            <w:textDirection w:val="lrTb"/>
            <w:noWrap w:val="false"/>
          </w:tcPr>
          <w:p>
            <w:pPr>
              <w:jc w:val="center"/>
            </w:pPr>
            <w:r>
              <w:t xml:space="preserve">3.00%</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2</w:t>
            </w:r>
            <w:r/>
          </w:p>
        </w:tc>
        <w:tc>
          <w:tcPr>
            <w:tcW w:w="2130" w:type="dxa"/>
            <w:vAlign w:val="center"/>
            <w:textDirection w:val="lrTb"/>
            <w:noWrap w:val="false"/>
          </w:tcPr>
          <w:p>
            <w:pPr>
              <w:jc w:val="center"/>
            </w:pPr>
            <w:r>
              <w:rPr>
                <w:rFonts w:hint="eastAsia"/>
              </w:rPr>
              <w:t xml:space="preserve">30＜M≤100</w:t>
            </w:r>
            <w:r/>
          </w:p>
        </w:tc>
        <w:tc>
          <w:tcPr>
            <w:tcW w:w="2130" w:type="dxa"/>
            <w:vAlign w:val="center"/>
            <w:textDirection w:val="lrTb"/>
            <w:noWrap w:val="false"/>
          </w:tcPr>
          <w:p>
            <w:pPr>
              <w:jc w:val="center"/>
            </w:pPr>
            <w:r>
              <w:t xml:space="preserve">2</w:t>
            </w:r>
            <w:r>
              <w:rPr>
                <w:rFonts w:hint="eastAsia"/>
              </w:rPr>
              <w:t xml:space="preserve">.00</w:t>
            </w:r>
            <w:r>
              <w:t xml:space="preserve">%</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3</w:t>
            </w:r>
            <w:r/>
          </w:p>
        </w:tc>
        <w:tc>
          <w:tcPr>
            <w:tcW w:w="2130" w:type="dxa"/>
            <w:vAlign w:val="center"/>
            <w:textDirection w:val="lrTb"/>
            <w:noWrap w:val="false"/>
          </w:tcPr>
          <w:p>
            <w:pPr>
              <w:jc w:val="center"/>
            </w:pPr>
            <w:r>
              <w:rPr>
                <w:rFonts w:hint="eastAsia"/>
              </w:rPr>
              <w:t xml:space="preserve">1</w:t>
            </w:r>
            <w:r>
              <w:t xml:space="preserve">00＜M≤</w:t>
            </w:r>
            <w:r>
              <w:rPr>
                <w:rFonts w:hint="eastAsia"/>
              </w:rPr>
              <w:t xml:space="preserve">5</w:t>
            </w:r>
            <w:r>
              <w:t xml:space="preserve">00</w:t>
            </w:r>
            <w:r/>
          </w:p>
        </w:tc>
        <w:tc>
          <w:tcPr>
            <w:tcW w:w="2130" w:type="dxa"/>
            <w:vAlign w:val="center"/>
            <w:textDirection w:val="lrTb"/>
            <w:noWrap w:val="false"/>
          </w:tcPr>
          <w:p>
            <w:pPr>
              <w:jc w:val="center"/>
            </w:pPr>
            <w:r>
              <w:t xml:space="preserve">1.2</w:t>
            </w:r>
            <w:r>
              <w:rPr>
                <w:rFonts w:hint="eastAsia"/>
              </w:rPr>
              <w:t xml:space="preserve">0</w:t>
            </w:r>
            <w:r>
              <w:t xml:space="preserve">%</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4</w:t>
            </w:r>
            <w:r/>
          </w:p>
        </w:tc>
        <w:tc>
          <w:tcPr>
            <w:tcW w:w="2130" w:type="dxa"/>
            <w:vAlign w:val="center"/>
            <w:textDirection w:val="lrTb"/>
            <w:noWrap w:val="false"/>
          </w:tcPr>
          <w:p>
            <w:pPr>
              <w:jc w:val="center"/>
            </w:pPr>
            <w:r>
              <w:rPr>
                <w:rFonts w:hint="eastAsia"/>
              </w:rPr>
              <w:t xml:space="preserve">500＜M≤1000</w:t>
            </w:r>
            <w:r/>
          </w:p>
        </w:tc>
        <w:tc>
          <w:tcPr>
            <w:tcW w:w="2130" w:type="dxa"/>
            <w:vAlign w:val="center"/>
            <w:textDirection w:val="lrTb"/>
            <w:noWrap w:val="false"/>
          </w:tcPr>
          <w:p>
            <w:pPr>
              <w:jc w:val="center"/>
            </w:pPr>
            <w:r>
              <w:t xml:space="preserve">0.25%</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5</w:t>
            </w:r>
            <w:r/>
          </w:p>
        </w:tc>
        <w:tc>
          <w:tcPr>
            <w:tcW w:w="2130" w:type="dxa"/>
            <w:vAlign w:val="center"/>
            <w:textDirection w:val="lrTb"/>
            <w:noWrap w:val="false"/>
          </w:tcPr>
          <w:p>
            <w:pPr>
              <w:jc w:val="center"/>
            </w:pPr>
            <w:r>
              <w:rPr>
                <w:rFonts w:hint="eastAsia"/>
              </w:rPr>
              <w:t xml:space="preserve">1000＜M</w:t>
            </w:r>
            <w:r/>
          </w:p>
        </w:tc>
        <w:tc>
          <w:tcPr>
            <w:tcW w:w="2130" w:type="dxa"/>
            <w:vAlign w:val="center"/>
            <w:textDirection w:val="lrTb"/>
            <w:noWrap w:val="false"/>
          </w:tcPr>
          <w:p>
            <w:pPr>
              <w:jc w:val="center"/>
            </w:pPr>
            <w:r>
              <w:t xml:space="preserve">0.02%</w:t>
            </w:r>
            <w:r/>
          </w:p>
        </w:tc>
      </w:tr>
    </w:tbl>
    <w:p>
      <w:pPr>
        <w:ind w:firstLine="420"/>
        <w:spacing w:line="360" w:lineRule="auto"/>
        <w:rPr>
          <w:rFonts w:ascii="宋体" w:hAnsi="宋体" w:cs="宋体"/>
          <w:b/>
          <w:bCs/>
          <w:sz w:val="24"/>
          <w:szCs w:val="24"/>
        </w:rPr>
      </w:pPr>
      <w:r>
        <w:rPr>
          <w:rFonts w:hint="eastAsia"/>
        </w:rPr>
        <w:t xml:space="preserve">注：审计服务费用取费依据为合同价（即M为合同价）。</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软件测评费</w:t>
      </w:r>
      <w:r/>
    </w:p>
    <w:p>
      <w:pPr>
        <w:ind w:firstLine="480"/>
        <w:spacing w:line="360" w:lineRule="auto"/>
        <w:rPr>
          <w:rFonts w:ascii="宋体" w:hAnsi="宋体" w:cs="宋体"/>
          <w:sz w:val="24"/>
          <w:szCs w:val="24"/>
        </w:rPr>
      </w:pPr>
      <w:r>
        <w:rPr>
          <w:rFonts w:ascii="宋体" w:hAnsi="宋体" w:cs="宋体"/>
          <w:sz w:val="24"/>
          <w:szCs w:val="24"/>
        </w:rPr>
        <w:t xml:space="preserve">软件测评费用具体计算公式如下：</w:t>
      </w:r>
      <w:r/>
    </w:p>
    <w:p>
      <w:pPr>
        <w:ind w:firstLine="720"/>
        <w:spacing w:line="360" w:lineRule="auto"/>
        <w:rPr>
          <w:rFonts w:ascii="宋体" w:hAnsi="宋体" w:cs="宋体"/>
          <w:b/>
          <w:bCs/>
          <w:sz w:val="24"/>
          <w:szCs w:val="24"/>
        </w:rPr>
      </w:pPr>
      <w:r>
        <w:rPr>
          <w:rFonts w:ascii="宋体" w:hAnsi="宋体" w:cs="宋体"/>
          <w:sz w:val="24"/>
          <w:szCs w:val="24"/>
        </w:rPr>
        <w:t xml:space="preserve">软件测评费=软件开价×费率/1.36。备注：1.36=1+（12×3）/100，即软件开发费用中包含三年运维费，计算时需去掉运维费用及其他成本费用后，使用软件开发的裸价计算。</w:t>
      </w:r>
      <w:r>
        <w:rPr>
          <w:rFonts w:hint="eastAsia" w:ascii="宋体" w:hAnsi="宋体" w:cs="宋体"/>
          <w:b/>
          <w:bCs/>
          <w:sz w:val="24"/>
          <w:szCs w:val="24"/>
        </w:rPr>
        <w:t xml:space="preserve">招标结算单价为以下单价的七五折：</w:t>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rPr>
                <w:b/>
                <w:bCs/>
              </w:rPr>
            </w:pPr>
            <w:r>
              <w:rPr>
                <w:rFonts w:hint="eastAsia"/>
                <w:b/>
                <w:bCs/>
              </w:rPr>
              <w:t xml:space="preserve">序号</w:t>
            </w:r>
            <w:r/>
          </w:p>
        </w:tc>
        <w:tc>
          <w:tcPr>
            <w:tcW w:w="2841" w:type="dxa"/>
            <w:vAlign w:val="center"/>
            <w:textDirection w:val="lrTb"/>
            <w:noWrap w:val="false"/>
          </w:tcPr>
          <w:p>
            <w:pPr>
              <w:jc w:val="center"/>
              <w:rPr>
                <w:b/>
                <w:bCs/>
              </w:rPr>
            </w:pPr>
            <w:r>
              <w:rPr>
                <w:rFonts w:hint="eastAsia"/>
                <w:b/>
                <w:bCs/>
              </w:rPr>
              <w:t xml:space="preserve">软件开发费用（万元）</w:t>
            </w:r>
            <w:r/>
          </w:p>
        </w:tc>
        <w:tc>
          <w:tcPr>
            <w:tcW w:w="2841" w:type="dxa"/>
            <w:vAlign w:val="center"/>
            <w:textDirection w:val="lrTb"/>
            <w:noWrap w:val="false"/>
          </w:tcPr>
          <w:p>
            <w:pPr>
              <w:jc w:val="center"/>
              <w:rPr>
                <w:b/>
                <w:bCs/>
              </w:rPr>
            </w:pPr>
            <w:r>
              <w:rPr>
                <w:b/>
                <w:bCs/>
              </w:rPr>
              <w:t xml:space="preserve">费率（%）</w:t>
            </w:r>
            <w:r/>
          </w:p>
        </w:tc>
      </w:tr>
      <w:tr>
        <w:trPr/>
        <w:tc>
          <w:tcPr>
            <w:tcW w:w="2840" w:type="dxa"/>
            <w:vAlign w:val="center"/>
            <w:textDirection w:val="lrTb"/>
            <w:noWrap w:val="false"/>
          </w:tcPr>
          <w:p>
            <w:pPr>
              <w:jc w:val="center"/>
            </w:pPr>
            <w:r>
              <w:rPr>
                <w:rFonts w:hint="eastAsia"/>
              </w:rPr>
              <w:t xml:space="preserve">1</w:t>
            </w:r>
            <w:r/>
          </w:p>
        </w:tc>
        <w:tc>
          <w:tcPr>
            <w:tcW w:w="2841" w:type="dxa"/>
            <w:vAlign w:val="center"/>
            <w:textDirection w:val="lrTb"/>
            <w:noWrap w:val="false"/>
          </w:tcPr>
          <w:p>
            <w:pPr>
              <w:jc w:val="center"/>
            </w:pPr>
            <w:r>
              <w:rPr>
                <w:rFonts w:hint="eastAsia"/>
              </w:rPr>
              <w:t xml:space="preserve">30＜M≤100</w:t>
            </w:r>
            <w:r/>
          </w:p>
        </w:tc>
        <w:tc>
          <w:tcPr>
            <w:tcW w:w="2841" w:type="dxa"/>
            <w:vAlign w:val="center"/>
            <w:textDirection w:val="lrTb"/>
            <w:noWrap w:val="false"/>
          </w:tcPr>
          <w:p>
            <w:pPr>
              <w:jc w:val="center"/>
            </w:pPr>
            <w:r>
              <w:rPr>
                <w:rFonts w:hint="eastAsia"/>
              </w:rPr>
              <w:t xml:space="preserve">3</w:t>
            </w:r>
            <w:r/>
          </w:p>
        </w:tc>
      </w:tr>
      <w:tr>
        <w:trPr/>
        <w:tc>
          <w:tcPr>
            <w:tcW w:w="2840" w:type="dxa"/>
            <w:vAlign w:val="center"/>
            <w:textDirection w:val="lrTb"/>
            <w:noWrap w:val="false"/>
          </w:tcPr>
          <w:p>
            <w:pPr>
              <w:jc w:val="center"/>
            </w:pPr>
            <w:r>
              <w:rPr>
                <w:rFonts w:hint="eastAsia"/>
              </w:rPr>
              <w:t xml:space="preserve">2</w:t>
            </w:r>
            <w:r/>
          </w:p>
        </w:tc>
        <w:tc>
          <w:tcPr>
            <w:tcW w:w="2841" w:type="dxa"/>
            <w:vAlign w:val="center"/>
            <w:textDirection w:val="lrTb"/>
            <w:noWrap w:val="false"/>
          </w:tcPr>
          <w:p>
            <w:pPr>
              <w:jc w:val="center"/>
            </w:pPr>
            <w:r>
              <w:rPr>
                <w:rFonts w:hint="eastAsia"/>
              </w:rPr>
              <w:t xml:space="preserve">100＜M≤500</w:t>
            </w:r>
            <w:r/>
          </w:p>
        </w:tc>
        <w:tc>
          <w:tcPr>
            <w:tcW w:w="2841" w:type="dxa"/>
            <w:vAlign w:val="center"/>
            <w:textDirection w:val="lrTb"/>
            <w:noWrap w:val="false"/>
          </w:tcPr>
          <w:p>
            <w:pPr>
              <w:jc w:val="center"/>
            </w:pPr>
            <w:r>
              <w:rPr>
                <w:rFonts w:hint="eastAsia"/>
              </w:rPr>
              <w:t xml:space="preserve">2</w:t>
            </w:r>
            <w:r/>
          </w:p>
        </w:tc>
      </w:tr>
      <w:tr>
        <w:trPr/>
        <w:tc>
          <w:tcPr>
            <w:tcW w:w="2840" w:type="dxa"/>
            <w:vAlign w:val="center"/>
            <w:textDirection w:val="lrTb"/>
            <w:noWrap w:val="false"/>
          </w:tcPr>
          <w:p>
            <w:pPr>
              <w:jc w:val="center"/>
            </w:pPr>
            <w:r>
              <w:rPr>
                <w:rFonts w:hint="eastAsia"/>
              </w:rPr>
              <w:t xml:space="preserve">3</w:t>
            </w:r>
            <w:r/>
          </w:p>
        </w:tc>
        <w:tc>
          <w:tcPr>
            <w:tcW w:w="2841" w:type="dxa"/>
            <w:vAlign w:val="center"/>
            <w:textDirection w:val="lrTb"/>
            <w:noWrap w:val="false"/>
          </w:tcPr>
          <w:p>
            <w:pPr>
              <w:jc w:val="center"/>
            </w:pPr>
            <w:r>
              <w:t xml:space="preserve">500＜M≤1000</w:t>
            </w:r>
            <w:r/>
          </w:p>
        </w:tc>
        <w:tc>
          <w:tcPr>
            <w:tcW w:w="2841" w:type="dxa"/>
            <w:vAlign w:val="center"/>
            <w:textDirection w:val="lrTb"/>
            <w:noWrap w:val="false"/>
          </w:tcPr>
          <w:p>
            <w:pPr>
              <w:jc w:val="center"/>
            </w:pPr>
            <w:r>
              <w:rPr>
                <w:rFonts w:hint="eastAsia"/>
              </w:rPr>
              <w:t xml:space="preserve">1.5</w:t>
            </w:r>
            <w:r/>
          </w:p>
        </w:tc>
      </w:tr>
      <w:tr>
        <w:trPr/>
        <w:tc>
          <w:tcPr>
            <w:tcW w:w="2840" w:type="dxa"/>
            <w:vAlign w:val="center"/>
            <w:textDirection w:val="lrTb"/>
            <w:noWrap w:val="false"/>
          </w:tcPr>
          <w:p>
            <w:pPr>
              <w:jc w:val="center"/>
            </w:pPr>
            <w:r>
              <w:rPr>
                <w:rFonts w:hint="eastAsia"/>
              </w:rPr>
              <w:t xml:space="preserve">4</w:t>
            </w:r>
            <w:r/>
          </w:p>
        </w:tc>
        <w:tc>
          <w:tcPr>
            <w:tcW w:w="2841" w:type="dxa"/>
            <w:vAlign w:val="center"/>
            <w:textDirection w:val="lrTb"/>
            <w:noWrap w:val="false"/>
          </w:tcPr>
          <w:p>
            <w:pPr>
              <w:jc w:val="center"/>
            </w:pPr>
            <w:r>
              <w:rPr>
                <w:rFonts w:hint="eastAsia"/>
              </w:rPr>
              <w:t xml:space="preserve">1000＜M≤5000</w:t>
            </w:r>
            <w:r/>
          </w:p>
        </w:tc>
        <w:tc>
          <w:tcPr>
            <w:tcW w:w="2841" w:type="dxa"/>
            <w:vAlign w:val="center"/>
            <w:textDirection w:val="lrTb"/>
            <w:noWrap w:val="false"/>
          </w:tcPr>
          <w:p>
            <w:pPr>
              <w:jc w:val="center"/>
            </w:pPr>
            <w:r>
              <w:rPr>
                <w:rFonts w:hint="eastAsia"/>
              </w:rPr>
              <w:t xml:space="preserve">1</w:t>
            </w:r>
            <w:r/>
          </w:p>
        </w:tc>
      </w:tr>
      <w:tr>
        <w:trPr/>
        <w:tc>
          <w:tcPr>
            <w:tcW w:w="2840" w:type="dxa"/>
            <w:vAlign w:val="center"/>
            <w:textDirection w:val="lrTb"/>
            <w:noWrap w:val="false"/>
          </w:tcPr>
          <w:p>
            <w:pPr>
              <w:jc w:val="center"/>
            </w:pPr>
            <w:r>
              <w:rPr>
                <w:rFonts w:hint="eastAsia"/>
              </w:rPr>
              <w:t xml:space="preserve">5</w:t>
            </w:r>
            <w:r/>
          </w:p>
        </w:tc>
        <w:tc>
          <w:tcPr>
            <w:tcW w:w="2841" w:type="dxa"/>
            <w:vAlign w:val="center"/>
            <w:textDirection w:val="lrTb"/>
            <w:noWrap w:val="false"/>
          </w:tcPr>
          <w:p>
            <w:pPr>
              <w:jc w:val="center"/>
            </w:pPr>
            <w:r>
              <w:rPr>
                <w:rFonts w:hint="eastAsia"/>
              </w:rPr>
              <w:t xml:space="preserve">5000＜M</w:t>
            </w:r>
            <w:r/>
          </w:p>
        </w:tc>
        <w:tc>
          <w:tcPr>
            <w:tcW w:w="2841" w:type="dxa"/>
            <w:vAlign w:val="center"/>
            <w:textDirection w:val="lrTb"/>
            <w:noWrap w:val="false"/>
          </w:tcPr>
          <w:p>
            <w:pPr>
              <w:jc w:val="center"/>
            </w:pPr>
            <w:r>
              <w:rPr>
                <w:rFonts w:hint="eastAsia"/>
              </w:rPr>
              <w:t xml:space="preserve">0.5</w:t>
            </w:r>
            <w:r/>
          </w:p>
        </w:tc>
      </w:tr>
    </w:tbl>
    <w:p>
      <w:r>
        <w:rPr>
          <w:rFonts w:hint="eastAsia"/>
        </w:rPr>
        <w:t xml:space="preserve">注：</w:t>
      </w:r>
      <w:r/>
    </w:p>
    <w:p>
      <w:r>
        <w:t xml:space="preserve">1.软件测评费计费基数为定制软件开发费，计费基数不包含购置成品软件。</w:t>
      </w:r>
      <w:r/>
    </w:p>
    <w:p>
      <w:r>
        <w:t xml:space="preserve">2.政府采购限额标准以上的定制软件项目需进行软件测评服务。</w:t>
      </w:r>
      <w:r/>
    </w:p>
    <w:p>
      <w:r>
        <w:t xml:space="preserve">3.软件测评费采用差额定率分档累进方式计算。</w:t>
      </w:r>
      <w:r/>
    </w:p>
    <w:p>
      <w:r>
        <w:rPr>
          <w:rFonts w:hint="eastAsia"/>
        </w:rPr>
        <w:t xml:space="preserve">4.软件测评费用取费依据为合同价（即M为合同价）。</w:t>
      </w:r>
      <w:r/>
    </w:p>
    <w:p>
      <w:pPr>
        <w:ind w:firstLine="562"/>
        <w:rPr>
          <w:b/>
          <w:bCs/>
        </w:rPr>
      </w:pPr>
      <w:r>
        <w:rPr>
          <w:rFonts w:hint="eastAsia"/>
          <w:b/>
          <w:bCs/>
        </w:rPr>
        <w:t xml:space="preserve">3）工程监理费</w:t>
      </w:r>
      <w:r/>
    </w:p>
    <w:p>
      <w:pPr>
        <w:ind w:firstLine="480"/>
        <w:spacing w:line="360" w:lineRule="auto"/>
        <w:rPr>
          <w:rFonts w:ascii="宋体" w:hAnsi="宋体" w:cs="宋体"/>
          <w:sz w:val="24"/>
          <w:szCs w:val="24"/>
        </w:rPr>
      </w:pPr>
      <w:r>
        <w:rPr>
          <w:rFonts w:ascii="宋体" w:hAnsi="宋体" w:cs="宋体"/>
          <w:sz w:val="24"/>
          <w:szCs w:val="24"/>
        </w:rPr>
        <w:t xml:space="preserve">根据项目建设规模采用差额定率分档累进方式计算，根据复杂程度，可以在取费基数上乘以相应的取费调整参数。硬件及成品软件购置部分计费基数按40%计取。</w:t>
      </w:r>
      <w:r/>
    </w:p>
    <w:p>
      <w:pPr>
        <w:ind w:firstLine="720"/>
        <w:spacing w:line="360" w:lineRule="auto"/>
        <w:rPr>
          <w:rFonts w:ascii="宋体" w:hAnsi="宋体" w:cs="宋体"/>
          <w:b/>
          <w:bCs/>
          <w:sz w:val="24"/>
          <w:szCs w:val="24"/>
        </w:rPr>
      </w:pPr>
      <w:r>
        <w:rPr>
          <w:rFonts w:ascii="宋体" w:hAnsi="宋体" w:cs="宋体"/>
          <w:sz w:val="24"/>
          <w:szCs w:val="24"/>
        </w:rPr>
        <w:t xml:space="preserve">工程监理费=工程建设费用×费率×复杂程度（0.5-1.2）工程监理费收费参考标准</w:t>
      </w:r>
      <w:r>
        <w:rPr>
          <w:rFonts w:hint="eastAsia" w:ascii="宋体" w:hAnsi="宋体" w:cs="宋体"/>
          <w:sz w:val="24"/>
          <w:szCs w:val="24"/>
        </w:rPr>
        <w:t xml:space="preserve">，</w:t>
      </w:r>
      <w:r>
        <w:rPr>
          <w:rFonts w:hint="eastAsia" w:ascii="宋体" w:hAnsi="宋体" w:cs="宋体"/>
          <w:b/>
          <w:bCs/>
          <w:sz w:val="24"/>
          <w:szCs w:val="24"/>
        </w:rPr>
        <w:t xml:space="preserve">招标结算单价为以下单价的七五折：</w:t>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rPr>
                <w:b/>
                <w:bCs/>
              </w:rPr>
            </w:pPr>
            <w:r>
              <w:rPr>
                <w:rFonts w:hint="eastAsia"/>
                <w:b/>
                <w:bCs/>
              </w:rPr>
              <w:t xml:space="preserve">序号</w:t>
            </w:r>
            <w:r/>
          </w:p>
        </w:tc>
        <w:tc>
          <w:tcPr>
            <w:tcW w:w="2841" w:type="dxa"/>
            <w:vAlign w:val="center"/>
            <w:textDirection w:val="lrTb"/>
            <w:noWrap w:val="false"/>
          </w:tcPr>
          <w:p>
            <w:pPr>
              <w:jc w:val="center"/>
              <w:rPr>
                <w:b/>
                <w:bCs/>
              </w:rPr>
            </w:pPr>
            <w:r>
              <w:rPr>
                <w:b/>
                <w:bCs/>
              </w:rPr>
              <w:t xml:space="preserve">工程建设费用（万元）</w:t>
            </w:r>
            <w:r/>
          </w:p>
        </w:tc>
        <w:tc>
          <w:tcPr>
            <w:tcW w:w="2841" w:type="dxa"/>
            <w:vAlign w:val="center"/>
            <w:textDirection w:val="lrTb"/>
            <w:noWrap w:val="false"/>
          </w:tcPr>
          <w:p>
            <w:pPr>
              <w:jc w:val="center"/>
              <w:rPr>
                <w:b/>
                <w:bCs/>
              </w:rPr>
            </w:pPr>
            <w:r>
              <w:rPr>
                <w:b/>
                <w:bCs/>
              </w:rPr>
              <w:t xml:space="preserve">费率（%）</w:t>
            </w:r>
            <w:r/>
          </w:p>
        </w:tc>
      </w:tr>
      <w:tr>
        <w:trPr/>
        <w:tc>
          <w:tcPr>
            <w:tcW w:w="2840" w:type="dxa"/>
            <w:vAlign w:val="center"/>
            <w:textDirection w:val="lrTb"/>
            <w:noWrap w:val="false"/>
          </w:tcPr>
          <w:p>
            <w:pPr>
              <w:jc w:val="center"/>
            </w:pPr>
            <w:r>
              <w:rPr>
                <w:rFonts w:hint="eastAsia"/>
              </w:rPr>
              <w:t xml:space="preserve">1</w:t>
            </w:r>
            <w:r/>
          </w:p>
        </w:tc>
        <w:tc>
          <w:tcPr>
            <w:tcW w:w="2841" w:type="dxa"/>
            <w:vAlign w:val="center"/>
            <w:textDirection w:val="lrTb"/>
            <w:noWrap w:val="false"/>
          </w:tcPr>
          <w:p>
            <w:pPr>
              <w:jc w:val="center"/>
            </w:pPr>
            <w:r>
              <w:t xml:space="preserve">M≤500</w:t>
            </w:r>
            <w:r/>
          </w:p>
        </w:tc>
        <w:tc>
          <w:tcPr>
            <w:tcW w:w="2841" w:type="dxa"/>
            <w:vAlign w:val="center"/>
            <w:textDirection w:val="lrTb"/>
            <w:noWrap w:val="false"/>
          </w:tcPr>
          <w:p>
            <w:pPr>
              <w:jc w:val="center"/>
            </w:pPr>
            <w:r>
              <w:rPr>
                <w:rFonts w:hint="eastAsia"/>
              </w:rPr>
              <w:t xml:space="preserve">3</w:t>
            </w:r>
            <w:r/>
          </w:p>
        </w:tc>
      </w:tr>
      <w:tr>
        <w:trPr/>
        <w:tc>
          <w:tcPr>
            <w:tcW w:w="2840" w:type="dxa"/>
            <w:vAlign w:val="center"/>
            <w:textDirection w:val="lrTb"/>
            <w:noWrap w:val="false"/>
          </w:tcPr>
          <w:p>
            <w:pPr>
              <w:jc w:val="center"/>
            </w:pPr>
            <w:r>
              <w:rPr>
                <w:rFonts w:hint="eastAsia"/>
              </w:rPr>
              <w:t xml:space="preserve">2</w:t>
            </w:r>
            <w:r/>
          </w:p>
        </w:tc>
        <w:tc>
          <w:tcPr>
            <w:tcW w:w="2841" w:type="dxa"/>
            <w:vAlign w:val="center"/>
            <w:textDirection w:val="lrTb"/>
            <w:noWrap w:val="false"/>
          </w:tcPr>
          <w:p>
            <w:pPr>
              <w:jc w:val="center"/>
            </w:pPr>
            <w:r>
              <w:t xml:space="preserve">500＜M≤1000</w:t>
            </w:r>
            <w:r/>
          </w:p>
        </w:tc>
        <w:tc>
          <w:tcPr>
            <w:tcW w:w="2841" w:type="dxa"/>
            <w:vAlign w:val="center"/>
            <w:textDirection w:val="lrTb"/>
            <w:noWrap w:val="false"/>
          </w:tcPr>
          <w:p>
            <w:pPr>
              <w:jc w:val="center"/>
            </w:pPr>
            <w:r>
              <w:rPr>
                <w:rFonts w:hint="eastAsia"/>
              </w:rPr>
              <w:t xml:space="preserve">2</w:t>
            </w:r>
            <w:r/>
          </w:p>
        </w:tc>
      </w:tr>
      <w:tr>
        <w:trPr/>
        <w:tc>
          <w:tcPr>
            <w:tcW w:w="2840" w:type="dxa"/>
            <w:vAlign w:val="center"/>
            <w:textDirection w:val="lrTb"/>
            <w:noWrap w:val="false"/>
          </w:tcPr>
          <w:p>
            <w:pPr>
              <w:jc w:val="center"/>
            </w:pPr>
            <w:r>
              <w:rPr>
                <w:rFonts w:hint="eastAsia"/>
              </w:rPr>
              <w:t xml:space="preserve">3</w:t>
            </w:r>
            <w:r/>
          </w:p>
        </w:tc>
        <w:tc>
          <w:tcPr>
            <w:tcW w:w="2841" w:type="dxa"/>
            <w:vAlign w:val="center"/>
            <w:textDirection w:val="lrTb"/>
            <w:noWrap w:val="false"/>
          </w:tcPr>
          <w:p>
            <w:pPr>
              <w:jc w:val="center"/>
            </w:pPr>
            <w:r>
              <w:t xml:space="preserve">1000＜M≤3000</w:t>
            </w:r>
            <w:r/>
          </w:p>
        </w:tc>
        <w:tc>
          <w:tcPr>
            <w:tcW w:w="2841" w:type="dxa"/>
            <w:vAlign w:val="center"/>
            <w:textDirection w:val="lrTb"/>
            <w:noWrap w:val="false"/>
          </w:tcPr>
          <w:p>
            <w:pPr>
              <w:jc w:val="center"/>
            </w:pPr>
            <w:r>
              <w:rPr>
                <w:rFonts w:hint="eastAsia"/>
              </w:rPr>
              <w:t xml:space="preserve">1.5</w:t>
            </w:r>
            <w:r/>
          </w:p>
        </w:tc>
      </w:tr>
      <w:tr>
        <w:trPr/>
        <w:tc>
          <w:tcPr>
            <w:tcW w:w="2840" w:type="dxa"/>
            <w:vAlign w:val="center"/>
            <w:textDirection w:val="lrTb"/>
            <w:noWrap w:val="false"/>
          </w:tcPr>
          <w:p>
            <w:pPr>
              <w:jc w:val="center"/>
            </w:pPr>
            <w:r>
              <w:rPr>
                <w:rFonts w:hint="eastAsia"/>
              </w:rPr>
              <w:t xml:space="preserve">4</w:t>
            </w:r>
            <w:r/>
          </w:p>
        </w:tc>
        <w:tc>
          <w:tcPr>
            <w:tcW w:w="2841" w:type="dxa"/>
            <w:vAlign w:val="center"/>
            <w:textDirection w:val="lrTb"/>
            <w:noWrap w:val="false"/>
          </w:tcPr>
          <w:p>
            <w:pPr>
              <w:jc w:val="center"/>
            </w:pPr>
            <w:r>
              <w:rPr>
                <w:rFonts w:hint="eastAsia"/>
              </w:rPr>
              <w:t xml:space="preserve">3000＜M≤5000</w:t>
            </w:r>
            <w:r/>
          </w:p>
        </w:tc>
        <w:tc>
          <w:tcPr>
            <w:tcW w:w="2841" w:type="dxa"/>
            <w:vAlign w:val="center"/>
            <w:textDirection w:val="lrTb"/>
            <w:noWrap w:val="false"/>
          </w:tcPr>
          <w:p>
            <w:pPr>
              <w:jc w:val="center"/>
            </w:pPr>
            <w:r>
              <w:rPr>
                <w:rFonts w:hint="eastAsia"/>
              </w:rPr>
              <w:t xml:space="preserve">1</w:t>
            </w:r>
            <w:r/>
          </w:p>
        </w:tc>
      </w:tr>
      <w:tr>
        <w:trPr/>
        <w:tc>
          <w:tcPr>
            <w:tcW w:w="2840" w:type="dxa"/>
            <w:vAlign w:val="center"/>
            <w:textDirection w:val="lrTb"/>
            <w:noWrap w:val="false"/>
          </w:tcPr>
          <w:p>
            <w:pPr>
              <w:jc w:val="center"/>
            </w:pPr>
            <w:r>
              <w:rPr>
                <w:rFonts w:hint="eastAsia"/>
              </w:rPr>
              <w:t xml:space="preserve">5</w:t>
            </w:r>
            <w:r/>
          </w:p>
        </w:tc>
        <w:tc>
          <w:tcPr>
            <w:tcW w:w="2841" w:type="dxa"/>
            <w:vAlign w:val="center"/>
            <w:textDirection w:val="lrTb"/>
            <w:noWrap w:val="false"/>
          </w:tcPr>
          <w:p>
            <w:pPr>
              <w:jc w:val="center"/>
            </w:pPr>
            <w:r>
              <w:rPr>
                <w:rFonts w:hint="eastAsia"/>
              </w:rPr>
              <w:t xml:space="preserve">5000＜M</w:t>
            </w:r>
            <w:r/>
          </w:p>
        </w:tc>
        <w:tc>
          <w:tcPr>
            <w:tcW w:w="2841" w:type="dxa"/>
            <w:vAlign w:val="center"/>
            <w:textDirection w:val="lrTb"/>
            <w:noWrap w:val="false"/>
          </w:tcPr>
          <w:p>
            <w:pPr>
              <w:jc w:val="center"/>
            </w:pPr>
            <w:r>
              <w:rPr>
                <w:rFonts w:hint="eastAsia"/>
              </w:rPr>
              <w:t xml:space="preserve">0.5</w:t>
            </w:r>
            <w:r/>
          </w:p>
        </w:tc>
      </w:tr>
    </w:tbl>
    <w:p>
      <w:r>
        <w:rPr>
          <w:rFonts w:hint="eastAsia"/>
        </w:rPr>
        <w:t xml:space="preserve">注：工程监理费用取费依据为合同价（即M为合同价）。</w:t>
      </w:r>
      <w:r/>
    </w:p>
    <w:p>
      <w:pPr>
        <w:ind w:firstLine="482"/>
        <w:spacing w:line="360" w:lineRule="auto"/>
        <w:rPr>
          <w:rFonts w:ascii="宋体" w:hAnsi="宋体" w:cs="宋体"/>
          <w:b/>
          <w:bCs/>
          <w:sz w:val="24"/>
          <w:szCs w:val="24"/>
        </w:rPr>
      </w:pPr>
      <w:r/>
      <w:bookmarkStart w:id="164" w:name="_Hlk230939542"/>
      <w:r>
        <w:rPr>
          <w:rFonts w:hint="eastAsia" w:ascii="宋体" w:hAnsi="宋体" w:cs="宋体"/>
          <w:b/>
          <w:bCs/>
          <w:sz w:val="24"/>
          <w:szCs w:val="24"/>
        </w:rPr>
        <w:t xml:space="preserve">4）组织评审会议单价</w:t>
      </w:r>
      <w:bookmarkEnd w:id="164"/>
      <w:r/>
      <w:r/>
    </w:p>
    <w:p>
      <w:pPr>
        <w:ind w:firstLine="480"/>
        <w:spacing w:line="360" w:lineRule="auto"/>
        <w:rPr>
          <w:rFonts w:ascii="宋体" w:hAnsi="宋体" w:cs="宋体"/>
          <w:sz w:val="24"/>
          <w:szCs w:val="24"/>
        </w:rPr>
      </w:pPr>
      <w:r>
        <w:rPr>
          <w:rFonts w:hint="eastAsia" w:ascii="宋体" w:hAnsi="宋体" w:cs="宋体"/>
          <w:sz w:val="24"/>
          <w:szCs w:val="24"/>
        </w:rPr>
        <w:t xml:space="preserve">包括专家劳务、差旅、住宿、评审材料、工作餐等。由采购人邀请专家确定人数，专家职称必须是副高以上。</w:t>
      </w:r>
      <w:r/>
    </w:p>
    <w:p>
      <w:pPr>
        <w:ind w:firstLine="480"/>
        <w:spacing w:line="360" w:lineRule="auto"/>
        <w:rPr>
          <w:rFonts w:ascii="宋体" w:hAnsi="宋体" w:cs="宋体"/>
          <w:sz w:val="24"/>
          <w:szCs w:val="24"/>
        </w:rPr>
      </w:pPr>
      <w:r>
        <w:rPr>
          <w:rFonts w:hint="eastAsia" w:ascii="宋体" w:hAnsi="宋体" w:cs="宋体"/>
          <w:sz w:val="24"/>
          <w:szCs w:val="24"/>
        </w:rPr>
        <w:t xml:space="preserve">评审会议招标单价：专家人数*</w:t>
      </w:r>
      <w:r>
        <w:rPr>
          <w:rFonts w:ascii="宋体" w:hAnsi="宋体" w:cs="宋体"/>
          <w:sz w:val="24"/>
          <w:szCs w:val="24"/>
        </w:rPr>
        <w:t xml:space="preserve">1000</w:t>
      </w:r>
      <w:r>
        <w:rPr>
          <w:rFonts w:hint="eastAsia" w:ascii="宋体" w:hAnsi="宋体" w:cs="宋体"/>
          <w:sz w:val="24"/>
          <w:szCs w:val="24"/>
        </w:rPr>
        <w:t xml:space="preserve">元/场。</w:t>
      </w:r>
      <w:bookmarkEnd w:id="155"/>
      <w:r/>
      <w:r/>
    </w:p>
    <w:p>
      <w:pPr>
        <w:pStyle w:val="746"/>
        <w:ind w:firstLine="482"/>
        <w:jc w:val="both"/>
        <w:spacing w:before="0" w:after="0" w:line="360" w:lineRule="auto"/>
        <w:rPr>
          <w:rFonts w:ascii="宋体" w:hAnsi="宋体" w:cs="宋体"/>
          <w:sz w:val="24"/>
          <w:szCs w:val="24"/>
        </w:rPr>
      </w:pPr>
      <w:r/>
      <w:bookmarkStart w:id="165" w:name="_Toc24651"/>
      <w:r>
        <w:rPr>
          <w:rFonts w:hint="eastAsia" w:ascii="宋体" w:hAnsi="宋体" w:cs="宋体"/>
          <w:sz w:val="24"/>
          <w:szCs w:val="24"/>
        </w:rPr>
        <w:t xml:space="preserve">四、一标包服务方案要求</w:t>
      </w:r>
      <w:r/>
    </w:p>
    <w:p>
      <w:pPr>
        <w:ind w:firstLine="482"/>
        <w:spacing w:line="360" w:lineRule="auto"/>
        <w:rPr>
          <w:b/>
          <w:bCs/>
          <w:sz w:val="24"/>
          <w:szCs w:val="24"/>
        </w:rPr>
      </w:pPr>
      <w:r>
        <w:rPr>
          <w:rFonts w:hint="eastAsia"/>
          <w:b/>
          <w:bCs/>
          <w:sz w:val="24"/>
          <w:szCs w:val="24"/>
        </w:rPr>
        <w:t xml:space="preserve">4.1项目理解，至少包含（1）对国家深化医改的有关要求和趋势分析、（2）财政部和国家卫健委组织实施公立医院改革与高质量发展示范项目背景和目标、（3）各地在示范信息化项目实践中的优秀做法、（4）对国家加强公立医院改革与高质量发展示范项目管理的有关要求等。</w:t>
      </w:r>
      <w:r/>
    </w:p>
    <w:p>
      <w:pPr>
        <w:ind w:firstLine="480"/>
        <w:spacing w:line="360" w:lineRule="auto"/>
        <w:rPr>
          <w:sz w:val="24"/>
          <w:szCs w:val="24"/>
        </w:rPr>
      </w:pPr>
      <w:r>
        <w:rPr>
          <w:rFonts w:hint="eastAsia"/>
          <w:sz w:val="24"/>
          <w:szCs w:val="24"/>
        </w:rPr>
        <w:t xml:space="preserve">本章节立足国家政策顶层设计、项目实施背景、行业实践经验、监管管理要求四大维度，全面、精准解读公立医院改革与高质量发展示范项目信息化建设核心要义，充分体现服务单位政策专业性、行业认知度、项目把控能力，完全匹配招标文件评审要点。</w:t>
      </w:r>
      <w:r/>
    </w:p>
    <w:p>
      <w:pPr>
        <w:ind w:firstLine="480"/>
        <w:spacing w:line="360" w:lineRule="auto"/>
        <w:rPr>
          <w:sz w:val="24"/>
          <w:szCs w:val="24"/>
        </w:rPr>
      </w:pPr>
      <w:r>
        <w:rPr>
          <w:rFonts w:hint="eastAsia"/>
          <w:sz w:val="24"/>
          <w:szCs w:val="24"/>
        </w:rPr>
        <w:t xml:space="preserve">4.1.1国家深化医改有关要求及行业发展趋势分析</w:t>
      </w:r>
      <w:r/>
    </w:p>
    <w:p>
      <w:pPr>
        <w:ind w:firstLine="480"/>
        <w:spacing w:line="360" w:lineRule="auto"/>
        <w:rPr>
          <w:sz w:val="24"/>
          <w:szCs w:val="24"/>
        </w:rPr>
      </w:pPr>
      <w:r>
        <w:rPr>
          <w:rFonts w:hint="eastAsia"/>
          <w:sz w:val="24"/>
          <w:szCs w:val="24"/>
        </w:rPr>
        <w:t xml:space="preserve">近年来，国家持续深化医药卫生体制改革，聚焦公立医院公益性定位、医疗服务提质增效、医疗资源优化配置、医疗卫生数字化转型四大核心方向，出台《公立医院高质量发展促进行动（2021-2025年）》等一系列核心政策，明确将信息化建设作为公立医院高质量发展的核心引擎和基础支撑，提出打造电子病历、智慧服务、智慧管理“三位一体”智慧医院的建设目标，全面推进医疗数字化、智能化、标准化升级改造。</w:t>
      </w:r>
      <w:r/>
    </w:p>
    <w:p>
      <w:pPr>
        <w:ind w:firstLine="480"/>
        <w:spacing w:line="360" w:lineRule="auto"/>
        <w:rPr>
          <w:sz w:val="24"/>
          <w:szCs w:val="24"/>
        </w:rPr>
      </w:pPr>
      <w:r>
        <w:rPr>
          <w:rFonts w:hint="eastAsia"/>
          <w:sz w:val="24"/>
          <w:szCs w:val="24"/>
        </w:rPr>
        <w:t xml:space="preserve">当前医改核心趋势呈现四大特征：一是标准化规范</w:t>
      </w:r>
      <w:r>
        <w:rPr>
          <w:rFonts w:hint="eastAsia"/>
          <w:sz w:val="24"/>
          <w:szCs w:val="24"/>
        </w:rPr>
        <w:t xml:space="preserve">化，统一医疗信息化建设标准、数据互通标准、质控管理标准，破解信息孤岛问题；二是数据价值化，依托大数据、云计算技术，深挖医疗数据资源，赋能医院运营管理、医疗质控、绩效改革、便民服务；三是服务普惠化，推进线上线下医疗服务融合，优化就医流程、提升群众就医获得感；四是治理精细化，以信息化赋能公立医院绩效考核、薪酬改革、分级诊疗、成本管控等重点改革落地，推动公立医院从规模扩张向质量效益转型。未来公立医院改革将持续以数字化为抓手，打通医疗服务、运营管理、行业监管全链条，实现医疗服务、医院管理、行业治理全方位高质量发展。</w:t>
      </w:r>
      <w:r/>
    </w:p>
    <w:p>
      <w:pPr>
        <w:ind w:firstLine="480"/>
        <w:spacing w:line="360" w:lineRule="auto"/>
        <w:rPr>
          <w:sz w:val="24"/>
          <w:szCs w:val="24"/>
        </w:rPr>
      </w:pPr>
      <w:r>
        <w:rPr>
          <w:rFonts w:hint="eastAsia"/>
          <w:sz w:val="24"/>
          <w:szCs w:val="24"/>
        </w:rPr>
        <w:t xml:space="preserve">4.1.2财政部、国家卫健委示范项目实施背景和核心目标</w:t>
      </w:r>
      <w:r/>
    </w:p>
    <w:p>
      <w:pPr>
        <w:ind w:firstLine="480"/>
        <w:spacing w:line="360" w:lineRule="auto"/>
        <w:rPr>
          <w:sz w:val="24"/>
          <w:szCs w:val="24"/>
        </w:rPr>
      </w:pPr>
      <w:r>
        <w:rPr>
          <w:rFonts w:hint="eastAsia"/>
          <w:sz w:val="24"/>
          <w:szCs w:val="24"/>
        </w:rPr>
        <w:t xml:space="preserve">为破解公立医院改革痛点难点，破解区域医疗资源不均衡、医院信息化建设碎片化、改革落地不深入、监管考核不精准等问题，财政部、国家卫健委联合启动公立医院改革与高质量发展示范项目，通过专项示范引领、政策资金扶持、标准化建设引导，择优打造一批改革标杆区域和标杆医院。</w:t>
      </w:r>
      <w:r/>
    </w:p>
    <w:p>
      <w:pPr>
        <w:ind w:firstLine="480"/>
        <w:spacing w:line="360" w:lineRule="auto"/>
        <w:rPr>
          <w:sz w:val="24"/>
          <w:szCs w:val="24"/>
        </w:rPr>
      </w:pPr>
      <w:r>
        <w:rPr>
          <w:rFonts w:hint="eastAsia"/>
          <w:sz w:val="24"/>
          <w:szCs w:val="24"/>
        </w:rPr>
        <w:t xml:space="preserve">项目实施核心背景：传统公立医院信息化建设存在重硬件轻应用、重建设轻运营、重单点建设轻全域协同的问题，系统碎片化、数据不互通、应用不赋能、管理无闭环，无法支撑医改落地、绩效考核、便民服务和精细化管理，亟需通过专业化、全流程的信息化咨询与项目管理服务，统筹全域信息化建设体系。</w:t>
      </w:r>
      <w:r/>
    </w:p>
    <w:p>
      <w:pPr>
        <w:ind w:firstLine="480"/>
        <w:spacing w:line="360" w:lineRule="auto"/>
        <w:rPr>
          <w:sz w:val="24"/>
          <w:szCs w:val="24"/>
        </w:rPr>
      </w:pPr>
      <w:r>
        <w:rPr>
          <w:rFonts w:hint="eastAsia"/>
          <w:sz w:val="24"/>
          <w:szCs w:val="24"/>
        </w:rPr>
        <w:t xml:space="preserve">项目核心建设目标：以数字化改革赋能公立医院综合改革，构建全域统一、互联互通、智能高效、安全可控的医疗信息化体系；落地智慧医院“三位一体”建设要求，提升医疗服务质量与效率；完善公立医院改革数字化支撑体系，助力分级诊疗、薪酬绩效、医保支付、成本管控等重点改革落地；建立标准化项目管理机制，保障示范项目合规建设、按期落地、达标创优，形成可复制、可推广的公立医院信息化改革示范经验。</w:t>
      </w:r>
      <w:r/>
    </w:p>
    <w:p>
      <w:pPr>
        <w:ind w:firstLine="480"/>
        <w:spacing w:line="360" w:lineRule="auto"/>
        <w:rPr>
          <w:sz w:val="24"/>
          <w:szCs w:val="24"/>
        </w:rPr>
      </w:pPr>
      <w:r>
        <w:rPr>
          <w:rFonts w:hint="eastAsia"/>
          <w:sz w:val="24"/>
          <w:szCs w:val="24"/>
        </w:rPr>
        <w:t xml:space="preserve">4.1.3各地示范信息化项目优秀实践做法借鉴</w:t>
      </w:r>
      <w:r/>
    </w:p>
    <w:p>
      <w:pPr>
        <w:ind w:firstLine="480"/>
        <w:spacing w:line="360" w:lineRule="auto"/>
        <w:rPr>
          <w:sz w:val="24"/>
          <w:szCs w:val="24"/>
        </w:rPr>
      </w:pPr>
      <w:r>
        <w:rPr>
          <w:rFonts w:hint="eastAsia"/>
          <w:sz w:val="24"/>
          <w:szCs w:val="24"/>
        </w:rPr>
        <w:t xml:space="preserve">结合全国各省市公立医院改革示范项目信息化建设优秀落地案例，总结提炼可落地、可复用的成熟经验，为本项目建设提供实操支撑，规避建设风险，提升项目建设质量。</w:t>
      </w:r>
      <w:r/>
    </w:p>
    <w:p>
      <w:pPr>
        <w:ind w:firstLine="480"/>
        <w:spacing w:line="360" w:lineRule="auto"/>
        <w:rPr>
          <w:sz w:val="24"/>
          <w:szCs w:val="24"/>
        </w:rPr>
      </w:pPr>
      <w:r>
        <w:rPr>
          <w:rFonts w:hint="eastAsia"/>
          <w:sz w:val="24"/>
          <w:szCs w:val="24"/>
        </w:rPr>
        <w:t xml:space="preserve">（1）全域统筹一体化建设模式：多地采用“健康大脑+区域协同”建设架构，搭建市域统一的卫生健康信息平台，整合各级医疗机构业务系统，实现医疗数据全域汇聚、统一管理、互联互通，打造医疗资源“一张网”，实现检查检验结果互认、号源床位资源共享，有效降低重复就医、重复检查成本，提升医疗资源利用率。</w:t>
      </w:r>
      <w:r/>
    </w:p>
    <w:p>
      <w:pPr>
        <w:ind w:firstLine="480"/>
        <w:spacing w:line="360" w:lineRule="auto"/>
        <w:rPr>
          <w:sz w:val="24"/>
          <w:szCs w:val="24"/>
        </w:rPr>
      </w:pPr>
      <w:r>
        <w:rPr>
          <w:rFonts w:hint="eastAsia"/>
          <w:sz w:val="24"/>
          <w:szCs w:val="24"/>
        </w:rPr>
        <w:t xml:space="preserve">（2）标准化中台化建设实践：湖州、成都等示范区域推行信息化中台化改造，搭建业务中台、数据中台，统一数据标准、接口标准、业务规范，破解新旧系统兼容、跨系统数据打通难题，实现信息化建设从零散建设向体系化建设转型，大幅提升系统稳定性和扩展性。</w:t>
      </w:r>
      <w:r/>
    </w:p>
    <w:p>
      <w:pPr>
        <w:ind w:firstLine="480"/>
        <w:spacing w:line="360" w:lineRule="auto"/>
        <w:rPr>
          <w:sz w:val="24"/>
          <w:szCs w:val="24"/>
        </w:rPr>
      </w:pPr>
      <w:r>
        <w:rPr>
          <w:rFonts w:hint="eastAsia"/>
          <w:sz w:val="24"/>
          <w:szCs w:val="24"/>
        </w:rPr>
        <w:t xml:space="preserve">（3）数据赋能精细化管理：标杆医院依托大数据运营决策系统，聚焦医疗质量、运营成本、绩效考核、耗材管理等核心场景，实现数据自动统计、智能分析、动态预警，助力医院精细化运营，有效提升改革成效和管理效能。</w:t>
      </w:r>
      <w:r/>
    </w:p>
    <w:p>
      <w:pPr>
        <w:ind w:firstLine="480"/>
        <w:spacing w:line="360" w:lineRule="auto"/>
        <w:rPr>
          <w:sz w:val="24"/>
          <w:szCs w:val="24"/>
        </w:rPr>
      </w:pPr>
      <w:r>
        <w:rPr>
          <w:rFonts w:hint="eastAsia"/>
          <w:sz w:val="24"/>
          <w:szCs w:val="24"/>
        </w:rPr>
        <w:t xml:space="preserve">（4） 全流程项目管控机制：优秀示范项目均采用专业化全过程咨询管理模式，从需求梳理、方案设计、招标管控、建设督导、测试验收、绩效评价、运维衔接全流程闭环管理，保障项目合规落地、资金规范使用、建设成果达标。</w:t>
      </w:r>
      <w:r/>
    </w:p>
    <w:p>
      <w:pPr>
        <w:ind w:firstLine="480"/>
        <w:spacing w:line="360" w:lineRule="auto"/>
        <w:rPr>
          <w:sz w:val="24"/>
          <w:szCs w:val="24"/>
        </w:rPr>
      </w:pPr>
      <w:r>
        <w:rPr>
          <w:rFonts w:hint="eastAsia"/>
          <w:sz w:val="24"/>
          <w:szCs w:val="24"/>
        </w:rPr>
        <w:t xml:space="preserve">4.1.4国家示范项目管理相关规范及建设要求</w:t>
      </w:r>
      <w:r/>
    </w:p>
    <w:p>
      <w:pPr>
        <w:ind w:firstLine="480"/>
        <w:spacing w:line="360" w:lineRule="auto"/>
        <w:rPr>
          <w:sz w:val="24"/>
          <w:szCs w:val="24"/>
        </w:rPr>
      </w:pPr>
      <w:r>
        <w:rPr>
          <w:rFonts w:hint="eastAsia"/>
          <w:sz w:val="24"/>
          <w:szCs w:val="24"/>
        </w:rPr>
        <w:t xml:space="preserve">国家针对公立医院改革与高质量发展示范项目，出台明确的项目管理、资金使用、建设实施、验收考评管理要求，核心规范如下：</w:t>
      </w:r>
      <w:r/>
    </w:p>
    <w:p>
      <w:pPr>
        <w:ind w:firstLine="480"/>
        <w:spacing w:line="360" w:lineRule="auto"/>
        <w:rPr>
          <w:sz w:val="24"/>
          <w:szCs w:val="24"/>
        </w:rPr>
      </w:pPr>
      <w:r>
        <w:rPr>
          <w:rFonts w:hint="eastAsia"/>
          <w:sz w:val="24"/>
          <w:szCs w:val="24"/>
        </w:rPr>
        <w:t xml:space="preserve">（1）合规性管理要求：项目建设必须严格遵循国家医改政策、信息化建设标准、财政资金管理办法，严禁超范围、超标准建设，确保资金专款专用、流程合规、资料齐全，全程接受财政、卫健部门监督审计。</w:t>
      </w:r>
      <w:r/>
    </w:p>
    <w:p>
      <w:pPr>
        <w:ind w:firstLine="480"/>
        <w:spacing w:line="360" w:lineRule="auto"/>
        <w:rPr>
          <w:sz w:val="24"/>
          <w:szCs w:val="24"/>
        </w:rPr>
      </w:pPr>
      <w:r>
        <w:rPr>
          <w:rFonts w:hint="eastAsia"/>
          <w:sz w:val="24"/>
          <w:szCs w:val="24"/>
        </w:rPr>
        <w:t xml:space="preserve">（2）标准化建设要求：严格落实智慧医院建设标准、电子病历分级评价标准、医疗信息互联互通标准、网络安全等级保护标准，所有信息化建设内容必须符合国家、行业统一规范，保障系统兼容、数据互通、安全可控。</w:t>
      </w:r>
      <w:r/>
    </w:p>
    <w:p>
      <w:pPr>
        <w:ind w:firstLine="480"/>
        <w:spacing w:line="360" w:lineRule="auto"/>
        <w:rPr>
          <w:sz w:val="24"/>
          <w:szCs w:val="24"/>
        </w:rPr>
      </w:pPr>
      <w:r>
        <w:rPr>
          <w:rFonts w:hint="eastAsia"/>
          <w:sz w:val="24"/>
          <w:szCs w:val="24"/>
        </w:rPr>
        <w:t xml:space="preserve">（3）全过程闭环管理要求：示范项目实行“事前规划、事中管控、事后考评”全流程管理，要求建立完善的项目管理体系，明确建设进度、质量、安全、资金、风险管控机制，定期开展进度督导、绩效监控、问题整改，确保项目按期完工、达标验收。</w:t>
      </w:r>
      <w:r/>
    </w:p>
    <w:p>
      <w:pPr>
        <w:ind w:firstLine="480"/>
        <w:spacing w:line="360" w:lineRule="auto"/>
        <w:rPr>
          <w:sz w:val="24"/>
          <w:szCs w:val="24"/>
        </w:rPr>
      </w:pPr>
      <w:r>
        <w:rPr>
          <w:rFonts w:hint="eastAsia"/>
          <w:sz w:val="24"/>
          <w:szCs w:val="24"/>
        </w:rPr>
        <w:t xml:space="preserve">（4）示范成效要求：项目建设需突出创新性、示范性、可复制性，建设成果需有效支撑公立医院改革指标达标，切实提升医疗服务能力、医院管理水平、群众就医获得感，形成标准化示范成果体系。</w:t>
      </w:r>
      <w:r/>
    </w:p>
    <w:p>
      <w:pPr>
        <w:ind w:firstLine="482"/>
        <w:spacing w:line="360" w:lineRule="auto"/>
        <w:rPr>
          <w:b/>
          <w:bCs/>
          <w:sz w:val="24"/>
          <w:szCs w:val="24"/>
        </w:rPr>
      </w:pPr>
      <w:r>
        <w:rPr>
          <w:rFonts w:hint="eastAsia"/>
          <w:b/>
          <w:bCs/>
          <w:sz w:val="24"/>
          <w:szCs w:val="24"/>
        </w:rPr>
        <w:t xml:space="preserve">4.2咨询设计服务方案，至少包含①立项阶段基础编制服务；②设计阶段深化服务；③延伸增值服务。</w:t>
      </w:r>
      <w:r/>
    </w:p>
    <w:p>
      <w:pPr>
        <w:ind w:firstLine="480"/>
        <w:spacing w:line="360" w:lineRule="auto"/>
        <w:rPr>
          <w:sz w:val="24"/>
          <w:szCs w:val="24"/>
        </w:rPr>
      </w:pPr>
      <w:r>
        <w:rPr>
          <w:rFonts w:hint="eastAsia"/>
          <w:sz w:val="24"/>
          <w:szCs w:val="24"/>
        </w:rPr>
        <w:t xml:space="preserve">需</w:t>
      </w:r>
      <w:r>
        <w:rPr>
          <w:sz w:val="24"/>
          <w:szCs w:val="24"/>
        </w:rPr>
        <w:t xml:space="preserve">提供立项、设计、评审全链条咨询设计服务</w:t>
      </w:r>
      <w:r>
        <w:rPr>
          <w:rFonts w:hint="eastAsia"/>
          <w:sz w:val="24"/>
          <w:szCs w:val="24"/>
        </w:rPr>
        <w:t xml:space="preserve">，要</w:t>
      </w:r>
      <w:r>
        <w:rPr>
          <w:sz w:val="24"/>
          <w:szCs w:val="24"/>
        </w:rPr>
        <w:t xml:space="preserve">严格对标国家公立医院改革示范项目管理、财政资金管控相关要求，围绕财政立项审批、概算评审、资金绩效管控核心目标开展工作，所有咨询设计成果均满足财政部门、卫健主管部门立项审批、资金下达、绩效评价、审计核查要求，确保文档合规、投资测算严谨、效益可量化、风险可管控，支撑项目顺利通过财政及行业主管部门评审。</w:t>
      </w:r>
      <w:r/>
    </w:p>
    <w:p>
      <w:pPr>
        <w:ind w:firstLine="480"/>
        <w:spacing w:line="360" w:lineRule="auto"/>
        <w:rPr>
          <w:sz w:val="24"/>
          <w:szCs w:val="24"/>
        </w:rPr>
      </w:pPr>
      <w:r>
        <w:rPr>
          <w:b/>
          <w:bCs/>
          <w:sz w:val="24"/>
          <w:szCs w:val="24"/>
        </w:rPr>
        <w:t xml:space="preserve">①立项阶段基础编制服务</w:t>
      </w:r>
      <w:r>
        <w:rPr>
          <w:sz w:val="24"/>
          <w:szCs w:val="24"/>
        </w:rPr>
        <w:t xml:space="preserve">：立项阶段基础编制服务聚焦财政立项审批关口，围绕项目建议书、可行性研究报告两大核心产出，开展实地调研、现状分析、需求梳理、建设内容拆解、投资测算、医改效益评估、风险分析全套工作，输出符合财政受理标准的正式文档，保障项目顺利完成立项初审、财政资金申报。</w:t>
      </w:r>
      <w:r/>
    </w:p>
    <w:p>
      <w:pPr>
        <w:ind w:firstLine="480"/>
        <w:spacing w:line="360" w:lineRule="auto"/>
        <w:rPr>
          <w:sz w:val="24"/>
          <w:szCs w:val="24"/>
        </w:rPr>
      </w:pPr>
      <w:r>
        <w:rPr>
          <w:sz w:val="24"/>
          <w:szCs w:val="24"/>
        </w:rPr>
        <w:t xml:space="preserve">1）项目建议书编制服务</w:t>
      </w:r>
      <w:r/>
    </w:p>
    <w:p>
      <w:pPr>
        <w:ind w:firstLine="480"/>
        <w:spacing w:line="360" w:lineRule="auto"/>
        <w:rPr>
          <w:sz w:val="24"/>
          <w:szCs w:val="24"/>
        </w:rPr>
      </w:pPr>
      <w:r>
        <w:rPr>
          <w:sz w:val="24"/>
          <w:szCs w:val="24"/>
        </w:rPr>
        <w:t xml:space="preserve">现场调研与现状摸排：对各子项目对应医疗机构开展实地调研，梳理医院现有信息化系统现状、业务痛点、医改考核指标缺口，对接医院业务科室、信息科、财务科，收集业务需求、预算意向、改革任务指标，形成调研纪要，作为建议书编制基础素材，调研资料完整归档，可供财政核查。</w:t>
      </w:r>
      <w:r/>
    </w:p>
    <w:p>
      <w:pPr>
        <w:ind w:firstLine="480"/>
        <w:spacing w:line="360" w:lineRule="auto"/>
        <w:rPr>
          <w:sz w:val="24"/>
          <w:szCs w:val="24"/>
        </w:rPr>
      </w:pPr>
      <w:r>
        <w:rPr>
          <w:sz w:val="24"/>
          <w:szCs w:val="24"/>
        </w:rPr>
        <w:t xml:space="preserve">建设必要性分析：紧扣国家公立医院改革与高质量发展示范项目考核指标，从医改任务落地、医疗服务提质增效、医院运营精细化管理、区域医疗协同、财政资金示范成效角度阐述项目建设必要性，杜绝泛泛而谈，内容直接对应该项目示范任务清单，便于财政主管部门快速研判项目建设价值。</w:t>
      </w:r>
      <w:r/>
    </w:p>
    <w:p>
      <w:pPr>
        <w:ind w:firstLine="480"/>
        <w:spacing w:line="360" w:lineRule="auto"/>
        <w:rPr>
          <w:sz w:val="24"/>
          <w:szCs w:val="24"/>
        </w:rPr>
      </w:pPr>
      <w:r>
        <w:rPr>
          <w:sz w:val="24"/>
          <w:szCs w:val="24"/>
        </w:rPr>
        <w:t xml:space="preserve">初步建设目标与建设内容梳理：结合医院业务实际与示范项目要求，梳理项目初步建设目标、主要建设模块、预期业务能力，明确项目边界，区分存量升级、全新建设内容，避免建设范围模糊造成后期财政概算超支风险。</w:t>
      </w:r>
      <w:r/>
    </w:p>
    <w:p>
      <w:pPr>
        <w:ind w:firstLine="480"/>
        <w:spacing w:line="360" w:lineRule="auto"/>
        <w:rPr>
          <w:sz w:val="24"/>
          <w:szCs w:val="24"/>
        </w:rPr>
      </w:pPr>
      <w:r>
        <w:rPr>
          <w:sz w:val="24"/>
          <w:szCs w:val="24"/>
        </w:rPr>
        <w:t xml:space="preserve">投资估算初步测算：按照盐城市信息化项目计价规则，开展初步投资估算，拆分软硬件、定制开发、集成、安全、运维、第三方服务等费用大类，测算过程留存测算底稿，供财政复核；明确估算取值依据，不高估冒算，同时杜绝投资漏项。</w:t>
      </w:r>
      <w:r/>
    </w:p>
    <w:p>
      <w:pPr>
        <w:ind w:firstLine="480"/>
        <w:spacing w:line="360" w:lineRule="auto"/>
        <w:rPr>
          <w:sz w:val="24"/>
          <w:szCs w:val="24"/>
        </w:rPr>
      </w:pPr>
      <w:r>
        <w:rPr>
          <w:sz w:val="24"/>
          <w:szCs w:val="24"/>
        </w:rPr>
        <w:t xml:space="preserve">初步效益与风险预判：从社会效益、医改示范效益、管理效益开展初步预判；识别政策、技术、资金、实施层面初步风险，提出简单应对思路。</w:t>
      </w:r>
      <w:r/>
    </w:p>
    <w:p>
      <w:pPr>
        <w:ind w:firstLine="480"/>
        <w:spacing w:line="360" w:lineRule="auto"/>
        <w:rPr>
          <w:sz w:val="24"/>
          <w:szCs w:val="24"/>
        </w:rPr>
      </w:pPr>
      <w:r>
        <w:rPr>
          <w:sz w:val="24"/>
          <w:szCs w:val="24"/>
        </w:rPr>
        <w:t xml:space="preserve">文档输出及初审修改：编制完整规范的项目建议书，完成内部三级审核；针对财政、卫健主管部门初审反馈意见快速修改完善，输出可用于立项申报的正式版本。</w:t>
      </w:r>
      <w:r/>
    </w:p>
    <w:p>
      <w:pPr>
        <w:ind w:firstLine="480"/>
        <w:spacing w:line="360" w:lineRule="auto"/>
        <w:rPr>
          <w:sz w:val="24"/>
          <w:szCs w:val="24"/>
        </w:rPr>
      </w:pPr>
      <w:r>
        <w:rPr>
          <w:sz w:val="24"/>
          <w:szCs w:val="24"/>
        </w:rPr>
        <w:t xml:space="preserve">2）可行性研究报告编制服务（财政资金申报核心文件）</w:t>
      </w:r>
      <w:r/>
    </w:p>
    <w:p>
      <w:pPr>
        <w:ind w:firstLine="480"/>
        <w:spacing w:line="360" w:lineRule="auto"/>
        <w:rPr>
          <w:sz w:val="24"/>
          <w:szCs w:val="24"/>
        </w:rPr>
      </w:pPr>
      <w:r>
        <w:rPr>
          <w:sz w:val="24"/>
          <w:szCs w:val="24"/>
        </w:rPr>
        <w:t xml:space="preserve">可研报告是财政资金批复、预算下达的核心依据，编制全过程强化财政视角管控，重点强化投资测算严谨性、绩效目标匹配度、风险可控性。</w:t>
      </w:r>
      <w:r/>
    </w:p>
    <w:p>
      <w:pPr>
        <w:ind w:firstLine="480"/>
        <w:spacing w:line="360" w:lineRule="auto"/>
        <w:rPr>
          <w:sz w:val="24"/>
          <w:szCs w:val="24"/>
        </w:rPr>
      </w:pPr>
      <w:r>
        <w:rPr>
          <w:sz w:val="24"/>
          <w:szCs w:val="24"/>
        </w:rPr>
        <w:t xml:space="preserve">深度调研与需求确认：在建议书基础上，深度访谈医院临床、医务、质控、财务、信息、医保对接岗位，对照国家示范项目建设任务清单逐条拆解业务需求，形成签字确认的需求调研记录，作为可研编制依据，避免后期需求变更造成财政投资增加。</w:t>
      </w:r>
      <w:r/>
    </w:p>
    <w:p>
      <w:pPr>
        <w:ind w:firstLine="480"/>
        <w:spacing w:line="360" w:lineRule="auto"/>
        <w:rPr>
          <w:sz w:val="24"/>
          <w:szCs w:val="24"/>
        </w:rPr>
      </w:pPr>
      <w:r>
        <w:rPr>
          <w:sz w:val="24"/>
          <w:szCs w:val="24"/>
        </w:rPr>
        <w:t xml:space="preserve">多维度可行性分析 </w:t>
      </w:r>
      <w:r/>
    </w:p>
    <w:p>
      <w:pPr>
        <w:ind w:firstLine="480"/>
        <w:spacing w:line="360" w:lineRule="auto"/>
        <w:rPr>
          <w:sz w:val="24"/>
          <w:szCs w:val="24"/>
        </w:rPr>
      </w:pPr>
      <w:r>
        <w:rPr>
          <w:sz w:val="24"/>
          <w:szCs w:val="24"/>
        </w:rPr>
        <w:t xml:space="preserve">技术可行性：结合医疗行业信息化主流技术路线，评估技术架构、系统对接、数据互通、等级保护、网络安全落地可行性，充分考虑医院现有系统兼容、数据迁移难度；</w:t>
      </w:r>
      <w:r/>
    </w:p>
    <w:p>
      <w:pPr>
        <w:ind w:firstLine="480"/>
        <w:spacing w:line="360" w:lineRule="auto"/>
        <w:rPr>
          <w:sz w:val="24"/>
          <w:szCs w:val="24"/>
        </w:rPr>
      </w:pPr>
      <w:r>
        <w:rPr>
          <w:sz w:val="24"/>
          <w:szCs w:val="24"/>
        </w:rPr>
        <w:t xml:space="preserve">经济可行性：重点分析总投资构成、资金来源（区分中央示范专项资金、地方配套资金）、资金使用计划，测算资金年度投放节奏，匹配财政预算管理要求；</w:t>
      </w:r>
      <w:r/>
    </w:p>
    <w:p>
      <w:pPr>
        <w:ind w:firstLine="480"/>
        <w:spacing w:line="360" w:lineRule="auto"/>
        <w:rPr>
          <w:sz w:val="24"/>
          <w:szCs w:val="24"/>
        </w:rPr>
      </w:pPr>
      <w:r>
        <w:rPr>
          <w:sz w:val="24"/>
          <w:szCs w:val="24"/>
        </w:rPr>
        <w:t xml:space="preserve">业务及社会可行性：紧扣公立医院改革考核指标，分析项目落地对分级诊疗、绩效考核、便民就医、医疗质量提升带来的实际业务价值。</w:t>
      </w:r>
      <w:r/>
    </w:p>
    <w:p>
      <w:pPr>
        <w:ind w:firstLine="480"/>
        <w:spacing w:line="360" w:lineRule="auto"/>
        <w:rPr>
          <w:sz w:val="24"/>
          <w:szCs w:val="24"/>
        </w:rPr>
      </w:pPr>
      <w:r>
        <w:rPr>
          <w:sz w:val="24"/>
          <w:szCs w:val="24"/>
        </w:rPr>
        <w:t xml:space="preserve">精细化投资概算测算：细化拆分软硬件采购、定制软件开发、系统集成、网络安全、第三方服务、培训运维等各项明细费用，形成完整测算底稿；对标同类政务医疗信息化市场公允价格，对高风险费用项做专项说明；区分一次性建设费用与三年运维费用，便于财政做预算管控。</w:t>
      </w:r>
      <w:r/>
    </w:p>
    <w:p>
      <w:pPr>
        <w:ind w:firstLine="480"/>
        <w:spacing w:line="360" w:lineRule="auto"/>
        <w:rPr>
          <w:sz w:val="24"/>
          <w:szCs w:val="24"/>
        </w:rPr>
      </w:pPr>
      <w:r>
        <w:rPr>
          <w:sz w:val="24"/>
          <w:szCs w:val="24"/>
        </w:rPr>
        <w:t xml:space="preserve">实施计划与组织保障设计：编制项目实施周期、阶段划分、采购实施计划、项目组织架构，明确招标、开发、测试、上线、验收时间节点，匹配财政绩效时间节点。</w:t>
      </w:r>
      <w:r/>
    </w:p>
    <w:p>
      <w:pPr>
        <w:ind w:firstLine="480"/>
        <w:spacing w:line="360" w:lineRule="auto"/>
        <w:rPr>
          <w:sz w:val="24"/>
          <w:szCs w:val="24"/>
        </w:rPr>
      </w:pPr>
      <w:r>
        <w:rPr>
          <w:sz w:val="24"/>
          <w:szCs w:val="24"/>
        </w:rPr>
        <w:t xml:space="preserve">效益评估（强化财政绩效导向）：区分社会效益、医改示范效益、管理效益，设置可量化的绩效指标，指标可直接对接财政绩效申报表，包含数量指标、质量指标、时效指标、社会效益指标、满意度指标。</w:t>
      </w:r>
      <w:r/>
    </w:p>
    <w:p>
      <w:pPr>
        <w:ind w:firstLine="480"/>
        <w:spacing w:line="360" w:lineRule="auto"/>
        <w:rPr>
          <w:sz w:val="24"/>
          <w:szCs w:val="24"/>
        </w:rPr>
      </w:pPr>
      <w:r>
        <w:rPr>
          <w:sz w:val="24"/>
          <w:szCs w:val="24"/>
        </w:rPr>
        <w:t xml:space="preserve">风险识别与应对方案：识别资金风险、需求变更风险、系统对接风险、数据安全风险、实施进度风险，逐项制定应对及管控措施，供财政评审参考。</w:t>
      </w:r>
      <w:r/>
    </w:p>
    <w:p>
      <w:pPr>
        <w:ind w:firstLine="480"/>
        <w:spacing w:line="360" w:lineRule="auto"/>
        <w:rPr>
          <w:sz w:val="24"/>
          <w:szCs w:val="24"/>
        </w:rPr>
      </w:pPr>
      <w:r>
        <w:rPr>
          <w:sz w:val="24"/>
          <w:szCs w:val="24"/>
        </w:rPr>
        <w:t xml:space="preserve">文档内部审核及修改完善：完成可研报告编制，执行内部 “编制人自查→小组复核→项目负责人终审” 三级质检；对接采购人、财政、卫健主管部门意见，完成多轮修改，输出可直接提交财政评审的正式可研报告及全套支撑底稿。</w:t>
      </w:r>
      <w:r/>
    </w:p>
    <w:p>
      <w:pPr>
        <w:ind w:firstLine="480"/>
        <w:spacing w:line="360" w:lineRule="auto"/>
        <w:rPr>
          <w:sz w:val="24"/>
          <w:szCs w:val="24"/>
        </w:rPr>
      </w:pPr>
      <w:r>
        <w:rPr>
          <w:rFonts w:hint="eastAsia"/>
          <w:sz w:val="24"/>
          <w:szCs w:val="24"/>
        </w:rPr>
        <w:t xml:space="preserve">资金</w:t>
      </w:r>
      <w:r>
        <w:rPr>
          <w:sz w:val="24"/>
          <w:szCs w:val="24"/>
        </w:rPr>
        <w:t xml:space="preserve">管控细化要点：建议书、可研全部留存调研记录、投资测算底稿；投资估算区分中央专项资金与地方配套；绩效指标可直接用于财政绩效填报；明确建设与运维费用拆分，规避预算混淆。</w:t>
      </w:r>
      <w:r/>
    </w:p>
    <w:p>
      <w:pPr>
        <w:ind w:firstLine="480"/>
        <w:spacing w:line="360" w:lineRule="auto"/>
        <w:rPr>
          <w:sz w:val="24"/>
          <w:szCs w:val="24"/>
        </w:rPr>
      </w:pPr>
      <w:r>
        <w:rPr>
          <w:b/>
          <w:bCs/>
          <w:sz w:val="24"/>
          <w:szCs w:val="24"/>
        </w:rPr>
        <w:t xml:space="preserve">②设计阶段深化服务</w:t>
      </w:r>
      <w:r>
        <w:rPr>
          <w:sz w:val="24"/>
          <w:szCs w:val="24"/>
        </w:rPr>
        <w:t xml:space="preserve">：设计阶段深化服务以经财政批复的可研报告为基础，开展初步设计文件编制、投资概算编制与审核、造价合规复核，输出成果作为项目招标、财政概算审查的基础资料，严控概算虚高、漏项、重复计费，从源头防范后期财政结算超概风险。</w:t>
      </w:r>
      <w:r/>
    </w:p>
    <w:p>
      <w:pPr>
        <w:ind w:firstLine="480"/>
        <w:spacing w:line="360" w:lineRule="auto"/>
        <w:rPr>
          <w:sz w:val="24"/>
          <w:szCs w:val="24"/>
        </w:rPr>
      </w:pPr>
      <w:r>
        <w:rPr>
          <w:sz w:val="24"/>
          <w:szCs w:val="24"/>
        </w:rPr>
        <w:t xml:space="preserve">1）初步设计文件细化编制</w:t>
      </w:r>
      <w:r/>
    </w:p>
    <w:p>
      <w:pPr>
        <w:ind w:firstLine="480"/>
        <w:spacing w:line="360" w:lineRule="auto"/>
        <w:rPr>
          <w:sz w:val="24"/>
          <w:szCs w:val="24"/>
        </w:rPr>
      </w:pPr>
      <w:r>
        <w:rPr>
          <w:sz w:val="24"/>
          <w:szCs w:val="24"/>
        </w:rPr>
        <w:t xml:space="preserve">需求对齐校验：以批复的可行性研究报告为基准，核对建设范围、业务需求，严禁擅自扩大建设范围、新增可研外建设内容，若确需调整，出具变更说明，提示采购人履行财政变更报批程序。</w:t>
      </w:r>
      <w:r/>
    </w:p>
    <w:p>
      <w:pPr>
        <w:ind w:firstLine="480"/>
        <w:spacing w:line="360" w:lineRule="auto"/>
        <w:rPr>
          <w:sz w:val="24"/>
          <w:szCs w:val="24"/>
        </w:rPr>
      </w:pPr>
      <w:r>
        <w:rPr>
          <w:sz w:val="24"/>
          <w:szCs w:val="24"/>
        </w:rPr>
        <w:t xml:space="preserve">系统架构与模块设计：完成总体架构、业务架构、数据架构、网络架构、安全架构设计；细化各功能模块、接口规范、数据库设计，明确和医院现有 HIS/LIS/PACS 等系统对接方案；落实网络安全、数据安全、等保合规要求，满足医疗数据隐私保护相关法规。</w:t>
      </w:r>
      <w:r/>
    </w:p>
    <w:p>
      <w:pPr>
        <w:ind w:firstLine="480"/>
        <w:spacing w:line="360" w:lineRule="auto"/>
        <w:rPr>
          <w:sz w:val="24"/>
          <w:szCs w:val="24"/>
        </w:rPr>
      </w:pPr>
      <w:r>
        <w:rPr>
          <w:sz w:val="24"/>
          <w:szCs w:val="24"/>
        </w:rPr>
        <w:t xml:space="preserve">软硬件配置明细编制：细化服务器、存储、网络、安全设备等硬件配置参数；区分成品软件采购、定制化软件开发内容，明确开发工作量、交付物；明确集成实施、培训、运维服务内容与边界。</w:t>
      </w:r>
      <w:r/>
    </w:p>
    <w:p>
      <w:pPr>
        <w:ind w:firstLine="480"/>
        <w:spacing w:line="360" w:lineRule="auto"/>
        <w:rPr>
          <w:sz w:val="24"/>
          <w:szCs w:val="24"/>
        </w:rPr>
      </w:pPr>
      <w:r>
        <w:rPr>
          <w:sz w:val="24"/>
          <w:szCs w:val="24"/>
        </w:rPr>
        <w:t xml:space="preserve">项目实施方案编制：细化项目实施组织、人员配置、实施流程、测试方案、上线切换方案、验收方案，划分里程碑节点。</w:t>
      </w:r>
      <w:r/>
    </w:p>
    <w:p>
      <w:pPr>
        <w:ind w:firstLine="480"/>
        <w:spacing w:line="360" w:lineRule="auto"/>
        <w:rPr>
          <w:sz w:val="24"/>
          <w:szCs w:val="24"/>
        </w:rPr>
      </w:pPr>
      <w:r>
        <w:rPr>
          <w:sz w:val="24"/>
          <w:szCs w:val="24"/>
        </w:rPr>
        <w:t xml:space="preserve">文档内部审核与迭代修改：完成全套初步设计文档，内部审核技术合规性、建设内容是否超可研批复；根据采购人、主管部门反馈迭代优化，形成正式初步设计文件，供概算审查及后续招标使用。</w:t>
      </w:r>
      <w:r/>
    </w:p>
    <w:p>
      <w:pPr>
        <w:ind w:firstLine="480"/>
        <w:spacing w:line="360" w:lineRule="auto"/>
        <w:rPr>
          <w:sz w:val="24"/>
          <w:szCs w:val="24"/>
        </w:rPr>
      </w:pPr>
      <w:r>
        <w:rPr>
          <w:sz w:val="24"/>
          <w:szCs w:val="24"/>
        </w:rPr>
        <w:t xml:space="preserve">2）投资概算编制与审核</w:t>
      </w:r>
      <w:r/>
    </w:p>
    <w:p>
      <w:pPr>
        <w:ind w:firstLine="480"/>
        <w:spacing w:line="360" w:lineRule="auto"/>
        <w:rPr>
          <w:sz w:val="24"/>
          <w:szCs w:val="24"/>
        </w:rPr>
      </w:pPr>
      <w:r>
        <w:rPr>
          <w:sz w:val="24"/>
          <w:szCs w:val="24"/>
        </w:rPr>
        <w:t xml:space="preserve">概算编制：基于初步设计全部建设内容开展概算编制，严格遵循《盐城市信息化项目审批 “一件事” 试点工作建设指南（2024）》取费规则，完整覆盖硬件采购、软件购置、定制开发、集成部署、安全建设、第三方咨询测评监理、培训运维等全部费用；编制完整概算表，分项目、分费用类别统计，做到有据可查。</w:t>
      </w:r>
      <w:r/>
    </w:p>
    <w:p>
      <w:pPr>
        <w:ind w:firstLine="480"/>
        <w:spacing w:line="360" w:lineRule="auto"/>
        <w:rPr>
          <w:sz w:val="24"/>
          <w:szCs w:val="24"/>
        </w:rPr>
      </w:pPr>
      <w:r>
        <w:rPr>
          <w:sz w:val="24"/>
          <w:szCs w:val="24"/>
        </w:rPr>
        <w:t xml:space="preserve">概算内部自审：开展概算自查，核查取费标准、计费基数、分档累进计算是否正确；排查重复计费、漏项、错算；区分一次性建设投资与周期运维费用；针对概算中占比高的子项，开展市场价格比对，避免价格虚高。</w:t>
      </w:r>
      <w:r/>
    </w:p>
    <w:p>
      <w:pPr>
        <w:ind w:firstLine="480"/>
        <w:spacing w:line="360" w:lineRule="auto"/>
        <w:rPr>
          <w:sz w:val="24"/>
          <w:szCs w:val="24"/>
        </w:rPr>
      </w:pPr>
      <w:r>
        <w:rPr>
          <w:sz w:val="24"/>
          <w:szCs w:val="24"/>
        </w:rPr>
        <w:t xml:space="preserve">概算对比分析：将概算结果和可研投资估算进行对比，若概算超出可研估算，形成概算超支专项说明，列明超支原因、明细，提示采购人按财政管理要求履行报批流程。</w:t>
      </w:r>
      <w:r/>
    </w:p>
    <w:p>
      <w:pPr>
        <w:ind w:firstLine="480"/>
        <w:spacing w:line="360" w:lineRule="auto"/>
        <w:rPr>
          <w:sz w:val="24"/>
          <w:szCs w:val="24"/>
        </w:rPr>
      </w:pPr>
      <w:r>
        <w:rPr>
          <w:sz w:val="24"/>
          <w:szCs w:val="24"/>
        </w:rPr>
        <w:t xml:space="preserve">3）造价合规复核（财政管控重点）</w:t>
      </w:r>
      <w:r/>
    </w:p>
    <w:p>
      <w:pPr>
        <w:ind w:firstLine="480"/>
        <w:spacing w:line="360" w:lineRule="auto"/>
        <w:rPr>
          <w:sz w:val="24"/>
          <w:szCs w:val="24"/>
        </w:rPr>
      </w:pPr>
      <w:r>
        <w:rPr>
          <w:sz w:val="24"/>
          <w:szCs w:val="24"/>
        </w:rPr>
        <w:t xml:space="preserve">计价依据复核：复核概算采用的定额、取费文件、地方信息化计价政策是否合规有效；</w:t>
      </w:r>
      <w:r/>
    </w:p>
    <w:p>
      <w:pPr>
        <w:ind w:firstLine="480"/>
        <w:spacing w:line="360" w:lineRule="auto"/>
        <w:rPr>
          <w:sz w:val="24"/>
          <w:szCs w:val="24"/>
        </w:rPr>
      </w:pPr>
      <w:r>
        <w:rPr>
          <w:sz w:val="24"/>
          <w:szCs w:val="24"/>
        </w:rPr>
        <w:t xml:space="preserve">费用边界复核：复核是否存在将不属于本项目的建设内容纳入概算；复核第三方服务（监理、测评、审计、评审会务）计费是否符合盐城市相关收费管理文件；</w:t>
      </w:r>
      <w:r/>
    </w:p>
    <w:p>
      <w:pPr>
        <w:ind w:firstLine="480"/>
        <w:spacing w:line="360" w:lineRule="auto"/>
        <w:rPr>
          <w:sz w:val="24"/>
          <w:szCs w:val="24"/>
        </w:rPr>
      </w:pPr>
      <w:r>
        <w:rPr>
          <w:sz w:val="24"/>
          <w:szCs w:val="24"/>
        </w:rPr>
        <w:t xml:space="preserve">专项费用复核：重点复核预备费、前期咨询费、运维费计取比例是否合规；</w:t>
      </w:r>
      <w:r/>
    </w:p>
    <w:p>
      <w:pPr>
        <w:ind w:firstLine="480"/>
        <w:spacing w:line="360" w:lineRule="auto"/>
        <w:rPr>
          <w:sz w:val="24"/>
          <w:szCs w:val="24"/>
        </w:rPr>
      </w:pPr>
      <w:r>
        <w:rPr>
          <w:sz w:val="24"/>
          <w:szCs w:val="24"/>
        </w:rPr>
        <w:t xml:space="preserve">输出复核底稿：输出完整概算编制底稿、复核工作底稿，所有底稿随初步设计一并归档，便于财政开展概算审查，为后续设计概算（前期论证造价）审查提供基础材料。</w:t>
      </w:r>
      <w:r/>
    </w:p>
    <w:p>
      <w:pPr>
        <w:ind w:firstLine="480"/>
        <w:spacing w:line="360" w:lineRule="auto"/>
        <w:rPr>
          <w:sz w:val="24"/>
          <w:szCs w:val="24"/>
        </w:rPr>
      </w:pPr>
      <w:r>
        <w:rPr>
          <w:rFonts w:hint="eastAsia"/>
          <w:sz w:val="24"/>
          <w:szCs w:val="24"/>
        </w:rPr>
        <w:t xml:space="preserve">资金</w:t>
      </w:r>
      <w:r>
        <w:rPr>
          <w:sz w:val="24"/>
          <w:szCs w:val="24"/>
        </w:rPr>
        <w:t xml:space="preserve">管控细化要点：初步设计不得擅自扩大可研批复建设规模；概算必须和可研做对比分析，超估算必须出具专项说明；完整留存概算编制、复核全套底稿，供财政核查；严格区分建设费与运维费。</w:t>
      </w:r>
      <w:r/>
    </w:p>
    <w:p>
      <w:pPr>
        <w:ind w:firstLine="480"/>
        <w:spacing w:line="360" w:lineRule="auto"/>
        <w:rPr>
          <w:sz w:val="24"/>
          <w:szCs w:val="24"/>
        </w:rPr>
      </w:pPr>
      <w:r>
        <w:rPr>
          <w:b/>
          <w:bCs/>
          <w:sz w:val="24"/>
          <w:szCs w:val="24"/>
        </w:rPr>
        <w:t xml:space="preserve">③项目延伸增值服务</w:t>
      </w:r>
      <w:r>
        <w:rPr>
          <w:sz w:val="24"/>
          <w:szCs w:val="24"/>
        </w:rPr>
        <w:t xml:space="preserve">：围绕本项目 58 个子项目全生命周期，提供评审答辩支撑、文档迭代修改、专项方案编制、多类型评估论证、细分领域定制化编制等增值咨询服务，服务成果均满足财政、卫健主管部门、评审专家审查要求，做好财政审批配套支撑。</w:t>
      </w:r>
      <w:r/>
    </w:p>
    <w:p>
      <w:pPr>
        <w:ind w:firstLine="480"/>
        <w:spacing w:line="360" w:lineRule="auto"/>
        <w:rPr>
          <w:sz w:val="24"/>
          <w:szCs w:val="24"/>
        </w:rPr>
      </w:pPr>
      <w:r>
        <w:rPr>
          <w:sz w:val="24"/>
          <w:szCs w:val="24"/>
        </w:rPr>
        <w:t xml:space="preserve">1）项目评审答辩及配套服务</w:t>
      </w:r>
      <w:r/>
    </w:p>
    <w:p>
      <w:pPr>
        <w:ind w:firstLine="480"/>
        <w:spacing w:line="360" w:lineRule="auto"/>
        <w:rPr>
          <w:sz w:val="24"/>
          <w:szCs w:val="24"/>
        </w:rPr>
      </w:pPr>
      <w:r>
        <w:rPr>
          <w:sz w:val="24"/>
          <w:szCs w:val="24"/>
        </w:rPr>
        <w:t xml:space="preserve">评审材料筹备：针对建议书、可研、初步设计财政 / 主管部门评审，整理全套汇报 PPT、汇报材料、测算底稿、佐证附件；按照评审要求整理专家评审资料包。</w:t>
      </w:r>
      <w:r/>
    </w:p>
    <w:p>
      <w:pPr>
        <w:ind w:firstLine="480"/>
        <w:spacing w:line="360" w:lineRule="auto"/>
        <w:rPr>
          <w:sz w:val="24"/>
          <w:szCs w:val="24"/>
        </w:rPr>
      </w:pPr>
      <w:r>
        <w:rPr>
          <w:sz w:val="24"/>
          <w:szCs w:val="24"/>
        </w:rPr>
        <w:t xml:space="preserve">答辩支持服务：安排专业咨询人员全程参与专家评审会，开展现场汇报，答复专家、财政评审提出的疑问；做好专家意见记录。</w:t>
      </w:r>
      <w:r/>
    </w:p>
    <w:p>
      <w:pPr>
        <w:ind w:firstLine="480"/>
        <w:spacing w:line="360" w:lineRule="auto"/>
        <w:rPr>
          <w:sz w:val="24"/>
          <w:szCs w:val="24"/>
        </w:rPr>
      </w:pPr>
      <w:r>
        <w:rPr>
          <w:sz w:val="24"/>
          <w:szCs w:val="24"/>
        </w:rPr>
        <w:t xml:space="preserve">评审意见闭环跟踪：整理专家书面意见清单，形成整改任务清单，明确整改内容；跟踪文档修改，复核整改完成情况，形成整改复核记录，实现专家意见闭环销号。</w:t>
      </w:r>
      <w:r/>
    </w:p>
    <w:p>
      <w:pPr>
        <w:ind w:firstLine="480"/>
        <w:spacing w:line="360" w:lineRule="auto"/>
        <w:rPr>
          <w:sz w:val="24"/>
          <w:szCs w:val="24"/>
        </w:rPr>
      </w:pPr>
      <w:r>
        <w:rPr>
          <w:sz w:val="24"/>
          <w:szCs w:val="24"/>
        </w:rPr>
        <w:t xml:space="preserve">2）文件修改完善服务</w:t>
      </w:r>
      <w:r/>
    </w:p>
    <w:p>
      <w:pPr>
        <w:ind w:firstLine="480"/>
        <w:spacing w:line="360" w:lineRule="auto"/>
        <w:rPr>
          <w:sz w:val="24"/>
          <w:szCs w:val="24"/>
        </w:rPr>
      </w:pPr>
      <w:r>
        <w:rPr>
          <w:sz w:val="24"/>
          <w:szCs w:val="24"/>
        </w:rPr>
        <w:t xml:space="preserve">针对财政部门、卫健主管部门、评审专家多轮反馈意见，对项目建议书、可研报告、初步设计、概算文件进行迭代修改；针对财政预审、概算审查反馈问题，快速完成文档调整、测算修正，输出修改前后对比说明，支撑财政审批推进。</w:t>
      </w:r>
      <w:r/>
    </w:p>
    <w:p>
      <w:pPr>
        <w:ind w:firstLine="480"/>
        <w:spacing w:line="360" w:lineRule="auto"/>
        <w:rPr>
          <w:sz w:val="24"/>
          <w:szCs w:val="24"/>
        </w:rPr>
      </w:pPr>
      <w:r>
        <w:rPr>
          <w:sz w:val="24"/>
          <w:szCs w:val="24"/>
        </w:rPr>
        <w:t xml:space="preserve">3）专项方案编制服务</w:t>
      </w:r>
      <w:r/>
    </w:p>
    <w:p>
      <w:pPr>
        <w:ind w:firstLine="480"/>
        <w:spacing w:line="360" w:lineRule="auto"/>
        <w:rPr>
          <w:sz w:val="24"/>
          <w:szCs w:val="24"/>
        </w:rPr>
      </w:pPr>
      <w:r>
        <w:rPr>
          <w:sz w:val="24"/>
          <w:szCs w:val="24"/>
        </w:rPr>
        <w:t xml:space="preserve">根据示范项目管理及财政监管需要，按需编制各类专项方案：</w:t>
      </w:r>
      <w:r/>
    </w:p>
    <w:p>
      <w:pPr>
        <w:ind w:firstLine="480"/>
        <w:spacing w:line="360" w:lineRule="auto"/>
        <w:rPr>
          <w:sz w:val="24"/>
          <w:szCs w:val="24"/>
        </w:rPr>
      </w:pPr>
      <w:r>
        <w:rPr>
          <w:sz w:val="24"/>
          <w:szCs w:val="24"/>
        </w:rPr>
        <w:t xml:space="preserve">信息化项目绩效目标申报表、绩效自评方案，对接财政绩效管控；</w:t>
      </w:r>
      <w:r/>
    </w:p>
    <w:p>
      <w:pPr>
        <w:ind w:firstLine="480"/>
        <w:spacing w:line="360" w:lineRule="auto"/>
        <w:rPr>
          <w:sz w:val="24"/>
          <w:szCs w:val="24"/>
        </w:rPr>
      </w:pPr>
      <w:r>
        <w:rPr>
          <w:sz w:val="24"/>
          <w:szCs w:val="24"/>
        </w:rPr>
        <w:t xml:space="preserve">项目实施方案、招标技术需求文件编制，规避招标阶段需求偏差带来的后期投资风险；</w:t>
      </w:r>
      <w:r/>
    </w:p>
    <w:p>
      <w:pPr>
        <w:ind w:firstLine="480"/>
        <w:spacing w:line="360" w:lineRule="auto"/>
        <w:rPr>
          <w:sz w:val="24"/>
          <w:szCs w:val="24"/>
        </w:rPr>
      </w:pPr>
      <w:r>
        <w:rPr>
          <w:sz w:val="24"/>
          <w:szCs w:val="24"/>
        </w:rPr>
        <w:t xml:space="preserve">资金使用方案、项目变更专项论证材料，用于向财政申请预算调整、建设内容变更；</w:t>
      </w:r>
      <w:r/>
    </w:p>
    <w:p>
      <w:pPr>
        <w:ind w:firstLine="480"/>
        <w:spacing w:line="360" w:lineRule="auto"/>
        <w:rPr>
          <w:sz w:val="24"/>
          <w:szCs w:val="24"/>
        </w:rPr>
      </w:pPr>
      <w:r>
        <w:rPr>
          <w:sz w:val="24"/>
          <w:szCs w:val="24"/>
        </w:rPr>
        <w:t xml:space="preserve">网络安全专项方案、数据安全专项方案，满足网信、密码管理部门合规审查。</w:t>
      </w:r>
      <w:r/>
    </w:p>
    <w:p>
      <w:pPr>
        <w:ind w:firstLine="480"/>
        <w:spacing w:line="360" w:lineRule="auto"/>
        <w:rPr>
          <w:sz w:val="24"/>
          <w:szCs w:val="24"/>
        </w:rPr>
      </w:pPr>
      <w:r>
        <w:rPr>
          <w:sz w:val="24"/>
          <w:szCs w:val="24"/>
        </w:rPr>
        <w:t xml:space="preserve">4）各类评估论证服务</w:t>
      </w:r>
      <w:r/>
    </w:p>
    <w:p>
      <w:pPr>
        <w:ind w:firstLine="480"/>
        <w:spacing w:line="360" w:lineRule="auto"/>
        <w:rPr>
          <w:sz w:val="24"/>
          <w:szCs w:val="24"/>
        </w:rPr>
      </w:pPr>
      <w:r>
        <w:rPr>
          <w:sz w:val="24"/>
          <w:szCs w:val="24"/>
        </w:rPr>
        <w:t xml:space="preserve">承接本项目相关评估论证类咨询工作，输出可用于财政和主管部门采信的正式材料：</w:t>
      </w:r>
      <w:r/>
    </w:p>
    <w:p>
      <w:pPr>
        <w:ind w:firstLine="480"/>
        <w:spacing w:line="360" w:lineRule="auto"/>
        <w:rPr>
          <w:sz w:val="24"/>
          <w:szCs w:val="24"/>
        </w:rPr>
      </w:pPr>
      <w:r>
        <w:rPr>
          <w:sz w:val="24"/>
          <w:szCs w:val="24"/>
        </w:rPr>
        <w:t xml:space="preserve">项目绩效评估：针对子项目开展事前绩效评估，输出事前绩效评估报告，支撑财政预算评审；</w:t>
      </w:r>
      <w:r/>
    </w:p>
    <w:p>
      <w:pPr>
        <w:ind w:firstLine="480"/>
        <w:spacing w:line="360" w:lineRule="auto"/>
        <w:rPr>
          <w:sz w:val="24"/>
          <w:szCs w:val="24"/>
        </w:rPr>
      </w:pPr>
      <w:r>
        <w:rPr>
          <w:sz w:val="24"/>
          <w:szCs w:val="24"/>
        </w:rPr>
        <w:t xml:space="preserve">风险评估：开展信息化项目建设风险评估、财政资金风险评估，识别资金挤占挪用、超概算、需求失控等风险点，输出风险评估报告及风险处置预案；</w:t>
      </w:r>
      <w:r/>
    </w:p>
    <w:p>
      <w:pPr>
        <w:ind w:firstLine="480"/>
        <w:spacing w:line="360" w:lineRule="auto"/>
        <w:rPr>
          <w:sz w:val="24"/>
          <w:szCs w:val="24"/>
        </w:rPr>
      </w:pPr>
      <w:r>
        <w:rPr>
          <w:sz w:val="24"/>
          <w:szCs w:val="24"/>
        </w:rPr>
        <w:t xml:space="preserve">合规论证：针对项目建设模式、采购方式、资金使用开展合规论证，出具论证意见，规避政府采购、财政资金使用合规风险。</w:t>
      </w:r>
      <w:r/>
    </w:p>
    <w:p>
      <w:pPr>
        <w:ind w:firstLine="480"/>
        <w:spacing w:line="360" w:lineRule="auto"/>
        <w:rPr>
          <w:sz w:val="24"/>
          <w:szCs w:val="24"/>
        </w:rPr>
      </w:pPr>
      <w:r>
        <w:rPr>
          <w:sz w:val="24"/>
          <w:szCs w:val="24"/>
        </w:rPr>
        <w:t xml:space="preserve">5）细分领域定制化编制服务</w:t>
      </w:r>
      <w:r/>
    </w:p>
    <w:p>
      <w:pPr>
        <w:ind w:firstLine="480"/>
        <w:spacing w:line="360" w:lineRule="auto"/>
        <w:rPr>
          <w:sz w:val="24"/>
          <w:szCs w:val="24"/>
        </w:rPr>
      </w:pPr>
      <w:r>
        <w:rPr>
          <w:sz w:val="24"/>
          <w:szCs w:val="24"/>
        </w:rPr>
        <w:t xml:space="preserve">结合公立医院改革示范项目特点，针对医疗信息化细分场景开展定制化编制：</w:t>
      </w:r>
      <w:r/>
    </w:p>
    <w:p>
      <w:pPr>
        <w:ind w:firstLine="480"/>
        <w:spacing w:line="360" w:lineRule="auto"/>
        <w:rPr>
          <w:sz w:val="24"/>
          <w:szCs w:val="24"/>
        </w:rPr>
      </w:pPr>
      <w:r>
        <w:rPr>
          <w:sz w:val="24"/>
          <w:szCs w:val="24"/>
        </w:rPr>
        <w:t xml:space="preserve">智慧医院、电子病历、区域医疗协同、医共体信息化、医疗大数据平台等专项规划、建设方案编制；</w:t>
      </w:r>
      <w:r/>
    </w:p>
    <w:p>
      <w:pPr>
        <w:ind w:firstLine="480"/>
        <w:spacing w:line="360" w:lineRule="auto"/>
        <w:rPr>
          <w:sz w:val="24"/>
          <w:szCs w:val="24"/>
        </w:rPr>
      </w:pPr>
      <w:r>
        <w:rPr>
          <w:sz w:val="24"/>
          <w:szCs w:val="24"/>
        </w:rPr>
        <w:t xml:space="preserve">针对大型高投资子项目（千万级投资项目）开展专项深度论证，强化投资合理性分析，形成专项论证报告，供财政重点评审使用；</w:t>
      </w:r>
      <w:r/>
    </w:p>
    <w:p>
      <w:pPr>
        <w:ind w:firstLine="480"/>
        <w:spacing w:line="360" w:lineRule="auto"/>
        <w:rPr>
          <w:sz w:val="24"/>
          <w:szCs w:val="24"/>
        </w:rPr>
      </w:pPr>
      <w:r>
        <w:rPr>
          <w:sz w:val="24"/>
          <w:szCs w:val="24"/>
        </w:rPr>
        <w:t xml:space="preserve">针对示范项目创新应用、首购首用相关内容编制专项说明，对接政府采购创新产品相关政策。</w:t>
      </w:r>
      <w:r/>
    </w:p>
    <w:p>
      <w:pPr>
        <w:ind w:firstLine="480"/>
        <w:spacing w:line="360" w:lineRule="auto"/>
        <w:rPr>
          <w:sz w:val="24"/>
          <w:szCs w:val="24"/>
        </w:rPr>
      </w:pPr>
      <w:r>
        <w:rPr>
          <w:rFonts w:hint="eastAsia"/>
          <w:sz w:val="24"/>
          <w:szCs w:val="24"/>
        </w:rPr>
        <w:t xml:space="preserve">资金</w:t>
      </w:r>
      <w:r>
        <w:rPr>
          <w:sz w:val="24"/>
          <w:szCs w:val="24"/>
        </w:rPr>
        <w:t xml:space="preserve">管控细化要点：所有增值服务形成的报告、方案均留存完整工作底稿；涉及预算变更、资金调整的专项论证材料，重点说明对财政预算、概算的影响；专家评审意见建立台账闭环管理，全部资料归档，接受后续审计。</w:t>
      </w:r>
      <w:r/>
    </w:p>
    <w:p>
      <w:pPr>
        <w:ind w:firstLine="482"/>
        <w:spacing w:line="360" w:lineRule="auto"/>
        <w:rPr>
          <w:b/>
          <w:bCs/>
          <w:sz w:val="24"/>
          <w:szCs w:val="24"/>
        </w:rPr>
      </w:pPr>
      <w:r>
        <w:rPr>
          <w:rFonts w:hint="eastAsia"/>
          <w:b/>
          <w:bCs/>
          <w:sz w:val="24"/>
          <w:szCs w:val="24"/>
        </w:rPr>
        <w:t xml:space="preserve">4</w:t>
      </w:r>
      <w:r>
        <w:rPr>
          <w:b/>
          <w:bCs/>
          <w:sz w:val="24"/>
          <w:szCs w:val="24"/>
        </w:rPr>
        <w:t xml:space="preserve">.</w:t>
      </w:r>
      <w:r>
        <w:rPr>
          <w:rFonts w:hint="eastAsia"/>
          <w:b/>
          <w:bCs/>
          <w:sz w:val="24"/>
          <w:szCs w:val="24"/>
        </w:rPr>
        <w:t xml:space="preserve">3</w:t>
      </w:r>
      <w:r>
        <w:rPr>
          <w:b/>
          <w:bCs/>
          <w:sz w:val="24"/>
          <w:szCs w:val="24"/>
        </w:rPr>
        <w:t xml:space="preserve">设计概算（前期论证造价），至少包含①编制依据核查；②造价完整性审核；③工程量与单价复核；④专项费用审核；⑤出具审查报告；⑥服务价值与收费要点。</w:t>
      </w:r>
      <w:r/>
    </w:p>
    <w:p>
      <w:pPr>
        <w:ind w:firstLine="480"/>
        <w:spacing w:line="360" w:lineRule="auto"/>
        <w:rPr>
          <w:sz w:val="24"/>
          <w:szCs w:val="24"/>
        </w:rPr>
      </w:pPr>
      <w:r>
        <w:rPr>
          <w:rFonts w:hint="eastAsia"/>
          <w:sz w:val="24"/>
          <w:szCs w:val="24"/>
        </w:rPr>
        <w:t xml:space="preserve">重点核查概算编制合规性、费用完整性、计价准确性、专项费用合理性，全部工作留存完整可追溯审计底稿，输出能够直接用于财政立项审批、资金下达的正式概算审查意见书，防范概算虚高、漏项、重复计费、取费违规，严控后期项目超概风险，所有审查过程资料、测算底稿完整归档，满足财政、审计部门事后核查要求。</w:t>
      </w:r>
      <w:r/>
    </w:p>
    <w:p>
      <w:pPr>
        <w:ind w:firstLine="480"/>
        <w:spacing w:line="360" w:lineRule="auto"/>
        <w:rPr>
          <w:sz w:val="24"/>
          <w:szCs w:val="24"/>
        </w:rPr>
      </w:pPr>
      <w:r>
        <w:rPr>
          <w:rFonts w:hint="eastAsia"/>
          <w:b/>
          <w:bCs/>
          <w:sz w:val="24"/>
          <w:szCs w:val="24"/>
        </w:rPr>
        <w:t xml:space="preserve">①编制依据核查：</w:t>
      </w:r>
      <w:r>
        <w:rPr>
          <w:rFonts w:hint="eastAsia"/>
          <w:sz w:val="24"/>
          <w:szCs w:val="24"/>
        </w:rPr>
        <w:t xml:space="preserve">本环节重点核查概算整套编制依据的合法性、有效性、适用性，从源头杜绝因依据错误造成概算整体失真，全部核查内容形成工作底稿，供财政评审复核。</w:t>
      </w:r>
      <w:r/>
    </w:p>
    <w:p>
      <w:pPr>
        <w:ind w:firstLine="480"/>
        <w:spacing w:line="360" w:lineRule="auto"/>
        <w:rPr>
          <w:sz w:val="24"/>
          <w:szCs w:val="24"/>
        </w:rPr>
      </w:pPr>
      <w:r>
        <w:rPr>
          <w:rFonts w:hint="eastAsia"/>
          <w:sz w:val="24"/>
          <w:szCs w:val="24"/>
        </w:rPr>
        <w:t xml:space="preserve">政策文件依据核查</w:t>
      </w:r>
      <w:r/>
    </w:p>
    <w:p>
      <w:pPr>
        <w:ind w:firstLine="480"/>
        <w:spacing w:line="360" w:lineRule="auto"/>
        <w:rPr>
          <w:sz w:val="24"/>
          <w:szCs w:val="24"/>
        </w:rPr>
      </w:pPr>
      <w:r>
        <w:rPr>
          <w:rFonts w:hint="eastAsia"/>
          <w:sz w:val="24"/>
          <w:szCs w:val="24"/>
        </w:rPr>
        <w:t xml:space="preserve">核查概算编制所引用国家、江苏省、盐城市信息化造价、财政资金管理、公立医院示范项目管理相关文件是否现行有效，重点核对：《盐城市信息化项目审批 “一件事” 试点工作建设指南（2024）》、盐财预〔2025〕17 号、政府采购相关制度、网络安全、密码应用、医疗信息化相关规范；核查是否存在引用已废止文件、文件版本错误情况。</w:t>
      </w:r>
      <w:r/>
    </w:p>
    <w:p>
      <w:pPr>
        <w:ind w:firstLine="480"/>
        <w:spacing w:line="360" w:lineRule="auto"/>
        <w:rPr>
          <w:sz w:val="24"/>
          <w:szCs w:val="24"/>
        </w:rPr>
      </w:pPr>
      <w:r>
        <w:rPr>
          <w:rFonts w:hint="eastAsia"/>
          <w:sz w:val="24"/>
          <w:szCs w:val="24"/>
        </w:rPr>
        <w:t xml:space="preserve">项目批复类依据核查</w:t>
      </w:r>
      <w:r/>
    </w:p>
    <w:p>
      <w:pPr>
        <w:ind w:firstLine="480"/>
        <w:spacing w:line="360" w:lineRule="auto"/>
        <w:rPr>
          <w:sz w:val="24"/>
          <w:szCs w:val="24"/>
        </w:rPr>
      </w:pPr>
      <w:r>
        <w:rPr>
          <w:rFonts w:hint="eastAsia"/>
          <w:sz w:val="24"/>
          <w:szCs w:val="24"/>
        </w:rPr>
        <w:t xml:space="preserve">核对概算编制基础材料：项目建议书、可行性研究报告及财政 / 主管部门批复文件，确认概算建设范围、建设内容不得超出可研批复的建设边界；核查是否存在无批复依据擅自新增建设模块、扩大建设规模情形；若存在建设内容调整，检查是否具备主管部门变更说明材料。</w:t>
      </w:r>
      <w:r/>
    </w:p>
    <w:p>
      <w:pPr>
        <w:ind w:firstLine="480"/>
        <w:spacing w:line="360" w:lineRule="auto"/>
        <w:rPr>
          <w:sz w:val="24"/>
          <w:szCs w:val="24"/>
        </w:rPr>
      </w:pPr>
      <w:r>
        <w:rPr>
          <w:rFonts w:hint="eastAsia"/>
          <w:sz w:val="24"/>
          <w:szCs w:val="24"/>
        </w:rPr>
        <w:t xml:space="preserve">技术方案依据核查</w:t>
      </w:r>
      <w:r/>
    </w:p>
    <w:p>
      <w:pPr>
        <w:ind w:firstLine="480"/>
        <w:spacing w:line="360" w:lineRule="auto"/>
        <w:rPr>
          <w:sz w:val="24"/>
          <w:szCs w:val="24"/>
        </w:rPr>
      </w:pPr>
      <w:r>
        <w:rPr>
          <w:rFonts w:hint="eastAsia"/>
          <w:sz w:val="24"/>
          <w:szCs w:val="24"/>
        </w:rPr>
        <w:t xml:space="preserve">核对初步设计文件、系统架构方案、软硬件配置清单、安全方案等技术资料，确认概算计取内容与初步设计内容一一对应；核查软硬件参数、开发需求、集成工作量是否与概算计费内容匹配，杜绝概算与设计文件 “两张皮”。</w:t>
      </w:r>
      <w:r/>
    </w:p>
    <w:p>
      <w:pPr>
        <w:ind w:firstLine="480"/>
        <w:spacing w:line="360" w:lineRule="auto"/>
        <w:rPr>
          <w:sz w:val="24"/>
          <w:szCs w:val="24"/>
        </w:rPr>
      </w:pPr>
      <w:r>
        <w:rPr>
          <w:rFonts w:hint="eastAsia"/>
          <w:sz w:val="24"/>
          <w:szCs w:val="24"/>
        </w:rPr>
        <w:t xml:space="preserve">市场及计价依据核查</w:t>
      </w:r>
      <w:r/>
    </w:p>
    <w:p>
      <w:pPr>
        <w:ind w:firstLine="480"/>
        <w:spacing w:line="360" w:lineRule="auto"/>
        <w:rPr>
          <w:sz w:val="24"/>
          <w:szCs w:val="24"/>
        </w:rPr>
      </w:pPr>
      <w:r>
        <w:rPr>
          <w:rFonts w:hint="eastAsia"/>
          <w:sz w:val="24"/>
          <w:szCs w:val="24"/>
        </w:rPr>
        <w:t xml:space="preserve">核查设备询价来源、服务费率取费依据，核对信息化差额定率分档累进计费规则使用是否正确；核查成品软件、硬件设备、定制开发、第三方服务询价资料的真实性、公允性，杜绝采用虚假询价作为概算编制依据。</w:t>
      </w:r>
      <w:r/>
    </w:p>
    <w:p>
      <w:pPr>
        <w:ind w:firstLine="480"/>
        <w:spacing w:line="360" w:lineRule="auto"/>
        <w:rPr>
          <w:sz w:val="24"/>
          <w:szCs w:val="24"/>
        </w:rPr>
      </w:pPr>
      <w:r>
        <w:rPr>
          <w:rFonts w:hint="eastAsia"/>
          <w:sz w:val="24"/>
          <w:szCs w:val="24"/>
        </w:rPr>
        <w:t xml:space="preserve">底稿归档与问题处置</w:t>
      </w:r>
      <w:r/>
    </w:p>
    <w:p>
      <w:pPr>
        <w:ind w:firstLine="480"/>
        <w:spacing w:line="360" w:lineRule="auto"/>
        <w:rPr>
          <w:sz w:val="24"/>
          <w:szCs w:val="24"/>
        </w:rPr>
      </w:pPr>
      <w:r>
        <w:rPr>
          <w:rFonts w:hint="eastAsia"/>
          <w:sz w:val="24"/>
          <w:szCs w:val="24"/>
        </w:rPr>
        <w:t xml:space="preserve">对依据不全、文件失效、批复缺失、设计与概算不一致问题进行登记，出具核查问题清单，要求建设单位及编制单位补充完善；对于无有效依据的计费项做重点标记，在概算审查底稿中专项说明。</w:t>
      </w:r>
      <w:r/>
    </w:p>
    <w:p>
      <w:pPr>
        <w:ind w:firstLine="480"/>
        <w:spacing w:line="360" w:lineRule="auto"/>
        <w:rPr>
          <w:sz w:val="24"/>
          <w:szCs w:val="24"/>
        </w:rPr>
      </w:pPr>
      <w:r>
        <w:rPr>
          <w:rFonts w:hint="eastAsia"/>
          <w:b/>
          <w:bCs/>
          <w:sz w:val="24"/>
          <w:szCs w:val="24"/>
        </w:rPr>
        <w:t xml:space="preserve">②造价完整性审核：</w:t>
      </w:r>
      <w:r>
        <w:rPr>
          <w:rFonts w:hint="eastAsia"/>
          <w:sz w:val="24"/>
          <w:szCs w:val="24"/>
        </w:rPr>
        <w:t xml:space="preserve">全面覆盖信息化项目全部费用维度，开展全费用条目核查，排查缺项漏项、重复计费、边界混淆问题，保证概算完整覆盖项目建设全部内容，同时剔除不属于本项目的无关费用。</w:t>
      </w:r>
      <w:r/>
    </w:p>
    <w:p>
      <w:pPr>
        <w:ind w:firstLine="480"/>
        <w:spacing w:line="360" w:lineRule="auto"/>
        <w:rPr>
          <w:sz w:val="24"/>
          <w:szCs w:val="24"/>
        </w:rPr>
      </w:pPr>
      <w:r>
        <w:rPr>
          <w:rFonts w:hint="eastAsia"/>
          <w:sz w:val="24"/>
          <w:szCs w:val="24"/>
        </w:rPr>
        <w:t xml:space="preserve">全费用条目逐项核对</w:t>
      </w:r>
      <w:r/>
    </w:p>
    <w:p>
      <w:pPr>
        <w:ind w:firstLine="480"/>
        <w:spacing w:line="360" w:lineRule="auto"/>
        <w:rPr>
          <w:sz w:val="24"/>
          <w:szCs w:val="24"/>
        </w:rPr>
      </w:pPr>
      <w:r>
        <w:rPr>
          <w:rFonts w:hint="eastAsia"/>
          <w:sz w:val="24"/>
          <w:szCs w:val="24"/>
        </w:rPr>
        <w:t xml:space="preserve">按照信息化项目费用大类逐项核查：硬件设备采购、成品软件购置、定制软件开发费用、系统集成实施费、网络安全建设费用、密码改造费用、培训费用、第三方服务（咨询、监理、软件测评、评审会务）、运维服务费、预备费等；对照初步设计清单，核对是否存在建设内容已经设计但概算未计取的漏项。</w:t>
      </w:r>
      <w:r/>
    </w:p>
    <w:p>
      <w:pPr>
        <w:ind w:firstLine="480"/>
        <w:spacing w:line="360" w:lineRule="auto"/>
        <w:rPr>
          <w:sz w:val="24"/>
          <w:szCs w:val="24"/>
        </w:rPr>
      </w:pPr>
      <w:r>
        <w:rPr>
          <w:rFonts w:hint="eastAsia"/>
          <w:sz w:val="24"/>
          <w:szCs w:val="24"/>
        </w:rPr>
        <w:t xml:space="preserve">区分一次性建设费与周期运维费</w:t>
      </w:r>
      <w:r/>
    </w:p>
    <w:p>
      <w:pPr>
        <w:ind w:firstLine="480"/>
        <w:spacing w:line="360" w:lineRule="auto"/>
        <w:rPr>
          <w:sz w:val="24"/>
          <w:szCs w:val="24"/>
        </w:rPr>
      </w:pPr>
      <w:r>
        <w:rPr>
          <w:rFonts w:hint="eastAsia"/>
          <w:sz w:val="24"/>
          <w:szCs w:val="24"/>
        </w:rPr>
        <w:t xml:space="preserve">重点财政管控点：严格区分一次性建设投资和多年运维服务费用，核查是否将多年运维成本混入一次性建设概算；核查运维周期、运维范围、运维计费基数是否清晰，避免建设与运维费用混淆造成财政预算申报错误。</w:t>
      </w:r>
      <w:r/>
    </w:p>
    <w:p>
      <w:pPr>
        <w:ind w:firstLine="480"/>
        <w:spacing w:line="360" w:lineRule="auto"/>
        <w:rPr>
          <w:sz w:val="24"/>
          <w:szCs w:val="24"/>
        </w:rPr>
      </w:pPr>
      <w:r>
        <w:rPr>
          <w:rFonts w:hint="eastAsia"/>
          <w:sz w:val="24"/>
          <w:szCs w:val="24"/>
        </w:rPr>
        <w:t xml:space="preserve">排查重复计费问题</w:t>
      </w:r>
      <w:r/>
    </w:p>
    <w:p>
      <w:pPr>
        <w:ind w:firstLine="480"/>
        <w:spacing w:line="360" w:lineRule="auto"/>
        <w:rPr>
          <w:sz w:val="24"/>
          <w:szCs w:val="24"/>
        </w:rPr>
      </w:pPr>
      <w:r>
        <w:rPr>
          <w:rFonts w:hint="eastAsia"/>
          <w:sz w:val="24"/>
          <w:szCs w:val="24"/>
        </w:rPr>
        <w:t xml:space="preserve">核查是否存在同一工作内容多次计取费用，例如：集成服务工作内容重复计入开发费用、安全测评费用既纳入开发报价又单独计取第三方测评费、专家评审会务费重复计取；对重复计费项进行标记，测算重复计取金额，给出核减建议。</w:t>
      </w:r>
      <w:r/>
    </w:p>
    <w:p>
      <w:pPr>
        <w:ind w:firstLine="480"/>
        <w:spacing w:line="360" w:lineRule="auto"/>
        <w:rPr>
          <w:sz w:val="24"/>
          <w:szCs w:val="24"/>
        </w:rPr>
      </w:pPr>
      <w:r>
        <w:rPr>
          <w:rFonts w:hint="eastAsia"/>
          <w:sz w:val="24"/>
          <w:szCs w:val="24"/>
        </w:rPr>
        <w:t xml:space="preserve">剔除不属于本项目的费用</w:t>
      </w:r>
      <w:r/>
    </w:p>
    <w:p>
      <w:pPr>
        <w:ind w:firstLine="480"/>
        <w:spacing w:line="360" w:lineRule="auto"/>
        <w:rPr>
          <w:sz w:val="24"/>
          <w:szCs w:val="24"/>
        </w:rPr>
      </w:pPr>
      <w:r>
        <w:rPr>
          <w:rFonts w:hint="eastAsia"/>
          <w:sz w:val="24"/>
          <w:szCs w:val="24"/>
        </w:rPr>
        <w:t xml:space="preserve">甄别概算内是否包含与本示范子项目无关的建设内容、前期已完成采购的存量升级改造费用、其他项目列支费用；对不属于本项目的费用予以剔除。</w:t>
      </w:r>
      <w:r/>
    </w:p>
    <w:p>
      <w:pPr>
        <w:ind w:firstLine="480"/>
        <w:spacing w:line="360" w:lineRule="auto"/>
        <w:rPr>
          <w:sz w:val="24"/>
          <w:szCs w:val="24"/>
        </w:rPr>
      </w:pPr>
      <w:r>
        <w:rPr>
          <w:rFonts w:hint="eastAsia"/>
          <w:sz w:val="24"/>
          <w:szCs w:val="24"/>
        </w:rPr>
        <w:t xml:space="preserve">形成完整性审核底稿</w:t>
      </w:r>
      <w:r/>
    </w:p>
    <w:p>
      <w:pPr>
        <w:ind w:firstLine="480"/>
        <w:spacing w:line="360" w:lineRule="auto"/>
        <w:rPr>
          <w:sz w:val="24"/>
          <w:szCs w:val="24"/>
        </w:rPr>
      </w:pPr>
      <w:r>
        <w:rPr>
          <w:rFonts w:hint="eastAsia"/>
          <w:sz w:val="24"/>
          <w:szCs w:val="24"/>
        </w:rPr>
        <w:t xml:space="preserve">编制费用完整性核对表，列明设计存在但概算漏计的条目、重复计费条目、无关费用条目，列明建议调增、调减金额，作为概算审查意见书附件，供财政评审参考。</w:t>
      </w:r>
      <w:r/>
    </w:p>
    <w:p>
      <w:pPr>
        <w:ind w:firstLine="480"/>
        <w:spacing w:line="360" w:lineRule="auto"/>
        <w:rPr>
          <w:sz w:val="24"/>
          <w:szCs w:val="24"/>
        </w:rPr>
      </w:pPr>
      <w:r>
        <w:rPr>
          <w:rFonts w:hint="eastAsia"/>
          <w:b/>
          <w:bCs/>
          <w:sz w:val="24"/>
          <w:szCs w:val="24"/>
        </w:rPr>
        <w:t xml:space="preserve">③工程量与单价复核：</w:t>
      </w:r>
      <w:r>
        <w:rPr>
          <w:rFonts w:hint="eastAsia"/>
          <w:sz w:val="24"/>
          <w:szCs w:val="24"/>
        </w:rPr>
        <w:t xml:space="preserve">针对硬件数量、软件开发工作量、集成实施工作量、各项服务费率开展核验，核查工程量真实性、单价公允性、分档计费正确性，挤压造价水分。</w:t>
      </w:r>
      <w:r/>
    </w:p>
    <w:p>
      <w:pPr>
        <w:ind w:firstLine="480"/>
        <w:spacing w:line="360" w:lineRule="auto"/>
        <w:rPr>
          <w:sz w:val="24"/>
          <w:szCs w:val="24"/>
        </w:rPr>
      </w:pPr>
      <w:r>
        <w:rPr>
          <w:rFonts w:hint="eastAsia"/>
          <w:sz w:val="24"/>
          <w:szCs w:val="24"/>
        </w:rPr>
        <w:t xml:space="preserve">硬件设备工程量及单价复核</w:t>
      </w:r>
      <w:r/>
    </w:p>
    <w:p>
      <w:pPr>
        <w:ind w:firstLine="480"/>
        <w:spacing w:line="360" w:lineRule="auto"/>
        <w:rPr>
          <w:sz w:val="24"/>
          <w:szCs w:val="24"/>
        </w:rPr>
      </w:pPr>
      <w:r>
        <w:rPr>
          <w:rFonts w:hint="eastAsia"/>
          <w:sz w:val="24"/>
          <w:szCs w:val="24"/>
        </w:rPr>
        <w:t xml:space="preserve">核对初步设计硬件配置清单，核查设备型号、数量、参数；比对市场公开报价、政府采购历史成交价格，重点核查高端服务器、存储、安全设备等高价值设备单价合理性；对于明显高于市场公允价的设备，提出询价复核及价格调减建议。</w:t>
      </w:r>
      <w:r/>
    </w:p>
    <w:p>
      <w:pPr>
        <w:ind w:firstLine="480"/>
        <w:spacing w:line="360" w:lineRule="auto"/>
        <w:rPr>
          <w:sz w:val="24"/>
          <w:szCs w:val="24"/>
        </w:rPr>
      </w:pPr>
      <w:r>
        <w:rPr>
          <w:rFonts w:hint="eastAsia"/>
          <w:sz w:val="24"/>
          <w:szCs w:val="24"/>
        </w:rPr>
        <w:t xml:space="preserve">定制软件开发工作量复核</w:t>
      </w:r>
      <w:r/>
    </w:p>
    <w:p>
      <w:pPr>
        <w:ind w:firstLine="480"/>
        <w:spacing w:line="360" w:lineRule="auto"/>
        <w:rPr>
          <w:sz w:val="24"/>
          <w:szCs w:val="24"/>
        </w:rPr>
      </w:pPr>
      <w:r>
        <w:rPr>
          <w:rFonts w:hint="eastAsia"/>
          <w:sz w:val="24"/>
          <w:szCs w:val="24"/>
        </w:rPr>
        <w:t xml:space="preserve">针对定制化软件开发部分，核对需求文档、功能模块清单，评估开发工作量合理性；参照软件工程造价相关标准，校验功能点规模测算，核查是否虚增开发人天、夸大开发工作量；区分定制开发与现成组件，现成组件不得按全新定制开发计费。</w:t>
      </w:r>
      <w:r/>
    </w:p>
    <w:p>
      <w:pPr>
        <w:ind w:firstLine="480"/>
        <w:spacing w:line="360" w:lineRule="auto"/>
        <w:rPr>
          <w:sz w:val="24"/>
          <w:szCs w:val="24"/>
        </w:rPr>
      </w:pPr>
      <w:r>
        <w:rPr>
          <w:rFonts w:hint="eastAsia"/>
          <w:sz w:val="24"/>
          <w:szCs w:val="24"/>
        </w:rPr>
        <w:t xml:space="preserve">服务费率、分档累进计费复核</w:t>
      </w:r>
      <w:r/>
    </w:p>
    <w:p>
      <w:pPr>
        <w:ind w:firstLine="480"/>
        <w:spacing w:line="360" w:lineRule="auto"/>
        <w:rPr>
          <w:sz w:val="24"/>
          <w:szCs w:val="24"/>
        </w:rPr>
      </w:pPr>
      <w:r>
        <w:rPr>
          <w:rFonts w:hint="eastAsia"/>
          <w:sz w:val="24"/>
          <w:szCs w:val="24"/>
        </w:rPr>
        <w:t xml:space="preserve">严格对照分档费率表，复核概算咨询、造价、监理、测评等第三方服务费的计费基数、分档区间、累进计算过程，核查是否错用分档、错算费率，导致服务费虚高。</w:t>
      </w:r>
      <w:r/>
    </w:p>
    <w:p>
      <w:pPr>
        <w:ind w:firstLine="480"/>
        <w:spacing w:line="360" w:lineRule="auto"/>
        <w:rPr>
          <w:sz w:val="24"/>
          <w:szCs w:val="24"/>
        </w:rPr>
      </w:pPr>
      <w:r>
        <w:rPr>
          <w:rFonts w:hint="eastAsia"/>
          <w:sz w:val="24"/>
          <w:szCs w:val="24"/>
        </w:rPr>
        <w:t xml:space="preserve">集成、实施工作量复核</w:t>
      </w:r>
      <w:r/>
    </w:p>
    <w:p>
      <w:pPr>
        <w:ind w:firstLine="480"/>
        <w:spacing w:line="360" w:lineRule="auto"/>
        <w:rPr>
          <w:sz w:val="24"/>
          <w:szCs w:val="24"/>
        </w:rPr>
      </w:pPr>
      <w:r>
        <w:rPr>
          <w:rFonts w:hint="eastAsia"/>
          <w:sz w:val="24"/>
          <w:szCs w:val="24"/>
        </w:rPr>
        <w:t xml:space="preserve">核查系统集成、部署实施、数据迁移、接口开发工作量，核对对接系统清单，评估接口开发工作量是否合理，杜绝虚增接口数量、虚增实施工时。</w:t>
      </w:r>
      <w:r/>
    </w:p>
    <w:p>
      <w:pPr>
        <w:ind w:firstLine="480"/>
        <w:spacing w:line="360" w:lineRule="auto"/>
        <w:rPr>
          <w:sz w:val="24"/>
          <w:szCs w:val="24"/>
        </w:rPr>
      </w:pPr>
      <w:r>
        <w:rPr>
          <w:rFonts w:hint="eastAsia"/>
          <w:sz w:val="24"/>
          <w:szCs w:val="24"/>
        </w:rPr>
        <w:t xml:space="preserve">问题处置与底稿留存</w:t>
      </w:r>
      <w:r/>
    </w:p>
    <w:p>
      <w:pPr>
        <w:ind w:firstLine="480"/>
        <w:spacing w:line="360" w:lineRule="auto"/>
        <w:rPr>
          <w:sz w:val="24"/>
          <w:szCs w:val="24"/>
        </w:rPr>
      </w:pPr>
      <w:r>
        <w:rPr>
          <w:rFonts w:hint="eastAsia"/>
          <w:sz w:val="24"/>
          <w:szCs w:val="24"/>
        </w:rPr>
        <w:t xml:space="preserve">对工程量虚高、单价偏离市场、分档计费错误的条目，计算偏差金额，形成工程量‑单价复核底稿，列明核增核减明细。</w:t>
      </w:r>
      <w:r/>
    </w:p>
    <w:p>
      <w:pPr>
        <w:ind w:firstLine="480"/>
        <w:spacing w:line="360" w:lineRule="auto"/>
        <w:rPr>
          <w:sz w:val="24"/>
          <w:szCs w:val="24"/>
        </w:rPr>
      </w:pPr>
      <w:r>
        <w:rPr>
          <w:rFonts w:hint="eastAsia"/>
          <w:sz w:val="24"/>
          <w:szCs w:val="24"/>
        </w:rPr>
        <w:t xml:space="preserve">④专项费用审核：针对预备费、前期咨询费、专家评审会务费、搬迁改造费、其他二类费用等专项费用开展合规性核查，严控专项费用计取比例与使用边界，防止专项费用随意虚增。</w:t>
      </w:r>
      <w:r/>
    </w:p>
    <w:p>
      <w:pPr>
        <w:ind w:firstLine="480"/>
        <w:spacing w:line="360" w:lineRule="auto"/>
        <w:rPr>
          <w:sz w:val="24"/>
          <w:szCs w:val="24"/>
        </w:rPr>
      </w:pPr>
      <w:r>
        <w:rPr>
          <w:rFonts w:hint="eastAsia"/>
          <w:sz w:val="24"/>
          <w:szCs w:val="24"/>
        </w:rPr>
        <w:t xml:space="preserve">预备费审核</w:t>
      </w:r>
      <w:r/>
    </w:p>
    <w:p>
      <w:pPr>
        <w:ind w:firstLine="480"/>
        <w:spacing w:line="360" w:lineRule="auto"/>
        <w:rPr>
          <w:sz w:val="24"/>
          <w:szCs w:val="24"/>
        </w:rPr>
      </w:pPr>
      <w:r>
        <w:rPr>
          <w:rFonts w:hint="eastAsia"/>
          <w:sz w:val="24"/>
          <w:szCs w:val="24"/>
        </w:rPr>
        <w:t xml:space="preserve">核查预备费计取基数、计取比例是否符合盐城市信息化项目管理相关规定；核查预备费使用范围说明，预备费仅用于项目建设过程中不可预见的合理变更，不得作为预留无明确指向的机动资金；对超比例计取预备费的概算提出调减意见。</w:t>
      </w:r>
      <w:r/>
    </w:p>
    <w:p>
      <w:pPr>
        <w:ind w:firstLine="480"/>
        <w:spacing w:line="360" w:lineRule="auto"/>
        <w:rPr>
          <w:sz w:val="24"/>
          <w:szCs w:val="24"/>
        </w:rPr>
      </w:pPr>
      <w:r>
        <w:rPr>
          <w:rFonts w:hint="eastAsia"/>
          <w:sz w:val="24"/>
          <w:szCs w:val="24"/>
        </w:rPr>
        <w:t xml:space="preserve">前期各类咨询专项费用审核</w:t>
      </w:r>
      <w:r/>
    </w:p>
    <w:p>
      <w:pPr>
        <w:ind w:firstLine="480"/>
        <w:spacing w:line="360" w:lineRule="auto"/>
        <w:rPr>
          <w:sz w:val="24"/>
          <w:szCs w:val="24"/>
        </w:rPr>
      </w:pPr>
      <w:r>
        <w:rPr>
          <w:rFonts w:hint="eastAsia"/>
          <w:sz w:val="24"/>
          <w:szCs w:val="24"/>
        </w:rPr>
        <w:t xml:space="preserve">核查项目建议书、可研、初步设计编制等前期咨询费用，对照地方取费标准，核查计费基数、费率是否合规；核查是否存在重复计取多轮同类咨询服务费用。</w:t>
      </w:r>
      <w:r/>
    </w:p>
    <w:p>
      <w:pPr>
        <w:ind w:firstLine="480"/>
        <w:spacing w:line="360" w:lineRule="auto"/>
        <w:rPr>
          <w:sz w:val="24"/>
          <w:szCs w:val="24"/>
        </w:rPr>
      </w:pPr>
      <w:r>
        <w:rPr>
          <w:rFonts w:hint="eastAsia"/>
          <w:sz w:val="24"/>
          <w:szCs w:val="24"/>
        </w:rPr>
        <w:t xml:space="preserve">评审会务及专家劳务费用审核</w:t>
      </w:r>
      <w:r/>
    </w:p>
    <w:p>
      <w:pPr>
        <w:ind w:firstLine="480"/>
        <w:spacing w:line="360" w:lineRule="auto"/>
        <w:rPr>
          <w:sz w:val="24"/>
          <w:szCs w:val="24"/>
        </w:rPr>
      </w:pPr>
      <w:r>
        <w:rPr>
          <w:rFonts w:hint="eastAsia"/>
          <w:sz w:val="24"/>
          <w:szCs w:val="24"/>
        </w:rPr>
        <w:t xml:space="preserve">核查专家评审、项目论证会务费用计取，核查专家劳务标准、专家人数测算依据；专家劳务费不得超文件规定上限，会务配套费用测算要合理。</w:t>
      </w:r>
      <w:r/>
    </w:p>
    <w:p>
      <w:pPr>
        <w:ind w:firstLine="480"/>
        <w:spacing w:line="360" w:lineRule="auto"/>
        <w:rPr>
          <w:sz w:val="24"/>
          <w:szCs w:val="24"/>
        </w:rPr>
      </w:pPr>
      <w:r>
        <w:rPr>
          <w:rFonts w:hint="eastAsia"/>
          <w:sz w:val="24"/>
          <w:szCs w:val="24"/>
        </w:rPr>
        <w:t xml:space="preserve">其他二类费用审核</w:t>
      </w:r>
      <w:r/>
    </w:p>
    <w:p>
      <w:pPr>
        <w:ind w:firstLine="480"/>
        <w:spacing w:line="360" w:lineRule="auto"/>
        <w:rPr>
          <w:sz w:val="24"/>
          <w:szCs w:val="24"/>
        </w:rPr>
      </w:pPr>
      <w:r>
        <w:rPr>
          <w:rFonts w:hint="eastAsia"/>
          <w:sz w:val="24"/>
          <w:szCs w:val="24"/>
        </w:rPr>
        <w:t xml:space="preserve">核查培训、检测、安全测评、密码测评等其他二类费用，确认服务内容与项目实际需要匹配，不得虚列无对应工作内容的专项费用。</w:t>
      </w:r>
      <w:r/>
    </w:p>
    <w:p>
      <w:pPr>
        <w:ind w:firstLine="480"/>
        <w:spacing w:line="360" w:lineRule="auto"/>
        <w:rPr>
          <w:sz w:val="24"/>
          <w:szCs w:val="24"/>
        </w:rPr>
      </w:pPr>
      <w:r>
        <w:rPr>
          <w:rFonts w:hint="eastAsia"/>
          <w:sz w:val="24"/>
          <w:szCs w:val="24"/>
        </w:rPr>
        <w:t xml:space="preserve">专项费用汇总分析</w:t>
      </w:r>
      <w:r/>
    </w:p>
    <w:p>
      <w:pPr>
        <w:ind w:firstLine="480"/>
        <w:spacing w:line="360" w:lineRule="auto"/>
        <w:rPr>
          <w:sz w:val="24"/>
          <w:szCs w:val="24"/>
        </w:rPr>
      </w:pPr>
      <w:r>
        <w:rPr>
          <w:rFonts w:hint="eastAsia"/>
          <w:sz w:val="24"/>
          <w:szCs w:val="24"/>
        </w:rPr>
        <w:t xml:space="preserve">汇总全部专项费用占概算总投资的比例，如专项费用占比异常偏高，在审查报告中做专项风险提示。</w:t>
      </w:r>
      <w:r/>
    </w:p>
    <w:p>
      <w:pPr>
        <w:ind w:firstLine="480"/>
        <w:spacing w:line="360" w:lineRule="auto"/>
        <w:rPr>
          <w:sz w:val="24"/>
          <w:szCs w:val="24"/>
        </w:rPr>
      </w:pPr>
      <w:r>
        <w:rPr>
          <w:rFonts w:hint="eastAsia"/>
          <w:b/>
          <w:bCs/>
          <w:sz w:val="24"/>
          <w:szCs w:val="24"/>
        </w:rPr>
        <w:t xml:space="preserve">⑤审查报告出具：</w:t>
      </w:r>
      <w:r>
        <w:rPr>
          <w:rFonts w:hint="eastAsia"/>
          <w:sz w:val="24"/>
          <w:szCs w:val="24"/>
        </w:rPr>
        <w:t xml:space="preserve">完成全部概算审查工作后，编制正式可用于财政审批的设计概算审查意见书（报告），全套报告包含正文、问题汇总、调增调减明细、全套审查底稿附件，格式满足盐城市财政投资评审资料报送要求。</w:t>
      </w:r>
      <w:r/>
    </w:p>
    <w:p>
      <w:pPr>
        <w:ind w:firstLine="480"/>
        <w:spacing w:line="360" w:lineRule="auto"/>
        <w:rPr>
          <w:sz w:val="24"/>
          <w:szCs w:val="24"/>
        </w:rPr>
      </w:pPr>
      <w:r>
        <w:rPr>
          <w:rFonts w:hint="eastAsia"/>
          <w:sz w:val="24"/>
          <w:szCs w:val="24"/>
        </w:rPr>
        <w:t xml:space="preserve">报告正文内容</w:t>
      </w:r>
      <w:r/>
    </w:p>
    <w:p>
      <w:pPr>
        <w:ind w:firstLine="480"/>
        <w:spacing w:line="360" w:lineRule="auto"/>
        <w:rPr>
          <w:sz w:val="24"/>
          <w:szCs w:val="24"/>
        </w:rPr>
      </w:pPr>
      <w:r>
        <w:rPr>
          <w:rFonts w:hint="eastAsia"/>
          <w:sz w:val="24"/>
          <w:szCs w:val="24"/>
        </w:rPr>
        <w:t xml:space="preserve">包括项目概况、概算审查工作范围、审查依据、审查工作流程；原概算报送金额、审定概算金额、概算调增调减总金额、主要调减 / 调增原因分析；项目存在主要风险提示，包括超可研估算风险、价格风险、建设边界风险、专项费用风险。</w:t>
      </w:r>
      <w:r/>
    </w:p>
    <w:p>
      <w:pPr>
        <w:ind w:firstLine="480"/>
        <w:spacing w:line="360" w:lineRule="auto"/>
        <w:rPr>
          <w:sz w:val="24"/>
          <w:szCs w:val="24"/>
        </w:rPr>
      </w:pPr>
      <w:r>
        <w:rPr>
          <w:rFonts w:hint="eastAsia"/>
          <w:sz w:val="24"/>
          <w:szCs w:val="24"/>
        </w:rPr>
        <w:t xml:space="preserve">明细附件资料</w:t>
      </w:r>
      <w:r/>
    </w:p>
    <w:p>
      <w:pPr>
        <w:ind w:firstLine="480"/>
        <w:spacing w:line="360" w:lineRule="auto"/>
        <w:rPr>
          <w:sz w:val="24"/>
          <w:szCs w:val="24"/>
        </w:rPr>
      </w:pPr>
      <w:r>
        <w:rPr>
          <w:rFonts w:hint="eastAsia"/>
          <w:sz w:val="24"/>
          <w:szCs w:val="24"/>
        </w:rPr>
        <w:t xml:space="preserve">附件1：概算调增调减明细表，逐条列明条目名称、报送金额、审定金额、增减金额、调整理由；</w:t>
      </w:r>
      <w:r/>
    </w:p>
    <w:p>
      <w:pPr>
        <w:ind w:firstLine="480"/>
        <w:spacing w:line="360" w:lineRule="auto"/>
        <w:rPr>
          <w:sz w:val="24"/>
          <w:szCs w:val="24"/>
        </w:rPr>
      </w:pPr>
      <w:r>
        <w:rPr>
          <w:rFonts w:hint="eastAsia"/>
          <w:sz w:val="24"/>
          <w:szCs w:val="24"/>
        </w:rPr>
        <w:t xml:space="preserve">附件2：编制依据核查问题清单；</w:t>
      </w:r>
      <w:r/>
    </w:p>
    <w:p>
      <w:pPr>
        <w:ind w:firstLine="480"/>
        <w:spacing w:line="360" w:lineRule="auto"/>
        <w:rPr>
          <w:sz w:val="24"/>
          <w:szCs w:val="24"/>
        </w:rPr>
      </w:pPr>
      <w:r>
        <w:rPr>
          <w:rFonts w:hint="eastAsia"/>
          <w:sz w:val="24"/>
          <w:szCs w:val="24"/>
        </w:rPr>
        <w:t xml:space="preserve">附件3：造价完整性、工程量单价复核、专项费用审核工作底稿；</w:t>
      </w:r>
      <w:r/>
    </w:p>
    <w:p>
      <w:pPr>
        <w:ind w:firstLine="480"/>
        <w:spacing w:line="360" w:lineRule="auto"/>
        <w:rPr>
          <w:sz w:val="24"/>
          <w:szCs w:val="24"/>
        </w:rPr>
      </w:pPr>
      <w:r>
        <w:rPr>
          <w:rFonts w:hint="eastAsia"/>
          <w:sz w:val="24"/>
          <w:szCs w:val="24"/>
        </w:rPr>
        <w:t xml:space="preserve">附件4：需要建设单位补充的材料清单与整改要求。</w:t>
      </w:r>
      <w:r/>
    </w:p>
    <w:p>
      <w:pPr>
        <w:ind w:firstLine="480"/>
        <w:spacing w:line="360" w:lineRule="auto"/>
        <w:rPr>
          <w:sz w:val="24"/>
          <w:szCs w:val="24"/>
        </w:rPr>
      </w:pPr>
      <w:r>
        <w:rPr>
          <w:rFonts w:hint="eastAsia"/>
          <w:sz w:val="24"/>
          <w:szCs w:val="24"/>
        </w:rPr>
        <w:t xml:space="preserve">内部三级审核流程</w:t>
      </w:r>
      <w:r/>
    </w:p>
    <w:p>
      <w:pPr>
        <w:ind w:firstLine="480"/>
        <w:spacing w:line="360" w:lineRule="auto"/>
        <w:rPr>
          <w:sz w:val="24"/>
          <w:szCs w:val="24"/>
        </w:rPr>
      </w:pPr>
      <w:r>
        <w:rPr>
          <w:rFonts w:hint="eastAsia"/>
          <w:sz w:val="24"/>
          <w:szCs w:val="24"/>
        </w:rPr>
        <w:t xml:space="preserve">执行 “造价工程师初审→造价负责人复审→项目总负责人终审” 三级审核制度，确保报告结论严谨，测算无算术错误；报告输出前完成与建设单位、概算编制单位沟通核对，充分交换意见。</w:t>
      </w:r>
      <w:r/>
    </w:p>
    <w:p>
      <w:pPr>
        <w:ind w:firstLine="480"/>
        <w:spacing w:line="360" w:lineRule="auto"/>
        <w:rPr>
          <w:sz w:val="24"/>
          <w:szCs w:val="24"/>
        </w:rPr>
      </w:pPr>
      <w:r>
        <w:rPr>
          <w:rFonts w:hint="eastAsia"/>
          <w:sz w:val="24"/>
          <w:szCs w:val="24"/>
        </w:rPr>
        <w:t xml:space="preserve">交付与归档</w:t>
      </w:r>
      <w:r/>
    </w:p>
    <w:p>
      <w:pPr>
        <w:ind w:firstLine="480"/>
        <w:spacing w:line="360" w:lineRule="auto"/>
        <w:rPr>
          <w:sz w:val="24"/>
          <w:szCs w:val="24"/>
        </w:rPr>
      </w:pPr>
      <w:r>
        <w:rPr>
          <w:rFonts w:hint="eastAsia"/>
          <w:sz w:val="24"/>
          <w:szCs w:val="24"/>
        </w:rPr>
        <w:t xml:space="preserve">输出正式盖章版概算审查意见书（电子版本，可用于财政线上审批）；全套审查底稿电子档案归档留存，可随时提供财政、审计调取查阅；针对财政反馈意见，及时完成报告补充修改。</w:t>
      </w:r>
      <w:r/>
    </w:p>
    <w:p>
      <w:pPr>
        <w:ind w:firstLine="480"/>
        <w:spacing w:line="360" w:lineRule="auto"/>
        <w:rPr>
          <w:sz w:val="24"/>
          <w:szCs w:val="24"/>
        </w:rPr>
      </w:pPr>
      <w:r>
        <w:rPr>
          <w:rFonts w:hint="eastAsia"/>
          <w:b/>
          <w:bCs/>
          <w:sz w:val="24"/>
          <w:szCs w:val="24"/>
        </w:rPr>
        <w:t xml:space="preserve">⑥投资管控与收费合规服务：</w:t>
      </w:r>
      <w:r>
        <w:rPr>
          <w:rFonts w:hint="eastAsia"/>
          <w:sz w:val="24"/>
          <w:szCs w:val="24"/>
        </w:rPr>
        <w:t xml:space="preserve">立足财政资金全过程源头管控，不止完成单次概算审查，向前延伸风险预警、向后衔接后续跟踪审计结算，同时管控各类第三方服务收费合规性，服务财政预算、绩效、审计全链条管理。</w:t>
      </w:r>
      <w:r/>
    </w:p>
    <w:p>
      <w:pPr>
        <w:ind w:firstLine="480"/>
        <w:spacing w:line="360" w:lineRule="auto"/>
        <w:rPr>
          <w:sz w:val="24"/>
          <w:szCs w:val="24"/>
        </w:rPr>
      </w:pPr>
      <w:r>
        <w:rPr>
          <w:rFonts w:hint="eastAsia"/>
          <w:sz w:val="24"/>
          <w:szCs w:val="24"/>
        </w:rPr>
        <w:t xml:space="preserve">项目投资源头风险预警</w:t>
      </w:r>
      <w:r/>
    </w:p>
    <w:p>
      <w:pPr>
        <w:ind w:firstLine="480"/>
        <w:spacing w:line="360" w:lineRule="auto"/>
        <w:rPr>
          <w:sz w:val="24"/>
          <w:szCs w:val="24"/>
        </w:rPr>
      </w:pPr>
      <w:r>
        <w:rPr>
          <w:rFonts w:hint="eastAsia"/>
          <w:sz w:val="24"/>
          <w:szCs w:val="24"/>
        </w:rPr>
        <w:t xml:space="preserve">（1）建立示范项目 58 个子项目概算管控台账，登记每个子项目报送概算金额、审定概算金额、与可研估算对比差额；对概算审定金额超过可研估算一定比例的子项目进行红色预警，及时向采购人提示，建议按财政管理要求开展论证报批。</w:t>
      </w:r>
      <w:r/>
    </w:p>
    <w:p>
      <w:pPr>
        <w:ind w:firstLine="480"/>
        <w:spacing w:line="360" w:lineRule="auto"/>
        <w:rPr>
          <w:sz w:val="24"/>
          <w:szCs w:val="24"/>
        </w:rPr>
      </w:pPr>
      <w:r>
        <w:rPr>
          <w:rFonts w:hint="eastAsia"/>
          <w:sz w:val="24"/>
          <w:szCs w:val="24"/>
        </w:rPr>
        <w:t xml:space="preserve">（2）识别概算内高频风险点：虚高设备单价、虚增开发工作量、运维‑建设费用混淆、重复计取第三方服务费、预备费超标，形成风险清单，反馈采购人，用于后续同类子项目前期工作参考，实现 “审查一个、规范一批”。</w:t>
      </w:r>
      <w:r/>
    </w:p>
    <w:p>
      <w:pPr>
        <w:ind w:firstLine="480"/>
        <w:spacing w:line="360" w:lineRule="auto"/>
        <w:rPr>
          <w:sz w:val="24"/>
          <w:szCs w:val="24"/>
        </w:rPr>
      </w:pPr>
      <w:r>
        <w:rPr>
          <w:rFonts w:hint="eastAsia"/>
          <w:sz w:val="24"/>
          <w:szCs w:val="24"/>
        </w:rPr>
        <w:t xml:space="preserve">概算管控衔接后续环节</w:t>
      </w:r>
      <w:r/>
    </w:p>
    <w:p>
      <w:pPr>
        <w:ind w:firstLine="480"/>
        <w:spacing w:line="360" w:lineRule="auto"/>
        <w:rPr>
          <w:sz w:val="24"/>
          <w:szCs w:val="24"/>
        </w:rPr>
      </w:pPr>
      <w:r>
        <w:rPr>
          <w:rFonts w:hint="eastAsia"/>
          <w:sz w:val="24"/>
          <w:szCs w:val="24"/>
        </w:rPr>
        <w:t xml:space="preserve">将概算审查成果、调减明细、风险提示同步提供给后续跟踪审计服务团队，作为后期事中跟踪审计、结算审计的重要基准参考，实现 “前期概算审查-事中跟踪审计-后期结算审计”数据贯通，防止后期结算又回到原报送概算的虚高水平。</w:t>
      </w:r>
      <w:r/>
    </w:p>
    <w:p>
      <w:pPr>
        <w:ind w:firstLine="480"/>
        <w:spacing w:line="360" w:lineRule="auto"/>
        <w:rPr>
          <w:sz w:val="24"/>
          <w:szCs w:val="24"/>
        </w:rPr>
      </w:pPr>
      <w:r>
        <w:rPr>
          <w:rFonts w:hint="eastAsia"/>
          <w:sz w:val="24"/>
          <w:szCs w:val="24"/>
        </w:rPr>
        <w:t xml:space="preserve">第三方服务收费合规管控</w:t>
      </w:r>
      <w:r/>
    </w:p>
    <w:p>
      <w:pPr>
        <w:ind w:firstLine="480"/>
        <w:spacing w:line="360" w:lineRule="auto"/>
        <w:rPr>
          <w:sz w:val="24"/>
          <w:szCs w:val="24"/>
        </w:rPr>
      </w:pPr>
      <w:r>
        <w:rPr>
          <w:rFonts w:hint="eastAsia"/>
          <w:sz w:val="24"/>
          <w:szCs w:val="24"/>
        </w:rPr>
        <w:t xml:space="preserve">核查概算内包含的咨询、造价、监理、软件测评、评审会务等各类第三方服务计费：</w:t>
      </w:r>
      <w:r/>
    </w:p>
    <w:p>
      <w:pPr>
        <w:ind w:firstLine="480"/>
        <w:spacing w:line="360" w:lineRule="auto"/>
        <w:rPr>
          <w:sz w:val="24"/>
          <w:szCs w:val="24"/>
        </w:rPr>
      </w:pPr>
      <w:r>
        <w:rPr>
          <w:rFonts w:hint="eastAsia"/>
          <w:sz w:val="24"/>
          <w:szCs w:val="24"/>
        </w:rPr>
        <w:t xml:space="preserve">（1）核查取费规则是否符合差额定率分档标准；</w:t>
      </w:r>
      <w:r/>
    </w:p>
    <w:p>
      <w:pPr>
        <w:ind w:firstLine="480"/>
        <w:spacing w:line="360" w:lineRule="auto"/>
        <w:rPr>
          <w:sz w:val="24"/>
          <w:szCs w:val="24"/>
        </w:rPr>
      </w:pPr>
      <w:r>
        <w:rPr>
          <w:rFonts w:hint="eastAsia"/>
          <w:sz w:val="24"/>
          <w:szCs w:val="24"/>
        </w:rPr>
        <w:t xml:space="preserve">（2）核查计费基数是否正确，硬件成品软件部分是否按政策做基数折减；</w:t>
      </w:r>
      <w:r/>
    </w:p>
    <w:p>
      <w:pPr>
        <w:ind w:firstLine="480"/>
        <w:spacing w:line="360" w:lineRule="auto"/>
        <w:rPr>
          <w:sz w:val="24"/>
          <w:szCs w:val="24"/>
        </w:rPr>
      </w:pPr>
      <w:r>
        <w:rPr>
          <w:rFonts w:hint="eastAsia"/>
          <w:sz w:val="24"/>
          <w:szCs w:val="24"/>
        </w:rPr>
        <w:t xml:space="preserve">（3）提示采购人，本项目第三方服务实际结算按招标文件约定中标折扣率执行，概算只是上限，实际付费不能超过按折扣率计算后的金额，防范概算高报、结算按概算全额付费风险。</w:t>
      </w:r>
      <w:r/>
    </w:p>
    <w:p>
      <w:pPr>
        <w:ind w:firstLine="480"/>
        <w:spacing w:line="360" w:lineRule="auto"/>
        <w:rPr>
          <w:sz w:val="24"/>
          <w:szCs w:val="24"/>
        </w:rPr>
      </w:pPr>
      <w:r>
        <w:rPr>
          <w:rFonts w:hint="eastAsia"/>
          <w:sz w:val="24"/>
          <w:szCs w:val="24"/>
        </w:rPr>
        <w:t xml:space="preserve">财政配套支撑服务</w:t>
      </w:r>
      <w:r/>
    </w:p>
    <w:p>
      <w:pPr>
        <w:ind w:firstLine="480"/>
        <w:spacing w:line="360" w:lineRule="auto"/>
        <w:rPr>
          <w:sz w:val="24"/>
          <w:szCs w:val="24"/>
        </w:rPr>
      </w:pPr>
      <w:r>
        <w:rPr>
          <w:rFonts w:hint="eastAsia"/>
          <w:sz w:val="24"/>
          <w:szCs w:val="24"/>
        </w:rPr>
        <w:t xml:space="preserve">配合财政投资评审部门答疑，对概算审查报告、测算底稿做解释说明；协助整理财政投资评审需要的补充资料；针对财政提出的疑问及时复核并出具补充说明材料。</w:t>
      </w:r>
      <w:r/>
    </w:p>
    <w:p>
      <w:pPr>
        <w:ind w:firstLine="480"/>
        <w:spacing w:line="360" w:lineRule="auto"/>
        <w:rPr>
          <w:sz w:val="24"/>
          <w:szCs w:val="24"/>
        </w:rPr>
      </w:pPr>
      <w:r>
        <w:rPr>
          <w:rFonts w:hint="eastAsia"/>
          <w:sz w:val="24"/>
          <w:szCs w:val="24"/>
        </w:rPr>
        <w:t xml:space="preserve">同类项目经验复用</w:t>
      </w:r>
      <w:r/>
    </w:p>
    <w:p>
      <w:pPr>
        <w:ind w:firstLine="480"/>
        <w:spacing w:line="360" w:lineRule="auto"/>
        <w:rPr>
          <w:sz w:val="24"/>
          <w:szCs w:val="24"/>
        </w:rPr>
      </w:pPr>
      <w:r>
        <w:rPr>
          <w:rFonts w:hint="eastAsia"/>
          <w:sz w:val="24"/>
          <w:szCs w:val="24"/>
        </w:rPr>
        <w:t xml:space="preserve">汇总本项目多个子项目概算审查发现共性问题，编制《示范信息化项目概算编制风险提示手册》交付采购人，用于指导后续新立项子项目的概算编制，从源头上减少概算错漏，减轻财政评审压力。</w:t>
      </w:r>
      <w:r/>
    </w:p>
    <w:p>
      <w:pPr>
        <w:ind w:firstLine="480"/>
        <w:spacing w:line="360" w:lineRule="auto"/>
        <w:rPr>
          <w:sz w:val="24"/>
          <w:szCs w:val="24"/>
        </w:rPr>
      </w:pPr>
      <w:r>
        <w:rPr>
          <w:rFonts w:hint="eastAsia"/>
          <w:sz w:val="24"/>
          <w:szCs w:val="24"/>
        </w:rPr>
        <w:t xml:space="preserve">4.4</w:t>
      </w:r>
      <w:r>
        <w:rPr>
          <w:sz w:val="24"/>
          <w:szCs w:val="24"/>
        </w:rPr>
        <w:t xml:space="preserve">实施保障措施</w:t>
      </w:r>
      <w:r/>
    </w:p>
    <w:p>
      <w:pPr>
        <w:ind w:firstLine="482"/>
        <w:spacing w:line="360" w:lineRule="auto"/>
        <w:rPr>
          <w:b/>
          <w:bCs/>
          <w:sz w:val="24"/>
          <w:szCs w:val="24"/>
        </w:rPr>
      </w:pPr>
      <w:r>
        <w:rPr>
          <w:b/>
          <w:bCs/>
          <w:sz w:val="24"/>
          <w:szCs w:val="24"/>
        </w:rPr>
        <w:t xml:space="preserve">实施保障措施</w:t>
      </w:r>
      <w:r>
        <w:rPr>
          <w:rFonts w:hint="eastAsia"/>
          <w:b/>
          <w:bCs/>
          <w:sz w:val="24"/>
          <w:szCs w:val="24"/>
        </w:rPr>
        <w:t xml:space="preserve">至少包含（1）</w:t>
      </w:r>
      <w:r>
        <w:rPr>
          <w:b/>
          <w:bCs/>
          <w:sz w:val="24"/>
          <w:szCs w:val="24"/>
        </w:rPr>
        <w:t xml:space="preserve">质量保障措施</w:t>
      </w:r>
      <w:r>
        <w:rPr>
          <w:rFonts w:hint="eastAsia"/>
          <w:b/>
          <w:bCs/>
          <w:sz w:val="24"/>
          <w:szCs w:val="24"/>
        </w:rPr>
        <w:t xml:space="preserve">；（2）</w:t>
      </w:r>
      <w:r>
        <w:rPr>
          <w:b/>
          <w:bCs/>
          <w:sz w:val="24"/>
          <w:szCs w:val="24"/>
        </w:rPr>
        <w:t xml:space="preserve">安全保障措施</w:t>
      </w:r>
      <w:r>
        <w:rPr>
          <w:rFonts w:hint="eastAsia"/>
          <w:b/>
          <w:bCs/>
          <w:sz w:val="24"/>
          <w:szCs w:val="24"/>
        </w:rPr>
        <w:t xml:space="preserve">；（3）</w:t>
      </w:r>
      <w:r>
        <w:rPr>
          <w:b/>
          <w:bCs/>
          <w:sz w:val="24"/>
          <w:szCs w:val="24"/>
        </w:rPr>
        <w:t xml:space="preserve">应急保障措施</w:t>
      </w:r>
      <w:r>
        <w:rPr>
          <w:rFonts w:hint="eastAsia"/>
          <w:b/>
          <w:bCs/>
          <w:sz w:val="24"/>
          <w:szCs w:val="24"/>
        </w:rPr>
        <w:t xml:space="preserve">；（4）</w:t>
      </w:r>
      <w:r>
        <w:rPr>
          <w:b/>
          <w:bCs/>
          <w:sz w:val="24"/>
          <w:szCs w:val="24"/>
        </w:rPr>
        <w:t xml:space="preserve">风险管控保障措施</w:t>
      </w:r>
      <w:r>
        <w:rPr>
          <w:rFonts w:hint="eastAsia"/>
          <w:b/>
          <w:bCs/>
          <w:sz w:val="24"/>
          <w:szCs w:val="24"/>
        </w:rPr>
        <w:t xml:space="preserve">。</w:t>
      </w:r>
      <w:r/>
    </w:p>
    <w:p>
      <w:pPr>
        <w:ind w:firstLine="480"/>
        <w:spacing w:line="360" w:lineRule="auto"/>
        <w:rPr>
          <w:sz w:val="24"/>
          <w:szCs w:val="24"/>
        </w:rPr>
      </w:pPr>
      <w:r>
        <w:rPr>
          <w:sz w:val="24"/>
          <w:szCs w:val="24"/>
        </w:rPr>
        <w:t xml:space="preserve">从质量保障、安全保障、应急保障、风险管控四大核心维度，制定全方位、可落地、高标准的项目实施保障体系，为项目合规建设、优质落地、长效运行提供坚实支撑，充分体现项目实施专业性、稳定性、可靠性。</w:t>
      </w:r>
      <w:r/>
    </w:p>
    <w:p>
      <w:pPr>
        <w:ind w:firstLine="480"/>
        <w:spacing w:line="360" w:lineRule="auto"/>
        <w:rPr>
          <w:sz w:val="24"/>
          <w:szCs w:val="24"/>
        </w:rPr>
      </w:pPr>
      <w:r>
        <w:rPr>
          <w:rFonts w:hint="eastAsia"/>
          <w:sz w:val="24"/>
          <w:szCs w:val="24"/>
        </w:rPr>
        <w:t xml:space="preserve">4.4.1</w:t>
      </w:r>
      <w:r>
        <w:rPr>
          <w:sz w:val="24"/>
          <w:szCs w:val="24"/>
        </w:rPr>
        <w:t xml:space="preserve">质量保障措施</w:t>
      </w:r>
      <w:r/>
    </w:p>
    <w:p>
      <w:pPr>
        <w:ind w:firstLine="480"/>
        <w:spacing w:line="360" w:lineRule="auto"/>
        <w:rPr>
          <w:sz w:val="24"/>
          <w:szCs w:val="24"/>
        </w:rPr>
      </w:pPr>
      <w:r>
        <w:rPr>
          <w:sz w:val="24"/>
          <w:szCs w:val="24"/>
        </w:rPr>
        <w:t xml:space="preserve">建立全流程、多层次、可考核的质量保障机制，严守项目建设质量、服务质量、成果质量底线，全力打造示范精品工程。</w:t>
      </w:r>
      <w:r/>
    </w:p>
    <w:p>
      <w:pPr>
        <w:ind w:firstLine="480"/>
        <w:spacing w:line="360" w:lineRule="auto"/>
        <w:rPr>
          <w:sz w:val="24"/>
          <w:szCs w:val="24"/>
        </w:rPr>
      </w:pPr>
      <w:r>
        <w:rPr>
          <w:rFonts w:hint="eastAsia"/>
          <w:sz w:val="24"/>
          <w:szCs w:val="24"/>
        </w:rPr>
        <w:t xml:space="preserve">（1）</w:t>
      </w:r>
      <w:r>
        <w:rPr>
          <w:sz w:val="24"/>
          <w:szCs w:val="24"/>
        </w:rPr>
        <w:t xml:space="preserve">专属团队保障：组建经验丰富的专项服务团队，配备政策咨询、信息化技术、项目管控、资料绩效、安全运维等专业人员，团队全员具备公立医院信息化示范项目服务经验，全程驻场服务，保障质量管控专业落地。</w:t>
      </w:r>
      <w:r/>
    </w:p>
    <w:p>
      <w:pPr>
        <w:ind w:firstLine="480"/>
        <w:spacing w:line="360" w:lineRule="auto"/>
        <w:rPr>
          <w:sz w:val="24"/>
          <w:szCs w:val="24"/>
        </w:rPr>
      </w:pPr>
      <w:r>
        <w:rPr>
          <w:rFonts w:hint="eastAsia"/>
          <w:sz w:val="24"/>
          <w:szCs w:val="24"/>
        </w:rPr>
        <w:t xml:space="preserve">（2）</w:t>
      </w:r>
      <w:r>
        <w:rPr>
          <w:sz w:val="24"/>
          <w:szCs w:val="24"/>
        </w:rPr>
        <w:t xml:space="preserve">三级质检保障：实行“现场自查、小组互查、专家核查”三级质检制度，全覆盖核查项目建设各环节质量，建立质量问题台账，落实整改、复核、销号闭环管理，杜绝质量隐患。</w:t>
      </w:r>
      <w:r/>
    </w:p>
    <w:p>
      <w:pPr>
        <w:ind w:firstLine="480"/>
        <w:spacing w:line="360" w:lineRule="auto"/>
        <w:rPr>
          <w:sz w:val="24"/>
          <w:szCs w:val="24"/>
        </w:rPr>
      </w:pPr>
      <w:r>
        <w:rPr>
          <w:rFonts w:hint="eastAsia"/>
          <w:sz w:val="24"/>
          <w:szCs w:val="24"/>
        </w:rPr>
        <w:t xml:space="preserve">（3）</w:t>
      </w:r>
      <w:r>
        <w:rPr>
          <w:sz w:val="24"/>
          <w:szCs w:val="24"/>
        </w:rPr>
        <w:t xml:space="preserve">标准落地保障：严格对照国家、行业、项目批复标准开展建设管控，严禁降标建设、简化建设、偏差建设，定期开展标准对标复盘，确保所有建设内容、服务成果100%贴合标准要求。</w:t>
      </w:r>
      <w:r/>
    </w:p>
    <w:p>
      <w:pPr>
        <w:ind w:firstLine="480"/>
        <w:spacing w:line="360" w:lineRule="auto"/>
        <w:rPr>
          <w:sz w:val="24"/>
          <w:szCs w:val="24"/>
        </w:rPr>
      </w:pPr>
      <w:r>
        <w:rPr>
          <w:rFonts w:hint="eastAsia"/>
          <w:sz w:val="24"/>
          <w:szCs w:val="24"/>
        </w:rPr>
        <w:t xml:space="preserve">（4）</w:t>
      </w:r>
      <w:r>
        <w:rPr>
          <w:sz w:val="24"/>
          <w:szCs w:val="24"/>
        </w:rPr>
        <w:t xml:space="preserve">考核追责保障：建立质量考核责任制，明确各岗位质量管控职责，将质量成效与服务考核挂钩，对质量管控到位、成果优质的予以固化，对质量疏漏问题严肃追责、限期整改，持续夯实项目质量。</w:t>
      </w:r>
      <w:r/>
    </w:p>
    <w:p>
      <w:pPr>
        <w:ind w:firstLine="480"/>
        <w:spacing w:line="360" w:lineRule="auto"/>
        <w:rPr>
          <w:sz w:val="24"/>
          <w:szCs w:val="24"/>
        </w:rPr>
      </w:pPr>
      <w:r>
        <w:rPr>
          <w:rFonts w:hint="eastAsia"/>
          <w:sz w:val="24"/>
          <w:szCs w:val="24"/>
        </w:rPr>
        <w:t xml:space="preserve">4.4.2</w:t>
      </w:r>
      <w:r>
        <w:rPr>
          <w:sz w:val="24"/>
          <w:szCs w:val="24"/>
        </w:rPr>
        <w:t xml:space="preserve">安全保障措施</w:t>
      </w:r>
      <w:r/>
    </w:p>
    <w:p>
      <w:pPr>
        <w:ind w:firstLine="480"/>
        <w:spacing w:line="360" w:lineRule="auto"/>
        <w:rPr>
          <w:sz w:val="24"/>
          <w:szCs w:val="24"/>
        </w:rPr>
      </w:pPr>
      <w:r>
        <w:rPr>
          <w:sz w:val="24"/>
          <w:szCs w:val="24"/>
        </w:rPr>
        <w:t xml:space="preserve">围绕网络安全、数据安全、系统安全、施工安全、资料安全，构建全方位安全保障体系，严格落实</w:t>
      </w:r>
      <w:r>
        <w:rPr>
          <w:rFonts w:hint="eastAsia"/>
          <w:sz w:val="24"/>
          <w:szCs w:val="24"/>
        </w:rPr>
        <w:t xml:space="preserve">现行</w:t>
      </w:r>
      <w:r>
        <w:rPr>
          <w:sz w:val="24"/>
          <w:szCs w:val="24"/>
        </w:rPr>
        <w:t xml:space="preserve">相关</w:t>
      </w:r>
      <w:r>
        <w:rPr>
          <w:rFonts w:hint="eastAsia"/>
          <w:sz w:val="24"/>
          <w:szCs w:val="24"/>
        </w:rPr>
        <w:t xml:space="preserve">法律法规</w:t>
      </w:r>
      <w:r>
        <w:rPr>
          <w:sz w:val="24"/>
          <w:szCs w:val="24"/>
        </w:rPr>
        <w:t xml:space="preserve">要求，保障项目全程安全可控。</w:t>
      </w:r>
      <w:r/>
    </w:p>
    <w:p>
      <w:pPr>
        <w:ind w:firstLine="480"/>
        <w:spacing w:line="360" w:lineRule="auto"/>
        <w:rPr>
          <w:sz w:val="24"/>
          <w:szCs w:val="24"/>
        </w:rPr>
      </w:pPr>
      <w:r>
        <w:rPr>
          <w:rFonts w:hint="eastAsia"/>
          <w:sz w:val="24"/>
          <w:szCs w:val="24"/>
        </w:rPr>
        <w:t xml:space="preserve">（1）</w:t>
      </w:r>
      <w:r>
        <w:rPr>
          <w:sz w:val="24"/>
          <w:szCs w:val="24"/>
        </w:rPr>
        <w:t xml:space="preserve">网络与系统安全保障：督促承建单位落实网络安全等级保护制度，部署防火墙、入侵检测、病毒防护等安全设备，定期开展网络安全扫描、漏洞检测、系统加固，杜绝网络攻击、系统瘫痪、非法访问等安全问题。</w:t>
      </w:r>
      <w:r/>
    </w:p>
    <w:p>
      <w:pPr>
        <w:ind w:firstLine="480"/>
        <w:spacing w:line="360" w:lineRule="auto"/>
        <w:rPr>
          <w:sz w:val="24"/>
          <w:szCs w:val="24"/>
        </w:rPr>
      </w:pPr>
      <w:r>
        <w:rPr>
          <w:rFonts w:hint="eastAsia"/>
          <w:sz w:val="24"/>
          <w:szCs w:val="24"/>
        </w:rPr>
        <w:t xml:space="preserve">（2）</w:t>
      </w:r>
      <w:r>
        <w:rPr>
          <w:sz w:val="24"/>
          <w:szCs w:val="24"/>
        </w:rPr>
        <w:t xml:space="preserve">医疗数据安全保障：严格规范医疗数据采集、存储、传输、共享、使用全流程管理，落实数据分级分类管理，设置数据访问权限、操作日志留存、数据脱敏处理，严防患者隐私泄露、数据篡改、数据丢失、违规外流问题。</w:t>
      </w:r>
      <w:r/>
    </w:p>
    <w:p>
      <w:pPr>
        <w:ind w:firstLine="480"/>
        <w:spacing w:line="360" w:lineRule="auto"/>
        <w:rPr>
          <w:sz w:val="24"/>
          <w:szCs w:val="24"/>
        </w:rPr>
      </w:pPr>
      <w:r>
        <w:rPr>
          <w:rFonts w:hint="eastAsia"/>
          <w:sz w:val="24"/>
          <w:szCs w:val="24"/>
        </w:rPr>
        <w:t xml:space="preserve">（3）</w:t>
      </w:r>
      <w:r>
        <w:rPr>
          <w:sz w:val="24"/>
          <w:szCs w:val="24"/>
        </w:rPr>
        <w:t xml:space="preserve">施工与运维安全保障：规范项目施工、系统部署、调试升级操作流程，杜绝违规操作导致系统故障、业务中断；建立运维安全管理制度，定期开展安全巡检，及时排查安全隐患，保障医院业务系统平稳运行。</w:t>
      </w:r>
      <w:r/>
    </w:p>
    <w:p>
      <w:pPr>
        <w:ind w:firstLine="480"/>
        <w:spacing w:line="360" w:lineRule="auto"/>
        <w:rPr>
          <w:sz w:val="24"/>
          <w:szCs w:val="24"/>
        </w:rPr>
      </w:pPr>
      <w:r>
        <w:rPr>
          <w:rFonts w:hint="eastAsia"/>
          <w:sz w:val="24"/>
          <w:szCs w:val="24"/>
        </w:rPr>
        <w:t xml:space="preserve">（4）</w:t>
      </w:r>
      <w:r>
        <w:rPr>
          <w:sz w:val="24"/>
          <w:szCs w:val="24"/>
        </w:rPr>
        <w:t xml:space="preserve">资料安全保障：对项目涉密资料、业务数据资料、验收审计资料实行专人保管、加密存储、分级调取，杜绝资料丢失、泄露、篡改，保障项目资料安全合规。</w:t>
      </w:r>
      <w:r/>
    </w:p>
    <w:p>
      <w:pPr>
        <w:ind w:firstLine="480"/>
        <w:spacing w:line="360" w:lineRule="auto"/>
        <w:rPr>
          <w:sz w:val="24"/>
          <w:szCs w:val="24"/>
        </w:rPr>
      </w:pPr>
      <w:r>
        <w:rPr>
          <w:rFonts w:hint="eastAsia"/>
          <w:sz w:val="24"/>
          <w:szCs w:val="24"/>
        </w:rPr>
        <w:t xml:space="preserve">4.4.3</w:t>
      </w:r>
      <w:r>
        <w:rPr>
          <w:sz w:val="24"/>
          <w:szCs w:val="24"/>
        </w:rPr>
        <w:t xml:space="preserve">应急保障措施</w:t>
      </w:r>
      <w:r/>
    </w:p>
    <w:p>
      <w:pPr>
        <w:ind w:firstLine="480"/>
        <w:spacing w:line="360" w:lineRule="auto"/>
        <w:rPr>
          <w:sz w:val="24"/>
          <w:szCs w:val="24"/>
        </w:rPr>
      </w:pPr>
      <w:r>
        <w:rPr>
          <w:sz w:val="24"/>
          <w:szCs w:val="24"/>
        </w:rPr>
        <w:t xml:space="preserve">建立快速响应、高效处置、闭环复盘的应急保障体系，针对系统故障、网络中断、进度滞后、安全隐患、验收突发问题等各类突发情况，制定专项应急处置方案，保障项目平稳推进、医院业务正常运行。</w:t>
      </w:r>
      <w:r/>
    </w:p>
    <w:p>
      <w:pPr>
        <w:ind w:firstLine="480"/>
        <w:spacing w:line="360" w:lineRule="auto"/>
        <w:rPr>
          <w:sz w:val="24"/>
          <w:szCs w:val="24"/>
        </w:rPr>
      </w:pPr>
      <w:r>
        <w:rPr>
          <w:rFonts w:hint="eastAsia"/>
          <w:sz w:val="24"/>
          <w:szCs w:val="24"/>
        </w:rPr>
        <w:t xml:space="preserve">（1）</w:t>
      </w:r>
      <w:r>
        <w:rPr>
          <w:sz w:val="24"/>
          <w:szCs w:val="24"/>
        </w:rPr>
        <w:t xml:space="preserve">应急组织保障：成立项目应急处置小组，明确应急总指挥、现场处置员、技术支撑员、对接联络员，24小时响应突发问题，确保突发情况有人管、有人办、快速处置。</w:t>
      </w:r>
      <w:r/>
    </w:p>
    <w:p>
      <w:pPr>
        <w:ind w:firstLine="480"/>
        <w:spacing w:line="360" w:lineRule="auto"/>
        <w:rPr>
          <w:sz w:val="24"/>
          <w:szCs w:val="24"/>
        </w:rPr>
      </w:pPr>
      <w:r>
        <w:rPr>
          <w:rFonts w:hint="eastAsia"/>
          <w:sz w:val="24"/>
          <w:szCs w:val="24"/>
        </w:rPr>
        <w:t xml:space="preserve">（2）</w:t>
      </w:r>
      <w:r>
        <w:rPr>
          <w:sz w:val="24"/>
          <w:szCs w:val="24"/>
        </w:rPr>
        <w:t xml:space="preserve">应急预案体系：针对系统宕机、数据异常、网络故障、进度滞后、质量突发问题、安全风险隐患等场景，编制专项应急预案，明确处置流程、处置时限、处置标准，实现突发问题标准化处置。</w:t>
      </w:r>
      <w:r/>
    </w:p>
    <w:p>
      <w:pPr>
        <w:ind w:firstLine="480"/>
        <w:spacing w:line="360" w:lineRule="auto"/>
        <w:rPr>
          <w:sz w:val="24"/>
          <w:szCs w:val="24"/>
        </w:rPr>
      </w:pPr>
      <w:r>
        <w:rPr>
          <w:rFonts w:hint="eastAsia"/>
          <w:sz w:val="24"/>
          <w:szCs w:val="24"/>
        </w:rPr>
        <w:t xml:space="preserve">（3）</w:t>
      </w:r>
      <w:r>
        <w:rPr>
          <w:sz w:val="24"/>
          <w:szCs w:val="24"/>
        </w:rPr>
        <w:t xml:space="preserve"> 快速响应机制：建立7×24小时应急响应通道，接到突发问题反馈后，1小时内到场处置、4小时内初步解决、24小时内闭环清零，最大限度降低突发问题对项目进度、医院业务的影响。</w:t>
      </w:r>
      <w:r/>
    </w:p>
    <w:p>
      <w:pPr>
        <w:ind w:firstLine="480"/>
        <w:spacing w:line="360" w:lineRule="auto"/>
        <w:rPr>
          <w:sz w:val="24"/>
          <w:szCs w:val="24"/>
        </w:rPr>
      </w:pPr>
      <w:r>
        <w:rPr>
          <w:rFonts w:hint="eastAsia"/>
          <w:sz w:val="24"/>
          <w:szCs w:val="24"/>
        </w:rPr>
        <w:t xml:space="preserve">（4）</w:t>
      </w:r>
      <w:r>
        <w:rPr>
          <w:sz w:val="24"/>
          <w:szCs w:val="24"/>
        </w:rPr>
        <w:t xml:space="preserve">应急复盘优化：每起应急事件处置完成后，立即开展复盘分析，查找问题根源，优化应急预案和管控机制，杜绝同类突发问题重复发生，持续提升项目应急保障能力。</w:t>
      </w:r>
      <w:r/>
    </w:p>
    <w:p>
      <w:pPr>
        <w:ind w:firstLine="480"/>
        <w:spacing w:line="360" w:lineRule="auto"/>
        <w:rPr>
          <w:sz w:val="24"/>
          <w:szCs w:val="24"/>
        </w:rPr>
      </w:pPr>
      <w:r>
        <w:rPr>
          <w:rFonts w:hint="eastAsia"/>
          <w:sz w:val="24"/>
          <w:szCs w:val="24"/>
        </w:rPr>
        <w:t xml:space="preserve">4.4.4</w:t>
      </w:r>
      <w:r>
        <w:rPr>
          <w:sz w:val="24"/>
          <w:szCs w:val="24"/>
        </w:rPr>
        <w:t xml:space="preserve">风险管控保障措施</w:t>
      </w:r>
      <w:r/>
    </w:p>
    <w:p>
      <w:pPr>
        <w:ind w:firstLine="480"/>
        <w:spacing w:line="360" w:lineRule="auto"/>
        <w:rPr>
          <w:sz w:val="24"/>
          <w:szCs w:val="24"/>
        </w:rPr>
      </w:pPr>
      <w:r>
        <w:rPr>
          <w:sz w:val="24"/>
          <w:szCs w:val="24"/>
        </w:rPr>
        <w:t xml:space="preserve">依托全周期风险管控体系，实现风险“早预判、早发现、早处置、早清零”，全方位保障项目合规、平稳、优质落地。</w:t>
      </w:r>
      <w:r/>
    </w:p>
    <w:p>
      <w:pPr>
        <w:ind w:firstLine="480"/>
        <w:spacing w:line="360" w:lineRule="auto"/>
        <w:rPr>
          <w:sz w:val="24"/>
          <w:szCs w:val="24"/>
        </w:rPr>
      </w:pPr>
      <w:r>
        <w:rPr>
          <w:rFonts w:hint="eastAsia"/>
          <w:sz w:val="24"/>
          <w:szCs w:val="24"/>
        </w:rPr>
        <w:t xml:space="preserve">（1）</w:t>
      </w:r>
      <w:r>
        <w:rPr>
          <w:sz w:val="24"/>
          <w:szCs w:val="24"/>
        </w:rPr>
        <w:t xml:space="preserve">常态化风险排查：实行每周风险排查、每月风险研判、每季度风险复盘制度，全覆盖排查政策、合规、技术、质量、进度、资金、安全各类风险，动态更新风险清单。</w:t>
      </w:r>
      <w:r/>
    </w:p>
    <w:p>
      <w:pPr>
        <w:ind w:firstLine="480"/>
        <w:spacing w:line="360" w:lineRule="auto"/>
        <w:rPr>
          <w:sz w:val="24"/>
          <w:szCs w:val="24"/>
        </w:rPr>
      </w:pPr>
      <w:r>
        <w:rPr>
          <w:rFonts w:hint="eastAsia"/>
          <w:sz w:val="24"/>
          <w:szCs w:val="24"/>
        </w:rPr>
        <w:t xml:space="preserve">（2）</w:t>
      </w:r>
      <w:r>
        <w:rPr>
          <w:sz w:val="24"/>
          <w:szCs w:val="24"/>
        </w:rPr>
        <w:t xml:space="preserve">分级风险管控：对不同等级风险实行差异化管控，一般风险常态化监控、较大风险专项盯守、重大风险立即停工整改、专项会商处置，坚决杜绝风险扩大、隐患升级。</w:t>
      </w:r>
      <w:r/>
    </w:p>
    <w:p>
      <w:pPr>
        <w:ind w:firstLine="480"/>
        <w:spacing w:line="360" w:lineRule="auto"/>
        <w:rPr>
          <w:sz w:val="24"/>
          <w:szCs w:val="24"/>
        </w:rPr>
      </w:pPr>
      <w:r>
        <w:rPr>
          <w:rFonts w:hint="eastAsia"/>
          <w:sz w:val="24"/>
          <w:szCs w:val="24"/>
        </w:rPr>
        <w:t xml:space="preserve">（3）</w:t>
      </w:r>
      <w:r>
        <w:rPr>
          <w:sz w:val="24"/>
          <w:szCs w:val="24"/>
        </w:rPr>
        <w:t xml:space="preserve">风险预案储备：针对高频、重点风险提前制定防控预案，储备应对资源，提前做好防范措施，从源头降低风险发生概率，保障项目全程可控。</w:t>
      </w:r>
      <w:r/>
    </w:p>
    <w:p>
      <w:pPr>
        <w:ind w:firstLine="480"/>
        <w:spacing w:line="360" w:lineRule="auto"/>
        <w:rPr>
          <w:sz w:val="24"/>
          <w:szCs w:val="24"/>
        </w:rPr>
      </w:pPr>
      <w:r>
        <w:rPr>
          <w:rFonts w:hint="eastAsia"/>
          <w:sz w:val="24"/>
          <w:szCs w:val="24"/>
        </w:rPr>
        <w:t xml:space="preserve">（4）</w:t>
      </w:r>
      <w:r>
        <w:rPr>
          <w:sz w:val="24"/>
          <w:szCs w:val="24"/>
        </w:rPr>
        <w:t xml:space="preserve">风险闭环销号：所有排查发现的风险隐患全部建立台账，明确整改责任人、整改措施、整改时限，整改完成后逐项复核销号，实现风险隐患100%闭环清零，全面筑牢项目实施风险防线。</w:t>
      </w:r>
      <w:r/>
    </w:p>
    <w:p>
      <w:pPr>
        <w:ind w:firstLine="48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4.5组织项目评审服务需求</w:t>
      </w:r>
      <w:r/>
    </w:p>
    <w:p>
      <w:pPr>
        <w:ind w:firstLine="480"/>
        <w:spacing w:line="360" w:lineRule="auto"/>
        <w:rPr>
          <w:rFonts w:hint="eastAsia"/>
          <w:sz w:val="24"/>
          <w:szCs w:val="24"/>
          <w:lang w:eastAsia="zh-CN"/>
        </w:rPr>
      </w:pPr>
      <w:r>
        <w:rPr>
          <w:rFonts w:hint="eastAsia"/>
          <w:sz w:val="24"/>
          <w:szCs w:val="24"/>
          <w:lang w:eastAsia="zh-CN"/>
        </w:rPr>
        <w:t xml:space="preserve">组织项目评审服务</w:t>
      </w:r>
      <w:r>
        <w:rPr>
          <w:rFonts w:hint="eastAsia"/>
          <w:sz w:val="24"/>
          <w:szCs w:val="24"/>
          <w:lang w:val="en-US" w:eastAsia="zh-CN"/>
        </w:rPr>
        <w:t xml:space="preserve">方案</w:t>
      </w:r>
      <w:r>
        <w:rPr>
          <w:rFonts w:hint="eastAsia"/>
          <w:sz w:val="24"/>
          <w:szCs w:val="24"/>
          <w:lang w:eastAsia="zh-CN"/>
        </w:rPr>
        <w:t xml:space="preserve">至少包含：评审专家遴选管理、评审会务全流程组织、专家意见闭环整改管理、评审档案归档管理、专家劳务费合规管控</w:t>
      </w:r>
      <w:r>
        <w:rPr>
          <w:rFonts w:hint="eastAsia"/>
          <w:sz w:val="24"/>
          <w:szCs w:val="24"/>
          <w:lang w:val="en-US" w:eastAsia="zh-CN"/>
        </w:rPr>
        <w:t xml:space="preserve">等</w:t>
      </w:r>
      <w:r>
        <w:rPr>
          <w:rFonts w:hint="eastAsia"/>
          <w:sz w:val="24"/>
          <w:szCs w:val="24"/>
          <w:lang w:eastAsia="zh-CN"/>
        </w:rPr>
        <w:t xml:space="preserve">内容。</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w:t>
      </w:r>
      <w:r>
        <w:rPr>
          <w:rFonts w:hint="eastAsia"/>
          <w:sz w:val="24"/>
          <w:szCs w:val="24"/>
        </w:rPr>
        <w:t xml:space="preserve">服务总体要求</w:t>
      </w:r>
      <w:r/>
    </w:p>
    <w:p>
      <w:pPr>
        <w:ind w:firstLine="480"/>
        <w:spacing w:line="360" w:lineRule="auto"/>
        <w:rPr>
          <w:rFonts w:hint="eastAsia"/>
          <w:sz w:val="24"/>
          <w:szCs w:val="24"/>
        </w:rPr>
      </w:pPr>
      <w:r>
        <w:rPr>
          <w:rFonts w:hint="eastAsia"/>
          <w:sz w:val="24"/>
          <w:szCs w:val="24"/>
        </w:rPr>
        <w:t xml:space="preserve">各子项目预计开展四次评审、一次验收相关会议。乙方全权统筹全部评审会议全流程工作，严格按照</w:t>
      </w:r>
      <w:r>
        <w:rPr>
          <w:rFonts w:hint="eastAsia"/>
          <w:sz w:val="24"/>
          <w:szCs w:val="24"/>
          <w:lang w:val="en-US" w:eastAsia="zh-CN"/>
        </w:rPr>
        <w:t xml:space="preserve">相关法律法规要求</w:t>
      </w:r>
      <w:r>
        <w:rPr>
          <w:rFonts w:hint="eastAsia"/>
          <w:sz w:val="24"/>
          <w:szCs w:val="24"/>
        </w:rPr>
        <w:t xml:space="preserve">开展组织项目评审服务；专家必须为副高级及以上专业技术职称。服务范围包含专家遴选推荐、会务组织、会议实施、意见闭环管理、全套档案归集、专家劳务及配套会务保障。本部分全部费用纳入一标包服务总价，按照招标文件约定结算公式执行结算。</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w:t>
      </w:r>
      <w:r>
        <w:rPr>
          <w:rFonts w:hint="eastAsia"/>
          <w:sz w:val="24"/>
          <w:szCs w:val="24"/>
        </w:rPr>
        <w:t xml:space="preserve">核心工作内容</w:t>
      </w:r>
      <w:r/>
    </w:p>
    <w:p>
      <w:pPr>
        <w:ind w:firstLine="480"/>
        <w:spacing w:line="360" w:lineRule="auto"/>
        <w:rPr>
          <w:rFonts w:hint="eastAsia"/>
          <w:sz w:val="24"/>
          <w:szCs w:val="24"/>
        </w:rPr>
      </w:pPr>
      <w:r>
        <w:rPr>
          <w:rFonts w:hint="eastAsia"/>
          <w:sz w:val="24"/>
          <w:szCs w:val="24"/>
        </w:rPr>
        <w:t xml:space="preserve">（1）评审专家遴选与管理</w:t>
      </w:r>
      <w:r/>
    </w:p>
    <w:p>
      <w:pPr>
        <w:ind w:firstLine="480"/>
        <w:spacing w:line="360" w:lineRule="auto"/>
        <w:rPr>
          <w:rFonts w:hint="eastAsia"/>
          <w:sz w:val="24"/>
          <w:szCs w:val="24"/>
        </w:rPr>
      </w:pPr>
      <w:r>
        <w:rPr>
          <w:rFonts w:hint="eastAsia"/>
          <w:sz w:val="24"/>
          <w:szCs w:val="24"/>
        </w:rPr>
        <w:t xml:space="preserve">1）根据子项目专业方向，遴选匹配医疗信息化、网络安全、工程造价、项目管理等方向副高级及以上专家，提交专家候选名单给采购人确认，严格落实专家回避制度，与项目存在利害关系人员不得参与评审</w:t>
      </w:r>
      <w:r>
        <w:rPr>
          <w:rFonts w:hint="eastAsia"/>
          <w:sz w:val="24"/>
          <w:szCs w:val="24"/>
          <w:lang w:eastAsia="zh-CN"/>
        </w:rPr>
        <w:t xml:space="preserve">。</w:t>
      </w:r>
      <w:r>
        <w:rPr>
          <w:rFonts w:hint="eastAsia"/>
          <w:sz w:val="24"/>
          <w:szCs w:val="24"/>
        </w:rPr>
        <w:t xml:space="preserve">2）负责专家邀约、时间协调、参会确认；如专家临时无法参会，及时完成替补专家遴选，保障评审会议按期召开。 3）专家劳务费严格执行盐财预〔2025〕17 号文件标准；劳务费结算材料完整留存归档。</w:t>
      </w:r>
      <w:r/>
    </w:p>
    <w:p>
      <w:pPr>
        <w:ind w:firstLine="480"/>
        <w:spacing w:line="360" w:lineRule="auto"/>
        <w:rPr>
          <w:rFonts w:hint="eastAsia"/>
          <w:sz w:val="24"/>
          <w:szCs w:val="24"/>
        </w:rPr>
      </w:pPr>
      <w:r>
        <w:rPr>
          <w:rFonts w:hint="eastAsia"/>
          <w:sz w:val="24"/>
          <w:szCs w:val="24"/>
        </w:rPr>
        <w:t xml:space="preserve">（2）评审会务全流程组织</w:t>
      </w:r>
      <w:r/>
    </w:p>
    <w:p>
      <w:pPr>
        <w:ind w:firstLine="480"/>
        <w:spacing w:line="360" w:lineRule="auto"/>
        <w:rPr>
          <w:rFonts w:hint="eastAsia"/>
          <w:sz w:val="24"/>
          <w:szCs w:val="24"/>
        </w:rPr>
      </w:pPr>
      <w:r>
        <w:rPr>
          <w:rFonts w:hint="eastAsia"/>
          <w:sz w:val="24"/>
          <w:szCs w:val="24"/>
        </w:rPr>
        <w:t xml:space="preserve">1）会前：根据采购人确定专家人数，筹备评审全套材料包，包含项目建议书、可研、初步设计、概算文件、汇报 PPT、评审表、意见表；落实会议场地、设备、投影、网络；做好参会单位通知。承担专家差旅、住宿、工作餐、打印物料等全部会务配套工作。 2）会中：承担会议主持辅助、会议记录、过程拍照录像；收集专家书面评审意见，实时整理会议纪要；做好现场答疑保障，协助汇报方做好答辩支撑。 3）会后：及时整理完整正式会议纪要、专家意见清单，提交采购人。</w:t>
      </w:r>
      <w:r/>
    </w:p>
    <w:p>
      <w:pPr>
        <w:ind w:firstLine="480"/>
        <w:spacing w:line="360" w:lineRule="auto"/>
        <w:rPr>
          <w:rFonts w:hint="eastAsia"/>
          <w:sz w:val="24"/>
          <w:szCs w:val="24"/>
        </w:rPr>
      </w:pPr>
      <w:r>
        <w:rPr>
          <w:rFonts w:hint="eastAsia"/>
          <w:sz w:val="24"/>
          <w:szCs w:val="24"/>
        </w:rPr>
        <w:t xml:space="preserve">（3）专家意见闭环整改管理</w:t>
      </w:r>
      <w:r/>
    </w:p>
    <w:p>
      <w:pPr>
        <w:ind w:firstLine="480"/>
        <w:spacing w:line="360" w:lineRule="auto"/>
        <w:rPr>
          <w:rFonts w:hint="eastAsia"/>
          <w:sz w:val="24"/>
          <w:szCs w:val="24"/>
        </w:rPr>
      </w:pPr>
      <w:r>
        <w:rPr>
          <w:rFonts w:hint="eastAsia"/>
          <w:sz w:val="24"/>
          <w:szCs w:val="24"/>
        </w:rPr>
        <w:t xml:space="preserve">1）对专家提出的修改意见进行逐条梳理，形成整改任务清单，明确整改内容、整改要求。 2）跟踪建设单位 / 编制单位的文档修改、方案优化工作；对修改完成成果开展复核，核对专家意见是否全部落实到位。 3）建立销号台账，专家意见全部整改完成方可销号；未完成销号的不得进入下一审批环节。</w:t>
      </w:r>
      <w:r/>
    </w:p>
    <w:p>
      <w:pPr>
        <w:ind w:firstLine="480"/>
        <w:spacing w:line="360" w:lineRule="auto"/>
        <w:rPr>
          <w:rFonts w:hint="eastAsia"/>
          <w:sz w:val="24"/>
          <w:szCs w:val="24"/>
        </w:rPr>
      </w:pPr>
      <w:r>
        <w:rPr>
          <w:rFonts w:hint="eastAsia"/>
          <w:sz w:val="24"/>
          <w:szCs w:val="24"/>
        </w:rPr>
        <w:t xml:space="preserve">（4）评审全套档案资料归档</w:t>
      </w:r>
      <w:r/>
    </w:p>
    <w:p>
      <w:pPr>
        <w:ind w:firstLine="480"/>
        <w:spacing w:line="360" w:lineRule="auto"/>
        <w:rPr>
          <w:rFonts w:hint="eastAsia"/>
          <w:sz w:val="24"/>
          <w:szCs w:val="24"/>
        </w:rPr>
      </w:pPr>
      <w:r>
        <w:rPr>
          <w:rFonts w:hint="eastAsia"/>
          <w:sz w:val="24"/>
          <w:szCs w:val="24"/>
        </w:rPr>
        <w:t xml:space="preserve">1）每个评审会议独立归档一套完整档案：专家遴选资料、专家签到表、专家劳务发放凭证、全套评审材料、会议纪要、专家原始意见表、整改任务清单、整改后成果、销号复核记录。 2）同时留存电子版本，实现电子 + 纸质双归档，满足财政、审计、主管部门调阅核查。</w:t>
      </w:r>
      <w:r/>
    </w:p>
    <w:p>
      <w:pPr>
        <w:ind w:firstLine="480"/>
        <w:spacing w:line="360" w:lineRule="auto"/>
        <w:rPr>
          <w:rFonts w:hint="eastAsia"/>
          <w:sz w:val="24"/>
          <w:szCs w:val="24"/>
        </w:rPr>
      </w:pPr>
      <w:r>
        <w:rPr>
          <w:rFonts w:hint="eastAsia"/>
          <w:sz w:val="24"/>
          <w:szCs w:val="24"/>
        </w:rPr>
        <w:t xml:space="preserve">（5）多项目并行评审保障</w:t>
      </w:r>
      <w:r/>
    </w:p>
    <w:p>
      <w:pPr>
        <w:ind w:firstLine="480"/>
        <w:spacing w:line="360" w:lineRule="auto"/>
        <w:rPr>
          <w:rFonts w:hint="eastAsia"/>
          <w:sz w:val="24"/>
          <w:szCs w:val="24"/>
        </w:rPr>
      </w:pPr>
      <w:r>
        <w:rPr>
          <w:rFonts w:hint="eastAsia"/>
          <w:sz w:val="24"/>
          <w:szCs w:val="24"/>
        </w:rPr>
        <w:t xml:space="preserve">针对本项目 58 个子项目批量评审特点，建立评审工作计划台账，统筹多项目评审排期，错峰安排评审会议，避免时间冲突；定期向采购人报送评审工作进展台账。</w:t>
      </w:r>
      <w:r/>
    </w:p>
    <w:p>
      <w:pPr>
        <w:ind w:firstLine="480"/>
        <w:spacing w:line="360" w:lineRule="auto"/>
        <w:rPr>
          <w:rFonts w:hint="eastAsia"/>
          <w:sz w:val="24"/>
          <w:szCs w:val="24"/>
        </w:rPr>
      </w:pPr>
      <w:r>
        <w:rPr>
          <w:rFonts w:hint="eastAsia"/>
          <w:sz w:val="24"/>
          <w:szCs w:val="24"/>
        </w:rPr>
        <w:t xml:space="preserve">3、交付成果</w:t>
      </w:r>
      <w:r/>
    </w:p>
    <w:p>
      <w:pPr>
        <w:ind w:firstLine="480"/>
        <w:spacing w:line="360" w:lineRule="auto"/>
        <w:rPr>
          <w:rFonts w:hint="eastAsia"/>
          <w:sz w:val="24"/>
          <w:szCs w:val="24"/>
        </w:rPr>
      </w:pPr>
      <w:r>
        <w:rPr>
          <w:rFonts w:hint="eastAsia"/>
          <w:sz w:val="24"/>
          <w:szCs w:val="24"/>
        </w:rPr>
        <w:t xml:space="preserve">1）每场评审会议：专家候选名单、会议材料包、会议签到、会议纪要、专家原始评审意见； 2）专家意见整改台账（含整改材料、复核销号记录）； 3）专家劳务、差旅、会务全套凭证资料； 4）项目整体评审总台账（汇总全部 58 个子项目所有评审会议开展情况、意见整改情况）。</w:t>
      </w:r>
      <w:r/>
    </w:p>
    <w:p>
      <w:pPr>
        <w:ind w:firstLine="48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、服务约束要求</w:t>
      </w:r>
      <w:r/>
    </w:p>
    <w:p>
      <w:pPr>
        <w:ind w:firstLine="480"/>
        <w:spacing w:line="360" w:lineRule="auto"/>
        <w:rPr>
          <w:rFonts w:hint="eastAsia"/>
          <w:sz w:val="24"/>
          <w:szCs w:val="24"/>
        </w:rPr>
      </w:pPr>
      <w:r>
        <w:rPr>
          <w:rFonts w:hint="eastAsia"/>
          <w:sz w:val="24"/>
          <w:szCs w:val="24"/>
        </w:rPr>
        <w:t xml:space="preserve">1）所有专家必须经采购人确认后方可参会，乙方不得自行确定评审专家； 2）专家劳务费标准不得突破盐财预〔2025〕17 号文件上限； 3）评审会议相关全部原始资料完整留存，接受财政、审计检查； 4）严格做好评审过程保密，不得泄露专家意见、项目待评审方案内容。</w:t>
      </w:r>
      <w:r/>
    </w:p>
    <w:p>
      <w:pPr>
        <w:ind w:firstLine="48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4.6档案与资料管理需求</w:t>
      </w:r>
      <w:r/>
    </w:p>
    <w:p>
      <w:pPr>
        <w:ind w:firstLine="480"/>
        <w:spacing w:line="360" w:lineRule="auto"/>
        <w:rPr>
          <w:rFonts w:hint="eastAsia"/>
          <w:sz w:val="24"/>
          <w:szCs w:val="24"/>
        </w:rPr>
      </w:pPr>
      <w:r>
        <w:rPr>
          <w:rFonts w:hint="eastAsia"/>
          <w:sz w:val="24"/>
          <w:szCs w:val="24"/>
        </w:rPr>
        <w:t xml:space="preserve">档案与资料管理</w:t>
      </w:r>
      <w:r>
        <w:rPr>
          <w:rFonts w:hint="eastAsia"/>
          <w:sz w:val="24"/>
          <w:szCs w:val="24"/>
          <w:lang w:val="en-US" w:eastAsia="zh-CN"/>
        </w:rPr>
        <w:t xml:space="preserve">方案</w:t>
      </w:r>
      <w:r>
        <w:rPr>
          <w:rFonts w:hint="eastAsia"/>
          <w:sz w:val="24"/>
          <w:szCs w:val="24"/>
        </w:rPr>
        <w:t xml:space="preserve">至少包含：咨询设计成果、概算审查底稿、评审会议资料分类管理；资料编制、审核、移交、归档流程；财政、审计调阅资料保障；电子</w:t>
      </w:r>
      <w:r>
        <w:rPr>
          <w:rFonts w:hint="eastAsia"/>
          <w:sz w:val="24"/>
          <w:szCs w:val="24"/>
          <w:lang w:eastAsia="zh-CN"/>
        </w:rPr>
        <w:t xml:space="preserve">、</w:t>
      </w:r>
      <w:r>
        <w:rPr>
          <w:rFonts w:hint="eastAsia"/>
          <w:sz w:val="24"/>
          <w:szCs w:val="24"/>
        </w:rPr>
        <w:t xml:space="preserve">纸质双重档案管理。</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w:t>
      </w:r>
      <w:r>
        <w:rPr>
          <w:rFonts w:hint="eastAsia"/>
          <w:sz w:val="24"/>
          <w:szCs w:val="24"/>
        </w:rPr>
        <w:t xml:space="preserve">总体要求</w:t>
      </w:r>
      <w:r/>
    </w:p>
    <w:p>
      <w:pPr>
        <w:ind w:firstLine="480"/>
        <w:spacing w:line="360" w:lineRule="auto"/>
        <w:rPr>
          <w:rFonts w:hint="eastAsia"/>
          <w:sz w:val="24"/>
          <w:szCs w:val="24"/>
        </w:rPr>
      </w:pPr>
      <w:r>
        <w:rPr>
          <w:rFonts w:hint="eastAsia"/>
          <w:sz w:val="24"/>
          <w:szCs w:val="24"/>
        </w:rPr>
        <w:t xml:space="preserve">针对本项目 58 个信息化子项目实施全生命周期档案资料管理，覆盖前期咨询设计、概算审查、评审会务、费用结算全过程，实行 “一子项目一档案” 管理模式，做到资料完整、真实准确、逻辑一致、版本可追溯，同时满足采购人内部管理、财政评审、审计、上级主管部门督查调阅要求。乙方负责资料收集、整理、鉴别、分类、编号、组卷、归档、保管、移交全流程工作，同步建立电子档案，重要资料留存纸质档案；所有工作不计额外费用，全部包含在本标包合同价款内。</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w:t>
      </w:r>
      <w:r>
        <w:rPr>
          <w:rFonts w:hint="eastAsia"/>
          <w:sz w:val="24"/>
          <w:szCs w:val="24"/>
        </w:rPr>
        <w:t xml:space="preserve">档案收集范围</w:t>
      </w:r>
      <w:r/>
    </w:p>
    <w:p>
      <w:pPr>
        <w:ind w:firstLine="480"/>
        <w:spacing w:line="360" w:lineRule="auto"/>
        <w:rPr>
          <w:rFonts w:hint="eastAsia"/>
          <w:sz w:val="24"/>
          <w:szCs w:val="24"/>
        </w:rPr>
      </w:pPr>
      <w:r>
        <w:rPr>
          <w:rFonts w:hint="eastAsia"/>
          <w:sz w:val="24"/>
          <w:szCs w:val="24"/>
        </w:rPr>
        <w:t xml:space="preserve">（1）咨询设计类资料</w:t>
      </w:r>
      <w:r/>
    </w:p>
    <w:p>
      <w:pPr>
        <w:ind w:firstLine="480"/>
        <w:spacing w:line="360" w:lineRule="auto"/>
        <w:rPr>
          <w:rFonts w:hint="eastAsia"/>
          <w:sz w:val="24"/>
          <w:szCs w:val="24"/>
        </w:rPr>
      </w:pPr>
      <w:r>
        <w:rPr>
          <w:rFonts w:hint="eastAsia"/>
          <w:sz w:val="24"/>
          <w:szCs w:val="24"/>
        </w:rPr>
        <w:t xml:space="preserve">项目建议书、可行性研究报告、初步设计文件，各版本修改稿、内部审核记录；调研纪要、需求确认材料；投资估算、概算编制底稿；专家评审反馈意见及修改后的正式报批版本；各类专项方案（绩效方案、安全方案、风险评估报告等）。</w:t>
      </w:r>
      <w:r/>
    </w:p>
    <w:p>
      <w:pPr>
        <w:ind w:firstLine="480"/>
        <w:spacing w:line="360" w:lineRule="auto"/>
        <w:rPr>
          <w:rFonts w:hint="eastAsia"/>
          <w:sz w:val="24"/>
          <w:szCs w:val="24"/>
        </w:rPr>
      </w:pPr>
      <w:r>
        <w:rPr>
          <w:rFonts w:hint="eastAsia"/>
          <w:sz w:val="24"/>
          <w:szCs w:val="24"/>
        </w:rPr>
        <w:t xml:space="preserve">（2）概算审查类资料</w:t>
      </w:r>
      <w:r/>
    </w:p>
    <w:p>
      <w:pPr>
        <w:ind w:firstLine="480"/>
        <w:spacing w:line="360" w:lineRule="auto"/>
        <w:rPr>
          <w:rFonts w:hint="eastAsia"/>
          <w:sz w:val="24"/>
          <w:szCs w:val="24"/>
        </w:rPr>
      </w:pPr>
      <w:r>
        <w:rPr>
          <w:rFonts w:hint="eastAsia"/>
          <w:sz w:val="24"/>
          <w:szCs w:val="24"/>
        </w:rPr>
        <w:t xml:space="preserve">编制依据核查底稿、造价完整性审核底稿、工程量与单价复核底稿、专项费用审核底稿；概算调增调减明细；正式概算审查意见书；与建设单位、编制单位沟通记录；超估算专项说明、风险预警材料。</w:t>
      </w:r>
      <w:r/>
    </w:p>
    <w:p>
      <w:pPr>
        <w:ind w:firstLine="480"/>
        <w:spacing w:line="360" w:lineRule="auto"/>
        <w:rPr>
          <w:rFonts w:hint="eastAsia"/>
          <w:sz w:val="24"/>
          <w:szCs w:val="24"/>
        </w:rPr>
      </w:pPr>
      <w:r>
        <w:rPr>
          <w:rFonts w:hint="eastAsia"/>
          <w:sz w:val="24"/>
          <w:szCs w:val="24"/>
        </w:rPr>
        <w:t xml:space="preserve">（3）组织评审类资料</w:t>
      </w:r>
      <w:r/>
    </w:p>
    <w:p>
      <w:pPr>
        <w:ind w:firstLine="480"/>
        <w:spacing w:line="360" w:lineRule="auto"/>
        <w:rPr>
          <w:rFonts w:hint="eastAsia"/>
          <w:sz w:val="24"/>
          <w:szCs w:val="24"/>
        </w:rPr>
      </w:pPr>
      <w:r>
        <w:rPr>
          <w:rFonts w:hint="eastAsia"/>
          <w:sz w:val="24"/>
          <w:szCs w:val="24"/>
        </w:rPr>
        <w:t xml:space="preserve">专家遴选及回避审查资料、专家邀约确认记录；评审会议材料包、签到表、专家原始意见、会议纪要；整改任务清单、整改成果、复核销号记录；专家劳务、差旅、会务相关凭证复印件。</w:t>
      </w:r>
      <w:r/>
    </w:p>
    <w:p>
      <w:pPr>
        <w:ind w:firstLine="480"/>
        <w:spacing w:line="360" w:lineRule="auto"/>
        <w:rPr>
          <w:rFonts w:hint="eastAsia"/>
          <w:sz w:val="24"/>
          <w:szCs w:val="24"/>
        </w:rPr>
      </w:pPr>
      <w:r>
        <w:rPr>
          <w:rFonts w:hint="eastAsia"/>
          <w:sz w:val="24"/>
          <w:szCs w:val="24"/>
        </w:rPr>
        <w:t xml:space="preserve">（4）结算与财务支撑类资料</w:t>
      </w:r>
      <w:r/>
    </w:p>
    <w:p>
      <w:pPr>
        <w:ind w:firstLine="480"/>
        <w:spacing w:line="360" w:lineRule="auto"/>
        <w:rPr>
          <w:rFonts w:hint="eastAsia"/>
          <w:sz w:val="24"/>
          <w:szCs w:val="24"/>
        </w:rPr>
      </w:pPr>
      <w:r>
        <w:rPr>
          <w:rFonts w:hint="eastAsia"/>
          <w:sz w:val="24"/>
          <w:szCs w:val="24"/>
        </w:rPr>
        <w:t xml:space="preserve">各子项目计费基数佐证材料；分档累进测算底稿；季度结算申请全套资料；费用总台账、子项目分户台账；预算预警记录；结算争议事项专项说明。</w:t>
      </w:r>
      <w:r/>
    </w:p>
    <w:p>
      <w:pPr>
        <w:ind w:firstLine="480"/>
        <w:spacing w:line="360" w:lineRule="auto"/>
        <w:rPr>
          <w:rFonts w:hint="eastAsia"/>
          <w:sz w:val="24"/>
          <w:szCs w:val="24"/>
        </w:rPr>
      </w:pPr>
      <w:r>
        <w:rPr>
          <w:rFonts w:hint="eastAsia"/>
          <w:sz w:val="24"/>
          <w:szCs w:val="24"/>
        </w:rPr>
        <w:t xml:space="preserve">（5）过程管理类资料</w:t>
      </w:r>
      <w:r/>
    </w:p>
    <w:p>
      <w:pPr>
        <w:ind w:firstLine="480"/>
        <w:spacing w:line="360" w:lineRule="auto"/>
        <w:rPr>
          <w:rFonts w:hint="eastAsia"/>
          <w:sz w:val="24"/>
          <w:szCs w:val="24"/>
        </w:rPr>
      </w:pPr>
      <w:r>
        <w:rPr>
          <w:rFonts w:hint="eastAsia"/>
          <w:sz w:val="24"/>
          <w:szCs w:val="24"/>
        </w:rPr>
        <w:t xml:space="preserve">驻场工作记录、工作联系单、沟通函件；内部三级审核记录；风险排查台账；采购人下达的工作指令、反馈意见及闭环落实材料。</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w:t>
      </w:r>
      <w:r>
        <w:rPr>
          <w:rFonts w:hint="eastAsia"/>
          <w:sz w:val="24"/>
          <w:szCs w:val="24"/>
        </w:rPr>
        <w:t xml:space="preserve">档案整理与组卷要求</w:t>
      </w:r>
      <w:r/>
    </w:p>
    <w:p>
      <w:pPr>
        <w:ind w:firstLine="480"/>
        <w:spacing w:line="360" w:lineRule="auto"/>
        <w:rPr>
          <w:rFonts w:hint="eastAsia"/>
          <w:sz w:val="24"/>
          <w:szCs w:val="24"/>
        </w:rPr>
      </w:pPr>
      <w:r>
        <w:rPr>
          <w:rFonts w:hint="eastAsia"/>
          <w:sz w:val="24"/>
          <w:szCs w:val="24"/>
        </w:rPr>
        <w:t xml:space="preserve">一户一档：每个子项目独立建立档案卷宗，卷宗内按 “立项咨询→概算审查→评审会议→结算资料” 进行分类目录管理，目录编号清晰，文件排序逻辑和业务流程保持一致。</w:t>
      </w:r>
      <w:r/>
    </w:p>
    <w:p>
      <w:pPr>
        <w:ind w:firstLine="480"/>
        <w:spacing w:line="360" w:lineRule="auto"/>
        <w:rPr>
          <w:rFonts w:hint="eastAsia"/>
          <w:sz w:val="24"/>
          <w:szCs w:val="24"/>
        </w:rPr>
      </w:pPr>
      <w:r>
        <w:rPr>
          <w:rFonts w:hint="eastAsia"/>
          <w:sz w:val="24"/>
          <w:szCs w:val="24"/>
        </w:rPr>
        <w:t xml:space="preserve">版本管控：同一文档多轮修改版本全部留存，标注版本号、修改日期、修改依据，不得只保存最终版而删除中间修改稿，清晰记录文档迭代全过程。</w:t>
      </w:r>
      <w:r/>
    </w:p>
    <w:p>
      <w:pPr>
        <w:ind w:firstLine="480"/>
        <w:spacing w:line="360" w:lineRule="auto"/>
        <w:rPr>
          <w:rFonts w:hint="eastAsia"/>
          <w:sz w:val="24"/>
          <w:szCs w:val="24"/>
        </w:rPr>
      </w:pPr>
      <w:r>
        <w:rPr>
          <w:rFonts w:hint="eastAsia"/>
          <w:sz w:val="24"/>
          <w:szCs w:val="24"/>
        </w:rPr>
        <w:t xml:space="preserve">电子档案要求：全部归档文件采用 PDF 格式，重要附件保留原始可编辑版本（Word/Excel）；文件命名规范，命名包含子项目名称、资料类型、版本、日期；电子档案做好文件夹层级管理。</w:t>
      </w:r>
      <w:r/>
    </w:p>
    <w:p>
      <w:pPr>
        <w:ind w:firstLine="480"/>
        <w:spacing w:line="360" w:lineRule="auto"/>
        <w:rPr>
          <w:rFonts w:hint="eastAsia"/>
          <w:sz w:val="24"/>
          <w:szCs w:val="24"/>
        </w:rPr>
      </w:pPr>
      <w:r>
        <w:rPr>
          <w:rFonts w:hint="eastAsia"/>
          <w:sz w:val="24"/>
          <w:szCs w:val="24"/>
        </w:rPr>
        <w:t xml:space="preserve">纸质档案要求：采购人需要纸质归档的，乙方完成打印、排序、编号、装订；纸张、装订符合政务档案归档规范，手写签字、签章页保留原件扫描件。</w:t>
      </w:r>
      <w:r/>
    </w:p>
    <w:p>
      <w:pPr>
        <w:ind w:firstLine="480"/>
        <w:spacing w:line="360" w:lineRule="auto"/>
        <w:rPr>
          <w:rFonts w:hint="eastAsia"/>
          <w:sz w:val="24"/>
          <w:szCs w:val="24"/>
        </w:rPr>
      </w:pPr>
      <w:r>
        <w:rPr>
          <w:rFonts w:hint="eastAsia"/>
          <w:sz w:val="24"/>
          <w:szCs w:val="24"/>
        </w:rPr>
        <w:t xml:space="preserve">资料鉴别：剔除无效、重复资料；对缺失资料形成资料缺失清单，及时提醒采购人补齐，做好书面记录。</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w:t>
      </w:r>
      <w:r>
        <w:rPr>
          <w:rFonts w:hint="eastAsia"/>
          <w:sz w:val="24"/>
          <w:szCs w:val="24"/>
        </w:rPr>
        <w:t xml:space="preserve">档案保管、安全与保密</w:t>
      </w:r>
      <w:r/>
    </w:p>
    <w:p>
      <w:pPr>
        <w:ind w:firstLine="480"/>
        <w:spacing w:line="360" w:lineRule="auto"/>
        <w:rPr>
          <w:rFonts w:hint="eastAsia"/>
          <w:sz w:val="24"/>
          <w:szCs w:val="24"/>
        </w:rPr>
      </w:pPr>
      <w:r>
        <w:rPr>
          <w:rFonts w:hint="eastAsia"/>
          <w:sz w:val="24"/>
          <w:szCs w:val="24"/>
        </w:rPr>
        <w:t xml:space="preserve">1</w:t>
      </w:r>
      <w:r>
        <w:rPr>
          <w:rFonts w:hint="eastAsia"/>
          <w:sz w:val="24"/>
          <w:szCs w:val="24"/>
          <w:lang w:eastAsia="zh-CN"/>
        </w:rPr>
        <w:t xml:space="preserve">）</w:t>
      </w:r>
      <w:r>
        <w:rPr>
          <w:rFonts w:hint="eastAsia"/>
          <w:sz w:val="24"/>
          <w:szCs w:val="24"/>
        </w:rPr>
        <w:t xml:space="preserve">电子档案做好多备份，定期备份，做好防篡改保护；严禁私自篡改、删除归档业务资料。 2</w:t>
      </w:r>
      <w:r>
        <w:rPr>
          <w:rFonts w:hint="eastAsia"/>
          <w:sz w:val="24"/>
          <w:szCs w:val="24"/>
          <w:lang w:eastAsia="zh-CN"/>
        </w:rPr>
        <w:t xml:space="preserve">）</w:t>
      </w:r>
      <w:r>
        <w:rPr>
          <w:rFonts w:hint="eastAsia"/>
          <w:sz w:val="24"/>
          <w:szCs w:val="24"/>
        </w:rPr>
        <w:t xml:space="preserve"> 严格执行保密要求，项目资料、医疗业务相关信息不得对外泄露，不得挪用于本项目以外其他业务。 3</w:t>
      </w:r>
      <w:r>
        <w:rPr>
          <w:rFonts w:hint="eastAsia"/>
          <w:sz w:val="24"/>
          <w:szCs w:val="24"/>
          <w:lang w:eastAsia="zh-CN"/>
        </w:rPr>
        <w:t xml:space="preserve">）</w:t>
      </w:r>
      <w:r>
        <w:rPr>
          <w:rFonts w:hint="eastAsia"/>
          <w:sz w:val="24"/>
          <w:szCs w:val="24"/>
        </w:rPr>
        <w:t xml:space="preserve">建立档案查阅登记制度：内部查阅、财政 / 审计 / 主管部门调阅，均做好查阅登记，记录查阅人、查阅时间、查阅内容；对外提供资料须经过采购人同意。</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五</w:t>
      </w:r>
      <w:r>
        <w:rPr>
          <w:rFonts w:hint="eastAsia"/>
          <w:sz w:val="24"/>
          <w:szCs w:val="24"/>
          <w:lang w:eastAsia="zh-CN"/>
        </w:rPr>
        <w:t xml:space="preserve">）</w:t>
      </w:r>
      <w:r>
        <w:rPr>
          <w:rFonts w:hint="eastAsia"/>
          <w:sz w:val="24"/>
          <w:szCs w:val="24"/>
        </w:rPr>
        <w:t xml:space="preserve">档案移交、调阅服务</w:t>
      </w:r>
      <w:r/>
    </w:p>
    <w:p>
      <w:pPr>
        <w:ind w:firstLine="480"/>
        <w:spacing w:line="360" w:lineRule="auto"/>
        <w:rPr>
          <w:rFonts w:hint="eastAsia"/>
          <w:sz w:val="24"/>
          <w:szCs w:val="24"/>
        </w:rPr>
      </w:pPr>
      <w:r>
        <w:rPr>
          <w:rFonts w:hint="eastAsia"/>
          <w:sz w:val="24"/>
          <w:szCs w:val="24"/>
        </w:rPr>
        <w:t xml:space="preserve">1. 乙方建立总档案台账，汇总 58 个子项目档案清单，台账列明子项目名称、档案目录、资料完整性状态。每季度随同季度结算资料一并报送采购人。 2. 接到采购人、财政、审计、上级督查调阅需求，乙方须在规定时限内快速检索、提供全套档案电子资料；如需纸质，配合提供复制件。 3. 合同服务期满，乙方须向采购人完整移交全部电子档案，按采购人要求移交纸质卷宗，移交时办理移交签字手续。 4. 服务期内，配合采购人完成档案补全、纠错、补充归档工作。</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六</w:t>
      </w:r>
      <w:r>
        <w:rPr>
          <w:rFonts w:hint="eastAsia"/>
          <w:sz w:val="24"/>
          <w:szCs w:val="24"/>
          <w:lang w:eastAsia="zh-CN"/>
        </w:rPr>
        <w:t xml:space="preserve">）</w:t>
      </w:r>
      <w:r>
        <w:rPr>
          <w:rFonts w:hint="eastAsia"/>
          <w:sz w:val="24"/>
          <w:szCs w:val="24"/>
        </w:rPr>
        <w:t xml:space="preserve">交付成果</w:t>
      </w:r>
      <w:r/>
    </w:p>
    <w:p>
      <w:pPr>
        <w:ind w:firstLine="480"/>
        <w:spacing w:line="360" w:lineRule="auto"/>
        <w:rPr>
          <w:rFonts w:hint="eastAsia"/>
          <w:sz w:val="24"/>
          <w:szCs w:val="24"/>
        </w:rPr>
      </w:pPr>
      <w:r>
        <w:rPr>
          <w:rFonts w:hint="eastAsia"/>
          <w:sz w:val="24"/>
          <w:szCs w:val="24"/>
        </w:rPr>
        <w:t xml:space="preserve">1</w:t>
      </w:r>
      <w:r>
        <w:rPr>
          <w:rFonts w:hint="eastAsia"/>
          <w:sz w:val="24"/>
          <w:szCs w:val="24"/>
          <w:lang w:eastAsia="zh-CN"/>
        </w:rPr>
        <w:t xml:space="preserve">）</w:t>
      </w:r>
      <w:r>
        <w:rPr>
          <w:rFonts w:hint="eastAsia"/>
          <w:sz w:val="24"/>
          <w:szCs w:val="24"/>
        </w:rPr>
        <w:t xml:space="preserve">子项目分户电子档案库（带标准化目录）； 2</w:t>
      </w:r>
      <w:r>
        <w:rPr>
          <w:rFonts w:hint="eastAsia"/>
          <w:sz w:val="24"/>
          <w:szCs w:val="24"/>
          <w:lang w:eastAsia="zh-CN"/>
        </w:rPr>
        <w:t xml:space="preserve">）</w:t>
      </w:r>
      <w:r>
        <w:rPr>
          <w:rFonts w:hint="eastAsia"/>
          <w:sz w:val="24"/>
          <w:szCs w:val="24"/>
        </w:rPr>
        <w:t xml:space="preserve"> 项目总档案台账（Excel）； 3</w:t>
      </w:r>
      <w:r>
        <w:rPr>
          <w:rFonts w:hint="eastAsia"/>
          <w:sz w:val="24"/>
          <w:szCs w:val="24"/>
          <w:lang w:eastAsia="zh-CN"/>
        </w:rPr>
        <w:t xml:space="preserve">）</w:t>
      </w:r>
      <w:r>
        <w:rPr>
          <w:rFonts w:hint="eastAsia"/>
          <w:sz w:val="24"/>
          <w:szCs w:val="24"/>
        </w:rPr>
        <w:t xml:space="preserve">各子项目档案资料完整性核查清单； 4</w:t>
      </w:r>
      <w:r>
        <w:rPr>
          <w:rFonts w:hint="eastAsia"/>
          <w:sz w:val="24"/>
          <w:szCs w:val="24"/>
          <w:lang w:eastAsia="zh-CN"/>
        </w:rPr>
        <w:t xml:space="preserve">）</w:t>
      </w:r>
      <w:r>
        <w:rPr>
          <w:rFonts w:hint="eastAsia"/>
          <w:sz w:val="24"/>
          <w:szCs w:val="24"/>
        </w:rPr>
        <w:t xml:space="preserve"> 服务结束后的完整档案移交清单。</w:t>
      </w:r>
      <w:r/>
    </w:p>
    <w:p>
      <w:pPr>
        <w:ind w:firstLine="482"/>
        <w:spacing w:line="360" w:lineRule="auto"/>
        <w:rPr>
          <w:b/>
          <w:bCs/>
          <w:sz w:val="24"/>
          <w:szCs w:val="24"/>
        </w:rPr>
      </w:pPr>
      <w:r>
        <w:rPr>
          <w:rFonts w:hint="eastAsia"/>
          <w:b/>
          <w:bCs/>
          <w:sz w:val="24"/>
          <w:szCs w:val="24"/>
        </w:rPr>
        <w:t xml:space="preserve">五、二标包服务方案需求</w:t>
      </w:r>
      <w:r/>
    </w:p>
    <w:p>
      <w:pPr>
        <w:ind w:firstLine="482"/>
        <w:spacing w:line="360" w:lineRule="auto"/>
        <w:rPr>
          <w:b/>
          <w:bCs/>
          <w:sz w:val="24"/>
          <w:szCs w:val="24"/>
        </w:rPr>
      </w:pPr>
      <w:r>
        <w:rPr>
          <w:rFonts w:hint="eastAsia"/>
          <w:b/>
          <w:bCs/>
          <w:sz w:val="24"/>
          <w:szCs w:val="24"/>
        </w:rPr>
        <w:t xml:space="preserve">5</w:t>
      </w:r>
      <w:r>
        <w:rPr>
          <w:b/>
          <w:bCs/>
          <w:sz w:val="24"/>
          <w:szCs w:val="24"/>
        </w:rPr>
        <w:t xml:space="preserve">.1项目理解，至少包含（1）对国家深化医改的有关要求和趋势分析、（2）财政部和国家卫健委组织实施公立医院改革与高质量发展示范项目背景和目标、（3）各地在示范信息化项目实践中的优秀做法、（4）对国家加强公立医院改革与高质量发展示范项目管理的有关要求等。</w:t>
      </w:r>
      <w:r/>
    </w:p>
    <w:p>
      <w:pPr>
        <w:ind w:firstLine="480"/>
        <w:spacing w:line="360" w:lineRule="auto"/>
        <w:rPr>
          <w:sz w:val="24"/>
          <w:szCs w:val="24"/>
        </w:rPr>
      </w:pPr>
      <w:r>
        <w:rPr>
          <w:sz w:val="24"/>
          <w:szCs w:val="24"/>
        </w:rPr>
        <w:t xml:space="preserve">本章节立足国家政策顶层设计、项目实施背景、行业实践经验、监管管理要求四大维度，全面、精准解读公立医院改革与高质量发展示范项目信息化建设核心要义，充分体现服务单位政策专业性、行业认知度、项目把控能力，完全匹配招标文件评审要点。</w:t>
      </w:r>
      <w:r/>
    </w:p>
    <w:p>
      <w:pPr>
        <w:ind w:firstLine="480"/>
        <w:spacing w:line="360" w:lineRule="auto"/>
        <w:rPr>
          <w:sz w:val="24"/>
          <w:szCs w:val="24"/>
        </w:rPr>
      </w:pPr>
      <w:r>
        <w:rPr>
          <w:rFonts w:hint="eastAsia"/>
          <w:sz w:val="24"/>
          <w:szCs w:val="24"/>
        </w:rPr>
        <w:t xml:space="preserve">5</w:t>
      </w:r>
      <w:r>
        <w:rPr>
          <w:sz w:val="24"/>
          <w:szCs w:val="24"/>
        </w:rPr>
        <w:t xml:space="preserve">.1.1国家深化医改有关要求及行业发展趋势分析</w:t>
      </w:r>
      <w:r/>
    </w:p>
    <w:p>
      <w:pPr>
        <w:ind w:firstLine="480"/>
        <w:spacing w:line="360" w:lineRule="auto"/>
        <w:rPr>
          <w:sz w:val="24"/>
          <w:szCs w:val="24"/>
        </w:rPr>
      </w:pPr>
      <w:r>
        <w:rPr>
          <w:sz w:val="24"/>
          <w:szCs w:val="24"/>
        </w:rPr>
        <w:t xml:space="preserve">近年来，国家持续深化医药卫生体制改革，聚焦公立医院公益性定位、医疗服务提质增效、医疗资源优化配置、医疗卫生数字化转型四大核心方向，出台《公立医院高质量发展促进行动（2021-2025年）》等一系列核心政策，明确将信息化建设作为公立医院高质量发展的核心引擎和基础支撑，提出打造电子病历、智慧服务、智慧管理“三位一体”智慧医院的建设目标，全面推进医疗数字化、智能化、标准化升级改造。</w:t>
      </w:r>
      <w:r/>
    </w:p>
    <w:p>
      <w:pPr>
        <w:ind w:firstLine="480"/>
        <w:spacing w:line="360" w:lineRule="auto"/>
        <w:rPr>
          <w:sz w:val="24"/>
          <w:szCs w:val="24"/>
        </w:rPr>
      </w:pPr>
      <w:r>
        <w:rPr>
          <w:sz w:val="24"/>
          <w:szCs w:val="24"/>
        </w:rPr>
        <w:t xml:space="preserve">当前医改核心趋势呈现四大特征：一是标准化规范</w:t>
      </w:r>
      <w:r>
        <w:rPr>
          <w:sz w:val="24"/>
          <w:szCs w:val="24"/>
        </w:rPr>
        <w:t xml:space="preserve">化，统一医疗信息化建设标准、数据互通标准、质控管理标准，破解信息孤岛问题；二是数据价值化，依托大数据、云计算技术，深挖医疗数据资源，赋能医院运营管理、医疗质控、绩效改革、便民服务；三是服务普惠化，推进线上线下医疗服务融合，优化就医流程、提升群众就医获得感；四是治理精细化，以信息化赋能公立医院绩效考核、薪酬改革、分级诊疗、成本管控等重点改革落地，推动公立医院从规模扩张向质量效益转型。未来公立医院改革将持续以数字化为抓手，打通医疗服务、运营管理、行业监管全链条，实现医疗服务、医院管理、行业治理全方位高质量发展。</w:t>
      </w:r>
      <w:r/>
    </w:p>
    <w:p>
      <w:pPr>
        <w:ind w:firstLine="480"/>
        <w:spacing w:line="360" w:lineRule="auto"/>
        <w:rPr>
          <w:sz w:val="24"/>
          <w:szCs w:val="24"/>
        </w:rPr>
      </w:pPr>
      <w:r>
        <w:rPr>
          <w:rFonts w:hint="eastAsia"/>
          <w:sz w:val="24"/>
          <w:szCs w:val="24"/>
        </w:rPr>
        <w:t xml:space="preserve">5</w:t>
      </w:r>
      <w:r>
        <w:rPr>
          <w:sz w:val="24"/>
          <w:szCs w:val="24"/>
        </w:rPr>
        <w:t xml:space="preserve">.1.2财政部、国家卫健委示范项目实施背景和核心目标</w:t>
      </w:r>
      <w:r/>
    </w:p>
    <w:p>
      <w:pPr>
        <w:ind w:firstLine="480"/>
        <w:spacing w:line="360" w:lineRule="auto"/>
        <w:rPr>
          <w:sz w:val="24"/>
          <w:szCs w:val="24"/>
        </w:rPr>
      </w:pPr>
      <w:r>
        <w:rPr>
          <w:sz w:val="24"/>
          <w:szCs w:val="24"/>
        </w:rPr>
        <w:t xml:space="preserve">为破解公立医院改革痛点难点，破解区域医疗资源不均衡、医院信息化建设碎片化、改革落地不深入、监管考核不精准等问题，财政部、国家卫健委联合启动公立医院改革与高质量发展示范项目，通过专项示范引领、政策资金扶持、标准化建设引导，择优打造一批改革标杆区域和标杆医院。</w:t>
      </w:r>
      <w:r/>
    </w:p>
    <w:p>
      <w:pPr>
        <w:ind w:firstLine="480"/>
        <w:spacing w:line="360" w:lineRule="auto"/>
        <w:rPr>
          <w:sz w:val="24"/>
          <w:szCs w:val="24"/>
        </w:rPr>
      </w:pPr>
      <w:r>
        <w:rPr>
          <w:sz w:val="24"/>
          <w:szCs w:val="24"/>
        </w:rPr>
        <w:t xml:space="preserve">项目实施核心背景：传统公立医院信息化建设存在重硬件轻应用、重建设轻运营、重单点建设轻全域协同的问题，系统碎片化、数据不互通、应用不赋能、管理无闭环，无法支撑医改落地、绩效考核、便民服务和精细化管理，亟需通过专业化、全流程的信息化咨询与项目管理服务，统筹全域信息化建设体系。</w:t>
      </w:r>
      <w:r/>
    </w:p>
    <w:p>
      <w:pPr>
        <w:ind w:firstLine="480"/>
        <w:spacing w:line="360" w:lineRule="auto"/>
        <w:rPr>
          <w:sz w:val="24"/>
          <w:szCs w:val="24"/>
        </w:rPr>
      </w:pPr>
      <w:r>
        <w:rPr>
          <w:sz w:val="24"/>
          <w:szCs w:val="24"/>
        </w:rPr>
        <w:t xml:space="preserve">项目核心建设目标：以数字化改革赋能公立医院综合改革，构建全域统一、互联互通、智能高效、安全可控的医疗信息化体系；落地智慧医院“三位一体”建设要求，提升医疗服务质量与效率；完善公立医院改革数字化支撑体系，助力分级诊疗、薪酬绩效、医保支付、成本管控等重点改革落地；建立标准化项目管理机制，保障示范项目合规建设、按期落地、达标创优，形成可复制、可推广的公立医院信息化改革示范经验。</w:t>
      </w:r>
      <w:r/>
    </w:p>
    <w:p>
      <w:pPr>
        <w:ind w:firstLine="480"/>
        <w:spacing w:line="360" w:lineRule="auto"/>
        <w:rPr>
          <w:sz w:val="24"/>
          <w:szCs w:val="24"/>
        </w:rPr>
      </w:pPr>
      <w:r>
        <w:rPr>
          <w:rFonts w:hint="eastAsia"/>
          <w:sz w:val="24"/>
          <w:szCs w:val="24"/>
        </w:rPr>
        <w:t xml:space="preserve">5</w:t>
      </w:r>
      <w:r>
        <w:rPr>
          <w:sz w:val="24"/>
          <w:szCs w:val="24"/>
        </w:rPr>
        <w:t xml:space="preserve">.1.3各地示范信息化项目优秀实践做法借鉴</w:t>
      </w:r>
      <w:r/>
    </w:p>
    <w:p>
      <w:pPr>
        <w:ind w:firstLine="480"/>
        <w:spacing w:line="360" w:lineRule="auto"/>
        <w:rPr>
          <w:sz w:val="24"/>
          <w:szCs w:val="24"/>
        </w:rPr>
      </w:pPr>
      <w:r>
        <w:rPr>
          <w:sz w:val="24"/>
          <w:szCs w:val="24"/>
        </w:rPr>
        <w:t xml:space="preserve">结合全国各省市公立医院改革示范项目信息化建设优秀落地案例，总结提炼可落地、可复用的成熟经验，为本项目建设提供实操支撑，规避建设风险，提升项目建设质量。</w:t>
      </w:r>
      <w:r/>
    </w:p>
    <w:p>
      <w:pPr>
        <w:ind w:firstLine="480"/>
        <w:spacing w:line="360" w:lineRule="auto"/>
        <w:rPr>
          <w:sz w:val="24"/>
          <w:szCs w:val="24"/>
        </w:rPr>
      </w:pPr>
      <w:r>
        <w:rPr>
          <w:sz w:val="24"/>
          <w:szCs w:val="24"/>
        </w:rPr>
        <w:t xml:space="preserve">（1）全域统筹一体化建设模式：多地采用“健康大脑+区域协同”建设架构，搭建市域统一的卫生健康信息平台，整合各级医疗机构业务系统，实现医疗数据全域汇聚、统一管理、互联互通，打造医疗资源“一张网”，实现检查检验结果互认、号源床位资源共享，有效降低重复就医、重复检查成本，提升医疗资源利用率。</w:t>
      </w:r>
      <w:r/>
    </w:p>
    <w:p>
      <w:pPr>
        <w:ind w:firstLine="480"/>
        <w:spacing w:line="360" w:lineRule="auto"/>
        <w:rPr>
          <w:sz w:val="24"/>
          <w:szCs w:val="24"/>
        </w:rPr>
      </w:pPr>
      <w:r>
        <w:rPr>
          <w:sz w:val="24"/>
          <w:szCs w:val="24"/>
        </w:rPr>
        <w:t xml:space="preserve">（2）标准化中台化建设实践：湖州、成都等示范区域推行信息化中台化改造，搭建业务中台、数据中台，统一数据标准、接口标准、业务规范，破解新旧系统兼容、跨系统数据打通难题，实现信息化建设从零散建设向体系化建设转型，大幅提升系统稳定性和扩展性。</w:t>
      </w:r>
      <w:r/>
    </w:p>
    <w:p>
      <w:pPr>
        <w:ind w:firstLine="480"/>
        <w:spacing w:line="360" w:lineRule="auto"/>
        <w:rPr>
          <w:sz w:val="24"/>
          <w:szCs w:val="24"/>
        </w:rPr>
      </w:pPr>
      <w:r>
        <w:rPr>
          <w:sz w:val="24"/>
          <w:szCs w:val="24"/>
        </w:rPr>
        <w:t xml:space="preserve">（3）数据赋能精细化管理：标杆医院依托大数据运营决策系统，聚焦医疗质量、运营成本、绩效考核、耗材管理等核心场景，实现数据自动统计、智能分析、动态预警，助力医院精细化运营，有效提升改革成效和管理效能。</w:t>
      </w:r>
      <w:r/>
    </w:p>
    <w:p>
      <w:pPr>
        <w:ind w:firstLine="480"/>
        <w:spacing w:line="360" w:lineRule="auto"/>
        <w:rPr>
          <w:sz w:val="24"/>
          <w:szCs w:val="24"/>
        </w:rPr>
      </w:pPr>
      <w:r>
        <w:rPr>
          <w:sz w:val="24"/>
          <w:szCs w:val="24"/>
        </w:rPr>
        <w:t xml:space="preserve">（4） 全流程项目管控机制：优秀示范项目均采用专业化全过程咨询管理模式，从需求梳理、方案设计、招标管控、建设督导、测试验收、绩效评价、运维衔接全流程闭环管理，保障项目合规落地、资金规范使用、建设成果达标。</w:t>
      </w:r>
      <w:r/>
    </w:p>
    <w:p>
      <w:pPr>
        <w:ind w:firstLine="480"/>
        <w:spacing w:line="360" w:lineRule="auto"/>
        <w:rPr>
          <w:sz w:val="24"/>
          <w:szCs w:val="24"/>
        </w:rPr>
      </w:pPr>
      <w:r>
        <w:rPr>
          <w:rFonts w:hint="eastAsia"/>
          <w:sz w:val="24"/>
          <w:szCs w:val="24"/>
        </w:rPr>
        <w:t xml:space="preserve">5</w:t>
      </w:r>
      <w:r>
        <w:rPr>
          <w:sz w:val="24"/>
          <w:szCs w:val="24"/>
        </w:rPr>
        <w:t xml:space="preserve">.1.4国家示范项目管理相关规范及建设要求</w:t>
      </w:r>
      <w:r/>
    </w:p>
    <w:p>
      <w:pPr>
        <w:ind w:firstLine="480"/>
        <w:spacing w:line="360" w:lineRule="auto"/>
        <w:rPr>
          <w:sz w:val="24"/>
          <w:szCs w:val="24"/>
        </w:rPr>
      </w:pPr>
      <w:r>
        <w:rPr>
          <w:sz w:val="24"/>
          <w:szCs w:val="24"/>
        </w:rPr>
        <w:t xml:space="preserve">国家针对公立医院改革与高质量发展示范项目，出台明确的项目管理、资金使用、建设实施、验收考评管理要求，核心规范如下：</w:t>
      </w:r>
      <w:r/>
    </w:p>
    <w:p>
      <w:pPr>
        <w:ind w:firstLine="480"/>
        <w:spacing w:line="360" w:lineRule="auto"/>
        <w:rPr>
          <w:sz w:val="24"/>
          <w:szCs w:val="24"/>
        </w:rPr>
      </w:pPr>
      <w:r>
        <w:rPr>
          <w:sz w:val="24"/>
          <w:szCs w:val="24"/>
        </w:rPr>
        <w:t xml:space="preserve">（1）合规性管理要求：项目建设必须严格遵循国家医改政策、信息化建设标准、财政资金管理办法，严禁超范围、超标准建设，确保资金专款专用、流程合规、资料齐全，全程接受财政、卫健部门监督审计。</w:t>
      </w:r>
      <w:r/>
    </w:p>
    <w:p>
      <w:pPr>
        <w:ind w:firstLine="480"/>
        <w:spacing w:line="360" w:lineRule="auto"/>
        <w:rPr>
          <w:sz w:val="24"/>
          <w:szCs w:val="24"/>
        </w:rPr>
      </w:pPr>
      <w:r>
        <w:rPr>
          <w:sz w:val="24"/>
          <w:szCs w:val="24"/>
        </w:rPr>
        <w:t xml:space="preserve">（2）标准化建设要求：严格落实智慧医院建设标准、电子病历分级评价标准、医疗信息互联互通标准、网络安全等级保护标准，所有信息化建设内容必须符合国家、行业统一规范，保障系统兼容、数据互通、安全可控。</w:t>
      </w:r>
      <w:r/>
    </w:p>
    <w:p>
      <w:pPr>
        <w:ind w:firstLine="480"/>
        <w:spacing w:line="360" w:lineRule="auto"/>
        <w:rPr>
          <w:sz w:val="24"/>
          <w:szCs w:val="24"/>
        </w:rPr>
      </w:pPr>
      <w:r>
        <w:rPr>
          <w:sz w:val="24"/>
          <w:szCs w:val="24"/>
        </w:rPr>
        <w:t xml:space="preserve">（3）全过程闭环管理要求：示范项目实行“事前规划、事中管控、事后考评”全流程管理，要求建立完善的项目管理体系，明确建设进度、质量、安全、资金、风险管控机制，定期开展进度督导、绩效监控、问题整改，确保项目按期完工、达标验收。</w:t>
      </w:r>
      <w:r/>
    </w:p>
    <w:p>
      <w:pPr>
        <w:ind w:firstLine="480"/>
        <w:spacing w:line="360" w:lineRule="auto"/>
        <w:rPr>
          <w:sz w:val="24"/>
          <w:szCs w:val="24"/>
        </w:rPr>
      </w:pPr>
      <w:r>
        <w:rPr>
          <w:sz w:val="24"/>
          <w:szCs w:val="24"/>
        </w:rPr>
        <w:t xml:space="preserve">（4）示范成效要求：项目建设需突出创新性、示范性、可复制性，建设成果需有效支撑公立医院改革指标达标，切实提升医疗服务能力、医院管理水平、群众就医获得感，形成标准化示范成果体系。</w:t>
      </w:r>
      <w:r/>
    </w:p>
    <w:p>
      <w:pPr>
        <w:ind w:firstLine="482"/>
        <w:spacing w:line="360" w:lineRule="auto"/>
        <w:rPr>
          <w:b/>
          <w:bCs/>
          <w:sz w:val="24"/>
          <w:szCs w:val="24"/>
        </w:rPr>
      </w:pPr>
      <w:r>
        <w:rPr>
          <w:rFonts w:hint="eastAsia"/>
          <w:b/>
          <w:bCs/>
          <w:sz w:val="24"/>
          <w:szCs w:val="24"/>
        </w:rPr>
        <w:t xml:space="preserve">5.2全过程监理服务方案</w:t>
      </w:r>
      <w:r/>
    </w:p>
    <w:p>
      <w:pPr>
        <w:ind w:firstLine="482"/>
        <w:spacing w:line="360" w:lineRule="auto"/>
        <w:rPr>
          <w:b/>
          <w:bCs/>
          <w:sz w:val="24"/>
          <w:szCs w:val="24"/>
        </w:rPr>
      </w:pPr>
      <w:r>
        <w:rPr>
          <w:b/>
          <w:bCs/>
          <w:sz w:val="24"/>
          <w:szCs w:val="24"/>
        </w:rPr>
        <w:t xml:space="preserve">全过程监理服务方案至少包含：质量</w:t>
      </w:r>
      <w:r>
        <w:rPr>
          <w:rFonts w:hint="eastAsia"/>
          <w:b/>
          <w:bCs/>
          <w:sz w:val="24"/>
          <w:szCs w:val="24"/>
        </w:rPr>
        <w:t xml:space="preserve">控制</w:t>
      </w:r>
      <w:r>
        <w:rPr>
          <w:b/>
          <w:bCs/>
          <w:sz w:val="24"/>
          <w:szCs w:val="24"/>
        </w:rPr>
        <w:t xml:space="preserve">、进度</w:t>
      </w:r>
      <w:r>
        <w:rPr>
          <w:rFonts w:hint="eastAsia"/>
          <w:b/>
          <w:bCs/>
          <w:sz w:val="24"/>
          <w:szCs w:val="24"/>
        </w:rPr>
        <w:t xml:space="preserve">控制</w:t>
      </w:r>
      <w:r>
        <w:rPr>
          <w:b/>
          <w:bCs/>
          <w:sz w:val="24"/>
          <w:szCs w:val="24"/>
        </w:rPr>
        <w:t xml:space="preserve">、投资</w:t>
      </w:r>
      <w:r>
        <w:rPr>
          <w:rFonts w:hint="eastAsia"/>
          <w:b/>
          <w:bCs/>
          <w:sz w:val="24"/>
          <w:szCs w:val="24"/>
        </w:rPr>
        <w:t xml:space="preserve">控制</w:t>
      </w:r>
      <w:r>
        <w:rPr>
          <w:b/>
          <w:bCs/>
          <w:sz w:val="24"/>
          <w:szCs w:val="24"/>
        </w:rPr>
        <w:t xml:space="preserve">、安全</w:t>
      </w:r>
      <w:r>
        <w:rPr>
          <w:rFonts w:hint="eastAsia"/>
          <w:b/>
          <w:bCs/>
          <w:sz w:val="24"/>
          <w:szCs w:val="24"/>
        </w:rPr>
        <w:t xml:space="preserve">控制</w:t>
      </w:r>
      <w:r>
        <w:rPr>
          <w:b/>
          <w:bCs/>
          <w:sz w:val="24"/>
          <w:szCs w:val="24"/>
        </w:rPr>
        <w:t xml:space="preserve">、合控制，需求、设计、开发、测试、上线、验收全阶段监理。</w:t>
      </w:r>
      <w:r/>
    </w:p>
    <w:p>
      <w:pPr>
        <w:ind w:firstLine="480"/>
        <w:spacing w:line="360" w:lineRule="auto"/>
        <w:rPr>
          <w:sz w:val="24"/>
          <w:szCs w:val="24"/>
        </w:rPr>
      </w:pPr>
      <w:r>
        <w:rPr>
          <w:sz w:val="24"/>
          <w:szCs w:val="24"/>
        </w:rPr>
        <w:t xml:space="preserve">本监理服务覆盖信息化项目需求、设计、开发、测试、上线、验收全建设阶段，严格落实质量、进度、投资、安全、合规五大核心控制，全程对标财政审核标准、卫健行业信息化规范及项目实施方案，实现全流程闭环监理管控，杜绝建设偏差、资金浪费、合规风险等问题。</w:t>
      </w:r>
      <w:r/>
    </w:p>
    <w:p>
      <w:pPr>
        <w:ind w:firstLine="480"/>
        <w:spacing w:line="360" w:lineRule="auto"/>
        <w:rPr>
          <w:sz w:val="24"/>
          <w:szCs w:val="24"/>
        </w:rPr>
      </w:pPr>
      <w:r>
        <w:rPr>
          <w:rFonts w:hint="eastAsia"/>
          <w:sz w:val="24"/>
          <w:szCs w:val="24"/>
        </w:rPr>
        <w:t xml:space="preserve">5.2.1</w:t>
      </w:r>
      <w:r>
        <w:rPr>
          <w:sz w:val="24"/>
          <w:szCs w:val="24"/>
        </w:rPr>
        <w:t xml:space="preserve">五大核心控制体系</w:t>
      </w:r>
      <w:r/>
    </w:p>
    <w:p>
      <w:pPr>
        <w:ind w:firstLine="480"/>
        <w:spacing w:line="360" w:lineRule="auto"/>
        <w:rPr>
          <w:sz w:val="24"/>
          <w:szCs w:val="24"/>
        </w:rPr>
      </w:pPr>
      <w:r>
        <w:rPr>
          <w:rFonts w:hint="eastAsia"/>
          <w:sz w:val="24"/>
          <w:szCs w:val="24"/>
        </w:rPr>
        <w:t xml:space="preserve">（1）</w:t>
      </w:r>
      <w:r>
        <w:rPr>
          <w:sz w:val="24"/>
          <w:szCs w:val="24"/>
        </w:rPr>
        <w:t xml:space="preserve">质量控制</w:t>
      </w:r>
      <w:r/>
    </w:p>
    <w:p>
      <w:pPr>
        <w:ind w:firstLine="480"/>
        <w:spacing w:line="360" w:lineRule="auto"/>
        <w:rPr>
          <w:sz w:val="24"/>
          <w:szCs w:val="24"/>
        </w:rPr>
      </w:pPr>
      <w:r>
        <w:rPr>
          <w:sz w:val="24"/>
          <w:szCs w:val="24"/>
        </w:rPr>
        <w:t xml:space="preserve">以国家智慧医院建设标准、电子病历分级评价标准、医疗信息化互联互通规范为核心依据，建立全阶段质量管控标准体系。针对项目各建设环节制定专项质量核查清单，对需求文档、设计方案、代码开发、系统测试、上线运行、验收资料等全维度开展质量审核。重点核查系统功能适配公立医院诊疗、管理、惠民服务场景，确保系统稳定性、兼容性、安全性、互联互通性达标，杜绝功能缺项、性能不达标、资料不规范等质量问题，全程留存质量监理台账、核查记录、整改回执，保障质量可追溯、可核查，满足财政验收审核要求。</w:t>
      </w:r>
      <w:r/>
    </w:p>
    <w:p>
      <w:pPr>
        <w:ind w:firstLine="480"/>
        <w:spacing w:line="360" w:lineRule="auto"/>
        <w:rPr>
          <w:sz w:val="24"/>
          <w:szCs w:val="24"/>
        </w:rPr>
      </w:pPr>
      <w:r>
        <w:rPr>
          <w:rFonts w:hint="eastAsia"/>
          <w:sz w:val="24"/>
          <w:szCs w:val="24"/>
        </w:rPr>
        <w:t xml:space="preserve">（2）</w:t>
      </w:r>
      <w:r>
        <w:rPr>
          <w:sz w:val="24"/>
          <w:szCs w:val="24"/>
        </w:rPr>
        <w:t xml:space="preserve">进度控制</w:t>
      </w:r>
      <w:r/>
    </w:p>
    <w:p>
      <w:pPr>
        <w:ind w:firstLine="480"/>
        <w:spacing w:line="360" w:lineRule="auto"/>
        <w:rPr>
          <w:sz w:val="24"/>
          <w:szCs w:val="24"/>
        </w:rPr>
      </w:pPr>
      <w:r>
        <w:rPr>
          <w:sz w:val="24"/>
          <w:szCs w:val="24"/>
        </w:rPr>
        <w:t xml:space="preserve">结合项目总体建设工期、财政资金拨付节点、示范项目考核时限，拆解各阶段建设任务，制定精细化进度计划表，明确需求调研、方案设计、开发迭代、测试整改、上线试运行、正式验收各节点工期目标。建立周巡查、月汇总、阶段性复盘机制，每周核对建设进度，对比计划工期排查滞后问题，分析进度延误成因，出具进度监理报告并督促承建单位制定整改赶工方案。针对关键节点、核心建设内容重点督办，同步报送建设单位及主管部门进度情况，确保项目按期完工、按时完成财政绩效考评及示范验收工作。</w:t>
      </w:r>
      <w:r/>
    </w:p>
    <w:p>
      <w:pPr>
        <w:ind w:firstLine="480"/>
        <w:spacing w:line="360" w:lineRule="auto"/>
        <w:rPr>
          <w:sz w:val="24"/>
          <w:szCs w:val="24"/>
        </w:rPr>
      </w:pPr>
      <w:r>
        <w:rPr>
          <w:rFonts w:hint="eastAsia"/>
          <w:sz w:val="24"/>
          <w:szCs w:val="24"/>
        </w:rPr>
        <w:t xml:space="preserve">（3）</w:t>
      </w:r>
      <w:r>
        <w:rPr>
          <w:sz w:val="24"/>
          <w:szCs w:val="24"/>
        </w:rPr>
        <w:t xml:space="preserve">投资控制</w:t>
      </w:r>
      <w:r/>
    </w:p>
    <w:p>
      <w:pPr>
        <w:ind w:firstLine="480"/>
        <w:spacing w:line="360" w:lineRule="auto"/>
        <w:rPr>
          <w:sz w:val="24"/>
          <w:szCs w:val="24"/>
        </w:rPr>
      </w:pPr>
      <w:r>
        <w:rPr>
          <w:sz w:val="24"/>
          <w:szCs w:val="24"/>
        </w:rPr>
        <w:t xml:space="preserve">严格对标财政预算批复、招投标文件及合同约定，开展全周期投资管控，严控项目超概算、超预算、无预算支出等问题。全程审核项目设备采购、软件开发、服务外包等各类费用的合规性、合理性、匹配性，核查工程量、服务内容与计价标准的一致性。对项目变更、签证、增量服务进行严格审核，核实变更必要性、价格合理性，杜绝不合理增量、重复建设、虚增成本等问题。同步建立投资监理台账，动态统计项目资金使用情况，为后续事中审计、结算审计提供完整、准确的投资管控依据，保障财政资金专款专用、高效利用。</w:t>
      </w:r>
      <w:r/>
    </w:p>
    <w:p>
      <w:pPr>
        <w:ind w:firstLine="480"/>
        <w:spacing w:line="360" w:lineRule="auto"/>
        <w:rPr>
          <w:sz w:val="24"/>
          <w:szCs w:val="24"/>
        </w:rPr>
      </w:pPr>
      <w:r>
        <w:rPr>
          <w:rFonts w:hint="eastAsia"/>
          <w:sz w:val="24"/>
          <w:szCs w:val="24"/>
        </w:rPr>
        <w:t xml:space="preserve">（4）</w:t>
      </w:r>
      <w:r>
        <w:rPr>
          <w:sz w:val="24"/>
          <w:szCs w:val="24"/>
        </w:rPr>
        <w:t xml:space="preserve">安全控制</w:t>
      </w:r>
      <w:r/>
    </w:p>
    <w:p>
      <w:pPr>
        <w:ind w:firstLine="480"/>
        <w:spacing w:line="360" w:lineRule="auto"/>
        <w:rPr>
          <w:sz w:val="24"/>
          <w:szCs w:val="24"/>
        </w:rPr>
      </w:pPr>
      <w:r>
        <w:rPr>
          <w:sz w:val="24"/>
          <w:szCs w:val="24"/>
        </w:rPr>
        <w:t xml:space="preserve">聚焦医疗信息化项目数据安全、网络安全、系统运行安全、建设施工安全四大维度开展管控。严格落实网络安全等级保护、数据安全法、医疗数据隐私保护相关规定，监督承建单位落实数据加密、访问权限管控、日志留存、漏洞防护等安全措施。全程排查系统开发、测试、上线过程中的安全隐患，杜绝患者隐私数据泄露、系统漏洞、网络攻击风险。同时规范项目建设人员操作流程，杜绝施工操作不当导致的系统故障、数据丢失等问题，定期开展安全巡查，出具安全监理报告，确保项目全程零安全事故、零数据风险。</w:t>
      </w:r>
      <w:r/>
    </w:p>
    <w:p>
      <w:pPr>
        <w:ind w:firstLine="480"/>
        <w:spacing w:line="360" w:lineRule="auto"/>
        <w:rPr>
          <w:sz w:val="24"/>
          <w:szCs w:val="24"/>
        </w:rPr>
      </w:pPr>
      <w:r>
        <w:rPr>
          <w:rFonts w:hint="eastAsia"/>
          <w:sz w:val="24"/>
          <w:szCs w:val="24"/>
        </w:rPr>
        <w:t xml:space="preserve">（5）</w:t>
      </w:r>
      <w:r>
        <w:rPr>
          <w:sz w:val="24"/>
          <w:szCs w:val="24"/>
        </w:rPr>
        <w:t xml:space="preserve">合规控制</w:t>
      </w:r>
      <w:r/>
    </w:p>
    <w:p>
      <w:pPr>
        <w:ind w:firstLine="480"/>
        <w:spacing w:line="360" w:lineRule="auto"/>
        <w:rPr>
          <w:sz w:val="24"/>
          <w:szCs w:val="24"/>
        </w:rPr>
      </w:pPr>
      <w:r>
        <w:rPr>
          <w:sz w:val="24"/>
          <w:szCs w:val="24"/>
        </w:rPr>
        <w:t xml:space="preserve">全面对标财政资金管理、政府采购、工程建设、卫健行业信息化建设相关法律法规及政策文件，开展全流程合规管控。重点核查项目招投标、合同签订、资金使用、项目变更、资料归档、建设流程的合规性，杜绝程序违规、资料缺失、流程倒置等问题。严格规范项目各类报审、报批、评审流程，确保所有建设行为、资金支出、文档资料完全契合财政审核及行业监管要求，规避合规风险，保障项目顺利通过各级督查、审计及验收。</w:t>
      </w:r>
      <w:r/>
    </w:p>
    <w:p>
      <w:pPr>
        <w:ind w:firstLine="480"/>
        <w:spacing w:line="360" w:lineRule="auto"/>
        <w:rPr>
          <w:sz w:val="24"/>
          <w:szCs w:val="24"/>
        </w:rPr>
      </w:pPr>
      <w:r>
        <w:rPr>
          <w:rFonts w:hint="eastAsia"/>
          <w:sz w:val="24"/>
          <w:szCs w:val="24"/>
        </w:rPr>
        <w:t xml:space="preserve">5.2.2</w:t>
      </w:r>
      <w:r>
        <w:rPr>
          <w:sz w:val="24"/>
          <w:szCs w:val="24"/>
        </w:rPr>
        <w:t xml:space="preserve">全阶段闭环监理实施内容</w:t>
      </w:r>
      <w:r/>
    </w:p>
    <w:p>
      <w:pPr>
        <w:ind w:firstLine="480"/>
        <w:spacing w:line="360" w:lineRule="auto"/>
        <w:rPr>
          <w:sz w:val="24"/>
          <w:szCs w:val="24"/>
        </w:rPr>
      </w:pPr>
      <w:r>
        <w:rPr>
          <w:rFonts w:hint="eastAsia"/>
          <w:sz w:val="24"/>
          <w:szCs w:val="24"/>
        </w:rPr>
        <w:t xml:space="preserve">（1）</w:t>
      </w:r>
      <w:r>
        <w:rPr>
          <w:sz w:val="24"/>
          <w:szCs w:val="24"/>
        </w:rPr>
        <w:t xml:space="preserve">需求阶段监理</w:t>
      </w:r>
      <w:r/>
    </w:p>
    <w:p>
      <w:pPr>
        <w:ind w:firstLine="480"/>
        <w:spacing w:line="360" w:lineRule="auto"/>
        <w:rPr>
          <w:sz w:val="24"/>
          <w:szCs w:val="24"/>
        </w:rPr>
      </w:pPr>
      <w:r>
        <w:rPr>
          <w:sz w:val="24"/>
          <w:szCs w:val="24"/>
        </w:rPr>
        <w:t xml:space="preserve">参与项目需求调研、需求梳理、需求评审工作，监督承建单位结合公立医院改革、智慧医院建设要求及医院实际业务场景编制需求说明书。核查需求文档的完整性、精准性、可行性，重点审核智慧服务、智慧管理、数据互通、医共体协同等核心需求的适配性，杜绝需求模糊、缺项、脱离实际等问题。组织需求合规性核查，出具需求阶段监理报告，确认需求方案符合项目批复文件及财政建设要求。</w:t>
      </w:r>
      <w:r/>
    </w:p>
    <w:p>
      <w:pPr>
        <w:ind w:firstLine="480"/>
        <w:spacing w:line="360" w:lineRule="auto"/>
        <w:rPr>
          <w:sz w:val="24"/>
          <w:szCs w:val="24"/>
        </w:rPr>
      </w:pPr>
      <w:r>
        <w:rPr>
          <w:rFonts w:hint="eastAsia"/>
          <w:sz w:val="24"/>
          <w:szCs w:val="24"/>
        </w:rPr>
        <w:t xml:space="preserve">（2）</w:t>
      </w:r>
      <w:r>
        <w:rPr>
          <w:sz w:val="24"/>
          <w:szCs w:val="24"/>
        </w:rPr>
        <w:t xml:space="preserve">设计阶段监理</w:t>
      </w:r>
      <w:r/>
    </w:p>
    <w:p>
      <w:pPr>
        <w:ind w:firstLine="480"/>
        <w:spacing w:line="360" w:lineRule="auto"/>
        <w:rPr>
          <w:sz w:val="24"/>
          <w:szCs w:val="24"/>
        </w:rPr>
      </w:pPr>
      <w:r>
        <w:rPr>
          <w:sz w:val="24"/>
          <w:szCs w:val="24"/>
        </w:rPr>
        <w:t xml:space="preserve">对项目总体架构设计、功能模块设计、数据库设计、网络架构设计、安全方案设计等进行全面审核。核查设计方案是否匹配审定需求、是否符合行业技术标准、是否满足互联互通及等级保护要求、是否贴合预算建设范围。对不合理设计、冗余设计、不符合政策要求的设计内容提出整改意见，监督承建单位优化完善，审核通过后出具设计阶段监理确认文件，为后续开发建设提供合规依据。</w:t>
      </w:r>
      <w:r/>
    </w:p>
    <w:p>
      <w:pPr>
        <w:ind w:firstLine="480"/>
        <w:spacing w:line="360" w:lineRule="auto"/>
        <w:rPr>
          <w:sz w:val="24"/>
          <w:szCs w:val="24"/>
        </w:rPr>
      </w:pPr>
      <w:r>
        <w:rPr>
          <w:rFonts w:hint="eastAsia"/>
          <w:sz w:val="24"/>
          <w:szCs w:val="24"/>
        </w:rPr>
        <w:t xml:space="preserve">（3）</w:t>
      </w:r>
      <w:r>
        <w:rPr>
          <w:sz w:val="24"/>
          <w:szCs w:val="24"/>
        </w:rPr>
        <w:t xml:space="preserve">开发阶段监理</w:t>
      </w:r>
      <w:r/>
    </w:p>
    <w:p>
      <w:pPr>
        <w:ind w:firstLine="480"/>
        <w:spacing w:line="360" w:lineRule="auto"/>
        <w:rPr>
          <w:sz w:val="24"/>
          <w:szCs w:val="24"/>
        </w:rPr>
      </w:pPr>
      <w:r>
        <w:rPr>
          <w:sz w:val="24"/>
          <w:szCs w:val="24"/>
        </w:rPr>
        <w:t xml:space="preserve">全程监督项目软件开发、系统迭代、功能开发全过程，采取定期巡查、随机抽查、代码抽检的方式开展管控。核查开发进度、开发质量、开发规范是否符合既定方案，监督承建单位落实开发日志、版本管理、缺陷整改机制。重点核查核心业务模块、数据对接、智能应用等关键功能的开发落地情况，及时发现并整改开发偏差、功能缺失、技术漏洞等问题，定期出具开发阶段监理月报。</w:t>
      </w:r>
      <w:r/>
    </w:p>
    <w:p>
      <w:pPr>
        <w:ind w:firstLine="480"/>
        <w:spacing w:line="360" w:lineRule="auto"/>
        <w:rPr>
          <w:sz w:val="24"/>
          <w:szCs w:val="24"/>
        </w:rPr>
      </w:pPr>
      <w:r>
        <w:rPr>
          <w:rFonts w:hint="eastAsia"/>
          <w:sz w:val="24"/>
          <w:szCs w:val="24"/>
        </w:rPr>
        <w:t xml:space="preserve">（4）</w:t>
      </w:r>
      <w:r>
        <w:rPr>
          <w:sz w:val="24"/>
          <w:szCs w:val="24"/>
        </w:rPr>
        <w:t xml:space="preserve">测试阶段监理</w:t>
      </w:r>
      <w:r/>
    </w:p>
    <w:p>
      <w:pPr>
        <w:ind w:firstLine="480"/>
        <w:spacing w:line="360" w:lineRule="auto"/>
        <w:rPr>
          <w:sz w:val="24"/>
          <w:szCs w:val="24"/>
        </w:rPr>
      </w:pPr>
      <w:r>
        <w:rPr>
          <w:sz w:val="24"/>
          <w:szCs w:val="24"/>
        </w:rPr>
        <w:t xml:space="preserve">监督承建单位开展单元测试、集成测试、压力测试、安全测试、场景化业务测试，全程把控测试流程、测试用例、测试报告的规范性。核查系统功能完整性、运行稳定性、数据准确性、响应速度、安全合规性，督促承建单位对测试发现的缺陷逐条整改、闭环复核。同步配合第三方软件测评工作，核对测评问题整改情况，确保系统各项指标达标，出具测试阶段监理报告。</w:t>
      </w:r>
      <w:r/>
    </w:p>
    <w:p>
      <w:pPr>
        <w:ind w:firstLine="480"/>
        <w:spacing w:line="360" w:lineRule="auto"/>
        <w:rPr>
          <w:sz w:val="24"/>
          <w:szCs w:val="24"/>
        </w:rPr>
      </w:pPr>
      <w:r>
        <w:rPr>
          <w:rFonts w:hint="eastAsia"/>
          <w:sz w:val="24"/>
          <w:szCs w:val="24"/>
        </w:rPr>
        <w:t xml:space="preserve">（5）</w:t>
      </w:r>
      <w:r>
        <w:rPr>
          <w:sz w:val="24"/>
          <w:szCs w:val="24"/>
        </w:rPr>
        <w:t xml:space="preserve">上线阶段监理</w:t>
      </w:r>
      <w:r/>
    </w:p>
    <w:p>
      <w:pPr>
        <w:ind w:firstLine="480"/>
        <w:spacing w:line="360" w:lineRule="auto"/>
        <w:rPr>
          <w:sz w:val="24"/>
          <w:szCs w:val="24"/>
        </w:rPr>
      </w:pPr>
      <w:r>
        <w:rPr>
          <w:sz w:val="24"/>
          <w:szCs w:val="24"/>
        </w:rPr>
        <w:t xml:space="preserve">监督项目系统部署、数据迁移、环境调试、试运行全流程，核查部署环境合规性、数据迁移完整性、系统运行稳定性。监督承建单位开展操作人员培训、运维交底工作，排查上线运行初期的各类故障、适配问题，督促快速整改优化。全程记录上线试运行数据，跟踪系统常态化运行情况，确保系统平稳落地、正常赋能医院业务运行。</w:t>
      </w:r>
      <w:r/>
    </w:p>
    <w:p>
      <w:pPr>
        <w:ind w:firstLine="480"/>
        <w:spacing w:line="360" w:lineRule="auto"/>
        <w:rPr>
          <w:sz w:val="24"/>
          <w:szCs w:val="24"/>
        </w:rPr>
      </w:pPr>
      <w:r>
        <w:rPr>
          <w:rFonts w:hint="eastAsia"/>
          <w:sz w:val="24"/>
          <w:szCs w:val="24"/>
        </w:rPr>
        <w:t xml:space="preserve">（6）</w:t>
      </w:r>
      <w:r>
        <w:rPr>
          <w:sz w:val="24"/>
          <w:szCs w:val="24"/>
        </w:rPr>
        <w:t xml:space="preserve"> 验收阶段监理</w:t>
      </w:r>
      <w:r/>
    </w:p>
    <w:p>
      <w:pPr>
        <w:ind w:firstLine="480"/>
        <w:spacing w:line="360" w:lineRule="auto"/>
        <w:rPr>
          <w:sz w:val="24"/>
          <w:szCs w:val="24"/>
        </w:rPr>
      </w:pPr>
      <w:r>
        <w:rPr>
          <w:sz w:val="24"/>
          <w:szCs w:val="24"/>
        </w:rPr>
        <w:t xml:space="preserve">梳理项目全流程监理资料、建设台账、整改记录，对照项目批复、合同约定、财政验收标准，协助建设单位开展预验收、正式验收工作。核查项目建设内容完成度、质量达标情况、资料完整性、资金使用合规性，出具项目监理总结报告，配合财政、卫健部门开展验收核查，协助完成验收问题整改闭环。</w:t>
      </w:r>
      <w:r/>
    </w:p>
    <w:p>
      <w:pPr>
        <w:ind w:firstLine="480"/>
        <w:spacing w:line="360" w:lineRule="auto"/>
        <w:rPr>
          <w:sz w:val="24"/>
          <w:szCs w:val="24"/>
        </w:rPr>
      </w:pPr>
      <w:r>
        <w:rPr>
          <w:rFonts w:hint="eastAsia"/>
          <w:sz w:val="24"/>
          <w:szCs w:val="24"/>
        </w:rPr>
        <w:t xml:space="preserve">5.3</w:t>
      </w:r>
      <w:r>
        <w:rPr>
          <w:sz w:val="24"/>
          <w:szCs w:val="24"/>
        </w:rPr>
        <w:t xml:space="preserve">事中审计服务方案</w:t>
      </w:r>
      <w:r/>
    </w:p>
    <w:p>
      <w:pPr>
        <w:ind w:firstLine="480"/>
        <w:spacing w:line="360" w:lineRule="auto"/>
        <w:rPr>
          <w:sz w:val="24"/>
          <w:szCs w:val="24"/>
        </w:rPr>
      </w:pPr>
      <w:r>
        <w:rPr>
          <w:sz w:val="24"/>
          <w:szCs w:val="24"/>
        </w:rPr>
        <w:t xml:space="preserve">事中审计服务方案</w:t>
      </w:r>
      <w:r>
        <w:rPr>
          <w:rFonts w:hint="eastAsia"/>
          <w:sz w:val="24"/>
          <w:szCs w:val="24"/>
        </w:rPr>
        <w:t xml:space="preserve">至少包含：审计工作目标、审计内容、审计实施机制。</w:t>
      </w:r>
      <w:r/>
    </w:p>
    <w:p>
      <w:pPr>
        <w:ind w:firstLine="480"/>
        <w:spacing w:line="360" w:lineRule="auto"/>
        <w:rPr>
          <w:sz w:val="24"/>
          <w:szCs w:val="24"/>
        </w:rPr>
      </w:pPr>
      <w:r>
        <w:rPr>
          <w:sz w:val="24"/>
          <w:szCs w:val="24"/>
        </w:rPr>
        <w:t xml:space="preserve">本项目事中审计严格遵循财政绩效评价、政府投资项目审计管理要求，聚焦信息化项目建设全过程，以“防风险、控造价、规流程、提效能”为核心，开展常态化、动态化跟踪审计，同步衔接后期结算审计，实现审计全流程贯通。</w:t>
      </w:r>
      <w:r/>
    </w:p>
    <w:p>
      <w:pPr>
        <w:ind w:firstLine="480"/>
        <w:spacing w:line="360" w:lineRule="auto"/>
        <w:rPr>
          <w:sz w:val="24"/>
          <w:szCs w:val="24"/>
        </w:rPr>
      </w:pPr>
      <w:r>
        <w:rPr>
          <w:rFonts w:hint="eastAsia"/>
          <w:sz w:val="24"/>
          <w:szCs w:val="24"/>
        </w:rPr>
        <w:t xml:space="preserve">5.3.1</w:t>
      </w:r>
      <w:r>
        <w:rPr>
          <w:sz w:val="24"/>
          <w:szCs w:val="24"/>
        </w:rPr>
        <w:t xml:space="preserve">审计工作目标</w:t>
      </w:r>
      <w:r/>
    </w:p>
    <w:p>
      <w:pPr>
        <w:ind w:firstLine="480"/>
        <w:spacing w:line="360" w:lineRule="auto"/>
        <w:rPr>
          <w:sz w:val="24"/>
          <w:szCs w:val="24"/>
        </w:rPr>
      </w:pPr>
      <w:r>
        <w:rPr>
          <w:sz w:val="24"/>
          <w:szCs w:val="24"/>
        </w:rPr>
        <w:t xml:space="preserve">动态监控项目建设流程、资金使用、合同履约、变更签证、资料归档等关键环节，及时排查资金使用不规范、流程不合规、造价虚高、建设内容偏差、资料缺失等问题，提前整改化解审计风险，保障财政资金安全规范使用，确保项目建设全程合规、账务清晰、资料完整，为项目结算审计、财政终审、绩效考评奠定坚实基础。</w:t>
      </w:r>
      <w:r/>
    </w:p>
    <w:p>
      <w:pPr>
        <w:ind w:firstLine="480"/>
        <w:spacing w:line="360" w:lineRule="auto"/>
        <w:rPr>
          <w:sz w:val="24"/>
          <w:szCs w:val="24"/>
        </w:rPr>
      </w:pPr>
      <w:r>
        <w:rPr>
          <w:rFonts w:hint="eastAsia"/>
          <w:sz w:val="24"/>
          <w:szCs w:val="24"/>
        </w:rPr>
        <w:t xml:space="preserve">5.3.2</w:t>
      </w:r>
      <w:r>
        <w:rPr>
          <w:sz w:val="24"/>
          <w:szCs w:val="24"/>
        </w:rPr>
        <w:t xml:space="preserve">核心审计内容</w:t>
      </w:r>
      <w:r/>
    </w:p>
    <w:p>
      <w:pPr>
        <w:ind w:firstLine="480"/>
        <w:spacing w:line="360" w:lineRule="auto"/>
        <w:rPr>
          <w:sz w:val="24"/>
          <w:szCs w:val="24"/>
        </w:rPr>
      </w:pPr>
      <w:r>
        <w:rPr>
          <w:rFonts w:hint="eastAsia"/>
          <w:sz w:val="24"/>
          <w:szCs w:val="24"/>
        </w:rPr>
        <w:t xml:space="preserve">（1）</w:t>
      </w:r>
      <w:r>
        <w:rPr>
          <w:sz w:val="24"/>
          <w:szCs w:val="24"/>
        </w:rPr>
        <w:t xml:space="preserve">项目流程合规审计</w:t>
      </w:r>
      <w:r/>
    </w:p>
    <w:p>
      <w:pPr>
        <w:ind w:firstLine="480"/>
        <w:spacing w:line="360" w:lineRule="auto"/>
        <w:rPr>
          <w:sz w:val="24"/>
          <w:szCs w:val="24"/>
        </w:rPr>
      </w:pPr>
      <w:r>
        <w:rPr>
          <w:sz w:val="24"/>
          <w:szCs w:val="24"/>
        </w:rPr>
        <w:t xml:space="preserve">全程核查项目招投标、合同签订、项目备案、变更审批、报审报批、验收筹备等全流程合规性。重点审核招投标程序是否规范、合同条款是否贴合招标文件及批复要求、项目变更是否履行财政及主管部门审批流程、各类审批资料是否完整有效，杜绝程序违规、手续缺失、越权审批等问题。</w:t>
      </w:r>
      <w:r/>
    </w:p>
    <w:p>
      <w:pPr>
        <w:ind w:firstLine="480"/>
        <w:spacing w:line="360" w:lineRule="auto"/>
        <w:rPr>
          <w:sz w:val="24"/>
          <w:szCs w:val="24"/>
        </w:rPr>
      </w:pPr>
      <w:r>
        <w:rPr>
          <w:rFonts w:hint="eastAsia"/>
          <w:sz w:val="24"/>
          <w:szCs w:val="24"/>
        </w:rPr>
        <w:t xml:space="preserve">（2）</w:t>
      </w:r>
      <w:r>
        <w:rPr>
          <w:sz w:val="24"/>
          <w:szCs w:val="24"/>
        </w:rPr>
        <w:t xml:space="preserve"> 财政资金使用审计</w:t>
      </w:r>
      <w:r/>
    </w:p>
    <w:p>
      <w:pPr>
        <w:ind w:firstLine="480"/>
        <w:spacing w:line="360" w:lineRule="auto"/>
        <w:rPr>
          <w:sz w:val="24"/>
          <w:szCs w:val="24"/>
        </w:rPr>
      </w:pPr>
      <w:r>
        <w:rPr>
          <w:sz w:val="24"/>
          <w:szCs w:val="24"/>
        </w:rPr>
        <w:t xml:space="preserve">动态跟踪项目资金拨付、支出、使用结余情况，严格核查资金专款专用情况。核对资金支出凭证、票据、付款流程、付款依据的合规性、真实性、完整性，核查支出内容是否在预算批复范围内、是否与项目建设内容匹配，杜绝挤占、挪用、截留财政资金，杜绝无预算、超预算、虚列支出等问题。同步梳理资金台账，确保账实相符、账证相符。</w:t>
      </w:r>
      <w:r/>
    </w:p>
    <w:p>
      <w:pPr>
        <w:ind w:firstLine="480"/>
        <w:spacing w:line="360" w:lineRule="auto"/>
        <w:rPr>
          <w:sz w:val="24"/>
          <w:szCs w:val="24"/>
        </w:rPr>
      </w:pPr>
      <w:r>
        <w:rPr>
          <w:rFonts w:hint="eastAsia"/>
          <w:sz w:val="24"/>
          <w:szCs w:val="24"/>
        </w:rPr>
        <w:t xml:space="preserve">（3）</w:t>
      </w:r>
      <w:r>
        <w:rPr>
          <w:sz w:val="24"/>
          <w:szCs w:val="24"/>
        </w:rPr>
        <w:t xml:space="preserve">合同履约审计</w:t>
      </w:r>
      <w:r/>
    </w:p>
    <w:p>
      <w:pPr>
        <w:ind w:firstLine="480"/>
        <w:spacing w:line="360" w:lineRule="auto"/>
        <w:rPr>
          <w:sz w:val="24"/>
          <w:szCs w:val="24"/>
        </w:rPr>
      </w:pPr>
      <w:r>
        <w:rPr>
          <w:sz w:val="24"/>
          <w:szCs w:val="24"/>
        </w:rPr>
        <w:t xml:space="preserve">对照项目合同、招投标文件、实施方案，核查承建单位、服务单位履约情况。审核服务内容、建设范围、工作标准、工期进度、服务质量是否完全履约，核对已完成工作量与付款进度的匹配性，杜绝超前付款、超额付款、未履约付款等问题，对履约偏差、服务缺项等问题提出审计整改意见。</w:t>
      </w:r>
      <w:r/>
    </w:p>
    <w:p>
      <w:pPr>
        <w:ind w:firstLine="480"/>
        <w:spacing w:line="360" w:lineRule="auto"/>
        <w:rPr>
          <w:sz w:val="24"/>
          <w:szCs w:val="24"/>
        </w:rPr>
      </w:pPr>
      <w:r>
        <w:rPr>
          <w:rFonts w:hint="eastAsia"/>
          <w:sz w:val="24"/>
          <w:szCs w:val="24"/>
        </w:rPr>
        <w:t xml:space="preserve">（4）</w:t>
      </w:r>
      <w:r>
        <w:rPr>
          <w:sz w:val="24"/>
          <w:szCs w:val="24"/>
        </w:rPr>
        <w:t xml:space="preserve">变更签证与造价审计</w:t>
      </w:r>
      <w:r/>
    </w:p>
    <w:p>
      <w:pPr>
        <w:ind w:firstLine="480"/>
        <w:spacing w:line="360" w:lineRule="auto"/>
        <w:rPr>
          <w:sz w:val="24"/>
          <w:szCs w:val="24"/>
        </w:rPr>
      </w:pPr>
      <w:r>
        <w:rPr>
          <w:sz w:val="24"/>
          <w:szCs w:val="24"/>
        </w:rPr>
        <w:t xml:space="preserve">针对项目所有增量、减量、内容调整、方案变更事项，开展专项造价审计。核查变更的必要性、合理性、合规性，审核变更计价依据、单价标准、工程量核算的准确性，对标市场公允价格及财政计价标准，严控虚增工程量、抬高单价、重复计价等问题，规范变更签证流程，留存完整审计佐证资料。</w:t>
      </w:r>
      <w:r/>
    </w:p>
    <w:p>
      <w:pPr>
        <w:ind w:firstLine="480"/>
        <w:spacing w:line="360" w:lineRule="auto"/>
        <w:rPr>
          <w:sz w:val="24"/>
          <w:szCs w:val="24"/>
        </w:rPr>
      </w:pPr>
      <w:r>
        <w:rPr>
          <w:rFonts w:hint="eastAsia"/>
          <w:sz w:val="24"/>
          <w:szCs w:val="24"/>
        </w:rPr>
        <w:t xml:space="preserve">（5）</w:t>
      </w:r>
      <w:r>
        <w:rPr>
          <w:sz w:val="24"/>
          <w:szCs w:val="24"/>
        </w:rPr>
        <w:t xml:space="preserve">项目资料合规审计</w:t>
      </w:r>
      <w:r/>
    </w:p>
    <w:p>
      <w:pPr>
        <w:ind w:firstLine="480"/>
        <w:spacing w:line="360" w:lineRule="auto"/>
        <w:rPr>
          <w:sz w:val="24"/>
          <w:szCs w:val="24"/>
        </w:rPr>
      </w:pPr>
      <w:r>
        <w:rPr>
          <w:sz w:val="24"/>
          <w:szCs w:val="24"/>
        </w:rPr>
        <w:t xml:space="preserve">全程梳理、审核项目全流程资料，包括需求文档、设计方案、监理资料、测试报告、评审资料、合同文件、财务凭证、变更资料、试运行资料等。核查资料的完整性、规范性、真实性、逻辑性，督促补齐缺失资料、规范不规范文档，确保所有资料可支撑财政审核、审计验收及绩效核查。</w:t>
      </w:r>
      <w:r/>
    </w:p>
    <w:p>
      <w:pPr>
        <w:ind w:firstLine="480"/>
        <w:spacing w:line="360" w:lineRule="auto"/>
        <w:rPr>
          <w:sz w:val="24"/>
          <w:szCs w:val="24"/>
        </w:rPr>
      </w:pPr>
      <w:r>
        <w:rPr>
          <w:rFonts w:hint="eastAsia"/>
          <w:sz w:val="24"/>
          <w:szCs w:val="24"/>
        </w:rPr>
        <w:t xml:space="preserve">5.3.3</w:t>
      </w:r>
      <w:r>
        <w:rPr>
          <w:sz w:val="24"/>
          <w:szCs w:val="24"/>
        </w:rPr>
        <w:t xml:space="preserve">审计实施机制</w:t>
      </w:r>
      <w:r/>
    </w:p>
    <w:p>
      <w:pPr>
        <w:ind w:firstLine="480"/>
        <w:spacing w:line="360" w:lineRule="auto"/>
        <w:rPr>
          <w:sz w:val="24"/>
          <w:szCs w:val="24"/>
        </w:rPr>
      </w:pPr>
      <w:r>
        <w:rPr>
          <w:sz w:val="24"/>
          <w:szCs w:val="24"/>
        </w:rPr>
        <w:t xml:space="preserve">建立“月度常态化审计+阶段性专项审计+问题闭环整改”机制。每月开展日常跟踪审计，出具月度事中审计简报；在项目开发中期、上线试运行、预验收等关键节点开展专项审计，出具专项审计报告。对审计发现的问题建立问题台账，明确整改责任、整改时限、整改标准，全程跟踪整改落实情况，实现问题闭环清零。同时全程对接财政部门，及时反馈审计情况，配合财政核查工作，提前化解终审风险。</w:t>
      </w:r>
      <w:r/>
    </w:p>
    <w:p>
      <w:pPr>
        <w:ind w:firstLine="482"/>
        <w:spacing w:line="360" w:lineRule="auto"/>
        <w:rPr>
          <w:b/>
          <w:bCs/>
          <w:sz w:val="24"/>
          <w:szCs w:val="24"/>
        </w:rPr>
      </w:pPr>
      <w:r>
        <w:rPr>
          <w:rFonts w:hint="eastAsia"/>
          <w:b/>
          <w:bCs/>
          <w:sz w:val="24"/>
          <w:szCs w:val="24"/>
        </w:rPr>
        <w:t xml:space="preserve">5.4</w:t>
      </w:r>
      <w:r>
        <w:rPr>
          <w:b/>
          <w:bCs/>
          <w:sz w:val="24"/>
          <w:szCs w:val="24"/>
        </w:rPr>
        <w:t xml:space="preserve">软件测评服务方案</w:t>
      </w:r>
      <w:r/>
    </w:p>
    <w:p>
      <w:pPr>
        <w:ind w:firstLine="482"/>
        <w:spacing w:line="360" w:lineRule="auto"/>
        <w:rPr>
          <w:b/>
          <w:bCs/>
          <w:sz w:val="24"/>
          <w:szCs w:val="24"/>
        </w:rPr>
      </w:pPr>
      <w:r>
        <w:rPr>
          <w:rFonts w:hint="eastAsia"/>
          <w:b/>
          <w:bCs/>
          <w:sz w:val="24"/>
          <w:szCs w:val="24"/>
        </w:rPr>
        <w:t xml:space="preserve">软件测评服务方案至少包含测评工作原则、</w:t>
      </w:r>
      <w:r>
        <w:rPr>
          <w:b/>
          <w:bCs/>
          <w:sz w:val="24"/>
          <w:szCs w:val="24"/>
        </w:rPr>
        <w:t xml:space="preserve">测评内容</w:t>
      </w:r>
      <w:r>
        <w:rPr>
          <w:rFonts w:hint="eastAsia"/>
          <w:b/>
          <w:bCs/>
          <w:sz w:val="24"/>
          <w:szCs w:val="24"/>
        </w:rPr>
        <w:t xml:space="preserve">、</w:t>
      </w:r>
      <w:r>
        <w:rPr>
          <w:b/>
          <w:bCs/>
          <w:sz w:val="24"/>
          <w:szCs w:val="24"/>
        </w:rPr>
        <w:t xml:space="preserve">测评实施流程</w:t>
      </w:r>
      <w:r>
        <w:rPr>
          <w:rFonts w:hint="eastAsia"/>
          <w:b/>
          <w:bCs/>
          <w:sz w:val="24"/>
          <w:szCs w:val="24"/>
        </w:rPr>
        <w:t xml:space="preserve">。</w:t>
      </w:r>
      <w:r/>
    </w:p>
    <w:p>
      <w:pPr>
        <w:ind w:firstLine="480"/>
        <w:spacing w:line="360" w:lineRule="auto"/>
        <w:rPr>
          <w:sz w:val="24"/>
          <w:szCs w:val="24"/>
        </w:rPr>
      </w:pPr>
      <w:r>
        <w:rPr>
          <w:rFonts w:hint="eastAsia"/>
          <w:sz w:val="24"/>
          <w:szCs w:val="24"/>
        </w:rPr>
        <w:t xml:space="preserve">5.4.1</w:t>
      </w:r>
      <w:r>
        <w:rPr>
          <w:sz w:val="24"/>
          <w:szCs w:val="24"/>
        </w:rPr>
        <w:t xml:space="preserve">测评工作原则</w:t>
      </w:r>
      <w:r/>
    </w:p>
    <w:p>
      <w:pPr>
        <w:ind w:firstLine="480"/>
        <w:spacing w:line="360" w:lineRule="auto"/>
        <w:rPr>
          <w:sz w:val="24"/>
          <w:szCs w:val="24"/>
        </w:rPr>
      </w:pPr>
      <w:r>
        <w:rPr>
          <w:sz w:val="24"/>
          <w:szCs w:val="24"/>
        </w:rPr>
        <w:t xml:space="preserve">坚持客观公正、科学规范、全面覆盖、贴合业务的原则，严格对标国家医疗信息化标准、项目建设需求、合同约定指标，聚焦公立医院业务场景，杜绝形式化测评，重点保障软件适配医疗诊疗、管理、服务全场景，满足智慧医院分级评价及</w:t>
      </w:r>
      <w:r>
        <w:rPr>
          <w:rFonts w:hint="eastAsia"/>
          <w:sz w:val="24"/>
          <w:szCs w:val="24"/>
        </w:rPr>
        <w:t xml:space="preserve">相关部门</w:t>
      </w:r>
      <w:r>
        <w:rPr>
          <w:sz w:val="24"/>
          <w:szCs w:val="24"/>
        </w:rPr>
        <w:t xml:space="preserve">验收标准。</w:t>
      </w:r>
      <w:r/>
    </w:p>
    <w:p>
      <w:pPr>
        <w:ind w:firstLine="480"/>
        <w:spacing w:line="360" w:lineRule="auto"/>
        <w:rPr>
          <w:sz w:val="24"/>
          <w:szCs w:val="24"/>
        </w:rPr>
      </w:pPr>
      <w:r>
        <w:rPr>
          <w:rFonts w:hint="eastAsia"/>
          <w:sz w:val="24"/>
          <w:szCs w:val="24"/>
        </w:rPr>
        <w:t xml:space="preserve">5.4.2</w:t>
      </w:r>
      <w:r>
        <w:rPr>
          <w:sz w:val="24"/>
          <w:szCs w:val="24"/>
        </w:rPr>
        <w:t xml:space="preserve">核心测评内容</w:t>
      </w:r>
      <w:r/>
    </w:p>
    <w:p>
      <w:pPr>
        <w:ind w:firstLine="480"/>
        <w:spacing w:line="360" w:lineRule="auto"/>
        <w:rPr>
          <w:sz w:val="24"/>
          <w:szCs w:val="24"/>
        </w:rPr>
      </w:pPr>
      <w:r>
        <w:rPr>
          <w:rFonts w:hint="eastAsia"/>
          <w:sz w:val="24"/>
          <w:szCs w:val="24"/>
        </w:rPr>
        <w:t xml:space="preserve">（1）</w:t>
      </w:r>
      <w:r>
        <w:rPr>
          <w:sz w:val="24"/>
          <w:szCs w:val="24"/>
        </w:rPr>
        <w:t xml:space="preserve">功能完整性测评</w:t>
      </w:r>
      <w:r/>
    </w:p>
    <w:p>
      <w:pPr>
        <w:ind w:firstLine="480"/>
        <w:spacing w:line="360" w:lineRule="auto"/>
        <w:rPr>
          <w:sz w:val="24"/>
          <w:szCs w:val="24"/>
        </w:rPr>
      </w:pPr>
      <w:r>
        <w:rPr>
          <w:sz w:val="24"/>
          <w:szCs w:val="24"/>
        </w:rPr>
        <w:t xml:space="preserve">对照项目需求说明书、设计方案、合同建设内容，逐项核查系统功能落地情况。全面覆盖智慧诊疗、电子病历管理、智慧服务、医院智慧管理、数据统计分析、区域数据互通、权限管理等核心模块，核查功能是否完整落地、是否贴合公立医院改革业务需求、是否满足示范项目建设指标，排查功能缺项、功能不符、操作繁琐、场景适配不足等问题。</w:t>
      </w:r>
      <w:r/>
    </w:p>
    <w:p>
      <w:pPr>
        <w:ind w:firstLine="480"/>
        <w:spacing w:line="360" w:lineRule="auto"/>
        <w:rPr>
          <w:sz w:val="24"/>
          <w:szCs w:val="24"/>
        </w:rPr>
      </w:pPr>
      <w:r>
        <w:rPr>
          <w:rFonts w:hint="eastAsia"/>
          <w:sz w:val="24"/>
          <w:szCs w:val="24"/>
        </w:rPr>
        <w:t xml:space="preserve">（2）</w:t>
      </w:r>
      <w:r>
        <w:rPr>
          <w:sz w:val="24"/>
          <w:szCs w:val="24"/>
        </w:rPr>
        <w:t xml:space="preserve">性能质量测评</w:t>
      </w:r>
      <w:r/>
    </w:p>
    <w:p>
      <w:pPr>
        <w:ind w:firstLine="480"/>
        <w:spacing w:line="360" w:lineRule="auto"/>
        <w:rPr>
          <w:sz w:val="24"/>
          <w:szCs w:val="24"/>
        </w:rPr>
      </w:pPr>
      <w:r>
        <w:rPr>
          <w:sz w:val="24"/>
          <w:szCs w:val="24"/>
        </w:rPr>
        <w:t xml:space="preserve">针对系统运行性能开展专项测评，包括系统响应速度、并发处理能力、数据运算效率、稳定性、容错性、兼容性等。模拟医院高峰诊疗、多终端同时在线、大批量数据录入与调取等真实业务场景，测试系统承压能力，排查卡顿、闪退、数据延迟、系统崩溃等问题，确保系统满足医院常态化、高负荷运行需求。</w:t>
      </w:r>
      <w:r/>
    </w:p>
    <w:p>
      <w:pPr>
        <w:ind w:firstLine="480"/>
        <w:spacing w:line="360" w:lineRule="auto"/>
        <w:rPr>
          <w:sz w:val="24"/>
          <w:szCs w:val="24"/>
        </w:rPr>
      </w:pPr>
      <w:r>
        <w:rPr>
          <w:rFonts w:hint="eastAsia"/>
          <w:sz w:val="24"/>
          <w:szCs w:val="24"/>
        </w:rPr>
        <w:t xml:space="preserve">（3）</w:t>
      </w:r>
      <w:r>
        <w:rPr>
          <w:sz w:val="24"/>
          <w:szCs w:val="24"/>
        </w:rPr>
        <w:t xml:space="preserve">安全合规测评</w:t>
      </w:r>
      <w:r/>
    </w:p>
    <w:p>
      <w:pPr>
        <w:ind w:firstLine="480"/>
        <w:spacing w:line="360" w:lineRule="auto"/>
        <w:rPr>
          <w:sz w:val="24"/>
          <w:szCs w:val="24"/>
        </w:rPr>
      </w:pPr>
      <w:r>
        <w:rPr>
          <w:sz w:val="24"/>
          <w:szCs w:val="24"/>
        </w:rPr>
        <w:t xml:space="preserve">严格对标网络安全等级保护</w:t>
      </w:r>
      <w:r>
        <w:rPr>
          <w:rFonts w:hint="eastAsia"/>
          <w:sz w:val="24"/>
          <w:szCs w:val="24"/>
        </w:rPr>
        <w:t xml:space="preserve">三级</w:t>
      </w:r>
      <w:r>
        <w:rPr>
          <w:sz w:val="24"/>
          <w:szCs w:val="24"/>
        </w:rPr>
        <w:t xml:space="preserve">、医疗数据安全管理规范、个人信息保护相关法规，开展安全测评。重点核查系统权限管控、数据加密存储、数据传输安全、操作日志留存、漏洞防护、异常访问拦截、数据备份恢复等能力，排查系统安全漏洞、数据泄露风险、权限管理漏洞等安全隐患，确保系统符合医疗行业安全合规要求。</w:t>
      </w:r>
      <w:r/>
    </w:p>
    <w:p>
      <w:pPr>
        <w:ind w:firstLine="480"/>
        <w:spacing w:line="360" w:lineRule="auto"/>
        <w:rPr>
          <w:sz w:val="24"/>
          <w:szCs w:val="24"/>
        </w:rPr>
      </w:pPr>
      <w:r>
        <w:rPr>
          <w:rFonts w:hint="eastAsia"/>
          <w:sz w:val="24"/>
          <w:szCs w:val="24"/>
        </w:rPr>
        <w:t xml:space="preserve">（4）</w:t>
      </w:r>
      <w:r>
        <w:rPr>
          <w:sz w:val="24"/>
          <w:szCs w:val="24"/>
        </w:rPr>
        <w:t xml:space="preserve">兼容性与互联互通测评</w:t>
      </w:r>
      <w:r/>
    </w:p>
    <w:p>
      <w:pPr>
        <w:ind w:firstLine="480"/>
        <w:spacing w:line="360" w:lineRule="auto"/>
        <w:rPr>
          <w:sz w:val="24"/>
          <w:szCs w:val="24"/>
        </w:rPr>
      </w:pPr>
      <w:r>
        <w:rPr>
          <w:sz w:val="24"/>
          <w:szCs w:val="24"/>
        </w:rPr>
        <w:t xml:space="preserve">测评软件系统与医院现有HIS、LIS、PACS等存量系统的兼容性、对接适配性，核查跨终端、跨设备运行稳定性。重点测评系统数据标准化、互联互通能力，检验是否满足区域卫生信息平台数据对接、数据共享要求，贴合智慧医院“三位一体”建设及医共体协同发展需求。</w:t>
      </w:r>
      <w:r/>
    </w:p>
    <w:p>
      <w:pPr>
        <w:ind w:firstLine="480"/>
        <w:spacing w:line="360" w:lineRule="auto"/>
        <w:rPr>
          <w:sz w:val="24"/>
          <w:szCs w:val="24"/>
        </w:rPr>
      </w:pPr>
      <w:r>
        <w:rPr>
          <w:rFonts w:hint="eastAsia"/>
          <w:sz w:val="24"/>
          <w:szCs w:val="24"/>
        </w:rPr>
        <w:t xml:space="preserve">（5）</w:t>
      </w:r>
      <w:r>
        <w:rPr>
          <w:sz w:val="24"/>
          <w:szCs w:val="24"/>
        </w:rPr>
        <w:t xml:space="preserve">易用性与运维性测评</w:t>
      </w:r>
      <w:r/>
    </w:p>
    <w:p>
      <w:pPr>
        <w:ind w:firstLine="480"/>
        <w:spacing w:line="360" w:lineRule="auto"/>
        <w:rPr>
          <w:sz w:val="24"/>
          <w:szCs w:val="24"/>
        </w:rPr>
      </w:pPr>
      <w:r>
        <w:rPr>
          <w:sz w:val="24"/>
          <w:szCs w:val="24"/>
        </w:rPr>
        <w:t xml:space="preserve">结合医护人员、管理人员实际使用场景，测评系统操作便捷性、界面规范性、功能实用性。同时核查系统运维文档完整性、故障排查便捷性、迭代拓展性，确保系统易操作、易运维、可拓展，适配公立医院长期高质量发展信息化建设需求。</w:t>
      </w:r>
      <w:r/>
    </w:p>
    <w:p>
      <w:pPr>
        <w:ind w:firstLine="480"/>
        <w:spacing w:line="360" w:lineRule="auto"/>
        <w:rPr>
          <w:sz w:val="24"/>
          <w:szCs w:val="24"/>
        </w:rPr>
      </w:pPr>
      <w:r>
        <w:rPr>
          <w:rFonts w:hint="eastAsia"/>
          <w:sz w:val="24"/>
          <w:szCs w:val="24"/>
        </w:rPr>
        <w:t xml:space="preserve">5.4.3</w:t>
      </w:r>
      <w:r>
        <w:rPr>
          <w:sz w:val="24"/>
          <w:szCs w:val="24"/>
        </w:rPr>
        <w:t xml:space="preserve">测评实施流程</w:t>
      </w:r>
      <w:r/>
    </w:p>
    <w:p>
      <w:pPr>
        <w:ind w:firstLine="480"/>
        <w:spacing w:line="360" w:lineRule="auto"/>
        <w:rPr>
          <w:sz w:val="24"/>
          <w:szCs w:val="24"/>
        </w:rPr>
      </w:pPr>
      <w:r>
        <w:rPr>
          <w:rFonts w:hint="eastAsia"/>
          <w:sz w:val="24"/>
          <w:szCs w:val="24"/>
        </w:rPr>
        <w:t xml:space="preserve">（1）</w:t>
      </w:r>
      <w:r>
        <w:rPr>
          <w:sz w:val="24"/>
          <w:szCs w:val="24"/>
        </w:rPr>
        <w:t xml:space="preserve">测评筹备：梳理项目需求、技术方案、合同指标，制定专项测评方案及测评用例，明确测评标准、流程、重点内容；</w:t>
      </w:r>
      <w:r/>
    </w:p>
    <w:p>
      <w:pPr>
        <w:ind w:firstLine="480"/>
        <w:spacing w:line="360" w:lineRule="auto"/>
        <w:rPr>
          <w:sz w:val="24"/>
          <w:szCs w:val="24"/>
        </w:rPr>
      </w:pPr>
      <w:r>
        <w:rPr>
          <w:rFonts w:hint="eastAsia"/>
          <w:sz w:val="24"/>
          <w:szCs w:val="24"/>
        </w:rPr>
        <w:t xml:space="preserve">（2）</w:t>
      </w:r>
      <w:r>
        <w:rPr>
          <w:sz w:val="24"/>
          <w:szCs w:val="24"/>
        </w:rPr>
        <w:t xml:space="preserve">现场测评：开展全维度现场测试、场景模拟、漏洞扫描、功能核验，全程记录测评数据及问题；</w:t>
      </w:r>
      <w:r/>
    </w:p>
    <w:p>
      <w:pPr>
        <w:ind w:firstLine="480"/>
        <w:spacing w:line="360" w:lineRule="auto"/>
        <w:rPr>
          <w:sz w:val="24"/>
          <w:szCs w:val="24"/>
        </w:rPr>
      </w:pPr>
      <w:r>
        <w:rPr>
          <w:rFonts w:hint="eastAsia"/>
          <w:sz w:val="24"/>
          <w:szCs w:val="24"/>
        </w:rPr>
        <w:t xml:space="preserve">（3）</w:t>
      </w:r>
      <w:r>
        <w:rPr>
          <w:sz w:val="24"/>
          <w:szCs w:val="24"/>
        </w:rPr>
        <w:t xml:space="preserve">问题整改：汇总测评问题，出具整改清单，督促承建单位逐项整改，对整改内容进行复核；</w:t>
      </w:r>
      <w:r/>
    </w:p>
    <w:p>
      <w:pPr>
        <w:ind w:firstLine="480"/>
        <w:spacing w:line="360" w:lineRule="auto"/>
        <w:rPr>
          <w:sz w:val="24"/>
          <w:szCs w:val="24"/>
        </w:rPr>
      </w:pPr>
      <w:r>
        <w:rPr>
          <w:rFonts w:hint="eastAsia"/>
          <w:sz w:val="24"/>
          <w:szCs w:val="24"/>
        </w:rPr>
        <w:t xml:space="preserve">（4）</w:t>
      </w:r>
      <w:r>
        <w:rPr>
          <w:sz w:val="24"/>
          <w:szCs w:val="24"/>
        </w:rPr>
        <w:t xml:space="preserve">报告出具：汇总全部测评结果，出具正式、规范的软件测评报告，明确系统达标情况，作为项目验收、财政审核核心佐证材料。</w:t>
      </w:r>
      <w:r/>
    </w:p>
    <w:p>
      <w:pPr>
        <w:ind w:firstLine="480"/>
        <w:spacing w:line="360" w:lineRule="auto"/>
        <w:rPr>
          <w:sz w:val="24"/>
          <w:szCs w:val="24"/>
        </w:rPr>
      </w:pPr>
      <w:r>
        <w:rPr>
          <w:rFonts w:hint="eastAsia"/>
          <w:sz w:val="24"/>
          <w:szCs w:val="24"/>
        </w:rPr>
        <w:t xml:space="preserve">5.5</w:t>
      </w:r>
      <w:r>
        <w:rPr>
          <w:sz w:val="24"/>
          <w:szCs w:val="24"/>
        </w:rPr>
        <w:t xml:space="preserve">实施保障措施</w:t>
      </w:r>
      <w:r/>
    </w:p>
    <w:p>
      <w:pPr>
        <w:ind w:firstLine="480"/>
        <w:spacing w:line="360" w:lineRule="auto"/>
        <w:rPr>
          <w:sz w:val="24"/>
          <w:szCs w:val="24"/>
        </w:rPr>
      </w:pPr>
      <w:r>
        <w:rPr>
          <w:sz w:val="24"/>
          <w:szCs w:val="24"/>
        </w:rPr>
        <w:t xml:space="preserve">为保障本项目全流程咨询与管理服务高效落地、合规达标，契合财政审核亮化要求，从组织、人员、制度、质量、进度、风险、资料、售后八大维度建立全方位实施保障体系。</w:t>
      </w:r>
      <w:r/>
    </w:p>
    <w:p>
      <w:pPr>
        <w:ind w:firstLine="480"/>
        <w:spacing w:line="360" w:lineRule="auto"/>
        <w:rPr>
          <w:sz w:val="24"/>
          <w:szCs w:val="24"/>
        </w:rPr>
      </w:pPr>
      <w:r>
        <w:rPr>
          <w:rFonts w:hint="eastAsia"/>
          <w:sz w:val="24"/>
          <w:szCs w:val="24"/>
        </w:rPr>
        <w:t xml:space="preserve">5.5.1</w:t>
      </w:r>
      <w:r>
        <w:rPr>
          <w:sz w:val="24"/>
          <w:szCs w:val="24"/>
        </w:rPr>
        <w:t xml:space="preserve">组织保障</w:t>
      </w:r>
      <w:r/>
    </w:p>
    <w:p>
      <w:pPr>
        <w:ind w:firstLine="480"/>
        <w:spacing w:line="360" w:lineRule="auto"/>
        <w:rPr>
          <w:sz w:val="24"/>
          <w:szCs w:val="24"/>
        </w:rPr>
      </w:pPr>
      <w:r>
        <w:rPr>
          <w:sz w:val="24"/>
          <w:szCs w:val="24"/>
        </w:rPr>
        <w:t xml:space="preserve">成立专项项目服务团队，设立项目总负责人、监理负责人、审计负责人、测评负责人、资料专员，明确各岗位职责、工作权限、考核标准。建立层级化管理机制，总负责人统筹全局，各专项负责人分工落实对应服务工作，实行每日工作报备、每周例会复盘制度，统筹协调建设单位、承建单位、主管部门、财政部门各方工作，高效推进各项服务落地，保障项目有序推进。</w:t>
      </w:r>
      <w:r/>
    </w:p>
    <w:p>
      <w:pPr>
        <w:ind w:firstLine="480"/>
        <w:spacing w:line="360" w:lineRule="auto"/>
        <w:rPr>
          <w:sz w:val="24"/>
          <w:szCs w:val="24"/>
        </w:rPr>
      </w:pPr>
      <w:r>
        <w:rPr>
          <w:rFonts w:hint="eastAsia"/>
          <w:sz w:val="24"/>
          <w:szCs w:val="24"/>
        </w:rPr>
        <w:t xml:space="preserve">5.5.2</w:t>
      </w:r>
      <w:r>
        <w:rPr>
          <w:sz w:val="24"/>
          <w:szCs w:val="24"/>
        </w:rPr>
        <w:t xml:space="preserve">专业人员保障</w:t>
      </w:r>
      <w:r/>
    </w:p>
    <w:p>
      <w:pPr>
        <w:ind w:firstLine="480"/>
        <w:spacing w:line="360" w:lineRule="auto"/>
        <w:rPr>
          <w:sz w:val="24"/>
          <w:szCs w:val="24"/>
        </w:rPr>
      </w:pPr>
      <w:r>
        <w:rPr>
          <w:sz w:val="24"/>
          <w:szCs w:val="24"/>
        </w:rPr>
        <w:t xml:space="preserve">配备具备公立医院信息化项目监理、审计、测评、评审丰富经验的专业人员，团队成员均熟悉卫健行业政策、财政资金管理规范、智慧医院建设标准。定期开展政策新规、行业标准、财政审核要求专项培训，持续提升团队专业能力，确保所有服务工作精准贴合项目示范建设要求及财政验收标准。</w:t>
      </w:r>
      <w:r/>
    </w:p>
    <w:p>
      <w:pPr>
        <w:ind w:firstLine="480"/>
        <w:spacing w:line="360" w:lineRule="auto"/>
        <w:rPr>
          <w:sz w:val="24"/>
          <w:szCs w:val="24"/>
        </w:rPr>
      </w:pPr>
      <w:r>
        <w:rPr>
          <w:rFonts w:hint="eastAsia"/>
          <w:sz w:val="24"/>
          <w:szCs w:val="24"/>
        </w:rPr>
        <w:t xml:space="preserve">5.5.3</w:t>
      </w:r>
      <w:r>
        <w:rPr>
          <w:sz w:val="24"/>
          <w:szCs w:val="24"/>
        </w:rPr>
        <w:t xml:space="preserve">制度体系保障</w:t>
      </w:r>
      <w:r/>
    </w:p>
    <w:p>
      <w:pPr>
        <w:ind w:firstLine="480"/>
        <w:spacing w:line="360" w:lineRule="auto"/>
        <w:rPr>
          <w:sz w:val="24"/>
          <w:szCs w:val="24"/>
        </w:rPr>
      </w:pPr>
      <w:r>
        <w:rPr>
          <w:sz w:val="24"/>
          <w:szCs w:val="24"/>
        </w:rPr>
        <w:t xml:space="preserve">建立完善的项目管理制度、质量管控制度、审计核查制度、测评规范制度、进度管控制度、问题整改闭环制度、资料归档制度。所有服务工作严格按照标准化制度流程开展，实现工作有标准、操作有规范、过程有记录、结果有核查、问题有整改，全面保障服务工作规范化、标准化、专业化，满足财政精细化审核要求。</w:t>
      </w:r>
      <w:r/>
    </w:p>
    <w:p>
      <w:pPr>
        <w:ind w:firstLine="480"/>
        <w:spacing w:line="360" w:lineRule="auto"/>
        <w:rPr>
          <w:sz w:val="24"/>
          <w:szCs w:val="24"/>
        </w:rPr>
      </w:pPr>
      <w:r>
        <w:rPr>
          <w:rFonts w:hint="eastAsia"/>
          <w:sz w:val="24"/>
          <w:szCs w:val="24"/>
        </w:rPr>
        <w:t xml:space="preserve">5.5.4</w:t>
      </w:r>
      <w:r>
        <w:rPr>
          <w:sz w:val="24"/>
          <w:szCs w:val="24"/>
        </w:rPr>
        <w:t xml:space="preserve">全流程质量保障</w:t>
      </w:r>
      <w:r/>
    </w:p>
    <w:p>
      <w:pPr>
        <w:ind w:firstLine="480"/>
        <w:spacing w:line="360" w:lineRule="auto"/>
        <w:rPr>
          <w:sz w:val="24"/>
          <w:szCs w:val="24"/>
        </w:rPr>
      </w:pPr>
      <w:r>
        <w:rPr>
          <w:sz w:val="24"/>
          <w:szCs w:val="24"/>
        </w:rPr>
        <w:t xml:space="preserve">建立“三级审核”质量管控机制，一线服务人员初审、专项负责人复审、项目总负责人终审，对所有监理报告、审计文件、测评报告、评审资料实行层层审核，杜绝工作疏漏、结论偏差、资料不规范等问题。建立质量抽查机制，定期开展服务质量自查、复盘优化，持续提升服务质量，保障项目建设及服务成果完全达标。</w:t>
      </w:r>
      <w:r/>
    </w:p>
    <w:p>
      <w:pPr>
        <w:ind w:firstLine="480"/>
        <w:spacing w:line="360" w:lineRule="auto"/>
        <w:rPr>
          <w:sz w:val="24"/>
          <w:szCs w:val="24"/>
        </w:rPr>
      </w:pPr>
      <w:r>
        <w:rPr>
          <w:rFonts w:hint="eastAsia"/>
          <w:sz w:val="24"/>
          <w:szCs w:val="24"/>
        </w:rPr>
        <w:t xml:space="preserve">5.5.5</w:t>
      </w:r>
      <w:r>
        <w:rPr>
          <w:sz w:val="24"/>
          <w:szCs w:val="24"/>
        </w:rPr>
        <w:t xml:space="preserve">进度管控保障</w:t>
      </w:r>
      <w:r/>
    </w:p>
    <w:p>
      <w:pPr>
        <w:ind w:firstLine="480"/>
        <w:spacing w:line="360" w:lineRule="auto"/>
        <w:rPr>
          <w:sz w:val="24"/>
          <w:szCs w:val="24"/>
        </w:rPr>
      </w:pPr>
      <w:r>
        <w:rPr>
          <w:sz w:val="24"/>
          <w:szCs w:val="24"/>
        </w:rPr>
        <w:t xml:space="preserve">对照项目总体工期、财政绩效节点、验收时限，制定详细的服务工作进度计划，拆解各阶段服务任务，明确工作完成时限。建立进度动态监控机制，实时跟踪服务推进情况，对滞后工作及时预警、加急推进，确保监理、审计、测评、评审等各项服务工作与项目建设同步推进、无缝衔接，不延误项目整体建设及验收进度。</w:t>
      </w:r>
      <w:r/>
    </w:p>
    <w:p>
      <w:pPr>
        <w:ind w:firstLine="480"/>
        <w:spacing w:line="360" w:lineRule="auto"/>
        <w:rPr>
          <w:sz w:val="24"/>
          <w:szCs w:val="24"/>
        </w:rPr>
      </w:pPr>
      <w:r>
        <w:rPr>
          <w:rFonts w:hint="eastAsia"/>
          <w:sz w:val="24"/>
          <w:szCs w:val="24"/>
        </w:rPr>
        <w:t xml:space="preserve">5.5.</w:t>
      </w:r>
      <w:r>
        <w:rPr>
          <w:rFonts w:hint="eastAsia"/>
          <w:sz w:val="24"/>
          <w:szCs w:val="24"/>
          <w:lang w:val="en-US" w:eastAsia="zh-CN"/>
        </w:rPr>
        <w:t xml:space="preserve">6</w:t>
      </w:r>
      <w:r>
        <w:rPr>
          <w:sz w:val="24"/>
          <w:szCs w:val="24"/>
        </w:rPr>
        <w:t xml:space="preserve">风险防控保障</w:t>
      </w:r>
      <w:r/>
    </w:p>
    <w:p>
      <w:pPr>
        <w:ind w:firstLine="480"/>
        <w:spacing w:line="360" w:lineRule="auto"/>
        <w:rPr>
          <w:sz w:val="24"/>
          <w:szCs w:val="24"/>
        </w:rPr>
      </w:pPr>
      <w:r>
        <w:rPr>
          <w:sz w:val="24"/>
          <w:szCs w:val="24"/>
        </w:rPr>
        <w:t xml:space="preserve">建立项目全维度风险排查机制，定期排查建设质量风险、资金合规风险、流程违规风险、数据安全风险、进度滞后风险、验收隐患风险。针对排查出的风险点建立风险台账，制定专项防控预案、应对措施，提前化解各类风险。同时全程对接财政、卫健主管部门，及时响应政策要求，动态优化服务工作，规避审核及验收风险。</w:t>
      </w:r>
      <w:r/>
    </w:p>
    <w:p>
      <w:pPr>
        <w:ind w:firstLine="480"/>
        <w:spacing w:line="360" w:lineRule="auto"/>
        <w:rPr>
          <w:sz w:val="24"/>
          <w:szCs w:val="24"/>
        </w:rPr>
      </w:pPr>
      <w:r>
        <w:rPr>
          <w:rFonts w:hint="eastAsia"/>
          <w:sz w:val="24"/>
          <w:szCs w:val="24"/>
        </w:rPr>
        <w:t xml:space="preserve">5.5.</w:t>
      </w:r>
      <w:r>
        <w:rPr>
          <w:rFonts w:hint="eastAsia"/>
          <w:sz w:val="24"/>
          <w:szCs w:val="24"/>
          <w:lang w:val="en-US" w:eastAsia="zh-CN"/>
        </w:rPr>
        <w:t xml:space="preserve">7</w:t>
      </w:r>
      <w:r>
        <w:rPr>
          <w:sz w:val="24"/>
          <w:szCs w:val="24"/>
        </w:rPr>
        <w:t xml:space="preserve">资料规范化保障</w:t>
      </w:r>
      <w:r/>
    </w:p>
    <w:p>
      <w:pPr>
        <w:ind w:firstLine="480"/>
        <w:spacing w:line="360" w:lineRule="auto"/>
        <w:rPr>
          <w:sz w:val="24"/>
          <w:szCs w:val="24"/>
        </w:rPr>
      </w:pPr>
      <w:r>
        <w:rPr>
          <w:sz w:val="24"/>
          <w:szCs w:val="24"/>
        </w:rPr>
        <w:t xml:space="preserve">安排专职资料管理人员，全程负责项目所有监理、审计、测评、评审资料的收集、整理、审核、归档、留存。严格按照财政档案管理标准规范资料格式、内容、装订、归档，确保所有资料真实、完整、规范、可追溯，全程适配财政审核、审计巡查、项目验收、绩效考评各项资料要求。</w:t>
      </w:r>
      <w:r/>
    </w:p>
    <w:p>
      <w:pPr>
        <w:ind w:firstLine="480"/>
        <w:spacing w:line="360" w:lineRule="auto"/>
        <w:rPr>
          <w:sz w:val="24"/>
          <w:szCs w:val="24"/>
        </w:rPr>
      </w:pPr>
      <w:r>
        <w:rPr>
          <w:rFonts w:hint="eastAsia"/>
          <w:sz w:val="24"/>
          <w:szCs w:val="24"/>
        </w:rPr>
        <w:t xml:space="preserve">5.5.</w:t>
      </w:r>
      <w:r>
        <w:rPr>
          <w:rFonts w:hint="eastAsia"/>
          <w:sz w:val="24"/>
          <w:szCs w:val="24"/>
          <w:lang w:val="en-US" w:eastAsia="zh-CN"/>
        </w:rPr>
        <w:t xml:space="preserve">8</w:t>
      </w:r>
      <w:r>
        <w:rPr>
          <w:sz w:val="24"/>
          <w:szCs w:val="24"/>
        </w:rPr>
        <w:t xml:space="preserve">长效售后与协同保障</w:t>
      </w:r>
      <w:r/>
    </w:p>
    <w:p>
      <w:pPr>
        <w:ind w:firstLine="480"/>
        <w:spacing w:line="360" w:lineRule="auto"/>
        <w:rPr>
          <w:sz w:val="24"/>
          <w:szCs w:val="24"/>
        </w:rPr>
      </w:pPr>
      <w:r>
        <w:rPr>
          <w:sz w:val="24"/>
          <w:szCs w:val="24"/>
        </w:rPr>
        <w:t xml:space="preserve">建立全程协同服务机制，主动对接建设单位、承建单位及各主管部门，及时响应工作需求、解答业务疑问、配合各项核查工作。项目建设完成后，提供长效售后保障，持续配合项目终审、绩效评价、示范项目复核、后续运维核查等工作，全程跟进问题整改、资料补正、政策适配优化，保障项目圆满完成示范创建及财政验收全部工作。</w:t>
      </w:r>
      <w:r/>
    </w:p>
    <w:p>
      <w:pPr>
        <w:ind w:firstLine="480"/>
        <w:spacing w:line="360" w:lineRule="auto"/>
        <w:rPr>
          <w:sz w:val="24"/>
          <w:szCs w:val="24"/>
        </w:rPr>
      </w:pPr>
      <w:r>
        <w:rPr>
          <w:sz w:val="24"/>
          <w:szCs w:val="24"/>
        </w:rPr>
        <w:t xml:space="preserve">（1）需具备各阶段建设进度分析功能，可直观以百分比形式展示项目整体推进进度，能通过不同颜色精准标记各阶段子任务的状态，清晰区分任务推进情况。</w:t>
      </w:r>
      <w:r/>
    </w:p>
    <w:p>
      <w:pPr>
        <w:ind w:firstLine="480"/>
        <w:spacing w:line="360" w:lineRule="auto"/>
        <w:rPr>
          <w:sz w:val="24"/>
          <w:szCs w:val="24"/>
        </w:rPr>
      </w:pPr>
      <w:r>
        <w:rPr>
          <w:sz w:val="24"/>
          <w:szCs w:val="24"/>
        </w:rPr>
        <w:t xml:space="preserve">（2）需具备项目数量分类展示功能，可清晰呈现各阶段项目数量，</w:t>
      </w:r>
      <w:r>
        <w:rPr>
          <w:rFonts w:hint="eastAsia"/>
          <w:sz w:val="24"/>
          <w:szCs w:val="24"/>
        </w:rPr>
        <w:t xml:space="preserve">至少包含</w:t>
      </w:r>
      <w:r>
        <w:rPr>
          <w:sz w:val="24"/>
          <w:szCs w:val="24"/>
        </w:rPr>
        <w:t xml:space="preserve">项目立项阶段、项目采购阶段、项目建设阶段、项目验收阶段的具体数量；同时需具备各项目牵头处室展示功能。</w:t>
      </w:r>
      <w:r/>
    </w:p>
    <w:p>
      <w:pPr>
        <w:ind w:firstLine="480"/>
        <w:spacing w:line="360" w:lineRule="auto"/>
        <w:rPr>
          <w:sz w:val="24"/>
          <w:szCs w:val="24"/>
        </w:rPr>
      </w:pPr>
      <w:r>
        <w:rPr>
          <w:sz w:val="24"/>
          <w:szCs w:val="24"/>
        </w:rPr>
        <w:t xml:space="preserve">（3）需具备资金明细展示功能，可全面呈现项目总体资金金额、中央资金支付进度及具体支付情况，同时能详细展示每个项目的资金拨付、使用及结余等相关情况，实现资金使用全流程可视化。</w:t>
      </w:r>
      <w:r/>
    </w:p>
    <w:p>
      <w:pPr>
        <w:ind w:firstLine="480"/>
        <w:spacing w:line="360" w:lineRule="auto"/>
        <w:rPr>
          <w:sz w:val="24"/>
          <w:szCs w:val="24"/>
        </w:rPr>
      </w:pPr>
      <w:r>
        <w:rPr>
          <w:sz w:val="24"/>
          <w:szCs w:val="24"/>
        </w:rPr>
        <w:t xml:space="preserve">（4）需具备项目报表功能，可根据项目状态自动采集、统计相关数据，生成规范的项目报表，实现项目进展公开化、透明化。</w:t>
      </w:r>
      <w:r/>
    </w:p>
    <w:p>
      <w:pPr>
        <w:ind w:firstLine="480"/>
        <w:spacing w:line="360" w:lineRule="auto"/>
        <w:rPr>
          <w:sz w:val="24"/>
          <w:szCs w:val="24"/>
        </w:rPr>
      </w:pPr>
      <w:r>
        <w:rPr>
          <w:rFonts w:hint="eastAsia"/>
          <w:sz w:val="24"/>
          <w:szCs w:val="24"/>
        </w:rPr>
        <w:t xml:space="preserve">六</w:t>
      </w:r>
      <w:r>
        <w:rPr>
          <w:sz w:val="24"/>
          <w:szCs w:val="24"/>
        </w:rPr>
        <w:t xml:space="preserve">、综合实力要求</w:t>
      </w:r>
      <w:r/>
    </w:p>
    <w:p>
      <w:pPr>
        <w:ind w:firstLine="480"/>
        <w:spacing w:line="360" w:lineRule="auto"/>
        <w:rPr>
          <w:sz w:val="24"/>
          <w:szCs w:val="24"/>
        </w:rPr>
      </w:pPr>
      <w:r>
        <w:rPr>
          <w:sz w:val="24"/>
          <w:szCs w:val="24"/>
        </w:rPr>
        <w:t xml:space="preserve">1、一标包业绩要求：投标人自2022年1月1日以来具有</w:t>
      </w:r>
      <w:r>
        <w:rPr>
          <w:rFonts w:hint="eastAsia"/>
          <w:sz w:val="24"/>
          <w:szCs w:val="24"/>
        </w:rPr>
        <w:t xml:space="preserve">与本项目实施内容相匹配的类似咨询或造价</w:t>
      </w:r>
      <w:r>
        <w:rPr>
          <w:sz w:val="24"/>
          <w:szCs w:val="24"/>
        </w:rPr>
        <w:t xml:space="preserve">业绩的优先。投标人</w:t>
      </w:r>
      <w:r>
        <w:rPr>
          <w:rFonts w:hint="eastAsia"/>
          <w:sz w:val="24"/>
          <w:szCs w:val="24"/>
        </w:rPr>
        <w:t xml:space="preserve">的拟派项目负责人</w:t>
      </w:r>
      <w:r>
        <w:rPr>
          <w:sz w:val="24"/>
          <w:szCs w:val="24"/>
        </w:rPr>
        <w:t xml:space="preserve">自2022年1月1日以来具有</w:t>
      </w:r>
      <w:r>
        <w:rPr>
          <w:rFonts w:hint="eastAsia"/>
          <w:sz w:val="24"/>
          <w:szCs w:val="24"/>
        </w:rPr>
        <w:t xml:space="preserve">与本项目实施内容相匹配的类似咨询或造价</w:t>
      </w:r>
      <w:r>
        <w:rPr>
          <w:sz w:val="24"/>
          <w:szCs w:val="24"/>
        </w:rPr>
        <w:t xml:space="preserve">业绩的优先</w:t>
      </w:r>
      <w:r>
        <w:rPr>
          <w:rFonts w:hint="eastAsia"/>
          <w:sz w:val="24"/>
          <w:szCs w:val="24"/>
        </w:rPr>
        <w:t xml:space="preserve">。</w:t>
      </w:r>
      <w:r/>
    </w:p>
    <w:p>
      <w:pPr>
        <w:ind w:firstLine="480"/>
        <w:spacing w:line="360" w:lineRule="auto"/>
        <w:rPr>
          <w:sz w:val="24"/>
          <w:szCs w:val="24"/>
        </w:rPr>
      </w:pPr>
      <w:r>
        <w:rPr>
          <w:sz w:val="24"/>
          <w:szCs w:val="24"/>
        </w:rPr>
        <w:t xml:space="preserve">2、一标包人员配置要求：</w:t>
      </w:r>
      <w:r/>
    </w:p>
    <w:p>
      <w:pPr>
        <w:ind w:firstLine="480"/>
        <w:spacing w:line="360" w:lineRule="auto"/>
        <w:rPr>
          <w:sz w:val="24"/>
          <w:szCs w:val="24"/>
        </w:rPr>
      </w:pPr>
      <w:r>
        <w:rPr>
          <w:sz w:val="24"/>
          <w:szCs w:val="24"/>
        </w:rPr>
        <w:t xml:space="preserve">2.1项目负责人实力</w:t>
      </w:r>
      <w:r/>
    </w:p>
    <w:p>
      <w:pPr>
        <w:ind w:firstLine="480"/>
        <w:spacing w:line="360" w:lineRule="auto"/>
        <w:rPr>
          <w:rFonts w:hint="eastAsia"/>
          <w:sz w:val="24"/>
          <w:szCs w:val="24"/>
        </w:rPr>
      </w:pPr>
      <w:r>
        <w:rPr>
          <w:rFonts w:ascii="宋体" w:hAnsi="宋体" w:eastAsia="宋体" w:cs="宋体"/>
          <w:color w:val="000000"/>
          <w:sz w:val="22"/>
        </w:rPr>
        <w:t xml:space="preserve">（</w:t>
      </w:r>
      <w:r>
        <w:rPr>
          <w:rFonts w:hint="eastAsia"/>
          <w:sz w:val="24"/>
          <w:szCs w:val="24"/>
        </w:rPr>
        <w:t xml:space="preserve">1）项目负责人具有计算机或通信或电子信息或大数据或信息化管理或人工智能相关专业副高级及以上职称的优先。</w:t>
      </w:r>
      <w:r/>
    </w:p>
    <w:p>
      <w:pPr>
        <w:ind w:firstLine="480"/>
        <w:spacing w:line="360" w:lineRule="auto"/>
        <w:rPr>
          <w:rFonts w:hint="eastAsia"/>
          <w:sz w:val="24"/>
          <w:szCs w:val="24"/>
        </w:rPr>
      </w:pPr>
      <w:r>
        <w:rPr>
          <w:rFonts w:hint="eastAsia"/>
          <w:sz w:val="24"/>
          <w:szCs w:val="24"/>
        </w:rPr>
        <w:t xml:space="preserve">（2）项目负责人具有电子信息工程专业咨询工程师（投资）证书优先；</w:t>
      </w:r>
      <w:r/>
    </w:p>
    <w:p>
      <w:pPr>
        <w:ind w:firstLine="480"/>
        <w:spacing w:line="360" w:lineRule="auto"/>
        <w:rPr>
          <w:rFonts w:hint="eastAsia"/>
          <w:sz w:val="24"/>
          <w:szCs w:val="24"/>
        </w:rPr>
      </w:pPr>
      <w:r>
        <w:rPr>
          <w:rFonts w:hint="eastAsia"/>
          <w:sz w:val="24"/>
          <w:szCs w:val="24"/>
        </w:rPr>
        <w:t xml:space="preserve">2.2技术负责人实力</w:t>
      </w:r>
      <w:r/>
    </w:p>
    <w:p>
      <w:pPr>
        <w:ind w:firstLine="480"/>
        <w:spacing w:line="360" w:lineRule="auto"/>
        <w:rPr>
          <w:rFonts w:hint="eastAsia"/>
          <w:sz w:val="24"/>
          <w:szCs w:val="24"/>
        </w:rPr>
      </w:pPr>
      <w:r>
        <w:rPr>
          <w:rFonts w:hint="eastAsia"/>
          <w:sz w:val="24"/>
          <w:szCs w:val="24"/>
        </w:rPr>
        <w:t xml:space="preserve">（1）技术负责人具有计算机或通信或电子信息或大数据或信息化管理或人工智能相关专业正高级职称，得3分；副高级职称，得1分。</w:t>
      </w:r>
      <w:r/>
    </w:p>
    <w:p>
      <w:pPr>
        <w:ind w:firstLine="480"/>
        <w:spacing w:line="360" w:lineRule="auto"/>
        <w:rPr>
          <w:rFonts w:hint="eastAsia"/>
          <w:sz w:val="24"/>
          <w:szCs w:val="24"/>
        </w:rPr>
      </w:pPr>
      <w:r>
        <w:rPr>
          <w:rFonts w:hint="eastAsia"/>
          <w:sz w:val="24"/>
          <w:szCs w:val="24"/>
        </w:rPr>
        <w:t xml:space="preserve">（2）技术负责人具有电子信息工程专业咨询工程师（投资）证书的优先；</w:t>
      </w:r>
      <w:r/>
    </w:p>
    <w:p>
      <w:pPr>
        <w:ind w:firstLine="480"/>
        <w:spacing w:line="360" w:lineRule="auto"/>
        <w:rPr>
          <w:rFonts w:hint="eastAsia"/>
          <w:sz w:val="24"/>
          <w:szCs w:val="24"/>
        </w:rPr>
      </w:pPr>
      <w:r>
        <w:rPr>
          <w:rFonts w:hint="eastAsia"/>
          <w:sz w:val="24"/>
          <w:szCs w:val="24"/>
        </w:rPr>
        <w:t xml:space="preserve">2.3造价负责人实力</w:t>
      </w:r>
      <w:r/>
    </w:p>
    <w:p>
      <w:pPr>
        <w:ind w:firstLine="480"/>
        <w:spacing w:line="360" w:lineRule="auto"/>
        <w:rPr>
          <w:rFonts w:hint="eastAsia"/>
          <w:sz w:val="24"/>
          <w:szCs w:val="24"/>
        </w:rPr>
      </w:pPr>
      <w:r>
        <w:rPr>
          <w:rFonts w:hint="eastAsia"/>
          <w:sz w:val="24"/>
          <w:szCs w:val="24"/>
        </w:rPr>
        <w:t xml:space="preserve">（1）造价负责人具有计算机技术与软件专业技术资格信息系统项目管理师的优先；</w:t>
      </w:r>
      <w:r/>
    </w:p>
    <w:p>
      <w:pPr>
        <w:ind w:firstLine="480"/>
        <w:spacing w:line="360" w:lineRule="auto"/>
        <w:rPr>
          <w:rFonts w:hint="eastAsia"/>
          <w:sz w:val="24"/>
          <w:szCs w:val="24"/>
        </w:rPr>
      </w:pPr>
      <w:r>
        <w:rPr>
          <w:rFonts w:hint="eastAsia"/>
          <w:sz w:val="24"/>
          <w:szCs w:val="24"/>
        </w:rPr>
        <w:t xml:space="preserve">（2）造价负责人具有电子信息工程专业咨询工程师（投资）证书的优先。</w:t>
      </w:r>
      <w:r/>
    </w:p>
    <w:p>
      <w:pPr>
        <w:ind w:firstLine="480"/>
        <w:spacing w:line="360" w:lineRule="auto"/>
        <w:rPr>
          <w:rFonts w:hint="eastAsia"/>
          <w:sz w:val="24"/>
          <w:szCs w:val="24"/>
        </w:rPr>
      </w:pPr>
      <w:r>
        <w:rPr>
          <w:rFonts w:hint="eastAsia"/>
          <w:sz w:val="24"/>
          <w:szCs w:val="24"/>
        </w:rPr>
        <w:t xml:space="preserve">  2.4项目团队成员实力</w:t>
      </w:r>
      <w:r/>
    </w:p>
    <w:p>
      <w:pPr>
        <w:ind w:firstLine="480"/>
        <w:spacing w:line="360" w:lineRule="auto"/>
        <w:rPr>
          <w:rFonts w:hint="eastAsia"/>
          <w:sz w:val="24"/>
          <w:szCs w:val="24"/>
        </w:rPr>
      </w:pPr>
      <w:r>
        <w:rPr>
          <w:rFonts w:hint="eastAsia"/>
          <w:sz w:val="24"/>
          <w:szCs w:val="24"/>
        </w:rPr>
        <w:t xml:space="preserve">除项目负责人、技术负责人、造价负责人外，其余项目组成员具有计算机技术与软件专业技术资格信息系统项目管理师、计算机技术与软件专业技术资格系统分析师、电子信息工程专业咨询工程师（投资）证书。注：以上人员配备不得相互兼任。</w:t>
      </w:r>
      <w:r/>
    </w:p>
    <w:p>
      <w:pPr>
        <w:ind w:firstLine="480"/>
        <w:spacing w:line="360" w:lineRule="auto"/>
        <w:rPr>
          <w:rFonts w:hint="eastAsia"/>
          <w:sz w:val="24"/>
          <w:szCs w:val="24"/>
        </w:rPr>
      </w:pPr>
      <w:r>
        <w:rPr>
          <w:rFonts w:hint="eastAsia"/>
          <w:sz w:val="24"/>
          <w:szCs w:val="24"/>
        </w:rPr>
        <w:t xml:space="preserve">配置人员具备上述相关证书的优先。</w:t>
      </w:r>
      <w:r/>
    </w:p>
    <w:p>
      <w:pPr>
        <w:ind w:firstLine="480"/>
        <w:spacing w:line="360" w:lineRule="auto"/>
        <w:rPr>
          <w:rFonts w:ascii="宋体" w:hAnsi="宋体" w:cs="宋体"/>
          <w:sz w:val="24"/>
          <w:szCs w:val="24"/>
        </w:rPr>
      </w:pPr>
      <w:r>
        <w:rPr>
          <w:rFonts w:hint="eastAsia" w:ascii="宋体" w:hAnsi="宋体" w:cs="宋体"/>
          <w:sz w:val="24"/>
          <w:szCs w:val="24"/>
        </w:rPr>
        <w:t xml:space="preserve">2.4驻场人员要求</w:t>
      </w:r>
      <w:r/>
    </w:p>
    <w:p>
      <w:pPr>
        <w:ind w:firstLine="480"/>
        <w:spacing w:line="360" w:lineRule="auto"/>
        <w:rPr>
          <w:rFonts w:ascii="宋体" w:hAnsi="宋体" w:cs="宋体"/>
          <w:sz w:val="24"/>
          <w:szCs w:val="24"/>
        </w:rPr>
      </w:pPr>
      <w:r>
        <w:rPr>
          <w:rFonts w:hint="eastAsia" w:ascii="宋体" w:hAnsi="宋体" w:cs="宋体"/>
          <w:sz w:val="24"/>
          <w:szCs w:val="24"/>
        </w:rPr>
        <w:t xml:space="preserve">承诺委派不少于1名驻场人员，负责所有项目招标前（不含招标环节）全流程的资料的收集与整理，协助采购人完成评审会议的召开，服从采购人安排的其他工作。</w:t>
      </w:r>
      <w:r/>
    </w:p>
    <w:p>
      <w:pPr>
        <w:numPr>
          <w:ilvl w:val="0"/>
          <w:numId w:val="3"/>
        </w:num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二标包业绩要求：投标人自2022年1月1日以来具有</w:t>
      </w:r>
      <w:r>
        <w:rPr>
          <w:rFonts w:hint="eastAsia" w:ascii="宋体" w:hAnsi="宋体" w:cs="宋体"/>
          <w:sz w:val="24"/>
        </w:rPr>
        <w:t xml:space="preserve">与本项目实施内容相匹配的类似监理或软测或审计</w:t>
      </w:r>
      <w:r>
        <w:rPr>
          <w:rFonts w:ascii="宋体" w:hAnsi="宋体" w:cs="宋体"/>
          <w:sz w:val="24"/>
        </w:rPr>
        <w:t xml:space="preserve">业绩的优先。投标人</w:t>
      </w:r>
      <w:r>
        <w:rPr>
          <w:rFonts w:hint="eastAsia" w:ascii="宋体" w:hAnsi="宋体" w:cs="宋体"/>
          <w:sz w:val="24"/>
        </w:rPr>
        <w:t xml:space="preserve">的拟派项目负责人</w:t>
      </w:r>
      <w:r>
        <w:rPr>
          <w:rFonts w:ascii="宋体" w:hAnsi="宋体" w:cs="宋体"/>
          <w:sz w:val="24"/>
        </w:rPr>
        <w:t xml:space="preserve">自2022年1月1日以来具有</w:t>
      </w:r>
      <w:r>
        <w:rPr>
          <w:rFonts w:hint="eastAsia" w:ascii="宋体" w:hAnsi="宋体" w:cs="宋体"/>
          <w:sz w:val="24"/>
        </w:rPr>
        <w:t xml:space="preserve">与本项目实施内容相匹配的类似监理或软测或审计</w:t>
      </w:r>
      <w:r>
        <w:rPr>
          <w:rFonts w:ascii="宋体" w:hAnsi="宋体" w:cs="宋体"/>
          <w:sz w:val="24"/>
        </w:rPr>
        <w:t xml:space="preserve">业绩的优先。</w:t>
      </w:r>
      <w:r/>
    </w:p>
    <w:p>
      <w:pPr>
        <w:numPr>
          <w:ilvl w:val="0"/>
          <w:numId w:val="3"/>
        </w:num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二标包人员配置要求</w:t>
      </w:r>
      <w:r/>
    </w:p>
    <w:p>
      <w:pPr>
        <w:ind w:firstLine="480"/>
        <w:spacing w:line="360" w:lineRule="auto"/>
        <w:rPr>
          <w:rFonts w:ascii="宋体" w:hAnsi="宋体" w:cs="宋体"/>
          <w:sz w:val="24"/>
          <w:szCs w:val="24"/>
        </w:rPr>
      </w:pPr>
      <w:r>
        <w:rPr>
          <w:rFonts w:hint="eastAsia" w:ascii="宋体" w:hAnsi="宋体" w:cs="宋体"/>
          <w:sz w:val="24"/>
          <w:szCs w:val="24"/>
        </w:rPr>
        <w:t xml:space="preserve">4.1项目负责人实力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（1）项目负责人具有计算机技术与软件专业技术资格中的高级证书信息系统项目管理师证书的优先。</w:t>
      </w:r>
      <w:r/>
    </w:p>
    <w:p>
      <w:pPr>
        <w:ind w:firstLine="480"/>
        <w:spacing w:line="360" w:lineRule="auto"/>
        <w:rPr>
          <w:rFonts w:ascii="宋体" w:hAnsi="宋体" w:cs="宋体"/>
          <w:sz w:val="24"/>
          <w:szCs w:val="24"/>
        </w:rPr>
      </w:pPr>
      <w:r>
        <w:rPr>
          <w:rFonts w:ascii="宋体" w:hAnsi="宋体" w:eastAsia="宋体" w:cs="宋体"/>
          <w:color w:val="000000"/>
          <w:sz w:val="22"/>
        </w:rPr>
        <w:t xml:space="preserve">（2）项目负责人具有计算机技术与软件专业技术资格中的高级证书系统架构设计师证书的优先。</w:t>
      </w:r>
      <w:r/>
    </w:p>
    <w:p>
      <w:pPr>
        <w:ind w:firstLine="480"/>
        <w:spacing w:line="360" w:lineRule="auto"/>
        <w:rPr>
          <w:rFonts w:ascii="宋体" w:hAnsi="宋体" w:cs="宋体"/>
          <w:sz w:val="24"/>
          <w:szCs w:val="24"/>
        </w:rPr>
      </w:pPr>
      <w:r>
        <w:rPr>
          <w:rFonts w:hint="eastAsia" w:ascii="宋体" w:hAnsi="宋体" w:cs="宋体"/>
          <w:sz w:val="24"/>
          <w:szCs w:val="24"/>
        </w:rPr>
        <w:t xml:space="preserve">4.2监理负责人实力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（1）监理负责人具有计算机技术与软件专业技术资格中的高级证书信息系统项目管理师证书的优先。</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（2）监理负责人具有具有计算机技术与软件专业技术资格中的中级证书信息系统监理师证书的优先。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4.3软件评测负责人实力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（1）软件评测负责人具有具有计算机技术与软件专业技术资格中的高级证书系统规划与管理师证书的优先。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（2）软件评测负责人具有具有计算机技术与软件专业技术资格中的中级证书软件评测师证书的优先。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4.4项目团队实力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除项目负责人、监理负责人和软件测评负责人，其余成员中具有计算机技术与软件专业技术资格信息系统监理师证书、计算机技术与软件专业技术资格信息系统项目管理师证书、计算机技术与软件专业技术资格系统集成项目管理工程师证书、计算机技术与软件专业技术资格系统规划与管理师证书、计算机技术与软件专业技术资格系统分析师证书、计算机技术与软件专业技术资格软件评测师证书。注：以上人员配备不得相互兼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配置人员具备上述相关证书的优先。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4.5驻场人员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承诺委派不少于2名驻场人员，负责所有项目招标后全流程的资料的收集与整理，协助采购人完成项目数据统计与上报，协助采购人完成评审会议的召开，服从采购人安排的其他工作。</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八、</w:t>
      </w:r>
      <w:r>
        <w:rPr>
          <w:rFonts w:hint="eastAsia" w:ascii="宋体" w:hAnsi="宋体" w:cs="宋体"/>
          <w:sz w:val="24"/>
        </w:rPr>
        <w:t xml:space="preserve">二标包监理平台需求</w:t>
      </w:r>
      <w:r/>
    </w:p>
    <w:p>
      <w:pPr>
        <w:pStyle w:val="746"/>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1.平台总体定位</w:t>
      </w:r>
      <w:r/>
    </w:p>
    <w:p>
      <w:pPr>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监理平台为盐城市公立医院改革与高质量发展示范项目信息化全流程项目管控平台，由二标包服务商提供，平台全部费用包含在二标包合同总价内，采购人无任何额外付费，提供3年完整免费使用权，无功能阉割、无隐藏收费、无按项目或按账号二次计费。平台服务对象：采购人、各参建医疗机构、监理、审计、测评、评审相关人员；用于各个子信息化项目的立项采购建设 测试 验收全生命周期过程管控、进度跟踪、资金监管、文档归集、报表输出，支撑示范项目财政监管、绩效监控、上级督查核查工作。</w:t>
      </w:r>
      <w:r/>
    </w:p>
    <w:p>
      <w:pPr>
        <w:pStyle w:val="746"/>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2.平台通用总体要求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（1）架构，浏览器端访问，支持主流版本，无需客户端安装；支持PC端，适配大屏查看。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（2）用户账号分级管理，支持多角色账号，账号数量不做上限限制。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（3）全部业务数据支持导出 Excel、PDF，报表支持打印。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（4）平台业务数据与本项目监理、跟踪审计、软件测评业务工作联动，支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持业务资料线上上传归档。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数据存储满足政务信息安全要求，医疗相关业务数据遵循医疗数据安全相关规范。</w:t>
      </w:r>
      <w:r/>
    </w:p>
    <w:p>
      <w:pPr>
        <w:pStyle w:val="746"/>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3.业务功能详细需求</w:t>
      </w:r>
      <w:r/>
    </w:p>
    <w:p>
      <w:pPr>
        <w:pStyle w:val="747"/>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模块1：各阶段建设进度分析功能，项目全生命周期进度管理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(1)支持维护每个子项目基础信息：项目名称、项目编号、牵头处室科室、采购人、建设总投资、中央专项资金、建设内容、计划开工、计划验收时间。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（2）项目划分为四大阶段：立项阶段、采购阶段、建设阶段、验收阶段；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每个大阶段下支持自定义子任务节点（例如：可研编制、概算评审、招标时点、合同签订、需求评审、开发、测试、上线试运行、预验收、正式验收等）。</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(3)整体进度百分比可视化：自动计算每个项目整体完成百分比；支持按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子任务维护实际完成情况，子任务使用不同颜色标记任务状态（未开始灰色、进行中蓝色、已完成绿色、延期预警黄色、严重滞后红色），直观区分任务推进状态。</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（4）支持单项目详情查看：子任务清单、计划时间、实际完成时间、负责人、滞后原因备注、附件材料上传。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（4）支持批量查看全部各个子项目进度概览，支持筛选、按阶段过滤。</w:t>
      </w:r>
      <w:r/>
    </w:p>
    <w:p>
      <w:pPr>
        <w:pStyle w:val="747"/>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模块2：项目数量分类展示功能，项目台账与多维度统计</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(1)统计看板自动统计展示立项阶段、采购阶段、建设阶段、验收阶段项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目数量，展示各状态项目占比。</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(2)支持按牵头处室 / 牵头单位维度统计项目清单，可查看每个牵头处室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名下所有子项目列表，支持筛选、检索。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（3）支持多维度筛选过滤：投资规模区间、建设单位、项目阶段、是否使用中央专项资金、项目风险等级。</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（4）项目基础台账：支持新增、编辑、导入导出子项目基础信息，支持 Excel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批量导入各个子项目基础数据。</w:t>
      </w:r>
      <w:r/>
    </w:p>
    <w:p>
      <w:pPr>
        <w:pStyle w:val="747"/>
        <w:ind w:right="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模块3：资金全流程可视化监管</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(1)总览维度：展示示范项目总投资总额、中央专项资金总额、已拨付总金额、已使用金额、总结余金额。</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(2)中央资金支付进度可视化：图形化展示中央专项资金拨付进度，已拨付、待拨付、结余占比。</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(3)单项目资金台账：对每个子项目，维护项目合同总投资、中央专项资金占比、各批次拨付时间、拨付金额、实际使用金额、项目结余资金；记录变更调增调减金额。</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(4)资金预警功能：对超概算、资金拨付滞后、结余资金过大项目自动标记风险提示。</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(5)全部资金明细支持导出，用于财政上报、审计核查。</w:t>
      </w:r>
      <w:r/>
    </w:p>
    <w:p>
      <w:pPr>
        <w:pStyle w:val="747"/>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模块4：自动报表管理</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(1)系统基于项目进度台账、资金台账自动采集业务数据，生成标准化统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计报表。</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(2)内置报表至少包含：示范项目总体进展汇总报表；分阶段项目数量统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计表；各牵头处室项目清单报表；项目资金拨付及结余明细表；项目延期风险预警清单报表。</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(3)报表支持预览、导出 PDF/Excel、直接打印；支持按季度、按月份筛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选生成周期报表，支撑向上主管部门数据上报。</w:t>
      </w:r>
      <w:r/>
    </w:p>
    <w:p>
      <w:pPr>
        <w:pStyle w:val="747"/>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模块5：文档与资料归档管理</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(1)每个子项目建立独立电子档案夹，按照立项、概算评审、采购合同、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监理资料、审计资料、软件测评报告、评审会议材料、验收材料分类目录。</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(2)支持上传附件：PDF、word、excel、图片等格式，支持在线预览；文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档上传后自动留存上传人、上传时间。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（3）支持按项目检索查阅全套归档资料，满足审计、财政检查调阅需要。</w:t>
      </w:r>
      <w:r/>
    </w:p>
    <w:p>
      <w:pPr>
        <w:pStyle w:val="747"/>
        <w:ind w:right="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模块6：监理业务线上工作模块</w:t>
      </w:r>
      <w:r/>
    </w:p>
    <w:p>
      <w:pPr>
        <w:ind w:right="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匹配二标包监理业务，与平台管控打通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（1）监理台账：监理周报、月报、专题报告、监理通知单、整改回执线上管理；整改任务线上下发、闭环销号。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（2）变更签证线上登记：记录项目变更内容、变更造价、审批材料，关联</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对应子项目。</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(3)问题台账管理：质量、进度、投资、安全问题登记，设置问题等级、责任方、整改期限，跟踪整改闭环，问题完成销号。</w:t>
      </w:r>
      <w:r/>
    </w:p>
    <w:p>
      <w:pPr>
        <w:pStyle w:val="747"/>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模块7：审计和测评业务辅助模块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（1）跟踪审计简报、专项审计报告线上归档，关联对应子项目。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（2）软件测评任务登记，上传测评报告，记录缺陷整改复核情况。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（3）评审会议管理：登记每场评审会议，专家信息、会议纪要、专家意见、整改清单归档。</w:t>
      </w:r>
      <w:r/>
    </w:p>
    <w:p>
      <w:pPr>
        <w:pStyle w:val="747"/>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模块8：角色权限管理</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（1）角色至少包含：平台管理员、采购人管理员、普通查看人员、监理人员、审计人员。</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（2）权限细粒度控制：项目查看、编辑、上传文档、导出报表、资金编辑等权限分离；不同角色只能访问授权范围内项目与功能。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（3）用户账号管理：新增、禁用账号，账号操作留痕。</w:t>
      </w:r>
      <w:r/>
    </w:p>
    <w:p>
      <w:pPr>
        <w:pStyle w:val="747"/>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模块9：系统日志与安全审计</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（1）完整操作日志：记录登录、新增、修改、删除、导出数据的账号、时间、操作内容。日志保存时间不少于3年，不可人为删除。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（2）登录安全：密码复杂度要求，支持登录异常提醒。</w:t>
      </w:r>
      <w:r/>
    </w:p>
    <w:p>
      <w:pPr>
        <w:pStyle w:val="746"/>
        <w:ind w:left="0" w:right="0" w:firstLine="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4.非功能性需求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（1）并发：支持不少于50用户同时在线访问，页面响应时间≤3秒。</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（2）可靠性：平台全年可用率≥99%；定期自动数据备份。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（3）兼容性：支持主流浏览器。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（4）数据安全：平台数据不能外泄，不得用于本项目以外业务。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（5）服务期：平台完整免费使用期限三年，自二标包合同生效之日起算；三年服务期内，免费bug修复、免费适配本项目新增子项目，免费小版本迭</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代升级，无额外收费。</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（6）三年期满之后，采购人可选择导出全部业务数据，服务商需提供完整数据导出，保障数据迁移。</w:t>
      </w:r>
      <w:r/>
    </w:p>
    <w:p>
      <w:pPr>
        <w:pStyle w:val="746"/>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5.交付成果包含内容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（1）监理平台部署上线；</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（2）《监理平台用户操作手册》（管理员手册+普通用户手册）；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（3）平台部署文档；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（4）上线后提供操作培训，对采购人相关人员开展操作培训。</w:t>
      </w:r>
      <w:r/>
    </w:p>
    <w:p>
      <w:pPr>
        <w:ind w:firstLine="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6、功能演示要求</w:t>
      </w:r>
      <w:r/>
    </w:p>
    <w:p>
      <w:pPr>
        <w:ind w:firstLine="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（1）各阶段建设进度分析功能：需具备各阶段建设进度分析功能，可直观以百分比形式展示项目整体推进进度，能通过不同颜色精准标记各阶段子任务的状态，清晰区分任务推进情况。</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数量分类展示功能：需具备项目数量分类展示功能，可清晰呈现各阶段项目数量，至少包含项目立项阶段、项目采购阶段、项目建设阶段、项目验收阶段的具体数量；同时需具备各项目牵头处室展示功能。</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资金明细展示功能：需具备资金明细展示功能，可全面呈现项目总体资金金额、中央资金支付进度及具体支付情况，同时能详细展示每个项目的资金拨付、使用及结余等相关情况，实现资金使用全流程可视化。</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（4）项目报表功能：需具备项目报表功能，可根据项目状态自动采集、统计相关数据，生成规范的项目报表，实现项目进展公开化、透明化。</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上监理平台功能演示（1）-（4）项需提供真实运行环境或Demo演示视频，隐私信息可以打码，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8分钟。</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w:t>
      </w:r>
      <w:r>
        <w:rPr>
          <w:rFonts w:ascii="宋体" w:hAnsi="宋体" w:cs="宋体"/>
          <w:sz w:val="24"/>
        </w:rPr>
        <w:t xml:space="preserve">其他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本采购项目对应的中小企业划分标准所属行业为</w:t>
      </w:r>
      <w:r>
        <w:rPr>
          <w:rFonts w:ascii="宋体" w:hAnsi="宋体" w:cs="宋体"/>
          <w:sz w:val="24"/>
          <w:u w:val="single"/>
        </w:rPr>
        <w:t xml:space="preserve"> </w:t>
      </w:r>
      <w:r>
        <w:rPr>
          <w:rFonts w:hint="eastAsia" w:ascii="宋体" w:hAnsi="宋体" w:cs="宋体"/>
          <w:sz w:val="24"/>
          <w:u w:val="single"/>
        </w:rPr>
        <w:t xml:space="preserve">其他未列明行业</w:t>
      </w:r>
      <w:r>
        <w:rPr>
          <w:rFonts w:ascii="宋体" w:hAnsi="宋体" w:cs="宋体"/>
          <w:sz w:val="24"/>
          <w:u w:val="single"/>
        </w:rPr>
        <w:t xml:space="preserve"> </w:t>
      </w:r>
      <w:r>
        <w:rPr>
          <w:rFonts w:ascii="宋体" w:hAnsi="宋体" w:cs="宋体"/>
          <w:sz w:val="24"/>
        </w:rPr>
        <w:t xml:space="preserve">。</w:t>
      </w:r>
      <w:r/>
    </w:p>
    <w:p>
      <w:pPr>
        <w:pStyle w:val="745"/>
        <w:rPr>
          <w:color w:val="auto"/>
        </w:rPr>
        <w:pBdr>
          <w:top w:val="none" w:color="000000" w:sz="0" w:space="0"/>
          <w:left w:val="none" w:color="000000" w:sz="0" w:space="0"/>
          <w:bottom w:val="none" w:color="000000" w:sz="0" w:space="0"/>
          <w:right w:val="none" w:color="000000" w:sz="0" w:space="0"/>
        </w:pBdr>
      </w:pPr>
      <w:r>
        <w:rPr>
          <w:rFonts w:ascii="黑体" w:hAnsi="黑体" w:cs="黑体"/>
          <w:color w:val="auto"/>
        </w:rPr>
        <w:t xml:space="preserve">第五章 评标方法与评标标准</w:t>
      </w:r>
      <w:bookmarkEnd w:id="152"/>
      <w:r/>
      <w:bookmarkEnd w:id="165"/>
      <w:r/>
      <w:r/>
    </w:p>
    <w:p>
      <w:pPr>
        <w:ind w:right="-4" w:firstLine="482"/>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ind w:right="-4" w:firstLine="482"/>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一、定标原则</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标包选取1名中标候选人。</w:t>
      </w:r>
      <w:r>
        <w:rPr>
          <w:rFonts w:hint="eastAsia" w:ascii="宋体" w:hAnsi="宋体" w:cs="宋体"/>
          <w:color w:val="auto"/>
          <w:sz w:val="24"/>
        </w:rPr>
        <w:t xml:space="preserve">本项目允许投标人同时参与2个采购包的投标，但仅可在1个标包中中标。评审顺序：一标包→二标包。如一标包评审被选取为第1名中标候选人的，则不再参加二标包评审。</w:t>
      </w:r>
      <w:r/>
    </w:p>
    <w:p>
      <w:pPr>
        <w:ind w:right="-4" w:firstLine="482"/>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政府采购政策功能落实</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hint="eastAsia" w:ascii="宋体" w:hAnsi="宋体" w:cs="宋体"/>
          <w:color w:val="auto"/>
          <w:sz w:val="24"/>
        </w:rPr>
        <w:t xml:space="preserve">中小微型企业价格扣除</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（1）本项目</w:t>
      </w:r>
      <w:r>
        <w:rPr>
          <w:rFonts w:hint="eastAsia" w:ascii="宋体" w:hAnsi="宋体" w:cs="宋体"/>
          <w:color w:val="auto"/>
          <w:sz w:val="24"/>
        </w:rPr>
        <w:t xml:space="preserve">不</w:t>
      </w:r>
      <w:r>
        <w:rPr>
          <w:rFonts w:ascii="宋体" w:hAnsi="宋体" w:cs="宋体"/>
          <w:color w:val="auto"/>
          <w:sz w:val="24"/>
        </w:rPr>
        <w:t xml:space="preserve">专门面向中小企业采购，对小型和微型企业报价给予</w:t>
      </w:r>
      <w:r>
        <w:rPr>
          <w:rFonts w:hint="eastAsia" w:ascii="宋体" w:hAnsi="宋体" w:cs="宋体"/>
          <w:color w:val="auto"/>
          <w:sz w:val="24"/>
        </w:rPr>
        <w:t xml:space="preserve">20%</w:t>
      </w:r>
      <w:r>
        <w:rPr>
          <w:rFonts w:ascii="宋体" w:hAnsi="宋体" w:cs="宋体"/>
          <w:color w:val="auto"/>
          <w:sz w:val="24"/>
        </w:rPr>
        <w:t xml:space="preserve">价格扣除。</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（2）供应商需按照采购文件的要求提供相应的《中小企业声明函》。</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（3）企业标准请参照《关于印发中小企业划型标准规定的通知》（工信部联企业〔2011〕300号）文件规定自行填写。</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2.残疾人福利单位</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（1）本项目对残疾人福利性单位视同小型企业。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（2）残疾人福利单位需按照采购文件的要求提供《残疾人福利性单位声明函》。</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（3）残疾人福利单位标准请参照《关于促进残疾人就业政府采购政策的通知》（财库〔2017〕141号）。</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3.监狱和戒毒企业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（1）本项目对监狱和戒毒企业（简称监狱企业）视同小型企业。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（2）监狱企业参加政府采购活动时，需提供由省级以上监狱管理局、戒毒管理局(含新疆生产建设兵团)出具的属于监狱企业的证明文件。否则，不能视同小型企业。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（3）监狱企业标准请参照《关于政府采购支持监狱企业发展有关问题的通知》（财库〔2014〕68号）。</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4.残疾人福利单位、监狱企业属于小型企业的，不重复享受政策。</w:t>
      </w:r>
      <w:r/>
    </w:p>
    <w:p>
      <w:pPr>
        <w:ind w:firstLine="482"/>
        <w:spacing w:line="360" w:lineRule="auto"/>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ind w:firstLine="482"/>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二、评标标准</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w:t>
      </w:r>
      <w:r>
        <w:rPr>
          <w:rFonts w:hint="eastAsia" w:ascii="宋体" w:hAnsi="宋体" w:cs="宋体"/>
          <w:color w:val="auto"/>
          <w:sz w:val="24"/>
        </w:rPr>
        <w:t xml:space="preserve">一标包</w:t>
      </w:r>
      <w:r>
        <w:rPr>
          <w:rFonts w:ascii="宋体" w:hAnsi="宋体" w:cs="宋体"/>
          <w:color w:val="auto"/>
          <w:sz w:val="24"/>
        </w:rPr>
        <w:t xml:space="preserve">评分总分值为100分。</w:t>
      </w:r>
      <w:r/>
    </w:p>
    <w:tbl>
      <w:tblPr>
        <w:tblStyle w:val="806"/>
        <w:tblW w:w="9237"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19"/>
        <w:gridCol w:w="1787"/>
        <w:gridCol w:w="4524"/>
        <w:gridCol w:w="1026"/>
      </w:tblGrid>
      <w:tr>
        <w:trPr>
          <w:trHeight w:val="740"/>
        </w:trPr>
        <w:tc>
          <w:tcPr>
            <w:tcW w:w="781"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序号</w:t>
            </w:r>
            <w:r/>
          </w:p>
        </w:tc>
        <w:tc>
          <w:tcPr>
            <w:tcW w:w="1119"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评审项</w:t>
            </w:r>
            <w:r/>
          </w:p>
        </w:tc>
        <w:tc>
          <w:tcPr>
            <w:tcW w:w="1787"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评分项名称</w:t>
            </w:r>
            <w:r/>
          </w:p>
        </w:tc>
        <w:tc>
          <w:tcPr>
            <w:tcW w:w="4524"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评审要求</w:t>
            </w:r>
            <w:r/>
          </w:p>
        </w:tc>
        <w:tc>
          <w:tcPr>
            <w:tcW w:w="1026"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分值</w:t>
            </w:r>
            <w:r/>
          </w:p>
        </w:tc>
      </w:tr>
      <w:tr>
        <w:trPr/>
        <w:tc>
          <w:tcPr>
            <w:tcW w:w="781"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1</w:t>
            </w:r>
            <w:r/>
          </w:p>
        </w:tc>
        <w:tc>
          <w:tcPr>
            <w:tcW w:w="1119"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价格分</w:t>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投标报价</w:t>
            </w:r>
            <w:r/>
          </w:p>
        </w:tc>
        <w:tc>
          <w:tcPr>
            <w:tcW w:w="4524" w:type="dxa"/>
            <w:vAlign w:val="center"/>
            <w:textDirection w:val="lrTb"/>
            <w:noWrap w:val="false"/>
          </w:tcPr>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优惠率方式报价：在采购文件约定的基准价基础上进行下浮的比例，优惠率报价小数点保留两位。</w:t>
            </w:r>
            <w:r/>
          </w:p>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评审基准价：满足采购文件要求且（100%-最高优惠率）最低为评审基准价，其价格分为满分10分。</w:t>
            </w:r>
            <w:r/>
          </w:p>
          <w:p>
            <w:pPr>
              <w:jc w:val="left"/>
              <w:rPr>
                <w:rFonts w:ascii="宋体" w:hAnsi="宋体" w:cs="宋体"/>
                <w:color w:val="auto"/>
                <w:sz w:val="22"/>
                <w:szCs w:val="22"/>
              </w:rPr>
            </w:pPr>
            <w:r>
              <w:rPr>
                <w:rFonts w:hint="eastAsia" w:ascii="宋体" w:hAnsi="宋体" w:cs="宋体"/>
                <w:color w:val="auto"/>
                <w:sz w:val="22"/>
                <w:szCs w:val="22"/>
              </w:rPr>
              <w:t xml:space="preserve">报价得分=评标基准价/（100%-优惠率报价）×10。</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290"/>
        </w:trPr>
        <w:tc>
          <w:tcPr>
            <w:tcW w:w="781"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2</w:t>
            </w:r>
            <w:r/>
          </w:p>
        </w:tc>
        <w:tc>
          <w:tcPr>
            <w:shd w:val="clear" w:color="auto" w:fill="auto"/>
            <w:tcW w:w="1119"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color w:val="auto"/>
                <w:sz w:val="22"/>
                <w:szCs w:val="22"/>
              </w:rPr>
              <w:t xml:space="preserve">服务方案</w:t>
            </w:r>
            <w:r>
              <w:rPr>
                <w:rFonts w:hint="eastAsia" w:ascii="宋体" w:hAnsi="宋体" w:cs="宋体"/>
                <w:b/>
                <w:bCs/>
                <w:color w:val="auto"/>
                <w:sz w:val="22"/>
                <w:szCs w:val="22"/>
              </w:rPr>
              <w:t xml:space="preserve">分</w:t>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服务方案1:对项目的理解</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5.1条中对项目的理解需求，编制详细的项目的理解方案，至少包含（1）对国家深化医改的有关要求和趋势分析、（2）财政部和国家卫健委组织实施公立医院改革与高质量发展示范项目背景和目标、（3）各地在示范信息化项目实践中的优秀做法、（4）对国家加强公立医院改革与高质量发展示范项目管理的有关要求等。</w:t>
            </w:r>
            <w:r/>
          </w:p>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 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 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w:t>
            </w:r>
            <w:r/>
          </w:p>
        </w:tc>
      </w:tr>
      <w:tr>
        <w:trPr>
          <w:trHeight w:val="171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服务方案2:咨询设计服务方案</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投标人根据采购文件第四章采购需求第5.2条中咨询设计服务需求，编制详细的服务方案，至少包含①立项阶段基础编制服务；②设计阶段深化服务；③延伸增值服务。方案优于项目需求的得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sz w:val="22"/>
                <w:szCs w:val="22"/>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w:t>
            </w:r>
            <w:r/>
          </w:p>
        </w:tc>
      </w:tr>
      <w:tr>
        <w:trPr>
          <w:trHeight w:val="7187"/>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服务方案3:设计概算（前期论证造价）</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5.3条中设计概算（前期论证造价），至少包含①编制依据核查；②造价完整性审核；③工程量与单价复核；④专项费用审核；⑤出具审查报告；⑥服务价值与收费要点。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keepLines w:val="0"/>
              <w:keepNext w:val="0"/>
              <w:pageBreakBefore w:val="0"/>
              <w:spacing w:line="240" w:lineRule="auto"/>
              <w:widowControl/>
              <w:rPr>
                <w:color w:val="auto"/>
                <w:sz w:val="22"/>
                <w:szCs w:val="22"/>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服务方案4:实施保障措施</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投标人根据采购文件第四章采购需求第5.4条中实施保障措施需求，编制详细的服务方案，至少包含：①质量保障；②安全保障；③应急保障；④风险管控保障措施。方案优于项目需求的得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keepLines w:val="0"/>
              <w:keepNext w:val="0"/>
              <w:pageBreakBefore w:val="0"/>
              <w:spacing w:line="240" w:lineRule="auto"/>
              <w:widowControl/>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10分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组织项目评审服务方案</w:t>
            </w:r>
            <w:r>
              <w:rPr>
                <w:rFonts w:hint="eastAsia" w:ascii="宋体" w:hAnsi="宋体" w:cs="宋体"/>
                <w:color w:val="auto"/>
                <w:sz w:val="22"/>
                <w:szCs w:val="22"/>
                <w:lang w:val="en-US" w:eastAsia="zh-CN"/>
              </w:rPr>
              <w:t xml:space="preserve">5</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w:t>
            </w:r>
            <w:r>
              <w:rPr>
                <w:rFonts w:hint="eastAsia" w:ascii="宋体" w:hAnsi="宋体" w:cs="宋体"/>
                <w:color w:val="auto"/>
                <w:sz w:val="22"/>
                <w:szCs w:val="22"/>
                <w:lang w:val="en-US" w:eastAsia="zh-CN"/>
              </w:rPr>
              <w:t xml:space="preserve">4.5</w:t>
            </w:r>
            <w:r>
              <w:rPr>
                <w:rFonts w:hint="eastAsia" w:ascii="宋体" w:hAnsi="宋体" w:cs="宋体"/>
                <w:color w:val="auto"/>
                <w:sz w:val="22"/>
                <w:szCs w:val="22"/>
              </w:rPr>
              <w:t xml:space="preserve">条中组织项目评审服务需求，编制详细的服务方案，至少包含：①评审专家遴选管理、②评审会务全流程组织、③专家意见闭环整改管理、④评审档案归档管理、专家劳务费合规管控等内容。方案优于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6</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keepLines w:val="0"/>
              <w:keepNext w:val="0"/>
              <w:pageBreakBefore w:val="0"/>
              <w:spacing w:line="240" w:lineRule="auto"/>
              <w:widowControl/>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8分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档案与资料管理方案</w:t>
            </w:r>
            <w:r>
              <w:rPr>
                <w:rFonts w:hint="eastAsia" w:ascii="宋体" w:hAnsi="宋体" w:cs="宋体"/>
                <w:color w:val="auto"/>
                <w:sz w:val="22"/>
                <w:szCs w:val="22"/>
                <w:lang w:val="en-US" w:eastAsia="zh-CN"/>
              </w:rPr>
              <w:t xml:space="preserve">6</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w:t>
            </w:r>
            <w:r>
              <w:rPr>
                <w:rFonts w:hint="eastAsia" w:ascii="宋体" w:hAnsi="宋体" w:cs="宋体"/>
                <w:color w:val="auto"/>
                <w:sz w:val="22"/>
                <w:szCs w:val="22"/>
                <w:lang w:val="en-US" w:eastAsia="zh-CN"/>
              </w:rPr>
              <w:t xml:space="preserve">4.6</w:t>
            </w:r>
            <w:r>
              <w:rPr>
                <w:rFonts w:hint="eastAsia" w:ascii="宋体" w:hAnsi="宋体" w:cs="宋体"/>
                <w:color w:val="auto"/>
                <w:sz w:val="22"/>
                <w:szCs w:val="22"/>
              </w:rPr>
              <w:t xml:space="preserve">条中档案与资料管理需求，编制详细的服务方案，至少包含：咨询设计成果、概算审查底稿、评审会议资料分类管理；资料编制、审核、移交、归档流程；财政、审计调阅资料保障；电子、纸质双重档案管理。方案优于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6</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keepLines w:val="0"/>
              <w:keepNext w:val="0"/>
              <w:pageBreakBefore w:val="0"/>
              <w:spacing w:line="240" w:lineRule="auto"/>
              <w:widowControl/>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8分</w:t>
            </w:r>
            <w:r/>
          </w:p>
        </w:tc>
      </w:tr>
      <w:tr>
        <w:trPr/>
        <w:tc>
          <w:tcPr>
            <w:tcW w:w="781"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3</w:t>
            </w:r>
            <w:r/>
          </w:p>
        </w:tc>
        <w:tc>
          <w:tcPr>
            <w:tcW w:w="1119"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商务分</w:t>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项目负责人实力</w:t>
            </w:r>
            <w:r/>
          </w:p>
        </w:tc>
        <w:tc>
          <w:tcPr>
            <w:tcW w:w="4524" w:type="dxa"/>
            <w:textDirection w:val="lrTb"/>
            <w:noWrap w:val="false"/>
          </w:tcPr>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1、项目负责人实力（</w:t>
            </w:r>
            <w:r>
              <w:rPr>
                <w:rFonts w:ascii="宋体" w:hAnsi="宋体" w:cs="宋体"/>
                <w:color w:val="auto"/>
                <w:sz w:val="22"/>
              </w:rPr>
              <w:t xml:space="preserve">6</w:t>
            </w:r>
            <w:r>
              <w:rPr>
                <w:rFonts w:hint="eastAsia" w:ascii="宋体" w:hAnsi="宋体" w:cs="宋体"/>
                <w:color w:val="auto"/>
                <w:sz w:val="22"/>
              </w:rPr>
              <w:t xml:space="preserve">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（1）项目负责人具有计算机或通信或电子信息或大数据或信息化管理或人工智能相关专业正高级职称，得</w:t>
            </w:r>
            <w:r>
              <w:rPr>
                <w:rFonts w:ascii="宋体" w:hAnsi="宋体" w:cs="宋体"/>
                <w:color w:val="auto"/>
                <w:sz w:val="22"/>
              </w:rPr>
              <w:t xml:space="preserve">3</w:t>
            </w:r>
            <w:r>
              <w:rPr>
                <w:rFonts w:hint="eastAsia" w:ascii="宋体" w:hAnsi="宋体" w:cs="宋体"/>
                <w:color w:val="auto"/>
                <w:sz w:val="22"/>
              </w:rPr>
              <w:t xml:space="preserve">分；副高级职称，得</w:t>
            </w:r>
            <w:r>
              <w:rPr>
                <w:rFonts w:ascii="宋体" w:hAnsi="宋体" w:cs="宋体"/>
                <w:color w:val="auto"/>
                <w:sz w:val="22"/>
              </w:rPr>
              <w:t xml:space="preserve">1</w:t>
            </w:r>
            <w:r>
              <w:rPr>
                <w:rFonts w:hint="eastAsia" w:ascii="宋体" w:hAnsi="宋体" w:cs="宋体"/>
                <w:color w:val="auto"/>
                <w:sz w:val="22"/>
              </w:rPr>
              <w:t xml:space="preserve">分。</w:t>
            </w:r>
            <w:r/>
          </w:p>
          <w:p>
            <w:pPr>
              <w:ind w:firstLine="440"/>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（2）项目负责人具有电子信息工程专业咨询工程师（投资）证书，得</w:t>
            </w:r>
            <w:r>
              <w:rPr>
                <w:rFonts w:ascii="宋体" w:hAnsi="宋体" w:cs="宋体"/>
                <w:color w:val="auto"/>
                <w:sz w:val="22"/>
              </w:rPr>
              <w:t xml:space="preserve">3</w:t>
            </w:r>
            <w:r>
              <w:rPr>
                <w:rFonts w:hint="eastAsia" w:ascii="宋体" w:hAnsi="宋体" w:cs="宋体"/>
                <w:color w:val="auto"/>
                <w:sz w:val="22"/>
              </w:rPr>
              <w:t xml:space="preserve">分。</w:t>
            </w:r>
            <w:r/>
          </w:p>
        </w:tc>
        <w:tc>
          <w:tcPr>
            <w:tcW w:w="1026"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rPr>
              <w:t xml:space="preserve">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rPr>
              <w:t xml:space="preserve">技术负责人实力</w:t>
            </w:r>
            <w:r/>
          </w:p>
        </w:tc>
        <w:tc>
          <w:tcPr>
            <w:tcW w:w="4524" w:type="dxa"/>
            <w:textDirection w:val="lrTb"/>
            <w:noWrap w:val="false"/>
          </w:tcPr>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2、技术负责人实力（</w:t>
            </w:r>
            <w:r>
              <w:rPr>
                <w:rFonts w:ascii="宋体" w:hAnsi="宋体" w:cs="宋体"/>
                <w:color w:val="auto"/>
                <w:sz w:val="22"/>
              </w:rPr>
              <w:t xml:space="preserve">6</w:t>
            </w:r>
            <w:r>
              <w:rPr>
                <w:rFonts w:hint="eastAsia" w:ascii="宋体" w:hAnsi="宋体" w:cs="宋体"/>
                <w:color w:val="auto"/>
                <w:sz w:val="22"/>
              </w:rPr>
              <w:t xml:space="preserve">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（1）技术负责人具有计算机或通信或电子信息或大数据或信息化管理或人工智能相关专业正高级职称，得</w:t>
            </w:r>
            <w:r>
              <w:rPr>
                <w:rFonts w:ascii="宋体" w:hAnsi="宋体" w:cs="宋体"/>
                <w:color w:val="auto"/>
                <w:sz w:val="22"/>
              </w:rPr>
              <w:t xml:space="preserve">3</w:t>
            </w:r>
            <w:r>
              <w:rPr>
                <w:rFonts w:hint="eastAsia" w:ascii="宋体" w:hAnsi="宋体" w:cs="宋体"/>
                <w:color w:val="auto"/>
                <w:sz w:val="22"/>
              </w:rPr>
              <w:t xml:space="preserve">分；副高级职称，得</w:t>
            </w:r>
            <w:r>
              <w:rPr>
                <w:rFonts w:ascii="宋体" w:hAnsi="宋体" w:cs="宋体"/>
                <w:color w:val="auto"/>
                <w:sz w:val="22"/>
              </w:rPr>
              <w:t xml:space="preserve">1</w:t>
            </w:r>
            <w:r>
              <w:rPr>
                <w:rFonts w:hint="eastAsia" w:ascii="宋体" w:hAnsi="宋体" w:cs="宋体"/>
                <w:color w:val="auto"/>
                <w:sz w:val="22"/>
              </w:rPr>
              <w:t xml:space="preserve">分。</w:t>
            </w:r>
            <w:r/>
          </w:p>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（2）技术负责人具有电子信息工程专业咨询工程师（投资）证书，得</w:t>
            </w:r>
            <w:r>
              <w:rPr>
                <w:rFonts w:ascii="宋体" w:hAnsi="宋体" w:cs="宋体"/>
                <w:color w:val="auto"/>
                <w:sz w:val="22"/>
              </w:rPr>
              <w:t xml:space="preserve">3</w:t>
            </w:r>
            <w:r>
              <w:rPr>
                <w:rFonts w:hint="eastAsia" w:ascii="宋体" w:hAnsi="宋体" w:cs="宋体"/>
                <w:color w:val="auto"/>
                <w:sz w:val="22"/>
              </w:rPr>
              <w:t xml:space="preserve">分。</w:t>
            </w:r>
            <w:r/>
          </w:p>
        </w:tc>
        <w:tc>
          <w:tcPr>
            <w:tcW w:w="1026"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rPr>
              <w:t xml:space="preserve">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rPr>
              <w:t xml:space="preserve">造价负责人实力</w:t>
            </w:r>
            <w:r/>
          </w:p>
        </w:tc>
        <w:tc>
          <w:tcPr>
            <w:tcW w:w="4524" w:type="dxa"/>
            <w:textDirection w:val="lrTb"/>
            <w:noWrap w:val="false"/>
          </w:tcPr>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3</w:t>
            </w:r>
            <w:r>
              <w:rPr>
                <w:rFonts w:hint="eastAsia" w:ascii="宋体" w:hAnsi="宋体" w:cs="宋体"/>
                <w:color w:val="auto"/>
                <w:sz w:val="22"/>
              </w:rPr>
              <w:t xml:space="preserve">、造价负责人实力（</w:t>
            </w:r>
            <w:r>
              <w:rPr>
                <w:rFonts w:ascii="宋体" w:hAnsi="宋体" w:cs="宋体"/>
                <w:color w:val="auto"/>
                <w:sz w:val="22"/>
              </w:rPr>
              <w:t xml:space="preserve">6</w:t>
            </w:r>
            <w:r>
              <w:rPr>
                <w:rFonts w:hint="eastAsia" w:ascii="宋体" w:hAnsi="宋体" w:cs="宋体"/>
                <w:color w:val="auto"/>
                <w:sz w:val="22"/>
              </w:rPr>
              <w:t xml:space="preserve">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（1）造价负责人具有计算机技术与软件专业技术资格信息系统项目管理师，得</w:t>
            </w:r>
            <w:r>
              <w:rPr>
                <w:rFonts w:ascii="宋体" w:hAnsi="宋体" w:cs="宋体"/>
                <w:color w:val="auto"/>
                <w:sz w:val="22"/>
              </w:rPr>
              <w:t xml:space="preserve">3</w:t>
            </w:r>
            <w:r>
              <w:rPr>
                <w:rFonts w:hint="eastAsia" w:ascii="宋体" w:hAnsi="宋体" w:cs="宋体"/>
                <w:color w:val="auto"/>
                <w:sz w:val="22"/>
              </w:rPr>
              <w:t xml:space="preserve">分；</w:t>
            </w:r>
            <w:r/>
          </w:p>
          <w:p>
            <w:pPr>
              <w:ind w:firstLine="440"/>
              <w:rPr>
                <w:rFonts w:hint="eastAsia" w:eastAsia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（2）造价负责人具有电子信息工程专业咨询工程师（投资）证书，得</w:t>
            </w:r>
            <w:r>
              <w:rPr>
                <w:rFonts w:ascii="宋体" w:hAnsi="宋体" w:cs="宋体"/>
                <w:color w:val="auto"/>
                <w:sz w:val="22"/>
              </w:rPr>
              <w:t xml:space="preserve">3</w:t>
            </w:r>
            <w:r>
              <w:rPr>
                <w:rFonts w:hint="eastAsia" w:ascii="宋体" w:hAnsi="宋体" w:cs="宋体"/>
                <w:color w:val="auto"/>
                <w:sz w:val="22"/>
              </w:rPr>
              <w:t xml:space="preserve">分。</w:t>
            </w:r>
            <w:r/>
          </w:p>
        </w:tc>
        <w:tc>
          <w:tcPr>
            <w:tcW w:w="1026"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rPr>
              <w:t xml:space="preserve">分</w:t>
            </w:r>
            <w:r/>
          </w:p>
        </w:tc>
      </w:tr>
      <w:tr>
        <w:trPr>
          <w:trHeight w:val="2757"/>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项目团队</w:t>
            </w:r>
            <w:r>
              <w:rPr>
                <w:rFonts w:hint="eastAsia" w:ascii="宋体" w:hAnsi="宋体" w:cs="宋体"/>
                <w:color w:val="auto"/>
                <w:sz w:val="22"/>
                <w:szCs w:val="22"/>
                <w:lang w:val="en-US" w:eastAsia="zh-CN"/>
              </w:rPr>
              <w:t xml:space="preserve">成员</w:t>
            </w:r>
            <w:r/>
          </w:p>
          <w:p>
            <w:pPr>
              <w:jc w:val="center"/>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实力</w:t>
            </w:r>
            <w:r/>
          </w:p>
        </w:tc>
        <w:tc>
          <w:tcPr>
            <w:tcW w:w="4524" w:type="dxa"/>
            <w:textDirection w:val="lrTb"/>
            <w:noWrap w:val="false"/>
          </w:tcPr>
          <w:p>
            <w:pPr>
              <w:ind w:firstLine="440"/>
              <w:jc w:val="left"/>
              <w:rPr>
                <w:rFonts w:ascii="宋体" w:hAnsi="宋体" w:cs="宋体"/>
                <w:color w:val="auto"/>
                <w:sz w:val="22"/>
              </w:rPr>
            </w:pPr>
            <w:r>
              <w:rPr>
                <w:rFonts w:hint="eastAsia" w:ascii="宋体" w:hAnsi="宋体" w:cs="宋体"/>
                <w:color w:val="auto"/>
                <w:sz w:val="22"/>
              </w:rPr>
              <w:t xml:space="preserve">4、</w:t>
            </w:r>
            <w:r>
              <w:rPr>
                <w:rFonts w:hint="eastAsia" w:ascii="宋体" w:hAnsi="宋体" w:cs="宋体"/>
                <w:color w:val="auto"/>
                <w:sz w:val="22"/>
                <w:szCs w:val="22"/>
              </w:rPr>
              <w:t xml:space="preserve">项目团队</w:t>
            </w:r>
            <w:r>
              <w:rPr>
                <w:rFonts w:hint="eastAsia" w:ascii="宋体" w:hAnsi="宋体" w:cs="宋体"/>
                <w:color w:val="auto"/>
                <w:sz w:val="22"/>
                <w:szCs w:val="22"/>
                <w:lang w:val="en-US" w:eastAsia="zh-CN"/>
              </w:rPr>
              <w:t xml:space="preserve">成员实力</w:t>
            </w:r>
            <w:r>
              <w:rPr>
                <w:rFonts w:hint="eastAsia" w:ascii="宋体" w:hAnsi="宋体" w:cs="宋体"/>
                <w:color w:val="auto"/>
                <w:sz w:val="22"/>
              </w:rPr>
              <w:t xml:space="preserve">（3分）。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除项目负责人、技术负责人、造价负责人外，其余项目组成员具有计算机技术与软件专业技术资格信息系统项目管理师、计算机技术与软件专业技术资格系统分析师、电子信息工程专业咨询工程师（投资）证书。每提供一类证书得1分，一人多证只计1分，最多得3分。</w:t>
            </w:r>
            <w:r/>
          </w:p>
          <w:p>
            <w:pPr>
              <w:ind w:firstLine="440"/>
              <w:rPr>
                <w:rFonts w:ascii="宋体" w:hAnsi="宋体" w:cs="宋体"/>
                <w:color w:val="auto"/>
                <w:sz w:val="22"/>
                <w:szCs w:val="22"/>
              </w:rPr>
            </w:pPr>
            <w:r>
              <w:rPr>
                <w:rFonts w:hint="eastAsia" w:ascii="宋体" w:hAnsi="宋体" w:cs="宋体"/>
                <w:color w:val="auto"/>
                <w:sz w:val="22"/>
              </w:rPr>
              <w:t xml:space="preserve">注：以上人员配备不得相互兼任。</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3分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spacing w:line="360" w:lineRule="auto"/>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驻场人员</w:t>
            </w:r>
            <w:r/>
          </w:p>
          <w:p>
            <w:pPr>
              <w:jc w:val="center"/>
              <w:rPr>
                <w:rFonts w:ascii="宋体" w:hAnsi="宋体" w:cs="宋体"/>
                <w:color w:val="auto"/>
                <w:sz w:val="22"/>
                <w:szCs w:val="22"/>
              </w:rPr>
            </w:pPr>
            <w:r>
              <w:rPr>
                <w:rFonts w:ascii="宋体" w:hAnsi="宋体" w:cs="宋体"/>
                <w:color w:val="auto"/>
                <w:sz w:val="22"/>
                <w:szCs w:val="22"/>
              </w:rPr>
            </w:r>
            <w:r/>
          </w:p>
        </w:tc>
        <w:tc>
          <w:tcPr>
            <w:tcW w:w="4524" w:type="dxa"/>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根据本项目招标文件项目需求第六条综合实力要求第2.4款驻场人员要求，提供委派不少于</w:t>
            </w:r>
            <w:r>
              <w:rPr>
                <w:rFonts w:ascii="宋体" w:hAnsi="宋体" w:cs="宋体"/>
                <w:color w:val="auto"/>
                <w:sz w:val="22"/>
              </w:rPr>
              <w:t xml:space="preserve">1</w:t>
            </w:r>
            <w:r>
              <w:rPr>
                <w:rFonts w:hint="eastAsia" w:ascii="宋体" w:hAnsi="宋体" w:cs="宋体"/>
                <w:color w:val="auto"/>
                <w:sz w:val="22"/>
              </w:rPr>
              <w:t xml:space="preserve">名驻场人员的承诺函（格式自拟），满足项目需求得3分，不提供或不满足项目需求的不得分。</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3分</w:t>
            </w:r>
            <w:r/>
          </w:p>
        </w:tc>
      </w:tr>
      <w:tr>
        <w:trPr>
          <w:trHeight w:val="1648"/>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业绩</w:t>
            </w:r>
            <w:r/>
          </w:p>
        </w:tc>
        <w:tc>
          <w:tcPr>
            <w:tcW w:w="4524" w:type="dxa"/>
            <w:textDirection w:val="lrTb"/>
            <w:noWrap w:val="false"/>
          </w:tcPr>
          <w:p>
            <w:pPr>
              <w:ind w:firstLine="440"/>
              <w:rPr>
                <w:rFonts w:ascii="宋体" w:hAnsi="宋体" w:cs="宋体"/>
                <w:color w:val="auto"/>
                <w:sz w:val="22"/>
                <w:szCs w:val="22"/>
              </w:rPr>
            </w:pPr>
            <w:r>
              <w:rPr>
                <w:rFonts w:hint="eastAsia" w:ascii="宋体" w:hAnsi="宋体" w:cs="宋体"/>
                <w:color w:val="auto"/>
                <w:sz w:val="22"/>
                <w:szCs w:val="22"/>
              </w:rPr>
              <w:t xml:space="preserve">1、投标人自2022年1月1日以来具有与本项目实施内容相匹配的类似咨询或造价业绩的，每有一项得2分，最多得4分。投标时提供业绩合同扫描件计分。</w:t>
            </w:r>
            <w:r/>
          </w:p>
          <w:p>
            <w:pPr>
              <w:ind w:firstLine="440"/>
              <w:rPr>
                <w:rFonts w:ascii="宋体" w:hAnsi="宋体" w:cs="宋体"/>
                <w:color w:val="auto"/>
                <w:sz w:val="22"/>
                <w:szCs w:val="22"/>
              </w:rPr>
            </w:pPr>
            <w:r>
              <w:rPr>
                <w:rFonts w:hint="eastAsia" w:ascii="宋体" w:hAnsi="宋体" w:cs="宋体"/>
                <w:color w:val="auto"/>
                <w:sz w:val="22"/>
                <w:szCs w:val="22"/>
              </w:rPr>
              <w:t xml:space="preserve">备注：投标人须提供业绩合同首页、关键页、签章页扫描件，未提供不得分。</w:t>
            </w:r>
            <w:r/>
          </w:p>
          <w:p>
            <w:pPr>
              <w:ind w:firstLine="440"/>
              <w:rPr>
                <w:rFonts w:ascii="宋体" w:hAnsi="宋体" w:cs="宋体"/>
                <w:color w:val="auto"/>
                <w:sz w:val="22"/>
                <w:szCs w:val="22"/>
              </w:rPr>
            </w:pPr>
            <w:r>
              <w:rPr>
                <w:rFonts w:hint="eastAsia" w:ascii="宋体" w:hAnsi="宋体" w:cs="宋体"/>
                <w:color w:val="auto"/>
                <w:sz w:val="22"/>
                <w:szCs w:val="22"/>
              </w:rPr>
              <w:t xml:space="preserve">2、项目负责人自2022年1月1日以来具有与本项目实施内容相匹配的类似咨询或造价业绩的，每有一项得2分，最多得6分。</w:t>
            </w:r>
            <w:r>
              <w:rPr>
                <w:rFonts w:hint="eastAsia" w:ascii="宋体" w:hAnsi="宋体" w:cs="宋体"/>
                <w:b/>
                <w:bCs/>
                <w:color w:val="auto"/>
                <w:sz w:val="22"/>
                <w:szCs w:val="22"/>
              </w:rPr>
              <w:t xml:space="preserve">[备注：（1）投标人须提供业绩合同首页、关键页、签章页原件扫描件，项目负责人的姓名须在合同或中标通知书（如有，需提供需提供原件扫描件）或业主出具证明材料（如有，需提供原件扫描件）等相关证明材料中体现，否则不得分。（2）项目负责人的业绩须是投标人本单位的，否则不予计分。（3）本项项目负责人业绩与上述第1项投标人业绩不重复计分，如业绩既是投标人业绩，又是项目负责人业绩的，仅计分一次</w:t>
            </w:r>
            <w:r>
              <w:rPr>
                <w:rFonts w:hint="eastAsia" w:ascii="宋体" w:hAnsi="宋体" w:cs="宋体"/>
                <w:color w:val="auto"/>
                <w:sz w:val="22"/>
                <w:szCs w:val="22"/>
              </w:rPr>
              <w:t xml:space="preserve">]</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0</w:t>
            </w:r>
            <w:r/>
          </w:p>
        </w:tc>
      </w:tr>
    </w:tbl>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w:t>
      </w:r>
      <w:r>
        <w:rPr>
          <w:rFonts w:hint="eastAsia" w:ascii="宋体" w:hAnsi="宋体" w:cs="宋体"/>
          <w:color w:val="auto"/>
          <w:sz w:val="24"/>
        </w:rPr>
        <w:t xml:space="preserve">二标包</w:t>
      </w:r>
      <w:r>
        <w:rPr>
          <w:rFonts w:ascii="宋体" w:hAnsi="宋体" w:cs="宋体"/>
          <w:color w:val="auto"/>
          <w:sz w:val="24"/>
        </w:rPr>
        <w:t xml:space="preserve">评分总分值为100分。</w:t>
      </w:r>
      <w:r/>
    </w:p>
    <w:tbl>
      <w:tblPr>
        <w:tblStyle w:val="806"/>
        <w:tblW w:w="9237"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119"/>
        <w:gridCol w:w="1787"/>
        <w:gridCol w:w="4444"/>
        <w:gridCol w:w="1106"/>
      </w:tblGrid>
      <w:tr>
        <w:trPr>
          <w:trHeight w:val="740"/>
        </w:trPr>
        <w:tc>
          <w:tcPr>
            <w:tcW w:w="781"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序号</w:t>
            </w:r>
            <w:r/>
          </w:p>
        </w:tc>
        <w:tc>
          <w:tcPr>
            <w:tcW w:w="1119"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评审项</w:t>
            </w:r>
            <w:r/>
          </w:p>
        </w:tc>
        <w:tc>
          <w:tcPr>
            <w:tcW w:w="1787"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评分项名称</w:t>
            </w:r>
            <w:r/>
          </w:p>
        </w:tc>
        <w:tc>
          <w:tcPr>
            <w:tcW w:w="4444"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评审要求</w:t>
            </w:r>
            <w:r/>
          </w:p>
        </w:tc>
        <w:tc>
          <w:tcPr>
            <w:tcW w:w="1106"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分值</w:t>
            </w:r>
            <w:r/>
          </w:p>
        </w:tc>
      </w:tr>
      <w:tr>
        <w:trPr/>
        <w:tc>
          <w:tcPr>
            <w:tcW w:w="781"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1</w:t>
            </w:r>
            <w:r/>
          </w:p>
        </w:tc>
        <w:tc>
          <w:tcPr>
            <w:tcW w:w="1119"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价格分</w:t>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投标报价</w:t>
            </w:r>
            <w:r/>
          </w:p>
        </w:tc>
        <w:tc>
          <w:tcPr>
            <w:tcW w:w="4444" w:type="dxa"/>
            <w:vAlign w:val="center"/>
            <w:textDirection w:val="lrTb"/>
            <w:noWrap w:val="false"/>
          </w:tcPr>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优惠率方式报价：在采购文件约定的基准价基础上进行下浮的比例，优惠率报价小数点保留两位。</w:t>
            </w:r>
            <w:r/>
          </w:p>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评审基准价：满足采购文件要求且（100%-最高优惠率）最低为评审基准价，其价格分为满分10分。</w:t>
            </w:r>
            <w:r/>
          </w:p>
          <w:p>
            <w:pPr>
              <w:jc w:val="left"/>
              <w:rPr>
                <w:rFonts w:ascii="宋体" w:hAnsi="宋体" w:cs="宋体"/>
                <w:color w:val="auto"/>
                <w:sz w:val="22"/>
                <w:szCs w:val="22"/>
              </w:rPr>
            </w:pPr>
            <w:r>
              <w:rPr>
                <w:rFonts w:hint="eastAsia" w:ascii="宋体" w:hAnsi="宋体" w:cs="宋体"/>
                <w:color w:val="auto"/>
                <w:sz w:val="22"/>
                <w:szCs w:val="22"/>
              </w:rPr>
              <w:t xml:space="preserve">报价得分=评标基准价/（100%-优惠率报价）×10。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2090"/>
        </w:trPr>
        <w:tc>
          <w:tcPr>
            <w:tcW w:w="781"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2</w:t>
            </w:r>
            <w:r/>
          </w:p>
        </w:tc>
        <w:tc>
          <w:tcPr>
            <w:tcW w:w="1119"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技术分</w:t>
            </w:r>
            <w:r/>
          </w:p>
        </w:tc>
        <w:tc>
          <w:tcPr>
            <w:tcW w:w="1787" w:type="dxa"/>
            <w:vAlign w:val="center"/>
            <w:textDirection w:val="lrTb"/>
            <w:noWrap w:val="false"/>
          </w:tcPr>
          <w:p>
            <w:pPr>
              <w:jc w:val="center"/>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监理平台功能演示1：各阶段建设进度分析功能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需具备各阶段建设进度分析功能，可直观以百分比形式展示项目整体推进进度，能通过不同颜色精准标记各阶段子任务的状态，清晰区分任务推进情况。</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2分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监理平台功能演示2：项目数量分类展示功能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需具备项目数量分类展示功能，可清晰呈现各阶段项目数量，至少包含项目立项阶段、项目采购阶段、项目建设阶段、项目验收阶段的具体数量；同时需具备各项目牵头处室展示功能。</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2分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监理平台功能演示3：资金明细展示功能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需具备资金明细展示功能，可全面呈现项目总体资金金额、中央资金支付进度及具体支付情况，同时能详细展示每个项目的资金拨付、使用及结余等相关情况，实现资金使用全流程可视化。</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2分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监理平台功能演示4：项目报表功能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需具备项目报表功能，可根据项目状态自动采集、统计相关数据，生成规范的项目报表，实现项目进展公开化、透明化。</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以上监理平台功能演示1-4项需提供真实运行环境或Demo演示视频，隐私信息可以打码，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8分钟。</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4"/>
                <w:szCs w:val="24"/>
              </w:rPr>
              <w:t xml:space="preserve">2</w:t>
            </w:r>
            <w:r>
              <w:rPr>
                <w:rFonts w:hint="eastAsia" w:ascii="宋体" w:hAnsi="宋体" w:cs="宋体"/>
                <w:color w:val="auto"/>
                <w:sz w:val="22"/>
                <w:szCs w:val="22"/>
              </w:rPr>
              <w:t xml:space="preserve">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auto"/>
            <w:tcW w:w="1119" w:type="dxa"/>
            <w:vAlign w:val="center"/>
            <w:vMerge w:val="restart"/>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服务方案1:对项目的理解</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6.1条中对项目的理解需求，编制详细的项目的理解方案，至少包含①对国家深化医改的有关要求和趋势分析、②财政部和国家卫健委组织实施公立医院改革与高质量发展示范项目背景和目标、③各地在示范信息化项目实践中的优秀做法、④对国家加强公立医院改革与高质量发展示范项目管理的有关要求等。</w:t>
            </w:r>
            <w:r/>
          </w:p>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方案优于项目需求的得8分；满足项目需求的得6分</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8分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服务方案2:全过程监理服务方案</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6.2条中对全过程监理服务方案需求，编制详细的项目的服务方案，至少包含：（1）质量控制、（2）进度控制、（3）投资控制、（4）安全控制、（5）合规控制、（6）需求、设计、开发、测试、上线、验收全阶段监理。方案优于项目需求的得8分；满足项目需求的得6分；方案不满足项目需求或有负偏离或未提供不得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8分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服务方案3:事中审计服务方案</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6.3条中对事中审计服务方案需求，编制详细的服务方案，至少包含：①审计工作目标、②审计内容、③审计实施机制。方案优于项目需求的得10分；方案不满足项目需求或有负偏离或未提供不得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1212"/>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服务方案4:软件测评服务方案</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投标人根据采购文件第四章采购需求第6.4条中对软件测评服务方案，编制详细的服务方案，至少包含：测评工作原则、测评内容、测评实施流程。方案优于项目需求的得10分；满足项目需求的得8分</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方案不满足项目需求或有负偏离或未提供不得分。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 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 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服务方案5:实施保障措施</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投标人根据采购文件第四章采购需求第6.5条中对软件测评服务方案，编制详细的服务方案，至少包含：①质量保障</w:t>
            </w:r>
            <w:r>
              <w:rPr>
                <w:rFonts w:hint="eastAsia" w:ascii="宋体" w:hAnsi="宋体" w:cs="宋体"/>
                <w:b/>
                <w:bCs/>
                <w:color w:val="auto"/>
                <w:sz w:val="22"/>
                <w:szCs w:val="22"/>
              </w:rPr>
              <w:t xml:space="preserve">、</w:t>
            </w:r>
            <w:r>
              <w:rPr>
                <w:rFonts w:hint="eastAsia" w:ascii="宋体" w:hAnsi="宋体" w:cs="宋体"/>
                <w:color w:val="auto"/>
                <w:sz w:val="22"/>
                <w:szCs w:val="22"/>
              </w:rPr>
              <w:t xml:space="preserve">②安全保障、③应急保障、④风险管控保障措施。方案优于项目需求的得10分；满足项目需求的得8分；方案不满足项目需求或有负偏离或未提供不得分。</w:t>
            </w:r>
            <w:bookmarkStart w:id="193" w:name="_GoBack"/>
            <w:r/>
            <w:bookmarkEnd w:id="193"/>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56"/>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c>
          <w:tcPr>
            <w:tcW w:w="781" w:type="dxa"/>
            <w:vAlign w:val="center"/>
            <w:vMerge w:val="restart"/>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3</w:t>
            </w:r>
            <w:r/>
          </w:p>
        </w:tc>
        <w:tc>
          <w:tcPr>
            <w:tcW w:w="1119" w:type="dxa"/>
            <w:vAlign w:val="center"/>
            <w:vMerge w:val="restart"/>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商务分</w:t>
            </w:r>
            <w:r/>
          </w:p>
        </w:tc>
        <w:tc>
          <w:tcPr>
            <w:tcW w:w="17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项目负责人实力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1、项目负责人实力（6分）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（1）项目负责人具有计算机技术与软件专业技术资格中的高级证书信息系统项目管理师证书，得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（2）项目负责人具有计算机技术与软件专业技术资格中的高级证书系统架构设计师证书，得</w:t>
            </w:r>
            <w:r>
              <w:rPr>
                <w:rFonts w:ascii="宋体" w:hAnsi="宋体" w:cs="宋体"/>
                <w:sz w:val="22"/>
                <w:szCs w:val="22"/>
              </w:rPr>
              <w:t xml:space="preserve">3</w:t>
            </w:r>
            <w:r>
              <w:rPr>
                <w:rFonts w:hint="eastAsia" w:ascii="宋体" w:hAnsi="宋体" w:cs="宋体"/>
                <w:sz w:val="22"/>
                <w:szCs w:val="22"/>
              </w:rPr>
              <w:t xml:space="preserve">分。</w:t>
            </w:r>
            <w:r/>
          </w:p>
        </w:tc>
        <w:tc>
          <w:tcPr>
            <w:tcW w:w="1106"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6</w:t>
            </w:r>
            <w:r>
              <w:rPr>
                <w:rFonts w:hint="eastAsia" w:ascii="宋体" w:hAnsi="宋体" w:cs="宋体"/>
                <w:sz w:val="22"/>
                <w:szCs w:val="22"/>
              </w:rPr>
              <w:t xml:space="preserve">分</w:t>
            </w:r>
            <w:r/>
          </w:p>
        </w:tc>
      </w:tr>
      <w:tr>
        <w:trPr>
          <w:trHeight w:val="2285"/>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监理负责人实力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2、监理负责人实力（6分）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（1）监理负责人具有计算机技术与软件专业技术资格中的高级证书信息系统项目管理师证书，得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（2）监理负责人具有具有计算机技术与软件专业技术资格中的中级证书信息系统监理师证书，得</w:t>
            </w:r>
            <w:r>
              <w:rPr>
                <w:rFonts w:ascii="宋体" w:hAnsi="宋体" w:cs="宋体"/>
                <w:sz w:val="22"/>
                <w:szCs w:val="22"/>
              </w:rPr>
              <w:t xml:space="preserve">3</w:t>
            </w:r>
            <w:r>
              <w:rPr>
                <w:rFonts w:hint="eastAsia" w:ascii="宋体" w:hAnsi="宋体" w:cs="宋体"/>
                <w:sz w:val="22"/>
                <w:szCs w:val="22"/>
              </w:rPr>
              <w:t xml:space="preserve">分。</w:t>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软件评测负责人实力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3、软件评测负责人实力（</w:t>
            </w:r>
            <w:r>
              <w:rPr>
                <w:rFonts w:ascii="宋体" w:hAnsi="宋体" w:cs="宋体"/>
                <w:sz w:val="22"/>
                <w:szCs w:val="22"/>
              </w:rPr>
              <w:t xml:space="preserve">6</w:t>
            </w:r>
            <w:r>
              <w:rPr>
                <w:rFonts w:hint="eastAsia" w:ascii="宋体" w:hAnsi="宋体" w:cs="宋体"/>
                <w:sz w:val="22"/>
                <w:szCs w:val="22"/>
              </w:rPr>
              <w:t xml:space="preserve">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w:t>
            </w:r>
            <w:bookmarkStart w:id="166" w:name="OLE_LINK1"/>
            <w:r>
              <w:rPr>
                <w:rFonts w:hint="eastAsia" w:ascii="宋体" w:hAnsi="宋体" w:cs="宋体"/>
                <w:sz w:val="22"/>
                <w:szCs w:val="22"/>
              </w:rPr>
              <w:t xml:space="preserve">软件评测负责人</w:t>
            </w:r>
            <w:bookmarkEnd w:id="166"/>
            <w:r>
              <w:rPr>
                <w:rFonts w:hint="eastAsia" w:ascii="宋体" w:hAnsi="宋体" w:cs="宋体"/>
                <w:sz w:val="22"/>
                <w:szCs w:val="22"/>
              </w:rPr>
              <w:t xml:space="preserve">具有具有计算机技术与软件专业技术资格中的高级证书系统规划与管理师证书，得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ascii="宋体" w:hAnsi="宋体" w:cs="宋体"/>
                <w:sz w:val="22"/>
                <w:szCs w:val="22"/>
              </w:rPr>
            </w:pPr>
            <w:r>
              <w:rPr>
                <w:rFonts w:hint="eastAsia" w:ascii="宋体" w:hAnsi="宋体" w:cs="宋体"/>
                <w:sz w:val="22"/>
                <w:szCs w:val="22"/>
              </w:rPr>
              <w:t xml:space="preserve">（2）软件评测负责人具有具有计算机技术与软件专业技术资格中的中级证书软件评测师证书，得</w:t>
            </w:r>
            <w:r>
              <w:rPr>
                <w:rFonts w:ascii="宋体" w:hAnsi="宋体" w:cs="宋体"/>
                <w:sz w:val="22"/>
                <w:szCs w:val="22"/>
              </w:rPr>
              <w:t xml:space="preserve">3</w:t>
            </w:r>
            <w:r>
              <w:rPr>
                <w:rFonts w:hint="eastAsia" w:ascii="宋体" w:hAnsi="宋体" w:cs="宋体"/>
                <w:sz w:val="22"/>
                <w:szCs w:val="22"/>
              </w:rPr>
              <w:t xml:space="preserve">分。</w:t>
            </w:r>
            <w:r/>
          </w:p>
        </w:tc>
        <w:tc>
          <w:tcPr>
            <w:tcW w:w="1106"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6</w:t>
            </w:r>
            <w:r>
              <w:rPr>
                <w:rFonts w:hint="eastAsia" w:ascii="宋体" w:hAnsi="宋体" w:cs="宋体"/>
                <w:sz w:val="22"/>
                <w:szCs w:val="22"/>
              </w:rPr>
              <w:t xml:space="preserve">分</w:t>
            </w:r>
            <w:r/>
          </w:p>
        </w:tc>
      </w:tr>
      <w:tr>
        <w:trPr>
          <w:trHeight w:val="3899"/>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hint="eastAsia" w:ascii="宋体" w:hAnsi="宋体" w:eastAsia="宋体" w:cs="宋体"/>
                <w:sz w:val="22"/>
                <w:szCs w:val="22"/>
                <w:lang w:val="en-US" w:eastAsia="zh-CN"/>
              </w:rPr>
            </w:pPr>
            <w:r>
              <w:rPr>
                <w:rFonts w:hint="eastAsia" w:ascii="宋体" w:hAnsi="宋体" w:cs="宋体"/>
                <w:sz w:val="22"/>
                <w:szCs w:val="22"/>
              </w:rPr>
              <w:t xml:space="preserve">项目团队</w:t>
            </w:r>
            <w:r>
              <w:rPr>
                <w:rFonts w:hint="eastAsia" w:ascii="宋体" w:hAnsi="宋体" w:cs="宋体"/>
                <w:sz w:val="22"/>
                <w:szCs w:val="22"/>
                <w:lang w:val="en-US" w:eastAsia="zh-CN"/>
              </w:rPr>
              <w:t xml:space="preserve">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4、项目团队</w:t>
            </w:r>
            <w:r>
              <w:rPr>
                <w:rFonts w:hint="eastAsia" w:ascii="宋体" w:hAnsi="宋体" w:cs="宋体"/>
                <w:sz w:val="22"/>
                <w:szCs w:val="22"/>
                <w:lang w:val="en-US" w:eastAsia="zh-CN"/>
              </w:rPr>
              <w:t xml:space="preserve">实力</w:t>
            </w:r>
            <w:r>
              <w:rPr>
                <w:rFonts w:hint="eastAsia" w:ascii="宋体" w:hAnsi="宋体" w:cs="宋体"/>
                <w:sz w:val="22"/>
                <w:szCs w:val="22"/>
              </w:rPr>
              <w:t xml:space="preserve">（5分）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除项目负责人、监理负责人和软件测评负责人，其余成员中具有计算机技术与软件专业技术资格信息系统监理师证书、计算机技术与软件专业技术资格信息系统项目管理师证书、计算机技术与软件专业技术资格系统集成项目管理工程师证书、计算机技术与软件专业技术资格系统规划与管理师证书、计算机技术与软件专业技术资格系统分析师证书、计算机技术与软件专业技术资格软件评测师证书。每提供一类证书得1分，一人多证只计1分，最多得5分。</w:t>
            </w:r>
            <w:r/>
          </w:p>
          <w:p>
            <w:pPr>
              <w:ind w:firstLine="440"/>
              <w:rPr>
                <w:rFonts w:ascii="宋体" w:hAnsi="宋体" w:cs="宋体"/>
                <w:sz w:val="22"/>
                <w:szCs w:val="22"/>
              </w:rPr>
            </w:pPr>
            <w:r>
              <w:rPr>
                <w:rFonts w:hint="eastAsia" w:ascii="宋体" w:hAnsi="宋体" w:cs="宋体"/>
                <w:sz w:val="22"/>
                <w:szCs w:val="22"/>
              </w:rPr>
              <w:t xml:space="preserve">注：以上人员配备不得相互兼任。</w:t>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spacing w:line="360" w:lineRule="auto"/>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驻场人员</w:t>
            </w:r>
            <w:r/>
          </w:p>
          <w:p>
            <w:pPr>
              <w:jc w:val="center"/>
              <w:rPr>
                <w:rFonts w:ascii="宋体" w:hAnsi="宋体" w:cs="宋体"/>
                <w:sz w:val="22"/>
                <w:szCs w:val="22"/>
              </w:rPr>
            </w:pPr>
            <w:r>
              <w:rPr>
                <w:rFonts w:ascii="宋体" w:hAnsi="宋体" w:cs="宋体"/>
                <w:sz w:val="22"/>
                <w:szCs w:val="22"/>
              </w:rPr>
            </w:r>
            <w:r/>
          </w:p>
        </w:tc>
        <w:tc>
          <w:tcPr>
            <w:tcW w:w="4444" w:type="dxa"/>
            <w:textDirection w:val="lrTb"/>
            <w:noWrap w:val="false"/>
          </w:tcPr>
          <w:p>
            <w:pPr>
              <w:ind w:firstLine="440"/>
              <w:rPr>
                <w:rFonts w:ascii="宋体" w:hAnsi="宋体" w:cs="宋体"/>
                <w:sz w:val="22"/>
                <w:szCs w:val="22"/>
              </w:rPr>
            </w:pPr>
            <w:r>
              <w:rPr>
                <w:rFonts w:hint="eastAsia" w:ascii="宋体" w:hAnsi="宋体" w:cs="宋体"/>
                <w:sz w:val="22"/>
              </w:rPr>
              <w:t xml:space="preserve">根据本项目招标文件项目需求第六条综合实力要求第4.5款驻场人员要求，提供委派不少于</w:t>
            </w:r>
            <w:r>
              <w:rPr>
                <w:rFonts w:ascii="宋体" w:hAnsi="宋体" w:cs="宋体"/>
                <w:sz w:val="22"/>
              </w:rPr>
              <w:t xml:space="preserve">1</w:t>
            </w:r>
            <w:r>
              <w:rPr>
                <w:rFonts w:hint="eastAsia" w:ascii="宋体" w:hAnsi="宋体" w:cs="宋体"/>
                <w:sz w:val="22"/>
              </w:rPr>
              <w:t xml:space="preserve">名驻场人员的承诺函（格式自拟），满足项目需求得3分，不提供或不满足项目需求的不得分。</w:t>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业绩</w:t>
            </w:r>
            <w:r/>
          </w:p>
        </w:tc>
        <w:tc>
          <w:tcPr>
            <w:tcW w:w="4444" w:type="dxa"/>
            <w:textDirection w:val="lrTb"/>
            <w:noWrap w:val="false"/>
          </w:tcPr>
          <w:p>
            <w:pPr>
              <w:ind w:firstLine="440"/>
              <w:rPr>
                <w:rFonts w:ascii="宋体" w:hAnsi="宋体" w:cs="宋体"/>
                <w:sz w:val="22"/>
                <w:szCs w:val="22"/>
              </w:rPr>
            </w:pPr>
            <w:r>
              <w:rPr>
                <w:rFonts w:hint="eastAsia" w:ascii="宋体" w:hAnsi="宋体" w:cs="宋体"/>
                <w:sz w:val="22"/>
                <w:szCs w:val="22"/>
              </w:rPr>
              <w:t xml:space="preserve">1、投标人自2022年1月1日以来具有与本项目实施内容相匹配的类似监理或软测或审计业绩的，每有一项得2分，最多得4分。投标时提供业绩合同扫描件计分。</w:t>
            </w:r>
            <w:r/>
          </w:p>
          <w:p>
            <w:pPr>
              <w:ind w:firstLine="440"/>
              <w:rPr>
                <w:rFonts w:ascii="宋体" w:hAnsi="宋体" w:cs="宋体"/>
                <w:sz w:val="22"/>
                <w:szCs w:val="22"/>
              </w:rPr>
            </w:pPr>
            <w:r>
              <w:rPr>
                <w:rFonts w:hint="eastAsia" w:ascii="宋体" w:hAnsi="宋体" w:cs="宋体"/>
                <w:sz w:val="22"/>
                <w:szCs w:val="22"/>
              </w:rPr>
              <w:t xml:space="preserve">备注：投标人须提供业绩合同首页、关键页、签章页扫描件，未提供不得分。</w:t>
            </w:r>
            <w:r/>
          </w:p>
          <w:p>
            <w:pPr>
              <w:ind w:firstLine="440"/>
            </w:pPr>
            <w:r>
              <w:rPr>
                <w:rFonts w:hint="eastAsia" w:ascii="宋体" w:hAnsi="宋体" w:cs="宋体"/>
                <w:sz w:val="22"/>
                <w:szCs w:val="22"/>
              </w:rPr>
              <w:t xml:space="preserve">2、项目负责人自2022年1月1日以来具有与本项目实施内容相匹配的类似监理或软测或审计业绩的，每有一项得2分，最多得6分。</w:t>
            </w:r>
            <w:r>
              <w:rPr>
                <w:rFonts w:hint="eastAsia" w:ascii="宋体" w:hAnsi="宋体" w:cs="宋体"/>
                <w:b/>
                <w:bCs/>
                <w:sz w:val="22"/>
                <w:szCs w:val="22"/>
              </w:rPr>
              <w:t xml:space="preserve">[备注：（1）投标人须提供业绩合同首页、关键页、签章页原件扫描件，项目负责人的姓名须在合同或中标通知书（如有，需提供需提供原件扫描件）或业主出具证明材料（如有，需提供原件扫描件）等相关证明材料中体现，否则不得分。（2）项目负责人的业绩须是投标人本单位的，否则不予计分。（3）本项项目负责人业绩与上述第1项投标人业绩不重复计分，如业绩既是投标人业绩，又是项目负责人业绩的，仅计分一次</w:t>
            </w:r>
            <w:r>
              <w:rPr>
                <w:rFonts w:hint="eastAsia" w:ascii="宋体" w:hAnsi="宋体" w:cs="宋体"/>
                <w:sz w:val="22"/>
                <w:szCs w:val="22"/>
              </w:rPr>
              <w:t xml:space="preserve">]</w:t>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10分</w:t>
            </w:r>
            <w:r/>
          </w:p>
        </w:tc>
      </w:tr>
    </w:tbl>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jc w:val="left"/>
        <w:widowControl/>
        <w:rPr>
          <w:rFonts w:ascii="黑体" w:hAnsi="黑体" w:eastAsia="Arial" w:cs="黑体"/>
          <w:b/>
          <w:szCs w:val="20"/>
        </w:rPr>
      </w:pPr>
      <w:r/>
      <w:bookmarkStart w:id="167" w:name="_Toc21498"/>
      <w:r/>
      <w:bookmarkStart w:id="168" w:name="_Toc1756"/>
      <w:r>
        <w:rPr>
          <w:rFonts w:ascii="黑体" w:hAnsi="黑体" w:cs="黑体"/>
        </w:rPr>
        <w:br w:type="page" w:clear="all"/>
      </w:r>
      <w:r/>
    </w:p>
    <w:p>
      <w:pPr>
        <w:pStyle w:val="756"/>
        <w:rPr>
          <w:rFonts w:ascii="黑体" w:hAnsi="黑体" w:cs="黑体"/>
        </w:rPr>
      </w:pPr>
      <w:r>
        <w:rPr>
          <w:rFonts w:ascii="黑体" w:hAnsi="黑体" w:cs="黑体"/>
        </w:rPr>
      </w:r>
      <w:r/>
    </w:p>
    <w:p>
      <w:pPr>
        <w:pStyle w:val="745"/>
        <w:rPr>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745"/>
        <w:pBdr>
          <w:top w:val="none" w:color="000000" w:sz="0" w:space="0"/>
          <w:left w:val="none" w:color="000000" w:sz="0" w:space="0"/>
          <w:bottom w:val="none" w:color="000000" w:sz="0" w:space="0"/>
          <w:right w:val="none" w:color="000000" w:sz="0" w:space="0"/>
        </w:pBdr>
      </w:pPr>
      <w:r>
        <w:rPr>
          <w:rFonts w:ascii="黑体" w:hAnsi="黑体" w:cs="黑体"/>
        </w:rPr>
        <w:t xml:space="preserve">第六章 投标文件格式</w:t>
      </w:r>
      <w:bookmarkEnd w:id="167"/>
      <w:r/>
      <w:bookmarkEnd w:id="168"/>
      <w:r/>
      <w:r/>
    </w:p>
    <w:p>
      <w:pPr>
        <w:jc w:val="center"/>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before="100" w:after="100"/>
        <w:pBdr>
          <w:top w:val="none" w:color="000000" w:sz="0" w:space="0"/>
          <w:left w:val="none" w:color="000000" w:sz="0" w:space="0"/>
          <w:bottom w:val="none" w:color="000000" w:sz="0" w:space="0"/>
          <w:right w:val="none" w:color="000000" w:sz="0" w:space="0"/>
        </w:pBdr>
        <w:outlineLvl w:val="0"/>
      </w:pPr>
      <w:r/>
      <w:bookmarkStart w:id="169" w:name="_Toc32200"/>
      <w:r/>
      <w:bookmarkStart w:id="170" w:name="_Toc4559"/>
      <w:r/>
      <w:bookmarkStart w:id="171" w:name="_Toc8332"/>
      <w:r>
        <w:rPr>
          <w:rFonts w:ascii="宋体" w:hAnsi="宋体" w:cs="宋体"/>
          <w:b/>
          <w:sz w:val="72"/>
        </w:rPr>
        <w:t xml:space="preserve">投 标 文 件</w:t>
      </w:r>
      <w:bookmarkEnd w:id="169"/>
      <w:r/>
      <w:bookmarkEnd w:id="170"/>
      <w:r/>
      <w:bookmarkEnd w:id="171"/>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72" w:name="_Toc22808"/>
      <w:r/>
      <w:bookmarkStart w:id="173" w:name="_Toc25788"/>
      <w:r/>
      <w:bookmarkStart w:id="174" w:name="_Toc13678"/>
      <w:r>
        <w:rPr>
          <w:rFonts w:ascii="宋体" w:hAnsi="宋体" w:cs="宋体"/>
          <w:b/>
          <w:spacing w:val="60"/>
          <w:sz w:val="36"/>
        </w:rPr>
        <w:t xml:space="preserve">项目名</w:t>
      </w:r>
      <w:r>
        <w:rPr>
          <w:rFonts w:ascii="宋体" w:hAnsi="宋体" w:cs="宋体"/>
          <w:b/>
          <w:sz w:val="36"/>
        </w:rPr>
        <w:t xml:space="preserve">称：</w:t>
      </w:r>
      <w:r>
        <w:rPr>
          <w:rFonts w:ascii="宋体" w:hAnsi="宋体" w:cs="宋体"/>
          <w:b/>
          <w:sz w:val="36"/>
          <w:u w:val="single"/>
        </w:rPr>
        <w:t xml:space="preserve">            </w:t>
      </w:r>
      <w:bookmarkEnd w:id="172"/>
      <w:r/>
      <w:bookmarkEnd w:id="173"/>
      <w:r/>
      <w:bookmarkEnd w:id="174"/>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75" w:name="_Toc18209"/>
      <w:r/>
      <w:bookmarkStart w:id="176" w:name="_Toc20199"/>
      <w:r/>
      <w:bookmarkStart w:id="177" w:name="_Toc2348"/>
      <w:r>
        <w:rPr>
          <w:rFonts w:ascii="宋体" w:hAnsi="宋体" w:cs="宋体"/>
          <w:b/>
          <w:spacing w:val="60"/>
          <w:sz w:val="36"/>
        </w:rPr>
        <w:t xml:space="preserve">项目编</w:t>
      </w:r>
      <w:r>
        <w:rPr>
          <w:rFonts w:ascii="宋体" w:hAnsi="宋体" w:cs="宋体"/>
          <w:b/>
          <w:sz w:val="36"/>
        </w:rPr>
        <w:t xml:space="preserve">号：</w:t>
      </w:r>
      <w:r>
        <w:rPr>
          <w:rFonts w:ascii="宋体" w:hAnsi="宋体" w:cs="宋体"/>
          <w:b/>
          <w:sz w:val="36"/>
          <w:u w:val="single"/>
        </w:rPr>
        <w:t xml:space="preserve">            </w:t>
      </w:r>
      <w:bookmarkEnd w:id="175"/>
      <w:r/>
      <w:bookmarkEnd w:id="176"/>
      <w:r/>
      <w:bookmarkEnd w:id="177"/>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78" w:name="_Toc31883"/>
      <w:r/>
      <w:bookmarkStart w:id="179" w:name="_Toc20902"/>
      <w:r/>
      <w:bookmarkStart w:id="180" w:name="_Toc4179"/>
      <w:r>
        <w:rPr>
          <w:rFonts w:ascii="宋体" w:hAnsi="宋体" w:cs="宋体"/>
          <w:b/>
          <w:sz w:val="36"/>
        </w:rPr>
        <w:t xml:space="preserve">投标人名称：</w:t>
      </w:r>
      <w:r>
        <w:rPr>
          <w:rFonts w:ascii="宋体" w:hAnsi="宋体" w:cs="宋体"/>
          <w:b/>
          <w:sz w:val="36"/>
          <w:u w:val="single"/>
        </w:rPr>
        <w:t xml:space="preserve"> （加盖CA电子公章）  </w:t>
      </w:r>
      <w:bookmarkEnd w:id="178"/>
      <w:r/>
      <w:bookmarkEnd w:id="179"/>
      <w:r/>
      <w:bookmarkEnd w:id="180"/>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81" w:name="_Toc31015"/>
      <w:r/>
      <w:bookmarkStart w:id="182" w:name="_Toc8047"/>
      <w:r/>
      <w:bookmarkStart w:id="183" w:name="_Toc5465"/>
      <w:r>
        <w:rPr>
          <w:rFonts w:ascii="宋体" w:hAnsi="宋体" w:cs="宋体"/>
          <w:b/>
          <w:spacing w:val="540"/>
          <w:sz w:val="36"/>
        </w:rPr>
        <w:t xml:space="preserve">日</w:t>
      </w:r>
      <w:r>
        <w:rPr>
          <w:rFonts w:ascii="宋体" w:hAnsi="宋体" w:cs="宋体"/>
          <w:b/>
          <w:sz w:val="36"/>
        </w:rPr>
        <w:t xml:space="preserve">期：</w:t>
      </w:r>
      <w:r>
        <w:rPr>
          <w:rFonts w:ascii="宋体" w:hAnsi="宋体" w:cs="宋体"/>
          <w:b/>
          <w:sz w:val="36"/>
          <w:u w:val="single"/>
        </w:rPr>
        <w:t xml:space="preserve">            </w:t>
      </w:r>
      <w:bookmarkEnd w:id="181"/>
      <w:r/>
      <w:bookmarkEnd w:id="182"/>
      <w:r/>
      <w:bookmarkEnd w:id="183"/>
      <w:r/>
      <w:r/>
    </w:p>
    <w:p>
      <w:pPr>
        <w:pBdr>
          <w:top w:val="none" w:color="000000" w:sz="0" w:space="0"/>
          <w:left w:val="none" w:color="000000" w:sz="0" w:space="0"/>
          <w:bottom w:val="none" w:color="000000" w:sz="0" w:space="0"/>
          <w:right w:val="none" w:color="000000" w:sz="0" w:space="0"/>
        </w:pBdr>
      </w:pPr>
      <w:r>
        <w:br w:type="page" w:clear="all"/>
      </w:r>
      <w:r/>
    </w:p>
    <w:p>
      <w:pPr>
        <w:jc w:val="center"/>
        <w:spacing w:before="100" w:after="100"/>
        <w:pBdr>
          <w:top w:val="none" w:color="000000" w:sz="0" w:space="0"/>
          <w:left w:val="none" w:color="000000" w:sz="0" w:space="0"/>
          <w:bottom w:val="none" w:color="000000" w:sz="0" w:space="0"/>
          <w:right w:val="none" w:color="000000" w:sz="0" w:space="0"/>
        </w:pBdr>
        <w:outlineLvl w:val="0"/>
      </w:pPr>
      <w:r/>
      <w:bookmarkStart w:id="184" w:name="_Toc30561"/>
      <w:r/>
      <w:bookmarkStart w:id="185" w:name="_Toc29571"/>
      <w:r/>
      <w:bookmarkStart w:id="186" w:name="_Toc26701"/>
      <w:r>
        <w:rPr>
          <w:rFonts w:ascii="宋体" w:hAnsi="宋体" w:cs="宋体"/>
          <w:b/>
          <w:sz w:val="32"/>
        </w:rPr>
        <w:t xml:space="preserve">投标文件目录</w:t>
      </w:r>
      <w:bookmarkEnd w:id="184"/>
      <w:r/>
      <w:bookmarkEnd w:id="185"/>
      <w:r/>
      <w:bookmarkEnd w:id="186"/>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一、法人或者其他组织的营业执照等证明文件，自然人的身份证明</w:t>
      </w:r>
      <w:r/>
    </w:p>
    <w:p>
      <w:pPr>
        <w:ind w:firstLine="480"/>
        <w:spacing w:line="520" w:lineRule="exact"/>
        <w:tabs>
          <w:tab w:val="left" w:pos="1331" w:leader="none"/>
        </w:tabs>
        <w:rPr>
          <w:b/>
          <w:bCs/>
        </w:rPr>
        <w:pBdr>
          <w:top w:val="none" w:color="000000" w:sz="0" w:space="0"/>
          <w:left w:val="none" w:color="000000" w:sz="0" w:space="0"/>
          <w:bottom w:val="none" w:color="000000" w:sz="0" w:space="0"/>
          <w:right w:val="none" w:color="000000" w:sz="0" w:space="0"/>
        </w:pBdr>
      </w:pPr>
      <w:r>
        <w:rPr>
          <w:rFonts w:ascii="宋体" w:hAnsi="宋体" w:cs="宋体"/>
          <w:sz w:val="24"/>
        </w:rPr>
        <w:t xml:space="preserve">二、</w:t>
      </w:r>
      <w:r>
        <w:rPr>
          <w:rFonts w:hint="eastAsia" w:ascii="宋体" w:hAnsi="宋体" w:cs="宋体"/>
          <w:sz w:val="24"/>
        </w:rPr>
        <w:t xml:space="preserve">上一年度的财务状况报表（至少提供资产负债表、利润表、现金流量表，成立不满一年无需提供）</w:t>
      </w:r>
      <w:r/>
    </w:p>
    <w:p>
      <w:pPr>
        <w:ind w:firstLine="482"/>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三、具备履行合同所必需的设备和专业技术能力的书面声明</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四、依法缴纳税收和社会保障资金的相关材料（提供提交投标文件截止时间前一</w:t>
      </w:r>
      <w:r/>
    </w:p>
    <w:p>
      <w:pPr>
        <w:spacing w:line="52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年内至少一个月依法缴纳税收及缴纳社会保障资金的证明材料。投标人依法享受缓缴、免缴税收、社会保障资金的提供证明材料）</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五、参加政府采购活动前 3 年内在经营活动中没有重大违法记录的书面声明</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六、单位负责人为同一人或者存在直接控股、管理关系的不同供应商，不得参加同一合同项下的政府采购活动</w:t>
      </w:r>
      <w:r>
        <w:rPr>
          <w:rFonts w:ascii="宋体" w:hAnsi="宋体" w:cs="宋体"/>
          <w:sz w:val="24"/>
        </w:rPr>
        <w:t xml:space="preserve">书面声明</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rPr>
          <w:rFonts w:ascii="宋体" w:hAnsi="宋体" w:cs="宋体"/>
          <w:sz w:val="24"/>
        </w:rPr>
        <w:t xml:space="preserve">、特定资格要求的证明文件（如果本项目设置特定资格要求，则需要提供）</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w:t>
      </w:r>
      <w:r>
        <w:rPr>
          <w:rFonts w:ascii="宋体" w:hAnsi="宋体" w:cs="宋体"/>
          <w:sz w:val="24"/>
        </w:rPr>
        <w:t xml:space="preserve">、法人授权书</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w:t>
      </w:r>
      <w:r>
        <w:rPr>
          <w:rFonts w:ascii="宋体" w:hAnsi="宋体" w:cs="宋体"/>
          <w:sz w:val="24"/>
        </w:rPr>
        <w:t xml:space="preserve">、投标函</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w:t>
      </w:r>
      <w:r>
        <w:rPr>
          <w:rFonts w:ascii="宋体" w:hAnsi="宋体" w:cs="宋体"/>
          <w:sz w:val="24"/>
        </w:rPr>
        <w:t xml:space="preserve">、中小企业声明函</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十</w:t>
      </w:r>
      <w:r>
        <w:rPr>
          <w:rFonts w:hint="eastAsia" w:ascii="宋体" w:hAnsi="宋体" w:cs="宋体"/>
          <w:sz w:val="24"/>
        </w:rPr>
        <w:t xml:space="preserve">一</w:t>
      </w:r>
      <w:r>
        <w:rPr>
          <w:rFonts w:ascii="宋体" w:hAnsi="宋体" w:cs="宋体"/>
          <w:sz w:val="24"/>
        </w:rPr>
        <w:t xml:space="preserve">、开标一览表</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w:t>
      </w:r>
      <w:r>
        <w:rPr>
          <w:rFonts w:ascii="宋体" w:hAnsi="宋体" w:cs="宋体"/>
          <w:sz w:val="24"/>
        </w:rPr>
        <w:t xml:space="preserve">服务方案</w:t>
      </w:r>
      <w:r/>
    </w:p>
    <w:p>
      <w:pPr>
        <w:ind w:firstLine="480"/>
        <w:spacing w:line="52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w:t>
      </w:r>
      <w:r>
        <w:rPr>
          <w:rFonts w:hint="eastAsia" w:ascii="宋体" w:hAnsi="宋体" w:cs="宋体"/>
          <w:sz w:val="24"/>
        </w:rPr>
        <w:t xml:space="preserve">三</w:t>
      </w:r>
      <w:r>
        <w:rPr>
          <w:rFonts w:ascii="宋体" w:hAnsi="宋体" w:cs="宋体"/>
          <w:sz w:val="24"/>
        </w:rPr>
        <w:t xml:space="preserve">、盐城市政府采购事前信用承诺书</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十</w:t>
      </w:r>
      <w:r>
        <w:rPr>
          <w:rFonts w:hint="eastAsia" w:ascii="宋体" w:hAnsi="宋体" w:cs="宋体"/>
          <w:sz w:val="24"/>
        </w:rPr>
        <w:t xml:space="preserve">四</w:t>
      </w:r>
      <w:r>
        <w:rPr>
          <w:rFonts w:ascii="宋体" w:hAnsi="宋体" w:cs="宋体"/>
          <w:sz w:val="24"/>
        </w:rPr>
        <w:t xml:space="preserve">、招标文件要求的其他资料</w:t>
      </w:r>
      <w:r/>
    </w:p>
    <w:p>
      <w:pPr>
        <w:pBdr>
          <w:top w:val="none" w:color="000000" w:sz="0" w:space="0"/>
          <w:left w:val="none" w:color="000000" w:sz="0" w:space="0"/>
          <w:bottom w:val="none" w:color="000000" w:sz="0" w:space="0"/>
          <w:right w:val="none" w:color="000000" w:sz="0" w:space="0"/>
        </w:pBdr>
      </w:pPr>
      <w:r>
        <w:br w:type="page" w:clear="all"/>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二、</w:t>
      </w:r>
      <w:r>
        <w:rPr>
          <w:rFonts w:hint="eastAsia" w:ascii="黑体" w:hAnsi="黑体" w:eastAsia="黑体" w:cs="黑体"/>
          <w:i/>
          <w:sz w:val="32"/>
          <w:u w:val="single"/>
        </w:rPr>
        <w:t xml:space="preserve">上一</w:t>
      </w:r>
      <w:r>
        <w:rPr>
          <w:rFonts w:ascii="黑体" w:hAnsi="黑体" w:eastAsia="黑体" w:cs="黑体"/>
          <w:i/>
          <w:sz w:val="32"/>
          <w:u w:val="single"/>
        </w:rPr>
        <w:t xml:space="preserve">年度的财务状况报表</w:t>
      </w:r>
      <w:r/>
    </w:p>
    <w:p>
      <w:pPr>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上一年度的财务状况报表（至少提供资产负债表、利润表、现金流量表，成立不满一年无需提供）</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三、具备履行合同所必需的设备和专业技术能力的书面声明</w:t>
      </w:r>
      <w:r/>
    </w:p>
    <w:p>
      <w:pPr>
        <w:ind w:firstLine="492"/>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四、依法缴纳税收和社会保障资金的相关材料</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 3 年内在经营活动中没有重大违法记录的书面声明</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b/>
          <w:sz w:val="44"/>
        </w:rPr>
        <w:t xml:space="preserve"> 声  明</w:t>
      </w:r>
      <w:r/>
    </w:p>
    <w:p>
      <w:pPr>
        <w:ind w:firstLine="480"/>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left="4620" w:firstLine="480"/>
        <w:spacing w:line="520" w:lineRule="exact"/>
        <w:rPr>
          <w:rFonts w:ascii="宋体" w:hAnsi="宋体" w:cs="宋体"/>
          <w:sz w:val="24"/>
        </w:rPr>
      </w:pPr>
      <w:r>
        <w:rPr>
          <w:rFonts w:hint="eastAsia" w:ascii="宋体" w:hAnsi="宋体" w:cs="宋体"/>
          <w:sz w:val="24"/>
        </w:rPr>
        <w:t xml:space="preserve">日 期：</w:t>
      </w:r>
      <w:r/>
    </w:p>
    <w:p>
      <w:pPr>
        <w:pStyle w:val="1063"/>
        <w:numPr>
          <w:ilvl w:val="0"/>
          <w:numId w:val="4"/>
        </w:numPr>
        <w:spacing w:beforeAutospacing="0" w:afterAutospacing="0" w:line="0" w:lineRule="atLeast"/>
        <w:rPr>
          <w:rFonts w:ascii="黑体" w:hAnsi="黑体" w:eastAsia="黑体" w:cs="黑体"/>
          <w:i/>
          <w:sz w:val="32"/>
          <w:u w:val="single"/>
        </w:rPr>
      </w:pPr>
      <w:r>
        <w:rPr>
          <w:rFonts w:hint="eastAsia" w:ascii="黑体" w:hAnsi="黑体" w:eastAsia="黑体" w:cs="黑体"/>
          <w:i/>
          <w:sz w:val="32"/>
          <w:u w:val="single"/>
        </w:rPr>
        <w:t xml:space="preserve">单位负责人为同一人或者存在直接控股、管理关系的不同供应商，不得参加同一合同项下的政府采购活动</w:t>
      </w:r>
      <w:r/>
    </w:p>
    <w:p>
      <w:pPr>
        <w:pStyle w:val="1063"/>
        <w:jc w:val="center"/>
        <w:spacing w:beforeAutospacing="0" w:afterAutospacing="0" w:line="0" w:lineRule="atLeast"/>
        <w:rPr>
          <w:b/>
          <w:bCs/>
          <w:sz w:val="44"/>
          <w:szCs w:val="44"/>
        </w:rPr>
      </w:pPr>
      <w:r>
        <w:rPr>
          <w:rFonts w:hint="eastAsia"/>
          <w:b/>
          <w:bCs/>
          <w:sz w:val="44"/>
          <w:szCs w:val="44"/>
        </w:rPr>
        <w:t xml:space="preserve">声 明</w:t>
      </w:r>
      <w:r/>
    </w:p>
    <w:p>
      <w:pPr>
        <w:pStyle w:val="106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left="4620" w:firstLine="480"/>
        <w:spacing w:line="520" w:lineRule="exact"/>
        <w:rPr>
          <w:rFonts w:ascii="宋体" w:hAnsi="宋体" w:cs="宋体"/>
          <w:sz w:val="24"/>
        </w:rPr>
      </w:pPr>
      <w:r>
        <w:rPr>
          <w:rFonts w:hint="eastAsia" w:ascii="宋体" w:hAnsi="宋体" w:cs="宋体"/>
          <w:sz w:val="24"/>
        </w:rPr>
        <w:t xml:space="preserve">日 期：</w:t>
      </w:r>
      <w:r/>
    </w:p>
    <w:p>
      <w:pPr>
        <w:spacing w:before="100" w:after="100"/>
        <w:rPr>
          <w:rFonts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r>
      <w:r/>
    </w:p>
    <w:p>
      <w:pPr>
        <w:spacing w:before="100" w:after="100"/>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七</w:t>
      </w:r>
      <w:r>
        <w:rPr>
          <w:rFonts w:ascii="黑体" w:hAnsi="黑体" w:eastAsia="黑体" w:cs="黑体"/>
          <w:i/>
          <w:sz w:val="32"/>
          <w:u w:val="single"/>
        </w:rPr>
        <w:t xml:space="preserve">、特定资格要求的证明文件</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如果本项目申请人的特定资格要求中要求提供的，必须提供。</w:t>
      </w:r>
      <w:r/>
    </w:p>
    <w:p>
      <w:pPr>
        <w:pBdr>
          <w:top w:val="none" w:color="000000" w:sz="0" w:space="0"/>
          <w:left w:val="none" w:color="000000" w:sz="0" w:space="0"/>
          <w:bottom w:val="none" w:color="000000" w:sz="0" w:space="0"/>
          <w:right w:val="none" w:color="000000" w:sz="0" w:space="0"/>
        </w:pBdr>
      </w:pPr>
      <w:r>
        <w:br w:type="page" w:clear="all"/>
      </w:r>
      <w:r/>
    </w:p>
    <w:p>
      <w:pPr>
        <w:ind w:firstLine="3390"/>
        <w:spacing w:before="260" w:after="260" w:line="98"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t xml:space="preserve">八</w:t>
      </w:r>
      <w:r>
        <w:rPr>
          <w:rFonts w:ascii="黑体" w:hAnsi="黑体" w:eastAsia="黑体" w:cs="黑体"/>
          <w:b/>
          <w:sz w:val="32"/>
        </w:rPr>
        <w:t xml:space="preserve">、法人授权书</w:t>
      </w:r>
      <w:r/>
    </w:p>
    <w:p>
      <w:pPr>
        <w:ind w:firstLine="480"/>
        <w:spacing w:before="100" w:after="100"/>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before="100" w:after="100"/>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before="100" w:after="100"/>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本授权书声明：</w:t>
      </w:r>
      <w:r>
        <w:rPr>
          <w:rFonts w:eastAsia="Times New Roman"/>
          <w:sz w:val="24"/>
        </w:rPr>
        <w:t xml:space="preserve">____________</w:t>
      </w:r>
      <w:r>
        <w:rPr>
          <w:rFonts w:ascii="宋体" w:hAnsi="宋体" w:cs="宋体"/>
          <w:sz w:val="24"/>
        </w:rPr>
        <w:t xml:space="preserve">（投标人名称）授权</w:t>
      </w:r>
      <w:r>
        <w:rPr>
          <w:rFonts w:eastAsia="Times New Roman"/>
          <w:sz w:val="24"/>
        </w:rPr>
        <w:t xml:space="preserve">________________</w:t>
      </w:r>
      <w:r>
        <w:rPr>
          <w:rFonts w:ascii="宋体" w:hAnsi="宋体" w:cs="宋体"/>
          <w:sz w:val="24"/>
        </w:rPr>
        <w:t xml:space="preserve">（被授权人的姓名）为我方就</w:t>
      </w:r>
      <w:r>
        <w:rPr>
          <w:rFonts w:eastAsia="Times New Roman"/>
          <w:sz w:val="24"/>
          <w:u w:val="single"/>
        </w:rPr>
        <w:t xml:space="preserve">JSZC-320900-RHHH-G202</w:t>
      </w:r>
      <w:r>
        <w:rPr>
          <w:rFonts w:hint="eastAsia"/>
          <w:sz w:val="24"/>
          <w:u w:val="single"/>
        </w:rPr>
        <w:t xml:space="preserve">6</w:t>
      </w:r>
      <w:r>
        <w:rPr>
          <w:rFonts w:eastAsia="Times New Roman"/>
          <w:sz w:val="24"/>
          <w:u w:val="single"/>
        </w:rPr>
        <w:t xml:space="preserve">-</w:t>
      </w:r>
      <w:r>
        <w:rPr>
          <w:rFonts w:ascii="宋体" w:hAnsi="宋体" w:cs="宋体"/>
          <w:sz w:val="24"/>
          <w:u w:val="single"/>
        </w:rPr>
        <w:t xml:space="preserve">    </w:t>
      </w:r>
      <w:r>
        <w:rPr>
          <w:rFonts w:ascii="宋体" w:hAnsi="宋体" w:cs="宋体"/>
          <w:sz w:val="24"/>
        </w:rPr>
        <w:t xml:space="preserve">号项目（分包号：**）采购活动的合法代理人，以本单位名义全权处理一切与该项目采购有关的事务。</w:t>
      </w:r>
      <w:r/>
    </w:p>
    <w:p>
      <w:pPr>
        <w:ind w:firstLine="480"/>
        <w:spacing w:before="100" w:after="100"/>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本授权书于</w:t>
      </w:r>
      <w:r>
        <w:rPr>
          <w:rFonts w:eastAsia="Times New Roman"/>
          <w:sz w:val="24"/>
        </w:rPr>
        <w:t xml:space="preserve">______</w:t>
      </w:r>
      <w:r>
        <w:rPr>
          <w:rFonts w:ascii="宋体" w:hAnsi="宋体" w:cs="宋体"/>
          <w:sz w:val="24"/>
        </w:rPr>
        <w:t xml:space="preserve">年</w:t>
      </w:r>
      <w:r>
        <w:rPr>
          <w:rFonts w:eastAsia="Times New Roman"/>
          <w:sz w:val="24"/>
        </w:rPr>
        <w:t xml:space="preserve">____</w:t>
      </w:r>
      <w:r>
        <w:rPr>
          <w:rFonts w:ascii="宋体" w:hAnsi="宋体" w:cs="宋体"/>
          <w:sz w:val="24"/>
        </w:rPr>
        <w:t xml:space="preserve">月</w:t>
      </w:r>
      <w:r>
        <w:rPr>
          <w:rFonts w:eastAsia="Times New Roman"/>
          <w:sz w:val="24"/>
        </w:rPr>
        <w:t xml:space="preserve">____</w:t>
      </w:r>
      <w:r>
        <w:rPr>
          <w:rFonts w:ascii="宋体" w:hAnsi="宋体" w:cs="宋体"/>
          <w:sz w:val="24"/>
        </w:rPr>
        <w:t xml:space="preserve">日起生效，特此声明。</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被授权人身份证号码：</w:t>
      </w:r>
      <w:r>
        <w:rPr>
          <w:rFonts w:ascii="宋体" w:hAnsi="宋体" w:cs="宋体"/>
          <w:sz w:val="24"/>
          <w:u w:val="single"/>
        </w:rPr>
        <w:t xml:space="preserve">          </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被授权人联系电话：</w:t>
      </w:r>
      <w:r>
        <w:rPr>
          <w:rFonts w:ascii="宋体" w:hAnsi="宋体" w:cs="宋体"/>
          <w:sz w:val="24"/>
          <w:u w:val="single"/>
        </w:rPr>
        <w:t xml:space="preserve">   （手机）</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授权单位名称：</w:t>
      </w:r>
      <w:r>
        <w:rPr>
          <w:rFonts w:ascii="宋体" w:hAnsi="宋体" w:cs="宋体"/>
          <w:sz w:val="24"/>
          <w:u w:val="single"/>
        </w:rPr>
        <w:t xml:space="preserve">（加盖CA电子公章）         </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 位 地 址：</w:t>
      </w:r>
      <w:r>
        <w:rPr>
          <w:rFonts w:ascii="宋体" w:hAnsi="宋体" w:cs="宋体"/>
          <w:sz w:val="24"/>
          <w:u w:val="single"/>
        </w:rPr>
        <w:t xml:space="preserve">                  </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u w:val="single"/>
        </w:rPr>
        <w:t xml:space="preserve">                    </w:t>
      </w:r>
      <w:r>
        <w:rPr>
          <w:rFonts w:hint="eastAsia" w:ascii="宋体" w:hAnsi="宋体" w:cs="宋体"/>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firstLine="3390"/>
        <w:spacing w:before="260" w:after="260" w:line="98"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t xml:space="preserve">九</w:t>
      </w:r>
      <w:r>
        <w:rPr>
          <w:rFonts w:ascii="黑体" w:hAnsi="黑体" w:eastAsia="黑体" w:cs="黑体"/>
          <w:b/>
          <w:sz w:val="32"/>
        </w:rPr>
        <w:t xml:space="preserve">、投标函</w:t>
      </w:r>
      <w:r/>
    </w:p>
    <w:p>
      <w:pPr>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致：</w:t>
      </w:r>
      <w:r>
        <w:rPr>
          <w:rFonts w:hint="eastAsia" w:ascii="宋体" w:hAnsi="宋体" w:cs="宋体"/>
          <w:sz w:val="24"/>
        </w:rPr>
        <w:t xml:space="preserve">盐城市卫生健康发展中心</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根据贵方的</w:t>
      </w:r>
      <w:r>
        <w:rPr>
          <w:rFonts w:eastAsia="Times New Roman"/>
          <w:sz w:val="24"/>
          <w:u w:val="single"/>
        </w:rPr>
        <w:t xml:space="preserve">JSZC-320900-RHHH-G202</w:t>
      </w:r>
      <w:r>
        <w:rPr>
          <w:rFonts w:hint="eastAsia"/>
          <w:sz w:val="24"/>
          <w:u w:val="single"/>
        </w:rPr>
        <w:t xml:space="preserve">6</w:t>
      </w:r>
      <w:r>
        <w:rPr>
          <w:rFonts w:eastAsia="Times New Roman"/>
          <w:sz w:val="24"/>
          <w:u w:val="single"/>
        </w:rPr>
        <w:t xml:space="preserve">-</w:t>
      </w:r>
      <w:r>
        <w:rPr>
          <w:rFonts w:ascii="宋体" w:hAnsi="宋体" w:cs="宋体"/>
          <w:sz w:val="24"/>
          <w:u w:val="single"/>
        </w:rPr>
        <w:t xml:space="preserve">    </w:t>
      </w:r>
      <w:r>
        <w:rPr>
          <w:rFonts w:ascii="宋体" w:hAnsi="宋体" w:cs="宋体"/>
          <w:sz w:val="24"/>
        </w:rPr>
        <w:t xml:space="preserve">号（分包号：**）招标文件，正式授权下述签字人______(姓名)代表我方______________（投标人的名称），全权处理本次项目投标的有关事宜。</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据此函，__________签字人兹宣布同意如下：</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1.按招标文件规定的各项要求，向买方提供所需服务（包含与服务相关的货物）。</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2.我们完全理解贵方不一定将合同授予最低报价的投标人。</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3.我们已详细审核全部招标文件及其有效补充文件，我们知道必须放弃提出含糊不清或误解问题的权利。</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4.我们同意从规定的开标日期起遵循本投标文件，并在规定的投标有效期期满之前均具有约束力。</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5.同意向贵方提供贵方可能另外要求的与投标有关的任何证据或资料，并保证我方已提供和将要提供的文件是真实的、准确的。</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6.一旦我方中标，我方将根据招标文件的规定，严格履行合同的责任和义务，并保证在招标文件规定的时间完成项目，交付买方验收、使用。</w:t>
      </w:r>
      <w:r/>
    </w:p>
    <w:p>
      <w:pPr>
        <w:ind w:firstLine="480"/>
        <w:spacing w:before="100" w:after="100" w:line="499" w:lineRule="atLeast"/>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7.与本投标有关的正式通讯地址为：</w:t>
      </w:r>
      <w:r>
        <w:rPr>
          <w:rFonts w:hint="eastAsia" w:ascii="宋体" w:hAnsi="宋体" w:cs="宋体"/>
          <w:sz w:val="24"/>
          <w:u w:val="single"/>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地</w:t>
      </w:r>
      <w:r>
        <w:rPr>
          <w:rFonts w:ascii="宋体" w:hAnsi="宋体" w:cs="宋体"/>
          <w:sz w:val="24"/>
        </w:rPr>
        <w:t xml:space="preserve">址：</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邮</w:t>
      </w:r>
      <w:r>
        <w:rPr>
          <w:rFonts w:ascii="宋体" w:hAnsi="宋体" w:cs="宋体"/>
          <w:sz w:val="24"/>
        </w:rPr>
        <w:t xml:space="preserve">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电</w:t>
      </w:r>
      <w:r>
        <w:rPr>
          <w:rFonts w:ascii="宋体" w:hAnsi="宋体" w:cs="宋体"/>
          <w:sz w:val="24"/>
        </w:rPr>
        <w:t xml:space="preserve">话：</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传</w:t>
      </w:r>
      <w:r>
        <w:rPr>
          <w:rFonts w:ascii="宋体" w:hAnsi="宋体" w:cs="宋体"/>
          <w:sz w:val="24"/>
        </w:rPr>
        <w:t xml:space="preserve">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供应商开户行：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账</w:t>
      </w:r>
      <w:r>
        <w:rPr>
          <w:rFonts w:ascii="宋体" w:hAnsi="宋体" w:cs="宋体"/>
          <w:sz w:val="24"/>
        </w:rPr>
        <w:t xml:space="preserve">号：</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日</w:t>
      </w:r>
      <w:r>
        <w:rPr>
          <w:rFonts w:ascii="宋体" w:hAnsi="宋体" w:cs="宋体"/>
          <w:sz w:val="24"/>
        </w:rPr>
        <w:t xml:space="preserve">期：______年____月____日</w:t>
      </w:r>
      <w:r/>
    </w:p>
    <w:p>
      <w:pPr>
        <w:pBdr>
          <w:top w:val="none" w:color="000000" w:sz="0" w:space="0"/>
          <w:left w:val="none" w:color="000000" w:sz="0" w:space="0"/>
          <w:bottom w:val="none" w:color="000000" w:sz="0" w:space="0"/>
          <w:right w:val="none" w:color="000000" w:sz="0" w:space="0"/>
        </w:pBdr>
      </w:pPr>
      <w:r>
        <w:br w:type="page" w:clear="all"/>
      </w:r>
      <w:r/>
    </w:p>
    <w:p>
      <w:pPr>
        <w:jc w:val="center"/>
        <w:spacing w:before="100" w:after="100"/>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t xml:space="preserve">十</w:t>
      </w:r>
      <w:r>
        <w:rPr>
          <w:rFonts w:ascii="黑体" w:hAnsi="黑体" w:eastAsia="黑体" w:cs="黑体"/>
          <w:b/>
          <w:sz w:val="32"/>
        </w:rPr>
        <w:t xml:space="preserve">、中小企业声明函（服务）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eastAsia="Times New Roman"/>
          <w:sz w:val="24"/>
        </w:rPr>
        <w:t xml:space="preserve">2020</w:t>
      </w:r>
      <w:r>
        <w:rPr>
          <w:rFonts w:ascii="宋体" w:hAnsi="宋体" w:cs="宋体"/>
          <w:sz w:val="24"/>
        </w:rPr>
        <w:t xml:space="preserve">﹞</w:t>
      </w:r>
      <w:r>
        <w:rPr>
          <w:rFonts w:eastAsia="Times New Roman"/>
          <w:sz w:val="24"/>
        </w:rPr>
        <w:t xml:space="preserve">46 </w:t>
      </w:r>
      <w:r>
        <w:rPr>
          <w:rFonts w:ascii="宋体" w:hAnsi="宋体" w:cs="宋体"/>
          <w:sz w:val="24"/>
        </w:rPr>
        <w:t xml:space="preserve">号）的规定，本公司</w:t>
      </w:r>
      <w:r>
        <w:rPr>
          <w:rFonts w:ascii="宋体" w:hAnsi="宋体" w:cs="宋体"/>
          <w:sz w:val="24"/>
          <w:u w:val="single"/>
        </w:rPr>
        <w:t xml:space="preserve">      </w:t>
      </w:r>
      <w:r>
        <w:rPr>
          <w:rFonts w:ascii="宋体" w:hAnsi="宋体" w:cs="宋体"/>
          <w:sz w:val="24"/>
        </w:rPr>
        <w:t xml:space="preserve">参加</w:t>
      </w:r>
      <w:r>
        <w:rPr>
          <w:rFonts w:hint="eastAsia" w:ascii="宋体" w:hAnsi="宋体" w:cs="宋体"/>
          <w:sz w:val="24"/>
        </w:rPr>
        <w:t xml:space="preserve">盐城市卫生健康发展中心</w:t>
      </w:r>
      <w:r>
        <w:rPr>
          <w:rFonts w:ascii="宋体" w:hAnsi="宋体" w:cs="宋体"/>
          <w:sz w:val="24"/>
        </w:rPr>
        <w:t xml:space="preserve">组织的采购编号为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 xml:space="preserve">的</w:t>
      </w:r>
      <w:r>
        <w:rPr>
          <w:rFonts w:ascii="宋体" w:hAnsi="宋体" w:cs="宋体"/>
          <w:i/>
          <w:sz w:val="24"/>
          <w:u w:val="single"/>
        </w:rPr>
        <w:t xml:space="preserve">（项目名称）</w:t>
      </w:r>
      <w:r>
        <w:rPr>
          <w:rFonts w:ascii="宋体" w:hAnsi="宋体" w:cs="宋体"/>
          <w:sz w:val="24"/>
        </w:rPr>
        <w:t xml:space="preserve">的采购活动，服务全部由符合政策要求的中小企业承接。相关企业（含联合体中的中小企业、签订分包意向协议的中小企业）的具体情况如下：</w:t>
      </w:r>
      <w:r/>
    </w:p>
    <w:p>
      <w:pPr>
        <w:numPr>
          <w:ilvl w:val="0"/>
          <w:numId w:val="5"/>
        </w:numPr>
        <w:spacing w:line="499" w:lineRule="atLeast"/>
        <w:pBdr>
          <w:top w:val="none" w:color="000000" w:sz="0" w:space="0"/>
          <w:left w:val="none" w:color="000000" w:sz="0" w:space="0"/>
          <w:bottom w:val="none" w:color="000000" w:sz="0" w:space="0"/>
          <w:right w:val="none" w:color="000000" w:sz="0" w:space="0"/>
        </w:pBdr>
      </w:pPr>
      <w:r>
        <w:rPr>
          <w:rFonts w:ascii="宋体" w:hAnsi="宋体" w:cs="宋体"/>
          <w:i/>
          <w:sz w:val="24"/>
          <w:u w:val="single"/>
        </w:rPr>
        <w:t xml:space="preserve">（标的名称）</w:t>
      </w:r>
      <w:r>
        <w:rPr>
          <w:rFonts w:ascii="宋体" w:hAnsi="宋体" w:cs="宋体"/>
          <w:sz w:val="24"/>
        </w:rPr>
        <w:t xml:space="preserve"> ，属于</w:t>
      </w:r>
      <w:r>
        <w:rPr>
          <w:rFonts w:ascii="宋体" w:hAnsi="宋体" w:cs="宋体"/>
          <w:i/>
          <w:sz w:val="24"/>
          <w:u w:val="single"/>
        </w:rPr>
        <w:t xml:space="preserve">（采购文件中明确的所属行业）</w:t>
      </w:r>
      <w:r>
        <w:rPr>
          <w:rFonts w:ascii="宋体" w:hAnsi="宋体" w:cs="宋体"/>
          <w:sz w:val="24"/>
        </w:rPr>
        <w:t xml:space="preserve">；承建（承接）企业为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numPr>
          <w:ilvl w:val="0"/>
          <w:numId w:val="5"/>
        </w:numPr>
        <w:spacing w:line="499" w:lineRule="atLeast"/>
        <w:pBdr>
          <w:top w:val="none" w:color="000000" w:sz="0" w:space="0"/>
          <w:left w:val="none" w:color="000000" w:sz="0" w:space="0"/>
          <w:bottom w:val="none" w:color="000000" w:sz="0" w:space="0"/>
          <w:right w:val="none" w:color="000000" w:sz="0" w:space="0"/>
        </w:pBdr>
      </w:pPr>
      <w:r>
        <w:rPr>
          <w:rFonts w:ascii="宋体" w:hAnsi="宋体" w:cs="宋体"/>
          <w:i/>
          <w:sz w:val="24"/>
          <w:u w:val="single"/>
        </w:rPr>
        <w:t xml:space="preserve">（标的名称）</w:t>
      </w:r>
      <w:r>
        <w:rPr>
          <w:rFonts w:ascii="宋体" w:hAnsi="宋体" w:cs="宋体"/>
          <w:sz w:val="24"/>
        </w:rPr>
        <w:t xml:space="preserve"> ，属于</w:t>
      </w:r>
      <w:r>
        <w:rPr>
          <w:rFonts w:ascii="宋体" w:hAnsi="宋体" w:cs="宋体"/>
          <w:i/>
          <w:sz w:val="24"/>
          <w:u w:val="single"/>
        </w:rPr>
        <w:t xml:space="preserve">（采购文件中明确的所属行业）</w:t>
      </w:r>
      <w:r>
        <w:rPr>
          <w:rFonts w:ascii="宋体" w:hAnsi="宋体" w:cs="宋体"/>
          <w:sz w:val="24"/>
        </w:rPr>
        <w:t xml:space="preserve">；承建（承接）企业为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right="72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5670"/>
        <w:spacing w:before="100" w:after="100" w:line="49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ascii="宋体" w:hAnsi="宋体" w:cs="宋体"/>
          <w:sz w:val="24"/>
        </w:rPr>
        <w:t xml:space="preserve">（</w:t>
      </w:r>
      <w:r>
        <w:rPr>
          <w:rFonts w:hint="eastAsia" w:ascii="宋体" w:hAnsi="宋体" w:cs="宋体"/>
          <w:sz w:val="24"/>
        </w:rPr>
        <w:t xml:space="preserve">电子签章</w:t>
      </w:r>
      <w:r>
        <w:rPr>
          <w:rFonts w:ascii="宋体" w:hAnsi="宋体" w:cs="宋体"/>
          <w:sz w:val="24"/>
        </w:rPr>
        <w:t xml:space="preserve">）：</w:t>
      </w:r>
      <w:r/>
    </w:p>
    <w:p>
      <w:pPr>
        <w:ind w:left="567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jc w:val="center"/>
        <w:spacing w:before="100" w:after="100"/>
        <w:pBdr>
          <w:top w:val="none" w:color="000000" w:sz="0" w:space="0"/>
          <w:left w:val="none" w:color="000000" w:sz="0" w:space="0"/>
          <w:bottom w:val="none" w:color="000000" w:sz="0" w:space="0"/>
          <w:right w:val="none" w:color="000000" w:sz="0" w:space="0"/>
        </w:pBdr>
      </w:pPr>
      <w:r>
        <w:br w:type="page" w:clear="all"/>
      </w:r>
      <w:r/>
    </w:p>
    <w:p>
      <w:pPr>
        <w:jc w:val="center"/>
        <w:spacing w:before="100" w:after="100"/>
        <w:pBdr>
          <w:top w:val="none" w:color="000000" w:sz="0" w:space="0"/>
          <w:left w:val="none" w:color="000000" w:sz="0" w:space="0"/>
          <w:bottom w:val="none" w:color="000000" w:sz="0" w:space="0"/>
          <w:right w:val="none" w:color="000000" w:sz="0" w:space="0"/>
        </w:pBdr>
        <w:outlineLvl w:val="0"/>
      </w:pPr>
      <w:r/>
      <w:bookmarkStart w:id="187" w:name="_Toc5849"/>
      <w:r/>
      <w:bookmarkStart w:id="188" w:name="_Toc18500"/>
      <w:r/>
      <w:bookmarkStart w:id="189" w:name="_Toc22290"/>
      <w:r>
        <w:rPr>
          <w:rFonts w:ascii="黑体" w:hAnsi="黑体" w:eastAsia="黑体" w:cs="黑体"/>
          <w:b/>
          <w:sz w:val="32"/>
        </w:rPr>
        <w:t xml:space="preserve">残疾人福利性单位声明函</w:t>
      </w:r>
      <w:bookmarkEnd w:id="187"/>
      <w:r/>
      <w:bookmarkEnd w:id="188"/>
      <w:r/>
      <w:bookmarkEnd w:id="189"/>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cs="宋体"/>
          <w:sz w:val="24"/>
          <w:u w:val="single"/>
        </w:rPr>
        <w:t xml:space="preserve">       </w:t>
      </w:r>
      <w:r>
        <w:rPr>
          <w:rFonts w:ascii="宋体" w:hAnsi="宋体" w:cs="宋体"/>
          <w:sz w:val="24"/>
        </w:rPr>
        <w:t xml:space="preserve">项目（分包号：**）采购活动由本单位提供服务。</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本单位对上述声明的真实性负责。如有虚假，将依法承担相应责任。</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备注：1.供应商如不提供此声明函，价格将不做相应扣除（如项目全面面向中小企业，则资格审查不通过）。</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2.中标人为残疾人福利单位的，此声明函将随中标结果同时公告，接受社会监督</w:t>
      </w:r>
      <w:r/>
    </w:p>
    <w:p>
      <w:pPr>
        <w:ind w:firstLine="624"/>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624"/>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620" w:right="1559"/>
        <w:spacing w:before="100" w:after="100" w:line="499" w:lineRule="atLeast"/>
        <w:tabs>
          <w:tab w:val="left" w:pos="4864" w:leader="none"/>
        </w:tabs>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ascii="宋体" w:hAnsi="宋体" w:cs="宋体"/>
          <w:sz w:val="24"/>
        </w:rPr>
        <w:t xml:space="preserve">（电子签章）：</w:t>
      </w:r>
      <w:r/>
    </w:p>
    <w:p>
      <w:pPr>
        <w:ind w:left="4620" w:right="1559" w:firstLine="482"/>
        <w:spacing w:before="100" w:after="100" w:line="499" w:lineRule="atLeast"/>
        <w:tabs>
          <w:tab w:val="left" w:pos="4864"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Bdr>
          <w:top w:val="none" w:color="000000" w:sz="0" w:space="0"/>
          <w:left w:val="none" w:color="000000" w:sz="0" w:space="0"/>
          <w:bottom w:val="none" w:color="000000" w:sz="0" w:space="0"/>
          <w:right w:val="none" w:color="000000" w:sz="0" w:space="0"/>
        </w:pBdr>
      </w:pPr>
      <w:r>
        <w:br w:type="page" w:clear="all"/>
      </w:r>
      <w:r/>
    </w:p>
    <w:p>
      <w:pPr>
        <w:jc w:val="center"/>
        <w:spacing w:before="100" w:after="100"/>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rPr>
        <w:t xml:space="preserve">一</w:t>
      </w:r>
      <w:r>
        <w:rPr>
          <w:rFonts w:ascii="黑体" w:hAnsi="黑体" w:eastAsia="黑体" w:cs="黑体"/>
          <w:b/>
          <w:sz w:val="32"/>
        </w:rPr>
        <w:t xml:space="preserve">、开标一览表</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t xml:space="preserve">项目名称 : </w:t>
      </w:r>
      <w:r/>
    </w:p>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ascii="Calibri" w:hAnsi="Calibri" w:eastAsia="Calibri" w:cs="Calibri"/>
          <w:sz w:val="24"/>
        </w:rPr>
        <w:t xml:space="preserve">JSZC-320900-RHHH-G202</w:t>
      </w:r>
      <w:r>
        <w:rPr>
          <w:rFonts w:hint="eastAsia" w:ascii="Calibri" w:hAnsi="Calibri" w:cs="Calibri"/>
          <w:sz w:val="24"/>
        </w:rPr>
        <w:t xml:space="preserve">6</w:t>
      </w:r>
      <w:r>
        <w:rPr>
          <w:rFonts w:ascii="Calibri" w:hAnsi="Calibri" w:eastAsia="Calibri" w:cs="Calibri"/>
          <w:sz w:val="24"/>
        </w:rPr>
        <w:t xml:space="preserve">-</w:t>
      </w:r>
      <w:r>
        <w:rPr>
          <w:rFonts w:hint="eastAsia" w:ascii="Calibri" w:hAnsi="Calibri" w:cs="Calibri"/>
          <w:sz w:val="24"/>
        </w:rPr>
        <w:t xml:space="preserve"> </w:t>
      </w:r>
      <w:r>
        <w:rPr>
          <w:rFonts w:ascii="宋体" w:hAnsi="宋体" w:cs="宋体"/>
          <w:sz w:val="24"/>
        </w:rPr>
        <w:t xml:space="preserve">（分包号：**）</w:t>
      </w:r>
      <w:r/>
    </w:p>
    <w:p>
      <w:pPr>
        <w:spacing w:before="100" w:after="100"/>
        <w:pBdr>
          <w:top w:val="none" w:color="000000" w:sz="0" w:space="0"/>
          <w:left w:val="none" w:color="000000" w:sz="0" w:space="0"/>
          <w:bottom w:val="none" w:color="000000" w:sz="0" w:space="0"/>
          <w:right w:val="none" w:color="000000" w:sz="0" w:space="0"/>
        </w:pBdr>
      </w:pPr>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3930"/>
        <w:gridCol w:w="2178"/>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优惠率（小写）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t xml:space="preserve">备注</w:t>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
          </w:p>
        </w:tc>
      </w:tr>
    </w:tbl>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备注：优惠率报价保留两位小数。</w:t>
      </w:r>
      <w:r/>
    </w:p>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投标人公章：（电子签章）</w:t>
      </w:r>
      <w:r/>
    </w:p>
    <w:p>
      <w:pP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right"/>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firstLine="480"/>
        <w:spacing w:before="100" w:after="100"/>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jc w:val="center"/>
        <w:spacing w:before="50" w:after="50"/>
        <w:pBdr>
          <w:top w:val="none" w:color="000000" w:sz="0" w:space="0"/>
          <w:left w:val="none" w:color="000000" w:sz="0" w:space="0"/>
          <w:bottom w:val="none" w:color="000000" w:sz="0" w:space="0"/>
          <w:right w:val="none" w:color="000000" w:sz="0" w:space="0"/>
        </w:pBdr>
      </w:pPr>
      <w:r>
        <w:rPr>
          <w:rFonts w:ascii="宋体" w:hAnsi="宋体" w:cs="宋体"/>
          <w:b/>
          <w:sz w:val="32"/>
        </w:rPr>
        <w:t xml:space="preserve">十</w:t>
      </w:r>
      <w:r>
        <w:rPr>
          <w:rFonts w:hint="eastAsia" w:ascii="宋体" w:hAnsi="宋体" w:cs="宋体"/>
          <w:b/>
          <w:sz w:val="32"/>
        </w:rPr>
        <w:t xml:space="preserve">二</w:t>
      </w:r>
      <w:r>
        <w:rPr>
          <w:rFonts w:ascii="宋体" w:hAnsi="宋体" w:cs="宋体"/>
          <w:b/>
          <w:sz w:val="32"/>
        </w:rPr>
        <w:t xml:space="preserve">、服务方案</w:t>
      </w:r>
      <w:r/>
    </w:p>
    <w:p>
      <w:pPr>
        <w:pBdr>
          <w:top w:val="none" w:color="000000" w:sz="0" w:space="0"/>
          <w:left w:val="none" w:color="000000" w:sz="0" w:space="0"/>
          <w:bottom w:val="none" w:color="000000" w:sz="0" w:space="0"/>
          <w:right w:val="none" w:color="000000" w:sz="0" w:space="0"/>
        </w:pBdr>
      </w:pPr>
      <w:r>
        <w:br w:type="page" w:clear="all"/>
      </w:r>
      <w:r/>
    </w:p>
    <w:p>
      <w:pPr>
        <w:ind w:firstLine="160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十</w:t>
      </w:r>
      <w:r>
        <w:rPr>
          <w:rFonts w:hint="eastAsia" w:ascii="宋体" w:hAnsi="宋体" w:cs="宋体"/>
          <w:b/>
          <w:sz w:val="32"/>
        </w:rPr>
        <w:t xml:space="preserve">三</w:t>
      </w:r>
      <w:r>
        <w:rPr>
          <w:rFonts w:ascii="宋体" w:hAnsi="宋体" w:cs="宋体"/>
          <w:b/>
          <w:sz w:val="32"/>
        </w:rPr>
        <w:t xml:space="preserve">、盐城市政府采购事前信用承诺书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为营造我市公开、公平、公正、诚实守信的政府采购交易环境，树立诚信守法的投标人形象，本人代表本单位作出以下承诺：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（三）严格依照国家和省、市关于政府采购的法律、法规、规章、规范性文件，参加政府采购投标活动；积极履行社会责任，促进廉政建设；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（四）严格遵守即时信息公示规定，及时维护和更新盐城市政府采购网中与本单位相关的信息；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（六）自觉接受政府、行业组织、社会公众、新闻舆论的监督；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（八）本人已认真阅读了上述承诺，并向本单位员工作了宣传教育。</w:t>
      </w:r>
      <w:r/>
    </w:p>
    <w:p>
      <w:pPr>
        <w:pStyle w:val="756"/>
        <w:rPr>
          <w:rFonts w:ascii="宋体" w:hAnsi="宋体" w:cs="宋体"/>
          <w:sz w:val="24"/>
        </w:rPr>
      </w:pPr>
      <w:r>
        <w:rPr>
          <w:rFonts w:ascii="宋体" w:hAnsi="宋体" w:cs="宋体"/>
          <w:sz w:val="24"/>
        </w:rPr>
      </w:r>
      <w:r/>
    </w:p>
    <w:p>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w:t>
      </w:r>
      <w:r>
        <w:rPr>
          <w:rFonts w:hint="eastAsia" w:ascii="宋体" w:hAnsi="宋体" w:cs="宋体"/>
          <w:sz w:val="24"/>
        </w:rPr>
        <w:t xml:space="preserve">电子签章</w:t>
      </w:r>
      <w:r>
        <w:rPr>
          <w:rFonts w:ascii="宋体" w:hAnsi="宋体" w:cs="宋体"/>
          <w:sz w:val="24"/>
        </w:rPr>
        <w:t xml:space="preserve">）：</w:t>
      </w:r>
      <w:r/>
    </w:p>
    <w:p>
      <w:pPr>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年   月   日</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ind w:firstLine="1600"/>
        <w:spacing w:line="499" w:lineRule="atLeast"/>
        <w:rPr>
          <w:rFonts w:ascii="宋体" w:hAnsi="宋体" w:cs="宋体"/>
          <w:b/>
          <w:sz w:val="32"/>
        </w:rPr>
        <w:pBdr>
          <w:top w:val="none" w:color="000000" w:sz="0" w:space="0"/>
          <w:left w:val="none" w:color="000000" w:sz="0" w:space="0"/>
          <w:bottom w:val="none" w:color="000000" w:sz="0" w:space="0"/>
          <w:right w:val="none" w:color="000000" w:sz="0" w:space="0"/>
        </w:pBdr>
      </w:pPr>
      <w:r/>
      <w:bookmarkStart w:id="190" w:name="_Toc16142"/>
      <w:r/>
      <w:bookmarkStart w:id="191" w:name="_Toc8904"/>
      <w:r/>
      <w:bookmarkStart w:id="192" w:name="_Toc19226"/>
      <w:r>
        <w:rPr>
          <w:rFonts w:ascii="宋体" w:hAnsi="宋体" w:cs="宋体"/>
          <w:b/>
          <w:sz w:val="32"/>
        </w:rPr>
        <w:t xml:space="preserve">十</w:t>
      </w:r>
      <w:r>
        <w:rPr>
          <w:rFonts w:hint="eastAsia" w:ascii="宋体" w:hAnsi="宋体" w:cs="宋体"/>
          <w:b/>
          <w:sz w:val="32"/>
        </w:rPr>
        <w:t xml:space="preserve">四</w:t>
      </w:r>
      <w:r>
        <w:rPr>
          <w:rFonts w:ascii="宋体" w:hAnsi="宋体" w:cs="宋体"/>
          <w:b/>
          <w:sz w:val="32"/>
        </w:rPr>
        <w:t xml:space="preserve">、招标文件要求的其他资料</w:t>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pBdr>
          <w:top w:val="none" w:color="000000" w:sz="0" w:space="0"/>
          <w:left w:val="none" w:color="000000" w:sz="0" w:space="0"/>
          <w:bottom w:val="none" w:color="000000" w:sz="0" w:space="0"/>
          <w:right w:val="none" w:color="000000" w:sz="0" w:space="0"/>
        </w:pBdr>
        <w:outlineLvl w:val="0"/>
      </w:pPr>
      <w:r>
        <w:rPr>
          <w:rFonts w:ascii="宋体" w:hAnsi="宋体" w:cs="宋体"/>
          <w:b/>
          <w:sz w:val="32"/>
        </w:rPr>
        <w:t xml:space="preserve">质疑函范本</w:t>
      </w:r>
      <w:bookmarkEnd w:id="190"/>
      <w:r/>
      <w:bookmarkEnd w:id="191"/>
      <w:r/>
      <w:bookmarkEnd w:id="192"/>
      <w:r/>
      <w:r/>
    </w:p>
    <w:p>
      <w:pPr>
        <w:spacing w:before="29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一、质疑供应商基本信息</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质疑供应商：</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邮编：</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授权代表：</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地址： </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邮编：</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二、质疑项目基本情况</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质疑项目的名称：</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质疑项目的编号：</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采购人名称：</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采购文件获取日期：</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三、质疑事项具体内容</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质疑事项1：</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事实依据：</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法律依据：</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质疑事项2</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四、与质疑事项相关的质疑请求</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请求：</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签字(签章)：</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公章：</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质疑函制作说明：</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1.供应商提出质疑时，应提交质疑函和必要的证明材料。</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3.质疑供应商若对项目的某一分包进行质疑，质疑函中应列明具体分包号。</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4.质疑函的质疑事项应具体、明确，并有必要的事实依据和法律依据。</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5.质疑函的质疑请求应与质疑事项相关。</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5"/>
      <w:footnotePr/>
      <w:endnotePr/>
      <w:type w:val="nextPage"/>
      <w:pgSz w:w="11906" w:h="16838" w:orient="portrait"/>
      <w:pgMar w:top="1417" w:right="1474" w:bottom="1417"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方正黑体_GBK">
    <w:panose1 w:val="020B0503020202020204"/>
  </w:font>
  <w:font w:name="Courier New">
    <w:panose1 w:val="02070309020205020404"/>
  </w:font>
  <w:font w:name="仿宋">
    <w:panose1 w:val="02010609060101010101"/>
  </w:font>
  <w:font w:name="Calibri">
    <w:panose1 w:val="020F0502020204030204"/>
  </w:font>
  <w:font w:name="PMingLiU-ExtB">
    <w:panose1 w:val="02020500000000000000"/>
  </w:font>
  <w:font w:name="Arial Unicode MS">
    <w:panose1 w:val="020B0604020202020204"/>
  </w:font>
  <w:font w:name="Arial">
    <w:panose1 w:val="020B0604020202020204"/>
  </w:font>
  <w:font w:name="Verdana">
    <w:panose1 w:val="020B0604030504040204"/>
  </w:font>
  <w:font w:name="黑体">
    <w:panose1 w:val="02010609060101010101"/>
  </w:font>
  <w:font w:name="新宋体">
    <w:panose1 w:val="02010609030101010101"/>
  </w:font>
  <w:font w:name="Symbol">
    <w:panose1 w:val="05050102010706020507"/>
  </w:font>
  <w:font w:name="楷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09"/>
      </w:rPr>
      <w:framePr w:wrap="around" w:vAnchor="text" w:hAnchor="margin" w:xAlign="center" w:y="1"/>
    </w:pPr>
    <w:r>
      <w:rPr>
        <w:rStyle w:val="809"/>
      </w:rPr>
      <w:fldChar w:fldCharType="begin"/>
    </w:r>
    <w:r>
      <w:rPr>
        <w:rStyle w:val="809"/>
      </w:rPr>
      <w:instrText xml:space="preserve">PAGE  </w:instrText>
    </w:r>
    <w:r>
      <w:rPr>
        <w:rStyle w:val="809"/>
      </w:rPr>
      <w:fldChar w:fldCharType="separate"/>
    </w:r>
    <w:r>
      <w:rPr>
        <w:rStyle w:val="809"/>
      </w:rPr>
      <w:t xml:space="preserve">1</w:t>
    </w:r>
    <w:r>
      <w:rPr>
        <w:rStyle w:val="809"/>
      </w:rPr>
      <w:fldChar w:fldCharType="end"/>
    </w:r>
    <w:r/>
  </w:p>
  <w:p>
    <w:pPr>
      <w:pStyle w:val="7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instrText xml:space="preserve">PAGE \* MERGEFORMAT</w:instrText>
    </w:r>
    <w:r>
      <w:fldChar w:fldCharType="separate"/>
    </w:r>
    <w:r>
      <w:t xml:space="preserve">1</w:t>
    </w:r>
    <w:r>
      <w:fldChar w:fldCharType="end"/>
    </w:r>
    <w:r/>
  </w:p>
  <w:p>
    <w:pPr>
      <w:pStyle w:val="7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150"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2912745</wp:posOffset>
              </wp:positionH>
              <wp:positionV relativeFrom="paragraph">
                <wp:posOffset>6985</wp:posOffset>
              </wp:positionV>
              <wp:extent cx="159385" cy="153035"/>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5933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rPr>
                              <w:sz w:val="21"/>
                              <w:szCs w:val="32"/>
                            </w:rPr>
                          </w:pPr>
                          <w:r>
                            <w:rPr>
                              <w:sz w:val="21"/>
                              <w:szCs w:val="32"/>
                            </w:rPr>
                            <w:fldChar w:fldCharType="begin"/>
                          </w:r>
                          <w:r>
                            <w:rPr>
                              <w:sz w:val="21"/>
                              <w:szCs w:val="32"/>
                            </w:rPr>
                            <w:instrText xml:space="preserve"> PAGE  \* MERGEFORMAT </w:instrText>
                          </w:r>
                          <w:r>
                            <w:rPr>
                              <w:sz w:val="21"/>
                              <w:szCs w:val="32"/>
                            </w:rPr>
                            <w:fldChar w:fldCharType="separate"/>
                          </w:r>
                          <w:r>
                            <w:rPr>
                              <w:sz w:val="21"/>
                              <w:szCs w:val="32"/>
                            </w:rPr>
                            <w:t xml:space="preserve">2</w:t>
                          </w:r>
                          <w:r>
                            <w:rPr>
                              <w:sz w:val="21"/>
                              <w:szCs w:val="32"/>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9.3pt;mso-position-horizontal:absolute;mso-position-vertical-relative:text;margin-top:0.5pt;mso-position-vertical:absolute;width:12.5pt;height:12.0pt;mso-wrap-distance-left:9.0pt;mso-wrap-distance-top:0.0pt;mso-wrap-distance-right:9.0pt;mso-wrap-distance-bottom:0.0pt;v-text-anchor:top;visibility:visible;" filled="f" stroked="f" strokeweight="0.50pt">
              <v:textbox inset="0,0,0,0">
                <w:txbxContent>
                  <w:p>
                    <w:pPr>
                      <w:pStyle w:val="786"/>
                      <w:rPr>
                        <w:sz w:val="21"/>
                        <w:szCs w:val="32"/>
                      </w:rPr>
                    </w:pPr>
                    <w:r>
                      <w:rPr>
                        <w:sz w:val="21"/>
                        <w:szCs w:val="32"/>
                      </w:rPr>
                      <w:fldChar w:fldCharType="begin"/>
                    </w:r>
                    <w:r>
                      <w:rPr>
                        <w:sz w:val="21"/>
                        <w:szCs w:val="32"/>
                      </w:rPr>
                      <w:instrText xml:space="preserve"> PAGE  \* MERGEFORMAT </w:instrText>
                    </w:r>
                    <w:r>
                      <w:rPr>
                        <w:sz w:val="21"/>
                        <w:szCs w:val="32"/>
                      </w:rPr>
                      <w:fldChar w:fldCharType="separate"/>
                    </w:r>
                    <w:r>
                      <w:rPr>
                        <w:sz w:val="21"/>
                        <w:szCs w:val="32"/>
                      </w:rPr>
                      <w:t xml:space="preserve">2</w:t>
                    </w:r>
                    <w:r>
                      <w:rPr>
                        <w:sz w:val="21"/>
                        <w:szCs w:val="3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50"/>
      <w:isLgl w:val="false"/>
      <w:suff w:val="nothing"/>
      <w:lvlText w:val=""/>
      <w:lvlJc w:val="left"/>
      <w:pPr/>
      <w:rPr>
        <w:rFonts w:hint="eastAsia" w:cs="Times New Roman"/>
      </w:rPr>
    </w:lvl>
    <w:lvl w:ilvl="6">
      <w:start w:val="1"/>
      <w:numFmt w:val="none"/>
      <w:pStyle w:val="751"/>
      <w:isLgl w:val="false"/>
      <w:suff w:val="nothing"/>
      <w:lvlText w:val=""/>
      <w:lvlJc w:val="left"/>
      <w:pPr/>
      <w:rPr>
        <w:rFonts w:hint="eastAsia" w:cs="Times New Roman"/>
      </w:rPr>
    </w:lvl>
    <w:lvl w:ilvl="7">
      <w:start w:val="1"/>
      <w:numFmt w:val="none"/>
      <w:pStyle w:val="752"/>
      <w:isLgl w:val="false"/>
      <w:suff w:val="nothing"/>
      <w:lvlText w:val=""/>
      <w:lvlJc w:val="left"/>
      <w:pPr/>
      <w:rPr>
        <w:rFonts w:hint="eastAsia" w:cs="Times New Roman"/>
      </w:rPr>
    </w:lvl>
    <w:lvl w:ilvl="8">
      <w:start w:val="1"/>
      <w:numFmt w:val="none"/>
      <w:pStyle w:val="753"/>
      <w:isLgl w:val="false"/>
      <w:suff w:val="nothing"/>
      <w:lvlText w:val=""/>
      <w:lvlJc w:val="left"/>
      <w:pPr/>
      <w:rPr>
        <w:rFonts w:hint="eastAsia" w:cs="Times New Roman"/>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5">
    <w:name w:val="Heading 1"/>
    <w:basedOn w:val="744"/>
    <w:next w:val="744"/>
    <w:link w:val="991"/>
    <w:uiPriority w:val="99"/>
    <w:qFormat/>
    <w:pPr>
      <w:jc w:val="center"/>
      <w:keepNext/>
      <w:outlineLvl w:val="0"/>
    </w:pPr>
    <w:rPr>
      <w:rFonts w:ascii="楷体" w:hAnsi="楷体" w:eastAsia="黑体"/>
      <w:b/>
      <w:sz w:val="44"/>
      <w:szCs w:val="28"/>
    </w:rPr>
  </w:style>
  <w:style w:type="paragraph" w:styleId="746">
    <w:name w:val="Heading 2"/>
    <w:basedOn w:val="744"/>
    <w:next w:val="744"/>
    <w:link w:val="990"/>
    <w:uiPriority w:val="99"/>
    <w:qFormat/>
    <w:pPr>
      <w:jc w:val="center"/>
      <w:keepLines/>
      <w:keepNext/>
      <w:spacing w:before="260" w:after="260" w:line="416" w:lineRule="auto"/>
      <w:outlineLvl w:val="1"/>
    </w:pPr>
    <w:rPr>
      <w:rFonts w:ascii="Arial" w:hAnsi="Arial" w:cs="Arial"/>
      <w:b/>
      <w:bCs/>
      <w:sz w:val="44"/>
      <w:szCs w:val="44"/>
    </w:rPr>
  </w:style>
  <w:style w:type="paragraph" w:styleId="747">
    <w:name w:val="Heading 3"/>
    <w:basedOn w:val="744"/>
    <w:next w:val="767"/>
    <w:link w:val="992"/>
    <w:uiPriority w:val="99"/>
    <w:qFormat/>
    <w:pPr>
      <w:keepLines/>
      <w:keepNext/>
      <w:spacing w:before="260" w:after="260" w:line="416" w:lineRule="auto"/>
      <w:outlineLvl w:val="2"/>
    </w:pPr>
    <w:rPr>
      <w:b/>
      <w:bCs/>
      <w:sz w:val="32"/>
      <w:szCs w:val="32"/>
    </w:rPr>
  </w:style>
  <w:style w:type="paragraph" w:styleId="748">
    <w:name w:val="Heading 4"/>
    <w:basedOn w:val="744"/>
    <w:next w:val="744"/>
    <w:link w:val="993"/>
    <w:uiPriority w:val="99"/>
    <w:qFormat/>
    <w:pPr>
      <w:keepLines/>
      <w:keepNext/>
      <w:spacing w:before="280" w:after="290" w:line="376" w:lineRule="auto"/>
      <w:outlineLvl w:val="3"/>
    </w:pPr>
    <w:rPr>
      <w:rFonts w:ascii="Arial" w:hAnsi="Arial" w:eastAsia="黑体" w:cs="Arial"/>
      <w:b/>
      <w:bCs/>
      <w:sz w:val="28"/>
      <w:szCs w:val="28"/>
    </w:rPr>
  </w:style>
  <w:style w:type="paragraph" w:styleId="749">
    <w:name w:val="Heading 5"/>
    <w:basedOn w:val="744"/>
    <w:next w:val="767"/>
    <w:link w:val="994"/>
    <w:uiPriority w:val="99"/>
    <w:qFormat/>
    <w:pPr>
      <w:keepNext/>
      <w:outlineLvl w:val="4"/>
    </w:pPr>
    <w:rPr>
      <w:rFonts w:ascii="宋体"/>
      <w:color w:val="000000"/>
      <w:sz w:val="28"/>
      <w:szCs w:val="28"/>
    </w:rPr>
  </w:style>
  <w:style w:type="paragraph" w:styleId="750">
    <w:name w:val="Heading 6"/>
    <w:basedOn w:val="744"/>
    <w:next w:val="744"/>
    <w:link w:val="99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Heading 7"/>
    <w:basedOn w:val="744"/>
    <w:next w:val="744"/>
    <w:link w:val="996"/>
    <w:uiPriority w:val="99"/>
    <w:qFormat/>
    <w:pPr>
      <w:numPr>
        <w:ilvl w:val="6"/>
        <w:numId w:val="1"/>
      </w:numPr>
      <w:keepLines/>
      <w:keepNext/>
      <w:spacing w:before="240" w:after="64" w:line="320" w:lineRule="auto"/>
      <w:outlineLvl w:val="6"/>
    </w:pPr>
    <w:rPr>
      <w:b/>
      <w:bCs/>
      <w:sz w:val="24"/>
      <w:szCs w:val="24"/>
    </w:rPr>
  </w:style>
  <w:style w:type="paragraph" w:styleId="752">
    <w:name w:val="Heading 8"/>
    <w:basedOn w:val="744"/>
    <w:next w:val="744"/>
    <w:link w:val="99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Heading 9"/>
    <w:basedOn w:val="744"/>
    <w:next w:val="744"/>
    <w:link w:val="998"/>
    <w:uiPriority w:val="99"/>
    <w:qFormat/>
    <w:pPr>
      <w:numPr>
        <w:ilvl w:val="8"/>
        <w:numId w:val="1"/>
      </w:numPr>
      <w:keepLines/>
      <w:keepNext/>
      <w:spacing w:before="240" w:after="64" w:line="320" w:lineRule="auto"/>
      <w:outlineLvl w:val="8"/>
    </w:pPr>
    <w:rPr>
      <w:rFonts w:ascii="Arial" w:hAnsi="Arial" w:eastAsia="黑体"/>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列表段落1"/>
    <w:basedOn w:val="757"/>
    <w:next w:val="744"/>
    <w:uiPriority w:val="99"/>
    <w:qFormat/>
    <w:pPr>
      <w:ind w:firstLine="420"/>
    </w:pPr>
  </w:style>
  <w:style w:type="paragraph" w:styleId="757" w:customStyle="1">
    <w:name w:val="正文1"/>
    <w:basedOn w:val="758"/>
    <w:next w:val="766"/>
    <w:uiPriority w:val="0"/>
    <w:qFormat/>
    <w:pPr>
      <w:ind w:right="-167"/>
      <w:spacing w:line="440" w:lineRule="exact"/>
      <w:widowControl/>
    </w:pPr>
    <w:rPr>
      <w:b/>
      <w:sz w:val="21"/>
    </w:rPr>
  </w:style>
  <w:style w:type="paragraph" w:styleId="758" w:customStyle="1">
    <w:name w:val="正文11"/>
    <w:next w:val="759"/>
    <w:uiPriority w:val="0"/>
    <w:qFormat/>
    <w:pPr>
      <w:jc w:val="both"/>
      <w:widowControl w:val="off"/>
    </w:pPr>
    <w:rPr>
      <w:rFonts w:hint="default" w:ascii="Times New Roman" w:hAnsi="Times New Roman" w:eastAsia="Arial" w:cs="Times New Roman"/>
      <w:lang w:val="en-US" w:eastAsia="zh-CN" w:bidi="ar-SA"/>
    </w:rPr>
  </w:style>
  <w:style w:type="paragraph" w:styleId="759" w:customStyle="1">
    <w:name w:val="目录 11"/>
    <w:basedOn w:val="760"/>
    <w:next w:val="758"/>
    <w:uiPriority w:val="0"/>
    <w:qFormat/>
    <w:pPr>
      <w:jc w:val="left"/>
      <w:spacing w:before="120" w:after="120"/>
      <w:widowControl/>
    </w:pPr>
    <w:rPr>
      <w:rFonts w:cs="Calibri"/>
      <w:b/>
      <w:bCs/>
      <w:caps/>
      <w:sz w:val="20"/>
      <w:szCs w:val="20"/>
    </w:rPr>
  </w:style>
  <w:style w:type="paragraph" w:styleId="760" w:customStyle="1">
    <w:name w:val="正文12"/>
    <w:next w:val="761"/>
    <w:uiPriority w:val="0"/>
    <w:qFormat/>
    <w:pPr>
      <w:jc w:val="both"/>
      <w:widowControl w:val="off"/>
    </w:pPr>
    <w:rPr>
      <w:rFonts w:hint="default" w:ascii="Calibri" w:hAnsi="Calibri" w:eastAsia="宋体" w:cs="Times New Roman"/>
      <w:sz w:val="21"/>
      <w:szCs w:val="24"/>
      <w:lang w:val="en-US" w:eastAsia="zh-CN" w:bidi="ar-SA"/>
    </w:rPr>
  </w:style>
  <w:style w:type="paragraph" w:styleId="761" w:customStyle="1">
    <w:name w:val="正文文本11"/>
    <w:basedOn w:val="762"/>
    <w:next w:val="763"/>
    <w:uiPriority w:val="0"/>
    <w:qFormat/>
    <w:pPr>
      <w:spacing w:after="120"/>
    </w:pPr>
  </w:style>
  <w:style w:type="paragraph" w:styleId="762" w:customStyle="1">
    <w:name w:val="正文112"/>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一级条标题"/>
    <w:basedOn w:val="764"/>
    <w:next w:val="765"/>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64"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5" w:customStyle="1">
    <w:name w:val="段"/>
    <w:next w:val="74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66" w:customStyle="1">
    <w:name w:val="正文文本1"/>
    <w:basedOn w:val="757"/>
    <w:next w:val="757"/>
    <w:uiPriority w:val="0"/>
    <w:qFormat/>
    <w:pPr>
      <w:spacing w:after="120"/>
    </w:pPr>
    <w:rPr>
      <w:lang w:eastAsia="en-US"/>
    </w:rPr>
  </w:style>
  <w:style w:type="paragraph" w:styleId="767">
    <w:name w:val="Normal Indent"/>
    <w:basedOn w:val="744"/>
    <w:link w:val="1015"/>
    <w:uiPriority w:val="99"/>
    <w:qFormat/>
    <w:pPr>
      <w:ind w:firstLine="420"/>
    </w:pPr>
    <w:rPr>
      <w:szCs w:val="20"/>
    </w:rPr>
  </w:style>
  <w:style w:type="paragraph" w:styleId="768">
    <w:name w:val="List 3"/>
    <w:basedOn w:val="744"/>
    <w:uiPriority w:val="99"/>
    <w:qFormat/>
    <w:pPr>
      <w:ind w:left="100" w:hanging="200"/>
    </w:pPr>
  </w:style>
  <w:style w:type="paragraph" w:styleId="769">
    <w:name w:val="toc 7"/>
    <w:basedOn w:val="744"/>
    <w:next w:val="744"/>
    <w:uiPriority w:val="39"/>
    <w:unhideWhenUsed/>
    <w:qFormat/>
    <w:pPr>
      <w:ind w:left="1701"/>
      <w:spacing w:after="57"/>
    </w:pPr>
  </w:style>
  <w:style w:type="paragraph" w:styleId="770">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Document Map"/>
    <w:basedOn w:val="744"/>
    <w:link w:val="1003"/>
    <w:uiPriority w:val="99"/>
    <w:semiHidden/>
    <w:qFormat/>
    <w:pPr>
      <w:shd w:val="clear" w:color="auto" w:fill="000080"/>
    </w:pPr>
  </w:style>
  <w:style w:type="paragraph" w:styleId="772">
    <w:name w:val="annotation text"/>
    <w:basedOn w:val="744"/>
    <w:link w:val="1036"/>
    <w:uiPriority w:val="99"/>
    <w:semiHidden/>
    <w:qFormat/>
    <w:pPr>
      <w:jc w:val="left"/>
    </w:pPr>
  </w:style>
  <w:style w:type="paragraph" w:styleId="773">
    <w:name w:val="Body Text 3"/>
    <w:basedOn w:val="744"/>
    <w:link w:val="1004"/>
    <w:uiPriority w:val="99"/>
    <w:qFormat/>
    <w:rPr>
      <w:rFonts w:ascii="仿宋" w:hAnsi="Arial" w:eastAsia="仿宋"/>
      <w:sz w:val="32"/>
      <w:szCs w:val="32"/>
    </w:rPr>
  </w:style>
  <w:style w:type="paragraph" w:styleId="774">
    <w:name w:val="Body Text"/>
    <w:basedOn w:val="744"/>
    <w:next w:val="744"/>
    <w:link w:val="1001"/>
    <w:uiPriority w:val="99"/>
    <w:qFormat/>
    <w:rPr>
      <w:rFonts w:ascii="楷体" w:hAnsi="Arial" w:eastAsia="楷体"/>
      <w:sz w:val="28"/>
      <w:szCs w:val="28"/>
    </w:rPr>
  </w:style>
  <w:style w:type="paragraph" w:styleId="775">
    <w:name w:val="Body Text Indent"/>
    <w:basedOn w:val="744"/>
    <w:link w:val="1005"/>
    <w:uiPriority w:val="99"/>
    <w:qFormat/>
    <w:pPr>
      <w:ind w:firstLine="645"/>
    </w:pPr>
    <w:rPr>
      <w:rFonts w:ascii="楷体" w:eastAsia="楷体"/>
      <w:sz w:val="32"/>
      <w:szCs w:val="32"/>
    </w:rPr>
  </w:style>
  <w:style w:type="paragraph" w:styleId="776">
    <w:name w:val="List 2"/>
    <w:basedOn w:val="744"/>
    <w:uiPriority w:val="99"/>
    <w:qFormat/>
    <w:pPr>
      <w:ind w:left="100" w:hanging="200"/>
    </w:pPr>
  </w:style>
  <w:style w:type="paragraph" w:styleId="777">
    <w:name w:val="Block Text"/>
    <w:basedOn w:val="744"/>
    <w:uiPriority w:val="99"/>
    <w:qFormat/>
    <w:pPr>
      <w:ind w:left="560" w:right="-512"/>
    </w:pPr>
    <w:rPr>
      <w:rFonts w:ascii="宋体" w:cs="PMingLiU-ExtB"/>
      <w:sz w:val="24"/>
    </w:rPr>
  </w:style>
  <w:style w:type="paragraph" w:styleId="778">
    <w:name w:val="toc 5"/>
    <w:basedOn w:val="744"/>
    <w:next w:val="744"/>
    <w:uiPriority w:val="39"/>
    <w:unhideWhenUsed/>
    <w:qFormat/>
    <w:pPr>
      <w:ind w:left="1134"/>
      <w:spacing w:after="57"/>
    </w:pPr>
  </w:style>
  <w:style w:type="paragraph" w:styleId="779">
    <w:name w:val="toc 3"/>
    <w:basedOn w:val="744"/>
    <w:next w:val="744"/>
    <w:uiPriority w:val="39"/>
    <w:unhideWhenUsed/>
    <w:qFormat/>
    <w:pPr>
      <w:ind w:left="567"/>
      <w:spacing w:after="57"/>
    </w:pPr>
  </w:style>
  <w:style w:type="paragraph" w:styleId="780">
    <w:name w:val="Plain Text"/>
    <w:basedOn w:val="744"/>
    <w:link w:val="1006"/>
    <w:uiPriority w:val="99"/>
    <w:qFormat/>
    <w:rPr>
      <w:rFonts w:ascii="宋体" w:hAnsi="Courier New" w:cs="Courier New"/>
    </w:rPr>
  </w:style>
  <w:style w:type="paragraph" w:styleId="781">
    <w:name w:val="toc 8"/>
    <w:basedOn w:val="744"/>
    <w:next w:val="744"/>
    <w:uiPriority w:val="39"/>
    <w:unhideWhenUsed/>
    <w:qFormat/>
    <w:pPr>
      <w:ind w:left="1984"/>
      <w:spacing w:after="57"/>
    </w:pPr>
  </w:style>
  <w:style w:type="paragraph" w:styleId="782">
    <w:name w:val="Date"/>
    <w:basedOn w:val="744"/>
    <w:next w:val="744"/>
    <w:link w:val="1007"/>
    <w:uiPriority w:val="99"/>
    <w:qFormat/>
    <w:rPr>
      <w:sz w:val="24"/>
      <w:szCs w:val="24"/>
    </w:rPr>
  </w:style>
  <w:style w:type="paragraph" w:styleId="783">
    <w:name w:val="Body Text Indent 2"/>
    <w:basedOn w:val="744"/>
    <w:link w:val="1008"/>
    <w:uiPriority w:val="99"/>
    <w:qFormat/>
    <w:pPr>
      <w:ind w:left="630" w:firstLine="645"/>
    </w:pPr>
    <w:rPr>
      <w:rFonts w:ascii="Arial" w:hAnsi="Arial" w:eastAsia="仿宋" w:cs="Arial"/>
      <w:sz w:val="32"/>
      <w:szCs w:val="32"/>
    </w:rPr>
  </w:style>
  <w:style w:type="paragraph" w:styleId="784">
    <w:name w:val="endnote text"/>
    <w:basedOn w:val="744"/>
    <w:link w:val="987"/>
    <w:uiPriority w:val="99"/>
    <w:semiHidden/>
    <w:unhideWhenUsed/>
    <w:qFormat/>
    <w:rPr>
      <w:sz w:val="20"/>
    </w:rPr>
  </w:style>
  <w:style w:type="paragraph" w:styleId="785">
    <w:name w:val="Balloon Text"/>
    <w:basedOn w:val="744"/>
    <w:link w:val="1038"/>
    <w:uiPriority w:val="99"/>
    <w:semiHidden/>
    <w:qFormat/>
    <w:rPr>
      <w:sz w:val="18"/>
      <w:szCs w:val="18"/>
    </w:rPr>
  </w:style>
  <w:style w:type="paragraph" w:styleId="786">
    <w:name w:val="Footer"/>
    <w:basedOn w:val="744"/>
    <w:link w:val="1010"/>
    <w:uiPriority w:val="99"/>
    <w:qFormat/>
    <w:pPr>
      <w:jc w:val="left"/>
      <w:tabs>
        <w:tab w:val="center" w:pos="4153" w:leader="none"/>
        <w:tab w:val="right" w:pos="8306" w:leader="none"/>
      </w:tabs>
    </w:pPr>
    <w:rPr>
      <w:sz w:val="18"/>
      <w:szCs w:val="18"/>
    </w:rPr>
  </w:style>
  <w:style w:type="paragraph" w:styleId="787">
    <w:name w:val="envelope return"/>
    <w:basedOn w:val="744"/>
    <w:uiPriority w:val="99"/>
    <w:unhideWhenUsed/>
    <w:qFormat/>
    <w:rPr>
      <w:rFonts w:ascii="Arial" w:hAnsi="Arial"/>
    </w:rPr>
  </w:style>
  <w:style w:type="paragraph" w:styleId="788">
    <w:name w:val="Header"/>
    <w:basedOn w:val="744"/>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44"/>
    <w:next w:val="744"/>
    <w:uiPriority w:val="39"/>
    <w:semiHidden/>
    <w:unhideWhenUsed/>
    <w:qFormat/>
  </w:style>
  <w:style w:type="paragraph" w:styleId="790">
    <w:name w:val="toc 4"/>
    <w:basedOn w:val="744"/>
    <w:next w:val="744"/>
    <w:uiPriority w:val="39"/>
    <w:unhideWhenUsed/>
    <w:qFormat/>
    <w:pPr>
      <w:ind w:left="850"/>
      <w:spacing w:after="57"/>
    </w:pPr>
  </w:style>
  <w:style w:type="paragraph" w:styleId="791">
    <w:name w:val="Subtitle"/>
    <w:basedOn w:val="744"/>
    <w:next w:val="744"/>
    <w:link w:val="872"/>
    <w:uiPriority w:val="11"/>
    <w:qFormat/>
    <w:pPr>
      <w:spacing w:before="200" w:after="200"/>
    </w:pPr>
    <w:rPr>
      <w:sz w:val="24"/>
      <w:szCs w:val="24"/>
    </w:rPr>
  </w:style>
  <w:style w:type="paragraph" w:styleId="792">
    <w:name w:val="List"/>
    <w:basedOn w:val="744"/>
    <w:uiPriority w:val="99"/>
    <w:qFormat/>
    <w:pPr>
      <w:ind w:left="200" w:hanging="200"/>
    </w:pPr>
  </w:style>
  <w:style w:type="paragraph" w:styleId="793">
    <w:name w:val="footnote text"/>
    <w:basedOn w:val="744"/>
    <w:link w:val="986"/>
    <w:uiPriority w:val="99"/>
    <w:semiHidden/>
    <w:unhideWhenUsed/>
    <w:qFormat/>
    <w:pPr>
      <w:spacing w:after="40"/>
    </w:pPr>
    <w:rPr>
      <w:sz w:val="18"/>
    </w:rPr>
  </w:style>
  <w:style w:type="paragraph" w:styleId="794">
    <w:name w:val="toc 6"/>
    <w:basedOn w:val="744"/>
    <w:next w:val="744"/>
    <w:uiPriority w:val="39"/>
    <w:unhideWhenUsed/>
    <w:qFormat/>
    <w:pPr>
      <w:ind w:left="1417"/>
      <w:spacing w:after="57"/>
    </w:pPr>
  </w:style>
  <w:style w:type="paragraph" w:styleId="795">
    <w:name w:val="Body Text Indent 3"/>
    <w:basedOn w:val="744"/>
    <w:link w:val="1013"/>
    <w:uiPriority w:val="99"/>
    <w:qFormat/>
    <w:pPr>
      <w:ind w:left="645" w:firstLine="645"/>
    </w:pPr>
    <w:rPr>
      <w:rFonts w:ascii="Arial" w:hAnsi="Arial" w:eastAsia="仿宋" w:cs="Arial"/>
      <w:color w:val="ffff00"/>
      <w:sz w:val="32"/>
      <w:szCs w:val="32"/>
    </w:rPr>
  </w:style>
  <w:style w:type="paragraph" w:styleId="796">
    <w:name w:val="table of figures"/>
    <w:basedOn w:val="744"/>
    <w:next w:val="744"/>
    <w:uiPriority w:val="99"/>
    <w:unhideWhenUsed/>
    <w:qFormat/>
  </w:style>
  <w:style w:type="paragraph" w:styleId="797">
    <w:name w:val="toc 2"/>
    <w:basedOn w:val="744"/>
    <w:next w:val="744"/>
    <w:uiPriority w:val="0"/>
    <w:qFormat/>
    <w:pPr>
      <w:ind w:left="420"/>
    </w:pPr>
    <w:rPr>
      <w:rFonts w:ascii="宋体"/>
      <w:b/>
      <w:sz w:val="28"/>
      <w:szCs w:val="20"/>
    </w:rPr>
  </w:style>
  <w:style w:type="paragraph" w:styleId="798">
    <w:name w:val="toc 9"/>
    <w:basedOn w:val="744"/>
    <w:next w:val="744"/>
    <w:uiPriority w:val="39"/>
    <w:unhideWhenUsed/>
    <w:qFormat/>
    <w:pPr>
      <w:ind w:left="2268"/>
      <w:spacing w:after="57"/>
    </w:pPr>
  </w:style>
  <w:style w:type="paragraph" w:styleId="799">
    <w:name w:val="Body Text 2"/>
    <w:basedOn w:val="744"/>
    <w:link w:val="1014"/>
    <w:uiPriority w:val="99"/>
    <w:qFormat/>
    <w:pPr>
      <w:jc w:val="center"/>
      <w:widowControl/>
    </w:pPr>
    <w:rPr>
      <w:rFonts w:ascii="楷体" w:eastAsia="楷体"/>
      <w:sz w:val="28"/>
      <w:szCs w:val="28"/>
    </w:rPr>
  </w:style>
  <w:style w:type="paragraph" w:styleId="800">
    <w:name w:val="HTML Preformatted"/>
    <w:basedOn w:val="744"/>
    <w:link w:val="10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01">
    <w:name w:val="Normal (Web)"/>
    <w:basedOn w:val="744"/>
    <w:uiPriority w:val="99"/>
    <w:qFormat/>
    <w:pPr>
      <w:jc w:val="left"/>
      <w:spacing w:before="100" w:beforeAutospacing="1" w:after="100" w:afterAutospacing="1"/>
      <w:widowControl/>
    </w:pPr>
    <w:rPr>
      <w:rFonts w:ascii="宋体" w:hAnsi="宋体" w:cs="宋体"/>
      <w:sz w:val="24"/>
      <w:szCs w:val="24"/>
    </w:rPr>
  </w:style>
  <w:style w:type="paragraph" w:styleId="802">
    <w:name w:val="Title"/>
    <w:basedOn w:val="744"/>
    <w:next w:val="744"/>
    <w:link w:val="871"/>
    <w:uiPriority w:val="10"/>
    <w:qFormat/>
    <w:pPr>
      <w:contextualSpacing/>
      <w:spacing w:before="300" w:after="200"/>
    </w:pPr>
    <w:rPr>
      <w:sz w:val="48"/>
      <w:szCs w:val="48"/>
    </w:rPr>
  </w:style>
  <w:style w:type="paragraph" w:styleId="803">
    <w:name w:val="annotation subject"/>
    <w:basedOn w:val="772"/>
    <w:next w:val="772"/>
    <w:link w:val="1037"/>
    <w:uiPriority w:val="99"/>
    <w:semiHidden/>
    <w:qFormat/>
    <w:rPr>
      <w:b/>
      <w:bCs/>
    </w:rPr>
  </w:style>
  <w:style w:type="paragraph" w:styleId="804">
    <w:name w:val="Body Text First Indent"/>
    <w:basedOn w:val="744"/>
    <w:link w:val="1002"/>
    <w:uiPriority w:val="99"/>
    <w:qFormat/>
    <w:pPr>
      <w:ind w:firstLine="200"/>
      <w:spacing w:line="360" w:lineRule="auto"/>
    </w:pPr>
    <w:rPr>
      <w:rFonts w:ascii="仿宋" w:eastAsia="仿宋"/>
      <w:sz w:val="30"/>
      <w:szCs w:val="30"/>
    </w:rPr>
  </w:style>
  <w:style w:type="paragraph" w:styleId="805">
    <w:name w:val="Body Text First Indent 2"/>
    <w:basedOn w:val="775"/>
    <w:link w:val="1011"/>
    <w:uiPriority w:val="99"/>
    <w:qFormat/>
    <w:pPr>
      <w:ind w:firstLine="420"/>
      <w:spacing w:line="360" w:lineRule="auto"/>
    </w:pPr>
    <w:rPr>
      <w:rFonts w:ascii="宋体" w:hAnsi="宋体" w:eastAsia="宋体"/>
      <w:sz w:val="21"/>
      <w:szCs w:val="20"/>
    </w:rPr>
  </w:style>
  <w:style w:type="table" w:styleId="806">
    <w:name w:val="Table Grid"/>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basedOn w:val="754"/>
    <w:uiPriority w:val="99"/>
    <w:qFormat/>
    <w:rPr>
      <w:rFonts w:cs="Times New Roman"/>
      <w:b/>
    </w:rPr>
  </w:style>
  <w:style w:type="character" w:styleId="808">
    <w:name w:val="endnote reference"/>
    <w:basedOn w:val="754"/>
    <w:uiPriority w:val="99"/>
    <w:semiHidden/>
    <w:unhideWhenUsed/>
    <w:qFormat/>
    <w:rPr>
      <w:vertAlign w:val="superscript"/>
    </w:rPr>
  </w:style>
  <w:style w:type="character" w:styleId="809">
    <w:name w:val="page number"/>
    <w:basedOn w:val="754"/>
    <w:uiPriority w:val="99"/>
    <w:qFormat/>
    <w:rPr>
      <w:rFonts w:cs="Times New Roman"/>
    </w:rPr>
  </w:style>
  <w:style w:type="character" w:styleId="810">
    <w:name w:val="FollowedHyperlink"/>
    <w:basedOn w:val="754"/>
    <w:uiPriority w:val="99"/>
    <w:qFormat/>
    <w:rPr>
      <w:rFonts w:cs="Times New Roman"/>
      <w:color w:val="800080"/>
      <w:u w:val="single"/>
    </w:rPr>
  </w:style>
  <w:style w:type="character" w:styleId="811">
    <w:name w:val="Emphasis"/>
    <w:basedOn w:val="754"/>
    <w:uiPriority w:val="20"/>
    <w:qFormat/>
    <w:rPr>
      <w:i/>
    </w:rPr>
  </w:style>
  <w:style w:type="character" w:styleId="812">
    <w:name w:val="Hyperlink"/>
    <w:basedOn w:val="754"/>
    <w:uiPriority w:val="99"/>
    <w:qFormat/>
    <w:rPr>
      <w:rFonts w:cs="Times New Roman"/>
      <w:color w:val="0000ff"/>
      <w:u w:val="single"/>
    </w:rPr>
  </w:style>
  <w:style w:type="character" w:styleId="813">
    <w:name w:val="annotation reference"/>
    <w:basedOn w:val="754"/>
    <w:uiPriority w:val="99"/>
    <w:semiHidden/>
    <w:qFormat/>
    <w:rPr>
      <w:rFonts w:cs="Times New Roman"/>
      <w:sz w:val="21"/>
    </w:rPr>
  </w:style>
  <w:style w:type="character" w:styleId="814">
    <w:name w:val="footnote reference"/>
    <w:basedOn w:val="754"/>
    <w:uiPriority w:val="99"/>
    <w:unhideWhenUsed/>
    <w:qFormat/>
    <w:rPr>
      <w:vertAlign w:val="superscript"/>
    </w:rPr>
  </w:style>
  <w:style w:type="table" w:styleId="815" w:customStyle="1">
    <w:name w:val="Plain Table 1"/>
    <w:basedOn w:val="75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5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5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5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5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5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5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5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5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5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5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5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5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5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rPr>
      <w:rFonts w:hint="default" w:ascii="Times New Roman" w:hAnsi="Times New Roman" w:eastAsia="宋体" w:cs="Times New Roman"/>
    </w:rPr>
  </w:style>
  <w:style w:type="character" w:styleId="835" w:customStyle="1">
    <w:name w:val="Title Char"/>
    <w:basedOn w:val="754"/>
    <w:uiPriority w:val="10"/>
    <w:qFormat/>
    <w:rPr>
      <w:sz w:val="48"/>
      <w:szCs w:val="48"/>
    </w:rPr>
  </w:style>
  <w:style w:type="character" w:styleId="836" w:customStyle="1">
    <w:name w:val="Subtitle Char"/>
    <w:basedOn w:val="754"/>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table" w:styleId="839"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
    <w:uiPriority w:val="39"/>
    <w:unhideWhenUsed/>
    <w:qFormat/>
    <w:rPr>
      <w:rFonts w:hint="default" w:ascii="Times New Roman" w:hAnsi="Times New Roman" w:eastAsia="宋体" w:cs="Times New Roman"/>
      <w:lang w:val="en-US" w:eastAsia="zh-CN" w:bidi="ar-SA"/>
    </w:rPr>
  </w:style>
  <w:style w:type="character" w:styleId="861" w:customStyle="1">
    <w:name w:val="Heading 1 Char"/>
    <w:basedOn w:val="754"/>
    <w:uiPriority w:val="9"/>
    <w:qFormat/>
    <w:rPr>
      <w:rFonts w:ascii="Arial" w:hAnsi="Arial" w:eastAsia="Arial" w:cs="Arial"/>
      <w:sz w:val="40"/>
      <w:szCs w:val="40"/>
    </w:rPr>
  </w:style>
  <w:style w:type="character" w:styleId="862" w:customStyle="1">
    <w:name w:val="Heading 2 Char"/>
    <w:basedOn w:val="754"/>
    <w:uiPriority w:val="9"/>
    <w:qFormat/>
    <w:rPr>
      <w:rFonts w:ascii="Arial" w:hAnsi="Arial" w:eastAsia="Arial" w:cs="Arial"/>
      <w:sz w:val="34"/>
    </w:rPr>
  </w:style>
  <w:style w:type="character" w:styleId="863" w:customStyle="1">
    <w:name w:val="Heading 3 Char"/>
    <w:basedOn w:val="754"/>
    <w:uiPriority w:val="9"/>
    <w:qFormat/>
    <w:rPr>
      <w:rFonts w:ascii="Arial" w:hAnsi="Arial" w:eastAsia="Arial" w:cs="Arial"/>
      <w:sz w:val="30"/>
      <w:szCs w:val="30"/>
    </w:rPr>
  </w:style>
  <w:style w:type="character" w:styleId="864" w:customStyle="1">
    <w:name w:val="Heading 4 Char"/>
    <w:basedOn w:val="754"/>
    <w:uiPriority w:val="9"/>
    <w:qFormat/>
    <w:rPr>
      <w:rFonts w:ascii="Arial" w:hAnsi="Arial" w:eastAsia="Arial" w:cs="Arial"/>
      <w:b/>
      <w:bCs/>
      <w:sz w:val="26"/>
      <w:szCs w:val="26"/>
    </w:rPr>
  </w:style>
  <w:style w:type="character" w:styleId="865" w:customStyle="1">
    <w:name w:val="Heading 5 Char"/>
    <w:basedOn w:val="754"/>
    <w:uiPriority w:val="9"/>
    <w:qFormat/>
    <w:rPr>
      <w:rFonts w:ascii="Arial" w:hAnsi="Arial" w:eastAsia="Arial" w:cs="Arial"/>
      <w:b/>
      <w:bCs/>
      <w:sz w:val="24"/>
      <w:szCs w:val="24"/>
    </w:rPr>
  </w:style>
  <w:style w:type="character" w:styleId="866" w:customStyle="1">
    <w:name w:val="Heading 6 Char"/>
    <w:basedOn w:val="754"/>
    <w:uiPriority w:val="9"/>
    <w:qFormat/>
    <w:rPr>
      <w:rFonts w:ascii="Arial" w:hAnsi="Arial" w:eastAsia="Arial" w:cs="Arial"/>
      <w:b/>
      <w:bCs/>
      <w:sz w:val="22"/>
      <w:szCs w:val="22"/>
    </w:rPr>
  </w:style>
  <w:style w:type="character" w:styleId="867" w:customStyle="1">
    <w:name w:val="Heading 7 Char"/>
    <w:basedOn w:val="754"/>
    <w:uiPriority w:val="9"/>
    <w:qFormat/>
    <w:rPr>
      <w:rFonts w:ascii="Arial" w:hAnsi="Arial" w:eastAsia="Arial" w:cs="Arial"/>
      <w:b/>
      <w:bCs/>
      <w:i/>
      <w:iCs/>
      <w:sz w:val="22"/>
      <w:szCs w:val="22"/>
    </w:rPr>
  </w:style>
  <w:style w:type="character" w:styleId="868" w:customStyle="1">
    <w:name w:val="Heading 8 Char"/>
    <w:basedOn w:val="754"/>
    <w:uiPriority w:val="9"/>
    <w:qFormat/>
    <w:rPr>
      <w:rFonts w:ascii="Arial" w:hAnsi="Arial" w:eastAsia="Arial" w:cs="Arial"/>
      <w:i/>
      <w:iCs/>
      <w:sz w:val="22"/>
      <w:szCs w:val="22"/>
    </w:rPr>
  </w:style>
  <w:style w:type="character" w:styleId="869" w:customStyle="1">
    <w:name w:val="Heading 9 Char"/>
    <w:basedOn w:val="754"/>
    <w:uiPriority w:val="9"/>
    <w:qFormat/>
    <w:rPr>
      <w:rFonts w:ascii="Arial" w:hAnsi="Arial" w:eastAsia="Arial" w:cs="Arial"/>
      <w:i/>
      <w:iCs/>
      <w:sz w:val="21"/>
      <w:szCs w:val="21"/>
    </w:rPr>
  </w:style>
  <w:style w:type="paragraph" w:styleId="870">
    <w:name w:val="No Spacing"/>
    <w:uiPriority w:val="1"/>
    <w:qFormat/>
    <w:rPr>
      <w:rFonts w:hint="default" w:ascii="Times New Roman" w:hAnsi="Times New Roman" w:eastAsia="宋体" w:cs="Times New Roman"/>
      <w:lang w:val="en-US" w:eastAsia="zh-CN" w:bidi="ar-SA"/>
    </w:rPr>
  </w:style>
  <w:style w:type="character" w:styleId="871" w:customStyle="1">
    <w:name w:val="标题 字符"/>
    <w:basedOn w:val="754"/>
    <w:link w:val="802"/>
    <w:uiPriority w:val="10"/>
    <w:qFormat/>
    <w:rPr>
      <w:sz w:val="48"/>
      <w:szCs w:val="48"/>
    </w:rPr>
  </w:style>
  <w:style w:type="character" w:styleId="872" w:customStyle="1">
    <w:name w:val="副标题 字符"/>
    <w:basedOn w:val="754"/>
    <w:link w:val="791"/>
    <w:uiPriority w:val="11"/>
    <w:qFormat/>
    <w:rPr>
      <w:sz w:val="24"/>
      <w:szCs w:val="24"/>
    </w:rPr>
  </w:style>
  <w:style w:type="paragraph" w:styleId="873">
    <w:name w:val="Quote"/>
    <w:basedOn w:val="744"/>
    <w:next w:val="744"/>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744"/>
    <w:next w:val="744"/>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basedOn w:val="754"/>
    <w:uiPriority w:val="99"/>
    <w:qFormat/>
  </w:style>
  <w:style w:type="character" w:styleId="878" w:customStyle="1">
    <w:name w:val="Footer Char"/>
    <w:basedOn w:val="754"/>
    <w:uiPriority w:val="99"/>
    <w:qFormat/>
  </w:style>
  <w:style w:type="character" w:styleId="879" w:customStyle="1">
    <w:name w:val="Caption Char"/>
    <w:uiPriority w:val="99"/>
    <w:qFormat/>
  </w:style>
  <w:style w:type="table" w:styleId="880"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1" w:customStyle="1">
    <w:name w:val="Grid Table 1 Light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 Accent 1"/>
    <w:basedOn w:val="7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 Accent 1"/>
    <w:basedOn w:val="7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basedOn w:val="7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basedOn w:val="7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basedOn w:val="7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basedOn w:val="7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basedOn w:val="7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 Accent 1"/>
    <w:basedOn w:val="7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7 Colorful - Accent 1"/>
    <w:basedOn w:val="7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 Accent 1"/>
    <w:basedOn w:val="7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5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5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5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5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5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 Accent 1"/>
    <w:basedOn w:val="7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7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7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7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7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7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 Accent 1"/>
    <w:basedOn w:val="7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7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List Table 4 - Accent 1"/>
    <w:basedOn w:val="7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basedOn w:val="7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basedOn w:val="7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basedOn w:val="7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basedOn w:val="7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basedOn w:val="7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 Accent 1"/>
    <w:basedOn w:val="7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 Accent 1"/>
    <w:basedOn w:val="75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5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5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 Accent 1"/>
    <w:basedOn w:val="75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5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5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5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5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5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5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字符"/>
    <w:link w:val="793"/>
    <w:uiPriority w:val="99"/>
    <w:qFormat/>
    <w:rPr>
      <w:sz w:val="18"/>
    </w:rPr>
  </w:style>
  <w:style w:type="character" w:styleId="987" w:customStyle="1">
    <w:name w:val="尾注文本 字符"/>
    <w:link w:val="784"/>
    <w:uiPriority w:val="99"/>
    <w:qFormat/>
    <w:rPr>
      <w:sz w:val="20"/>
    </w:rPr>
  </w:style>
  <w:style w:type="paragraph" w:styleId="988" w:customStyle="1">
    <w:name w:val="TOC 标题11"/>
    <w:uiPriority w:val="39"/>
    <w:unhideWhenUsed/>
    <w:qFormat/>
    <w:rPr>
      <w:rFonts w:hint="default" w:ascii="Times New Roman" w:hAnsi="Times New Roman" w:eastAsia="宋体" w:cs="Times New Roman"/>
      <w:lang w:val="en-US" w:eastAsia="zh-CN" w:bidi="ar-SA"/>
    </w:rPr>
  </w:style>
  <w:style w:type="paragraph" w:styleId="989" w:customStyle="1">
    <w:name w:val="Default"/>
    <w:basedOn w:val="744"/>
    <w:uiPriority w:val="0"/>
    <w:semiHidden/>
    <w:qFormat/>
    <w:pPr>
      <w:jc w:val="left"/>
    </w:pPr>
    <w:rPr>
      <w:rFonts w:ascii="宋体" w:hAnsi="Calibri" w:cs="宋体"/>
      <w:color w:val="000000"/>
      <w:sz w:val="24"/>
    </w:rPr>
  </w:style>
  <w:style w:type="character" w:styleId="990" w:customStyle="1">
    <w:name w:val="标题 2 字符"/>
    <w:basedOn w:val="754"/>
    <w:link w:val="746"/>
    <w:uiPriority w:val="99"/>
    <w:qFormat/>
    <w:rPr>
      <w:rFonts w:ascii="Arial" w:hAnsi="Arial" w:eastAsia="宋体" w:cs="Arial"/>
      <w:b/>
      <w:bCs/>
      <w:sz w:val="44"/>
      <w:szCs w:val="44"/>
    </w:rPr>
  </w:style>
  <w:style w:type="character" w:styleId="991" w:customStyle="1">
    <w:name w:val="标题 1 字符"/>
    <w:basedOn w:val="754"/>
    <w:link w:val="745"/>
    <w:uiPriority w:val="99"/>
    <w:qFormat/>
    <w:rPr>
      <w:rFonts w:ascii="楷体" w:hAnsi="楷体" w:eastAsia="黑体" w:cs="Times New Roman"/>
      <w:b/>
      <w:sz w:val="44"/>
      <w:szCs w:val="28"/>
    </w:rPr>
  </w:style>
  <w:style w:type="character" w:styleId="992" w:customStyle="1">
    <w:name w:val="标题 3 字符"/>
    <w:basedOn w:val="754"/>
    <w:link w:val="747"/>
    <w:uiPriority w:val="99"/>
    <w:qFormat/>
    <w:rPr>
      <w:rFonts w:ascii="Times New Roman" w:hAnsi="Times New Roman" w:eastAsia="宋体" w:cs="Times New Roman"/>
      <w:b/>
      <w:bCs/>
      <w:sz w:val="32"/>
      <w:szCs w:val="32"/>
    </w:rPr>
  </w:style>
  <w:style w:type="character" w:styleId="993" w:customStyle="1">
    <w:name w:val="标题 4 字符"/>
    <w:basedOn w:val="754"/>
    <w:link w:val="748"/>
    <w:uiPriority w:val="99"/>
    <w:qFormat/>
    <w:rPr>
      <w:rFonts w:ascii="Arial" w:hAnsi="Arial" w:eastAsia="黑体" w:cs="Arial"/>
      <w:b/>
      <w:bCs/>
      <w:sz w:val="28"/>
      <w:szCs w:val="28"/>
    </w:rPr>
  </w:style>
  <w:style w:type="character" w:styleId="994" w:customStyle="1">
    <w:name w:val="标题 5 字符"/>
    <w:basedOn w:val="754"/>
    <w:link w:val="749"/>
    <w:uiPriority w:val="99"/>
    <w:qFormat/>
    <w:rPr>
      <w:rFonts w:ascii="宋体" w:hAnsi="Times New Roman" w:eastAsia="宋体" w:cs="Times New Roman"/>
      <w:color w:val="000000"/>
      <w:sz w:val="28"/>
      <w:szCs w:val="28"/>
    </w:rPr>
  </w:style>
  <w:style w:type="character" w:styleId="995" w:customStyle="1">
    <w:name w:val="标题 6 字符"/>
    <w:basedOn w:val="754"/>
    <w:link w:val="750"/>
    <w:uiPriority w:val="99"/>
    <w:qFormat/>
    <w:rPr>
      <w:rFonts w:ascii="Arial" w:hAnsi="Arial" w:eastAsia="黑体" w:cs="Times New Roman"/>
      <w:b/>
      <w:bCs/>
      <w:sz w:val="24"/>
      <w:szCs w:val="24"/>
    </w:rPr>
  </w:style>
  <w:style w:type="character" w:styleId="996" w:customStyle="1">
    <w:name w:val="标题 7 字符"/>
    <w:basedOn w:val="754"/>
    <w:link w:val="751"/>
    <w:uiPriority w:val="99"/>
    <w:qFormat/>
    <w:rPr>
      <w:rFonts w:ascii="Times New Roman" w:hAnsi="Times New Roman" w:eastAsia="宋体" w:cs="Times New Roman"/>
      <w:b/>
      <w:bCs/>
      <w:sz w:val="24"/>
      <w:szCs w:val="24"/>
    </w:rPr>
  </w:style>
  <w:style w:type="character" w:styleId="997" w:customStyle="1">
    <w:name w:val="标题 8 字符"/>
    <w:basedOn w:val="754"/>
    <w:link w:val="752"/>
    <w:uiPriority w:val="99"/>
    <w:qFormat/>
    <w:rPr>
      <w:rFonts w:ascii="Arial" w:hAnsi="Arial" w:eastAsia="黑体" w:cs="Times New Roman"/>
      <w:sz w:val="24"/>
      <w:szCs w:val="24"/>
    </w:rPr>
  </w:style>
  <w:style w:type="character" w:styleId="998" w:customStyle="1">
    <w:name w:val="标题 9 字符"/>
    <w:basedOn w:val="754"/>
    <w:link w:val="753"/>
    <w:uiPriority w:val="99"/>
    <w:qFormat/>
    <w:rPr>
      <w:rFonts w:ascii="Arial" w:hAnsi="Arial" w:eastAsia="黑体" w:cs="Times New Roman"/>
      <w:sz w:val="21"/>
      <w:szCs w:val="21"/>
    </w:rPr>
  </w:style>
  <w:style w:type="character" w:styleId="999" w:customStyle="1">
    <w:name w:val="批注文字 Char1"/>
    <w:basedOn w:val="754"/>
    <w:uiPriority w:val="99"/>
    <w:semiHidden/>
    <w:qFormat/>
    <w:rPr>
      <w:rFonts w:ascii="Times New Roman" w:hAnsi="Times New Roman" w:eastAsia="宋体" w:cs="Times New Roman"/>
      <w:sz w:val="21"/>
      <w:szCs w:val="21"/>
    </w:rPr>
  </w:style>
  <w:style w:type="character" w:styleId="1000" w:customStyle="1">
    <w:name w:val="批注主题 Char1"/>
    <w:basedOn w:val="999"/>
    <w:uiPriority w:val="99"/>
    <w:semiHidden/>
    <w:qFormat/>
    <w:rPr>
      <w:rFonts w:ascii="Times New Roman" w:hAnsi="Times New Roman" w:eastAsia="宋体" w:cs="Times New Roman"/>
      <w:b/>
      <w:bCs/>
      <w:sz w:val="21"/>
      <w:szCs w:val="21"/>
    </w:rPr>
  </w:style>
  <w:style w:type="character" w:styleId="1001" w:customStyle="1">
    <w:name w:val="正文文本 字符"/>
    <w:basedOn w:val="754"/>
    <w:link w:val="774"/>
    <w:uiPriority w:val="99"/>
    <w:qFormat/>
    <w:rPr>
      <w:rFonts w:ascii="楷体" w:hAnsi="Arial" w:eastAsia="楷体" w:cs="Times New Roman"/>
      <w:sz w:val="28"/>
      <w:szCs w:val="28"/>
    </w:rPr>
  </w:style>
  <w:style w:type="character" w:styleId="1002" w:customStyle="1">
    <w:name w:val="正文文本首行缩进 字符"/>
    <w:basedOn w:val="1001"/>
    <w:link w:val="804"/>
    <w:uiPriority w:val="99"/>
    <w:qFormat/>
    <w:rPr>
      <w:rFonts w:ascii="仿宋" w:hAnsi="Times New Roman" w:eastAsia="仿宋" w:cs="Times New Roman"/>
      <w:sz w:val="30"/>
      <w:szCs w:val="30"/>
    </w:rPr>
  </w:style>
  <w:style w:type="character" w:styleId="1003" w:customStyle="1">
    <w:name w:val="文档结构图 字符"/>
    <w:basedOn w:val="754"/>
    <w:link w:val="771"/>
    <w:uiPriority w:val="99"/>
    <w:semiHidden/>
    <w:qFormat/>
    <w:rPr>
      <w:rFonts w:ascii="Times New Roman" w:hAnsi="Times New Roman" w:eastAsia="宋体" w:cs="Times New Roman"/>
      <w:sz w:val="21"/>
      <w:szCs w:val="21"/>
      <w:shd w:val="clear" w:color="auto" w:fill="000080"/>
    </w:rPr>
  </w:style>
  <w:style w:type="character" w:styleId="1004" w:customStyle="1">
    <w:name w:val="正文文本 3 字符"/>
    <w:basedOn w:val="754"/>
    <w:link w:val="773"/>
    <w:uiPriority w:val="99"/>
    <w:qFormat/>
    <w:rPr>
      <w:rFonts w:ascii="仿宋" w:hAnsi="Arial" w:eastAsia="仿宋" w:cs="Times New Roman"/>
      <w:sz w:val="32"/>
      <w:szCs w:val="32"/>
    </w:rPr>
  </w:style>
  <w:style w:type="character" w:styleId="1005" w:customStyle="1">
    <w:name w:val="正文文本缩进 字符"/>
    <w:basedOn w:val="754"/>
    <w:link w:val="775"/>
    <w:uiPriority w:val="99"/>
    <w:qFormat/>
    <w:rPr>
      <w:rFonts w:ascii="楷体" w:hAnsi="Times New Roman" w:eastAsia="楷体" w:cs="Times New Roman"/>
      <w:sz w:val="32"/>
      <w:szCs w:val="32"/>
    </w:rPr>
  </w:style>
  <w:style w:type="character" w:styleId="1006" w:customStyle="1">
    <w:name w:val="纯文本 字符"/>
    <w:basedOn w:val="754"/>
    <w:link w:val="780"/>
    <w:uiPriority w:val="99"/>
    <w:qFormat/>
    <w:rPr>
      <w:rFonts w:ascii="宋体" w:hAnsi="Courier New" w:eastAsia="宋体" w:cs="Courier New"/>
      <w:sz w:val="21"/>
      <w:szCs w:val="21"/>
    </w:rPr>
  </w:style>
  <w:style w:type="character" w:styleId="1007" w:customStyle="1">
    <w:name w:val="日期 字符"/>
    <w:basedOn w:val="754"/>
    <w:link w:val="782"/>
    <w:uiPriority w:val="99"/>
    <w:qFormat/>
    <w:rPr>
      <w:rFonts w:ascii="Times New Roman" w:hAnsi="Times New Roman" w:eastAsia="宋体" w:cs="Times New Roman"/>
      <w:sz w:val="24"/>
      <w:szCs w:val="24"/>
    </w:rPr>
  </w:style>
  <w:style w:type="character" w:styleId="1008" w:customStyle="1">
    <w:name w:val="正文文本缩进 2 字符"/>
    <w:basedOn w:val="754"/>
    <w:link w:val="783"/>
    <w:uiPriority w:val="99"/>
    <w:qFormat/>
    <w:rPr>
      <w:rFonts w:ascii="Arial" w:hAnsi="Arial" w:eastAsia="仿宋" w:cs="Arial"/>
      <w:sz w:val="32"/>
      <w:szCs w:val="32"/>
    </w:rPr>
  </w:style>
  <w:style w:type="character" w:styleId="1009" w:customStyle="1">
    <w:name w:val="批注框文本 Char1"/>
    <w:basedOn w:val="754"/>
    <w:uiPriority w:val="99"/>
    <w:semiHidden/>
    <w:qFormat/>
    <w:rPr>
      <w:rFonts w:ascii="Times New Roman" w:hAnsi="Times New Roman" w:eastAsia="宋体" w:cs="Times New Roman"/>
      <w:sz w:val="18"/>
      <w:szCs w:val="18"/>
    </w:rPr>
  </w:style>
  <w:style w:type="character" w:styleId="1010" w:customStyle="1">
    <w:name w:val="页脚 字符"/>
    <w:basedOn w:val="754"/>
    <w:link w:val="786"/>
    <w:uiPriority w:val="99"/>
    <w:qFormat/>
    <w:rPr>
      <w:rFonts w:ascii="Times New Roman" w:hAnsi="Times New Roman" w:eastAsia="宋体" w:cs="Times New Roman"/>
      <w:sz w:val="18"/>
      <w:szCs w:val="18"/>
    </w:rPr>
  </w:style>
  <w:style w:type="character" w:styleId="1011" w:customStyle="1">
    <w:name w:val="正文文本首行缩进 2 字符"/>
    <w:basedOn w:val="1005"/>
    <w:link w:val="805"/>
    <w:uiPriority w:val="99"/>
    <w:qFormat/>
    <w:rPr>
      <w:rFonts w:ascii="宋体" w:hAnsi="宋体" w:eastAsia="宋体" w:cs="Times New Roman"/>
      <w:sz w:val="20"/>
      <w:szCs w:val="20"/>
    </w:rPr>
  </w:style>
  <w:style w:type="character" w:styleId="1012" w:customStyle="1">
    <w:name w:val="页眉 字符"/>
    <w:basedOn w:val="754"/>
    <w:link w:val="788"/>
    <w:uiPriority w:val="99"/>
    <w:qFormat/>
    <w:rPr>
      <w:rFonts w:ascii="Times New Roman" w:hAnsi="Times New Roman" w:eastAsia="宋体" w:cs="Times New Roman"/>
      <w:sz w:val="18"/>
      <w:szCs w:val="18"/>
    </w:rPr>
  </w:style>
  <w:style w:type="character" w:styleId="1013" w:customStyle="1">
    <w:name w:val="正文文本缩进 3 字符"/>
    <w:basedOn w:val="754"/>
    <w:link w:val="795"/>
    <w:uiPriority w:val="99"/>
    <w:qFormat/>
    <w:rPr>
      <w:rFonts w:ascii="Arial" w:hAnsi="Arial" w:eastAsia="仿宋" w:cs="Arial"/>
      <w:color w:val="ffff00"/>
      <w:sz w:val="32"/>
      <w:szCs w:val="32"/>
    </w:rPr>
  </w:style>
  <w:style w:type="character" w:styleId="1014" w:customStyle="1">
    <w:name w:val="正文文本 2 字符"/>
    <w:basedOn w:val="754"/>
    <w:link w:val="799"/>
    <w:uiPriority w:val="99"/>
    <w:qFormat/>
    <w:rPr>
      <w:rFonts w:ascii="楷体" w:hAnsi="Times New Roman" w:eastAsia="楷体" w:cs="Times New Roman"/>
      <w:sz w:val="28"/>
      <w:szCs w:val="28"/>
    </w:rPr>
  </w:style>
  <w:style w:type="character" w:styleId="1015" w:customStyle="1">
    <w:name w:val="正文缩进 字符"/>
    <w:link w:val="767"/>
    <w:uiPriority w:val="99"/>
    <w:qFormat/>
    <w:rPr>
      <w:rFonts w:ascii="Times New Roman" w:hAnsi="Times New Roman" w:eastAsia="宋体"/>
      <w:sz w:val="21"/>
    </w:rPr>
  </w:style>
  <w:style w:type="paragraph" w:styleId="1016" w:customStyle="1">
    <w:name w:val="普通 (Web)"/>
    <w:basedOn w:val="744"/>
    <w:uiPriority w:val="99"/>
    <w:qFormat/>
    <w:pPr>
      <w:jc w:val="left"/>
      <w:spacing w:before="100" w:beforeAutospacing="1" w:after="100" w:afterAutospacing="1"/>
      <w:widowControl/>
    </w:pPr>
    <w:rPr>
      <w:rFonts w:ascii="宋体" w:hAnsi="宋体"/>
      <w:sz w:val="24"/>
      <w:szCs w:val="24"/>
    </w:rPr>
  </w:style>
  <w:style w:type="paragraph" w:styleId="1017" w:customStyle="1">
    <w:name w:val="标题3"/>
    <w:basedOn w:val="744"/>
    <w:next w:val="744"/>
    <w:uiPriority w:val="99"/>
    <w:qFormat/>
    <w:pPr>
      <w:ind w:firstLine="624"/>
      <w:spacing w:line="590" w:lineRule="atLeast"/>
    </w:pPr>
    <w:rPr>
      <w:rFonts w:ascii="方正黑体_GBK" w:eastAsia="方正黑体_GBK"/>
      <w:sz w:val="32"/>
      <w:szCs w:val="32"/>
    </w:rPr>
  </w:style>
  <w:style w:type="paragraph" w:styleId="1018" w:customStyle="1">
    <w:name w:val="标题1"/>
    <w:basedOn w:val="744"/>
    <w:next w:val="74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20" w:customStyle="1">
    <w:name w:val="4"/>
    <w:basedOn w:val="744"/>
    <w:next w:val="795"/>
    <w:uiPriority w:val="99"/>
    <w:qFormat/>
    <w:pPr>
      <w:ind w:firstLine="420"/>
      <w:spacing w:line="360" w:lineRule="auto"/>
    </w:pPr>
    <w:rPr>
      <w:color w:val="ff0000"/>
      <w:sz w:val="24"/>
      <w:szCs w:val="24"/>
    </w:rPr>
  </w:style>
  <w:style w:type="paragraph" w:styleId="1021" w:customStyle="1">
    <w:name w:val="样式1"/>
    <w:basedOn w:val="744"/>
    <w:uiPriority w:val="99"/>
    <w:qFormat/>
    <w:pPr>
      <w:ind w:left="709" w:hanging="709"/>
      <w:tabs>
        <w:tab w:val="left" w:pos="709" w:leader="none"/>
      </w:tabs>
    </w:pPr>
    <w:rPr>
      <w:rFonts w:ascii="宋体" w:hAnsi="宋体"/>
    </w:rPr>
  </w:style>
  <w:style w:type="paragraph" w:styleId="1022" w:customStyle="1">
    <w:name w:val="普通正文"/>
    <w:basedOn w:val="744"/>
    <w:uiPriority w:val="99"/>
    <w:qFormat/>
    <w:pPr>
      <w:ind w:firstLine="480"/>
      <w:jc w:val="left"/>
      <w:spacing w:before="120" w:after="120" w:line="360" w:lineRule="auto"/>
    </w:pPr>
    <w:rPr>
      <w:rFonts w:ascii="Arial" w:hAnsi="Arial"/>
      <w:sz w:val="24"/>
      <w:szCs w:val="24"/>
    </w:rPr>
  </w:style>
  <w:style w:type="paragraph" w:styleId="1023" w:customStyle="1">
    <w:name w:val="Body Text(ch)"/>
    <w:basedOn w:val="744"/>
    <w:next w:val="774"/>
    <w:uiPriority w:val="99"/>
    <w:qFormat/>
    <w:pPr>
      <w:spacing w:after="120"/>
    </w:pPr>
    <w:rPr>
      <w:rFonts w:ascii="宋体" w:hAnsi="Arial"/>
      <w:bCs/>
      <w:iCs/>
      <w:szCs w:val="24"/>
    </w:rPr>
  </w:style>
  <w:style w:type="paragraph" w:styleId="1024" w:customStyle="1">
    <w:name w:val="图标"/>
    <w:basedOn w:val="744"/>
    <w:next w:val="744"/>
    <w:uiPriority w:val="99"/>
    <w:qFormat/>
    <w:pPr>
      <w:ind w:left="840" w:hanging="420"/>
      <w:jc w:val="center"/>
      <w:spacing w:before="120" w:after="120" w:line="320" w:lineRule="atLeast"/>
      <w:tabs>
        <w:tab w:val="left" w:pos="567" w:leader="none"/>
        <w:tab w:val="left" w:pos="840" w:leader="none"/>
      </w:tabs>
    </w:pPr>
    <w:rPr>
      <w:rFonts w:eastAsia="仿宋"/>
      <w:sz w:val="24"/>
      <w:szCs w:val="20"/>
    </w:rPr>
  </w:style>
  <w:style w:type="paragraph" w:styleId="1025" w:customStyle="1">
    <w:name w:val="xl25"/>
    <w:basedOn w:val="744"/>
    <w:uiPriority w:val="99"/>
    <w:qFormat/>
    <w:pPr>
      <w:jc w:val="center"/>
      <w:spacing w:before="100" w:beforeAutospacing="1" w:after="100" w:afterAutospacing="1"/>
      <w:widowControl/>
    </w:pPr>
    <w:rPr>
      <w:rFonts w:ascii="宋体" w:hAnsi="宋体" w:cs="宋体"/>
      <w:sz w:val="24"/>
      <w:szCs w:val="24"/>
    </w:rPr>
  </w:style>
  <w:style w:type="paragraph" w:styleId="1026" w:customStyle="1">
    <w:name w:val="font5"/>
    <w:basedOn w:val="744"/>
    <w:uiPriority w:val="99"/>
    <w:qFormat/>
    <w:pPr>
      <w:jc w:val="left"/>
      <w:spacing w:before="100" w:beforeAutospacing="1" w:after="100" w:afterAutospacing="1"/>
      <w:widowControl/>
    </w:pPr>
    <w:rPr>
      <w:rFonts w:ascii="宋体" w:hAnsi="宋体"/>
      <w:sz w:val="28"/>
      <w:szCs w:val="28"/>
    </w:rPr>
  </w:style>
  <w:style w:type="paragraph" w:styleId="1027" w:customStyle="1">
    <w:name w:val="font6"/>
    <w:basedOn w:val="744"/>
    <w:uiPriority w:val="99"/>
    <w:qFormat/>
    <w:pPr>
      <w:jc w:val="left"/>
      <w:spacing w:before="100" w:beforeAutospacing="1" w:after="100" w:afterAutospacing="1"/>
      <w:widowControl/>
    </w:pPr>
    <w:rPr>
      <w:rFonts w:ascii="宋体" w:hAnsi="宋体"/>
      <w:sz w:val="28"/>
      <w:szCs w:val="28"/>
      <w:u w:val="single"/>
    </w:rPr>
  </w:style>
  <w:style w:type="paragraph" w:styleId="1028" w:customStyle="1">
    <w:name w:val="font7"/>
    <w:basedOn w:val="744"/>
    <w:uiPriority w:val="99"/>
    <w:qFormat/>
    <w:pPr>
      <w:jc w:val="left"/>
      <w:spacing w:before="100" w:beforeAutospacing="1" w:after="100" w:afterAutospacing="1"/>
      <w:widowControl/>
    </w:pPr>
    <w:rPr>
      <w:rFonts w:ascii="宋体" w:hAnsi="宋体"/>
      <w:sz w:val="18"/>
      <w:szCs w:val="18"/>
    </w:rPr>
  </w:style>
  <w:style w:type="paragraph" w:styleId="1029" w:customStyle="1">
    <w:name w:val="xl24"/>
    <w:basedOn w:val="74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0" w:customStyle="1">
    <w:name w:val="xl26"/>
    <w:basedOn w:val="74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1" w:customStyle="1">
    <w:name w:val="xl27"/>
    <w:basedOn w:val="74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28"/>
    <w:basedOn w:val="74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3" w:customStyle="1">
    <w:name w:val="xl29"/>
    <w:basedOn w:val="744"/>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4" w:customStyle="1">
    <w:name w:val="xl30"/>
    <w:basedOn w:val="744"/>
    <w:uiPriority w:val="99"/>
    <w:qFormat/>
    <w:pPr>
      <w:jc w:val="center"/>
      <w:spacing w:before="100" w:beforeAutospacing="1" w:after="100" w:afterAutospacing="1"/>
      <w:widowControl/>
    </w:pPr>
    <w:rPr>
      <w:rFonts w:ascii="宋体" w:hAnsi="宋体"/>
      <w:b/>
      <w:bCs/>
      <w:sz w:val="36"/>
      <w:szCs w:val="36"/>
    </w:rPr>
  </w:style>
  <w:style w:type="paragraph" w:styleId="1035" w:customStyle="1">
    <w:name w:val="Char"/>
    <w:basedOn w:val="771"/>
    <w:uiPriority w:val="0"/>
    <w:qFormat/>
    <w:rPr>
      <w:rFonts w:ascii="Tahoma" w:hAnsi="Tahoma"/>
      <w:sz w:val="24"/>
      <w:szCs w:val="24"/>
    </w:rPr>
  </w:style>
  <w:style w:type="character" w:styleId="1036" w:customStyle="1">
    <w:name w:val="批注文字 字符"/>
    <w:basedOn w:val="754"/>
    <w:link w:val="772"/>
    <w:uiPriority w:val="99"/>
    <w:semiHidden/>
    <w:qFormat/>
    <w:rPr>
      <w:rFonts w:ascii="Times New Roman" w:hAnsi="Times New Roman" w:eastAsia="宋体" w:cs="Times New Roman"/>
      <w:sz w:val="21"/>
      <w:szCs w:val="21"/>
    </w:rPr>
  </w:style>
  <w:style w:type="character" w:styleId="1037" w:customStyle="1">
    <w:name w:val="批注主题 字符"/>
    <w:basedOn w:val="1036"/>
    <w:link w:val="803"/>
    <w:uiPriority w:val="99"/>
    <w:semiHidden/>
    <w:qFormat/>
    <w:rPr>
      <w:rFonts w:ascii="Times New Roman" w:hAnsi="Times New Roman" w:eastAsia="宋体" w:cs="Times New Roman"/>
      <w:b/>
      <w:bCs/>
      <w:sz w:val="21"/>
      <w:szCs w:val="21"/>
    </w:rPr>
  </w:style>
  <w:style w:type="character" w:styleId="1038" w:customStyle="1">
    <w:name w:val="批注框文本 字符"/>
    <w:basedOn w:val="754"/>
    <w:link w:val="785"/>
    <w:uiPriority w:val="99"/>
    <w:semiHidden/>
    <w:qFormat/>
    <w:rPr>
      <w:rFonts w:ascii="Times New Roman" w:hAnsi="Times New Roman" w:eastAsia="宋体" w:cs="Times New Roman"/>
      <w:sz w:val="18"/>
      <w:szCs w:val="18"/>
    </w:rPr>
  </w:style>
  <w:style w:type="paragraph" w:styleId="1039" w:customStyle="1">
    <w:name w:val="table_1stline"/>
    <w:basedOn w:val="744"/>
    <w:uiPriority w:val="99"/>
    <w:qFormat/>
    <w:pPr>
      <w:jc w:val="left"/>
      <w:spacing w:before="120"/>
      <w:widowControl/>
    </w:pPr>
    <w:rPr>
      <w:bCs/>
      <w:sz w:val="20"/>
      <w:szCs w:val="20"/>
      <w:lang w:val="de-DE" w:eastAsia="de-DE"/>
    </w:rPr>
  </w:style>
  <w:style w:type="paragraph" w:styleId="1040" w:customStyle="1">
    <w:name w:val="table_lines"/>
    <w:basedOn w:val="744"/>
    <w:uiPriority w:val="99"/>
    <w:qFormat/>
    <w:pPr>
      <w:jc w:val="left"/>
      <w:widowControl/>
    </w:pPr>
    <w:rPr>
      <w:sz w:val="20"/>
      <w:szCs w:val="20"/>
      <w:lang w:val="de-DE" w:eastAsia="de-DE"/>
    </w:rPr>
  </w:style>
  <w:style w:type="character" w:styleId="1041" w:customStyle="1">
    <w:name w:val="font5 Char"/>
    <w:uiPriority w:val="99"/>
    <w:qFormat/>
    <w:rPr>
      <w:rFonts w:ascii="宋体" w:hAnsi="宋体" w:eastAsia="宋体"/>
      <w:sz w:val="28"/>
      <w:lang w:val="en-US" w:eastAsia="zh-CN"/>
    </w:rPr>
  </w:style>
  <w:style w:type="paragraph" w:styleId="1042" w:customStyle="1">
    <w:name w:val="Char Char Char Char"/>
    <w:basedOn w:val="771"/>
    <w:uiPriority w:val="99"/>
    <w:qFormat/>
    <w:pPr>
      <w:spacing w:line="360" w:lineRule="auto"/>
    </w:pPr>
    <w:rPr>
      <w:rFonts w:ascii="Tahoma" w:hAnsi="Tahoma"/>
      <w:sz w:val="24"/>
      <w:szCs w:val="24"/>
    </w:rPr>
  </w:style>
  <w:style w:type="paragraph" w:styleId="1043" w:customStyle="1">
    <w:name w:val="Char Char Char Char Char Char Char Char"/>
    <w:basedOn w:val="744"/>
    <w:uiPriority w:val="99"/>
    <w:qFormat/>
    <w:pPr>
      <w:jc w:val="left"/>
      <w:spacing w:after="160" w:line="240" w:lineRule="exact"/>
      <w:widowControl/>
    </w:pPr>
    <w:rPr>
      <w:rFonts w:ascii="Verdana" w:hAnsi="Verdana"/>
      <w:sz w:val="20"/>
      <w:szCs w:val="20"/>
      <w:lang w:eastAsia="en-US"/>
    </w:rPr>
  </w:style>
  <w:style w:type="paragraph" w:styleId="1044" w:customStyle="1">
    <w:name w:val="列出段落1"/>
    <w:basedOn w:val="744"/>
    <w:uiPriority w:val="99"/>
    <w:qFormat/>
    <w:pPr>
      <w:contextualSpacing/>
      <w:ind w:left="720"/>
      <w:jc w:val="left"/>
      <w:widowControl/>
    </w:pPr>
    <w:rPr>
      <w:rFonts w:ascii="Calibri" w:hAnsi="Calibri"/>
      <w:sz w:val="24"/>
      <w:szCs w:val="24"/>
      <w:lang w:eastAsia="en-US"/>
    </w:rPr>
  </w:style>
  <w:style w:type="paragraph" w:styleId="1045" w:customStyle="1">
    <w:name w:val="Char Char Char Char Char Char Char Char Char Char"/>
    <w:basedOn w:val="744"/>
    <w:uiPriority w:val="99"/>
    <w:qFormat/>
    <w:pPr>
      <w:spacing w:line="360" w:lineRule="auto"/>
    </w:pPr>
    <w:rPr>
      <w:sz w:val="24"/>
      <w:szCs w:val="20"/>
    </w:rPr>
  </w:style>
  <w:style w:type="character" w:styleId="1046" w:customStyle="1">
    <w:name w:val="列出段落 Char"/>
    <w:link w:val="1047"/>
    <w:uiPriority w:val="99"/>
    <w:qFormat/>
    <w:rPr>
      <w:rFonts w:ascii="Calibri" w:hAnsi="Calibri"/>
      <w:sz w:val="24"/>
      <w:lang w:eastAsia="en-US"/>
    </w:rPr>
  </w:style>
  <w:style w:type="paragraph" w:styleId="1047" w:customStyle="1">
    <w:name w:val="列出段落11"/>
    <w:basedOn w:val="744"/>
    <w:link w:val="1046"/>
    <w:uiPriority w:val="99"/>
    <w:qFormat/>
    <w:pPr>
      <w:contextualSpacing/>
      <w:ind w:left="720"/>
      <w:jc w:val="left"/>
      <w:widowControl/>
    </w:pPr>
    <w:rPr>
      <w:rFonts w:ascii="Calibri" w:hAnsi="Calibri"/>
      <w:sz w:val="24"/>
      <w:szCs w:val="20"/>
      <w:lang w:eastAsia="en-US"/>
    </w:rPr>
  </w:style>
  <w:style w:type="character" w:styleId="1048" w:customStyle="1">
    <w:name w:val="二级目录 Char"/>
    <w:link w:val="1049"/>
    <w:uiPriority w:val="99"/>
    <w:qFormat/>
    <w:rPr>
      <w:b/>
      <w:sz w:val="30"/>
      <w:szCs w:val="28"/>
      <w:lang w:val="en-US" w:eastAsia="zh-CN" w:bidi="ar-SA"/>
    </w:rPr>
  </w:style>
  <w:style w:type="paragraph" w:styleId="1049" w:customStyle="1">
    <w:name w:val="二级目录"/>
    <w:next w:val="744"/>
    <w:link w:val="1048"/>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50" w:customStyle="1">
    <w:name w:val="news12241"/>
    <w:basedOn w:val="754"/>
    <w:uiPriority w:val="0"/>
    <w:qFormat/>
    <w:rPr>
      <w:color w:val="000000"/>
      <w:sz w:val="18"/>
      <w:szCs w:val="18"/>
      <w:u w:val="none"/>
    </w:rPr>
  </w:style>
  <w:style w:type="character" w:styleId="1051" w:customStyle="1">
    <w:name w:val="apple-converted-space"/>
    <w:basedOn w:val="754"/>
    <w:uiPriority w:val="0"/>
    <w:qFormat/>
  </w:style>
  <w:style w:type="character" w:styleId="1052" w:customStyle="1">
    <w:name w:val="HTML 预设格式 字符"/>
    <w:basedOn w:val="754"/>
    <w:link w:val="800"/>
    <w:uiPriority w:val="0"/>
    <w:qFormat/>
    <w:rPr>
      <w:rFonts w:ascii="Arial" w:hAnsi="Arial" w:cs="Arial"/>
      <w:sz w:val="24"/>
      <w:szCs w:val="24"/>
    </w:rPr>
  </w:style>
  <w:style w:type="paragraph" w:styleId="1053">
    <w:name w:val="List Paragraph"/>
    <w:basedOn w:val="744"/>
    <w:uiPriority w:val="99"/>
    <w:unhideWhenUsed/>
    <w:qFormat/>
    <w:pPr>
      <w:ind w:firstLine="420"/>
    </w:pPr>
  </w:style>
  <w:style w:type="character" w:styleId="1054" w:customStyle="1">
    <w:name w:val="NormalCharacter"/>
    <w:uiPriority w:val="99"/>
    <w:qFormat/>
    <w:rPr>
      <w:rFonts w:ascii="Times New Roman" w:hAnsi="Times New Roman" w:eastAsia="宋体" w:cs="Times New Roman"/>
      <w:sz w:val="21"/>
      <w:szCs w:val="21"/>
      <w:lang w:val="en-US" w:eastAsia="zh-CN" w:bidi="ar-SA"/>
    </w:rPr>
  </w:style>
  <w:style w:type="paragraph" w:styleId="105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58"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9" w:customStyle="1">
    <w:name w:val="Normal_12_0"/>
    <w:uiPriority w:val="0"/>
    <w:qFormat/>
    <w:rPr>
      <w:rFonts w:hint="default" w:ascii="黑体" w:hAnsi="黑体" w:eastAsia="黑体" w:cs="Times New Roman"/>
      <w:b/>
      <w:sz w:val="32"/>
      <w:szCs w:val="24"/>
      <w:lang w:val="en-US" w:eastAsia="zh-CN" w:bidi="ar-SA"/>
    </w:rPr>
  </w:style>
  <w:style w:type="paragraph" w:styleId="1060" w:customStyle="1">
    <w:name w:val="WPSOffice手动目录 1"/>
    <w:uiPriority w:val="0"/>
    <w:qFormat/>
    <w:rPr>
      <w:rFonts w:hint="default" w:ascii="Times New Roman" w:hAnsi="Times New Roman" w:eastAsia="宋体" w:cs="Times New Roman"/>
      <w:lang w:val="en-US" w:eastAsia="zh-CN" w:bidi="ar-SA"/>
    </w:rPr>
  </w:style>
  <w:style w:type="character" w:styleId="1061" w:customStyle="1">
    <w:name w:val="font31"/>
    <w:basedOn w:val="754"/>
    <w:uiPriority w:val="0"/>
    <w:qFormat/>
    <w:rPr>
      <w:rFonts w:hint="eastAsia" w:ascii="宋体" w:hAnsi="宋体" w:eastAsia="宋体" w:cs="宋体"/>
      <w:color w:val="000000"/>
      <w:sz w:val="24"/>
      <w:szCs w:val="24"/>
      <w:u w:val="none"/>
    </w:rPr>
  </w:style>
  <w:style w:type="character" w:styleId="1062" w:customStyle="1">
    <w:name w:val="font41"/>
    <w:basedOn w:val="754"/>
    <w:uiPriority w:val="0"/>
    <w:qFormat/>
    <w:rPr>
      <w:rFonts w:ascii="Calibri" w:hAnsi="Calibri" w:cs="Calibri"/>
      <w:color w:val="000000"/>
      <w:sz w:val="24"/>
      <w:szCs w:val="24"/>
      <w:u w:val="none"/>
    </w:rPr>
  </w:style>
  <w:style w:type="paragraph" w:styleId="1063" w:customStyle="1">
    <w:name w:val="普通(网站)1"/>
    <w:basedOn w:val="744"/>
    <w:uiPriority w:val="99"/>
    <w:qFormat/>
    <w:pPr>
      <w:jc w:val="left"/>
      <w:spacing w:before="100" w:beforeAutospacing="1" w:after="100" w:afterAutospacing="1"/>
      <w:widowControl/>
    </w:pPr>
    <w:rPr>
      <w:rFonts w:ascii="宋体" w:hAnsi="宋体" w:cs="宋体"/>
      <w:sz w:val="24"/>
    </w:rPr>
  </w:style>
  <w:style w:type="paragraph" w:styleId="1064" w:customStyle="1">
    <w:name w:val="正文 A"/>
    <w:next w:val="744"/>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65" w:customStyle="1">
    <w:name w:val="修订1"/>
    <w:hidden/>
    <w:uiPriority w:val="99"/>
    <w:unhideWhenUsed/>
    <w:qFormat/>
    <w:rPr>
      <w:rFonts w:hint="default" w:ascii="Times New Roman" w:hAnsi="Times New Roman" w:eastAsia="宋体" w:cs="Times New Roman"/>
      <w:sz w:val="21"/>
      <w:szCs w:val="21"/>
      <w:lang w:val="en-US" w:eastAsia="zh-CN" w:bidi="ar-SA"/>
    </w:rPr>
  </w:style>
  <w:style w:type="numbering" w:styleId="117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dcfcb2ad-0cb3-4b70-8d71-4111b41a4fa8</errorID>
      <errorWord xmlns="http://schemas.wps.cn/vas-ai-hub/contract-review">JSZC-320900-RHHH-G2026-0030</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（JSZC-320900-RHHH-G2026-0030）</item>
      </candidateList>
      <explain xmlns="http://schemas.wps.cn/vas-ai-hub/contract-review"/>
      <paraID xmlns="http://schemas.wps.cn/vas-ai-hub/contract-review">4D58A3A5</paraID>
      <start xmlns="http://schemas.wps.cn/vas-ai-hub/contract-review">22</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a9df7afd-0d6f-4598-bc44-9a37d69341ec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47278FBE</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36c275c0-e2fe-45ad-bc04-e3275fc0231d</errorID>
      <errorWord xmlns="http://schemas.wps.cn/vas-ai-hub/contract-review">提供</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，提供</item>
      </candidateList>
      <explain xmlns="http://schemas.wps.cn/vas-ai-hub/contract-review"/>
      <paraID xmlns="http://schemas.wps.cn/vas-ai-hub/contract-review">47278FBE</paraID>
      <start xmlns="http://schemas.wps.cn/vas-ai-hub/contract-review">87</start>
      <end xmlns="http://schemas.wps.cn/vas-ai-hub/contract-review">89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10376169-5793-41e6-b707-e0acf3a16d4a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47278FBE</paraID>
      <start xmlns="http://schemas.wps.cn/vas-ai-hub/contract-review">93</start>
      <end xmlns="http://schemas.wps.cn/vas-ai-hub/contract-review">94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08abbfb3-eac7-42d6-95e1-462fb18c4220</errorID>
      <errorWord xmlns="http://schemas.wps.cn/vas-ai-hub/contract-review">其它未</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其他未</item>
      </candidateList>
      <explain xmlns="http://schemas.wps.cn/vas-ai-hub/contract-review">词汇[其它未]为不规范表述或旧称，其规范书面表述为[其他未]。</explain>
      <paraID xmlns="http://schemas.wps.cn/vas-ai-hub/contract-review">6FE3882C</paraID>
      <start xmlns="http://schemas.wps.cn/vas-ai-hub/contract-review">26</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c1b850ca-f4b6-43ac-ab1e-8ec228719259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4C2B96B8</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87e91a07-7186-4247-94bd-decf156c5c95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4C2B96B8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28dcce24-2029-403a-b3b1-cf6723dba74e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4C2B96B8</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9ec1ba5f-dfdd-4775-b4ff-25c9254f42b3</errorID>
      <errorWord xmlns="http://schemas.wps.cn/vas-ai-hub/contract-review">》，手册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4C2B96B8</paraID>
      <start xmlns="http://schemas.wps.cn/vas-ai-hub/contract-review">170</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de3565cb-4578-49e8-b68a-1149eb2421fc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4C2B96B8</paraID>
      <start xmlns="http://schemas.wps.cn/vas-ai-hub/contract-review">184</start>
      <end xmlns="http://schemas.wps.cn/vas-ai-hub/contract-review">185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ab3ced93-9b36-47dc-aeb3-d3ff7600e8eb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03f92da6-3d93-451f-b52a-80748e3220b6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4d4abd50-acc4-4080-88d8-13e73e2a4b79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5AA6C0E9</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a0d73b14-97a2-4c1e-b4fd-f0ef4a930ec7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5AA6C0E9</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5809d23a-68cd-4ad2-b849-12e58b9e9917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a2df973c-a78a-4fe2-bb7b-286f539db3e8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77329445-6ce6-40ba-81a0-0e56ce2daaeb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c414f7e7-1e15-4f04-8a20-85ab46025fab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a7018e86-d720-4a81-a59b-77d5f77f90af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175</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5c93c456-3a56-437a-ad2b-ce62758642c6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3D59293C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99737b4f-fbac-4747-8a36-fe52804c4fae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39E93DBD</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6891bb1a-53d0-47c4-8ae2-6f5b56280e9f</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39E93DBD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b749acb1-2e16-4137-9e65-09b5a82de970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5263A27D</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bd927a8e-711c-4a4a-8f27-ca3e6533b8c8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5263A27D</paraID>
      <start xmlns="http://schemas.wps.cn/vas-ai-hub/contract-review">51</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dd973b1e-314d-4f2a-b971-1ee7bead49ea</errorID>
      <errorWord xmlns="http://schemas.wps.cn/vas-ai-hub/contract-review">供应商的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3515E401</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35628eb7-2c57-4291-a57c-ccedefc30eff</errorID>
      <errorWord xmlns="http://schemas.wps.cn/vas-ai-hub/contract-review">有关的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item>
      </candidateList>
      <explain xmlns="http://schemas.wps.cn/vas-ai-hub/contract-review"/>
      <paraID xmlns="http://schemas.wps.cn/vas-ai-hub/contract-review">505552B5</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9f72be9a-b17b-45ca-b2b8-0b4869741347</errorID>
      <errorWord xmlns="http://schemas.wps.cn/vas-ai-hub/contract-review">招标招标代理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招标代理</item>
      </candidateList>
      <explain xmlns="http://schemas.wps.cn/vas-ai-hub/contract-review"/>
      <paraID xmlns="http://schemas.wps.cn/vas-ai-hub/contract-review">6DC26D2C</paraID>
      <start xmlns="http://schemas.wps.cn/vas-ai-hub/contract-review">5</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cdc696e4-de12-4a63-9c38-da1ffb2afa5f</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 9B46E16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e6a493ee-a459-4fbc-af37-58a6b429d89d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66BA21B4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6049de0c-9400-479c-aa7f-3db4e33b57bb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7c489519-b1b5-474b-8a02-d77de12f18b0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a56298b4-66c5-414c-a24e-879bf694db75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36690580-e18d-4413-a14d-786beb7a0e9d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79</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04149561-7b25-4371-8eb8-23a678ddb0a2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5DFCFF2C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25d1f854-c4a3-453e-b6a7-4410c61200d9</errorID>
      <errorWord xmlns="http://schemas.wps.cn/vas-ai-hub/contract-review">充分考虑到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充分考虑</item>
      </candidateList>
      <explain xmlns="http://schemas.wps.cn/vas-ai-hub/contract-review"/>
      <paraID xmlns="http://schemas.wps.cn/vas-ai-hub/contract-review">27BB6E5E</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8c41ed49-8af4-4106-a862-e1393b6fc016</errorID>
      <errorWord xmlns="http://schemas.wps.cn/vas-ai-hub/contract-review">造成的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
      <paraID xmlns="http://schemas.wps.cn/vas-ai-hub/contract-review">27BB6E5E</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1d82114c-5e9c-4025-a2f4-10d43b779def</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27BB6E5E</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22744c63-6d87-40a8-8ede-af6eb71dc0b4</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27BB6E5E</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50343c5a-1664-49b6-a30d-9db83bfb09bd</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item>
      </candidateList>
      <explain xmlns="http://schemas.wps.cn/vas-ai-hub/contract-review"/>
      <paraID xmlns="http://schemas.wps.cn/vas-ai-hub/contract-review">27BB6E5E</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f9f29407-f0a5-4d50-aad3-870295729e6d</errorID>
      <errorWord xmlns="http://schemas.wps.cn/vas-ai-hub/contract-review">过程中涉及到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过程中涉及</item>
      </candidateList>
      <explain xmlns="http://schemas.wps.cn/vas-ai-hub/contract-review"/>
      <paraID xmlns="http://schemas.wps.cn/vas-ai-hub/contract-review">109011ED</paraID>
      <start xmlns="http://schemas.wps.cn/vas-ai-hub/contract-review">10</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08371003-853b-4388-bbe5-a3214a278c79</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592FEEB9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9f3c4abc-91b7-4bf3-8e45-ce644d9c933e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25823DF9</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7b381853-eabd-46cf-8681-8e779341dd9c</errorID>
      <errorWord xmlns="http://schemas.wps.cn/vas-ai-hub/contract-review">应用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信用</item>
      </candidateList>
      <explain xmlns="http://schemas.wps.cn/vas-ai-hub/contract-review"/>
      <paraID xmlns="http://schemas.wps.cn/vas-ai-hub/contract-review">1A88D812</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d23f6486-230b-42d5-a48f-4bd9b09e4f09</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2096E050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33480f22-4804-4b95-980a-5848b72b57f5</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5B1DF9F6</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1426debc-c631-4c5a-8db2-6a4002130a74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7B2A72FE</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b171d163-b12e-4ce7-8e50-37c11634cef2</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721A01D0</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bc1ed3da-56ce-477b-8f2d-4e9d2882c491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77F18293</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ffb5c3ef-fba1-46c0-8f4a-e5d6a2f4e9f5</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757E7D10</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662773fa-fb7b-4b04-9edf-9826734d7d49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484F4585</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4336e64e-7d44-4eb2-a346-b302eed75d25</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484F4585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bcdaa6e1-e1fe-48e3-a595-3f5fdcd29c0d</errorID>
      <errorWord xmlns="http://schemas.wps.cn/vas-ai-hub/contract-review">云系统系统故障原因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云系统故障</item>
      </candidateList>
      <explain xmlns="http://schemas.wps.cn/vas-ai-hub/contract-review"/>
      <paraID xmlns="http://schemas.wps.cn/vas-ai-hub/contract-review">2ACCE6A8</paraID>
      <start xmlns="http://schemas.wps.cn/vas-ai-hub/contract-review">9</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ae6a4994-9cfc-4484-98a2-fde7936dc373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2B416337</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37f3b314-e207-4f7d-8d67-a49b9efc8d7b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2B416337</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98de8ac9-23ba-43ab-8571-2f2f0593fa73</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33F937FE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813720e7-ef5f-42ac-b5fd-2516051ef9a1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2EA61757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99e64ec0-a740-4cc4-bb39-c272dabe7610</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700B90C1</paraID>
      <start xmlns="http://schemas.wps.cn/vas-ai-hub/contract-review">164</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5c215c70-c2b9-4bfb-9b89-73fd9bc726de</errorID>
      <errorWord xmlns="http://schemas.wps.cn/vas-ai-hub/contract-review">包括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不包括</item>
      </candidateList>
      <explain xmlns="http://schemas.wps.cn/vas-ai-hub/contract-review"/>
      <paraID xmlns="http://schemas.wps.cn/vas-ai-hub/contract-review">2784B142</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2831fb50-8b21-4124-ab59-b4900cb22332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5A61E60</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3170fc05-80c1-4827-ab1a-82b142437897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722C01FD</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9cc0df00-46a4-4363-862f-2699ddcca25b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722C01FD</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a418ca9e-5c5f-4a1c-ac81-4c396af21b94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  C139B2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cd229462-3c87-4374-b902-01c56c1c4ea1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C139B2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0d2b06f7-b639-402e-9c2d-3ada8f7fda3e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C139B2</paraID>
      <start xmlns="http://schemas.wps.cn/vas-ai-hub/contract-review">50</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b6bf5353-620d-4c65-bddf-10dcb57a10ea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C139B2</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a4a4cfd3-b416-4439-8156-9aab16dfb038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  C139B2</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105fd052-ab56-4822-88d2-c2ba4eed7636</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中的</item>
      </candidateList>
      <explain xmlns="http://schemas.wps.cn/vas-ai-hub/contract-review"/>
      <paraID xmlns="http://schemas.wps.cn/vas-ai-hub/contract-review">1A8F94D0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f4f289b2-925e-4995-bed6-a8ad52583946</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5CA751FC</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a66c0c32-9388-4d30-b230-e505740d44fd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5CA751FC</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3dd682b2-fc73-41f9-8367-1bbc1112159a</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21f6dc6a-80ca-468e-928d-e19bf3a5510b</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0cc5bf04-6e45-418a-9a22-a3fd9ff89814</errorID>
      <errorWord xmlns="http://schemas.wps.cn/vas-ai-hub/contract-review">以上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不含</item>
      </candidateList>
      <explain xmlns="http://schemas.wps.cn/vas-ai-hub/contract-review"/>
      <paraID xmlns="http://schemas.wps.cn/vas-ai-hub/contract-review"> 56A4D18</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7ae23e82-c07c-428f-af22-a4ccc9304805</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668174f7-51b2-407e-87ee-04a0c95cebc2</errorID>
      <errorWord xmlns="http://schemas.wps.cn/vas-ai-hub/contract-review">含500万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含</item>
      </candidateList>
      <explain xmlns="http://schemas.wps.cn/vas-ai-hub/contract-review"/>
      <paraID xmlns="http://schemas.wps.cn/vas-ai-hub/contract-review"> 56A4D18</paraID>
      <start xmlns="http://schemas.wps.cn/vas-ai-hub/contract-review">91</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68c200df-3a01-483f-b4cc-6030f415dae0</errorID>
      <errorWord xmlns="http://schemas.wps.cn/vas-ai-hub/contract-review">无须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无需</item>
      </candidateList>
      <explain xmlns="http://schemas.wps.cn/vas-ai-hub/contract-review">存在发音相同字词的误用。</explain>
      <paraID xmlns="http://schemas.wps.cn/vas-ai-hub/contract-review"> 56A4D18</paraID>
      <start xmlns="http://schemas.wps.cn/vas-ai-hub/contract-review">146</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904dc985-4120-4c03-9194-92aadcedbc2f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597A50C9</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351e3e8e-e9f1-4d3a-a891-1c9bd262cf40</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方在</item>
      </candidateList>
      <explain xmlns="http://schemas.wps.cn/vas-ai-hub/contract-review"/>
      <paraID xmlns="http://schemas.wps.cn/vas-ai-hub/contract-review">7BA8C73E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64ce9c46-b0e7-46d0-a95c-6ff5b5c17e8a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76F55490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44569732-5809-4a15-80c0-3d13b7cb497a</errorID>
      <errorWord xmlns="http://schemas.wps.cn/vas-ai-hub/contract-review">维修保养</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、维修、保养</item>
      </candidateList>
      <explain xmlns="http://schemas.wps.cn/vas-ai-hub/contract-review"/>
      <paraID xmlns="http://schemas.wps.cn/vas-ai-hub/contract-review">76F55490</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7ace7249-3ee3-40f3-ac75-6d05e47f1941</errorID>
      <errorWord xmlns="http://schemas.wps.cn/vas-ai-hub/contract-review">拟定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拟订</item>
      </candidateList>
      <explain xmlns="http://schemas.wps.cn/vas-ai-hub/contract-review">〈动〉草拟：～计划｜～方案。</explain>
      <paraID xmlns="http://schemas.wps.cn/vas-ai-hub/contract-review">25C54C58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721f1994-7d1a-4575-a328-1a50a1883b74</errorID>
      <errorWord xmlns="http://schemas.wps.cn/vas-ai-hub/contract-review">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接到</item>
      </candidateList>
      <explain xmlns="http://schemas.wps.cn/vas-ai-hub/contract-review"/>
      <paraID xmlns="http://schemas.wps.cn/vas-ai-hub/contract-review">22EA2447</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bc7807a5-af3a-4e25-8eb4-a92cf5d62ca6</errorID>
      <errorWord xmlns="http://schemas.wps.cn/vas-ai-hub/contract-review">一系列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的一系列</item>
      </candidateList>
      <explain xmlns="http://schemas.wps.cn/vas-ai-hub/contract-review"/>
      <paraID xmlns="http://schemas.wps.cn/vas-ai-hub/contract-review">2894AEC7</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74e66393-261b-416e-9b4a-2390bf40dada</errorID>
      <errorWord xmlns="http://schemas.wps.cn/vas-ai-hub/contract-review">人员培训</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人员进行培训</item>
      </candidateList>
      <explain xmlns="http://schemas.wps.cn/vas-ai-hub/contract-review"/>
      <paraID xmlns="http://schemas.wps.cn/vas-ai-hub/contract-review">258ECDA8</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08a351e6-48bd-461e-8f87-c5d7b9bf5b86</errorID>
      <errorWord xmlns="http://schemas.wps.cn/vas-ai-hub/contract-review">后</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，使其</item>
      </candidateList>
      <explain xmlns="http://schemas.wps.cn/vas-ai-hub/contract-review"/>
      <paraID xmlns="http://schemas.wps.cn/vas-ai-hub/contract-review">258ECDA8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b7c19de1-d0cd-4a96-8e92-e903ee0749dd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2AA8A4D2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4f64820e-b074-447a-adab-fba2b73f6ee8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2AA8A4D2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c855f026-f6ac-44bc-b48d-b3671f607267</errorID>
      <errorWord xmlns="http://schemas.wps.cn/vas-ai-hub/contract-review">4.4.1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4.1.1</item>
      </candidateList>
      <explain xmlns="http://schemas.wps.cn/vas-ai-hub/contract-review">标题顺序错误，请检查标题顺序是否合理。</explain>
      <paraID xmlns="http://schemas.wps.cn/vas-ai-hub/contract-review">271347CC</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11bd1ddc-1f1a-421a-a8e0-5b8d84b92756</errorID>
      <errorWord xmlns="http://schemas.wps.cn/vas-ai-hub/contract-review">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4.1.2</item>
      </candidateList>
      <explain xmlns="http://schemas.wps.cn/vas-ai-hub/contract-review">标题顺序错误，请检查标题顺序是否合理。</explain>
      <paraID xmlns="http://schemas.wps.cn/vas-ai-hub/contract-review">56C8A992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aba60963-9b70-49d3-ba2f-dc9903e218f2</errorID>
      <errorWord xmlns="http://schemas.wps.cn/vas-ai-hub/contract-review">4.4.3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4.1.3</item>
      </candidateList>
      <explain xmlns="http://schemas.wps.cn/vas-ai-hub/contract-review">标题顺序错误，请检查标题顺序是否合理。</explain>
      <paraID xmlns="http://schemas.wps.cn/vas-ai-hub/contract-review"> 8CEE54E</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b9790f2e-b351-44b5-8481-dd0259d5e8a5</errorID>
      <errorWord xmlns="http://schemas.wps.cn/vas-ai-hub/contract-review">4.4.4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4.1.4</item>
      </candidateList>
      <explain xmlns="http://schemas.wps.cn/vas-ai-hub/contract-review">标题顺序错误，请检查标题顺序是否合理。</explain>
      <paraID xmlns="http://schemas.wps.cn/vas-ai-hub/contract-review">27112E38</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88d9af0e-e792-4529-a2f2-216134b5e88a</errorID>
      <errorWord xmlns="http://schemas.wps.cn/vas-ai-hub/contract-review">签订合同的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签订合同</item>
      </candidateList>
      <explain xmlns="http://schemas.wps.cn/vas-ai-hub/contract-review"/>
      <paraID xmlns="http://schemas.wps.cn/vas-ai-hub/contract-review">46A9D0C7</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9f5575d9-0870-42b1-8ac8-88639281ef10</errorID>
      <errorWord xmlns="http://schemas.wps.cn/vas-ai-hub/contract-review">向就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向</item>
      </candidateList>
      <explain xmlns="http://schemas.wps.cn/vas-ai-hub/contract-review"/>
      <paraID xmlns="http://schemas.wps.cn/vas-ai-hub/contract-review">46A9D0C7</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7f78748c-ec53-4bc4-9f68-8dde0100886d</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37DE976</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fe5c1013-611c-48d7-867e-95a0b8a41860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37DE976</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245d7aa7-28a5-4843-a16e-e3f9194dd9ba</errorID>
      <errorWord xmlns="http://schemas.wps.cn/vas-ai-hub/contract-review">4.4.5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4.1.5</item>
      </candidateList>
      <explain xmlns="http://schemas.wps.cn/vas-ai-hub/contract-review">标题顺序错误，请检查标题顺序是否合理。</explain>
      <paraID xmlns="http://schemas.wps.cn/vas-ai-hub/contract-review">42217DCF</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dda65421-e2a7-4c0d-bf10-359b8e2b322c</errorID>
      <errorWord xmlns="http://schemas.wps.cn/vas-ai-hub/contract-review">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十一</item>
      </candidateList>
      <explain xmlns="http://schemas.wps.cn/vas-ai-hub/contract-review"/>
      <paraID xmlns="http://schemas.wps.cn/vas-ai-hub/contract-review">692FD22C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ba524698-ff4a-42fa-a3e3-cd82e25f483d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4424AEE5</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d9639d4c-ee6a-4e65-ab98-347b898fab0b</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1F591072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39b347c2-44b9-4c7b-8ff4-f39d82deef77</errorID>
      <errorWord xmlns="http://schemas.wps.cn/vas-ai-hub/contract-review">维修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维保</item>
      </candidateList>
      <explain xmlns="http://schemas.wps.cn/vas-ai-hub/contract-review"/>
      <paraID xmlns="http://schemas.wps.cn/vas-ai-hub/contract-review"> 81E754B</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6a359de7-d535-4b57-80f1-d3e59e49c981</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、二期、</item>
      </candidateList>
      <explain xmlns="http://schemas.wps.cn/vas-ai-hub/contract-review"/>
      <paraID xmlns="http://schemas.wps.cn/vas-ai-hub/contract-review"> 81E754B</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453f9bb0-047d-467c-ac67-049726fc00de</errorID>
      <errorWord xmlns="http://schemas.wps.cn/vas-ai-hub/contract-review">一次全数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3CB0F115</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97c26460-1a68-4c7c-b6d0-71e4aa96823a</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 DED986F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58ee5509-cf1c-4912-8d2e-2ef897af9a02</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 DED986F</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8fdeea2b-6d01-44b6-aa7c-0b7c4d91aeec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595364B5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9d5a8166-0991-4541-9f82-61da60f433f5</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595364B5</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d3708a58-89a1-4e7a-bad7-1b88c3d9363d</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6F7C675D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3c3e3c6c-7045-4480-82a4-56d35271af6f</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6F7C675D</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9ddda3d4-7601-4aab-9291-03e542d15ae9</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 2CDF1E3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353a2c11-d54b-4759-81b9-4dc52aa3421c</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 2CDF1E3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a18c9083-c9ce-4a12-86d1-db544e19c870</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440164DB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da67b391-5055-4566-8732-b7a587bfed84</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440164DB</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1e7ef009-5170-4e63-af22-6c29d9d565ec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7E555EF1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b9358ab7-b912-47f9-b4b6-9552f2873fad</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7E555EF1</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25e97485-3956-4098-9582-bb51276dfcbb</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64E70FE7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5cbe513e-08e5-41a4-a109-4053cadbaf51</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64E70FE7</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04fa4177-bc09-49a9-9f44-50bc7b7b34d6</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2E4C1FF4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3ad352b1-0690-4e9d-a832-f06133204a1e</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2E4C1FF4</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e388c004-e326-44dd-ba1f-0856e21b7abc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5F5D7BB8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ad1c900c-235f-4cfc-b2d1-f1836f2b031a</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5F5D7BB8</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8c0ccc26-39ba-4d5d-8c53-9ab0d2823b99</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 4A0C1D6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ecba344e-944b-4211-9e60-75763c96aa3f</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 4A0C1D6</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67819a90-a6d0-4562-ac55-e6d78298e9c3</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667A3961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9ea5be59-52ad-41d8-b893-7ea57757ce50</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667A3961</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9b572e82-0f76-47d2-9706-bd99033838eb</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4A94428A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bb383cb0-d4e3-4251-9c9b-7c3c35f951b7</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5C8FE560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77c206e7-e132-4676-9779-1e9d78e962cd</errorID>
      <errorWord xmlns="http://schemas.wps.cn/vas-ai-hub/contract-review">而出具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出具的</item>
      </candidateList>
      <explain xmlns="http://schemas.wps.cn/vas-ai-hub/contract-review"/>
      <paraID xmlns="http://schemas.wps.cn/vas-ai-hub/contract-review">36AD3B79</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1b05ab7f-8644-444f-83fd-4a64afc05a65</errorID>
      <errorWord xmlns="http://schemas.wps.cn/vas-ai-hub/contract-review">检测的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检测</item>
      </candidateList>
      <explain xmlns="http://schemas.wps.cn/vas-ai-hub/contract-review"/>
      <paraID xmlns="http://schemas.wps.cn/vas-ai-hub/contract-review">36AD3B79</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e51bab9e-37ee-4e0e-9a49-bc744a5ec71e</errorID>
      <errorWord xmlns="http://schemas.wps.cn/vas-ai-hub/contract-review">不基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纤维</item>
      </candidateList>
      <explain xmlns="http://schemas.wps.cn/vas-ai-hub/contract-review"/>
      <paraID xmlns="http://schemas.wps.cn/vas-ai-hub/contract-review">70CC0AEA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7667fed4-fba3-40ec-afc1-bd79c7a1941e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7FF825E1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54f72e36-48e8-433f-bddf-0207fde407cc</errorID>
      <errorWord xmlns="http://schemas.wps.cn/vas-ai-hub/contract-review">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超过</item>
      </candidateList>
      <explain xmlns="http://schemas.wps.cn/vas-ai-hub/contract-review"/>
      <paraID xmlns="http://schemas.wps.cn/vas-ai-hub/contract-review">4EA79522</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65dc2f5e-64a6-44f1-ab17-b764c531154b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124A42A6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8095cbee-98ea-4d5f-a27e-ae75e9c9991e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24D603E4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6b8cfc66-84ba-4d2f-9a2c-c5811f241c3f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24D603E4</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16e15e61-b705-4293-8bf4-d7a11d01eeef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4FB2BE26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7c03fcb9-418e-4c7f-8c39-cd23c16c8f82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29D8292A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49d2763e-6fed-4f19-af10-233e977e0971</errorID>
      <errorWord xmlns="http://schemas.wps.cn/vas-ai-hub/contract-review">加强安全</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加强</item>
      </candidateList>
      <explain xmlns="http://schemas.wps.cn/vas-ai-hub/contract-review"/>
      <paraID xmlns="http://schemas.wps.cn/vas-ai-hub/contract-review">45CAEE8A</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dc6c11b1-563e-4959-8e6b-a2dd04a94dd7</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
      <paraID xmlns="http://schemas.wps.cn/vas-ai-hub/contract-review">45CAEE8A</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68f3286b-829a-4979-aacf-568c38fb2194</errorID>
      <errorWord xmlns="http://schemas.wps.cn/vas-ai-hub/contract-review">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分别到</item>
      </candidateList>
      <explain xmlns="http://schemas.wps.cn/vas-ai-hub/contract-review"/>
      <paraID xmlns="http://schemas.wps.cn/vas-ai-hub/contract-review">1AABC6C0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7360d0a3-532f-4c35-9eda-0a3b04ee7528</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13ECFC78</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66a35bb4-dccf-47fa-ac48-3bd7aefe2cba</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〈名〉历史上或社会上发生的不平常的大事情：政治～。</explain>
      <paraID xmlns="http://schemas.wps.cn/vas-ai-hub/contract-review">5AE3D853</paraID>
      <start xmlns="http://schemas.wps.cn/vas-ai-hub/contract-review">91</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7a4872f8-b605-4ce6-8fea-c4644464c90d</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7CBAEDFE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3cdc5aeb-5caf-4543-b285-5d441db6b16c</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1EF481F0</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914348e2-0ae9-4327-836b-e3ae28f3534e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117D6DBC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66afa264-6811-4034-ba1d-992221e984a0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6560F3E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cbfe488f-39b6-4716-b93a-3c9bfa742210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54852BCF</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0de6e13c-6fd5-4379-b84b-98c5fd28ccd0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54852BCF</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cee09eb1-2d88-499d-96b4-91607a5e1cfa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3D08A2D9</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6e06825d-53f8-4fc8-be03-3823e48ed4be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3D08A2D9</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180db276-1d73-4148-a2a5-1dcda703eb11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381DD0FE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70d887b5-50f3-4e9b-892b-fb026ae262d9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381DD0FE</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7d4c6bfe-c9cb-4592-900f-0e880ad85018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381DD0FE</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0d3af4cd-f6f1-4e1a-bc0a-ecccdc390d0c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3B689D60</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526f7900-cba1-479f-879f-ca9c6e33f457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3B689D60</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5a73d971-784b-4975-8e24-9b8e4c3573e4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20FECAA5</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a7035f49-4dc7-4037-be84-bb17c1bb4360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36F4F46C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e61585c4-2d33-447e-a9b6-0fc96345f8d6</errorID>
      <errorWord xmlns="http://schemas.wps.cn/vas-ai-hub/contract-review">虚假成份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虚假成分</item>
      </candidateList>
      <explain xmlns="http://schemas.wps.cn/vas-ai-hub/contract-review">词汇[虚假成份]的规范词形写作[虚假成分]。</explain>
      <paraID xmlns="http://schemas.wps.cn/vas-ai-hub/contract-review">364257F3</paraID>
      <start xmlns="http://schemas.wps.cn/vas-ai-hub/contract-review">90</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d5704996-511c-49cc-8dbb-40d2be4b02bb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28E8D2EA</paraID>
      <start xmlns="http://schemas.wps.cn/vas-ai-hub/contract-review">20</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2ea66409-6ac0-438c-8a82-ae1d074de95b</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2D88D4EB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f5b683c0-141c-45ad-9362-c01a7c0d055f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559F56CD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ebdfa279-883f-49a2-a64c-bcc5b5a14674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559F56CD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F0B611-00AC-42FB-8641-357A4E703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胡荣艳</cp:lastModifiedBy>
  <cp:revision>59</cp:revision>
  <dcterms:created xsi:type="dcterms:W3CDTF">2023-10-11T17:37:00Z</dcterms:created>
  <dcterms:modified xsi:type="dcterms:W3CDTF">2026-09-07T09:47:17Z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EE1DAA5F71844676A89A5C4B8CBD0300_13</vt:lpwstr>
  </property>
  <property fmtid="{D5CDD505-2E9C-101B-9397-08002B2CF9AE}" pid="4" name="KSOTemplateDocerSaveRecord">
    <vt:lpwstr>eyJoZGlkIjoiMmQxYjczMTdjYWZkNTcxNDAxNGMzM2Y5MmYyNzE4ZGYiLCJ1c2VySWQiOiIyOTcyMTgzMDIifQ==</vt:lpwstr>
  </property>
</Properties>
</file>