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00"/>
        <w:jc w:val="center"/>
        <w:spacing w:before="120" w:beforeAutospacing="0" w:after="120" w:afterAutospacing="0" w:line="360" w:lineRule="auto"/>
        <w:rPr>
          <w:rFonts w:ascii="Arial" w:hAnsi="Arial" w:cs="Arial"/>
          <w:b/>
          <w:color w:val="auto"/>
          <w:sz w:val="84"/>
          <w:szCs w:val="84"/>
        </w:rPr>
      </w:pPr>
      <w:r>
        <w:rPr>
          <w:rFonts w:ascii="Arial" w:hAnsi="Arial" w:cs="Arial"/>
          <w:b/>
          <w:color w:val="auto"/>
          <w:sz w:val="84"/>
          <w:szCs w:val="84"/>
        </w:rPr>
      </w:r>
      <w:r/>
    </w:p>
    <w:p>
      <w:pPr>
        <w:pStyle w:val="1300"/>
        <w:jc w:val="left"/>
        <w:spacing w:before="120" w:beforeAutospacing="0" w:after="120" w:afterAutospacing="0" w:line="360" w:lineRule="auto"/>
        <w:tabs>
          <w:tab w:val="center" w:pos="4889" w:leader="none"/>
          <w:tab w:val="left" w:pos="7779" w:leader="none"/>
        </w:tabs>
        <w:rPr>
          <w:rFonts w:hint="eastAsia" w:eastAsiaTheme="minorEastAsia"/>
          <w:color w:val="auto"/>
          <w:lang w:eastAsia="zh-CN"/>
        </w:rPr>
      </w:pPr>
      <w:r>
        <w:rPr>
          <w:rFonts w:hint="eastAsia" w:ascii="Arial" w:hAnsi="Arial" w:cs="Arial"/>
          <w:b/>
          <w:color w:val="auto"/>
          <w:sz w:val="84"/>
          <w:szCs w:val="84"/>
          <w:lang w:eastAsia="zh-CN"/>
        </w:rPr>
        <w:tab/>
      </w:r>
      <w:r>
        <w:rPr>
          <w:rFonts w:ascii="Arial" w:hAnsi="Arial" w:cs="Arial"/>
          <w:b/>
          <w:color w:val="auto"/>
          <w:sz w:val="84"/>
          <w:szCs w:val="84"/>
        </w:rPr>
        <w:t xml:space="preserve">招 标 文 件</w:t>
      </w:r>
      <w:r>
        <w:rPr>
          <w:rFonts w:hint="eastAsia" w:ascii="Arial" w:hAnsi="Arial" w:cs="Arial"/>
          <w:b/>
          <w:color w:val="auto"/>
          <w:sz w:val="84"/>
          <w:szCs w:val="84"/>
          <w:lang w:eastAsia="zh-CN"/>
        </w:rPr>
        <w:tab/>
      </w:r>
      <w:r/>
    </w:p>
    <w:p>
      <w:pPr>
        <w:pStyle w:val="1300"/>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1300"/>
        <w:ind w:firstLine="321"/>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1300"/>
        <w:ind w:firstLine="321"/>
        <w:spacing w:before="120" w:beforeAutospacing="0" w:after="12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1300"/>
        <w:ind w:left="1925" w:hanging="1606"/>
        <w:spacing w:before="120" w:beforeAutospacing="0" w:after="120" w:afterAutospacing="0" w:line="360" w:lineRule="auto"/>
        <w:rPr>
          <w:rFonts w:hint="eastAsia" w:ascii="宋体" w:hAnsi="宋体" w:eastAsia="宋体" w:cs="宋体"/>
          <w:color w:val="auto"/>
          <w:lang w:eastAsia="zh-CN"/>
        </w:rPr>
      </w:pPr>
      <w:r>
        <w:rPr>
          <w:rFonts w:hint="eastAsia" w:ascii="宋体" w:hAnsi="宋体" w:eastAsia="宋体" w:cs="宋体"/>
          <w:b/>
          <w:color w:val="auto"/>
          <w:sz w:val="32"/>
          <w:szCs w:val="32"/>
        </w:rPr>
        <w:t xml:space="preserve">项目名称：盐城市公安局</w:t>
      </w:r>
      <w:r>
        <w:rPr>
          <w:rFonts w:hint="eastAsia" w:ascii="宋体" w:hAnsi="宋体" w:eastAsia="宋体" w:cs="宋体"/>
          <w:b/>
          <w:color w:val="auto"/>
          <w:sz w:val="32"/>
          <w:szCs w:val="32"/>
          <w:lang w:eastAsia="zh-CN"/>
        </w:rPr>
        <w:t xml:space="preserve">“鹰眼”维保项目分包二：无人机及自动机场、平台运维服务</w:t>
      </w:r>
      <w:r/>
    </w:p>
    <w:p>
      <w:pPr>
        <w:pStyle w:val="1300"/>
        <w:ind w:firstLine="321"/>
        <w:jc w:val="both"/>
        <w:spacing w:beforeAutospacing="0" w:afterAutospacing="0"/>
        <w:rPr>
          <w:rFonts w:hint="eastAsia" w:ascii="宋体" w:hAnsi="宋体" w:eastAsia="宋体" w:cs="宋体"/>
          <w:color w:val="auto"/>
          <w:lang w:eastAsia="zh-CN"/>
        </w:rPr>
      </w:pPr>
      <w:r>
        <w:rPr>
          <w:rFonts w:hint="eastAsia" w:ascii="宋体" w:hAnsi="宋体" w:eastAsia="宋体" w:cs="宋体"/>
          <w:b/>
          <w:color w:val="auto"/>
          <w:sz w:val="32"/>
          <w:szCs w:val="32"/>
        </w:rPr>
        <w:t xml:space="preserve">项目编号：</w:t>
      </w:r>
      <w:r>
        <w:rPr>
          <w:rFonts w:hint="eastAsia" w:ascii="宋体" w:hAnsi="宋体" w:eastAsia="宋体" w:cs="宋体"/>
          <w:b/>
          <w:color w:val="auto"/>
          <w:sz w:val="32"/>
          <w:szCs w:val="32"/>
          <w:lang w:eastAsia="zh-CN"/>
        </w:rPr>
        <w:t xml:space="preserve">JSZC-320900-YCZH-G2026-0007</w:t>
      </w:r>
      <w:r/>
    </w:p>
    <w:p>
      <w:pPr>
        <w:pStyle w:val="1300"/>
        <w:spacing w:beforeAutospacing="0" w:afterAutospacing="0" w:line="360" w:lineRule="auto"/>
        <w:rPr>
          <w:color w:val="auto"/>
        </w:rPr>
      </w:pPr>
      <w:r>
        <w:rPr>
          <w:color w:val="auto"/>
        </w:rPr>
        <w:t xml:space="preserve"> </w:t>
      </w:r>
      <w:r/>
    </w:p>
    <w:p>
      <w:pPr>
        <w:pStyle w:val="1300"/>
        <w:spacing w:beforeAutospacing="0" w:afterAutospacing="0" w:line="360" w:lineRule="auto"/>
        <w:rPr>
          <w:color w:val="auto"/>
        </w:rPr>
      </w:pPr>
      <w:r>
        <w:rPr>
          <w:color w:val="auto"/>
        </w:rPr>
        <w:t xml:space="preserve"> </w:t>
      </w:r>
      <w:r/>
    </w:p>
    <w:p>
      <w:pPr>
        <w:pStyle w:val="1300"/>
        <w:spacing w:beforeAutospacing="0" w:afterAutospacing="0" w:line="360" w:lineRule="auto"/>
        <w:rPr>
          <w:color w:val="auto"/>
        </w:rPr>
      </w:pPr>
      <w:r>
        <w:rPr>
          <w:color w:val="auto"/>
        </w:rPr>
        <w:t xml:space="preserve"> </w:t>
      </w:r>
      <w:r/>
    </w:p>
    <w:p>
      <w:pPr>
        <w:pStyle w:val="1300"/>
        <w:spacing w:beforeAutospacing="0" w:afterAutospacing="0" w:line="360" w:lineRule="auto"/>
        <w:rPr>
          <w:color w:val="auto"/>
        </w:rPr>
      </w:pPr>
      <w:r>
        <w:rPr>
          <w:color w:val="auto"/>
        </w:rPr>
        <w:t xml:space="preserve"> </w:t>
      </w:r>
      <w:r/>
    </w:p>
    <w:p>
      <w:pPr>
        <w:pStyle w:val="1300"/>
        <w:spacing w:beforeAutospacing="0" w:afterAutospacing="0" w:line="360" w:lineRule="auto"/>
        <w:rPr>
          <w:color w:val="auto"/>
        </w:rPr>
      </w:pPr>
      <w:r>
        <w:rPr>
          <w:color w:val="auto"/>
        </w:rPr>
        <w:t xml:space="preserve"> </w:t>
      </w:r>
      <w:r/>
    </w:p>
    <w:p>
      <w:pPr>
        <w:pStyle w:val="1300"/>
        <w:spacing w:beforeAutospacing="0" w:afterAutospacing="0" w:line="360" w:lineRule="auto"/>
        <w:rPr>
          <w:color w:val="auto"/>
        </w:rPr>
      </w:pPr>
      <w:r>
        <w:rPr>
          <w:color w:val="auto"/>
        </w:rPr>
        <w:t xml:space="preserve"> </w:t>
      </w:r>
      <w:r/>
    </w:p>
    <w:p>
      <w:pPr>
        <w:pStyle w:val="1300"/>
        <w:spacing w:beforeAutospacing="0" w:afterAutospacing="0" w:line="360" w:lineRule="auto"/>
        <w:rPr>
          <w:color w:val="auto"/>
        </w:rPr>
      </w:pPr>
      <w:r>
        <w:rPr>
          <w:color w:val="auto"/>
        </w:rPr>
        <w:t xml:space="preserve"> </w:t>
      </w:r>
      <w:r/>
    </w:p>
    <w:p>
      <w:pPr>
        <w:pStyle w:val="1300"/>
        <w:jc w:val="center"/>
        <w:spacing w:before="120" w:beforeAutospacing="0" w:after="120" w:afterAutospacing="0" w:line="360" w:lineRule="auto"/>
        <w:rPr>
          <w:rFonts w:ascii="Arial" w:hAnsi="Arial" w:cs="Arial"/>
          <w:b/>
          <w:color w:val="auto"/>
          <w:sz w:val="32"/>
          <w:szCs w:val="32"/>
        </w:rPr>
      </w:pPr>
      <w:r>
        <w:rPr>
          <w:rFonts w:hint="eastAsia" w:ascii="Arial" w:hAnsi="Arial" w:cs="Arial"/>
          <w:b/>
          <w:color w:val="auto"/>
          <w:sz w:val="32"/>
          <w:szCs w:val="32"/>
        </w:rPr>
        <w:t xml:space="preserve">盐城市公安局</w:t>
      </w:r>
      <w:r/>
    </w:p>
    <w:p>
      <w:pPr>
        <w:pStyle w:val="1300"/>
        <w:jc w:val="center"/>
        <w:spacing w:before="120" w:beforeAutospacing="0" w:after="120" w:afterAutospacing="0" w:line="360" w:lineRule="auto"/>
        <w:rPr>
          <w:rFonts w:ascii="Arial" w:hAnsi="Arial" w:cs="Arial"/>
          <w:b/>
          <w:color w:val="auto"/>
          <w:sz w:val="32"/>
          <w:szCs w:val="32"/>
        </w:rPr>
      </w:pPr>
      <w:r>
        <w:rPr>
          <w:rFonts w:hint="eastAsia" w:ascii="宋体" w:hAnsi="宋体" w:eastAsia="宋体" w:cs="宋体"/>
          <w:b/>
          <w:color w:val="auto"/>
          <w:sz w:val="32"/>
          <w:szCs w:val="32"/>
        </w:rPr>
        <w:t xml:space="preserve">盐城市智禾项目管理有限公司</w:t>
      </w:r>
      <w:r/>
    </w:p>
    <w:p>
      <w:pPr>
        <w:pStyle w:val="1300"/>
        <w:jc w:val="center"/>
        <w:spacing w:before="120" w:beforeAutospacing="0" w:after="120" w:afterAutospacing="0" w:line="360" w:lineRule="auto"/>
        <w:rPr>
          <w:b w:val="0"/>
          <w:bCs w:val="0"/>
          <w:color w:val="auto"/>
        </w:rPr>
      </w:pPr>
      <w:r>
        <w:rPr>
          <w:rFonts w:hint="eastAsia" w:ascii="Arial" w:hAnsi="Arial" w:cs="Arial"/>
          <w:b w:val="0"/>
          <w:bCs w:val="0"/>
          <w:color w:val="auto"/>
          <w:sz w:val="32"/>
          <w:szCs w:val="32"/>
          <w:lang w:val="en-US" w:eastAsia="zh-CN"/>
        </w:rPr>
        <w:t xml:space="preserve">2026</w:t>
      </w:r>
      <w:r>
        <w:rPr>
          <w:rFonts w:ascii="Arial" w:hAnsi="Arial" w:cs="Arial"/>
          <w:b w:val="0"/>
          <w:bCs w:val="0"/>
          <w:color w:val="auto"/>
          <w:sz w:val="32"/>
          <w:szCs w:val="32"/>
        </w:rPr>
        <w:t xml:space="preserve">年</w:t>
      </w:r>
      <w:r>
        <w:rPr>
          <w:rFonts w:hint="eastAsia" w:ascii="Arial" w:hAnsi="Arial" w:cs="Arial"/>
          <w:b w:val="0"/>
          <w:bCs w:val="0"/>
          <w:color w:val="auto"/>
          <w:sz w:val="32"/>
          <w:szCs w:val="32"/>
          <w:lang w:val="en-US" w:eastAsia="zh-CN"/>
        </w:rPr>
        <w:t xml:space="preserve">6</w:t>
      </w:r>
      <w:r>
        <w:rPr>
          <w:rFonts w:ascii="Arial" w:hAnsi="Arial" w:cs="Arial"/>
          <w:b w:val="0"/>
          <w:bCs w:val="0"/>
          <w:color w:val="auto"/>
          <w:sz w:val="32"/>
          <w:szCs w:val="32"/>
        </w:rPr>
        <w:t xml:space="preserve">月</w:t>
      </w:r>
      <w:r>
        <w:rPr>
          <w:b w:val="0"/>
          <w:bCs w:val="0"/>
        </w:rPr>
      </w:r>
      <w:r/>
    </w:p>
    <w:p>
      <w:pPr>
        <w:pStyle w:val="1300"/>
        <w:spacing w:before="120" w:beforeAutospacing="0" w:after="120" w:afterAutospacing="0" w:line="360" w:lineRule="auto"/>
        <w:rPr>
          <w:color w:val="auto"/>
        </w:rPr>
      </w:pPr>
      <w:r>
        <w:rPr>
          <w:rFonts w:ascii="Arial" w:hAnsi="Arial" w:cs="Arial"/>
          <w:color w:val="auto"/>
        </w:rPr>
        <w:t xml:space="preserve">                        </w:t>
      </w:r>
      <w:r/>
    </w:p>
    <w:p>
      <w:pPr>
        <w:pStyle w:val="1300"/>
        <w:jc w:val="center"/>
        <w:spacing w:before="120" w:beforeAutospacing="0" w:after="120" w:afterAutospacing="0" w:line="360" w:lineRule="auto"/>
        <w:rPr>
          <w:color w:val="auto"/>
        </w:rPr>
      </w:pPr>
      <w:r>
        <w:rPr>
          <w:rFonts w:ascii="Times New Roman" w:hAnsi="Times New Roman"/>
          <w:color w:val="auto"/>
          <w:sz w:val="21"/>
          <w:szCs w:val="21"/>
        </w:rPr>
        <w:br w:type="page" w:clear="all"/>
      </w:r>
      <w:r>
        <w:rPr>
          <w:rFonts w:ascii="Times New Roman" w:hAnsi="Times New Roman"/>
          <w:color w:val="auto"/>
          <w:sz w:val="21"/>
          <w:szCs w:val="21"/>
        </w:rPr>
        <w:t xml:space="preserve"> </w:t>
      </w:r>
      <w:bookmarkStart w:id="0" w:name="_Toc479757206"/>
      <w:r/>
      <w:bookmarkStart w:id="1" w:name="_Toc523127445"/>
      <w:r/>
      <w:bookmarkStart w:id="2" w:name="_Toc20823272"/>
      <w:r/>
      <w:bookmarkStart w:id="3" w:name="_Toc16938516"/>
      <w:r/>
      <w:bookmarkStart w:id="4" w:name="_Toc120614210"/>
      <w:r/>
      <w:bookmarkStart w:id="5" w:name="_Toc513029200"/>
      <w:r>
        <w:rPr>
          <w:rFonts w:ascii="Times New Roman" w:hAnsi="Times New Roman"/>
          <w:color w:val="auto"/>
          <w:sz w:val="21"/>
          <w:szCs w:val="21"/>
        </w:rPr>
        <w:t xml:space="preserve"> </w:t>
      </w:r>
      <w:r>
        <w:rPr>
          <w:rFonts w:ascii="黑体" w:hAnsi="宋体" w:eastAsia="黑体" w:cs="黑体"/>
          <w:b/>
          <w:color w:val="auto"/>
          <w:sz w:val="44"/>
          <w:szCs w:val="44"/>
        </w:rPr>
        <w:t xml:space="preserve">总  目  录</w:t>
      </w:r>
      <w:bookmarkEnd w:id="0"/>
      <w:r/>
      <w:bookmarkEnd w:id="1"/>
      <w:r/>
      <w:bookmarkEnd w:id="2"/>
      <w:r/>
      <w:bookmarkEnd w:id="3"/>
      <w:r/>
      <w:bookmarkEnd w:id="4"/>
      <w:r/>
      <w:bookmarkEnd w:id="5"/>
      <w:r/>
      <w:r/>
    </w:p>
    <w:p>
      <w:pPr>
        <w:pStyle w:val="1300"/>
        <w:ind w:left="-199" w:firstLine="199"/>
        <w:jc w:val="both"/>
        <w:spacing w:beforeAutospacing="0" w:afterAutospacing="0" w:line="480" w:lineRule="auto"/>
        <w:rPr>
          <w:color w:val="auto"/>
        </w:rPr>
      </w:pPr>
      <w:r>
        <w:rPr>
          <w:color w:val="auto"/>
        </w:rPr>
        <w:t xml:space="preserve"> </w:t>
      </w:r>
      <w:r/>
    </w:p>
    <w:p>
      <w:pPr>
        <w:pStyle w:val="1300"/>
        <w:ind w:left="2274" w:hanging="1018"/>
        <w:spacing w:beforeAutospacing="0" w:afterAutospacing="0" w:line="480" w:lineRule="auto"/>
        <w:tabs>
          <w:tab w:val="left" w:pos="1441" w:leader="none"/>
        </w:tabs>
        <w:rPr>
          <w:color w:val="auto"/>
        </w:rPr>
      </w:pPr>
      <w:r>
        <w:rPr>
          <w:rFonts w:hint="eastAsia" w:ascii="黑体" w:hAnsi="宋体" w:eastAsia="黑体" w:cs="黑体"/>
          <w:color w:val="auto"/>
          <w:sz w:val="36"/>
          <w:szCs w:val="36"/>
        </w:rPr>
        <w:t xml:space="preserve">招标公告……………………………………3</w:t>
      </w:r>
      <w:r/>
    </w:p>
    <w:p>
      <w:pPr>
        <w:pStyle w:val="1300"/>
        <w:ind w:left="2274" w:hanging="1018"/>
        <w:spacing w:beforeAutospacing="0" w:afterAutospacing="0" w:line="480" w:lineRule="auto"/>
        <w:tabs>
          <w:tab w:val="left" w:pos="1441" w:leader="none"/>
        </w:tabs>
        <w:rPr>
          <w:color w:val="auto"/>
        </w:rPr>
      </w:pPr>
      <w:r>
        <w:rPr>
          <w:rFonts w:hint="eastAsia" w:ascii="黑体" w:hAnsi="宋体" w:eastAsia="黑体" w:cs="黑体"/>
          <w:color w:val="auto"/>
          <w:sz w:val="36"/>
          <w:szCs w:val="36"/>
        </w:rPr>
        <w:t xml:space="preserve">投标人须知…………………………………6</w:t>
      </w:r>
      <w:r/>
    </w:p>
    <w:p>
      <w:pPr>
        <w:pStyle w:val="1300"/>
        <w:ind w:left="2274" w:hanging="1018"/>
        <w:spacing w:beforeAutospacing="0" w:afterAutospacing="0" w:line="480" w:lineRule="auto"/>
        <w:tabs>
          <w:tab w:val="left" w:pos="1441" w:leader="none"/>
        </w:tabs>
        <w:rPr>
          <w:rFonts w:hint="eastAsia" w:eastAsia="黑体"/>
          <w:color w:val="auto"/>
          <w:lang w:eastAsia="zh-CN"/>
        </w:rPr>
      </w:pPr>
      <w:r>
        <w:rPr>
          <w:rFonts w:hint="eastAsia" w:ascii="黑体" w:hAnsi="宋体" w:eastAsia="黑体" w:cs="黑体"/>
          <w:color w:val="auto"/>
          <w:sz w:val="36"/>
          <w:szCs w:val="36"/>
        </w:rPr>
        <w:t xml:space="preserve">合同文本……………………………………1</w:t>
      </w:r>
      <w:r>
        <w:rPr>
          <w:rFonts w:hint="eastAsia" w:ascii="黑体" w:hAnsi="宋体" w:eastAsia="黑体" w:cs="黑体"/>
          <w:color w:val="auto"/>
          <w:sz w:val="36"/>
          <w:szCs w:val="36"/>
          <w:lang w:val="en-US" w:eastAsia="zh-CN"/>
        </w:rPr>
        <w:t xml:space="preserve">9</w:t>
      </w:r>
      <w:r/>
    </w:p>
    <w:p>
      <w:pPr>
        <w:pStyle w:val="1300"/>
        <w:ind w:left="2274" w:hanging="1018"/>
        <w:spacing w:beforeAutospacing="0" w:afterAutospacing="0" w:line="480" w:lineRule="auto"/>
        <w:tabs>
          <w:tab w:val="left" w:pos="1441" w:leader="none"/>
        </w:tabs>
        <w:rPr>
          <w:rFonts w:hint="eastAsia" w:eastAsia="黑体"/>
          <w:color w:val="auto"/>
          <w:lang w:eastAsia="zh-CN"/>
        </w:rPr>
      </w:pPr>
      <w:r>
        <w:rPr>
          <w:rFonts w:hint="eastAsia" w:ascii="黑体" w:hAnsi="宋体" w:eastAsia="黑体" w:cs="黑体"/>
          <w:color w:val="auto"/>
          <w:sz w:val="36"/>
          <w:szCs w:val="36"/>
        </w:rPr>
        <w:t xml:space="preserve">采购需求……………………………………2</w:t>
      </w:r>
      <w:r>
        <w:rPr>
          <w:rFonts w:hint="eastAsia" w:ascii="黑体" w:hAnsi="宋体" w:eastAsia="黑体" w:cs="黑体"/>
          <w:color w:val="auto"/>
          <w:sz w:val="36"/>
          <w:szCs w:val="36"/>
          <w:lang w:val="en-US" w:eastAsia="zh-CN"/>
        </w:rPr>
        <w:t xml:space="preserve">6</w:t>
      </w:r>
      <w:r/>
    </w:p>
    <w:p>
      <w:pPr>
        <w:pStyle w:val="1300"/>
        <w:ind w:left="2274" w:hanging="1018"/>
        <w:spacing w:beforeAutospacing="0" w:afterAutospacing="0" w:line="480" w:lineRule="auto"/>
        <w:tabs>
          <w:tab w:val="left" w:pos="1441" w:leader="none"/>
        </w:tabs>
        <w:rPr>
          <w:rFonts w:hint="eastAsia" w:eastAsia="黑体"/>
          <w:color w:val="auto"/>
          <w:lang w:eastAsia="zh-CN"/>
        </w:rPr>
      </w:pPr>
      <w:r>
        <w:rPr>
          <w:rFonts w:hint="eastAsia" w:ascii="黑体" w:hAnsi="宋体" w:eastAsia="黑体" w:cs="黑体"/>
          <w:color w:val="auto"/>
          <w:sz w:val="36"/>
          <w:szCs w:val="36"/>
        </w:rPr>
        <w:t xml:space="preserve">评标方法与评标标准………………………3</w:t>
      </w:r>
      <w:r>
        <w:rPr>
          <w:rFonts w:hint="eastAsia" w:ascii="黑体" w:hAnsi="宋体" w:eastAsia="黑体" w:cs="黑体"/>
          <w:color w:val="auto"/>
          <w:sz w:val="36"/>
          <w:szCs w:val="36"/>
          <w:lang w:val="en-US" w:eastAsia="zh-CN"/>
        </w:rPr>
        <w:t xml:space="preserve">2</w:t>
      </w:r>
      <w:r/>
    </w:p>
    <w:p>
      <w:pPr>
        <w:pStyle w:val="1300"/>
        <w:ind w:left="2274" w:hanging="1018"/>
        <w:spacing w:beforeAutospacing="0" w:afterAutospacing="0" w:line="480" w:lineRule="auto"/>
        <w:tabs>
          <w:tab w:val="left" w:pos="1441" w:leader="none"/>
        </w:tabs>
        <w:rPr>
          <w:rFonts w:hint="eastAsia" w:eastAsia="黑体"/>
          <w:color w:val="auto"/>
          <w:lang w:eastAsia="zh-CN"/>
        </w:rPr>
      </w:pPr>
      <w:r>
        <w:rPr>
          <w:rFonts w:hint="eastAsia" w:ascii="黑体" w:hAnsi="宋体" w:eastAsia="黑体" w:cs="黑体"/>
          <w:color w:val="auto"/>
          <w:sz w:val="36"/>
          <w:szCs w:val="36"/>
        </w:rPr>
        <w:t xml:space="preserve">投标文件格式………………………………3</w:t>
      </w:r>
      <w:r>
        <w:rPr>
          <w:rFonts w:hint="eastAsia" w:ascii="黑体" w:hAnsi="宋体" w:eastAsia="黑体" w:cs="黑体"/>
          <w:color w:val="auto"/>
          <w:sz w:val="36"/>
          <w:szCs w:val="36"/>
          <w:lang w:val="en-US" w:eastAsia="zh-CN"/>
        </w:rPr>
        <w:t xml:space="preserve">5</w:t>
      </w:r>
      <w:r/>
    </w:p>
    <w:p>
      <w:pPr>
        <w:pStyle w:val="1300"/>
        <w:ind w:left="2160" w:hanging="1440"/>
        <w:spacing w:beforeAutospacing="0" w:afterAutospacing="0" w:line="480" w:lineRule="auto"/>
        <w:tabs>
          <w:tab w:val="left" w:pos="1441" w:leader="none"/>
        </w:tabs>
        <w:rPr>
          <w:rFonts w:hint="eastAsia" w:eastAsia="黑体"/>
          <w:color w:val="auto"/>
          <w:lang w:eastAsia="zh-CN"/>
        </w:rPr>
      </w:pPr>
      <w:r>
        <w:rPr>
          <w:rFonts w:hint="eastAsia" w:eastAsia="黑体"/>
          <w:color w:val="auto"/>
          <w:lang w:eastAsia="zh-CN"/>
        </w:rPr>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rPr>
          <w:color w:val="auto"/>
        </w:rPr>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center"/>
        <w:spacing w:beforeAutospacing="0" w:afterAutospacing="0"/>
        <w:rPr>
          <w:rFonts w:hint="eastAsia" w:ascii="黑体" w:hAnsi="宋体" w:eastAsia="黑体" w:cs="黑体"/>
          <w:color w:val="auto"/>
          <w:sz w:val="44"/>
          <w:szCs w:val="44"/>
        </w:rPr>
        <w:outlineLvl w:val="0"/>
      </w:pPr>
      <w:r>
        <w:rPr>
          <w:rFonts w:hint="eastAsia" w:ascii="黑体" w:hAnsi="宋体" w:eastAsia="黑体" w:cs="黑体"/>
          <w:color w:val="auto"/>
          <w:sz w:val="44"/>
          <w:szCs w:val="44"/>
        </w:rPr>
        <w:t xml:space="preserve">第一章 </w:t>
      </w:r>
      <w:r>
        <w:rPr>
          <w:rFonts w:hint="eastAsia" w:ascii="黑体" w:hAnsi="宋体" w:eastAsia="黑体" w:cs="黑体"/>
          <w:color w:val="auto"/>
          <w:sz w:val="44"/>
          <w:szCs w:val="44"/>
          <w:lang w:val="en-US" w:eastAsia="zh-CN"/>
        </w:rPr>
        <w:t xml:space="preserve"> </w:t>
      </w:r>
      <w:r>
        <w:rPr>
          <w:rFonts w:hint="eastAsia" w:ascii="黑体" w:hAnsi="宋体" w:eastAsia="黑体" w:cs="黑体"/>
          <w:color w:val="auto"/>
          <w:sz w:val="44"/>
          <w:szCs w:val="44"/>
        </w:rPr>
        <w:t xml:space="preserve">招标公告</w:t>
      </w:r>
      <w:r/>
    </w:p>
    <w:p>
      <w:pPr>
        <w:pStyle w:val="1300"/>
        <w:ind w:firstLine="480"/>
        <w:jc w:val="both"/>
        <w:spacing w:beforeAutospacing="0" w:afterAutospacing="0" w:line="360" w:lineRule="auto"/>
        <w:rPr>
          <w:rFonts w:ascii="宋体" w:hAnsi="宋体" w:eastAsia="宋体" w:cs="宋体"/>
          <w:color w:val="000000" w:themeColor="text1"/>
          <w:sz w:val="21"/>
          <w:szCs w:val="21"/>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1"/>
          <w:szCs w:val="21"/>
          <w14:textFill>
            <w14:solidFill>
              <w14:schemeClr w14:val="tx1"/>
            </w14:solidFill>
          </w14:textFill>
        </w:rPr>
        <w:t xml:space="preserve">项目概况</w:t>
      </w:r>
      <w:r/>
    </w:p>
    <w:p>
      <w:pPr>
        <w:pStyle w:val="1300"/>
        <w:ind w:firstLine="480"/>
        <w:jc w:val="both"/>
        <w:spacing w:beforeAutospacing="0" w:afterAutospacing="0" w:line="360" w:lineRule="auto"/>
        <w:rPr>
          <w:rFonts w:ascii="宋体" w:hAnsi="宋体" w:eastAsia="宋体" w:cs="宋体"/>
          <w:color w:val="000000" w:themeColor="text1"/>
          <w:sz w:val="21"/>
          <w:szCs w:val="21"/>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1"/>
          <w:szCs w:val="21"/>
          <w:u w:val="single"/>
          <w:lang w:eastAsia="zh-CN"/>
          <w14:textFill>
            <w14:solidFill>
              <w14:schemeClr w14:val="tx1"/>
            </w14:solidFill>
          </w14:textFill>
        </w:rPr>
        <w:t xml:space="preserve">盐城市公安局“鹰眼”维保项目分包二：无人机及自动机场、平台运维服务</w:t>
      </w:r>
      <w:r>
        <w:rPr>
          <w:rFonts w:hint="eastAsia" w:ascii="宋体" w:hAnsi="宋体" w:eastAsia="宋体" w:cs="宋体"/>
          <w:color w:val="000000" w:themeColor="text1"/>
          <w:sz w:val="21"/>
          <w:szCs w:val="21"/>
          <w14:textFill>
            <w14:solidFill>
              <w14:schemeClr w14:val="tx1"/>
            </w14:solidFill>
          </w14:textFill>
        </w:rPr>
        <w:t xml:space="preserve">的潜在投标人可在</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“苏采云”系统内免费下载（投标人必须在苏采云系统中获取采购文件，方能参与政府采购项目）</w:t>
      </w:r>
      <w:r>
        <w:rPr>
          <w:rFonts w:hint="eastAsia" w:ascii="宋体" w:hAnsi="宋体" w:eastAsia="宋体" w:cs="宋体"/>
          <w:color w:val="000000" w:themeColor="text1"/>
          <w:sz w:val="21"/>
          <w:szCs w:val="21"/>
          <w14:textFill>
            <w14:solidFill>
              <w14:schemeClr w14:val="tx1"/>
            </w14:solidFill>
          </w14:textFill>
        </w:rPr>
        <w:t xml:space="preserve">，并于</w:t>
      </w:r>
      <w:r>
        <w:rPr>
          <w:rFonts w:hint="eastAsia" w:ascii="宋体" w:hAnsi="宋体" w:eastAsia="宋体" w:cs="宋体"/>
          <w:color w:val="000000" w:themeColor="text1"/>
          <w:sz w:val="21"/>
          <w:szCs w:val="21"/>
          <w:u w:val="single"/>
          <w14:textFill>
            <w14:solidFill>
              <w14:schemeClr w14:val="tx1"/>
            </w14:solidFill>
          </w14:textFill>
        </w:rPr>
        <w:t xml:space="preserve">202</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6</w:t>
      </w:r>
      <w:r>
        <w:rPr>
          <w:rFonts w:hint="eastAsia" w:ascii="宋体" w:hAnsi="宋体" w:eastAsia="宋体" w:cs="宋体"/>
          <w:color w:val="000000" w:themeColor="text1"/>
          <w:sz w:val="21"/>
          <w:szCs w:val="21"/>
          <w:u w:val="single"/>
          <w14:textFill>
            <w14:solidFill>
              <w14:schemeClr w14:val="tx1"/>
            </w14:solidFill>
          </w14:textFill>
        </w:rPr>
        <w:t xml:space="preserve">年</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6</w:t>
      </w:r>
      <w:r>
        <w:rPr>
          <w:rFonts w:hint="eastAsia" w:ascii="宋体" w:hAnsi="宋体" w:eastAsia="宋体" w:cs="宋体"/>
          <w:color w:val="000000" w:themeColor="text1"/>
          <w:sz w:val="21"/>
          <w:szCs w:val="21"/>
          <w:u w:val="single"/>
          <w14:textFill>
            <w14:solidFill>
              <w14:schemeClr w14:val="tx1"/>
            </w14:solidFill>
          </w14:textFill>
        </w:rPr>
        <w:t xml:space="preserve">月</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30</w:t>
      </w:r>
      <w:r>
        <w:rPr>
          <w:rFonts w:hint="eastAsia" w:ascii="宋体" w:hAnsi="宋体" w:eastAsia="宋体" w:cs="宋体"/>
          <w:color w:val="000000" w:themeColor="text1"/>
          <w:sz w:val="21"/>
          <w:szCs w:val="21"/>
          <w:u w:val="single"/>
          <w14:textFill>
            <w14:solidFill>
              <w14:schemeClr w14:val="tx1"/>
            </w14:solidFill>
          </w14:textFill>
        </w:rPr>
        <w:t xml:space="preserve">日</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15</w:t>
      </w:r>
      <w:r>
        <w:rPr>
          <w:rFonts w:hint="eastAsia" w:ascii="宋体" w:hAnsi="宋体" w:eastAsia="宋体" w:cs="宋体"/>
          <w:color w:val="000000" w:themeColor="text1"/>
          <w:sz w:val="21"/>
          <w:szCs w:val="21"/>
          <w:u w:val="single"/>
          <w14:textFill>
            <w14:solidFill>
              <w14:schemeClr w14:val="tx1"/>
            </w14:solidFill>
          </w14:textFill>
        </w:rPr>
        <w:t xml:space="preserve">点</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00</w:t>
      </w:r>
      <w:r>
        <w:rPr>
          <w:rFonts w:hint="eastAsia" w:ascii="宋体" w:hAnsi="宋体" w:eastAsia="宋体" w:cs="宋体"/>
          <w:color w:val="000000" w:themeColor="text1"/>
          <w:sz w:val="21"/>
          <w:szCs w:val="21"/>
          <w:u w:val="single"/>
          <w14:textFill>
            <w14:solidFill>
              <w14:schemeClr w14:val="tx1"/>
            </w14:solidFill>
          </w14:textFill>
        </w:rPr>
        <w:t xml:space="preserve">分（</w:t>
      </w:r>
      <w:r>
        <w:rPr>
          <w:rFonts w:hint="eastAsia" w:ascii="宋体" w:hAnsi="宋体" w:eastAsia="宋体" w:cs="宋体"/>
          <w:color w:val="000000" w:themeColor="text1"/>
          <w:sz w:val="21"/>
          <w:szCs w:val="21"/>
          <w14:textFill>
            <w14:solidFill>
              <w14:schemeClr w14:val="tx1"/>
            </w14:solidFill>
          </w14:textFill>
        </w:rPr>
        <w:t xml:space="preserve">北京时间）前递交投标文件。</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bookmarkStart w:id="6" w:name="_Toc35393621"/>
      <w:r/>
      <w:bookmarkStart w:id="7" w:name="_Hlk24379207"/>
      <w:r/>
      <w:bookmarkStart w:id="8" w:name="_Toc28359002"/>
      <w:r/>
      <w:bookmarkStart w:id="9" w:name="_Toc35393790"/>
      <w:r/>
      <w:bookmarkStart w:id="10" w:name="_Toc38985263"/>
      <w:r/>
      <w:bookmarkStart w:id="11" w:name="_Toc28359079"/>
      <w:r>
        <w:rPr>
          <w:rFonts w:hint="eastAsia" w:ascii="宋体" w:hAnsi="宋体" w:eastAsia="宋体" w:cs="宋体"/>
          <w:b/>
          <w:color w:val="000000" w:themeColor="text1"/>
          <w:sz w:val="21"/>
          <w:szCs w:val="21"/>
          <w14:textFill>
            <w14:solidFill>
              <w14:schemeClr w14:val="tx1"/>
            </w14:solidFill>
          </w14:textFill>
        </w:rPr>
        <w:t xml:space="preserve">一、项目基本情况</w:t>
      </w:r>
      <w:bookmarkEnd w:id="6"/>
      <w:r/>
      <w:bookmarkEnd w:id="7"/>
      <w:r/>
      <w:bookmarkEnd w:id="8"/>
      <w:r/>
      <w:bookmarkEnd w:id="9"/>
      <w:r/>
      <w:bookmarkEnd w:id="10"/>
      <w:r/>
      <w:bookmarkEnd w:id="11"/>
      <w:r/>
      <w:r/>
    </w:p>
    <w:p>
      <w:pPr>
        <w:pStyle w:val="1300"/>
        <w:ind w:firstLine="480"/>
        <w:jc w:val="both"/>
        <w:keepLines w:val="0"/>
        <w:keepNext w:val="0"/>
        <w:pageBreakBefore w:val="0"/>
        <w:spacing w:beforeAutospacing="0" w:afterAutospacing="0" w:line="312"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1.项目编号</w:t>
      </w:r>
      <w:r>
        <w:rPr>
          <w:rFonts w:hint="eastAsia" w:ascii="宋体" w:hAnsi="宋体" w:eastAsia="宋体" w:cs="宋体"/>
          <w:color w:val="000000" w:themeColor="text1"/>
          <w:sz w:val="21"/>
          <w:szCs w:val="21"/>
          <w:lang w:eastAsia="zh-CN"/>
          <w14:textFill>
            <w14:solidFill>
              <w14:schemeClr w14:val="tx1"/>
            </w14:solidFill>
          </w14:textFill>
        </w:rPr>
        <w:t xml:space="preserve">：JSZC-320900-YCZH-G2026-0007</w:t>
      </w:r>
      <w:r/>
    </w:p>
    <w:p>
      <w:pPr>
        <w:pStyle w:val="1300"/>
        <w:ind w:firstLine="480"/>
        <w:jc w:val="both"/>
        <w:keepLines w:val="0"/>
        <w:keepNext w:val="0"/>
        <w:pageBreakBefore w:val="0"/>
        <w:spacing w:beforeAutospacing="0" w:afterAutospacing="0" w:line="312"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2.项目名称：</w:t>
      </w:r>
      <w:r>
        <w:rPr>
          <w:rFonts w:hint="eastAsia" w:ascii="宋体" w:hAnsi="宋体" w:eastAsia="宋体" w:cs="宋体"/>
          <w:color w:val="000000" w:themeColor="text1"/>
          <w:sz w:val="21"/>
          <w:szCs w:val="21"/>
          <w:lang w:eastAsia="zh-CN"/>
          <w14:textFill>
            <w14:solidFill>
              <w14:schemeClr w14:val="tx1"/>
            </w14:solidFill>
          </w14:textFill>
        </w:rPr>
        <w:t xml:space="preserve">盐城市公安局“鹰眼”维保项目分包二：无人机及自动机场、平台运维服务</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3.采购方式：公开招标</w:t>
      </w:r>
      <w:r/>
    </w:p>
    <w:p>
      <w:pPr>
        <w:pStyle w:val="1300"/>
        <w:ind w:firstLine="480"/>
        <w:jc w:val="both"/>
        <w:keepLines w:val="0"/>
        <w:keepNext w:val="0"/>
        <w:pageBreakBefore w:val="0"/>
        <w:spacing w:beforeAutospacing="0" w:afterAutospacing="0" w:line="312" w:lineRule="auto"/>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4.预算金额：</w:t>
      </w:r>
      <w:r>
        <w:rPr>
          <w:rFonts w:hint="eastAsia" w:ascii="宋体" w:hAnsi="宋体" w:eastAsia="宋体" w:cs="宋体"/>
          <w:color w:val="000000" w:themeColor="text1"/>
          <w:sz w:val="21"/>
          <w:szCs w:val="21"/>
          <w:lang w:val="en-US" w:eastAsia="zh-CN"/>
          <w14:textFill>
            <w14:solidFill>
              <w14:schemeClr w14:val="tx1"/>
            </w14:solidFill>
          </w14:textFill>
        </w:rPr>
        <w:t xml:space="preserve">133.28</w:t>
      </w:r>
      <w:r>
        <w:rPr>
          <w:rFonts w:hint="eastAsia" w:ascii="宋体" w:hAnsi="宋体" w:eastAsia="宋体" w:cs="宋体"/>
          <w:color w:val="000000" w:themeColor="text1"/>
          <w:sz w:val="21"/>
          <w:szCs w:val="21"/>
          <w14:textFill>
            <w14:solidFill>
              <w14:schemeClr w14:val="tx1"/>
            </w14:solidFill>
          </w14:textFill>
        </w:rPr>
        <w:t xml:space="preserve">万</w:t>
      </w:r>
      <w:r>
        <w:rPr>
          <w:rFonts w:hint="eastAsia" w:ascii="宋体" w:hAnsi="宋体" w:eastAsia="宋体" w:cs="宋体"/>
          <w:color w:val="000000" w:themeColor="text1"/>
          <w:sz w:val="21"/>
          <w:szCs w:val="21"/>
          <w:lang w:val="en-US" w:eastAsia="zh-CN"/>
          <w14:textFill>
            <w14:solidFill>
              <w14:schemeClr w14:val="tx1"/>
            </w14:solidFill>
          </w14:textFill>
        </w:rPr>
        <w:t xml:space="preserve">元</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5.最高限价：</w:t>
      </w:r>
      <w:r>
        <w:rPr>
          <w:rFonts w:hint="eastAsia" w:ascii="宋体" w:hAnsi="宋体" w:eastAsia="宋体" w:cs="宋体"/>
          <w:color w:val="000000" w:themeColor="text1"/>
          <w:sz w:val="21"/>
          <w:szCs w:val="21"/>
          <w:lang w:val="en-US" w:eastAsia="zh-CN"/>
          <w14:textFill>
            <w14:solidFill>
              <w14:schemeClr w14:val="tx1"/>
            </w14:solidFill>
          </w14:textFill>
        </w:rPr>
        <w:t xml:space="preserve">133.28</w:t>
      </w:r>
      <w:r>
        <w:rPr>
          <w:rFonts w:hint="eastAsia" w:ascii="宋体" w:hAnsi="宋体" w:eastAsia="宋体" w:cs="宋体"/>
          <w:color w:val="000000" w:themeColor="text1"/>
          <w:sz w:val="21"/>
          <w:szCs w:val="21"/>
          <w14:textFill>
            <w14:solidFill>
              <w14:schemeClr w14:val="tx1"/>
            </w14:solidFill>
          </w14:textFill>
        </w:rPr>
        <w:t xml:space="preserve">万</w:t>
      </w:r>
      <w:r>
        <w:rPr>
          <w:rFonts w:hint="eastAsia" w:ascii="宋体" w:hAnsi="宋体" w:eastAsia="宋体" w:cs="宋体"/>
          <w:color w:val="000000" w:themeColor="text1"/>
          <w:sz w:val="21"/>
          <w:szCs w:val="21"/>
          <w:lang w:val="en-US" w:eastAsia="zh-CN"/>
          <w14:textFill>
            <w14:solidFill>
              <w14:schemeClr w14:val="tx1"/>
            </w14:solidFill>
          </w14:textFill>
        </w:rPr>
        <w:t xml:space="preserve">元</w:t>
      </w:r>
      <w:r>
        <w:rPr>
          <w:rFonts w:hint="eastAsia" w:ascii="宋体" w:hAnsi="宋体" w:eastAsia="宋体" w:cs="宋体"/>
          <w:color w:val="000000" w:themeColor="text1"/>
          <w:sz w:val="21"/>
          <w:szCs w:val="21"/>
          <w14:textFill>
            <w14:solidFill>
              <w14:schemeClr w14:val="tx1"/>
            </w14:solidFill>
          </w14:textFill>
        </w:rPr>
        <w:t xml:space="preserve">，投标人报价超过限价按无效标处理。</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6.采购需求（简介）：详细内容见本招标文件第四章</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7.合同履行期限：一年。</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8.本项目（是/否）接受联合体参与招标：否</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bookmarkStart w:id="12" w:name="_Toc35393622"/>
      <w:r/>
      <w:bookmarkStart w:id="13" w:name="_Toc35393791"/>
      <w:r/>
      <w:bookmarkStart w:id="14" w:name="_Toc28359080"/>
      <w:r/>
      <w:bookmarkStart w:id="15" w:name="_Toc38985264"/>
      <w:r/>
      <w:bookmarkStart w:id="16" w:name="_Toc28359003"/>
      <w:r>
        <w:rPr>
          <w:rFonts w:hint="eastAsia" w:ascii="宋体" w:hAnsi="宋体" w:eastAsia="宋体" w:cs="宋体"/>
          <w:b/>
          <w:color w:val="000000" w:themeColor="text1"/>
          <w:sz w:val="21"/>
          <w:szCs w:val="21"/>
          <w14:textFill>
            <w14:solidFill>
              <w14:schemeClr w14:val="tx1"/>
            </w14:solidFill>
          </w14:textFill>
        </w:rPr>
        <w:t xml:space="preserve">二、申请人的资格要求：</w:t>
      </w:r>
      <w:bookmarkEnd w:id="12"/>
      <w:r/>
      <w:bookmarkEnd w:id="13"/>
      <w:r/>
      <w:bookmarkEnd w:id="14"/>
      <w:r/>
      <w:bookmarkEnd w:id="15"/>
      <w:r/>
      <w:bookmarkEnd w:id="16"/>
      <w:r/>
      <w:r/>
    </w:p>
    <w:p>
      <w:pPr>
        <w:pStyle w:val="1300"/>
        <w:ind w:firstLine="480"/>
        <w:jc w:val="both"/>
        <w:keepLines w:val="0"/>
        <w:keepNext w:val="0"/>
        <w:pageBreakBefore w:val="0"/>
        <w:spacing w:beforeAutospacing="0" w:afterAutospacing="0" w:line="312"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1.满足《中华人民共和国政府采购法》第二十二条规定，并提供下列材料：</w:t>
      </w:r>
      <w:r/>
    </w:p>
    <w:p>
      <w:pPr>
        <w:pStyle w:val="1300"/>
        <w:ind w:firstLine="480"/>
        <w:jc w:val="both"/>
        <w:keepLines w:val="0"/>
        <w:keepNext w:val="0"/>
        <w:pageBreakBefore w:val="0"/>
        <w:spacing w:beforeAutospacing="0" w:afterAutospacing="0" w:line="312"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 法人或者其他组织的营业执照等证明文件，自然人的身份证明；</w:t>
      </w:r>
      <w:r/>
    </w:p>
    <w:p>
      <w:pPr>
        <w:pStyle w:val="1300"/>
        <w:ind w:firstLine="480"/>
        <w:jc w:val="both"/>
        <w:keepLines w:val="0"/>
        <w:keepNext w:val="0"/>
        <w:pageBreakBefore w:val="0"/>
        <w:spacing w:beforeAutospacing="0" w:afterAutospacing="0" w:line="312"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1.2上一年度的财务状况报</w:t>
      </w:r>
      <w:r>
        <w:rPr>
          <w:rFonts w:hint="eastAsia" w:ascii="宋体" w:hAnsi="宋体" w:eastAsia="宋体" w:cs="宋体"/>
          <w:color w:val="000000" w:themeColor="text1"/>
          <w:sz w:val="21"/>
          <w:szCs w:val="21"/>
          <w:lang w:eastAsia="zh-CN"/>
          <w14:textFill>
            <w14:solidFill>
              <w14:schemeClr w14:val="tx1"/>
            </w14:solidFill>
          </w14:textFill>
        </w:rPr>
        <w:t xml:space="preserve">表</w:t>
      </w:r>
      <w:r>
        <w:rPr>
          <w:rFonts w:hint="eastAsia" w:ascii="宋体" w:hAnsi="宋体" w:eastAsia="宋体" w:cs="宋体"/>
          <w:color w:val="000000" w:themeColor="text1"/>
          <w:sz w:val="21"/>
          <w:szCs w:val="21"/>
          <w14:textFill>
            <w14:solidFill>
              <w14:schemeClr w14:val="tx1"/>
            </w14:solidFill>
          </w14:textFill>
        </w:rPr>
        <w:t xml:space="preserve">（成立不满一年无需提供）；</w:t>
      </w:r>
      <w:r/>
    </w:p>
    <w:p>
      <w:pPr>
        <w:pStyle w:val="1300"/>
        <w:ind w:firstLine="480"/>
        <w:jc w:val="both"/>
        <w:keepLines w:val="0"/>
        <w:keepNext w:val="0"/>
        <w:pageBreakBefore w:val="0"/>
        <w:spacing w:beforeAutospacing="0" w:afterAutospacing="0" w:line="312"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300"/>
        <w:ind w:firstLine="480"/>
        <w:jc w:val="both"/>
        <w:keepLines w:val="0"/>
        <w:keepNext w:val="0"/>
        <w:pageBreakBefore w:val="0"/>
        <w:spacing w:beforeAutospacing="0" w:afterAutospacing="0" w:line="312"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1.4具备履行合同所必需的设备和专业技术能力的书面声明；</w:t>
      </w:r>
      <w:r/>
    </w:p>
    <w:p>
      <w:pPr>
        <w:pStyle w:val="1300"/>
        <w:ind w:firstLine="480"/>
        <w:jc w:val="both"/>
        <w:keepLines w:val="0"/>
        <w:keepNext w:val="0"/>
        <w:pageBreakBefore w:val="0"/>
        <w:spacing w:beforeAutospacing="0" w:afterAutospacing="0" w:line="312"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1.5参加政府采购活动前3年内在经营活动中没有重大违法记录的书面声明。</w:t>
      </w:r>
      <w:r/>
    </w:p>
    <w:p>
      <w:pPr>
        <w:pStyle w:val="1300"/>
        <w:ind w:firstLine="480"/>
        <w:jc w:val="both"/>
        <w:keepLines w:val="0"/>
        <w:keepNext w:val="0"/>
        <w:pageBreakBefore w:val="0"/>
        <w:spacing w:beforeAutospacing="0" w:afterAutospacing="0" w:line="312"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1.6法律、行政法规规定的其他条件。</w:t>
      </w:r>
      <w:r/>
    </w:p>
    <w:p>
      <w:pPr>
        <w:pStyle w:val="1300"/>
        <w:ind w:firstLine="480"/>
        <w:jc w:val="both"/>
        <w:keepLines w:val="0"/>
        <w:keepNext w:val="0"/>
        <w:pageBreakBefore w:val="0"/>
        <w:spacing w:beforeAutospacing="0" w:afterAutospacing="0" w:line="312"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300"/>
        <w:ind w:firstLine="480"/>
        <w:jc w:val="both"/>
        <w:keepLines w:val="0"/>
        <w:keepNext w:val="0"/>
        <w:pageBreakBefore w:val="0"/>
        <w:spacing w:beforeAutospacing="0" w:afterAutospacing="0" w:line="312"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1.8单位负责人为同一人或者存在直接控股、管理关系的不同供应商，不得参加同一合同项下的政府采购活动。</w:t>
      </w:r>
      <w:r/>
    </w:p>
    <w:p>
      <w:pPr>
        <w:pStyle w:val="1300"/>
        <w:ind w:firstLine="480"/>
        <w:jc w:val="both"/>
        <w:keepLines w:val="0"/>
        <w:keepNext w:val="0"/>
        <w:pageBreakBefore w:val="0"/>
        <w:spacing w:beforeAutospacing="0" w:afterAutospacing="0" w:line="312"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2.落实政府采购政策需满足的资格要求：无。</w:t>
      </w:r>
      <w:r/>
    </w:p>
    <w:p>
      <w:pPr>
        <w:pStyle w:val="1300"/>
        <w:ind w:firstLine="480"/>
        <w:jc w:val="both"/>
        <w:keepLines w:val="0"/>
        <w:keepNext w:val="0"/>
        <w:pageBreakBefore w:val="0"/>
        <w:spacing w:beforeAutospacing="0" w:afterAutospacing="0" w:line="312"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3.本项目的特定资格要求：无。</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三、获取招标文件</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bookmarkStart w:id="17" w:name="_Toc38985266"/>
      <w:r/>
      <w:bookmarkStart w:id="18" w:name="_Toc35393793"/>
      <w:r/>
      <w:bookmarkStart w:id="19" w:name="_Toc28359005"/>
      <w:r/>
      <w:bookmarkStart w:id="20" w:name="_Toc28359082"/>
      <w:r/>
      <w:bookmarkStart w:id="21" w:name="_Toc35393624"/>
      <w:r>
        <w:rPr>
          <w:rFonts w:hint="eastAsia" w:ascii="宋体" w:hAnsi="宋体" w:eastAsia="宋体" w:cs="宋体"/>
          <w:color w:val="000000" w:themeColor="text1"/>
          <w:sz w:val="21"/>
          <w:szCs w:val="21"/>
          <w14:textFill>
            <w14:solidFill>
              <w14:schemeClr w14:val="tx1"/>
            </w14:solidFill>
          </w14:textFill>
        </w:rPr>
        <w:t xml:space="preserve">1.时间：</w:t>
      </w:r>
      <w:bookmarkEnd w:id="17"/>
      <w:r/>
      <w:bookmarkEnd w:id="18"/>
      <w:r/>
      <w:bookmarkEnd w:id="19"/>
      <w:r/>
      <w:bookmarkEnd w:id="20"/>
      <w:r/>
      <w:bookmarkEnd w:id="21"/>
      <w:r>
        <w:rPr>
          <w:rFonts w:hint="eastAsia" w:ascii="宋体" w:hAnsi="宋体" w:eastAsia="宋体" w:cs="宋体"/>
          <w:color w:val="000000" w:themeColor="text1"/>
          <w:sz w:val="21"/>
          <w:szCs w:val="21"/>
          <w14:textFill>
            <w14:solidFill>
              <w14:schemeClr w14:val="tx1"/>
            </w14:solidFill>
          </w14:textFill>
        </w:rPr>
        <w:t xml:space="preserve">自招标文件公告发布之日起5个工作日。</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2.地点：“苏采云”系统内免费下载（投标人必须在苏采云系统中获取采购文件，方能参与政府采购项目）；</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3.方式：本项目采用网上注册登记方式。 </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4.售价：0元</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四、提交投标文件截止时间、开标时间和地点</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1.时间：202</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年</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月</w:t>
      </w:r>
      <w:r>
        <w:rPr>
          <w:rFonts w:hint="eastAsia" w:ascii="宋体" w:hAnsi="宋体" w:eastAsia="宋体" w:cs="宋体"/>
          <w:color w:val="000000" w:themeColor="text1"/>
          <w:sz w:val="21"/>
          <w:szCs w:val="21"/>
          <w:lang w:val="en-US" w:eastAsia="zh-CN"/>
          <w14:textFill>
            <w14:solidFill>
              <w14:schemeClr w14:val="tx1"/>
            </w14:solidFill>
          </w14:textFill>
        </w:rPr>
        <w:t xml:space="preserve">30</w:t>
      </w:r>
      <w:r>
        <w:rPr>
          <w:rFonts w:hint="eastAsia" w:ascii="宋体" w:hAnsi="宋体" w:eastAsia="宋体" w:cs="宋体"/>
          <w:color w:val="000000" w:themeColor="text1"/>
          <w:sz w:val="21"/>
          <w:szCs w:val="21"/>
          <w14:textFill>
            <w14:solidFill>
              <w14:schemeClr w14:val="tx1"/>
            </w14:solidFill>
          </w14:textFill>
        </w:rPr>
        <w:t xml:space="preserve">日</w:t>
      </w:r>
      <w:r>
        <w:rPr>
          <w:rFonts w:hint="eastAsia" w:ascii="宋体" w:hAnsi="宋体" w:eastAsia="宋体" w:cs="宋体"/>
          <w:color w:val="000000" w:themeColor="text1"/>
          <w:sz w:val="21"/>
          <w:szCs w:val="21"/>
          <w:lang w:val="en-US" w:eastAsia="zh-CN"/>
          <w14:textFill>
            <w14:solidFill>
              <w14:schemeClr w14:val="tx1"/>
            </w14:solidFill>
          </w14:textFill>
        </w:rPr>
        <w:t xml:space="preserve">15</w:t>
      </w:r>
      <w:r>
        <w:rPr>
          <w:rFonts w:hint="eastAsia" w:ascii="宋体" w:hAnsi="宋体" w:eastAsia="宋体" w:cs="宋体"/>
          <w:color w:val="000000" w:themeColor="text1"/>
          <w:sz w:val="21"/>
          <w:szCs w:val="21"/>
          <w14:textFill>
            <w14:solidFill>
              <w14:schemeClr w14:val="tx1"/>
            </w14:solidFill>
          </w14:textFill>
        </w:rPr>
        <w:t xml:space="preserve">点00分（北京时间）</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2.地点：苏采云“不见面”开标大厅 。</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000000" w:themeColor="text1"/>
          <w:sz w:val="21"/>
          <w:szCs w:val="21"/>
          <w14:textFill>
            <w14:solidFill>
              <w14:schemeClr w14:val="tx1"/>
            </w14:solidFill>
          </w14:textFill>
        </w:rPr>
      </w:pPr>
      <w:r/>
      <w:bookmarkStart w:id="22" w:name="_Toc38985267"/>
      <w:r/>
      <w:bookmarkStart w:id="23" w:name="_Toc35393625"/>
      <w:r/>
      <w:bookmarkStart w:id="24" w:name="_Toc28359007"/>
      <w:r/>
      <w:bookmarkStart w:id="25" w:name="_Toc28359084"/>
      <w:r/>
      <w:bookmarkStart w:id="26" w:name="_Toc35393794"/>
      <w:r>
        <w:rPr>
          <w:rFonts w:hint="eastAsia" w:ascii="宋体" w:hAnsi="宋体" w:eastAsia="宋体" w:cs="宋体"/>
          <w:b/>
          <w:color w:val="000000" w:themeColor="text1"/>
          <w:sz w:val="21"/>
          <w:szCs w:val="21"/>
          <w14:textFill>
            <w14:solidFill>
              <w14:schemeClr w14:val="tx1"/>
            </w14:solidFill>
          </w14:textFill>
        </w:rPr>
        <w:t xml:space="preserve">五、公告期限</w:t>
      </w:r>
      <w:bookmarkEnd w:id="22"/>
      <w:r/>
      <w:bookmarkEnd w:id="23"/>
      <w:r/>
      <w:bookmarkEnd w:id="24"/>
      <w:r/>
      <w:bookmarkEnd w:id="25"/>
      <w:r/>
      <w:bookmarkEnd w:id="26"/>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auto"/>
          <w:sz w:val="21"/>
          <w:szCs w:val="21"/>
          <w:shd w:val="clear" w:color="auto" w:fill="ffffff"/>
        </w:rPr>
      </w:pPr>
      <w:r/>
      <w:bookmarkStart w:id="27" w:name="_Toc38985268"/>
      <w:r/>
      <w:bookmarkStart w:id="28" w:name="_Toc35393795"/>
      <w:r/>
      <w:bookmarkStart w:id="29" w:name="_Toc35393626"/>
      <w:r>
        <w:rPr>
          <w:rFonts w:hint="eastAsia" w:ascii="宋体" w:hAnsi="宋体" w:eastAsia="宋体" w:cs="宋体"/>
          <w:color w:val="auto"/>
          <w:sz w:val="21"/>
          <w:szCs w:val="21"/>
          <w:shd w:val="clear" w:color="auto" w:fill="ffffff"/>
        </w:rPr>
        <w:t xml:space="preserve">自本公告发布之日起5个工作日。</w:t>
      </w:r>
      <w:bookmarkEnd w:id="27"/>
      <w:r/>
      <w:bookmarkEnd w:id="28"/>
      <w:r/>
      <w:bookmarkEnd w:id="29"/>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color w:val="auto"/>
          <w:sz w:val="21"/>
          <w:szCs w:val="21"/>
        </w:rPr>
      </w:pPr>
      <w:r>
        <w:rPr>
          <w:rFonts w:hint="eastAsia" w:ascii="宋体" w:hAnsi="宋体" w:eastAsia="宋体" w:cs="宋体"/>
          <w:b/>
          <w:color w:val="auto"/>
          <w:sz w:val="21"/>
          <w:szCs w:val="21"/>
        </w:rPr>
        <w:t xml:space="preserve">六、其他补充事宜</w:t>
      </w:r>
      <w:r/>
    </w:p>
    <w:p>
      <w:pPr>
        <w:pStyle w:val="1300"/>
        <w:ind w:firstLine="480"/>
        <w:jc w:val="left"/>
        <w:keepLines w:val="0"/>
        <w:keepNext w:val="0"/>
        <w:pageBreakBefore w:val="0"/>
        <w:spacing w:beforeAutospacing="0" w:afterAutospacing="0" w:line="312" w:lineRule="auto"/>
        <w:widowControl w:val="off"/>
        <w:rPr>
          <w:rFonts w:hint="eastAsia" w:ascii="宋体" w:hAnsi="宋体" w:eastAsia="宋体" w:cs="宋体"/>
          <w:color w:val="auto"/>
          <w:sz w:val="21"/>
          <w:szCs w:val="21"/>
        </w:rPr>
      </w:pPr>
      <w:r/>
      <w:bookmarkStart w:id="30" w:name="_Toc28359018"/>
      <w:r>
        <w:rPr>
          <w:rFonts w:hint="eastAsia" w:ascii="宋体" w:hAnsi="宋体" w:eastAsia="宋体" w:cs="宋体"/>
          <w:color w:val="auto"/>
          <w:sz w:val="21"/>
          <w:szCs w:val="21"/>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color w:val="auto"/>
          <w:sz w:val="21"/>
          <w:szCs w:val="21"/>
        </w:rPr>
        <w:br/>
      </w:r>
      <w:r>
        <w:rPr>
          <w:rFonts w:hint="eastAsia" w:ascii="宋体" w:hAnsi="宋体" w:eastAsia="宋体" w:cs="宋体"/>
          <w:color w:val="auto"/>
          <w:sz w:val="21"/>
          <w:szCs w:val="21"/>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    2. 潜在供应商访问电子招标响应交易平台的网络地址和方法： </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    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    2.2 潜在投标人访问“苏采云”系统方法：江苏省政府采购网首页-“苏采云”链接。 </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    2.3 采购文件（后缀名为“.kedt”）、供应商操作手册及政府采购客户端 工具可通过“苏采云”系统相应链接进行下载。 </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    2.4 采购代理机构将数据电文形式的采购文件加载至“苏采云”系统，供潜在供应商下载或者查阅。 </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    2.5 请潜在投标单位提前安装相应的控件（详见《“苏采云”系统供应商操作手册》）并使用谷歌浏览器登录“苏采云”系统参与不见面开评标。 </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如潜在投标人未按上述要求操作，将自行承担所产生的风险。</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    3.有关本次招标的事项若存在变动或修改，敬请及时关注采购代理机构在“中国政府采购网”“江苏政府采购网”“盐城市政府采购网”发布的更正公告。</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4.本次招标不收取投标保证金，不收取质量保证金。</w:t>
      </w:r>
      <w:r/>
    </w:p>
    <w:p>
      <w:pPr>
        <w:pStyle w:val="1300"/>
        <w:ind w:firstLine="480"/>
        <w:jc w:val="both"/>
        <w:keepLines w:val="0"/>
        <w:keepNext w:val="0"/>
        <w:pageBreakBefore w:val="0"/>
        <w:spacing w:beforeAutospacing="0" w:afterAutospacing="0" w:line="312" w:lineRule="auto"/>
        <w:widowControl w:val="off"/>
        <w:rPr>
          <w:rFonts w:ascii="宋体" w:hAnsi="宋体" w:eastAsia="宋体" w:cs="宋体"/>
          <w:b/>
          <w:bCs/>
          <w:color w:val="auto"/>
          <w:sz w:val="21"/>
          <w:szCs w:val="21"/>
        </w:rPr>
      </w:pPr>
      <w:r>
        <w:rPr>
          <w:rFonts w:hint="eastAsia" w:ascii="宋体" w:hAnsi="宋体" w:eastAsia="宋体" w:cs="宋体"/>
          <w:b/>
          <w:bCs/>
          <w:color w:val="auto"/>
          <w:sz w:val="21"/>
          <w:szCs w:val="21"/>
        </w:rPr>
        <w:t xml:space="preserve">七、对本次招标提出询问，请按以下方式联系。</w:t>
      </w:r>
      <w:bookmarkEnd w:id="30"/>
      <w:r/>
      <w:r/>
    </w:p>
    <w:p>
      <w:pPr>
        <w:ind w:firstLine="420"/>
        <w:keepLines w:val="0"/>
        <w:keepNext w:val="0"/>
        <w:pageBreakBefore w:val="0"/>
        <w:spacing w:line="312" w:lineRule="auto"/>
        <w:widowControl w:val="off"/>
        <w:rPr>
          <w:rFonts w:ascii="宋体" w:hAnsi="宋体" w:eastAsia="宋体" w:cs="宋体"/>
          <w:bCs/>
          <w:color w:val="auto"/>
          <w:szCs w:val="21"/>
        </w:rPr>
      </w:pPr>
      <w:r/>
      <w:bookmarkStart w:id="31" w:name="_Toc28359097"/>
      <w:r/>
      <w:bookmarkStart w:id="32" w:name="_Toc35393638"/>
      <w:r/>
      <w:bookmarkStart w:id="33" w:name="_Toc28359020"/>
      <w:r/>
      <w:bookmarkStart w:id="34" w:name="_Toc35393807"/>
      <w:r/>
      <w:bookmarkStart w:id="35" w:name="_Toc28359087"/>
      <w:r/>
      <w:bookmarkStart w:id="36" w:name="_Toc28359010"/>
      <w:r>
        <w:rPr>
          <w:rFonts w:hint="eastAsia" w:ascii="宋体" w:hAnsi="宋体" w:eastAsia="宋体" w:cs="宋体"/>
          <w:bCs/>
          <w:color w:val="auto"/>
          <w:szCs w:val="21"/>
        </w:rPr>
        <w:t xml:space="preserve">1.采购人信息</w:t>
      </w:r>
      <w:r/>
    </w:p>
    <w:p>
      <w:pPr>
        <w:ind w:firstLine="420"/>
        <w:keepLines w:val="0"/>
        <w:keepNext w:val="0"/>
        <w:pageBreakBefore w:val="0"/>
        <w:spacing w:line="312" w:lineRule="auto"/>
        <w:widowControl w:val="off"/>
        <w:rPr>
          <w:rFonts w:ascii="宋体" w:hAnsi="宋体" w:eastAsia="宋体" w:cs="宋体"/>
          <w:color w:val="auto"/>
          <w:szCs w:val="21"/>
        </w:rPr>
      </w:pPr>
      <w:r>
        <w:rPr>
          <w:rFonts w:hint="eastAsia" w:ascii="宋体" w:hAnsi="宋体" w:eastAsia="宋体" w:cs="宋体"/>
          <w:color w:val="auto"/>
          <w:szCs w:val="21"/>
        </w:rPr>
        <w:t xml:space="preserve">名    称：</w:t>
      </w:r>
      <w:r>
        <w:rPr>
          <w:rFonts w:hint="eastAsia" w:ascii="宋体" w:hAnsi="宋体" w:eastAsia="宋体" w:cs="宋体"/>
          <w:bCs/>
          <w:color w:val="auto"/>
          <w:szCs w:val="21"/>
        </w:rPr>
        <w:t xml:space="preserve">盐城市公安局</w:t>
      </w:r>
      <w:r/>
    </w:p>
    <w:p>
      <w:pPr>
        <w:ind w:firstLine="420"/>
        <w:keepLines w:val="0"/>
        <w:keepNext w:val="0"/>
        <w:pageBreakBefore w:val="0"/>
        <w:spacing w:line="312" w:lineRule="auto"/>
        <w:widowControl w:val="off"/>
        <w:rPr>
          <w:rFonts w:ascii="宋体" w:hAnsi="宋体" w:eastAsia="宋体" w:cs="宋体"/>
          <w:color w:val="auto"/>
          <w:szCs w:val="21"/>
        </w:rPr>
      </w:pPr>
      <w:r>
        <w:rPr>
          <w:rFonts w:hint="eastAsia" w:ascii="宋体" w:hAnsi="宋体" w:eastAsia="宋体" w:cs="宋体"/>
          <w:color w:val="auto"/>
          <w:szCs w:val="21"/>
        </w:rPr>
        <w:t xml:space="preserve">地    址：盐城市平安路9号</w:t>
      </w:r>
      <w:r/>
    </w:p>
    <w:p>
      <w:pPr>
        <w:ind w:firstLine="420"/>
        <w:keepLines w:val="0"/>
        <w:keepNext w:val="0"/>
        <w:pageBreakBefore w:val="0"/>
        <w:spacing w:line="312" w:lineRule="auto"/>
        <w:widowControl w:val="off"/>
        <w:rPr>
          <w:rFonts w:ascii="宋体" w:hAnsi="宋体" w:eastAsia="宋体" w:cs="宋体"/>
          <w:color w:val="auto"/>
          <w:szCs w:val="21"/>
        </w:rPr>
      </w:pPr>
      <w:r>
        <w:rPr>
          <w:rFonts w:hint="eastAsia" w:ascii="宋体" w:hAnsi="宋体" w:eastAsia="宋体" w:cs="宋体"/>
          <w:color w:val="auto"/>
          <w:szCs w:val="21"/>
        </w:rPr>
        <w:t xml:space="preserve">联 系 人：</w:t>
      </w:r>
      <w:bookmarkStart w:id="37" w:name="OLE_LINK2"/>
      <w:r>
        <w:rPr>
          <w:rFonts w:hint="eastAsia" w:ascii="宋体" w:hAnsi="宋体" w:eastAsia="宋体" w:cs="宋体"/>
          <w:color w:val="auto"/>
          <w:szCs w:val="21"/>
        </w:rPr>
        <w:t xml:space="preserve">江警官</w:t>
      </w:r>
      <w:bookmarkEnd w:id="37"/>
      <w:r/>
      <w:r/>
    </w:p>
    <w:p>
      <w:pPr>
        <w:ind w:firstLine="420"/>
        <w:keepLines w:val="0"/>
        <w:keepNext w:val="0"/>
        <w:pageBreakBefore w:val="0"/>
        <w:spacing w:line="312" w:lineRule="auto"/>
        <w:widowControl w:val="off"/>
        <w:rPr>
          <w:rFonts w:ascii="宋体" w:hAnsi="宋体" w:eastAsia="宋体" w:cs="宋体"/>
          <w:color w:val="auto"/>
          <w:szCs w:val="21"/>
        </w:rPr>
      </w:pPr>
      <w:r>
        <w:rPr>
          <w:rFonts w:hint="eastAsia" w:ascii="宋体" w:hAnsi="宋体" w:eastAsia="宋体" w:cs="宋体"/>
          <w:color w:val="auto"/>
          <w:szCs w:val="21"/>
        </w:rPr>
        <w:t xml:space="preserve">联系电话：</w:t>
      </w:r>
      <w:bookmarkStart w:id="38" w:name="OLE_LINK3"/>
      <w:r>
        <w:rPr>
          <w:rFonts w:hint="eastAsia" w:ascii="宋体" w:hAnsi="宋体" w:eastAsia="宋体" w:cs="宋体"/>
          <w:color w:val="auto"/>
          <w:szCs w:val="21"/>
        </w:rPr>
        <w:t xml:space="preserve">0515-83220095</w:t>
      </w:r>
      <w:bookmarkEnd w:id="38"/>
      <w:r/>
      <w:r/>
    </w:p>
    <w:p>
      <w:pPr>
        <w:ind w:firstLine="420"/>
        <w:keepLines w:val="0"/>
        <w:keepNext w:val="0"/>
        <w:pageBreakBefore w:val="0"/>
        <w:spacing w:line="312" w:lineRule="auto"/>
        <w:widowControl w:val="off"/>
        <w:rPr>
          <w:rFonts w:ascii="宋体" w:hAnsi="宋体" w:eastAsia="宋体" w:cs="宋体"/>
          <w:color w:val="auto"/>
          <w:szCs w:val="21"/>
        </w:rPr>
      </w:pPr>
      <w:r>
        <w:rPr>
          <w:rFonts w:hint="eastAsia" w:ascii="宋体" w:hAnsi="宋体" w:eastAsia="宋体" w:cs="宋体"/>
          <w:color w:val="auto"/>
          <w:szCs w:val="21"/>
        </w:rPr>
        <w:t xml:space="preserve">2.采购代理机构信息</w:t>
      </w:r>
      <w:bookmarkEnd w:id="31"/>
      <w:r/>
      <w:bookmarkEnd w:id="32"/>
      <w:r/>
      <w:bookmarkEnd w:id="33"/>
      <w:r/>
      <w:bookmarkEnd w:id="34"/>
      <w:r/>
      <w:r/>
    </w:p>
    <w:p>
      <w:pPr>
        <w:ind w:firstLine="420"/>
        <w:keepLines w:val="0"/>
        <w:keepNext w:val="0"/>
        <w:pageBreakBefore w:val="0"/>
        <w:spacing w:line="312" w:lineRule="auto"/>
        <w:widowControl w:val="off"/>
        <w:rPr>
          <w:rFonts w:ascii="宋体" w:hAnsi="宋体" w:eastAsia="宋体" w:cs="宋体"/>
          <w:color w:val="auto"/>
          <w:szCs w:val="21"/>
        </w:rPr>
      </w:pPr>
      <w:r>
        <w:rPr>
          <w:rFonts w:hint="eastAsia" w:ascii="宋体" w:hAnsi="宋体" w:eastAsia="宋体" w:cs="宋体"/>
          <w:color w:val="auto"/>
          <w:szCs w:val="21"/>
        </w:rPr>
        <w:t xml:space="preserve">名    称：盐城市智禾项目管理有限公司</w:t>
      </w:r>
      <w:r/>
    </w:p>
    <w:p>
      <w:pPr>
        <w:ind w:firstLine="420"/>
        <w:keepLines w:val="0"/>
        <w:keepNext w:val="0"/>
        <w:pageBreakBefore w:val="0"/>
        <w:spacing w:line="312" w:lineRule="auto"/>
        <w:widowControl w:val="off"/>
        <w:rPr>
          <w:rFonts w:ascii="宋体" w:hAnsi="宋体" w:eastAsia="宋体" w:cs="宋体"/>
          <w:color w:val="auto"/>
          <w:szCs w:val="21"/>
        </w:rPr>
      </w:pPr>
      <w:r>
        <w:rPr>
          <w:rFonts w:hint="eastAsia" w:ascii="宋体" w:hAnsi="宋体" w:eastAsia="宋体" w:cs="宋体"/>
          <w:color w:val="auto"/>
          <w:szCs w:val="21"/>
        </w:rPr>
        <w:t xml:space="preserve">地    址：</w:t>
      </w:r>
      <w:bookmarkStart w:id="39" w:name="OLE_LINK4"/>
      <w:r>
        <w:rPr>
          <w:rFonts w:hint="eastAsia" w:ascii="宋体" w:hAnsi="宋体" w:eastAsia="宋体" w:cs="宋体"/>
          <w:color w:val="auto"/>
          <w:szCs w:val="21"/>
        </w:rPr>
        <w:t xml:space="preserve">盐城市盐都区宏都路华邦国际西厦 603室</w:t>
      </w:r>
      <w:bookmarkEnd w:id="39"/>
      <w:r/>
      <w:r/>
    </w:p>
    <w:p>
      <w:pPr>
        <w:ind w:firstLine="420"/>
        <w:keepLines w:val="0"/>
        <w:keepNext w:val="0"/>
        <w:pageBreakBefore w:val="0"/>
        <w:spacing w:line="312" w:lineRule="auto"/>
        <w:widowControl w:val="off"/>
        <w:rPr>
          <w:rFonts w:ascii="宋体" w:hAnsi="宋体" w:eastAsia="宋体" w:cs="宋体"/>
          <w:color w:val="auto"/>
          <w:szCs w:val="21"/>
        </w:rPr>
      </w:pPr>
      <w:r>
        <w:rPr>
          <w:rFonts w:hint="eastAsia" w:ascii="宋体" w:hAnsi="宋体" w:eastAsia="宋体" w:cs="宋体"/>
          <w:color w:val="auto"/>
          <w:szCs w:val="21"/>
        </w:rPr>
        <w:t xml:space="preserve">联 系 人：</w:t>
      </w:r>
      <w:bookmarkStart w:id="40" w:name="OLE_LINK5"/>
      <w:r>
        <w:rPr>
          <w:rFonts w:hint="eastAsia" w:ascii="宋体" w:hAnsi="宋体" w:eastAsia="宋体" w:cs="宋体"/>
          <w:color w:val="auto"/>
          <w:szCs w:val="21"/>
        </w:rPr>
        <w:t xml:space="preserve">王女士</w:t>
      </w:r>
      <w:bookmarkEnd w:id="40"/>
      <w:r/>
      <w:r/>
    </w:p>
    <w:p>
      <w:pPr>
        <w:ind w:firstLine="420"/>
        <w:keepLines w:val="0"/>
        <w:keepNext w:val="0"/>
        <w:pageBreakBefore w:val="0"/>
        <w:spacing w:line="312" w:lineRule="auto"/>
        <w:widowControl w:val="off"/>
        <w:rPr>
          <w:rFonts w:ascii="宋体" w:hAnsi="宋体" w:eastAsia="宋体" w:cs="宋体"/>
          <w:color w:val="auto"/>
          <w:szCs w:val="21"/>
        </w:rPr>
      </w:pPr>
      <w:r>
        <w:rPr>
          <w:rFonts w:hint="eastAsia" w:ascii="宋体" w:hAnsi="宋体" w:eastAsia="宋体" w:cs="宋体"/>
          <w:color w:val="auto"/>
          <w:szCs w:val="21"/>
        </w:rPr>
        <w:t xml:space="preserve">联系电话：</w:t>
      </w:r>
      <w:bookmarkStart w:id="41" w:name="OLE_LINK6"/>
      <w:r>
        <w:rPr>
          <w:rFonts w:hint="eastAsia" w:ascii="宋体" w:hAnsi="宋体" w:eastAsia="宋体" w:cs="宋体"/>
          <w:color w:val="auto"/>
          <w:szCs w:val="21"/>
        </w:rPr>
        <w:t xml:space="preserve">18151392913</w:t>
      </w:r>
      <w:bookmarkEnd w:id="41"/>
      <w:r>
        <w:rPr>
          <w:rFonts w:hint="eastAsia" w:ascii="宋体" w:hAnsi="宋体" w:eastAsia="宋体" w:cs="宋体"/>
          <w:color w:val="auto"/>
          <w:szCs w:val="21"/>
        </w:rPr>
        <w:t xml:space="preserve">     </w:t>
      </w:r>
      <w:bookmarkEnd w:id="35"/>
      <w:r/>
      <w:bookmarkEnd w:id="36"/>
      <w:r/>
      <w:r/>
    </w:p>
    <w:p>
      <w:pPr>
        <w:ind w:firstLine="420"/>
        <w:keepLines w:val="0"/>
        <w:keepNext w:val="0"/>
        <w:pageBreakBefore w:val="0"/>
        <w:spacing w:line="312" w:lineRule="auto"/>
        <w:widowControl w:val="off"/>
        <w:rPr>
          <w:rFonts w:ascii="宋体" w:hAnsi="宋体" w:eastAsia="宋体" w:cs="宋体"/>
          <w:color w:val="auto"/>
          <w:szCs w:val="21"/>
        </w:rPr>
      </w:pPr>
      <w:r/>
      <w:bookmarkStart w:id="42" w:name="_Toc28359021"/>
      <w:r>
        <w:rPr>
          <w:rFonts w:hint="eastAsia" w:ascii="宋体" w:hAnsi="宋体" w:eastAsia="宋体" w:cs="宋体"/>
          <w:color w:val="auto"/>
          <w:szCs w:val="21"/>
        </w:rPr>
        <w:t xml:space="preserve">3.</w:t>
      </w:r>
      <w:bookmarkEnd w:id="42"/>
      <w:r>
        <w:rPr>
          <w:rFonts w:hint="eastAsia" w:ascii="宋体" w:hAnsi="宋体" w:eastAsia="宋体" w:cs="宋体"/>
          <w:color w:val="auto"/>
          <w:szCs w:val="21"/>
        </w:rPr>
        <w:t xml:space="preserve">项目联系方式</w:t>
      </w:r>
      <w:r/>
    </w:p>
    <w:p>
      <w:pPr>
        <w:ind w:firstLine="420"/>
        <w:keepLines w:val="0"/>
        <w:keepNext w:val="0"/>
        <w:pageBreakBefore w:val="0"/>
        <w:spacing w:line="312" w:lineRule="auto"/>
        <w:widowControl w:val="off"/>
        <w:rPr>
          <w:rFonts w:ascii="宋体" w:hAnsi="宋体" w:eastAsia="宋体" w:cs="宋体"/>
          <w:color w:val="auto"/>
          <w:szCs w:val="21"/>
        </w:rPr>
      </w:pPr>
      <w:r>
        <w:rPr>
          <w:rFonts w:hint="eastAsia" w:ascii="宋体" w:hAnsi="宋体" w:eastAsia="宋体" w:cs="宋体"/>
          <w:color w:val="auto"/>
          <w:szCs w:val="21"/>
        </w:rPr>
        <w:t xml:space="preserve">项目联系人：王女士</w:t>
      </w:r>
      <w:r/>
    </w:p>
    <w:p>
      <w:pPr>
        <w:pStyle w:val="1300"/>
        <w:ind w:firstLine="420"/>
        <w:jc w:val="left"/>
        <w:spacing w:beforeAutospacing="0" w:afterAutospacing="0"/>
        <w:rPr>
          <w:rFonts w:hint="eastAsia" w:ascii="黑体" w:hAnsi="宋体" w:eastAsia="黑体" w:cs="黑体"/>
          <w:color w:val="auto"/>
          <w:sz w:val="44"/>
          <w:szCs w:val="44"/>
        </w:rPr>
        <w:outlineLvl w:val="0"/>
      </w:pPr>
      <w:r>
        <w:rPr>
          <w:rFonts w:hint="eastAsia" w:ascii="宋体" w:hAnsi="宋体" w:eastAsia="宋体" w:cs="宋体"/>
          <w:color w:val="auto"/>
          <w:sz w:val="21"/>
          <w:szCs w:val="21"/>
        </w:rPr>
        <w:t xml:space="preserve">电　　 话：18151392913</w:t>
      </w:r>
      <w:r/>
    </w:p>
    <w:p>
      <w:pPr>
        <w:pStyle w:val="1300"/>
        <w:jc w:val="center"/>
        <w:keepLines/>
        <w:keepNext/>
        <w:spacing w:before="260" w:beforeAutospacing="0" w:after="260" w:afterAutospacing="0" w:line="415" w:lineRule="auto"/>
        <w:rPr>
          <w:rFonts w:hint="eastAsia" w:ascii="黑体" w:hAnsi="宋体" w:eastAsia="黑体" w:cs="黑体"/>
          <w:b/>
          <w:color w:val="auto"/>
          <w:sz w:val="44"/>
          <w:szCs w:val="44"/>
        </w:rPr>
        <w:outlineLvl w:val="0"/>
      </w:pPr>
      <w:r/>
      <w:bookmarkStart w:id="43" w:name="_Toc120614211"/>
      <w:r/>
      <w:bookmarkStart w:id="44" w:name="_Toc28359009"/>
      <w:r/>
      <w:r/>
    </w:p>
    <w:p>
      <w:pPr>
        <w:pStyle w:val="1300"/>
        <w:jc w:val="center"/>
        <w:keepLines/>
        <w:keepNext/>
        <w:spacing w:before="260" w:beforeAutospacing="0" w:after="260" w:afterAutospacing="0" w:line="415" w:lineRule="auto"/>
        <w:rPr>
          <w:rFonts w:hint="eastAsia" w:ascii="黑体" w:hAnsi="宋体" w:eastAsia="黑体" w:cs="黑体"/>
          <w:b/>
          <w:color w:val="auto"/>
          <w:sz w:val="44"/>
          <w:szCs w:val="44"/>
        </w:rPr>
        <w:outlineLvl w:val="0"/>
      </w:pPr>
      <w:r>
        <w:rPr>
          <w:rFonts w:hint="eastAsia" w:ascii="黑体" w:hAnsi="宋体" w:eastAsia="黑体" w:cs="黑体"/>
          <w:b/>
          <w:color w:val="auto"/>
          <w:sz w:val="44"/>
          <w:szCs w:val="44"/>
        </w:rPr>
      </w:r>
      <w:r/>
    </w:p>
    <w:p>
      <w:pPr>
        <w:pStyle w:val="1300"/>
        <w:jc w:val="center"/>
        <w:keepLines/>
        <w:keepNext/>
        <w:spacing w:before="260" w:beforeAutospacing="0" w:after="260" w:afterAutospacing="0" w:line="415" w:lineRule="auto"/>
        <w:rPr>
          <w:rFonts w:hint="eastAsia" w:ascii="黑体" w:hAnsi="宋体" w:eastAsia="黑体" w:cs="黑体"/>
          <w:b/>
          <w:color w:val="auto"/>
          <w:sz w:val="44"/>
          <w:szCs w:val="44"/>
        </w:rPr>
        <w:outlineLvl w:val="0"/>
      </w:pPr>
      <w:r>
        <w:rPr>
          <w:rFonts w:hint="eastAsia" w:ascii="黑体" w:hAnsi="宋体" w:eastAsia="黑体" w:cs="黑体"/>
          <w:b/>
          <w:color w:val="auto"/>
          <w:sz w:val="44"/>
          <w:szCs w:val="44"/>
        </w:rPr>
      </w:r>
      <w:r/>
    </w:p>
    <w:p>
      <w:pPr>
        <w:pStyle w:val="1300"/>
        <w:jc w:val="center"/>
        <w:keepLines/>
        <w:keepNext/>
        <w:spacing w:before="260" w:beforeAutospacing="0" w:after="260" w:afterAutospacing="0" w:line="415" w:lineRule="auto"/>
        <w:rPr>
          <w:rFonts w:hint="eastAsia" w:ascii="黑体" w:hAnsi="宋体" w:eastAsia="黑体" w:cs="黑体"/>
          <w:b/>
          <w:color w:val="auto"/>
          <w:sz w:val="44"/>
          <w:szCs w:val="44"/>
        </w:rPr>
        <w:outlineLvl w:val="0"/>
      </w:pPr>
      <w:r>
        <w:rPr>
          <w:rFonts w:hint="eastAsia" w:ascii="黑体" w:hAnsi="宋体" w:eastAsia="黑体" w:cs="黑体"/>
          <w:b/>
          <w:color w:val="auto"/>
          <w:sz w:val="44"/>
          <w:szCs w:val="44"/>
        </w:rPr>
      </w:r>
      <w:r/>
    </w:p>
    <w:p>
      <w:pPr>
        <w:pStyle w:val="1300"/>
        <w:jc w:val="center"/>
        <w:keepLines/>
        <w:keepNext/>
        <w:spacing w:before="260" w:beforeAutospacing="0" w:after="260" w:afterAutospacing="0" w:line="415" w:lineRule="auto"/>
        <w:rPr>
          <w:rFonts w:hint="eastAsia" w:ascii="黑体" w:hAnsi="宋体" w:eastAsia="黑体" w:cs="黑体"/>
          <w:b/>
          <w:color w:val="auto"/>
          <w:sz w:val="44"/>
          <w:szCs w:val="44"/>
        </w:rPr>
        <w:outlineLvl w:val="0"/>
      </w:pPr>
      <w:r>
        <w:rPr>
          <w:rFonts w:hint="eastAsia" w:ascii="黑体" w:hAnsi="宋体" w:eastAsia="黑体" w:cs="黑体"/>
          <w:b/>
          <w:color w:val="auto"/>
          <w:sz w:val="44"/>
          <w:szCs w:val="44"/>
        </w:rPr>
      </w:r>
      <w:r/>
    </w:p>
    <w:p>
      <w:pPr>
        <w:pStyle w:val="1300"/>
        <w:jc w:val="center"/>
        <w:keepLines/>
        <w:keepNext/>
        <w:spacing w:before="260" w:beforeAutospacing="0" w:after="260" w:afterAutospacing="0" w:line="415" w:lineRule="auto"/>
        <w:rPr>
          <w:rFonts w:hint="eastAsia" w:ascii="黑体" w:hAnsi="宋体" w:eastAsia="黑体" w:cs="黑体"/>
          <w:b/>
          <w:color w:val="auto"/>
          <w:sz w:val="44"/>
          <w:szCs w:val="44"/>
        </w:rPr>
        <w:outlineLvl w:val="0"/>
      </w:pPr>
      <w:r>
        <w:rPr>
          <w:rFonts w:hint="eastAsia" w:ascii="黑体" w:hAnsi="宋体" w:eastAsia="黑体" w:cs="黑体"/>
          <w:b/>
          <w:color w:val="auto"/>
          <w:sz w:val="44"/>
          <w:szCs w:val="44"/>
        </w:rPr>
      </w:r>
      <w:r/>
    </w:p>
    <w:p>
      <w:pPr>
        <w:pStyle w:val="1300"/>
        <w:jc w:val="both"/>
        <w:keepLines/>
        <w:keepNext/>
        <w:spacing w:before="260" w:beforeAutospacing="0" w:after="260" w:afterAutospacing="0" w:line="415" w:lineRule="auto"/>
        <w:rPr>
          <w:rFonts w:hint="eastAsia" w:ascii="黑体" w:hAnsi="宋体" w:eastAsia="黑体" w:cs="黑体"/>
          <w:b/>
          <w:color w:val="auto"/>
          <w:sz w:val="44"/>
          <w:szCs w:val="44"/>
        </w:rPr>
        <w:outlineLvl w:val="0"/>
      </w:pPr>
      <w:r>
        <w:rPr>
          <w:rFonts w:hint="eastAsia" w:ascii="黑体" w:hAnsi="宋体" w:eastAsia="黑体" w:cs="黑体"/>
          <w:b/>
          <w:color w:val="auto"/>
          <w:sz w:val="44"/>
          <w:szCs w:val="44"/>
        </w:rPr>
      </w:r>
      <w:r/>
    </w:p>
    <w:p>
      <w:pPr>
        <w:pStyle w:val="1300"/>
        <w:jc w:val="both"/>
        <w:keepLines/>
        <w:keepNext/>
        <w:spacing w:before="260" w:beforeAutospacing="0" w:after="260" w:afterAutospacing="0" w:line="415" w:lineRule="auto"/>
        <w:rPr>
          <w:rFonts w:hint="eastAsia" w:ascii="黑体" w:hAnsi="宋体" w:eastAsia="黑体" w:cs="黑体"/>
          <w:b/>
          <w:color w:val="auto"/>
          <w:sz w:val="44"/>
          <w:szCs w:val="44"/>
        </w:rPr>
        <w:outlineLvl w:val="0"/>
      </w:pPr>
      <w:r>
        <w:rPr>
          <w:rFonts w:hint="eastAsia" w:ascii="黑体" w:hAnsi="宋体" w:eastAsia="黑体" w:cs="黑体"/>
          <w:b/>
          <w:color w:val="auto"/>
          <w:sz w:val="44"/>
          <w:szCs w:val="44"/>
        </w:rPr>
      </w:r>
      <w:bookmarkEnd w:id="43"/>
      <w:r/>
      <w:r/>
    </w:p>
    <w:p>
      <w:pPr>
        <w:pStyle w:val="1300"/>
        <w:jc w:val="both"/>
        <w:spacing w:beforeAutospacing="0" w:afterAutospacing="0" w:line="360" w:lineRule="auto"/>
        <w:rPr>
          <w:rFonts w:hint="eastAsia" w:ascii="宋体" w:hAnsi="宋体" w:eastAsia="宋体" w:cs="宋体"/>
          <w:b/>
          <w:color w:val="auto"/>
          <w:sz w:val="21"/>
          <w:szCs w:val="21"/>
        </w:rPr>
      </w:pPr>
      <w:r/>
      <w:bookmarkStart w:id="45" w:name="_Toc16938519"/>
      <w:r/>
      <w:bookmarkStart w:id="46" w:name="_Toc120614214"/>
      <w:r/>
      <w:bookmarkStart w:id="47" w:name="_Toc20823275"/>
      <w:r/>
      <w:bookmarkStart w:id="48" w:name="_Toc513029203"/>
      <w:r/>
      <w:r/>
    </w:p>
    <w:p>
      <w:pPr>
        <w:pStyle w:val="1300"/>
        <w:jc w:val="center"/>
        <w:keepLines/>
        <w:keepNext/>
        <w:spacing w:before="260" w:beforeAutospacing="0" w:after="260" w:afterAutospacing="0" w:line="415" w:lineRule="auto"/>
        <w:rPr>
          <w:color w:val="auto"/>
        </w:rPr>
        <w:outlineLvl w:val="0"/>
      </w:pPr>
      <w:r>
        <w:rPr>
          <w:rFonts w:hint="eastAsia" w:ascii="黑体" w:hAnsi="宋体" w:eastAsia="黑体" w:cs="黑体"/>
          <w:b/>
          <w:color w:val="auto"/>
          <w:sz w:val="44"/>
          <w:szCs w:val="44"/>
        </w:rPr>
        <w:t xml:space="preserve">第二章  </w:t>
      </w:r>
      <w:bookmarkStart w:id="49" w:name="_Toc513029202"/>
      <w:r/>
      <w:bookmarkStart w:id="50" w:name="_Toc20823274"/>
      <w:r/>
      <w:bookmarkStart w:id="51" w:name="_Toc120614213"/>
      <w:r/>
      <w:bookmarkStart w:id="52" w:name="_Toc16938518"/>
      <w:r>
        <w:rPr>
          <w:rFonts w:hint="eastAsia" w:ascii="黑体" w:hAnsi="宋体" w:eastAsia="黑体" w:cs="黑体"/>
          <w:b/>
          <w:color w:val="auto"/>
          <w:sz w:val="44"/>
          <w:szCs w:val="44"/>
        </w:rPr>
        <w:t xml:space="preserve">投标人须知</w:t>
      </w:r>
      <w:bookmarkEnd w:id="49"/>
      <w:r/>
      <w:bookmarkEnd w:id="50"/>
      <w:r/>
      <w:bookmarkEnd w:id="51"/>
      <w:r/>
      <w:bookmarkEnd w:id="52"/>
      <w:r/>
      <w:bookmarkEnd w:id="45"/>
      <w:r/>
      <w:bookmarkEnd w:id="46"/>
      <w:r/>
      <w:bookmarkEnd w:id="47"/>
      <w:r/>
      <w:bookmarkEnd w:id="48"/>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53" w:name="_Hlt16619475"/>
      <w:r/>
      <w:bookmarkStart w:id="54" w:name="_Hlt26954840"/>
      <w:r/>
      <w:bookmarkStart w:id="55" w:name="_Hlt26954842"/>
      <w:r/>
      <w:bookmarkStart w:id="56" w:name="_Hlt26954838"/>
      <w:r/>
      <w:bookmarkStart w:id="57" w:name="_Hlt26954846"/>
      <w:r/>
      <w:bookmarkStart w:id="58" w:name="_Hlt26670489"/>
      <w:r/>
      <w:bookmarkStart w:id="59" w:name="_Hlt26954848"/>
      <w:r/>
      <w:bookmarkStart w:id="60" w:name="_Hlt26670360"/>
      <w:r/>
      <w:bookmarkStart w:id="61" w:name="_Hlt26668983"/>
      <w:r/>
      <w:bookmarkStart w:id="62" w:name="_Hlt26954734"/>
      <w:r/>
      <w:bookmarkStart w:id="63" w:name="_Hlt26954850"/>
      <w:r/>
      <w:bookmarkStart w:id="64" w:name="_Hlt26954844"/>
      <w:r/>
      <w:bookmarkStart w:id="65" w:name="_Hlt26954739"/>
      <w:r/>
      <w:bookmarkStart w:id="66" w:name="_Hlt26670373"/>
      <w:r/>
      <w:bookmarkStart w:id="67" w:name="_Toc513029243"/>
      <w:r/>
      <w:bookmarkStart w:id="68" w:name="_Hlt26668975"/>
      <w:r/>
      <w:bookmarkStart w:id="69" w:name="_Hlt26670403"/>
      <w:r/>
      <w:bookmarkStart w:id="70" w:name="_Hlt26670482"/>
      <w:r/>
      <w:bookmarkStart w:id="71" w:name="_Hlt26954731"/>
      <w:r/>
      <w:bookmarkStart w:id="72" w:name="_Hlt26670425"/>
      <w:r/>
      <w:bookmarkStart w:id="73" w:name="_Hlt26670486"/>
      <w:r/>
      <w:bookmarkStart w:id="74" w:name="_Hlt26670399"/>
      <w:r/>
      <w:bookmarkStart w:id="75" w:name="_Toc16938559"/>
      <w:r/>
      <w:bookmarkStart w:id="76" w:name="_Hlt26954852"/>
      <w:r/>
      <w:bookmarkStart w:id="77" w:name="_Toc20823315"/>
      <w:r/>
      <w:bookmarkStart w:id="78" w:name="_Toc513029226"/>
      <w:r>
        <w:rPr>
          <w:rFonts w:hint="eastAsia" w:ascii="宋体" w:hAnsi="宋体" w:eastAsia="宋体" w:cs="宋体"/>
          <w:b/>
          <w:color w:val="auto"/>
          <w:sz w:val="21"/>
          <w:szCs w:val="21"/>
        </w:rPr>
        <w:t xml:space="preserve">一、总则</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79" w:name="_Toc16938520"/>
      <w:r/>
      <w:bookmarkStart w:id="80" w:name="_Toc513029204"/>
      <w:r/>
      <w:bookmarkStart w:id="81" w:name="_Toc458694821"/>
      <w:r/>
      <w:bookmarkStart w:id="82" w:name="_Toc20823276"/>
      <w:r>
        <w:rPr>
          <w:rFonts w:hint="eastAsia" w:ascii="宋体" w:hAnsi="宋体" w:eastAsia="宋体" w:cs="宋体"/>
          <w:color w:val="auto"/>
          <w:sz w:val="21"/>
          <w:szCs w:val="21"/>
        </w:rPr>
        <w:t xml:space="preserve">1</w:t>
      </w:r>
      <w:bookmarkEnd w:id="79"/>
      <w:r>
        <w:rPr>
          <w:rFonts w:hint="eastAsia" w:ascii="宋体" w:hAnsi="宋体" w:eastAsia="宋体" w:cs="宋体"/>
          <w:color w:val="auto"/>
          <w:sz w:val="21"/>
          <w:szCs w:val="21"/>
        </w:rPr>
        <w:t xml:space="preserve">、招标方式</w:t>
      </w:r>
      <w:bookmarkEnd w:id="80"/>
      <w:r/>
      <w:bookmarkEnd w:id="81"/>
      <w:r/>
      <w:bookmarkEnd w:id="82"/>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1.1本次招标采取公开招标方式，本招标文件仅适用于招标公告中所述项目。</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83" w:name="_Toc16938521"/>
      <w:r/>
      <w:bookmarkStart w:id="84" w:name="_Toc513029205"/>
      <w:r/>
      <w:bookmarkStart w:id="85" w:name="_Toc20823277"/>
      <w:r>
        <w:rPr>
          <w:rFonts w:hint="eastAsia" w:ascii="宋体" w:hAnsi="宋体" w:eastAsia="宋体" w:cs="宋体"/>
          <w:color w:val="auto"/>
          <w:sz w:val="21"/>
          <w:szCs w:val="21"/>
        </w:rPr>
        <w:t xml:space="preserve">2、合格的投标人</w:t>
      </w:r>
      <w:bookmarkEnd w:id="83"/>
      <w:r/>
      <w:bookmarkEnd w:id="84"/>
      <w:r/>
      <w:bookmarkEnd w:id="85"/>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2.1满足招标公告中供应商的资格要求的规定。</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2.2满足本文件实质性要求和条件的规定。</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86" w:name="_Toc513029206"/>
      <w:r/>
      <w:bookmarkStart w:id="87" w:name="_Toc16938522"/>
      <w:r/>
      <w:bookmarkStart w:id="88" w:name="_Toc20823278"/>
      <w:r>
        <w:rPr>
          <w:rFonts w:hint="eastAsia" w:ascii="宋体" w:hAnsi="宋体" w:eastAsia="宋体" w:cs="宋体"/>
          <w:color w:val="auto"/>
          <w:sz w:val="21"/>
          <w:szCs w:val="21"/>
        </w:rPr>
        <w:t xml:space="preserve">3、适用法律</w:t>
      </w:r>
      <w:bookmarkEnd w:id="86"/>
      <w:r/>
      <w:bookmarkEnd w:id="87"/>
      <w:r/>
      <w:bookmarkEnd w:id="88"/>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3.1本次招标及由此产生的合同受中华人民共和国有关的法律法规制约和保护。</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89" w:name="_Toc20823279"/>
      <w:r/>
      <w:bookmarkStart w:id="90" w:name="_Toc462564067"/>
      <w:r/>
      <w:bookmarkStart w:id="91" w:name="_Toc513029207"/>
      <w:r/>
      <w:bookmarkStart w:id="92" w:name="_Toc16938523"/>
      <w:r>
        <w:rPr>
          <w:rFonts w:hint="eastAsia" w:ascii="宋体" w:hAnsi="宋体" w:eastAsia="宋体" w:cs="宋体"/>
          <w:color w:val="auto"/>
          <w:sz w:val="21"/>
          <w:szCs w:val="21"/>
        </w:rPr>
        <w:t xml:space="preserve">4、投标费用</w:t>
      </w:r>
      <w:bookmarkEnd w:id="89"/>
      <w:r/>
      <w:bookmarkEnd w:id="90"/>
      <w:r/>
      <w:bookmarkEnd w:id="91"/>
      <w:r/>
      <w:bookmarkEnd w:id="92"/>
      <w:r/>
      <w:r/>
    </w:p>
    <w:p>
      <w:pPr>
        <w:pStyle w:val="1300"/>
        <w:ind w:firstLine="42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4.1投标人应自行承担所有与参加投标有关的费用，无论投标过程中的做法和结果如何，采购人和采购代理机构在任何情况下均无义务和责任承担这些费用。</w:t>
      </w:r>
      <w:r/>
    </w:p>
    <w:p>
      <w:pPr>
        <w:pStyle w:val="1300"/>
        <w:ind w:firstLine="42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4.2本次招标采购人和采购代理机构不收取标书工本费。</w:t>
      </w:r>
      <w:r/>
    </w:p>
    <w:p>
      <w:pPr>
        <w:pStyle w:val="1300"/>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4.3本项目代理服务费由项目中标单位支付，代理服务费收费标准按照《江苏省政府采购代理服务收费指导意见》的通知（苏政采协【2024】20号）收费标准的</w:t>
      </w:r>
      <w:r>
        <w:rPr>
          <w:rFonts w:hint="eastAsia" w:ascii="宋体" w:hAnsi="宋体" w:eastAsia="宋体" w:cs="宋体"/>
          <w:color w:val="auto"/>
          <w:sz w:val="21"/>
          <w:szCs w:val="21"/>
          <w:u w:val="single"/>
        </w:rPr>
        <w:t xml:space="preserve">43.5%</w:t>
      </w:r>
      <w:r>
        <w:rPr>
          <w:rFonts w:hint="eastAsia" w:ascii="宋体" w:hAnsi="宋体" w:eastAsia="宋体" w:cs="宋体"/>
          <w:color w:val="auto"/>
          <w:sz w:val="21"/>
          <w:szCs w:val="21"/>
        </w:rPr>
        <w:t xml:space="preserve">计取，由中标人领取中标通知书前，向代理公司支付，请投标人考虑在投标报价中。</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5、招标文件的约束力</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5.1投标人一旦参加本项目采购活动，即被认为接受了本招标文件的规定和约束。</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93" w:name="_Toc120614215"/>
      <w:r/>
      <w:bookmarkStart w:id="94" w:name="_Toc16938525"/>
      <w:r/>
      <w:bookmarkStart w:id="95" w:name="_Toc20823281"/>
      <w:r/>
      <w:bookmarkStart w:id="96" w:name="_Toc513029209"/>
      <w:r>
        <w:rPr>
          <w:rFonts w:hint="eastAsia" w:ascii="宋体" w:hAnsi="宋体" w:eastAsia="宋体" w:cs="宋体"/>
          <w:b/>
          <w:color w:val="auto"/>
          <w:sz w:val="21"/>
          <w:szCs w:val="21"/>
        </w:rPr>
        <w:t xml:space="preserve">二、招标文件</w:t>
      </w:r>
      <w:bookmarkEnd w:id="93"/>
      <w:r/>
      <w:bookmarkEnd w:id="94"/>
      <w:r/>
      <w:bookmarkEnd w:id="95"/>
      <w:r/>
      <w:bookmarkEnd w:id="96"/>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97" w:name="_Toc16938526"/>
      <w:r/>
      <w:bookmarkStart w:id="98" w:name="_Toc513029210"/>
      <w:r/>
      <w:bookmarkStart w:id="99" w:name="_Toc20823282"/>
      <w:r>
        <w:rPr>
          <w:rFonts w:hint="eastAsia" w:ascii="宋体" w:hAnsi="宋体" w:eastAsia="宋体" w:cs="宋体"/>
          <w:color w:val="auto"/>
          <w:sz w:val="21"/>
          <w:szCs w:val="21"/>
        </w:rPr>
        <w:t xml:space="preserve">6、招标文件构成</w:t>
      </w:r>
      <w:bookmarkEnd w:id="97"/>
      <w:r/>
      <w:bookmarkEnd w:id="98"/>
      <w:r/>
      <w:bookmarkEnd w:id="99"/>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6.1 招标文件由以下部分组成：</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（1）招标公告</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（2）投标人须知</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（3）合同文本</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（4）采购需求</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（5）评标方法与评标标准</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（6）投标文件格式</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请仔细检查招标文件是否齐全，如有缺漏请立即与代理机构联系解决。</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00" w:name="_Toc16938527"/>
      <w:r/>
      <w:bookmarkStart w:id="101" w:name="_Toc462564070"/>
      <w:r/>
      <w:bookmarkStart w:id="102" w:name="_Toc513029211"/>
      <w:r/>
      <w:bookmarkStart w:id="103" w:name="_Toc20823283"/>
      <w:r>
        <w:rPr>
          <w:rFonts w:hint="eastAsia" w:ascii="宋体" w:hAnsi="宋体" w:eastAsia="宋体" w:cs="宋体"/>
          <w:color w:val="auto"/>
          <w:sz w:val="21"/>
          <w:szCs w:val="21"/>
        </w:rPr>
        <w:t xml:space="preserve">7、招标文件的澄清</w:t>
      </w:r>
      <w:bookmarkEnd w:id="100"/>
      <w:r/>
      <w:bookmarkEnd w:id="101"/>
      <w:r/>
      <w:bookmarkEnd w:id="102"/>
      <w:r/>
      <w:bookmarkEnd w:id="103"/>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7.1任何要求对招标文件进行澄清的投标人，应在投标截止期</w:t>
      </w:r>
      <w:r>
        <w:rPr>
          <w:rFonts w:hint="eastAsia" w:ascii="宋体" w:hAnsi="宋体" w:eastAsia="宋体" w:cs="宋体"/>
          <w:b/>
          <w:color w:val="auto"/>
          <w:sz w:val="21"/>
          <w:szCs w:val="21"/>
        </w:rPr>
        <w:t xml:space="preserve">十日</w:t>
      </w:r>
      <w:r>
        <w:rPr>
          <w:rFonts w:hint="eastAsia" w:ascii="宋体" w:hAnsi="宋体" w:eastAsia="宋体" w:cs="宋体"/>
          <w:color w:val="auto"/>
          <w:sz w:val="21"/>
          <w:szCs w:val="21"/>
        </w:rPr>
        <w:t xml:space="preserve">前按</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招标公告中的通讯地址，以书面形式通知代理机构。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04" w:name="_Toc16938528"/>
      <w:r/>
      <w:bookmarkStart w:id="105" w:name="_Toc513029212"/>
      <w:r/>
      <w:bookmarkStart w:id="106" w:name="_Toc462564071"/>
      <w:r/>
      <w:bookmarkStart w:id="107" w:name="_Toc20823284"/>
      <w:r>
        <w:rPr>
          <w:rFonts w:hint="eastAsia" w:ascii="宋体" w:hAnsi="宋体" w:eastAsia="宋体" w:cs="宋体"/>
          <w:color w:val="auto"/>
          <w:sz w:val="21"/>
          <w:szCs w:val="21"/>
        </w:rPr>
        <w:t xml:space="preserve">8、招标文件的修改</w:t>
      </w:r>
      <w:bookmarkEnd w:id="104"/>
      <w:r/>
      <w:bookmarkEnd w:id="105"/>
      <w:r/>
      <w:bookmarkEnd w:id="106"/>
      <w:r/>
      <w:bookmarkEnd w:id="107"/>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8.1在投标截止时间前，代理机构可以对招标文件进行修改。</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8.2代理机构有权按照法定的要求推迟投标截止日期和开标日期。</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8.3招标文件的修改将在中国政府采购网</w:t>
      </w: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rPr>
        <w:t xml:space="preserve">江苏政府采购网、盐城市政府采购网公布，补充文件将作为招标文件的组成部分，并对投标人具有约束力。</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08" w:name="_Toc120614216"/>
      <w:r/>
      <w:bookmarkStart w:id="109" w:name="_Toc16938529"/>
      <w:r/>
      <w:bookmarkStart w:id="110" w:name="_Toc462564072"/>
      <w:r/>
      <w:bookmarkStart w:id="111" w:name="_Toc20823285"/>
      <w:r/>
      <w:bookmarkStart w:id="112" w:name="_Toc513029213"/>
      <w:r>
        <w:rPr>
          <w:rFonts w:hint="eastAsia" w:ascii="宋体" w:hAnsi="宋体" w:eastAsia="宋体" w:cs="宋体"/>
          <w:b/>
          <w:color w:val="auto"/>
          <w:sz w:val="21"/>
          <w:szCs w:val="21"/>
        </w:rPr>
        <w:t xml:space="preserve">三、投标文件的编制</w:t>
      </w:r>
      <w:bookmarkEnd w:id="108"/>
      <w:r/>
      <w:bookmarkEnd w:id="109"/>
      <w:r/>
      <w:bookmarkEnd w:id="110"/>
      <w:r/>
      <w:bookmarkEnd w:id="111"/>
      <w:r/>
      <w:bookmarkEnd w:id="112"/>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13" w:name="_Toc513029214"/>
      <w:r/>
      <w:bookmarkStart w:id="114" w:name="_Toc462564073"/>
      <w:r/>
      <w:bookmarkStart w:id="115" w:name="_Toc16938530"/>
      <w:r/>
      <w:bookmarkStart w:id="116" w:name="_Toc20823286"/>
      <w:r>
        <w:rPr>
          <w:rFonts w:hint="eastAsia" w:ascii="宋体" w:hAnsi="宋体" w:eastAsia="宋体" w:cs="宋体"/>
          <w:color w:val="auto"/>
          <w:sz w:val="21"/>
          <w:szCs w:val="21"/>
        </w:rPr>
        <w:t xml:space="preserve">9、投标文件的语言及度量衡单位</w:t>
      </w:r>
      <w:bookmarkEnd w:id="113"/>
      <w:r/>
      <w:bookmarkEnd w:id="114"/>
      <w:r/>
      <w:bookmarkEnd w:id="115"/>
      <w:r/>
      <w:bookmarkEnd w:id="116"/>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9.1投标人提交的投标文件以及投标人与代理机构就有关投标的所有来往通知、函件和文件均应使用</w:t>
      </w:r>
      <w:r>
        <w:rPr>
          <w:rFonts w:hint="eastAsia" w:ascii="宋体" w:hAnsi="宋体" w:eastAsia="宋体" w:cs="宋体"/>
          <w:b/>
          <w:color w:val="auto"/>
          <w:sz w:val="21"/>
          <w:szCs w:val="21"/>
        </w:rPr>
        <w:t xml:space="preserve">简体中文</w:t>
      </w:r>
      <w:r>
        <w:rPr>
          <w:rFonts w:hint="eastAsia" w:ascii="宋体" w:hAnsi="宋体" w:eastAsia="宋体" w:cs="宋体"/>
          <w:color w:val="auto"/>
          <w:sz w:val="21"/>
          <w:szCs w:val="21"/>
        </w:rPr>
        <w:t xml:space="preserve">。</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9.2除技术性能另有规定外，投标文件所使用的度量衡单位，均须采用国家法定计量单位。</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17" w:name="_Toc20823287"/>
      <w:r/>
      <w:bookmarkStart w:id="118" w:name="_Toc462564074"/>
      <w:r/>
      <w:bookmarkStart w:id="119" w:name="_Toc16938531"/>
      <w:r/>
      <w:bookmarkStart w:id="120" w:name="_Toc513029215"/>
      <w:r>
        <w:rPr>
          <w:rFonts w:hint="eastAsia" w:ascii="宋体" w:hAnsi="宋体" w:eastAsia="宋体" w:cs="宋体"/>
          <w:color w:val="auto"/>
          <w:sz w:val="21"/>
          <w:szCs w:val="21"/>
        </w:rPr>
        <w:t xml:space="preserve">10、投标文件构成</w:t>
      </w:r>
      <w:bookmarkEnd w:id="117"/>
      <w:r/>
      <w:bookmarkEnd w:id="118"/>
      <w:r/>
      <w:bookmarkEnd w:id="119"/>
      <w:r/>
      <w:bookmarkEnd w:id="120"/>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10.2如标书制作工具中格式和内容与</w:t>
      </w: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rPr>
        <w:t xml:space="preserve">中国政府采购网”“江苏政府采购网”“盐城市政府采购网”发布的招标文件不一致，请以</w:t>
      </w: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rPr>
        <w:t xml:space="preserve">中国政府采购网”“江苏政府采购网”“盐城市政府采购网”发布的招标文件为准。</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21" w:name="_Toc513029216"/>
      <w:r/>
      <w:bookmarkStart w:id="122" w:name="_Toc513029219"/>
      <w:r/>
      <w:bookmarkStart w:id="123" w:name="_Toc14577354"/>
      <w:r/>
      <w:bookmarkStart w:id="124" w:name="_Toc49090507"/>
      <w:r/>
      <w:bookmarkStart w:id="125" w:name="_Toc14577357"/>
      <w:r/>
      <w:bookmarkStart w:id="126" w:name="_Toc49090509"/>
      <w:r>
        <w:rPr>
          <w:rFonts w:hint="eastAsia" w:ascii="宋体" w:hAnsi="宋体" w:eastAsia="宋体" w:cs="宋体"/>
          <w:color w:val="auto"/>
          <w:sz w:val="21"/>
          <w:szCs w:val="21"/>
        </w:rPr>
        <w:t xml:space="preserve">11、证明投标人及投标标的符合招标文件规定的文件</w:t>
      </w:r>
      <w:bookmarkEnd w:id="121"/>
      <w:r/>
      <w:bookmarkEnd w:id="122"/>
      <w:r/>
      <w:bookmarkEnd w:id="123"/>
      <w:r/>
      <w:bookmarkEnd w:id="124"/>
      <w:r/>
      <w:bookmarkEnd w:id="125"/>
      <w:r/>
      <w:bookmarkEnd w:id="126"/>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27" w:name="_Toc14577355"/>
      <w:r/>
      <w:bookmarkStart w:id="128" w:name="_Toc49090508"/>
      <w:r>
        <w:rPr>
          <w:rFonts w:hint="eastAsia" w:ascii="宋体" w:hAnsi="宋体" w:eastAsia="宋体" w:cs="宋体"/>
          <w:color w:val="auto"/>
          <w:sz w:val="21"/>
          <w:szCs w:val="21"/>
        </w:rPr>
        <w:t xml:space="preserve">11.1投标人应按照法律、法规、规章和规范性文件以及招标文件要求提交证明文件，证明其及投标标的符合招标文件规定。</w:t>
      </w:r>
      <w:bookmarkEnd w:id="127"/>
      <w:r/>
      <w:bookmarkEnd w:id="128"/>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11.2招标文件对证明文件无明确形式要求的，证明文件可以以文字资料、图纸和数据等形式提交。</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12、投标分项报价表</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12.1投标人应按照招标文件规定格式填报投标分项报价表。</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12.2投标货币。投标文件中的单价和总价无特殊规定的采用人民币报价，以元为单位标注。招标文件中另有规定的按规定执行。</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13、技术要求响应及偏离表、商务要求响应及偏离表</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13.1投标人需对招标文件中的技术要求与商务要求逐项作出响应或偏离，并说明原因。</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13.2投标人可在投标文件中提供认为需要的其他技术文件或说明。</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29" w:name="_Toc14577359"/>
      <w:r/>
      <w:bookmarkStart w:id="130" w:name="_Toc49090510"/>
      <w:r>
        <w:rPr>
          <w:rFonts w:hint="eastAsia" w:ascii="宋体" w:hAnsi="宋体" w:eastAsia="宋体" w:cs="宋体"/>
          <w:color w:val="auto"/>
          <w:sz w:val="21"/>
          <w:szCs w:val="21"/>
        </w:rPr>
        <w:t xml:space="preserve">14、投标函和开标一览表</w:t>
      </w:r>
      <w:bookmarkEnd w:id="129"/>
      <w:r/>
      <w:bookmarkEnd w:id="130"/>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14.1投标人应按照招标文件中提供的格式完整、正确填写投标函、开标一览表。</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1"/>
          <w:szCs w:val="21"/>
        </w:rPr>
        <w:t xml:space="preserve">。</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31" w:name="_Toc49090511"/>
      <w:r/>
      <w:bookmarkStart w:id="132" w:name="_Toc14577360"/>
      <w:r>
        <w:rPr>
          <w:rFonts w:hint="eastAsia" w:ascii="宋体" w:hAnsi="宋体" w:eastAsia="宋体" w:cs="宋体"/>
          <w:color w:val="auto"/>
          <w:sz w:val="21"/>
          <w:szCs w:val="21"/>
        </w:rPr>
        <w:t xml:space="preserve">15、投标有效期</w:t>
      </w:r>
      <w:bookmarkEnd w:id="131"/>
      <w:r/>
      <w:bookmarkEnd w:id="132"/>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15.1投标有效期为代理机构规定的开标之日后</w:t>
      </w:r>
      <w:r>
        <w:rPr>
          <w:rFonts w:hint="eastAsia" w:ascii="宋体" w:hAnsi="宋体" w:eastAsia="宋体" w:cs="宋体"/>
          <w:b/>
          <w:color w:val="auto"/>
          <w:sz w:val="21"/>
          <w:szCs w:val="21"/>
          <w:u w:val="single"/>
        </w:rPr>
        <w:t xml:space="preserve">九十（90）天</w:t>
      </w:r>
      <w:r>
        <w:rPr>
          <w:rFonts w:hint="eastAsia" w:ascii="宋体" w:hAnsi="宋体" w:eastAsia="宋体" w:cs="宋体"/>
          <w:color w:val="auto"/>
          <w:sz w:val="21"/>
          <w:szCs w:val="21"/>
        </w:rPr>
        <w:t xml:space="preserve">。投标有效期比规定短的将被视为未实质性响应招标文件而予以拒绝。</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16、投标有效期的延长</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33" w:name="_Toc20823296"/>
      <w:r/>
      <w:bookmarkStart w:id="134" w:name="_Toc120614217"/>
      <w:r/>
      <w:bookmarkStart w:id="135" w:name="_Toc513029224"/>
      <w:r/>
      <w:bookmarkStart w:id="136" w:name="_Toc16938540"/>
      <w:r>
        <w:rPr>
          <w:rFonts w:hint="eastAsia" w:ascii="宋体" w:hAnsi="宋体" w:eastAsia="宋体" w:cs="宋体"/>
          <w:b/>
          <w:color w:val="auto"/>
          <w:sz w:val="21"/>
          <w:szCs w:val="21"/>
        </w:rPr>
        <w:t xml:space="preserve">四、投标文件的递交</w:t>
      </w:r>
      <w:bookmarkEnd w:id="133"/>
      <w:r/>
      <w:bookmarkEnd w:id="134"/>
      <w:r/>
      <w:bookmarkEnd w:id="135"/>
      <w:r/>
      <w:bookmarkEnd w:id="136"/>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37" w:name="_Toc20823297"/>
      <w:r/>
      <w:bookmarkStart w:id="138" w:name="_Toc16938541"/>
      <w:r/>
      <w:bookmarkStart w:id="139" w:name="_Toc513029225"/>
      <w:r/>
      <w:bookmarkStart w:id="140" w:name="_Toc462564084"/>
      <w:r>
        <w:rPr>
          <w:rFonts w:hint="eastAsia" w:ascii="宋体" w:hAnsi="宋体" w:eastAsia="宋体" w:cs="宋体"/>
          <w:color w:val="auto"/>
          <w:sz w:val="21"/>
          <w:szCs w:val="21"/>
        </w:rPr>
        <w:t xml:space="preserve">17、投标文件</w:t>
      </w:r>
      <w:bookmarkEnd w:id="137"/>
      <w:r/>
      <w:bookmarkEnd w:id="138"/>
      <w:r/>
      <w:bookmarkEnd w:id="139"/>
      <w:r/>
      <w:bookmarkEnd w:id="140"/>
      <w:r>
        <w:rPr>
          <w:rFonts w:hint="eastAsia" w:ascii="宋体" w:hAnsi="宋体" w:eastAsia="宋体" w:cs="宋体"/>
          <w:color w:val="auto"/>
          <w:sz w:val="21"/>
          <w:szCs w:val="21"/>
        </w:rPr>
        <w:t xml:space="preserve">的递交</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17.1 电子投标文件的递交</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投标人应当按照《操作手册》规定，在投标截止时间前制作并上传电子投标文件。</w:t>
      </w:r>
      <w:bookmarkStart w:id="141" w:name="_Toc16938542"/>
      <w:r/>
      <w:bookmarkEnd w:id="141"/>
      <w:r/>
      <w:bookmarkStart w:id="142" w:name="_Toc20823298"/>
      <w:r/>
      <w:bookmarkEnd w:id="142"/>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18、投标截止时间</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i/>
          <w:color w:val="auto"/>
          <w:sz w:val="21"/>
          <w:szCs w:val="21"/>
          <w:u w:val="single"/>
        </w:rPr>
        <w:t xml:space="preserve">18.1投标人上传电子投标文件的时间不得迟于招标公告中规定的投标截止时间。</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投标人应充分考虑到网络环境、网络带宽等风险因素，如因投标人自身原因造成的电子投标文件上传不成功的按照本招标文件第二章第26.1.2条 规定做无效投标处理。</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18.2代理机构可以按照规定，通过修改招标文件酌情延长投标截止时间，在此情况下，投标人的所有权利和义务以及投标人受制的截止时间均应以延长后新的截止时间为准。</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43" w:name="_Toc20823299"/>
      <w:r/>
      <w:bookmarkStart w:id="144" w:name="_Toc16938543"/>
      <w:r/>
      <w:bookmarkStart w:id="145" w:name="_Toc513029227"/>
      <w:r>
        <w:rPr>
          <w:rFonts w:hint="eastAsia" w:ascii="宋体" w:hAnsi="宋体" w:eastAsia="宋体" w:cs="宋体"/>
          <w:color w:val="auto"/>
          <w:sz w:val="21"/>
          <w:szCs w:val="21"/>
        </w:rPr>
        <w:t xml:space="preserve">19、投标文件</w:t>
      </w:r>
      <w:bookmarkEnd w:id="143"/>
      <w:r/>
      <w:bookmarkEnd w:id="144"/>
      <w:r/>
      <w:bookmarkEnd w:id="145"/>
      <w:r>
        <w:rPr>
          <w:rFonts w:hint="eastAsia" w:ascii="宋体" w:hAnsi="宋体" w:eastAsia="宋体" w:cs="宋体"/>
          <w:color w:val="auto"/>
          <w:sz w:val="21"/>
          <w:szCs w:val="21"/>
        </w:rPr>
        <w:t xml:space="preserve">的拒收</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19.1代理机构拒绝接收在其规定的投标截止时间后上传的任何投标文件。</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46" w:name="_Toc513029228"/>
      <w:r/>
      <w:bookmarkStart w:id="147" w:name="_Toc20823300"/>
      <w:r/>
      <w:bookmarkStart w:id="148" w:name="_Toc16938544"/>
      <w:r>
        <w:rPr>
          <w:rFonts w:hint="eastAsia" w:ascii="宋体" w:hAnsi="宋体" w:eastAsia="宋体" w:cs="宋体"/>
          <w:color w:val="auto"/>
          <w:sz w:val="21"/>
          <w:szCs w:val="21"/>
        </w:rPr>
        <w:t xml:space="preserve">20、投标文件的撤回和修改</w:t>
      </w:r>
      <w:bookmarkEnd w:id="146"/>
      <w:r/>
      <w:bookmarkEnd w:id="147"/>
      <w:r/>
      <w:bookmarkEnd w:id="148"/>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20.1投标文件的撤回</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20.1.1电子投标文件的撤回</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投标人可在投标截止时间前，撤回其电子投标文件，具体操作方法见《操作手册》。</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20.1.2投标人撤回电子投标文件，则认为其不再参与本项目投标活动。</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20.2 投标文件的修改</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20.2.1投标人可在投标截止时间前，对其电子投标文件进行修改，具体操作方法见《操作手册》。</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20.2.2在投标截止时间之后，投标人不得对其电子投标文件作任何修改。</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20.3在投标截止时间至招标文件中规定的投标有效期满之间的这段时间内，投标人不得撤回其投标。</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49" w:name="_Toc120614218"/>
      <w:r/>
      <w:bookmarkStart w:id="150" w:name="_Toc16938545"/>
      <w:r/>
      <w:bookmarkStart w:id="151" w:name="_Toc513029229"/>
      <w:r/>
      <w:bookmarkStart w:id="152" w:name="_Toc20823301"/>
      <w:r>
        <w:rPr>
          <w:rFonts w:hint="eastAsia" w:ascii="宋体" w:hAnsi="宋体" w:eastAsia="宋体" w:cs="宋体"/>
          <w:b/>
          <w:color w:val="auto"/>
          <w:sz w:val="21"/>
          <w:szCs w:val="21"/>
        </w:rPr>
        <w:t xml:space="preserve">五、开标与评标</w:t>
      </w:r>
      <w:bookmarkEnd w:id="149"/>
      <w:r/>
      <w:bookmarkEnd w:id="150"/>
      <w:r/>
      <w:bookmarkEnd w:id="151"/>
      <w:r/>
      <w:bookmarkEnd w:id="152"/>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53" w:name="_Toc513029230"/>
      <w:r/>
      <w:bookmarkStart w:id="154" w:name="_Toc20823302"/>
      <w:r/>
      <w:bookmarkStart w:id="155" w:name="_Toc16938546"/>
      <w:r>
        <w:rPr>
          <w:rFonts w:hint="eastAsia" w:ascii="宋体" w:hAnsi="宋体" w:eastAsia="宋体" w:cs="宋体"/>
          <w:color w:val="auto"/>
          <w:sz w:val="21"/>
          <w:szCs w:val="21"/>
        </w:rPr>
        <w:t xml:space="preserve">21、开标</w:t>
      </w:r>
      <w:bookmarkEnd w:id="153"/>
      <w:r/>
      <w:bookmarkEnd w:id="154"/>
      <w:r/>
      <w:bookmarkEnd w:id="155"/>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21.1代理机构将在招标公告中规定的时间和地点组织公开开标。投标人应当按照《操作手册》规定，参加开标活动和在苏采云系统规定的时间内对投标文件进行解密。</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21.2开标仪式由代理机构组织。苏采云系统将自动对项目进行开标，并宣布各投标人名称和投标价格。</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21.3投标人在开标过程中涉及到的投标文件解密、开标结果确认等工作，应按照《操作手册》规定执行。</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21.4投标人如果对开标过程和开标记录有疑义，应当根据《操作手册》规定提出，如苏采云系统中《开标记录表》宣布后5分钟内未提出的，视同认可开标结果。</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56" w:name="_Toc20823303"/>
      <w:r/>
      <w:bookmarkStart w:id="157" w:name="_Toc513029231"/>
      <w:r/>
      <w:bookmarkStart w:id="158" w:name="_Toc16938547"/>
      <w:r>
        <w:rPr>
          <w:rFonts w:hint="eastAsia" w:ascii="宋体" w:hAnsi="宋体" w:eastAsia="宋体" w:cs="宋体"/>
          <w:color w:val="auto"/>
          <w:sz w:val="21"/>
          <w:szCs w:val="21"/>
        </w:rPr>
        <w:t xml:space="preserve">22、评标委员会</w:t>
      </w:r>
      <w:bookmarkEnd w:id="156"/>
      <w:r/>
      <w:bookmarkEnd w:id="157"/>
      <w:r/>
      <w:bookmarkEnd w:id="158"/>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22.1开标后，代理机构将立即组织评标委员会（以下简称评委会）进行评标。</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22.2评委会由采购人代表和有关技术、经济等方面的专家组成，且人员构成符合政府采购有关规定。</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22.3评委会独立工作，负责评审所有投标文件并确定中标候选人。</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23、评标过程的保密与公正</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23.1凡是与审查、澄清、评价和比较投标的有关资料以及授标建议等，采购人、评委、代理机构均不得向投标人或与评标无关的其他人员透露。</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23.2在评标过程中，投标人不得以任何行为影响评标过程，否则其投标文件将被作为无效投标文件。</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23.3代理机构和评标委员会不向未中标的投标人解释未中标原因，也不公布评标过程中的相关细节。</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23.4采用综合评分法的项目，未中标的投标人可于中标结果公告期限届满之日起通过苏采云系统查看自己的评审得分及排序情况。</w:t>
      </w:r>
      <w:bookmarkStart w:id="159" w:name="_Toc16938548"/>
      <w:r/>
      <w:bookmarkStart w:id="160" w:name="_Toc513029232"/>
      <w:r/>
      <w:bookmarkStart w:id="161" w:name="_Toc20823304"/>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24、投标文件的澄清</w:t>
      </w:r>
      <w:bookmarkEnd w:id="159"/>
      <w:r/>
      <w:bookmarkEnd w:id="160"/>
      <w:r/>
      <w:bookmarkEnd w:id="161"/>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24.1评标期间，评委会对投标文件中含义不明确、同类问题表述不一致或者有明显文字和计算错误的内容 ，有权要求投标人作出必要的澄清、说明或者补正。</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投标人的澄清、说明或者补正不得超出投标文件的范围或者改变投标文件的实质性内容。</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评标委员会并非对每个投标人都做澄清要求。</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24.3接到评委会澄清、说明和补正要求的投标人如未按规定作出澄清、说明和补正，其风险由投标人自行承担。</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62" w:name="_Toc20823305"/>
      <w:r/>
      <w:bookmarkStart w:id="163" w:name="_Toc16938549"/>
      <w:r/>
      <w:bookmarkStart w:id="164" w:name="_Toc513029233"/>
      <w:r>
        <w:rPr>
          <w:rFonts w:hint="eastAsia" w:ascii="宋体" w:hAnsi="宋体" w:eastAsia="宋体" w:cs="宋体"/>
          <w:color w:val="auto"/>
          <w:sz w:val="21"/>
          <w:szCs w:val="21"/>
        </w:rPr>
        <w:t xml:space="preserve">25、对投标文件的初审</w:t>
      </w:r>
      <w:bookmarkEnd w:id="162"/>
      <w:r/>
      <w:bookmarkEnd w:id="163"/>
      <w:r/>
      <w:bookmarkEnd w:id="164"/>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25.1投标文件初审分为资格审查和符合性审查。</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25.1.1资格审查：依据法律法规和招标文件的规定，由采购人对投标文件中的资格证明文件进行审查。资格审查的结论，采购人以书面形式向评委会进行反馈。</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采购人在进行资格性审查的同时，将在“信用中国”网站（www.creditchina.gov.cn）查询投标人的信用记录，以确定投标人是否具备投标资格,查询结果留存并归档。</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25.1.2符合性审查：依据招标文件的规定，由评委会从投标文件的有效性、完整性和对招标文件的响应程度进行审查，以确定是否对招标文件的实质性要求作出响应。</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25.3如果投标文件实质上没有响应招标文件的要求，评委会将予以拒绝，投标人不得通过修改或撤销不合要求的偏离或保留而使其投标成为实质性响应的投标。</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25.4评委会将对确定为实质性响应的投标进行进一步审核，确定其是否有计算上或累加上的算术错误，修正错误的原则如下：</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（1）投标文件中开标一览表内容与投标文件中相应内容不一致的，以开标一览表为准。</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（2）大写金额和小写金额不一致的，以大写金额为准。</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（3）单价金额小数点或者百分比有明显错位的，以开标一览表的总价为准，并修改单价。</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（4）总价金额与按单价汇总金额不一致的，以单价金额计算结果为准。</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同时出现两种以上错误的，按照前款规定的顺序修正。</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65" w:name="_Toc513029234"/>
      <w:r/>
      <w:bookmarkStart w:id="166" w:name="_Toc16938550"/>
      <w:r/>
      <w:bookmarkStart w:id="167" w:name="_Toc20823306"/>
      <w:r>
        <w:rPr>
          <w:rFonts w:hint="eastAsia" w:ascii="宋体" w:hAnsi="宋体" w:eastAsia="宋体" w:cs="宋体"/>
          <w:color w:val="auto"/>
          <w:sz w:val="21"/>
          <w:szCs w:val="21"/>
        </w:rPr>
        <w:t xml:space="preserve">25.6投标人在开、评标全过程中应保持通信畅通，及时登录苏采云系统查阅、答复相关信息，并安排专人与代理机构及评标委员会联系。</w:t>
      </w:r>
      <w:bookmarkEnd w:id="165"/>
      <w:r/>
      <w:bookmarkEnd w:id="166"/>
      <w:r/>
      <w:bookmarkEnd w:id="167"/>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26、无效投标条款和废标条款</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68" w:name="_Toc16938551"/>
      <w:r/>
      <w:bookmarkStart w:id="169" w:name="_Toc513029235"/>
      <w:r/>
      <w:bookmarkStart w:id="170" w:name="_Toc20823307"/>
      <w:r>
        <w:rPr>
          <w:rFonts w:hint="eastAsia" w:ascii="宋体" w:hAnsi="宋体" w:eastAsia="宋体" w:cs="宋体"/>
          <w:color w:val="auto"/>
          <w:sz w:val="21"/>
          <w:szCs w:val="21"/>
        </w:rPr>
        <w:t xml:space="preserve">26.1无效投标条款</w:t>
      </w:r>
      <w:bookmarkEnd w:id="168"/>
      <w:r/>
      <w:bookmarkEnd w:id="169"/>
      <w:r/>
      <w:bookmarkEnd w:id="170"/>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26.1.1投标人在苏采云系统规定的时间内未成功解密电子投标文件的。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26.1.2投标人未按照招标文件要求上传电子投标文件的。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26.1.3同一投标人提交两个（含两个）以上不同的投标报价的。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26.1.4投标人不具备招标文件中规定资格要求的。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26.1.5投标人的报价超过了采购预算或最高限价的。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26.1.6未通过符合性审查的。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rPr>
      </w:pPr>
      <w:r>
        <w:rPr>
          <w:rFonts w:hint="eastAsia" w:ascii="宋体" w:hAnsi="宋体" w:eastAsia="宋体" w:cs="宋体"/>
          <w:color w:val="auto"/>
          <w:sz w:val="21"/>
          <w:szCs w:val="21"/>
        </w:rPr>
        <w:t xml:space="preserve">26.1.7不符合招标文件中规定的实质性要求和条件的</w:t>
      </w:r>
      <w:r>
        <w:rPr>
          <w:rFonts w:hint="eastAsia" w:ascii="宋体" w:hAnsi="宋体" w:eastAsia="宋体" w:cs="宋体"/>
          <w:color w:val="auto"/>
        </w:rPr>
        <w:t xml:space="preserve">（</w:t>
      </w:r>
      <w:r>
        <w:rPr>
          <w:rFonts w:hint="eastAsia" w:ascii="宋体" w:hAnsi="宋体" w:eastAsia="宋体" w:cs="宋体"/>
          <w:i/>
          <w:color w:val="auto"/>
          <w:u w:val="single"/>
        </w:rPr>
        <w:t xml:space="preserve">本招标文件中斜体且有下划线部分为实质性要求和条件）。</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26.1.9投标文件含有采购人不能接受的附加条件的。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26.1.10投标人不能证明其报价合理性的，评标委员会应当将其作为无效投标处理。</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（一）评审过程中出现下列情形之一的，评标委员会应当启动异常低价投标审查程序：</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1.投标（响应）报价低于全部通过符合性审查供应商投标（响应）报价平均值50%的，即投标（响应）报价&lt;全部通过符合性审查供应商投标（响应）报价平均值×50%；</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2.投标（响应）报价低于通过符合性审查的次低报价供应商投标（响应）报价50%的，即投标（响应）报价&lt;通过符合性审查的次低报价供应商投标（响应）报价×50%；</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3.投标（响应）报价低于采购项目最高限价45%的，即投标（响应）报价&lt;采购项目最高限价×45%；</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4.评审委员会基于专业判断，认为供应商报价过低，有可能影响产品质量或者不能诚信履约的其他情形。</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u w:val="single"/>
          <w:lang w:val="en-US" w:eastAsia="zh-CN"/>
        </w:rPr>
      </w:pPr>
      <w:r>
        <w:rPr>
          <w:rFonts w:hint="eastAsia" w:ascii="宋体" w:hAnsi="宋体" w:eastAsia="宋体" w:cs="宋体"/>
          <w:color w:val="ff0000"/>
          <w:sz w:val="21"/>
          <w:szCs w:val="21"/>
          <w:u w:val="single"/>
          <w:lang w:val="en-US" w:eastAsia="zh-CN"/>
        </w:rPr>
        <w:t xml:space="preserve">提醒：采购人可以结合具体项目实际情况，提高上述第1项至第3项中启动异常低价投标（响应）审查的数值标准，但是最高不得超过65%。</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相关法律法规对供应商报价有规定的，从其规定。</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26.1.11投标文件未按照招标文件要求加盖CA电子公章的。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26.1.12其他法律、法规及本招标文件规定的属无效投标的情形。</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26.2废标条款</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26.2.1符合专业条件的供应商或者对招标文件作实质响应的供应商不足三家的。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26.2.2出现影响采购公正的违法、违规行为的。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26.2.3因重大变故，采购任务取消的。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26.2.4评标委员会认定招标文件存在歧义、重大缺陷导致评审工作无法进行。</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26.2.5因苏采云系统系统故障原因造成开标不成功的。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26.3 投标截止时间结束后参加投标的供应商不足三家的处理：</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26.3.1如出现投标截止时间结束后参加投标的供应商或者在评标期间对招标文件做出实质响应的供应商不足三家情况，按政府采购相关规定执行。</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71" w:name="_Toc120614219"/>
      <w:r>
        <w:rPr>
          <w:rFonts w:hint="eastAsia" w:ascii="宋体" w:hAnsi="宋体" w:eastAsia="宋体" w:cs="宋体"/>
          <w:b/>
          <w:color w:val="auto"/>
          <w:sz w:val="21"/>
          <w:szCs w:val="21"/>
        </w:rPr>
        <w:t xml:space="preserve">六、定标</w:t>
      </w:r>
      <w:bookmarkEnd w:id="171"/>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72" w:name="_Toc20823310"/>
      <w:r/>
      <w:bookmarkStart w:id="173" w:name="_Toc16938554"/>
      <w:r/>
      <w:bookmarkStart w:id="174" w:name="_Toc513029238"/>
      <w:r>
        <w:rPr>
          <w:rFonts w:hint="eastAsia" w:ascii="宋体" w:hAnsi="宋体" w:eastAsia="宋体" w:cs="宋体"/>
          <w:color w:val="auto"/>
          <w:sz w:val="21"/>
          <w:szCs w:val="21"/>
        </w:rPr>
        <w:t xml:space="preserve">27、</w:t>
      </w:r>
      <w:bookmarkEnd w:id="172"/>
      <w:r>
        <w:rPr>
          <w:rFonts w:hint="eastAsia" w:ascii="宋体" w:hAnsi="宋体" w:eastAsia="宋体" w:cs="宋体"/>
          <w:color w:val="auto"/>
          <w:sz w:val="21"/>
          <w:szCs w:val="21"/>
        </w:rPr>
        <w:t xml:space="preserve">确定</w:t>
      </w:r>
      <w:bookmarkEnd w:id="173"/>
      <w:r/>
      <w:bookmarkEnd w:id="174"/>
      <w:r>
        <w:rPr>
          <w:rFonts w:hint="eastAsia" w:ascii="宋体" w:hAnsi="宋体" w:eastAsia="宋体" w:cs="宋体"/>
          <w:color w:val="auto"/>
          <w:sz w:val="21"/>
          <w:szCs w:val="21"/>
        </w:rPr>
        <w:t xml:space="preserve">中标单位</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27.1中标候选人的选取原则和数量见招标文件第五章规定。 </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27.2采购人应根据评委会推荐的中标候选人确定中标人。</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27.3代理机构将在“中国政府采购网”“江苏政府采购网”“盐城市政府采购网”发布中标公告，公告期限为1个工作日。</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27.4若有充分证据证明，中标人出现下列情况之一的，一经查实，将被取消中标资格：</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27.4.1提供虚假材料谋取中标的。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27.4.2向采购人、代理机构行贿或者提供其他不正当利益的。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27.4.3属于本文件规定的无效条件，但在评标过程中又未被评委会发现的。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27.4.4与采购人或者其他供应商恶意串通的。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27.4.5采取不正当手段诋毁、排挤其他供应商的。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75" w:name="_Toc200451960"/>
      <w:r>
        <w:rPr>
          <w:rFonts w:hint="eastAsia" w:ascii="宋体" w:hAnsi="宋体" w:eastAsia="宋体" w:cs="宋体"/>
          <w:color w:val="auto"/>
          <w:sz w:val="21"/>
          <w:szCs w:val="21"/>
        </w:rPr>
        <w:t xml:space="preserve">27.5 有下列情形之一的，视为投标人串通投标，投标无效：</w:t>
      </w:r>
      <w:bookmarkEnd w:id="175"/>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27.5.1不同投标人的投标文件由同一单位或者个人编制。</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27.5.2不同投标人委托同一单位或者个人办理投标事宜。</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27.5.3不同投标人的投标文件载明的项目管理成员或者联系人员为同一人。</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27.5.4不同投标人的投标文件异常一致或者投标报价呈规律性差异。</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28、质疑处理</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28.1提出质疑的供应商应当是参与所质疑项目采购活动的供应商。潜在供应商依法获取其可质疑的采购文件的，可以对采购文件提出质疑。</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28.2.1对可以质疑的采购文件提出质疑的，为收到采购文件之日或者采购文件公告期限届满之日；</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28.2.2对采购过程提出质疑的，为各采购程序环节结束之日；</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28.2.3对中标或者成交结果提出质疑的，为中标或者成交结果公告期限届满之日。</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pStyle w:val="1300"/>
        <w:ind w:firstLine="42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采购人及代理机构只接收以纸质原件形式送达的质疑,采购人和代理机构不接受未填写快递运单的快件。</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28.5 以下情形的质疑不予受理</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28.5.1内容不符合《政府采购质疑和投诉办法》第十二条规定的质疑。</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28.5.2超出政府采购法定期限的质疑。</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28.5.3以传真、电子邮件等方式递交的非原件形式的质疑。</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28.5.4未参加投标活动的供应商或在投标活动中自身权益未受到损害的供应商所提出的质疑。</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28.5.5供应商组成联合体参加投标，联合体中任何一方或多方未按要求签字、盖章、加盖公章的质疑。</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29、中标通知书</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29.2中标通知书将是合同的一个组成部分。对采购人和中标人均具有法律效力。中标通知书发出后，采购人改变中标结果的，或者中标人放弃中标项目的，应当依法承担法律责任。</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76" w:name="_Toc120614220"/>
      <w:r/>
      <w:bookmarkStart w:id="177" w:name="_Toc513029236"/>
      <w:r/>
      <w:bookmarkStart w:id="178" w:name="_Toc20823308"/>
      <w:r/>
      <w:bookmarkStart w:id="179" w:name="_Toc16938552"/>
      <w:r>
        <w:rPr>
          <w:rFonts w:hint="eastAsia" w:ascii="宋体" w:hAnsi="宋体" w:eastAsia="宋体" w:cs="宋体"/>
          <w:b/>
          <w:color w:val="auto"/>
          <w:sz w:val="21"/>
          <w:szCs w:val="21"/>
        </w:rPr>
        <w:t xml:space="preserve">七、授予合同</w:t>
      </w:r>
      <w:bookmarkEnd w:id="176"/>
      <w:r/>
      <w:bookmarkEnd w:id="177"/>
      <w:r/>
      <w:bookmarkEnd w:id="178"/>
      <w:r/>
      <w:bookmarkEnd w:id="179"/>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80" w:name="_Toc20823309"/>
      <w:r/>
      <w:bookmarkStart w:id="181" w:name="_Toc513029237"/>
      <w:r/>
      <w:bookmarkStart w:id="182" w:name="_Toc16938553"/>
      <w:r>
        <w:rPr>
          <w:rFonts w:hint="eastAsia" w:ascii="宋体" w:hAnsi="宋体" w:eastAsia="宋体" w:cs="宋体"/>
          <w:color w:val="auto"/>
          <w:sz w:val="21"/>
          <w:szCs w:val="21"/>
        </w:rPr>
        <w:t xml:space="preserve">30.签订合同</w:t>
      </w:r>
      <w:bookmarkEnd w:id="180"/>
      <w:r/>
      <w:bookmarkEnd w:id="181"/>
      <w:r/>
      <w:bookmarkEnd w:id="182"/>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30.l中标人应当在中标通知书发出之日起三十日内，按照招标文件确定的事项与采购人签订政府采购合同。</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30.2招标文件、中标人的投标文件及招标过程中有关澄清、承诺文件均应作为合同附件。</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30.3签订合同后，</w:t>
      </w:r>
      <w:r>
        <w:rPr>
          <w:rFonts w:hint="eastAsia" w:ascii="宋体" w:hAnsi="宋体" w:eastAsia="宋体" w:cs="宋体"/>
          <w:i/>
          <w:color w:val="auto"/>
          <w:sz w:val="21"/>
          <w:szCs w:val="21"/>
          <w:u w:val="single"/>
        </w:rPr>
        <w:t xml:space="preserve">中标人不得将合同标的进行转包</w:t>
      </w:r>
      <w:r>
        <w:rPr>
          <w:rFonts w:hint="eastAsia" w:ascii="宋体" w:hAnsi="宋体" w:eastAsia="宋体" w:cs="宋体"/>
          <w:color w:val="auto"/>
          <w:sz w:val="21"/>
          <w:szCs w:val="21"/>
        </w:rPr>
        <w:t xml:space="preserve">。未经采购人同意，中标人也不得采用分包的形式履行合同，否则采购人有权终止合同。转包或分包造成采购人损失的，中标人应承担相应赔偿责任。</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31、服务（包含与服务相关的货物）的追加</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32.政府采购政策功能落实</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32.1政府采购线上合同信用融资政策</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32.2进口产品</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32.3中小企业、监狱企业及残疾人福利性单位</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32.3.1中小企业定义：</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中小企业是</w:t>
      </w:r>
      <w:r>
        <w:rPr>
          <w:rFonts w:hint="eastAsia" w:ascii="宋体" w:hAnsi="宋体" w:eastAsia="宋体" w:cs="宋体"/>
          <w:color w:val="auto"/>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32.3.2供应商提供的货物、工程或者服务符合下列情形的，享受中小企业扶持政策：</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32.3.2.1在货物采购项目中，货物由中小企业制造，即货物由中小企业生产且使用该中小企业商号或者注册商标；</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32.3.2.2在工程采购项目中，工程由中小企业承建，即工程施工单位为中小企业；</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32.3.2.3在服务采购项目中，服务由中小企业承接，即提供服务的人员为中小企业依照《中华人民共和国劳动合同法》订立劳动合同的从业人员。</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32.3.3在货物采购项目中，供应商提供的货物既有中小企业制造货物，也有大型企业制造货物的，不享受中小企业扶持政策。</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32.3.4以联合体形式参加政府采购活动，联合体各方均为中小企业的，联合体视同中小企业。其中，联合体各方均为小微企业的，联合体视同小微企业。</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32.3.6残疾人福利单位定义：享受政府采购支持政策的残疾人福利性单位应当同时满足以下条件：</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32.3.6.1安置的残疾人占本单位在职职工人数的比例不低于25%（含25%），并且安置的残疾人人数不少于10 人（含10 人）；</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32.3.6.2依法与安置的每位残疾人签订了一年以上（含一年）的劳动合同或服务协议；</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32.3.6.3为安置的每位残疾人按月足额缴纳了基本养老保险、基本医疗保险、失业保险、工伤保险和生育保险等社会保险费；</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32.3.6.4通过银行等金融机构向安置的每位残疾人，按月支付了不低于单位所在区县适用的经省级人民政府批准的月最低工资标准的工资；</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32.3.6.5提供本单位制造的货物、承担的工程或者服务（以下简称产品），或者提供其他残疾人福利性单位制造的货物（不包括使用非残疾人福利性单位注册商标的货物）；</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32.3.7本项目是否专门面向中小企业预留采购份额见第一章《招标公告》。</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32.3.8采购标的对应的中小企业划分标准所属行业见第四章《采购需求》。</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32.3.9小微企业价格评审优惠的政策：见第五章《评标方法和评标标准》。</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32.4政府采购节能产品、环境标志产品</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32.4.1严格执行政府采购关于支持</w:t>
      </w:r>
      <w:r>
        <w:rPr>
          <w:rFonts w:hint="eastAsia" w:ascii="宋体" w:hAnsi="宋体" w:eastAsia="宋体" w:cs="宋体"/>
          <w:color w:val="auto"/>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32.5绿色包装</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32.6政府采购创新产品</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采购人优先采购各级政府部门公开发布的有效期内的创新产品、创新服务、首台套、首购首用等《目录》的创新产品。</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32.7绿色数据中心政策 </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本文件中若涉及到数据中心采购，采购人应依据《绿色数据中心政府采购需求标准（试行）》（财办库〔2023〕7号）文件精神</w:t>
      </w:r>
      <w:r>
        <w:rPr>
          <w:rFonts w:hint="eastAsia" w:ascii="宋体" w:hAnsi="宋体" w:eastAsia="宋体" w:cs="宋体"/>
          <w:color w:val="auto"/>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32.8实施本国产品标准及相关政策</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1.本项目对采购本国产品给予政策支持，具体内容见招标文件“第五章 评标方法与评标标准”。</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300"/>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ff0000"/>
          <w:sz w:val="21"/>
          <w:szCs w:val="21"/>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ff0000"/>
          <w:sz w:val="21"/>
          <w:szCs w:val="21"/>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履约保证金政策</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确需收取履约保证金的，履约保证金的缴纳形式：</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300"/>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如以履约保函（保险）形式缴纳履约保证金，供应商可通过政府采购电子履约保函（保险）平台（www.jsdzbh.com）在线申请履约保函（保险）。</w:t>
      </w:r>
      <w:r/>
    </w:p>
    <w:p>
      <w:pPr>
        <w:pStyle w:val="1300"/>
        <w:ind w:firstLine="42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1300"/>
        <w:ind w:firstLine="42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33. 预付款制度</w:t>
      </w:r>
      <w:r/>
    </w:p>
    <w:p>
      <w:pPr>
        <w:ind w:firstLine="42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本项目落实预付款制度，预付款比例为</w:t>
      </w:r>
      <w:r>
        <w:rPr>
          <w:rFonts w:hint="eastAsia" w:ascii="宋体" w:hAnsi="宋体" w:eastAsia="宋体" w:cs="宋体"/>
          <w:color w:val="auto"/>
          <w:sz w:val="21"/>
          <w:szCs w:val="21"/>
          <w:u w:val="single"/>
        </w:rPr>
        <w:t xml:space="preserve">30</w:t>
      </w:r>
      <w:r>
        <w:rPr>
          <w:rFonts w:hint="eastAsia" w:ascii="宋体" w:hAnsi="宋体" w:eastAsia="宋体" w:cs="宋体"/>
          <w:color w:val="auto"/>
          <w:sz w:val="21"/>
          <w:szCs w:val="21"/>
        </w:rPr>
        <w:t xml:space="preserve">%（原则上不低于合同金额的30%）。在签订合同时，中标、成交供应商明确书面表示无需预付款或者主动要求降低预付款比例的，采购人可就预付款比例作相应调整。</w:t>
      </w:r>
      <w:bookmarkEnd w:id="44"/>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291"/>
        <w:rPr>
          <w:rFonts w:hint="eastAsia"/>
        </w:rPr>
      </w:pPr>
      <w:r>
        <w:rPr>
          <w:rFonts w:hint="eastAsia"/>
        </w:rPr>
      </w:r>
      <w:r/>
    </w:p>
    <w:p>
      <w:pPr>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auto"/>
        <w:widowControl/>
        <w:rPr>
          <w:rFonts w:ascii="宋体" w:hAnsi="宋体" w:cs="宋体"/>
          <w:color w:val="auto"/>
          <w:sz w:val="30"/>
        </w:rPr>
        <w:outlineLvl w:val="0"/>
      </w:pPr>
      <w:r>
        <w:rPr>
          <w:rFonts w:hint="eastAsia" w:ascii="宋体" w:hAnsi="宋体" w:cs="宋体"/>
          <w:b/>
          <w:color w:val="auto"/>
          <w:sz w:val="48"/>
          <w:szCs w:val="44"/>
        </w:rPr>
        <w:t xml:space="preserve">第三章  </w:t>
      </w:r>
      <w:r>
        <w:rPr>
          <w:rFonts w:hint="eastAsia" w:ascii="宋体" w:hAnsi="宋体" w:cs="宋体"/>
          <w:b/>
          <w:color w:val="auto"/>
          <w:sz w:val="48"/>
          <w:szCs w:val="44"/>
          <w:lang w:val="en-US" w:eastAsia="zh-CN"/>
        </w:rPr>
        <w:t xml:space="preserve"> </w:t>
      </w:r>
      <w:r>
        <w:rPr>
          <w:rFonts w:hint="eastAsia" w:ascii="宋体" w:hAnsi="宋体" w:cs="宋体"/>
          <w:b/>
          <w:color w:val="auto"/>
          <w:sz w:val="48"/>
          <w:szCs w:val="44"/>
        </w:rPr>
        <w:t xml:space="preserve">合同条款</w:t>
      </w:r>
      <w:r/>
    </w:p>
    <w:p>
      <w:pPr>
        <w:pStyle w:val="1300"/>
        <w:ind w:firstLine="480"/>
        <w:jc w:val="both"/>
        <w:spacing w:beforeAutospacing="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以下为中标后签订本项目合同的通用条款，中标人不得提出实质性的修改。 </w:t>
      </w:r>
      <w:r/>
    </w:p>
    <w:p>
      <w:pPr>
        <w:pStyle w:val="1300"/>
        <w:jc w:val="center"/>
        <w:spacing w:before="145" w:beforeAutospacing="0" w:after="145" w:afterAutospacing="0" w:line="360" w:lineRule="auto"/>
        <w:rPr>
          <w:rFonts w:ascii="宋体" w:hAnsi="宋体" w:eastAsia="宋体" w:cs="宋体"/>
          <w:color w:val="auto"/>
          <w:sz w:val="21"/>
          <w:szCs w:val="21"/>
        </w:rPr>
      </w:pPr>
      <w:r>
        <w:rPr>
          <w:rFonts w:hint="eastAsia" w:ascii="宋体" w:hAnsi="宋体" w:eastAsia="宋体" w:cs="宋体"/>
          <w:b/>
          <w:color w:val="auto"/>
          <w:sz w:val="21"/>
          <w:szCs w:val="21"/>
        </w:rPr>
        <w:t xml:space="preserve">盐城市政府采购合同（服务）（合同编号）</w:t>
      </w:r>
      <w:r/>
    </w:p>
    <w:p>
      <w:pPr>
        <w:pStyle w:val="1300"/>
        <w:jc w:val="both"/>
        <w:keepLines w:val="0"/>
        <w:keepNext w:val="0"/>
        <w:pageBreakBefore w:val="0"/>
        <w:spacing w:before="120" w:beforeAutospacing="0" w:after="120" w:afterAutospacing="0" w:line="312"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lang w:eastAsia="zh-CN"/>
        </w:rPr>
        <w:t xml:space="preserve">盐城市公安局“鹰眼”维保项目分包二：无人机及自动机场、平台运维服务</w:t>
      </w:r>
      <w:r/>
    </w:p>
    <w:p>
      <w:pPr>
        <w:pStyle w:val="1300"/>
        <w:jc w:val="both"/>
        <w:keepLines w:val="0"/>
        <w:keepNext w:val="0"/>
        <w:pageBreakBefore w:val="0"/>
        <w:spacing w:before="120" w:beforeAutospacing="0" w:after="12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项目编号：</w:t>
      </w:r>
      <w:r/>
    </w:p>
    <w:p>
      <w:pPr>
        <w:pStyle w:val="1300"/>
        <w:jc w:val="both"/>
        <w:keepLines w:val="0"/>
        <w:keepNext w:val="0"/>
        <w:pageBreakBefore w:val="0"/>
        <w:spacing w:before="120" w:beforeAutospacing="0" w:after="12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甲方：（买方）</w:t>
      </w:r>
      <w:r>
        <w:rPr>
          <w:rFonts w:hint="eastAsia" w:ascii="宋体" w:hAnsi="宋体" w:eastAsia="宋体" w:cs="宋体"/>
          <w:color w:val="auto"/>
          <w:sz w:val="21"/>
          <w:szCs w:val="21"/>
          <w:u w:val="single"/>
        </w:rPr>
        <w:t xml:space="preserve">盐城市公安局</w:t>
      </w:r>
      <w:r/>
    </w:p>
    <w:p>
      <w:pPr>
        <w:pStyle w:val="1300"/>
        <w:jc w:val="both"/>
        <w:keepLines w:val="0"/>
        <w:keepNext w:val="0"/>
        <w:pageBreakBefore w:val="0"/>
        <w:spacing w:before="120" w:beforeAutospacing="0" w:after="12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乙方：（卖方）_________</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甲、乙双方根据</w:t>
      </w:r>
      <w:r>
        <w:rPr>
          <w:rFonts w:hint="eastAsia" w:ascii="宋体" w:hAnsi="宋体" w:eastAsia="宋体" w:cs="宋体"/>
          <w:color w:val="auto"/>
          <w:sz w:val="21"/>
          <w:szCs w:val="21"/>
          <w:u w:val="single"/>
          <w:lang w:eastAsia="zh-CN"/>
        </w:rPr>
        <w:t xml:space="preserve">盐城市公安局“鹰眼”维保项目分包二：无人机及自动机场、平台运维服务</w:t>
      </w:r>
      <w:r>
        <w:rPr>
          <w:rFonts w:hint="eastAsia" w:ascii="宋体" w:hAnsi="宋体" w:eastAsia="宋体" w:cs="宋体"/>
          <w:color w:val="auto"/>
          <w:sz w:val="21"/>
          <w:szCs w:val="21"/>
        </w:rPr>
        <w:t xml:space="preserve">公开招标的结果，签署本合同。</w:t>
      </w:r>
      <w:r/>
    </w:p>
    <w:p>
      <w:pPr>
        <w:pStyle w:val="1300"/>
        <w:ind w:firstLine="480"/>
        <w:jc w:val="both"/>
        <w:keepLines w:val="0"/>
        <w:keepNext w:val="0"/>
        <w:pageBreakBefore w:val="0"/>
        <w:spacing w:beforeAutospacing="0" w:afterAutospacing="0" w:line="312"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一、合同内容</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lang w:val="zh-CN"/>
        </w:rPr>
      </w:pPr>
      <w:r>
        <w:rPr>
          <w:rFonts w:hint="eastAsia" w:ascii="宋体" w:hAnsi="宋体" w:eastAsia="宋体" w:cs="宋体"/>
          <w:color w:val="auto"/>
          <w:sz w:val="21"/>
          <w:szCs w:val="21"/>
        </w:rPr>
        <w:t xml:space="preserve">1.1</w:t>
      </w:r>
      <w:r>
        <w:rPr>
          <w:rFonts w:hint="eastAsia" w:ascii="宋体" w:hAnsi="宋体" w:eastAsia="宋体" w:cs="宋体"/>
          <w:color w:val="auto"/>
          <w:sz w:val="21"/>
          <w:szCs w:val="21"/>
          <w:lang w:val="zh-CN"/>
        </w:rPr>
        <w:t xml:space="preserve">详见附件《分项报价表》</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Cs/>
          <w:color w:val="auto"/>
          <w:sz w:val="21"/>
          <w:szCs w:val="21"/>
        </w:rPr>
        <w:t xml:space="preserve">1.2</w:t>
      </w:r>
      <w:r>
        <w:rPr>
          <w:rFonts w:hint="eastAsia" w:ascii="宋体" w:hAnsi="宋体" w:eastAsia="宋体" w:cs="宋体"/>
          <w:color w:val="auto"/>
          <w:sz w:val="21"/>
          <w:szCs w:val="21"/>
        </w:rPr>
        <w:t xml:space="preserve">服务期限：本合同服务期限为1年。</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二、合同金额</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2.1本合同金额为（大写）：____________________元（_______________元）人民币。</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2.2本合同价款包含所有乙方提供合同约定服务的报酬及乙方提供合同中服务所支出的必要费用，甲方在上述合同价款之外不再向乙方支付其他任何费用。</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三、技术资料</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3.1乙方应按招标文件规定的时间向甲方提供服务（包含与服务相关的货物）的有关技术资料。</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四、知识产权</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五、产权担保</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乙方保证所交付的服务（包含与服务相关的货物）的所有权完全属于乙方且无任何抵押、查封等产权瑕疵。</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六、履约保证金</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6.1乙方交纳人民币_________元作为本合同的履约保证金。</w:t>
      </w:r>
      <w:r/>
    </w:p>
    <w:p>
      <w:pPr>
        <w:ind w:firstLine="420"/>
        <w:keepLines w:val="0"/>
        <w:keepNext w:val="0"/>
        <w:pageBreakBefore w:val="0"/>
        <w:spacing w:line="312" w:lineRule="auto"/>
        <w:rPr>
          <w:rFonts w:ascii="宋体" w:hAnsi="宋体" w:eastAsia="宋体" w:cs="宋体"/>
          <w:color w:val="auto"/>
          <w:szCs w:val="21"/>
        </w:rPr>
      </w:pPr>
      <w:r>
        <w:rPr>
          <w:rFonts w:hint="eastAsia" w:ascii="宋体" w:hAnsi="宋体" w:eastAsia="宋体" w:cs="宋体"/>
          <w:color w:val="auto"/>
          <w:szCs w:val="21"/>
        </w:rPr>
        <w:t xml:space="preserve">备注：履约保证金金额为合同金额的5%，乙方提供AA评级及以上政府采购信用管理部门备案的第三方信用报告，免收履约保证金。</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6.2确需收取履约保证金的，履约保证金的缴纳形式：</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6.2.2 如以履约保函（保险）形式缴纳履约保证金，供应商可通过政府采购电子履约保函（保险）平台（www.jsdzbh.com）在线申请履约保函（保险）。</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6.3合同履行结束后，甲方应及时退还交纳的履约保证金。</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6.4履约保证金的退还：</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6.4.1方式：退还至投标人缴纳履约保证金的账户。如为保函，在到期时自行失效。</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6.4.2时间：验收合格且采购人收到发票后30日内。</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6.4.3条件：按合同要求全部履约完成并经采购人验收合格，且采购人收到中标人出具的发票。</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6.4.4不予退还情形：</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除不可抗力情况外，投标人出现下列情形之一的，其履约保证金，招标人将视情节决定不予退还或部分不予退还。</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（1）中标人无正当理由拒绝签订合同的，或者在签订合同时向采购人提出附加条件或者更改合同实质性内容要求的；</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（2）中标人不履行与采购人订立的合同的；</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（3）中标人所供货物或服务不符合招标文件规定要求的；</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（4）中标人采取欺骗、弄虚作假方式投标的或与其它投标人串通投标的；</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（5）中标人将合同内容转包、违法分包的；</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（6）中标人故意捏造事实或伪造证明材料，进行虚假恶意投诉或反映的。</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七、合同转包或分包</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7.1乙方不得将合同标的转包给他人履行。</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7.2乙方不得将合同标的分包给他人履行。</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7.3乙方如有转包或未经甲方同意的分包行为，甲方有权解除合同。</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八、合同款项支付</w:t>
      </w:r>
      <w:r/>
    </w:p>
    <w:p>
      <w:pPr>
        <w:pStyle w:val="1300"/>
        <w:ind w:firstLine="480"/>
        <w:jc w:val="both"/>
        <w:keepLines w:val="0"/>
        <w:keepNext w:val="0"/>
        <w:pageBreakBefore w:val="0"/>
        <w:spacing w:beforeAutospacing="0" w:afterAutospacing="0"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8.1合同款项的支付方式及进度安排</w:t>
      </w:r>
      <w:r/>
    </w:p>
    <w:p>
      <w:pPr>
        <w:pStyle w:val="1300"/>
        <w:ind w:firstLine="480"/>
        <w:jc w:val="both"/>
        <w:keepLines w:val="0"/>
        <w:keepNext w:val="0"/>
        <w:pageBreakBefore w:val="0"/>
        <w:spacing w:beforeAutospacing="0" w:afterAutospacing="0" w:line="312" w:lineRule="auto"/>
        <w:rPr>
          <w:rFonts w:ascii="宋体" w:hAnsi="宋体" w:cs="宋体"/>
          <w:color w:val="auto"/>
          <w:sz w:val="21"/>
          <w:szCs w:val="21"/>
        </w:rPr>
      </w:pPr>
      <w:r>
        <w:rPr>
          <w:rFonts w:ascii="宋体" w:hAnsi="宋体" w:cs="宋体"/>
          <w:color w:val="auto"/>
          <w:sz w:val="21"/>
          <w:szCs w:val="21"/>
        </w:rPr>
        <w:t xml:space="preserve">8.1.1合同签订后，甲方收到预付款发票后10个工作日内支付合同总价30%的预付款； </w:t>
      </w:r>
      <w:r/>
    </w:p>
    <w:p>
      <w:pPr>
        <w:pStyle w:val="1300"/>
        <w:ind w:firstLine="480"/>
        <w:jc w:val="both"/>
        <w:keepLines w:val="0"/>
        <w:keepNext w:val="0"/>
        <w:pageBreakBefore w:val="0"/>
        <w:spacing w:beforeAutospacing="0" w:afterAutospacing="0" w:line="312" w:lineRule="auto"/>
        <w:rPr>
          <w:rFonts w:ascii="宋体" w:hAnsi="宋体" w:cs="宋体"/>
          <w:color w:val="auto"/>
          <w:sz w:val="21"/>
          <w:szCs w:val="21"/>
        </w:rPr>
      </w:pPr>
      <w:r>
        <w:rPr>
          <w:rFonts w:ascii="宋体" w:hAnsi="宋体" w:cs="宋体"/>
          <w:color w:val="auto"/>
          <w:sz w:val="21"/>
          <w:szCs w:val="21"/>
        </w:rPr>
        <w:t xml:space="preserve">8.1.2服务满6个月后</w:t>
      </w:r>
      <w:r>
        <w:rPr>
          <w:rFonts w:hint="eastAsia" w:ascii="宋体" w:hAnsi="宋体" w:cs="宋体"/>
          <w:color w:val="auto"/>
          <w:sz w:val="21"/>
          <w:szCs w:val="21"/>
        </w:rPr>
        <w:t xml:space="preserve">（合同签订之日起计算，下同）</w:t>
      </w:r>
      <w:r>
        <w:rPr>
          <w:rFonts w:ascii="宋体" w:hAnsi="宋体" w:cs="宋体"/>
          <w:color w:val="auto"/>
          <w:sz w:val="21"/>
          <w:szCs w:val="21"/>
        </w:rPr>
        <w:t xml:space="preserve">，乙方</w:t>
      </w:r>
      <w:r>
        <w:rPr>
          <w:rFonts w:hint="eastAsia" w:ascii="宋体" w:hAnsi="宋体" w:cs="宋体"/>
          <w:color w:val="auto"/>
          <w:sz w:val="21"/>
          <w:szCs w:val="21"/>
        </w:rPr>
        <w:t xml:space="preserve">无</w:t>
      </w:r>
      <w:r>
        <w:rPr>
          <w:rFonts w:ascii="宋体" w:hAnsi="宋体" w:cs="宋体"/>
          <w:color w:val="auto"/>
          <w:sz w:val="21"/>
          <w:szCs w:val="21"/>
        </w:rPr>
        <w:t xml:space="preserve">服务质量问题（即：</w:t>
      </w:r>
      <w:r>
        <w:rPr>
          <w:rFonts w:hint="eastAsia" w:ascii="宋体" w:hAnsi="宋体" w:cs="宋体"/>
          <w:color w:val="auto"/>
          <w:sz w:val="21"/>
          <w:szCs w:val="21"/>
        </w:rPr>
        <w:t xml:space="preserve">经甲方审核，</w:t>
      </w:r>
      <w:r>
        <w:rPr>
          <w:rFonts w:ascii="宋体" w:hAnsi="宋体" w:cs="宋体"/>
          <w:color w:val="auto"/>
          <w:sz w:val="21"/>
          <w:szCs w:val="21"/>
        </w:rPr>
        <w:t xml:space="preserve">乙方的服务均达到本合同承诺的要求。下同），甲方向乙方支付合同款项的20%</w:t>
      </w:r>
      <w:r>
        <w:rPr>
          <w:rFonts w:hint="eastAsia" w:ascii="宋体" w:hAnsi="宋体" w:cs="宋体"/>
          <w:color w:val="auto"/>
          <w:sz w:val="21"/>
          <w:szCs w:val="21"/>
        </w:rPr>
        <w:t xml:space="preserve">，付至</w:t>
      </w:r>
      <w:r>
        <w:rPr>
          <w:rFonts w:ascii="宋体" w:hAnsi="宋体" w:cs="宋体"/>
          <w:color w:val="auto"/>
          <w:sz w:val="21"/>
          <w:szCs w:val="21"/>
        </w:rPr>
        <w:t xml:space="preserve">合同</w:t>
      </w:r>
      <w:r>
        <w:rPr>
          <w:rFonts w:hint="eastAsia" w:ascii="宋体" w:hAnsi="宋体" w:cs="宋体"/>
          <w:color w:val="auto"/>
          <w:sz w:val="21"/>
          <w:szCs w:val="21"/>
        </w:rPr>
        <w:t xml:space="preserve">总价</w:t>
      </w:r>
      <w:r>
        <w:rPr>
          <w:rFonts w:ascii="宋体" w:hAnsi="宋体" w:cs="宋体"/>
          <w:color w:val="auto"/>
          <w:sz w:val="21"/>
          <w:szCs w:val="21"/>
        </w:rPr>
        <w:t xml:space="preserve">的50%</w:t>
      </w:r>
      <w:r>
        <w:rPr>
          <w:rFonts w:hint="eastAsia" w:ascii="宋体" w:hAnsi="宋体" w:cs="宋体"/>
          <w:color w:val="auto"/>
          <w:sz w:val="21"/>
          <w:szCs w:val="21"/>
        </w:rPr>
        <w:t xml:space="preserve">；</w:t>
      </w:r>
      <w:r/>
    </w:p>
    <w:p>
      <w:pPr>
        <w:pStyle w:val="1300"/>
        <w:ind w:firstLine="480"/>
        <w:jc w:val="both"/>
        <w:keepLines w:val="0"/>
        <w:keepNext w:val="0"/>
        <w:pageBreakBefore w:val="0"/>
        <w:spacing w:beforeAutospacing="0" w:afterAutospacing="0" w:line="312" w:lineRule="auto"/>
        <w:rPr>
          <w:rFonts w:ascii="宋体" w:hAnsi="宋体" w:cs="宋体"/>
          <w:color w:val="auto"/>
          <w:sz w:val="21"/>
          <w:szCs w:val="21"/>
        </w:rPr>
      </w:pPr>
      <w:r>
        <w:rPr>
          <w:rFonts w:ascii="宋体" w:hAnsi="宋体" w:cs="宋体"/>
          <w:color w:val="auto"/>
          <w:sz w:val="21"/>
          <w:szCs w:val="21"/>
        </w:rPr>
        <w:t xml:space="preserve">8.1.3服务满9个月后，乙方</w:t>
      </w:r>
      <w:r>
        <w:rPr>
          <w:rFonts w:hint="eastAsia" w:ascii="宋体" w:hAnsi="宋体" w:cs="宋体"/>
          <w:color w:val="auto"/>
          <w:sz w:val="21"/>
          <w:szCs w:val="21"/>
        </w:rPr>
        <w:t xml:space="preserve">无</w:t>
      </w:r>
      <w:r>
        <w:rPr>
          <w:rFonts w:ascii="宋体" w:hAnsi="宋体" w:cs="宋体"/>
          <w:color w:val="auto"/>
          <w:sz w:val="21"/>
          <w:szCs w:val="21"/>
        </w:rPr>
        <w:t xml:space="preserve">服务质量问题，甲方向乙方支付合同款项的25%</w:t>
      </w:r>
      <w:r>
        <w:rPr>
          <w:rFonts w:hint="eastAsia" w:ascii="宋体" w:hAnsi="宋体" w:cs="宋体"/>
          <w:color w:val="auto"/>
          <w:sz w:val="21"/>
          <w:szCs w:val="21"/>
        </w:rPr>
        <w:t xml:space="preserve">，付至</w:t>
      </w:r>
      <w:r>
        <w:rPr>
          <w:rFonts w:ascii="宋体" w:hAnsi="宋体" w:cs="宋体"/>
          <w:color w:val="auto"/>
          <w:sz w:val="21"/>
          <w:szCs w:val="21"/>
        </w:rPr>
        <w:t xml:space="preserve">合同</w:t>
      </w:r>
      <w:r>
        <w:rPr>
          <w:rFonts w:hint="eastAsia" w:ascii="宋体" w:hAnsi="宋体" w:cs="宋体"/>
          <w:color w:val="auto"/>
          <w:sz w:val="21"/>
          <w:szCs w:val="21"/>
        </w:rPr>
        <w:t xml:space="preserve">总价</w:t>
      </w:r>
      <w:r>
        <w:rPr>
          <w:rFonts w:ascii="宋体" w:hAnsi="宋体" w:cs="宋体"/>
          <w:color w:val="auto"/>
          <w:sz w:val="21"/>
          <w:szCs w:val="21"/>
        </w:rPr>
        <w:t xml:space="preserve">的75%；</w:t>
      </w:r>
      <w:r/>
    </w:p>
    <w:p>
      <w:pPr>
        <w:pStyle w:val="1300"/>
        <w:ind w:firstLine="480"/>
        <w:jc w:val="both"/>
        <w:keepLines w:val="0"/>
        <w:keepNext w:val="0"/>
        <w:pageBreakBefore w:val="0"/>
        <w:spacing w:beforeAutospacing="0" w:afterAutospacing="0" w:line="312" w:lineRule="auto"/>
        <w:rPr>
          <w:rFonts w:ascii="宋体" w:hAnsi="宋体" w:cs="宋体"/>
          <w:color w:val="auto"/>
          <w:sz w:val="21"/>
          <w:szCs w:val="21"/>
        </w:rPr>
      </w:pPr>
      <w:r>
        <w:rPr>
          <w:rFonts w:ascii="宋体" w:hAnsi="宋体" w:cs="宋体"/>
          <w:color w:val="auto"/>
          <w:sz w:val="21"/>
          <w:szCs w:val="21"/>
        </w:rPr>
        <w:t xml:space="preserve">8.1.4服务</w:t>
      </w:r>
      <w:r>
        <w:rPr>
          <w:rFonts w:hint="eastAsia" w:ascii="宋体" w:hAnsi="宋体" w:cs="宋体"/>
          <w:color w:val="auto"/>
          <w:sz w:val="21"/>
          <w:szCs w:val="21"/>
        </w:rPr>
        <w:t xml:space="preserve">满</w:t>
      </w:r>
      <w:r>
        <w:rPr>
          <w:rFonts w:ascii="宋体" w:hAnsi="宋体" w:cs="宋体"/>
          <w:color w:val="auto"/>
          <w:sz w:val="21"/>
          <w:szCs w:val="21"/>
        </w:rPr>
        <w:t xml:space="preserve">12个月后，乙方</w:t>
      </w:r>
      <w:r>
        <w:rPr>
          <w:rFonts w:hint="eastAsia" w:ascii="宋体" w:hAnsi="宋体" w:cs="宋体"/>
          <w:color w:val="auto"/>
          <w:sz w:val="21"/>
          <w:szCs w:val="21"/>
        </w:rPr>
        <w:t xml:space="preserve">无</w:t>
      </w:r>
      <w:r>
        <w:rPr>
          <w:rFonts w:ascii="宋体" w:hAnsi="宋体" w:cs="宋体"/>
          <w:color w:val="auto"/>
          <w:sz w:val="21"/>
          <w:szCs w:val="21"/>
        </w:rPr>
        <w:t xml:space="preserve">服务质量问题，甲方向乙方支付合同款项的25%</w:t>
      </w:r>
      <w:r>
        <w:rPr>
          <w:rFonts w:hint="eastAsia" w:ascii="宋体" w:hAnsi="宋体" w:cs="宋体"/>
          <w:color w:val="auto"/>
          <w:sz w:val="21"/>
          <w:szCs w:val="21"/>
        </w:rPr>
        <w:t xml:space="preserve">，</w:t>
      </w:r>
      <w:r>
        <w:rPr>
          <w:rFonts w:ascii="宋体" w:hAnsi="宋体" w:cs="宋体"/>
          <w:color w:val="auto"/>
          <w:sz w:val="21"/>
          <w:szCs w:val="21"/>
        </w:rPr>
        <w:t xml:space="preserve">结清尾款。</w:t>
      </w:r>
      <w:r/>
    </w:p>
    <w:p>
      <w:pPr>
        <w:pStyle w:val="1300"/>
        <w:ind w:firstLine="480"/>
        <w:jc w:val="both"/>
        <w:keepLines w:val="0"/>
        <w:keepNext w:val="0"/>
        <w:pageBreakBefore w:val="0"/>
        <w:spacing w:beforeAutospacing="0" w:afterAutospacing="0" w:line="312" w:lineRule="auto"/>
        <w:rPr>
          <w:rFonts w:ascii="宋体" w:hAnsi="宋体" w:cs="宋体"/>
          <w:color w:val="auto"/>
          <w:sz w:val="21"/>
          <w:szCs w:val="21"/>
        </w:rPr>
      </w:pPr>
      <w:r>
        <w:rPr>
          <w:rFonts w:hint="eastAsia" w:ascii="宋体" w:hAnsi="宋体" w:cs="宋体"/>
          <w:color w:val="auto"/>
          <w:sz w:val="21"/>
          <w:szCs w:val="21"/>
        </w:rPr>
        <w:t xml:space="preserve">上述付款均以合同考核条款为依据，扣除相关考核金进行计算。考核得分为90分（含）及以上的为合格；考核得90分以下的按考核分值支付服务费用的比例金额。（例：考核得分89分的，支付半年全额服务费用的89%）</w:t>
      </w:r>
      <w:r/>
    </w:p>
    <w:p>
      <w:pPr>
        <w:pStyle w:val="1300"/>
        <w:ind w:firstLine="480"/>
        <w:jc w:val="both"/>
        <w:keepLines w:val="0"/>
        <w:keepNext w:val="0"/>
        <w:pageBreakBefore w:val="0"/>
        <w:spacing w:beforeAutospacing="0" w:afterAutospacing="0" w:line="312" w:lineRule="auto"/>
        <w:rPr>
          <w:rFonts w:ascii="宋体" w:hAnsi="宋体" w:cs="宋体"/>
          <w:color w:val="auto"/>
          <w:sz w:val="21"/>
          <w:szCs w:val="21"/>
        </w:rPr>
      </w:pPr>
      <w:r>
        <w:rPr>
          <w:rFonts w:hint="eastAsia" w:ascii="宋体" w:hAnsi="宋体" w:cs="宋体"/>
          <w:color w:val="auto"/>
          <w:sz w:val="21"/>
          <w:szCs w:val="21"/>
        </w:rPr>
        <w:t xml:space="preserve">8.1.5当采购数量与实际使用数量不一致时，乙方根据实际使用量提供产品和服务，合同的最终结算金额按实际使用量乘以成交单价进行计算。</w:t>
      </w:r>
      <w:r/>
    </w:p>
    <w:p>
      <w:pPr>
        <w:pStyle w:val="1300"/>
        <w:ind w:firstLine="480"/>
        <w:jc w:val="both"/>
        <w:keepLines w:val="0"/>
        <w:keepNext w:val="0"/>
        <w:pageBreakBefore w:val="0"/>
        <w:spacing w:beforeAutospacing="0" w:afterAutospacing="0" w:line="312" w:lineRule="auto"/>
        <w:rPr>
          <w:rFonts w:ascii="宋体" w:hAnsi="宋体" w:cs="宋体"/>
          <w:color w:val="auto"/>
          <w:sz w:val="21"/>
          <w:szCs w:val="21"/>
        </w:rPr>
      </w:pPr>
      <w:r>
        <w:rPr>
          <w:rFonts w:hint="eastAsia" w:ascii="宋体" w:hAnsi="宋体" w:cs="宋体"/>
          <w:color w:val="auto"/>
          <w:sz w:val="21"/>
          <w:szCs w:val="21"/>
        </w:rPr>
        <w:t xml:space="preserve">8.1.6如需向与财政部门签署融资合作协议的银行办理授信申请的, 需在协作银行开立结算户作为回款专用户,作为该笔合同唯一的收款账户，供货结束货款结算时，财政部门将政府采购款项直接支付到该账户。</w:t>
      </w:r>
      <w:r/>
    </w:p>
    <w:p>
      <w:pPr>
        <w:pStyle w:val="1300"/>
        <w:ind w:firstLine="480"/>
        <w:jc w:val="both"/>
        <w:keepLines w:val="0"/>
        <w:keepNext w:val="0"/>
        <w:pageBreakBefore w:val="0"/>
        <w:spacing w:beforeAutospacing="0" w:afterAutospacing="0" w:line="312" w:lineRule="auto"/>
        <w:rPr>
          <w:rFonts w:ascii="宋体" w:hAnsi="宋体" w:cs="宋体"/>
          <w:color w:val="auto"/>
          <w:sz w:val="21"/>
          <w:szCs w:val="21"/>
        </w:rPr>
      </w:pPr>
      <w:r>
        <w:rPr>
          <w:rFonts w:hint="eastAsia" w:ascii="宋体" w:hAnsi="宋体" w:cs="宋体"/>
          <w:color w:val="auto"/>
          <w:sz w:val="21"/>
          <w:szCs w:val="21"/>
        </w:rPr>
        <w:t xml:space="preserve">8.1.7对于满足合同约定支付条件的，甲方应当自收到票据十个工作日内后将资金支付到合同约定的供应商账户。</w:t>
      </w:r>
      <w:r/>
    </w:p>
    <w:p>
      <w:pPr>
        <w:ind w:firstLine="420"/>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8.1.8具体考核项目如下：</w:t>
      </w:r>
      <w:r/>
    </w:p>
    <w:tbl>
      <w:tblPr>
        <w:tblStyle w:val="1290"/>
        <w:tblW w:w="9202" w:type="dxa"/>
        <w:jc w:val="center"/>
        <w:tblLayout w:type="fixed"/>
        <w:tblCellMar>
          <w:left w:w="108" w:type="dxa"/>
          <w:top w:w="0" w:type="dxa"/>
          <w:right w:w="108" w:type="dxa"/>
          <w:bottom w:w="0" w:type="dxa"/>
        </w:tblCellMar>
        <w:tblLook w:val="04A0" w:firstRow="1" w:lastRow="0" w:firstColumn="1" w:lastColumn="0" w:noHBand="0" w:noVBand="1"/>
      </w:tblPr>
      <w:tblGrid>
        <w:gridCol w:w="775"/>
        <w:gridCol w:w="1588"/>
        <w:gridCol w:w="4849"/>
        <w:gridCol w:w="1212"/>
        <w:gridCol w:w="778"/>
      </w:tblGrid>
      <w:tr>
        <w:trPr>
          <w:jc w:val="center"/>
          <w:trHeight w:val="27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1588"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评价项</w:t>
            </w:r>
            <w:r/>
          </w:p>
        </w:tc>
        <w:tc>
          <w:tcPr>
            <w:tcBorders>
              <w:top w:val="single" w:color="auto" w:sz="4" w:space="0"/>
              <w:left w:val="none" w:color="000000" w:sz="4" w:space="0"/>
              <w:bottom w:val="single" w:color="auto" w:sz="4" w:space="0"/>
              <w:right w:val="single" w:color="auto" w:sz="4" w:space="0"/>
            </w:tcBorders>
            <w:tcW w:w="4849"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评价详细内容</w:t>
            </w:r>
            <w:r/>
          </w:p>
        </w:tc>
        <w:tc>
          <w:tcPr>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评价得分</w:t>
            </w:r>
            <w:r/>
          </w:p>
        </w:tc>
        <w:tc>
          <w:tcPr>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备注</w:t>
            </w:r>
            <w:r/>
          </w:p>
        </w:tc>
      </w:tr>
      <w:tr>
        <w:trPr>
          <w:jc w:val="center"/>
          <w:trHeight w:val="3079"/>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1</w:t>
            </w:r>
            <w:r/>
          </w:p>
        </w:tc>
        <w:tc>
          <w:tcPr>
            <w:tcBorders>
              <w:top w:val="single" w:color="auto" w:sz="4" w:space="0"/>
              <w:left w:val="none" w:color="000000" w:sz="4" w:space="0"/>
              <w:bottom w:val="single" w:color="auto" w:sz="4" w:space="0"/>
              <w:right w:val="single" w:color="auto" w:sz="4" w:space="0"/>
            </w:tcBorders>
            <w:tcW w:w="1588"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运维响应考核（40分）</w:t>
            </w:r>
            <w:r/>
          </w:p>
        </w:tc>
        <w:tc>
          <w:tcPr>
            <w:tcBorders>
              <w:top w:val="single" w:color="auto" w:sz="4" w:space="0"/>
              <w:left w:val="none" w:color="000000" w:sz="4" w:space="0"/>
              <w:bottom w:val="single" w:color="auto" w:sz="4" w:space="0"/>
              <w:right w:val="single" w:color="auto" w:sz="4" w:space="0"/>
            </w:tcBorders>
            <w:tcW w:w="4849" w:type="dxa"/>
            <w:vAlign w:val="center"/>
            <w:textDirection w:val="lrTb"/>
            <w:noWrap w:val="false"/>
          </w:tcPr>
          <w:p>
            <w:pP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响应时间为7x24小时，2小时内到达现场，24小时内排除故障，如若24小时内不能解决故障问题，应免费在下一个24小时内用同样的品牌、规格或更高的部件更换到位。因响应不及时或处置不及时而影响工作的，视轻重程度，每发生一次扣5-10分。故障处理分析报告超时、缺失或质量不合要求的，每发生一次扣5分。</w:t>
            </w:r>
            <w:r/>
          </w:p>
        </w:tc>
        <w:tc>
          <w:tcPr>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ascii="宋体" w:hAnsi="宋体" w:cs="宋体"/>
                <w:color w:val="auto"/>
                <w:szCs w:val="21"/>
              </w:rPr>
            </w:r>
            <w:r/>
          </w:p>
        </w:tc>
        <w:tc>
          <w:tcPr>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ascii="宋体" w:hAnsi="宋体" w:cs="宋体"/>
                <w:color w:val="auto"/>
                <w:szCs w:val="21"/>
              </w:rPr>
            </w:r>
            <w:r/>
          </w:p>
        </w:tc>
      </w:tr>
      <w:tr>
        <w:trPr>
          <w:jc w:val="center"/>
          <w:trHeight w:val="1458"/>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2</w:t>
            </w:r>
            <w:r/>
          </w:p>
        </w:tc>
        <w:tc>
          <w:tcPr>
            <w:tcBorders>
              <w:top w:val="single" w:color="auto" w:sz="4" w:space="0"/>
              <w:left w:val="none" w:color="000000" w:sz="4" w:space="0"/>
              <w:bottom w:val="single" w:color="auto" w:sz="4" w:space="0"/>
              <w:right w:val="single" w:color="auto" w:sz="4" w:space="0"/>
            </w:tcBorders>
            <w:tcW w:w="1588"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日常巡检考核（15分）</w:t>
            </w:r>
            <w:r/>
          </w:p>
        </w:tc>
        <w:tc>
          <w:tcPr>
            <w:tcBorders>
              <w:top w:val="single" w:color="auto" w:sz="4" w:space="0"/>
              <w:left w:val="none" w:color="000000" w:sz="4" w:space="0"/>
              <w:bottom w:val="single" w:color="auto" w:sz="4" w:space="0"/>
              <w:right w:val="single" w:color="auto" w:sz="4" w:space="0"/>
            </w:tcBorders>
            <w:tcW w:w="4849" w:type="dxa"/>
            <w:vAlign w:val="center"/>
            <w:textDirection w:val="lrTb"/>
            <w:noWrap w:val="false"/>
          </w:tcPr>
          <w:p>
            <w:pP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未按照要求对运维范围内系统及设备进行定期巡检的，每发生一次扣5分。巡检报告超时提交、未提交或质量不合要求的，每发生一次扣5分。</w:t>
            </w:r>
            <w:r/>
          </w:p>
        </w:tc>
        <w:tc>
          <w:tcPr>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ascii="宋体" w:hAnsi="宋体" w:cs="宋体"/>
                <w:color w:val="auto"/>
                <w:szCs w:val="21"/>
              </w:rPr>
            </w:r>
            <w:r/>
          </w:p>
        </w:tc>
        <w:tc>
          <w:tcPr>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ascii="宋体" w:hAnsi="宋体" w:cs="宋体"/>
                <w:color w:val="auto"/>
                <w:szCs w:val="21"/>
              </w:rPr>
            </w:r>
            <w:r/>
          </w:p>
        </w:tc>
      </w:tr>
      <w:tr>
        <w:trPr>
          <w:jc w:val="center"/>
          <w:trHeight w:val="189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3</w:t>
            </w:r>
            <w:r/>
          </w:p>
        </w:tc>
        <w:tc>
          <w:tcPr>
            <w:tcBorders>
              <w:top w:val="single" w:color="auto" w:sz="4" w:space="0"/>
              <w:left w:val="none" w:color="000000" w:sz="4" w:space="0"/>
              <w:bottom w:val="single" w:color="auto" w:sz="4" w:space="0"/>
              <w:right w:val="single" w:color="auto" w:sz="4" w:space="0"/>
            </w:tcBorders>
            <w:tcW w:w="1588"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性能优化考核（15分）</w:t>
            </w:r>
            <w:r/>
          </w:p>
        </w:tc>
        <w:tc>
          <w:tcPr>
            <w:tcBorders>
              <w:top w:val="single" w:color="auto" w:sz="4" w:space="0"/>
              <w:left w:val="none" w:color="000000" w:sz="4" w:space="0"/>
              <w:bottom w:val="single" w:color="auto" w:sz="4" w:space="0"/>
              <w:right w:val="single" w:color="auto" w:sz="4" w:space="0"/>
            </w:tcBorders>
            <w:tcW w:w="4849" w:type="dxa"/>
            <w:vAlign w:val="center"/>
            <w:textDirection w:val="lrTb"/>
            <w:noWrap w:val="false"/>
          </w:tcPr>
          <w:p>
            <w:pP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未按照要求对运维范围内系统及设备进行性能优化分析的，每发生一次扣5分。性能优化分析报告超时提交、未提交或质量不合要求的，每发生一次扣5分。</w:t>
            </w:r>
            <w:r/>
          </w:p>
        </w:tc>
        <w:tc>
          <w:tcPr>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ascii="宋体" w:hAnsi="宋体" w:cs="宋体"/>
                <w:color w:val="auto"/>
                <w:szCs w:val="21"/>
              </w:rPr>
            </w:r>
            <w:r/>
          </w:p>
        </w:tc>
        <w:tc>
          <w:tcPr>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ascii="宋体" w:hAnsi="宋体" w:cs="宋体"/>
                <w:color w:val="auto"/>
                <w:szCs w:val="21"/>
              </w:rPr>
            </w:r>
            <w:r/>
          </w:p>
        </w:tc>
      </w:tr>
      <w:tr>
        <w:trPr>
          <w:jc w:val="center"/>
          <w:trHeight w:val="1029"/>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4</w:t>
            </w:r>
            <w:r/>
          </w:p>
        </w:tc>
        <w:tc>
          <w:tcPr>
            <w:tcBorders>
              <w:top w:val="single" w:color="auto" w:sz="4" w:space="0"/>
              <w:left w:val="none" w:color="000000" w:sz="4" w:space="0"/>
              <w:bottom w:val="single" w:color="auto" w:sz="4" w:space="0"/>
              <w:right w:val="single" w:color="auto" w:sz="4" w:space="0"/>
            </w:tcBorders>
            <w:tcW w:w="1588"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系统维护考核（15分）</w:t>
            </w:r>
            <w:r/>
          </w:p>
        </w:tc>
        <w:tc>
          <w:tcPr>
            <w:tcBorders>
              <w:top w:val="single" w:color="auto" w:sz="4" w:space="0"/>
              <w:left w:val="none" w:color="000000" w:sz="4" w:space="0"/>
              <w:bottom w:val="single" w:color="auto" w:sz="4" w:space="0"/>
              <w:right w:val="single" w:color="auto" w:sz="4" w:space="0"/>
            </w:tcBorders>
            <w:tcW w:w="4849" w:type="dxa"/>
            <w:vAlign w:val="center"/>
            <w:textDirection w:val="lrTb"/>
            <w:noWrap w:val="false"/>
          </w:tcPr>
          <w:p>
            <w:pP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未按照采购人要求提供重要工作系统运维保障的，每发生一次扣5分。</w:t>
            </w:r>
            <w:r/>
          </w:p>
        </w:tc>
        <w:tc>
          <w:tcPr>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ascii="宋体" w:hAnsi="宋体" w:cs="宋体"/>
                <w:color w:val="auto"/>
                <w:szCs w:val="21"/>
              </w:rPr>
            </w:r>
            <w:r/>
          </w:p>
        </w:tc>
        <w:tc>
          <w:tcPr>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ascii="宋体" w:hAnsi="宋体" w:cs="宋体"/>
                <w:color w:val="auto"/>
                <w:szCs w:val="21"/>
              </w:rPr>
            </w:r>
            <w:r/>
          </w:p>
        </w:tc>
      </w:tr>
      <w:tr>
        <w:trPr>
          <w:jc w:val="center"/>
          <w:trHeight w:val="937"/>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5</w:t>
            </w:r>
            <w:r/>
          </w:p>
        </w:tc>
        <w:tc>
          <w:tcPr>
            <w:tcBorders>
              <w:top w:val="single" w:color="auto" w:sz="4" w:space="0"/>
              <w:left w:val="none" w:color="000000" w:sz="4" w:space="0"/>
              <w:bottom w:val="single" w:color="auto" w:sz="4" w:space="0"/>
              <w:right w:val="single" w:color="auto" w:sz="4" w:space="0"/>
            </w:tcBorders>
            <w:tcW w:w="1588"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人员考核</w:t>
            </w:r>
            <w:r/>
          </w:p>
          <w:p>
            <w:pPr>
              <w:jc w:val="cente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（15分）</w:t>
            </w:r>
            <w:r/>
          </w:p>
        </w:tc>
        <w:tc>
          <w:tcPr>
            <w:tcBorders>
              <w:top w:val="single" w:color="auto" w:sz="4" w:space="0"/>
              <w:left w:val="none" w:color="000000" w:sz="4" w:space="0"/>
              <w:bottom w:val="single" w:color="auto" w:sz="4" w:space="0"/>
              <w:right w:val="single" w:color="auto" w:sz="4" w:space="0"/>
            </w:tcBorders>
            <w:tcW w:w="4849" w:type="dxa"/>
            <w:vAlign w:val="center"/>
            <w:textDirection w:val="lrTb"/>
            <w:noWrap w:val="false"/>
          </w:tcPr>
          <w:p>
            <w:pPr>
              <w:keepLines w:val="0"/>
              <w:keepNext w:val="0"/>
              <w:pageBreakBefore w:val="0"/>
              <w:spacing w:line="312" w:lineRule="auto"/>
              <w:rPr>
                <w:rFonts w:ascii="宋体" w:hAnsi="宋体" w:cs="宋体"/>
                <w:color w:val="auto"/>
                <w:szCs w:val="21"/>
              </w:rPr>
            </w:pPr>
            <w:r>
              <w:rPr>
                <w:rFonts w:hint="eastAsia" w:ascii="宋体" w:hAnsi="宋体" w:cs="宋体"/>
                <w:color w:val="auto"/>
                <w:szCs w:val="21"/>
              </w:rPr>
              <w:t xml:space="preserve">根据运维人员在工作中的责任心、工作态度、工作作风、工作技术水平等酌情打分。</w:t>
            </w:r>
            <w:r/>
          </w:p>
        </w:tc>
        <w:tc>
          <w:tcPr>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ascii="宋体" w:hAnsi="宋体" w:cs="宋体"/>
                <w:color w:val="auto"/>
                <w:szCs w:val="21"/>
              </w:rPr>
            </w:r>
            <w:r/>
          </w:p>
        </w:tc>
        <w:tc>
          <w:tcPr>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12" w:lineRule="auto"/>
              <w:rPr>
                <w:rFonts w:ascii="宋体" w:hAnsi="宋体" w:cs="宋体"/>
                <w:color w:val="auto"/>
                <w:szCs w:val="21"/>
              </w:rPr>
            </w:pPr>
            <w:r>
              <w:rPr>
                <w:rFonts w:ascii="宋体" w:hAnsi="宋体" w:cs="宋体"/>
                <w:color w:val="auto"/>
                <w:szCs w:val="21"/>
              </w:rPr>
            </w:r>
            <w:r/>
          </w:p>
        </w:tc>
      </w:tr>
    </w:tbl>
    <w:p>
      <w:pPr>
        <w:pStyle w:val="1300"/>
        <w:ind w:firstLine="480"/>
        <w:jc w:val="both"/>
        <w:keepLines w:val="0"/>
        <w:keepNext w:val="0"/>
        <w:pageBreakBefore w:val="0"/>
        <w:spacing w:beforeAutospacing="0" w:afterAutospacing="0" w:line="312"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九、税费</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本合同执行中相关的一切税费均由乙方负担。</w:t>
      </w:r>
      <w:r/>
    </w:p>
    <w:p>
      <w:pPr>
        <w:pStyle w:val="1300"/>
        <w:ind w:firstLine="480"/>
        <w:jc w:val="both"/>
        <w:keepLines w:val="0"/>
        <w:keepNext w:val="0"/>
        <w:pageBreakBefore w:val="0"/>
        <w:spacing w:beforeAutospacing="0" w:afterAutospacing="0" w:line="312"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十、项目验收</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10.1甲方依法组织履约验收工作。</w:t>
      </w:r>
      <w:r/>
    </w:p>
    <w:p>
      <w:pPr>
        <w:pStyle w:val="1300"/>
        <w:ind w:firstLine="480"/>
        <w:jc w:val="both"/>
        <w:keepLines w:val="0"/>
        <w:keepNext w:val="0"/>
        <w:pageBreakBefore w:val="0"/>
        <w:spacing w:beforeAutospacing="0" w:afterAutospacing="0" w:line="312"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如</w:t>
      </w:r>
      <w:r>
        <w:rPr>
          <w:rFonts w:hint="eastAsia" w:ascii="宋体" w:hAnsi="宋体" w:eastAsia="宋体" w:cs="宋体"/>
          <w:color w:val="auto"/>
          <w:sz w:val="21"/>
          <w:szCs w:val="21"/>
          <w:lang w:eastAsia="zh-CN"/>
        </w:rPr>
        <w:t xml:space="preserve">乙方</w:t>
      </w:r>
      <w:r>
        <w:rPr>
          <w:rFonts w:hint="eastAsia" w:ascii="宋体" w:hAnsi="宋体" w:eastAsia="宋体" w:cs="宋体"/>
          <w:color w:val="auto"/>
          <w:sz w:val="21"/>
          <w:szCs w:val="21"/>
        </w:rPr>
        <w:t xml:space="preserve">未按约定时间完成验收，每逾期一日，应向甲方支付500元/日的违约金，由甲方从待付合同款项中扣除。</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10.3对于实际使用人和甲方分离的项目，甲方邀请实际使用人参与验收。</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10.4如有必要，甲方邀请参加本项目的其他供应商或第三方专业机构及专家参与验收，相关意见将作为验收书的参考资料。</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300"/>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1"/>
          <w:szCs w:val="21"/>
          <w:lang w:val="zh-CN"/>
        </w:rPr>
        <w:t xml:space="preserve">中华人民共和国民法典</w:t>
      </w:r>
      <w:r>
        <w:rPr>
          <w:rFonts w:hint="eastAsia" w:ascii="宋体" w:hAnsi="宋体" w:eastAsia="宋体" w:cs="宋体"/>
          <w:color w:val="auto"/>
          <w:sz w:val="21"/>
          <w:szCs w:val="21"/>
        </w:rPr>
        <w:t xml:space="preserve">》。乙方在履约过程中有政府采购法律法规规定的违法违规情形的,甲方将及时报告本级财政部门。</w:t>
      </w:r>
      <w:r/>
    </w:p>
    <w:p>
      <w:pPr>
        <w:ind w:firstLine="422"/>
        <w:keepLines w:val="0"/>
        <w:keepNext w:val="0"/>
        <w:pageBreakBefore w:val="0"/>
        <w:spacing w:line="312" w:lineRule="auto"/>
        <w:widowControl/>
        <w:rPr>
          <w:rFonts w:ascii="宋体" w:hAnsi="宋体" w:eastAsia="宋体" w:cs="宋体"/>
          <w:b/>
          <w:bCs/>
          <w:color w:val="auto"/>
          <w:szCs w:val="21"/>
        </w:rPr>
      </w:pPr>
      <w:r/>
      <w:bookmarkStart w:id="183" w:name="_Toc479757211"/>
      <w:r/>
      <w:bookmarkStart w:id="184" w:name="_Hlt16619350"/>
      <w:r/>
      <w:bookmarkStart w:id="185" w:name="_Toc16938590"/>
      <w:r/>
      <w:bookmarkStart w:id="186" w:name="_Toc462564139"/>
      <w:r/>
      <w:bookmarkStart w:id="187" w:name="_Toc120614244"/>
      <w:r/>
      <w:bookmarkStart w:id="188" w:name="_Toc20823346"/>
      <w:r/>
      <w:bookmarkStart w:id="189" w:name="_Hlt16619369"/>
      <w:r>
        <w:rPr>
          <w:rFonts w:hint="eastAsia" w:ascii="宋体" w:hAnsi="宋体" w:eastAsia="宋体" w:cs="宋体"/>
          <w:b/>
          <w:bCs/>
          <w:color w:val="auto"/>
          <w:szCs w:val="21"/>
          <w:lang w:val="zh-CN"/>
        </w:rPr>
        <w:t xml:space="preserve">十</w:t>
      </w:r>
      <w:r>
        <w:rPr>
          <w:rFonts w:hint="eastAsia" w:ascii="宋体" w:hAnsi="宋体" w:eastAsia="宋体" w:cs="宋体"/>
          <w:b/>
          <w:bCs/>
          <w:color w:val="auto"/>
          <w:szCs w:val="21"/>
        </w:rPr>
        <w:t xml:space="preserve">一</w:t>
      </w:r>
      <w:r>
        <w:rPr>
          <w:rFonts w:hint="eastAsia" w:ascii="宋体" w:hAnsi="宋体" w:eastAsia="宋体" w:cs="宋体"/>
          <w:b/>
          <w:bCs/>
          <w:color w:val="auto"/>
          <w:szCs w:val="21"/>
          <w:lang w:val="zh-CN"/>
        </w:rPr>
        <w:t xml:space="preserve">、</w:t>
      </w:r>
      <w:r>
        <w:rPr>
          <w:rFonts w:hint="eastAsia" w:ascii="宋体" w:hAnsi="宋体" w:eastAsia="宋体" w:cs="宋体"/>
          <w:b/>
          <w:bCs/>
          <w:color w:val="auto"/>
          <w:szCs w:val="21"/>
        </w:rPr>
        <w:t xml:space="preserve">安全要求</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11.1保密安全要求</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乙方在信息化建设过程中，应配合甲方，落实如下安全保密要求。</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（1）明确合作事项的安全保密责任人；</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（2）对参与人员提出与合作事项有关的安全保密要求；</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（3）及时清除离职、离岗或者不再参与公安信息化建设的员工持有的甲方文档资料、数据等内容；</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（4）对本单位参与公安信息化建设安全保密责任落实情况进行年度评估，并向甲方提交评估报告；</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（5）在得知提供的产品、服务存在安全漏洞或者危害信息系统安全的潜在风险时，须第一时间报告甲方，并及时启动应急预案，提出解决方案；</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（6）乙方及其工作人员严禁未经批准翻阅、复印、拍摄甲方内部文件，或者将甲方内部文件带离指定办公场所或者区域；</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（7）其他应当遵守的安全保密要求。</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11.2数据安全要求</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乙方及其工作人员在信息化建设过程中不得从事下列危害甲方数据安全的行为。</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（1）违规下载、留存、使用公安内部数据；</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（2）算改、毁损、泄露、出售公安内部数据；</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（3）向境外机构和人员提供公安重要数据；</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（4）在互联网上存储、处理、传输公安内部数据和应用系统源代码；</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（5）使用未经过脱敏的公安敏感数据在互联网上进行开发；</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（6）将公安数据用于商业用途；</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（7）其他危害数据安全的行为。</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11.3网络应用安全要求</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乙方及其工作人员不得从事下列危害甲方网络和应用安全的行为。</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（1）违规将公安网络与任何外部网络连接；</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（2）擅自扫描、探测、入侵公安网络及应用系统；</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（3）设置应用系统后门、木马、病毒等恶意程序；</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（4）擅自将参与单位及参与人员的终端、移动存储介质、无线设备等与公安网络连接；</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（5）擅自建立跨网、跨域数据传输或者运维通道；</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（6）拆除、破坏公安监管设施或者卸载监管程序；</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（7）擅自对公安应用源文件、应用源代码进行反编译、加密、解密；</w:t>
      </w:r>
      <w:r/>
    </w:p>
    <w:p>
      <w:pPr>
        <w:ind w:firstLine="480"/>
        <w:keepLines w:val="0"/>
        <w:keepNext w:val="0"/>
        <w:pageBreakBefore w:val="0"/>
        <w:spacing w:line="312" w:lineRule="auto"/>
        <w:widowControl/>
        <w:rPr>
          <w:rFonts w:ascii="宋体" w:hAnsi="宋体" w:eastAsia="宋体" w:cs="宋体"/>
          <w:color w:val="auto"/>
          <w:szCs w:val="21"/>
        </w:rPr>
      </w:pPr>
      <w:r>
        <w:rPr>
          <w:rFonts w:hint="eastAsia" w:ascii="宋体" w:hAnsi="宋体" w:eastAsia="宋体" w:cs="宋体"/>
          <w:color w:val="auto"/>
          <w:szCs w:val="21"/>
        </w:rPr>
        <w:t xml:space="preserve">（8）擅自公开与合作事项相关的技术实现方法或者业务模型等重要信息；</w:t>
      </w:r>
      <w:r/>
    </w:p>
    <w:p>
      <w:pPr>
        <w:ind w:firstLine="420"/>
        <w:keepLines w:val="0"/>
        <w:keepNext w:val="0"/>
        <w:pageBreakBefore w:val="0"/>
        <w:spacing w:line="312" w:lineRule="auto"/>
        <w:rPr>
          <w:rFonts w:ascii="宋体" w:hAnsi="宋体" w:eastAsia="宋体" w:cs="宋体"/>
          <w:color w:val="auto"/>
          <w:szCs w:val="21"/>
        </w:rPr>
      </w:pPr>
      <w:r>
        <w:rPr>
          <w:rFonts w:hint="eastAsia" w:ascii="宋体" w:hAnsi="宋体" w:eastAsia="宋体" w:cs="宋体"/>
          <w:color w:val="auto"/>
          <w:szCs w:val="21"/>
        </w:rPr>
        <w:t xml:space="preserve">（9）其他危害公安网络和应用安全的行为。</w:t>
      </w:r>
      <w:r/>
    </w:p>
    <w:p>
      <w:pPr>
        <w:ind w:firstLine="422"/>
        <w:keepLines w:val="0"/>
        <w:keepNext w:val="0"/>
        <w:pageBreakBefore w:val="0"/>
        <w:spacing w:line="312" w:lineRule="auto"/>
        <w:rPr>
          <w:rFonts w:ascii="宋体" w:hAnsi="宋体" w:eastAsia="宋体" w:cs="宋体"/>
          <w:b/>
          <w:color w:val="auto"/>
          <w:szCs w:val="21"/>
          <w:lang w:val="zh-CN"/>
        </w:rPr>
      </w:pPr>
      <w:r>
        <w:rPr>
          <w:rFonts w:hint="eastAsia" w:ascii="宋体" w:hAnsi="宋体" w:eastAsia="宋体" w:cs="宋体"/>
          <w:b/>
          <w:color w:val="auto"/>
          <w:szCs w:val="21"/>
          <w:lang w:val="zh-CN"/>
        </w:rPr>
        <w:t xml:space="preserve">十</w:t>
      </w:r>
      <w:r>
        <w:rPr>
          <w:rFonts w:hint="eastAsia" w:ascii="宋体" w:hAnsi="宋体" w:eastAsia="宋体" w:cs="宋体"/>
          <w:b/>
          <w:color w:val="auto"/>
          <w:szCs w:val="21"/>
        </w:rPr>
        <w:t xml:space="preserve">二</w:t>
      </w:r>
      <w:r>
        <w:rPr>
          <w:rFonts w:hint="eastAsia" w:ascii="宋体" w:hAnsi="宋体" w:eastAsia="宋体" w:cs="宋体"/>
          <w:b/>
          <w:color w:val="auto"/>
          <w:szCs w:val="21"/>
          <w:lang w:val="zh-CN"/>
        </w:rPr>
        <w:t xml:space="preserve">、违约责任</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rPr>
        <w:t xml:space="preserve">2</w:t>
      </w:r>
      <w:r>
        <w:rPr>
          <w:rFonts w:hint="eastAsia" w:ascii="宋体" w:hAnsi="宋体" w:eastAsia="宋体" w:cs="宋体"/>
          <w:bCs/>
          <w:color w:val="auto"/>
          <w:szCs w:val="21"/>
          <w:lang w:val="zh-CN"/>
        </w:rPr>
        <w:t xml:space="preserve">.1甲方无正当理由拒收的，甲方向乙方偿付拒收货款总值的百分之五违约金。</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rPr>
        <w:t xml:space="preserve">2</w:t>
      </w:r>
      <w:r>
        <w:rPr>
          <w:rFonts w:hint="eastAsia" w:ascii="宋体" w:hAnsi="宋体" w:eastAsia="宋体" w:cs="宋体"/>
          <w:bCs/>
          <w:color w:val="auto"/>
          <w:szCs w:val="21"/>
          <w:lang w:val="zh-CN"/>
        </w:rPr>
        <w:t xml:space="preserve">.2甲方无故逾期验收和办理货款支付手续的，甲方应按逾期付款总额每日万分之五向乙方支付违约金。</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rPr>
        <w:t xml:space="preserve">12</w:t>
      </w:r>
      <w:r>
        <w:rPr>
          <w:rFonts w:hint="eastAsia" w:ascii="宋体" w:hAnsi="宋体" w:eastAsia="宋体" w:cs="宋体"/>
          <w:bCs/>
          <w:color w:val="auto"/>
          <w:szCs w:val="21"/>
          <w:lang w:val="zh-CN"/>
        </w:rPr>
        <w:t xml:space="preserve">.3乙方逾期交付</w:t>
      </w:r>
      <w:r>
        <w:rPr>
          <w:rFonts w:hint="eastAsia" w:ascii="宋体" w:hAnsi="宋体" w:eastAsia="宋体" w:cs="宋体"/>
          <w:bCs/>
          <w:color w:val="auto"/>
          <w:szCs w:val="21"/>
        </w:rPr>
        <w:t xml:space="preserve">合同标的</w:t>
      </w:r>
      <w:r>
        <w:rPr>
          <w:rFonts w:hint="eastAsia" w:ascii="宋体" w:hAnsi="宋体" w:eastAsia="宋体" w:cs="宋体"/>
          <w:bCs/>
          <w:color w:val="auto"/>
          <w:szCs w:val="21"/>
          <w:lang w:val="zh-CN"/>
        </w:rPr>
        <w:t xml:space="preserve">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rPr>
        <w:t xml:space="preserve">2</w:t>
      </w:r>
      <w:r>
        <w:rPr>
          <w:rFonts w:hint="eastAsia" w:ascii="宋体" w:hAnsi="宋体" w:eastAsia="宋体" w:cs="宋体"/>
          <w:bCs/>
          <w:color w:val="auto"/>
          <w:szCs w:val="21"/>
          <w:lang w:val="zh-CN"/>
        </w:rPr>
        <w:t xml:space="preserve">.4乙方所交的</w:t>
      </w:r>
      <w:r>
        <w:rPr>
          <w:rFonts w:hint="eastAsia" w:ascii="宋体" w:hAnsi="宋体" w:eastAsia="宋体" w:cs="宋体"/>
          <w:bCs/>
          <w:color w:val="auto"/>
          <w:szCs w:val="21"/>
        </w:rPr>
        <w:t xml:space="preserve">服务</w:t>
      </w:r>
      <w:r>
        <w:rPr>
          <w:rFonts w:hint="eastAsia" w:ascii="宋体" w:hAnsi="宋体" w:eastAsia="宋体" w:cs="宋体"/>
          <w:bCs/>
          <w:color w:val="auto"/>
          <w:szCs w:val="21"/>
          <w:lang w:val="zh-CN"/>
        </w:rPr>
        <w:t xml:space="preserve">不符合</w:t>
      </w:r>
      <w:r>
        <w:rPr>
          <w:rFonts w:hint="eastAsia" w:ascii="宋体" w:hAnsi="宋体" w:eastAsia="宋体" w:cs="宋体"/>
          <w:bCs/>
          <w:color w:val="auto"/>
          <w:szCs w:val="21"/>
        </w:rPr>
        <w:t xml:space="preserve">项目需求要求</w:t>
      </w:r>
      <w:r>
        <w:rPr>
          <w:rFonts w:hint="eastAsia" w:ascii="宋体" w:hAnsi="宋体" w:eastAsia="宋体" w:cs="宋体"/>
          <w:bCs/>
          <w:color w:val="auto"/>
          <w:szCs w:val="21"/>
          <w:lang w:val="zh-CN"/>
        </w:rPr>
        <w:t xml:space="preserve">的、</w:t>
      </w:r>
      <w:r>
        <w:rPr>
          <w:rFonts w:hint="eastAsia" w:ascii="宋体" w:hAnsi="宋体" w:eastAsia="宋体" w:cs="宋体"/>
          <w:bCs/>
          <w:color w:val="auto"/>
          <w:szCs w:val="21"/>
        </w:rPr>
        <w:t xml:space="preserve">乙方响应文件承诺及国家有关质量标准的，</w:t>
      </w:r>
      <w:r>
        <w:rPr>
          <w:rFonts w:hint="eastAsia" w:ascii="宋体" w:hAnsi="宋体" w:eastAsia="宋体" w:cs="宋体"/>
          <w:bCs/>
          <w:color w:val="auto"/>
          <w:szCs w:val="21"/>
          <w:lang w:val="zh-CN"/>
        </w:rPr>
        <w:t xml:space="preserve">甲方有权拒收，乙方愿意更换但逾期交</w:t>
      </w:r>
      <w:r>
        <w:rPr>
          <w:rFonts w:hint="eastAsia" w:ascii="宋体" w:hAnsi="宋体" w:eastAsia="宋体" w:cs="宋体"/>
          <w:bCs/>
          <w:color w:val="auto"/>
          <w:szCs w:val="21"/>
        </w:rPr>
        <w:t xml:space="preserve">付</w:t>
      </w:r>
      <w:r>
        <w:rPr>
          <w:rFonts w:hint="eastAsia" w:ascii="宋体" w:hAnsi="宋体" w:eastAsia="宋体" w:cs="宋体"/>
          <w:bCs/>
          <w:color w:val="auto"/>
          <w:szCs w:val="21"/>
          <w:lang w:val="zh-CN"/>
        </w:rPr>
        <w:t xml:space="preserve">的，按乙方逾期交</w:t>
      </w:r>
      <w:r>
        <w:rPr>
          <w:rFonts w:hint="eastAsia" w:ascii="宋体" w:hAnsi="宋体" w:eastAsia="宋体" w:cs="宋体"/>
          <w:bCs/>
          <w:color w:val="auto"/>
          <w:szCs w:val="21"/>
        </w:rPr>
        <w:t xml:space="preserve">付</w:t>
      </w:r>
      <w:r>
        <w:rPr>
          <w:rFonts w:hint="eastAsia" w:ascii="宋体" w:hAnsi="宋体" w:eastAsia="宋体" w:cs="宋体"/>
          <w:bCs/>
          <w:color w:val="auto"/>
          <w:szCs w:val="21"/>
          <w:lang w:val="zh-CN"/>
        </w:rPr>
        <w:t xml:space="preserve">处理。乙方拒绝更换的，甲方可单方面解除合同，</w:t>
      </w:r>
      <w:r>
        <w:rPr>
          <w:rFonts w:hint="eastAsia" w:ascii="宋体" w:hAnsi="宋体" w:eastAsia="宋体" w:cs="宋体"/>
          <w:bCs/>
          <w:color w:val="auto"/>
          <w:szCs w:val="21"/>
        </w:rPr>
        <w:t xml:space="preserve">并由乙方赔偿由此造成的甲方全部损失</w:t>
      </w:r>
      <w:r>
        <w:rPr>
          <w:rFonts w:hint="eastAsia" w:ascii="宋体" w:hAnsi="宋体" w:eastAsia="宋体" w:cs="宋体"/>
          <w:bCs/>
          <w:color w:val="auto"/>
          <w:szCs w:val="21"/>
          <w:lang w:val="zh-CN"/>
        </w:rPr>
        <w:t xml:space="preserve">。</w:t>
      </w:r>
      <w:r/>
    </w:p>
    <w:p>
      <w:pPr>
        <w:ind w:firstLine="420"/>
        <w:keepLines w:val="0"/>
        <w:keepNext w:val="0"/>
        <w:pageBreakBefore w:val="0"/>
        <w:spacing w:line="312" w:lineRule="auto"/>
        <w:rPr>
          <w:rFonts w:ascii="宋体" w:hAnsi="宋体" w:eastAsia="宋体" w:cs="宋体"/>
          <w:bCs/>
          <w:color w:val="auto"/>
          <w:szCs w:val="21"/>
        </w:rPr>
      </w:pPr>
      <w:r>
        <w:rPr>
          <w:rFonts w:hint="eastAsia" w:ascii="宋体" w:hAnsi="宋体" w:eastAsia="宋体" w:cs="宋体"/>
          <w:bCs/>
          <w:color w:val="auto"/>
          <w:szCs w:val="21"/>
        </w:rPr>
        <w:t xml:space="preserve">12.5乙方违反本合同“安全要求”相关内容的，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r/>
    </w:p>
    <w:p>
      <w:pPr>
        <w:ind w:firstLine="420"/>
        <w:keepLines w:val="0"/>
        <w:keepNext w:val="0"/>
        <w:pageBreakBefore w:val="0"/>
        <w:spacing w:line="312" w:lineRule="auto"/>
        <w:rPr>
          <w:rFonts w:ascii="宋体" w:hAnsi="宋体" w:eastAsia="宋体" w:cs="宋体"/>
          <w:color w:val="auto"/>
          <w:szCs w:val="21"/>
          <w:lang w:val="zh-CN"/>
        </w:rPr>
      </w:pPr>
      <w:r>
        <w:rPr>
          <w:rFonts w:hint="eastAsia" w:ascii="宋体" w:hAnsi="宋体" w:eastAsia="宋体" w:cs="宋体"/>
          <w:bCs/>
          <w:color w:val="auto"/>
          <w:szCs w:val="21"/>
        </w:rPr>
        <w:t xml:space="preserve">12.6乙方工作人员违反本合同“安全要求”相关内容的，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r/>
    </w:p>
    <w:p>
      <w:pPr>
        <w:ind w:firstLine="422"/>
        <w:keepLines w:val="0"/>
        <w:keepNext w:val="0"/>
        <w:pageBreakBefore w:val="0"/>
        <w:spacing w:line="312" w:lineRule="auto"/>
        <w:rPr>
          <w:rFonts w:ascii="宋体" w:hAnsi="宋体" w:eastAsia="宋体" w:cs="宋体"/>
          <w:b/>
          <w:color w:val="auto"/>
          <w:szCs w:val="21"/>
          <w:lang w:val="zh-CN"/>
        </w:rPr>
      </w:pPr>
      <w:r>
        <w:rPr>
          <w:rFonts w:hint="eastAsia" w:ascii="宋体" w:hAnsi="宋体" w:eastAsia="宋体" w:cs="宋体"/>
          <w:b/>
          <w:color w:val="auto"/>
          <w:szCs w:val="21"/>
          <w:lang w:val="zh-CN"/>
        </w:rPr>
        <w:t xml:space="preserve">十</w:t>
      </w:r>
      <w:r>
        <w:rPr>
          <w:rFonts w:hint="eastAsia" w:ascii="宋体" w:hAnsi="宋体" w:eastAsia="宋体" w:cs="宋体"/>
          <w:b/>
          <w:color w:val="auto"/>
          <w:szCs w:val="21"/>
        </w:rPr>
        <w:t xml:space="preserve">三</w:t>
      </w:r>
      <w:r>
        <w:rPr>
          <w:rFonts w:hint="eastAsia" w:ascii="宋体" w:hAnsi="宋体" w:eastAsia="宋体" w:cs="宋体"/>
          <w:b/>
          <w:color w:val="auto"/>
          <w:szCs w:val="21"/>
          <w:lang w:val="zh-CN"/>
        </w:rPr>
        <w:t xml:space="preserve">、不可抗力事件处理</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rPr>
        <w:t xml:space="preserve">3</w:t>
      </w:r>
      <w:r>
        <w:rPr>
          <w:rFonts w:hint="eastAsia" w:ascii="宋体" w:hAnsi="宋体" w:eastAsia="宋体" w:cs="宋体"/>
          <w:bCs/>
          <w:color w:val="auto"/>
          <w:szCs w:val="21"/>
          <w:lang w:val="zh-CN"/>
        </w:rPr>
        <w:t xml:space="preserve">.1在合同有效期内，任何一方因不可抗力事件导致不能履行合同，则合同履行期可延长，其延长期与不可抗力影响期相同。</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rPr>
        <w:t xml:space="preserve">3</w:t>
      </w:r>
      <w:r>
        <w:rPr>
          <w:rFonts w:hint="eastAsia" w:ascii="宋体" w:hAnsi="宋体" w:eastAsia="宋体" w:cs="宋体"/>
          <w:bCs/>
          <w:color w:val="auto"/>
          <w:szCs w:val="21"/>
          <w:lang w:val="zh-CN"/>
        </w:rPr>
        <w:t xml:space="preserve">.2不可抗力事件发生后，应立即通知对方，并寄送有关权威机构出具的证明。</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rPr>
        <w:t xml:space="preserve">3</w:t>
      </w:r>
      <w:r>
        <w:rPr>
          <w:rFonts w:hint="eastAsia" w:ascii="宋体" w:hAnsi="宋体" w:eastAsia="宋体" w:cs="宋体"/>
          <w:bCs/>
          <w:color w:val="auto"/>
          <w:szCs w:val="21"/>
          <w:lang w:val="zh-CN"/>
        </w:rPr>
        <w:t xml:space="preserve">.3不可抗力事件延续120天以上，双方应通过友好协商，确定是否继续履行合同。</w:t>
      </w:r>
      <w:r/>
    </w:p>
    <w:p>
      <w:pPr>
        <w:ind w:firstLine="422"/>
        <w:keepLines w:val="0"/>
        <w:keepNext w:val="0"/>
        <w:pageBreakBefore w:val="0"/>
        <w:spacing w:line="312" w:lineRule="auto"/>
        <w:rPr>
          <w:rFonts w:ascii="宋体" w:hAnsi="宋体" w:eastAsia="宋体" w:cs="宋体"/>
          <w:b/>
          <w:color w:val="auto"/>
          <w:szCs w:val="21"/>
          <w:lang w:val="zh-CN"/>
        </w:rPr>
      </w:pPr>
      <w:r>
        <w:rPr>
          <w:rFonts w:hint="eastAsia" w:ascii="宋体" w:hAnsi="宋体" w:eastAsia="宋体" w:cs="宋体"/>
          <w:b/>
          <w:color w:val="auto"/>
          <w:szCs w:val="21"/>
          <w:lang w:val="zh-CN"/>
        </w:rPr>
        <w:t xml:space="preserve">十</w:t>
      </w:r>
      <w:r>
        <w:rPr>
          <w:rFonts w:hint="eastAsia" w:ascii="宋体" w:hAnsi="宋体" w:eastAsia="宋体" w:cs="宋体"/>
          <w:b/>
          <w:color w:val="auto"/>
          <w:szCs w:val="21"/>
        </w:rPr>
        <w:t xml:space="preserve">四</w:t>
      </w:r>
      <w:r>
        <w:rPr>
          <w:rFonts w:hint="eastAsia" w:ascii="宋体" w:hAnsi="宋体" w:eastAsia="宋体" w:cs="宋体"/>
          <w:b/>
          <w:color w:val="auto"/>
          <w:szCs w:val="21"/>
          <w:lang w:val="zh-CN"/>
        </w:rPr>
        <w:t xml:space="preserve">、诉讼</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rPr>
        <w:t xml:space="preserve">4</w:t>
      </w:r>
      <w:r>
        <w:rPr>
          <w:rFonts w:hint="eastAsia" w:ascii="宋体" w:hAnsi="宋体" w:eastAsia="宋体" w:cs="宋体"/>
          <w:bCs/>
          <w:color w:val="auto"/>
          <w:szCs w:val="21"/>
          <w:lang w:val="zh-CN"/>
        </w:rPr>
        <w:t xml:space="preserve">.1双方在执行合同中所发生的一切争议，应通过协商解决。如协商不成，可向合同签订地法院起诉，合同签订地在此约定为盐城市。</w:t>
      </w:r>
      <w:r/>
    </w:p>
    <w:p>
      <w:pPr>
        <w:ind w:firstLine="422"/>
        <w:keepLines w:val="0"/>
        <w:keepNext w:val="0"/>
        <w:pageBreakBefore w:val="0"/>
        <w:spacing w:line="312" w:lineRule="auto"/>
        <w:rPr>
          <w:rFonts w:ascii="宋体" w:hAnsi="宋体" w:eastAsia="宋体" w:cs="宋体"/>
          <w:b/>
          <w:color w:val="auto"/>
          <w:szCs w:val="21"/>
          <w:lang w:val="zh-CN"/>
        </w:rPr>
      </w:pPr>
      <w:r>
        <w:rPr>
          <w:rFonts w:hint="eastAsia" w:ascii="宋体" w:hAnsi="宋体" w:eastAsia="宋体" w:cs="宋体"/>
          <w:b/>
          <w:color w:val="auto"/>
          <w:szCs w:val="21"/>
          <w:lang w:val="zh-CN"/>
        </w:rPr>
        <w:t xml:space="preserve">十</w:t>
      </w:r>
      <w:r>
        <w:rPr>
          <w:rFonts w:hint="eastAsia" w:ascii="宋体" w:hAnsi="宋体" w:eastAsia="宋体" w:cs="宋体"/>
          <w:b/>
          <w:color w:val="auto"/>
          <w:szCs w:val="21"/>
        </w:rPr>
        <w:t xml:space="preserve">五</w:t>
      </w:r>
      <w:r>
        <w:rPr>
          <w:rFonts w:hint="eastAsia" w:ascii="宋体" w:hAnsi="宋体" w:eastAsia="宋体" w:cs="宋体"/>
          <w:b/>
          <w:color w:val="auto"/>
          <w:szCs w:val="21"/>
          <w:lang w:val="zh-CN"/>
        </w:rPr>
        <w:t xml:space="preserve">、合同生效及其它</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rPr>
        <w:t xml:space="preserve">5</w:t>
      </w:r>
      <w:r>
        <w:rPr>
          <w:rFonts w:hint="eastAsia" w:ascii="宋体" w:hAnsi="宋体" w:eastAsia="宋体" w:cs="宋体"/>
          <w:bCs/>
          <w:color w:val="auto"/>
          <w:szCs w:val="21"/>
          <w:lang w:val="zh-CN"/>
        </w:rPr>
        <w:t xml:space="preserve">.1合同经双方法定代表人或授权委托代表人签字并加盖单位公章后生效。</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rPr>
        <w:t xml:space="preserve">5</w:t>
      </w:r>
      <w:r>
        <w:rPr>
          <w:rFonts w:hint="eastAsia" w:ascii="宋体" w:hAnsi="宋体" w:eastAsia="宋体" w:cs="宋体"/>
          <w:bCs/>
          <w:color w:val="auto"/>
          <w:szCs w:val="21"/>
          <w:lang w:val="zh-CN"/>
        </w:rPr>
        <w:t xml:space="preserve">.2本合同未尽事宜，遵照《中华人民共和国民法典》有关条文执行。</w:t>
      </w:r>
      <w:r/>
    </w:p>
    <w:p>
      <w:pPr>
        <w:ind w:firstLine="420"/>
        <w:keepLines w:val="0"/>
        <w:keepNext w:val="0"/>
        <w:pageBreakBefore w:val="0"/>
        <w:spacing w:line="312" w:lineRule="auto"/>
        <w:rPr>
          <w:rFonts w:ascii="宋体" w:hAnsi="宋体" w:eastAsia="宋体" w:cs="宋体"/>
          <w:color w:val="auto"/>
          <w:szCs w:val="21"/>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rPr>
        <w:t xml:space="preserve">5</w:t>
      </w:r>
      <w:r>
        <w:rPr>
          <w:rFonts w:hint="eastAsia" w:ascii="宋体" w:hAnsi="宋体" w:eastAsia="宋体" w:cs="宋体"/>
          <w:bCs/>
          <w:color w:val="auto"/>
          <w:szCs w:val="21"/>
          <w:lang w:val="zh-CN"/>
        </w:rPr>
        <w:t xml:space="preserve">.3本合同正本一式四份，具有同等法律效力，甲方、乙方各执两份。</w:t>
      </w:r>
      <w:r/>
    </w:p>
    <w:p>
      <w:pPr>
        <w:pStyle w:val="1296"/>
        <w:ind w:firstLine="630"/>
        <w:keepLines w:val="0"/>
        <w:keepNext w:val="0"/>
        <w:pageBreakBefore w:val="0"/>
        <w:spacing w:line="312" w:lineRule="auto"/>
        <w:rPr>
          <w:rFonts w:hAnsi="宋体" w:cs="宋体"/>
          <w:color w:val="auto"/>
        </w:rPr>
      </w:pPr>
      <w:r>
        <w:rPr>
          <w:rFonts w:hint="eastAsia" w:hAnsi="宋体" w:cs="宋体"/>
          <w:color w:val="auto"/>
        </w:rPr>
        <w:t xml:space="preserve">甲 方：                                 乙 方：</w:t>
      </w:r>
      <w:r/>
    </w:p>
    <w:p>
      <w:pPr>
        <w:pStyle w:val="1296"/>
        <w:ind w:firstLine="420"/>
        <w:keepLines w:val="0"/>
        <w:keepNext w:val="0"/>
        <w:pageBreakBefore w:val="0"/>
        <w:spacing w:line="312" w:lineRule="auto"/>
        <w:rPr>
          <w:rFonts w:hAnsi="宋体" w:cs="宋体"/>
          <w:color w:val="auto"/>
        </w:rPr>
      </w:pPr>
      <w:r>
        <w:rPr>
          <w:rFonts w:hint="eastAsia" w:hAnsi="宋体" w:cs="宋体"/>
          <w:color w:val="auto"/>
        </w:rPr>
        <w:t xml:space="preserve">  地 址：                                 地 址：</w:t>
      </w:r>
      <w:r/>
    </w:p>
    <w:p>
      <w:pPr>
        <w:pStyle w:val="1296"/>
        <w:ind w:firstLine="420"/>
        <w:keepLines w:val="0"/>
        <w:keepNext w:val="0"/>
        <w:pageBreakBefore w:val="0"/>
        <w:spacing w:line="312" w:lineRule="auto"/>
        <w:rPr>
          <w:rFonts w:hAnsi="宋体" w:cs="宋体"/>
          <w:color w:val="auto"/>
        </w:rPr>
      </w:pPr>
      <w:r>
        <w:rPr>
          <w:rFonts w:hint="eastAsia" w:hAnsi="宋体" w:cs="宋体"/>
          <w:color w:val="auto"/>
        </w:rPr>
        <w:t xml:space="preserve">  法定代表人或授权代表：                  法定代表人或授权代表：</w:t>
      </w:r>
      <w:r/>
    </w:p>
    <w:p>
      <w:pPr>
        <w:pStyle w:val="1296"/>
        <w:ind w:firstLine="420"/>
        <w:keepLines w:val="0"/>
        <w:keepNext w:val="0"/>
        <w:pageBreakBefore w:val="0"/>
        <w:spacing w:line="312" w:lineRule="auto"/>
        <w:rPr>
          <w:rFonts w:hAnsi="宋体" w:cs="宋体"/>
          <w:color w:val="auto"/>
        </w:rPr>
      </w:pPr>
      <w:r>
        <w:rPr>
          <w:rFonts w:hint="eastAsia" w:hAnsi="宋体" w:cs="宋体"/>
          <w:color w:val="auto"/>
        </w:rPr>
        <w:t xml:space="preserve">  电 话：                                 电 话：</w:t>
      </w:r>
      <w:r/>
    </w:p>
    <w:p>
      <w:pPr>
        <w:pStyle w:val="1296"/>
        <w:ind w:firstLine="4830"/>
        <w:keepLines w:val="0"/>
        <w:keepNext w:val="0"/>
        <w:pageBreakBefore w:val="0"/>
        <w:spacing w:line="312" w:lineRule="auto"/>
        <w:rPr>
          <w:rFonts w:hAnsi="宋体" w:cs="宋体"/>
          <w:color w:val="auto"/>
        </w:rPr>
      </w:pPr>
      <w:r>
        <w:rPr>
          <w:rFonts w:hAnsi="宋体" w:cs="宋体"/>
          <w:color w:val="auto"/>
        </w:rPr>
      </w:r>
      <w:r/>
    </w:p>
    <w:p>
      <w:pPr>
        <w:pStyle w:val="1296"/>
        <w:ind w:firstLine="6090"/>
        <w:jc w:val="right"/>
        <w:keepLines w:val="0"/>
        <w:keepNext w:val="0"/>
        <w:pageBreakBefore w:val="0"/>
        <w:spacing w:line="312" w:lineRule="auto"/>
        <w:rPr>
          <w:rFonts w:hAnsi="宋体" w:cs="宋体"/>
          <w:color w:val="auto"/>
        </w:rPr>
      </w:pPr>
      <w:r>
        <w:rPr>
          <w:rFonts w:hint="eastAsia" w:hAnsi="宋体" w:cs="宋体"/>
          <w:color w:val="auto"/>
        </w:rPr>
        <w:t xml:space="preserve">日 期：      年  月  日</w:t>
      </w:r>
      <w:r>
        <w:rPr>
          <w:rFonts w:hint="eastAsia" w:ascii="宋体" w:hAnsi="宋体" w:eastAsia="宋体" w:cs="宋体"/>
          <w:color w:val="auto"/>
          <w:szCs w:val="21"/>
        </w:rPr>
        <w:br w:type="page" w:clear="all"/>
      </w:r>
      <w:r>
        <w:rPr>
          <w:rFonts w:hAnsi="宋体" w:cs="宋体"/>
          <w:color w:val="auto"/>
        </w:rPr>
      </w:r>
      <w:r/>
    </w:p>
    <w:p>
      <w:pPr>
        <w:rPr>
          <w:rFonts w:ascii="宋体" w:hAnsi="宋体" w:cs="宋体"/>
          <w:color w:val="auto"/>
          <w:sz w:val="24"/>
        </w:rPr>
      </w:pPr>
      <w:r>
        <w:rPr>
          <w:rFonts w:hint="eastAsia" w:ascii="宋体" w:hAnsi="宋体" w:cs="宋体"/>
          <w:color w:val="auto"/>
          <w:sz w:val="24"/>
        </w:rPr>
        <w:t xml:space="preserve">附件：</w:t>
      </w:r>
      <w:r/>
    </w:p>
    <w:p>
      <w:pPr>
        <w:jc w:val="center"/>
        <w:spacing w:line="540" w:lineRule="exact"/>
        <w:rPr>
          <w:rFonts w:ascii="宋体" w:hAnsi="宋体" w:cs="宋体"/>
          <w:b/>
          <w:color w:val="auto"/>
          <w:sz w:val="32"/>
          <w:szCs w:val="32"/>
        </w:rPr>
      </w:pPr>
      <w:r>
        <w:rPr>
          <w:rFonts w:hint="eastAsia" w:ascii="宋体" w:hAnsi="宋体" w:cs="宋体"/>
          <w:b/>
          <w:color w:val="auto"/>
          <w:sz w:val="32"/>
          <w:szCs w:val="32"/>
        </w:rPr>
        <w:t xml:space="preserve">项目建设供应商承诺函</w:t>
      </w:r>
      <w:r/>
    </w:p>
    <w:p>
      <w:pPr>
        <w:spacing w:line="540" w:lineRule="exact"/>
        <w:rPr>
          <w:rFonts w:ascii="宋体" w:hAnsi="宋体" w:cs="宋体"/>
          <w:b/>
          <w:bCs/>
          <w:color w:val="auto"/>
          <w:sz w:val="28"/>
          <w:szCs w:val="28"/>
        </w:rPr>
      </w:pPr>
      <w:r>
        <w:rPr>
          <w:rFonts w:ascii="宋体" w:hAnsi="宋体" w:cs="宋体"/>
          <w:b/>
          <w:bCs/>
          <w:color w:val="auto"/>
          <w:sz w:val="28"/>
          <w:szCs w:val="28"/>
        </w:rPr>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对未列出的其他事项，严格按照法律法规等具体规定执行。</w:t>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现承诺，我单位在履行</w:t>
      </w:r>
      <w:r>
        <w:rPr>
          <w:rFonts w:hint="eastAsia" w:ascii="宋体" w:hAnsi="宋体" w:eastAsia="宋体" w:cs="宋体"/>
          <w:color w:val="auto"/>
          <w:szCs w:val="21"/>
          <w:u w:val="single"/>
        </w:rPr>
        <w:t xml:space="preserve">    （ 项目名称  ）         </w:t>
      </w:r>
      <w:r>
        <w:rPr>
          <w:rFonts w:hint="eastAsia" w:ascii="宋体" w:hAnsi="宋体" w:eastAsia="宋体" w:cs="宋体"/>
          <w:color w:val="auto"/>
          <w:szCs w:val="21"/>
        </w:rPr>
        <w:t xml:space="preserve">的项目建设中，将严格按照提示函的内容和要求执行，如若违反愿意承担相应的责任。</w:t>
      </w:r>
      <w:r/>
    </w:p>
    <w:p>
      <w:pPr>
        <w:spacing w:line="480" w:lineRule="auto"/>
        <w:rPr>
          <w:rFonts w:ascii="宋体" w:hAnsi="宋体" w:eastAsia="宋体" w:cs="宋体"/>
          <w:color w:val="auto"/>
          <w:szCs w:val="21"/>
        </w:rPr>
      </w:pPr>
      <w:r>
        <w:rPr>
          <w:rFonts w:ascii="宋体" w:hAnsi="宋体" w:eastAsia="宋体" w:cs="宋体"/>
          <w:color w:val="auto"/>
          <w:szCs w:val="21"/>
        </w:rPr>
      </w:r>
      <w:r/>
    </w:p>
    <w:p>
      <w:pPr>
        <w:ind w:firstLine="840"/>
        <w:spacing w:line="480" w:lineRule="auto"/>
        <w:rPr>
          <w:rFonts w:ascii="宋体" w:hAnsi="宋体" w:eastAsia="宋体" w:cs="宋体"/>
          <w:color w:val="auto"/>
          <w:szCs w:val="21"/>
        </w:rPr>
      </w:pPr>
      <w:r>
        <w:rPr>
          <w:rFonts w:hint="eastAsia" w:ascii="宋体" w:hAnsi="宋体" w:eastAsia="宋体" w:cs="宋体"/>
          <w:color w:val="auto"/>
          <w:szCs w:val="21"/>
        </w:rPr>
        <w:t xml:space="preserve">供应商项目负责人（签字）：                   联系方式：</w:t>
      </w:r>
      <w:r/>
    </w:p>
    <w:p>
      <w:pPr>
        <w:pStyle w:val="1296"/>
        <w:ind w:firstLine="4830"/>
        <w:spacing w:line="500" w:lineRule="exact"/>
        <w:rPr>
          <w:rFonts w:hAnsi="宋体"/>
          <w:color w:val="auto"/>
        </w:rPr>
      </w:pPr>
      <w:r>
        <w:rPr>
          <w:rFonts w:hAnsi="宋体"/>
          <w:color w:val="auto"/>
        </w:rPr>
      </w:r>
      <w:r/>
    </w:p>
    <w:p>
      <w:pPr>
        <w:pStyle w:val="1300"/>
        <w:jc w:val="center"/>
        <w:spacing w:before="120" w:beforeAutospacing="0" w:after="120" w:afterAutospacing="0" w:line="360" w:lineRule="auto"/>
        <w:rPr>
          <w:rFonts w:ascii="黑体" w:hAnsi="宋体" w:eastAsia="黑体" w:cs="黑体"/>
          <w:color w:val="auto"/>
          <w:sz w:val="44"/>
          <w:szCs w:val="44"/>
        </w:rPr>
      </w:pPr>
      <w:r>
        <w:rPr>
          <w:rFonts w:ascii="黑体" w:hAnsi="宋体" w:eastAsia="黑体" w:cs="黑体"/>
          <w:color w:val="auto"/>
          <w:sz w:val="44"/>
          <w:szCs w:val="44"/>
        </w:rPr>
      </w:r>
      <w:r/>
    </w:p>
    <w:p>
      <w:pPr>
        <w:pStyle w:val="1300"/>
        <w:jc w:val="center"/>
        <w:spacing w:before="120" w:beforeAutospacing="0" w:after="120" w:afterAutospacing="0" w:line="360" w:lineRule="auto"/>
        <w:rPr>
          <w:rFonts w:ascii="黑体" w:hAnsi="宋体" w:eastAsia="黑体" w:cs="黑体"/>
          <w:color w:val="auto"/>
          <w:sz w:val="44"/>
          <w:szCs w:val="44"/>
        </w:rPr>
      </w:pPr>
      <w:r>
        <w:rPr>
          <w:rFonts w:ascii="黑体" w:hAnsi="宋体" w:eastAsia="黑体" w:cs="黑体"/>
          <w:color w:val="auto"/>
          <w:sz w:val="44"/>
          <w:szCs w:val="44"/>
        </w:rPr>
      </w:r>
      <w:r/>
    </w:p>
    <w:p>
      <w:pPr>
        <w:pStyle w:val="1300"/>
        <w:jc w:val="center"/>
        <w:spacing w:before="120" w:beforeAutospacing="0" w:after="120" w:afterAutospacing="0" w:line="360" w:lineRule="auto"/>
        <w:rPr>
          <w:rFonts w:ascii="黑体" w:hAnsi="宋体" w:eastAsia="黑体" w:cs="黑体"/>
          <w:color w:val="auto"/>
          <w:sz w:val="44"/>
          <w:szCs w:val="44"/>
        </w:rPr>
      </w:pPr>
      <w:r>
        <w:rPr>
          <w:rFonts w:ascii="黑体" w:hAnsi="宋体" w:eastAsia="黑体" w:cs="黑体"/>
          <w:color w:val="auto"/>
          <w:sz w:val="44"/>
          <w:szCs w:val="44"/>
        </w:rPr>
      </w:r>
      <w:r/>
    </w:p>
    <w:p>
      <w:pPr>
        <w:pStyle w:val="1300"/>
        <w:jc w:val="center"/>
        <w:spacing w:before="120" w:beforeAutospacing="0" w:after="120" w:afterAutospacing="0" w:line="360" w:lineRule="auto"/>
        <w:rPr>
          <w:rFonts w:ascii="黑体" w:hAnsi="宋体" w:eastAsia="黑体" w:cs="黑体"/>
          <w:color w:val="auto"/>
          <w:sz w:val="44"/>
          <w:szCs w:val="44"/>
        </w:rPr>
      </w:pPr>
      <w:r>
        <w:rPr>
          <w:rFonts w:ascii="黑体" w:hAnsi="宋体" w:eastAsia="黑体" w:cs="黑体"/>
          <w:color w:val="auto"/>
          <w:sz w:val="44"/>
          <w:szCs w:val="44"/>
        </w:rPr>
      </w:r>
      <w:r/>
    </w:p>
    <w:p>
      <w:pPr>
        <w:pStyle w:val="1300"/>
        <w:jc w:val="both"/>
        <w:spacing w:before="120" w:beforeAutospacing="0" w:after="120" w:afterAutospacing="0" w:line="360" w:lineRule="auto"/>
        <w:rPr>
          <w:rFonts w:ascii="黑体" w:hAnsi="宋体" w:eastAsia="黑体" w:cs="黑体"/>
          <w:color w:val="auto"/>
          <w:sz w:val="44"/>
          <w:szCs w:val="44"/>
        </w:rPr>
      </w:pPr>
      <w:r>
        <w:rPr>
          <w:rFonts w:ascii="黑体" w:hAnsi="宋体" w:eastAsia="黑体" w:cs="黑体"/>
          <w:color w:val="auto"/>
          <w:sz w:val="44"/>
          <w:szCs w:val="44"/>
        </w:rPr>
      </w:r>
      <w:r/>
    </w:p>
    <w:p>
      <w:pPr>
        <w:pStyle w:val="1300"/>
        <w:jc w:val="center"/>
        <w:keepLines/>
        <w:keepNext/>
        <w:spacing w:before="260" w:beforeAutospacing="0" w:after="260" w:afterAutospacing="0" w:line="415" w:lineRule="auto"/>
        <w:rPr>
          <w:rFonts w:hint="eastAsia" w:ascii="黑体" w:hAnsi="宋体" w:eastAsia="黑体" w:cs="黑体"/>
          <w:b/>
          <w:color w:val="auto"/>
          <w:sz w:val="44"/>
          <w:szCs w:val="44"/>
        </w:rPr>
        <w:outlineLvl w:val="0"/>
      </w:pPr>
      <w:r>
        <w:rPr>
          <w:rFonts w:hint="eastAsia" w:ascii="黑体" w:hAnsi="宋体" w:eastAsia="黑体" w:cs="黑体"/>
          <w:b/>
          <w:color w:val="auto"/>
          <w:sz w:val="44"/>
          <w:szCs w:val="44"/>
        </w:rPr>
        <w:t xml:space="preserve">第</w:t>
      </w:r>
      <w:bookmarkEnd w:id="183"/>
      <w:r>
        <w:rPr>
          <w:rFonts w:hint="eastAsia" w:ascii="黑体" w:hAnsi="宋体" w:eastAsia="黑体" w:cs="黑体"/>
          <w:b/>
          <w:color w:val="auto"/>
          <w:sz w:val="44"/>
          <w:szCs w:val="44"/>
        </w:rPr>
        <w:t xml:space="preserve">四章 </w:t>
      </w:r>
      <w:r>
        <w:rPr>
          <w:rFonts w:hint="eastAsia" w:ascii="黑体" w:hAnsi="宋体" w:eastAsia="黑体" w:cs="黑体"/>
          <w:b/>
          <w:color w:val="auto"/>
          <w:sz w:val="44"/>
          <w:szCs w:val="44"/>
          <w:lang w:val="en-US" w:eastAsia="zh-CN"/>
        </w:rPr>
        <w:t xml:space="preserve">  </w:t>
      </w:r>
      <w:r>
        <w:rPr>
          <w:rFonts w:hint="eastAsia" w:ascii="黑体" w:hAnsi="宋体" w:eastAsia="黑体" w:cs="黑体"/>
          <w:b/>
          <w:color w:val="auto"/>
          <w:sz w:val="44"/>
          <w:szCs w:val="44"/>
        </w:rPr>
        <w:t xml:space="preserve">采购需求</w:t>
      </w:r>
      <w:bookmarkEnd w:id="184"/>
      <w:r/>
      <w:bookmarkEnd w:id="185"/>
      <w:r/>
      <w:bookmarkEnd w:id="186"/>
      <w:r/>
      <w:bookmarkEnd w:id="187"/>
      <w:r/>
      <w:bookmarkEnd w:id="188"/>
      <w:r/>
      <w:r/>
    </w:p>
    <w:p>
      <w:pPr>
        <w:pStyle w:val="1300"/>
        <w:jc w:val="both"/>
        <w:spacing w:before="120" w:beforeAutospacing="0" w:after="120" w:afterAutospacing="0" w:line="336" w:lineRule="auto"/>
        <w:rPr>
          <w:rFonts w:ascii="宋体" w:hAnsi="宋体" w:eastAsia="宋体" w:cs="宋体"/>
          <w:color w:val="auto"/>
          <w:sz w:val="21"/>
          <w:szCs w:val="21"/>
        </w:rPr>
      </w:pPr>
      <w:r/>
      <w:bookmarkStart w:id="190" w:name="_Toc26554093"/>
      <w:r/>
      <w:bookmarkStart w:id="191" w:name="_Toc49090575"/>
      <w:r>
        <w:rPr>
          <w:rFonts w:hint="eastAsia" w:ascii="宋体" w:hAnsi="宋体" w:eastAsia="宋体" w:cs="宋体"/>
          <w:color w:val="auto"/>
          <w:sz w:val="21"/>
          <w:szCs w:val="21"/>
        </w:rPr>
        <w:t xml:space="preserve">项目属性:服务类项目。</w:t>
      </w:r>
      <w:bookmarkEnd w:id="190"/>
      <w:r/>
      <w:bookmarkEnd w:id="191"/>
      <w:r/>
      <w:r/>
    </w:p>
    <w:p>
      <w:pPr>
        <w:jc w:val="both"/>
        <w:keepLines/>
        <w:keepNext/>
        <w:pageBreakBefore w:val="0"/>
        <w:spacing w:after="0" w:line="480" w:lineRule="auto"/>
        <w:widowControl w:val="off"/>
        <w:rPr>
          <w:rFonts w:hint="eastAsia" w:ascii="宋体" w:hAnsi="宋体" w:eastAsia="宋体" w:cs="宋体"/>
          <w:b/>
          <w:bCs/>
          <w:color w:val="auto"/>
          <w:sz w:val="21"/>
          <w:szCs w:val="21"/>
          <w:lang w:eastAsia="zh-CN"/>
        </w:rPr>
        <w:outlineLvl w:val="9"/>
      </w:pPr>
      <w:r>
        <w:rPr>
          <w:rFonts w:hint="eastAsia" w:ascii="宋体" w:hAnsi="宋体" w:eastAsia="宋体" w:cs="宋体"/>
          <w:b/>
          <w:bCs/>
          <w:color w:val="auto"/>
          <w:sz w:val="21"/>
          <w:szCs w:val="21"/>
          <w:lang w:eastAsia="zh-CN"/>
        </w:rPr>
        <w:t xml:space="preserve">一、项目背景</w:t>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192" w:name="u44ba763e"/>
      <w:r>
        <w:rPr>
          <w:rFonts w:hint="eastAsia" w:ascii="宋体" w:hAnsi="宋体" w:eastAsia="宋体" w:cs="宋体"/>
          <w:color w:val="auto"/>
          <w:sz w:val="21"/>
          <w:szCs w:val="21"/>
          <w:lang w:eastAsia="zh-CN"/>
        </w:rPr>
        <w:t xml:space="preserve">盐城市公安局已建成警用无人机一体化管控平台，实现大疆系列无人机及机</w:t>
      </w:r>
      <w:r>
        <w:rPr>
          <w:rFonts w:hint="eastAsia" w:ascii="宋体" w:hAnsi="宋体" w:eastAsia="宋体" w:cs="宋体"/>
          <w:color w:val="auto"/>
          <w:sz w:val="21"/>
          <w:szCs w:val="21"/>
          <w:lang w:val="en-US" w:eastAsia="zh-CN"/>
        </w:rPr>
        <w:t xml:space="preserve">场</w:t>
      </w:r>
      <w:r>
        <w:rPr>
          <w:rFonts w:hint="eastAsia" w:ascii="宋体" w:hAnsi="宋体" w:eastAsia="宋体" w:cs="宋体"/>
          <w:color w:val="auto"/>
          <w:sz w:val="21"/>
          <w:szCs w:val="21"/>
          <w:lang w:eastAsia="zh-CN"/>
        </w:rPr>
        <w:t xml:space="preserve">为主，同时兼容科比特无人机统一接入管控与实战应用。目前进入维保阶段。为保障装备稳定运行，持续发挥系统在警务实战中的效能，需对无人机设备、通信链路及平台软件等开展专业化维保服务。</w:t>
      </w:r>
      <w:bookmarkEnd w:id="192"/>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193" w:name="u64e3387d"/>
      <w:r>
        <w:rPr>
          <w:rFonts w:hint="eastAsia" w:ascii="宋体" w:hAnsi="宋体" w:eastAsia="宋体" w:cs="宋体"/>
          <w:color w:val="auto"/>
          <w:sz w:val="21"/>
          <w:szCs w:val="21"/>
          <w:lang w:eastAsia="zh-CN"/>
        </w:rPr>
        <w:t xml:space="preserve">根据《江苏公安机关警用航空建设发展规划（2023-2025年）》等部署要求，各地公安需加快构建警航体系，“鹰眼”勤务体系已形成市县所三级指挥体系，支撑日常巡控、安保维稳、跳河跳楼处突、火灾救援、交通管理和侦查办案等场景，并已达到高频次应用状态。随着设备使用量提升，故障风险增大，若未及时维保，将影响全市87个无人机“鹰眼岗”的警情处置效能。因此本项目是保障平台持续运行、提升公安新质战斗力的必要举措。</w:t>
      </w:r>
      <w:bookmarkEnd w:id="193"/>
      <w:r/>
      <w:r/>
    </w:p>
    <w:p>
      <w:pPr>
        <w:jc w:val="both"/>
        <w:keepLines/>
        <w:keepNext/>
        <w:pageBreakBefore w:val="0"/>
        <w:spacing w:after="0" w:line="480" w:lineRule="auto"/>
        <w:widowControl w:val="off"/>
        <w:rPr>
          <w:rFonts w:hint="eastAsia" w:ascii="宋体" w:hAnsi="宋体" w:eastAsia="宋体" w:cs="宋体"/>
          <w:b/>
          <w:bCs/>
          <w:color w:val="auto"/>
          <w:sz w:val="21"/>
          <w:szCs w:val="21"/>
          <w:lang w:eastAsia="zh-CN"/>
        </w:rPr>
        <w:outlineLvl w:val="9"/>
      </w:pPr>
      <w:r/>
      <w:bookmarkStart w:id="194" w:name="sjh0O"/>
      <w:r>
        <w:rPr>
          <w:rFonts w:hint="eastAsia" w:ascii="宋体" w:hAnsi="宋体" w:eastAsia="宋体" w:cs="宋体"/>
          <w:b/>
          <w:bCs/>
          <w:color w:val="auto"/>
          <w:sz w:val="21"/>
          <w:szCs w:val="21"/>
          <w:lang w:eastAsia="zh-CN"/>
        </w:rPr>
        <w:t xml:space="preserve">二、项目建设目标</w:t>
      </w:r>
      <w:bookmarkEnd w:id="194"/>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195" w:name="ue8e1d5ae"/>
      <w:r>
        <w:rPr>
          <w:rFonts w:hint="eastAsia" w:ascii="宋体" w:hAnsi="宋体" w:eastAsia="宋体" w:cs="宋体"/>
          <w:color w:val="auto"/>
          <w:sz w:val="21"/>
          <w:szCs w:val="21"/>
          <w:lang w:eastAsia="zh-CN"/>
        </w:rPr>
        <w:t xml:space="preserve">围绕“系统不停、勤务不断、数据不中断”的总目标，持续提升警用无人机体系的可靠性、先进性与实战化水平，重点实现以下目标： </w:t>
      </w:r>
      <w:bookmarkEnd w:id="195"/>
      <w:r/>
      <w:r/>
    </w:p>
    <w:p>
      <w:pPr>
        <w:pStyle w:val="1315"/>
        <w:numPr>
          <w:ilvl w:val="0"/>
          <w:numId w:val="1"/>
        </w:numPr>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196" w:name="u8bc96b0b"/>
      <w:r>
        <w:rPr>
          <w:rFonts w:hint="eastAsia" w:ascii="宋体" w:hAnsi="宋体" w:eastAsia="宋体" w:cs="宋体"/>
          <w:color w:val="auto"/>
          <w:sz w:val="21"/>
          <w:szCs w:val="21"/>
          <w:lang w:eastAsia="zh-CN"/>
        </w:rPr>
        <w:t xml:space="preserve">保障全市警航体系持续稳定运行</w:t>
      </w:r>
      <w:bookmarkEnd w:id="196"/>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197" w:name="u100bfcb4"/>
      <w:r>
        <w:rPr>
          <w:rFonts w:hint="eastAsia" w:ascii="宋体" w:hAnsi="宋体" w:eastAsia="宋体" w:cs="宋体"/>
          <w:color w:val="auto"/>
          <w:sz w:val="21"/>
          <w:szCs w:val="21"/>
          <w:lang w:eastAsia="zh-CN"/>
        </w:rPr>
        <w:t xml:space="preserve"> 对无人机、机场、基站、平台开展全面维保，避免设备停摆和数据中断风险，确保87个“鹰眼岗”勤务连续可信。 </w:t>
      </w:r>
      <w:bookmarkEnd w:id="197"/>
      <w:r/>
      <w:r/>
    </w:p>
    <w:p>
      <w:pPr>
        <w:pStyle w:val="1315"/>
        <w:numPr>
          <w:ilvl w:val="0"/>
          <w:numId w:val="1"/>
        </w:numPr>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198" w:name="u95101380"/>
      <w:r>
        <w:rPr>
          <w:rFonts w:hint="eastAsia" w:ascii="宋体" w:hAnsi="宋体" w:eastAsia="宋体" w:cs="宋体"/>
          <w:color w:val="auto"/>
          <w:sz w:val="21"/>
          <w:szCs w:val="21"/>
          <w:lang w:eastAsia="zh-CN"/>
        </w:rPr>
        <w:t xml:space="preserve">提升警情响应速度与处置效能</w:t>
      </w:r>
      <w:bookmarkEnd w:id="198"/>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199" w:name="u2611dc2a"/>
      <w:r>
        <w:rPr>
          <w:rFonts w:hint="eastAsia" w:ascii="宋体" w:hAnsi="宋体" w:eastAsia="宋体" w:cs="宋体"/>
          <w:color w:val="auto"/>
          <w:sz w:val="21"/>
          <w:szCs w:val="21"/>
          <w:lang w:eastAsia="zh-CN"/>
        </w:rPr>
        <w:t xml:space="preserve"> 支撑无人机与110同步派警，实现“飞行跟着警情走、指挥跟着视频走”，提高突发警情处置效率。 </w:t>
      </w:r>
      <w:bookmarkEnd w:id="199"/>
      <w:r/>
      <w:r/>
    </w:p>
    <w:p>
      <w:pPr>
        <w:pStyle w:val="1315"/>
        <w:numPr>
          <w:ilvl w:val="0"/>
          <w:numId w:val="1"/>
        </w:numPr>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00" w:name="ubddd34b7"/>
      <w:r>
        <w:rPr>
          <w:rFonts w:hint="eastAsia" w:ascii="宋体" w:hAnsi="宋体" w:eastAsia="宋体" w:cs="宋体"/>
          <w:color w:val="auto"/>
          <w:sz w:val="21"/>
          <w:szCs w:val="21"/>
          <w:lang w:eastAsia="zh-CN"/>
        </w:rPr>
        <w:t xml:space="preserve">提升多警种协同指挥与重大活动安保能力 </w:t>
      </w:r>
      <w:bookmarkEnd w:id="200"/>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01" w:name="uf89b3946"/>
      <w:r>
        <w:rPr>
          <w:rFonts w:hint="eastAsia" w:ascii="宋体" w:hAnsi="宋体" w:eastAsia="宋体" w:cs="宋体"/>
          <w:color w:val="auto"/>
          <w:sz w:val="21"/>
          <w:szCs w:val="21"/>
          <w:lang w:eastAsia="zh-CN"/>
        </w:rPr>
        <w:t xml:space="preserve"> 持续支撑大型活动安保任务场景，实现空地一体化可视指挥、联勤联动。 </w:t>
      </w:r>
      <w:bookmarkEnd w:id="201"/>
      <w:r/>
      <w:r/>
    </w:p>
    <w:p>
      <w:pPr>
        <w:pStyle w:val="1315"/>
        <w:numPr>
          <w:ilvl w:val="0"/>
          <w:numId w:val="1"/>
        </w:numPr>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02" w:name="ue57b49b4"/>
      <w:r>
        <w:rPr>
          <w:rFonts w:hint="eastAsia" w:ascii="宋体" w:hAnsi="宋体" w:eastAsia="宋体" w:cs="宋体"/>
          <w:color w:val="auto"/>
          <w:sz w:val="21"/>
          <w:szCs w:val="21"/>
          <w:lang w:eastAsia="zh-CN"/>
        </w:rPr>
        <w:t xml:space="preserve">强化数据资源保障与安全可控能力</w:t>
      </w:r>
      <w:bookmarkEnd w:id="202"/>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03" w:name="u60e200b4"/>
      <w:r>
        <w:rPr>
          <w:rFonts w:hint="eastAsia" w:ascii="宋体" w:hAnsi="宋体" w:eastAsia="宋体" w:cs="宋体"/>
          <w:color w:val="auto"/>
          <w:sz w:val="21"/>
          <w:szCs w:val="21"/>
          <w:lang w:eastAsia="zh-CN"/>
        </w:rPr>
        <w:t xml:space="preserve"> 保持警综平台对接稳定可控，强化数据链路、边界防护与日志审计机制，防范数据泄露与违规访问。 </w:t>
      </w:r>
      <w:bookmarkEnd w:id="203"/>
      <w:r/>
      <w:r/>
    </w:p>
    <w:p>
      <w:pPr>
        <w:pStyle w:val="1315"/>
        <w:numPr>
          <w:ilvl w:val="0"/>
          <w:numId w:val="1"/>
        </w:numPr>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04" w:name="u6520f9df"/>
      <w:r>
        <w:rPr>
          <w:rFonts w:hint="eastAsia" w:ascii="宋体" w:hAnsi="宋体" w:eastAsia="宋体" w:cs="宋体"/>
          <w:color w:val="auto"/>
          <w:sz w:val="21"/>
          <w:szCs w:val="21"/>
          <w:lang w:eastAsia="zh-CN"/>
        </w:rPr>
        <w:t xml:space="preserve">增强智能化警务与AI主动预警能力 </w:t>
      </w:r>
      <w:bookmarkEnd w:id="204"/>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05" w:name="u56877583"/>
      <w:r>
        <w:rPr>
          <w:rFonts w:hint="eastAsia" w:ascii="宋体" w:hAnsi="宋体" w:eastAsia="宋体" w:cs="宋体"/>
          <w:color w:val="auto"/>
          <w:sz w:val="21"/>
          <w:szCs w:val="21"/>
          <w:lang w:eastAsia="zh-CN"/>
        </w:rPr>
        <w:t xml:space="preserve"> 维持关键AI模型运行，提升烟火、交通事故、人车识别等智能研判能力。 </w:t>
      </w:r>
      <w:bookmarkEnd w:id="205"/>
      <w:r/>
      <w:r/>
    </w:p>
    <w:p>
      <w:pPr>
        <w:pStyle w:val="1315"/>
        <w:numPr>
          <w:ilvl w:val="0"/>
          <w:numId w:val="1"/>
        </w:numPr>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06" w:name="uc781bb5a"/>
      <w:r>
        <w:rPr>
          <w:rFonts w:hint="eastAsia" w:ascii="宋体" w:hAnsi="宋体" w:eastAsia="宋体" w:cs="宋体"/>
          <w:color w:val="auto"/>
          <w:sz w:val="21"/>
          <w:szCs w:val="21"/>
          <w:lang w:eastAsia="zh-CN"/>
        </w:rPr>
        <w:t xml:space="preserve">推动低空立体防控与低空经济融合发展</w:t>
      </w:r>
      <w:bookmarkEnd w:id="206"/>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07" w:name="u004e7e0d"/>
      <w:r>
        <w:rPr>
          <w:rFonts w:hint="eastAsia" w:ascii="宋体" w:hAnsi="宋体" w:eastAsia="宋体" w:cs="宋体"/>
          <w:color w:val="auto"/>
          <w:sz w:val="21"/>
          <w:szCs w:val="21"/>
          <w:lang w:eastAsia="zh-CN"/>
        </w:rPr>
        <w:t xml:space="preserve"> 落实《江苏公安机关警用航空建设发展规划》等部署，形成可复制、可推广、可持续的低空治理模式。 </w:t>
      </w:r>
      <w:bookmarkEnd w:id="207"/>
      <w:r/>
      <w:r/>
    </w:p>
    <w:p>
      <w:pPr>
        <w:jc w:val="both"/>
        <w:keepLines/>
        <w:keepNext/>
        <w:pageBreakBefore w:val="0"/>
        <w:spacing w:after="0" w:line="480" w:lineRule="auto"/>
        <w:widowControl w:val="off"/>
        <w:rPr>
          <w:rFonts w:hint="eastAsia" w:ascii="宋体" w:hAnsi="宋体" w:eastAsia="宋体" w:cs="宋体"/>
          <w:b/>
          <w:bCs/>
          <w:color w:val="auto"/>
          <w:sz w:val="21"/>
          <w:szCs w:val="21"/>
          <w:lang w:eastAsia="zh-CN"/>
        </w:rPr>
        <w:outlineLvl w:val="9"/>
      </w:pPr>
      <w:r/>
      <w:bookmarkStart w:id="208" w:name="OMlZ6"/>
      <w:r>
        <w:rPr>
          <w:rFonts w:hint="eastAsia" w:ascii="宋体" w:hAnsi="宋体" w:eastAsia="宋体" w:cs="宋体"/>
          <w:b/>
          <w:bCs/>
          <w:color w:val="auto"/>
          <w:sz w:val="21"/>
          <w:szCs w:val="21"/>
          <w:lang w:val="en-US" w:eastAsia="zh-CN"/>
        </w:rPr>
        <w:t xml:space="preserve">三、</w:t>
      </w:r>
      <w:r>
        <w:rPr>
          <w:rFonts w:hint="eastAsia" w:ascii="宋体" w:hAnsi="宋体" w:eastAsia="宋体" w:cs="宋体"/>
          <w:b/>
          <w:bCs/>
          <w:color w:val="auto"/>
          <w:sz w:val="21"/>
          <w:szCs w:val="21"/>
          <w:lang w:eastAsia="zh-CN"/>
        </w:rPr>
        <w:t xml:space="preserve">项目需求</w:t>
      </w:r>
      <w:bookmarkEnd w:id="208"/>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09" w:name="ue5b19ccd"/>
      <w:r>
        <w:rPr>
          <w:rFonts w:hint="eastAsia" w:ascii="宋体" w:hAnsi="宋体" w:eastAsia="宋体" w:cs="宋体"/>
          <w:color w:val="auto"/>
          <w:sz w:val="21"/>
          <w:szCs w:val="21"/>
          <w:lang w:eastAsia="zh-CN"/>
        </w:rPr>
        <w:t xml:space="preserve">盐城市公安局“鹰眼”计划无人机体系全要素运维保障需求，聚焦装备、平台、数据、智能、安全等多维度内容，确保警务实战任务长期稳定支撑。 </w:t>
      </w:r>
      <w:bookmarkEnd w:id="209"/>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10" w:name="u45a70d61"/>
      <w:r>
        <w:rPr>
          <w:rFonts w:hint="eastAsia" w:ascii="宋体" w:hAnsi="宋体" w:eastAsia="宋体" w:cs="宋体"/>
          <w:b/>
          <w:bCs/>
          <w:color w:val="auto"/>
          <w:sz w:val="21"/>
          <w:szCs w:val="21"/>
          <w:lang w:eastAsia="zh-CN"/>
        </w:rPr>
        <w:t xml:space="preserve"> （一）装备维保与配件保障需求</w:t>
      </w:r>
      <w:r>
        <w:rPr>
          <w:rFonts w:hint="eastAsia" w:ascii="宋体" w:hAnsi="宋体" w:eastAsia="宋体" w:cs="宋体"/>
          <w:color w:val="auto"/>
          <w:sz w:val="21"/>
          <w:szCs w:val="21"/>
          <w:lang w:eastAsia="zh-CN"/>
        </w:rPr>
        <w:t xml:space="preserve"> </w:t>
      </w:r>
      <w:bookmarkEnd w:id="210"/>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11" w:name="u42285fdd"/>
      <w:r>
        <w:rPr>
          <w:rFonts w:hint="eastAsia" w:ascii="宋体" w:hAnsi="宋体" w:eastAsia="宋体" w:cs="宋体"/>
          <w:color w:val="auto"/>
          <w:sz w:val="21"/>
          <w:szCs w:val="21"/>
          <w:lang w:eastAsia="zh-CN"/>
        </w:rPr>
        <w:t xml:space="preserve"> 需对现有警用无人机及配套装备提供全生命周期专业化维保，包括：科比特六旋翼无人机、大疆经纬4T系列、自动机场（科比特机场、大疆机场1代/3代）、专用挂载设备及无人机通信基站等装备的巡检、检修、固件升级及配件保障服务，确保设备故障可快速修复，维持长期稳定执勤能力。</w:t>
      </w:r>
      <w:bookmarkEnd w:id="211"/>
      <w:r/>
      <w:r/>
    </w:p>
    <w:p>
      <w:pPr>
        <w:ind w:firstLine="480"/>
        <w:jc w:val="both"/>
        <w:pageBreakBefore w:val="0"/>
        <w:spacing w:after="0" w:line="360" w:lineRule="auto"/>
        <w:widowControl w:val="off"/>
        <w:rPr>
          <w:rFonts w:hint="eastAsia" w:ascii="宋体" w:hAnsi="宋体" w:eastAsia="宋体" w:cs="宋体"/>
          <w:b/>
          <w:bCs/>
          <w:color w:val="auto"/>
          <w:sz w:val="21"/>
          <w:szCs w:val="21"/>
          <w:lang w:eastAsia="zh-CN"/>
        </w:rPr>
        <w:outlineLvl w:val="9"/>
      </w:pPr>
      <w:r/>
      <w:bookmarkStart w:id="212" w:name="uf31db4c6"/>
      <w:r>
        <w:rPr>
          <w:rFonts w:hint="eastAsia" w:ascii="宋体" w:hAnsi="宋体" w:eastAsia="宋体" w:cs="宋体"/>
          <w:b/>
          <w:bCs/>
          <w:color w:val="auto"/>
          <w:sz w:val="21"/>
          <w:szCs w:val="21"/>
          <w:lang w:eastAsia="zh-CN"/>
        </w:rPr>
        <w:t xml:space="preserve"> （二）平台系统与协议适配维保需求 </w:t>
      </w:r>
      <w:bookmarkEnd w:id="212"/>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13" w:name="u3289659a"/>
      <w:r>
        <w:rPr>
          <w:rFonts w:hint="eastAsia" w:ascii="宋体" w:hAnsi="宋体" w:eastAsia="宋体" w:cs="宋体"/>
          <w:color w:val="auto"/>
          <w:sz w:val="21"/>
          <w:szCs w:val="21"/>
          <w:lang w:eastAsia="zh-CN"/>
        </w:rPr>
        <w:t xml:space="preserve"> 需对警用无人机一体化管控平台进行持续运维，确保平台可稳定实现： 多品牌无人机统一接入与远程控制 ; 航线任务下发、返航、姿态信息回传; 机巢管理与任务联动 ; 系统性能优化及模块稳定运行 。</w:t>
      </w:r>
      <w:bookmarkEnd w:id="213"/>
      <w:r/>
      <w:r/>
    </w:p>
    <w:p>
      <w:pPr>
        <w:ind w:firstLine="480"/>
        <w:jc w:val="both"/>
        <w:pageBreakBefore w:val="0"/>
        <w:spacing w:after="0" w:line="360" w:lineRule="auto"/>
        <w:widowControl w:val="off"/>
        <w:rPr>
          <w:rFonts w:hint="eastAsia" w:ascii="宋体" w:hAnsi="宋体" w:eastAsia="宋体" w:cs="宋体"/>
          <w:b/>
          <w:bCs/>
          <w:color w:val="auto"/>
          <w:sz w:val="21"/>
          <w:szCs w:val="21"/>
          <w:lang w:eastAsia="zh-CN"/>
        </w:rPr>
        <w:outlineLvl w:val="9"/>
      </w:pPr>
      <w:r/>
      <w:bookmarkStart w:id="214" w:name="u2b4cfbf8"/>
      <w:r>
        <w:rPr>
          <w:rFonts w:hint="eastAsia" w:ascii="宋体" w:hAnsi="宋体" w:eastAsia="宋体" w:cs="宋体"/>
          <w:b/>
          <w:bCs/>
          <w:color w:val="auto"/>
          <w:sz w:val="21"/>
          <w:szCs w:val="21"/>
          <w:lang w:eastAsia="zh-CN"/>
        </w:rPr>
        <w:t xml:space="preserve"> （三）通信链路维保与网络安全保障 </w:t>
      </w:r>
      <w:bookmarkEnd w:id="214"/>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15" w:name="u03a91a3d"/>
      <w:r>
        <w:rPr>
          <w:rFonts w:hint="eastAsia" w:ascii="宋体" w:hAnsi="宋体" w:eastAsia="宋体" w:cs="宋体"/>
          <w:color w:val="auto"/>
          <w:sz w:val="21"/>
          <w:szCs w:val="21"/>
          <w:lang w:eastAsia="zh-CN"/>
        </w:rPr>
        <w:t xml:space="preserve">需保持 1.4G / 4G / 5G 多链路接入及切换策略稳定，保障无人机在复杂城市环境下链路不断、视频不中断。通信基站需具备射频检查、参数配置与链路优化能力。 </w:t>
      </w:r>
      <w:bookmarkEnd w:id="215"/>
      <w:r/>
      <w:r/>
    </w:p>
    <w:p>
      <w:pPr>
        <w:ind w:firstLine="480"/>
        <w:jc w:val="both"/>
        <w:pageBreakBefore w:val="0"/>
        <w:spacing w:after="0" w:line="360" w:lineRule="auto"/>
        <w:widowControl w:val="off"/>
        <w:rPr>
          <w:rFonts w:hint="eastAsia" w:ascii="宋体" w:hAnsi="宋体" w:eastAsia="宋体" w:cs="宋体"/>
          <w:b/>
          <w:bCs/>
          <w:color w:val="auto"/>
          <w:sz w:val="21"/>
          <w:szCs w:val="21"/>
          <w:lang w:eastAsia="zh-CN"/>
        </w:rPr>
        <w:outlineLvl w:val="9"/>
      </w:pPr>
      <w:r/>
      <w:bookmarkStart w:id="216" w:name="u461cfa4a"/>
      <w:r>
        <w:rPr>
          <w:rFonts w:hint="eastAsia" w:ascii="宋体" w:hAnsi="宋体" w:eastAsia="宋体" w:cs="宋体"/>
          <w:b/>
          <w:bCs/>
          <w:color w:val="auto"/>
          <w:sz w:val="21"/>
          <w:szCs w:val="21"/>
          <w:lang w:eastAsia="zh-CN"/>
        </w:rPr>
        <w:t xml:space="preserve">（四）警务协同系统对接与数据稳定保障 </w:t>
      </w:r>
      <w:bookmarkEnd w:id="216"/>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17" w:name="ue43db567"/>
      <w:r>
        <w:rPr>
          <w:rFonts w:hint="eastAsia" w:ascii="宋体" w:hAnsi="宋体" w:eastAsia="宋体" w:cs="宋体"/>
          <w:color w:val="auto"/>
          <w:sz w:val="21"/>
          <w:szCs w:val="21"/>
          <w:lang w:eastAsia="zh-CN"/>
        </w:rPr>
        <w:t xml:space="preserve"> 确保与公安警综、指挥平台等业务系统的互联互通持续可靠，包括警情实时推送、信息同步、业务参数变更适配等。 </w:t>
      </w:r>
      <w:bookmarkEnd w:id="217"/>
      <w:r/>
      <w:r/>
    </w:p>
    <w:p>
      <w:pPr>
        <w:ind w:firstLine="480"/>
        <w:jc w:val="both"/>
        <w:pageBreakBefore w:val="0"/>
        <w:spacing w:after="0" w:line="360" w:lineRule="auto"/>
        <w:widowControl w:val="off"/>
        <w:rPr>
          <w:rFonts w:hint="eastAsia" w:ascii="宋体" w:hAnsi="宋体" w:eastAsia="宋体" w:cs="宋体"/>
          <w:b/>
          <w:bCs/>
          <w:color w:val="auto"/>
          <w:sz w:val="21"/>
          <w:szCs w:val="21"/>
          <w:lang w:eastAsia="zh-CN"/>
        </w:rPr>
        <w:outlineLvl w:val="9"/>
      </w:pPr>
      <w:r/>
      <w:bookmarkStart w:id="218" w:name="u86551b95"/>
      <w:r>
        <w:rPr>
          <w:rFonts w:hint="eastAsia" w:ascii="宋体" w:hAnsi="宋体" w:eastAsia="宋体" w:cs="宋体"/>
          <w:b/>
          <w:bCs/>
          <w:color w:val="auto"/>
          <w:sz w:val="21"/>
          <w:szCs w:val="21"/>
          <w:lang w:eastAsia="zh-CN"/>
        </w:rPr>
        <w:t xml:space="preserve"> （五）智能识别能力运维 </w:t>
      </w:r>
      <w:bookmarkEnd w:id="218"/>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19" w:name="u30c0ab74"/>
      <w:r>
        <w:rPr>
          <w:rFonts w:hint="eastAsia" w:ascii="宋体" w:hAnsi="宋体" w:eastAsia="宋体" w:cs="宋体"/>
          <w:color w:val="auto"/>
          <w:sz w:val="21"/>
          <w:szCs w:val="21"/>
          <w:lang w:eastAsia="zh-CN"/>
        </w:rPr>
        <w:t xml:space="preserve">对平台内置的人员、车辆、烟火、交通事故等要素识别相关 AI 模型进行运行维护和效果持续优化，保障智能识别功能在复杂应用场景下的稳定运行，满足公安业务对智能分析和辅助决策的使用需求。</w:t>
      </w:r>
      <w:r/>
    </w:p>
    <w:p>
      <w:pPr>
        <w:ind w:firstLine="480"/>
        <w:jc w:val="both"/>
        <w:pageBreakBefore w:val="0"/>
        <w:spacing w:after="0" w:line="360" w:lineRule="auto"/>
        <w:widowControl w:val="off"/>
        <w:rPr>
          <w:rFonts w:hint="eastAsia" w:ascii="宋体" w:hAnsi="宋体" w:eastAsia="宋体" w:cs="宋体"/>
          <w:b/>
          <w:bCs/>
          <w:color w:val="auto"/>
          <w:sz w:val="21"/>
          <w:szCs w:val="21"/>
          <w:lang w:eastAsia="zh-CN"/>
        </w:rPr>
        <w:outlineLvl w:val="9"/>
      </w:pPr>
      <w:r>
        <w:rPr>
          <w:rFonts w:hint="eastAsia" w:ascii="宋体" w:hAnsi="宋体" w:eastAsia="宋体" w:cs="宋体"/>
          <w:b/>
          <w:bCs/>
          <w:color w:val="auto"/>
          <w:sz w:val="21"/>
          <w:szCs w:val="21"/>
          <w:lang w:eastAsia="zh-CN"/>
        </w:rPr>
        <w:t xml:space="preserve">（六）运维服务体系与响应机制保障 </w:t>
      </w:r>
      <w:bookmarkEnd w:id="219"/>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20" w:name="uab8c8ca2"/>
      <w:r>
        <w:rPr>
          <w:rFonts w:hint="eastAsia" w:ascii="宋体" w:hAnsi="宋体" w:eastAsia="宋体" w:cs="宋体"/>
          <w:color w:val="auto"/>
          <w:sz w:val="21"/>
          <w:szCs w:val="21"/>
          <w:lang w:eastAsia="zh-CN"/>
        </w:rPr>
        <w:t xml:space="preserve">严格落实7×24小时在线服务、故障2小时响应、48小时修复、每月平台与设备巡检、重大警情现场值守等服务目标，保障各级勤务体系“随用随上、稳定可依”。</w:t>
      </w:r>
      <w:r/>
    </w:p>
    <w:p>
      <w:pPr>
        <w:pStyle w:val="1300"/>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eastAsia="zh-CN"/>
        </w:rPr>
        <w:outlineLvl w:val="9"/>
      </w:pPr>
      <w:r>
        <w:rPr>
          <w:rFonts w:hint="eastAsia" w:ascii="宋体" w:hAnsi="宋体" w:eastAsia="宋体" w:cs="宋体"/>
          <w:i w:val="0"/>
          <w:iCs w:val="0"/>
          <w:color w:val="auto"/>
          <w:sz w:val="21"/>
          <w:szCs w:val="21"/>
          <w:highlight w:val="none"/>
          <w:u w:val="none"/>
          <w:lang w:val="en-US" w:eastAsia="zh-CN"/>
        </w:rPr>
        <w:t xml:space="preserve">投标时需提供原平台建设单位或原厂商出具的正式授权文件，授权投标人在服务期内对盐城市公安局警用无人机一体化管控平台及其相关硬件设备，包括无人机、机巢、挂载等的系统维护、运维管理、数据处理、接口适配、升级优化等全生命周期维保支撑。</w:t>
      </w:r>
      <w:bookmarkEnd w:id="220"/>
      <w:r/>
      <w:r/>
    </w:p>
    <w:p>
      <w:pPr>
        <w:jc w:val="both"/>
        <w:keepLines/>
        <w:keepNext/>
        <w:pageBreakBefore w:val="0"/>
        <w:spacing w:after="0" w:line="480" w:lineRule="auto"/>
        <w:widowControl w:val="off"/>
        <w:rPr>
          <w:rFonts w:hint="eastAsia" w:ascii="宋体" w:hAnsi="宋体" w:eastAsia="宋体" w:cs="宋体"/>
          <w:b/>
          <w:bCs/>
          <w:color w:val="auto"/>
          <w:sz w:val="21"/>
          <w:szCs w:val="21"/>
          <w:lang w:eastAsia="zh-CN"/>
        </w:rPr>
        <w:outlineLvl w:val="9"/>
      </w:pPr>
      <w:r/>
      <w:bookmarkStart w:id="221" w:name="JQVnB"/>
      <w:r>
        <w:rPr>
          <w:rFonts w:hint="eastAsia" w:ascii="宋体" w:hAnsi="宋体" w:eastAsia="宋体" w:cs="宋体"/>
          <w:b/>
          <w:bCs/>
          <w:color w:val="auto"/>
          <w:sz w:val="21"/>
          <w:szCs w:val="21"/>
          <w:lang w:eastAsia="zh-CN"/>
        </w:rPr>
        <w:t xml:space="preserve">四、服务与要求</w:t>
      </w:r>
      <w:bookmarkEnd w:id="221"/>
      <w:r/>
      <w:r/>
    </w:p>
    <w:p>
      <w:pPr>
        <w:ind w:firstLine="480"/>
        <w:jc w:val="both"/>
        <w:pageBreakBefore w:val="0"/>
        <w:spacing w:after="0" w:line="360" w:lineRule="auto"/>
        <w:widowControl w:val="off"/>
        <w:rPr>
          <w:rFonts w:hint="eastAsia" w:ascii="宋体" w:hAnsi="宋体" w:eastAsia="宋体" w:cs="宋体"/>
          <w:b/>
          <w:bCs/>
          <w:color w:val="auto"/>
          <w:sz w:val="21"/>
          <w:szCs w:val="21"/>
          <w:lang w:val="en-US" w:eastAsia="zh-CN"/>
        </w:rPr>
        <w:outlineLvl w:val="9"/>
      </w:pPr>
      <w:r/>
      <w:bookmarkStart w:id="222" w:name="Dh7Qt"/>
      <w:r>
        <w:rPr>
          <w:rFonts w:hint="eastAsia" w:ascii="宋体" w:hAnsi="宋体" w:eastAsia="宋体" w:cs="宋体"/>
          <w:b/>
          <w:bCs/>
          <w:color w:val="auto"/>
          <w:sz w:val="21"/>
          <w:szCs w:val="21"/>
          <w:lang w:val="en-US" w:eastAsia="zh-CN"/>
        </w:rPr>
        <w:t xml:space="preserve">4.1 服务周期要求 </w:t>
      </w:r>
      <w:bookmarkEnd w:id="222"/>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23" w:name="u33ffe269"/>
      <w:r>
        <w:rPr>
          <w:rFonts w:hint="eastAsia" w:ascii="宋体" w:hAnsi="宋体" w:eastAsia="宋体" w:cs="宋体"/>
          <w:color w:val="auto"/>
          <w:sz w:val="21"/>
          <w:szCs w:val="21"/>
          <w:lang w:eastAsia="zh-CN"/>
        </w:rPr>
        <w:t xml:space="preserve">本次维保项目服务周期为 12个月，可根据市局需求延续。需保障项目全生命周期运维不中断，重点作战时段加强现场与在线支撑。 </w:t>
      </w:r>
      <w:bookmarkEnd w:id="223"/>
      <w:r/>
      <w:r/>
    </w:p>
    <w:p>
      <w:pPr>
        <w:ind w:firstLine="480"/>
        <w:jc w:val="both"/>
        <w:pageBreakBefore w:val="0"/>
        <w:spacing w:after="0" w:line="360" w:lineRule="auto"/>
        <w:widowControl w:val="off"/>
        <w:rPr>
          <w:rFonts w:hint="eastAsia" w:ascii="宋体" w:hAnsi="宋体" w:eastAsia="宋体" w:cs="宋体"/>
          <w:b/>
          <w:bCs/>
          <w:color w:val="auto"/>
          <w:sz w:val="21"/>
          <w:szCs w:val="21"/>
          <w:lang w:val="en-US" w:eastAsia="zh-CN"/>
        </w:rPr>
        <w:outlineLvl w:val="9"/>
      </w:pPr>
      <w:r/>
      <w:bookmarkStart w:id="224" w:name="YyEkb"/>
      <w:r>
        <w:rPr>
          <w:rFonts w:hint="eastAsia" w:ascii="宋体" w:hAnsi="宋体" w:eastAsia="宋体" w:cs="宋体"/>
          <w:b/>
          <w:bCs/>
          <w:color w:val="auto"/>
          <w:sz w:val="21"/>
          <w:szCs w:val="21"/>
          <w:lang w:val="en-US" w:eastAsia="zh-CN"/>
        </w:rPr>
        <w:t xml:space="preserve">4.2 响应与保障机制</w:t>
      </w:r>
      <w:bookmarkEnd w:id="224"/>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25" w:name="u1687b906"/>
      <w:r>
        <w:rPr>
          <w:rFonts w:hint="eastAsia" w:ascii="宋体" w:hAnsi="宋体" w:eastAsia="宋体" w:cs="宋体"/>
          <w:color w:val="auto"/>
          <w:sz w:val="21"/>
          <w:szCs w:val="21"/>
          <w:lang w:eastAsia="zh-CN"/>
        </w:rPr>
        <w:t xml:space="preserve">维保单位须建立快速响应机制：</w:t>
      </w:r>
      <w:bookmarkEnd w:id="225"/>
      <w:r/>
      <w:r/>
    </w:p>
    <w:p>
      <w:pPr>
        <w:numPr>
          <w:ilvl w:val="0"/>
          <w:numId w:val="2"/>
        </w:numPr>
        <w:ind w:left="840" w:hanging="42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26" w:name="u10b012e0"/>
      <w:r>
        <w:rPr>
          <w:rFonts w:hint="eastAsia" w:ascii="宋体" w:hAnsi="宋体" w:eastAsia="宋体" w:cs="宋体"/>
          <w:color w:val="auto"/>
          <w:sz w:val="21"/>
          <w:szCs w:val="21"/>
          <w:lang w:eastAsia="zh-CN"/>
        </w:rPr>
        <w:t xml:space="preserve">7×24 小时电话与在线技术支持</w:t>
      </w:r>
      <w:bookmarkEnd w:id="226"/>
      <w:r/>
      <w:r/>
    </w:p>
    <w:p>
      <w:pPr>
        <w:numPr>
          <w:ilvl w:val="0"/>
          <w:numId w:val="2"/>
        </w:numPr>
        <w:ind w:left="840" w:hanging="42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27" w:name="u05b14ac8"/>
      <w:r>
        <w:rPr>
          <w:rFonts w:hint="eastAsia" w:ascii="宋体" w:hAnsi="宋体" w:eastAsia="宋体" w:cs="宋体"/>
          <w:color w:val="auto"/>
          <w:sz w:val="21"/>
          <w:szCs w:val="21"/>
          <w:lang w:eastAsia="zh-CN"/>
        </w:rPr>
        <w:t xml:space="preserve">重大系统故障2小时内响应，48小时内完成修复</w:t>
      </w:r>
      <w:bookmarkEnd w:id="227"/>
      <w:r/>
      <w:r/>
    </w:p>
    <w:p>
      <w:pPr>
        <w:numPr>
          <w:ilvl w:val="0"/>
          <w:numId w:val="2"/>
        </w:numPr>
        <w:ind w:left="840" w:hanging="42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28" w:name="ua72229d6"/>
      <w:r>
        <w:rPr>
          <w:rFonts w:hint="eastAsia" w:ascii="宋体" w:hAnsi="宋体" w:eastAsia="宋体" w:cs="宋体"/>
          <w:color w:val="auto"/>
          <w:sz w:val="21"/>
          <w:szCs w:val="21"/>
          <w:lang w:eastAsia="zh-CN"/>
        </w:rPr>
        <w:t xml:space="preserve">对高危漏洞或重大安全隐患需 24小时内完成修补</w:t>
      </w:r>
      <w:bookmarkEnd w:id="228"/>
      <w:r/>
      <w:r/>
    </w:p>
    <w:p>
      <w:pPr>
        <w:numPr>
          <w:ilvl w:val="0"/>
          <w:numId w:val="2"/>
        </w:numPr>
        <w:ind w:left="840" w:hanging="42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29" w:name="u6a9df677"/>
      <w:r>
        <w:rPr>
          <w:rFonts w:hint="eastAsia" w:ascii="宋体" w:hAnsi="宋体" w:eastAsia="宋体" w:cs="宋体"/>
          <w:color w:val="auto"/>
          <w:sz w:val="21"/>
          <w:szCs w:val="21"/>
          <w:lang w:eastAsia="zh-CN"/>
        </w:rPr>
        <w:t xml:space="preserve">对重大安保、迎检、抗险救灾及应急警情需提供现场值守支撑</w:t>
      </w:r>
      <w:bookmarkEnd w:id="229"/>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30" w:name="u38dd7c82"/>
      <w:r>
        <w:rPr>
          <w:rFonts w:hint="eastAsia" w:ascii="宋体" w:hAnsi="宋体" w:eastAsia="宋体" w:cs="宋体"/>
          <w:color w:val="auto"/>
          <w:sz w:val="21"/>
          <w:szCs w:val="21"/>
          <w:lang w:eastAsia="zh-CN"/>
        </w:rPr>
        <w:t xml:space="preserve">确保警用无人机勤务“随用随飞、稳定可靠”。</w:t>
      </w:r>
      <w:bookmarkEnd w:id="230"/>
      <w:r/>
      <w:r/>
    </w:p>
    <w:p>
      <w:pPr>
        <w:ind w:firstLine="480"/>
        <w:jc w:val="both"/>
        <w:pageBreakBefore w:val="0"/>
        <w:spacing w:after="0" w:line="360" w:lineRule="auto"/>
        <w:widowControl w:val="off"/>
        <w:rPr>
          <w:rFonts w:hint="eastAsia" w:ascii="宋体" w:hAnsi="宋体" w:eastAsia="宋体" w:cs="宋体"/>
          <w:b/>
          <w:bCs/>
          <w:color w:val="auto"/>
          <w:sz w:val="21"/>
          <w:szCs w:val="21"/>
          <w:lang w:val="en-US" w:eastAsia="zh-CN"/>
        </w:rPr>
        <w:outlineLvl w:val="9"/>
      </w:pPr>
      <w:r/>
      <w:bookmarkStart w:id="231" w:name="qKrpa"/>
      <w:r>
        <w:rPr>
          <w:rFonts w:hint="eastAsia" w:ascii="宋体" w:hAnsi="宋体" w:eastAsia="宋体" w:cs="宋体"/>
          <w:b/>
          <w:bCs/>
          <w:color w:val="auto"/>
          <w:sz w:val="21"/>
          <w:szCs w:val="21"/>
          <w:lang w:val="en-US" w:eastAsia="zh-CN"/>
        </w:rPr>
        <w:t xml:space="preserve">4.3 巡检制度与运维报告 </w:t>
      </w:r>
      <w:bookmarkEnd w:id="231"/>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32" w:name="u5a385654"/>
      <w:r>
        <w:rPr>
          <w:rFonts w:hint="eastAsia" w:ascii="宋体" w:hAnsi="宋体" w:eastAsia="宋体" w:cs="宋体"/>
          <w:color w:val="auto"/>
          <w:sz w:val="21"/>
          <w:szCs w:val="21"/>
          <w:lang w:eastAsia="zh-CN"/>
        </w:rPr>
        <w:t xml:space="preserve">每月需开展系统、设备、链路全方位巡检：</w:t>
      </w:r>
      <w:bookmarkEnd w:id="232"/>
      <w:r/>
      <w:r/>
    </w:p>
    <w:p>
      <w:pPr>
        <w:numPr>
          <w:ilvl w:val="0"/>
          <w:numId w:val="2"/>
        </w:numPr>
        <w:ind w:left="840" w:hanging="42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33" w:name="u774f4f2f"/>
      <w:r>
        <w:rPr>
          <w:rFonts w:hint="eastAsia" w:ascii="宋体" w:hAnsi="宋体" w:eastAsia="宋体" w:cs="宋体"/>
          <w:color w:val="auto"/>
          <w:sz w:val="21"/>
          <w:szCs w:val="21"/>
          <w:lang w:eastAsia="zh-CN"/>
        </w:rPr>
        <w:t xml:space="preserve">无人机/机巢设备健康检测</w:t>
      </w:r>
      <w:bookmarkEnd w:id="233"/>
      <w:r/>
      <w:r/>
    </w:p>
    <w:p>
      <w:pPr>
        <w:numPr>
          <w:ilvl w:val="0"/>
          <w:numId w:val="2"/>
        </w:numPr>
        <w:ind w:left="840" w:hanging="42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34" w:name="u470bae24"/>
      <w:r>
        <w:rPr>
          <w:rFonts w:hint="eastAsia" w:ascii="宋体" w:hAnsi="宋体" w:eastAsia="宋体" w:cs="宋体"/>
          <w:color w:val="auto"/>
          <w:sz w:val="21"/>
          <w:szCs w:val="21"/>
          <w:lang w:eastAsia="zh-CN"/>
        </w:rPr>
        <w:t xml:space="preserve">通信链路与射频性能检查</w:t>
      </w:r>
      <w:bookmarkEnd w:id="234"/>
      <w:r/>
      <w:r/>
    </w:p>
    <w:p>
      <w:pPr>
        <w:numPr>
          <w:ilvl w:val="0"/>
          <w:numId w:val="2"/>
        </w:numPr>
        <w:ind w:left="840" w:hanging="42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35" w:name="u731e5adf"/>
      <w:r>
        <w:rPr>
          <w:rFonts w:hint="eastAsia" w:ascii="宋体" w:hAnsi="宋体" w:eastAsia="宋体" w:cs="宋体"/>
          <w:color w:val="auto"/>
          <w:sz w:val="21"/>
          <w:szCs w:val="21"/>
          <w:lang w:eastAsia="zh-CN"/>
        </w:rPr>
        <w:t xml:space="preserve">视频链路稳定性检查</w:t>
      </w:r>
      <w:bookmarkEnd w:id="235"/>
      <w:r/>
      <w:r/>
    </w:p>
    <w:p>
      <w:pPr>
        <w:numPr>
          <w:ilvl w:val="0"/>
          <w:numId w:val="2"/>
        </w:numPr>
        <w:ind w:left="840" w:hanging="42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36" w:name="u08650173"/>
      <w:r>
        <w:rPr>
          <w:rFonts w:hint="eastAsia" w:ascii="宋体" w:hAnsi="宋体" w:eastAsia="宋体" w:cs="宋体"/>
          <w:color w:val="auto"/>
          <w:sz w:val="21"/>
          <w:szCs w:val="21"/>
          <w:lang w:eastAsia="zh-CN"/>
        </w:rPr>
        <w:t xml:space="preserve">平台日志分析与安全审计</w:t>
      </w:r>
      <w:bookmarkEnd w:id="236"/>
      <w:r/>
      <w:r/>
    </w:p>
    <w:p>
      <w:pPr>
        <w:numPr>
          <w:ilvl w:val="0"/>
          <w:numId w:val="2"/>
        </w:numPr>
        <w:ind w:left="840" w:hanging="42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37" w:name="ucc8d7d76"/>
      <w:r>
        <w:rPr>
          <w:rFonts w:hint="eastAsia" w:ascii="宋体" w:hAnsi="宋体" w:eastAsia="宋体" w:cs="宋体"/>
          <w:color w:val="auto"/>
          <w:sz w:val="21"/>
          <w:szCs w:val="21"/>
          <w:lang w:eastAsia="zh-CN"/>
        </w:rPr>
        <w:t xml:space="preserve">数据库备份与性能优化</w:t>
      </w:r>
      <w:bookmarkEnd w:id="237"/>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38" w:name="u0cf12b20"/>
      <w:r>
        <w:rPr>
          <w:rFonts w:hint="eastAsia" w:ascii="宋体" w:hAnsi="宋体" w:eastAsia="宋体" w:cs="宋体"/>
          <w:color w:val="auto"/>
          <w:sz w:val="21"/>
          <w:szCs w:val="21"/>
          <w:lang w:eastAsia="zh-CN"/>
        </w:rPr>
        <w:t xml:space="preserve">并形成巡检报告提交市局，包括问题清单、整改建议、责任闭环等内容。</w:t>
      </w:r>
      <w:bookmarkEnd w:id="238"/>
      <w:r/>
      <w:r/>
    </w:p>
    <w:p>
      <w:pPr>
        <w:ind w:firstLine="480"/>
        <w:jc w:val="both"/>
        <w:pageBreakBefore w:val="0"/>
        <w:spacing w:after="0" w:line="360" w:lineRule="auto"/>
        <w:widowControl w:val="off"/>
        <w:rPr>
          <w:rFonts w:hint="eastAsia" w:ascii="宋体" w:hAnsi="宋体" w:eastAsia="宋体" w:cs="宋体"/>
          <w:b/>
          <w:bCs/>
          <w:color w:val="auto"/>
          <w:sz w:val="21"/>
          <w:szCs w:val="21"/>
          <w:lang w:val="en-US" w:eastAsia="zh-CN"/>
        </w:rPr>
        <w:outlineLvl w:val="9"/>
      </w:pPr>
      <w:r/>
      <w:bookmarkStart w:id="239" w:name="WP4HB"/>
      <w:r>
        <w:rPr>
          <w:rFonts w:hint="eastAsia" w:ascii="宋体" w:hAnsi="宋体" w:eastAsia="宋体" w:cs="宋体"/>
          <w:b/>
          <w:bCs/>
          <w:color w:val="auto"/>
          <w:sz w:val="21"/>
          <w:szCs w:val="21"/>
          <w:lang w:val="en-US" w:eastAsia="zh-CN"/>
        </w:rPr>
        <w:t xml:space="preserve">4.4 配件与备份资源保障 </w:t>
      </w:r>
      <w:bookmarkEnd w:id="239"/>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40" w:name="ud25e8a1c"/>
      <w:r>
        <w:rPr>
          <w:rFonts w:hint="eastAsia" w:ascii="宋体" w:hAnsi="宋体" w:eastAsia="宋体" w:cs="宋体"/>
          <w:color w:val="auto"/>
          <w:sz w:val="21"/>
          <w:szCs w:val="21"/>
          <w:lang w:eastAsia="zh-CN"/>
        </w:rPr>
        <w:t xml:space="preserve">维保单位需提供常用易损件库存与备件保障能力，确保设备故障在规定时限内修复，可提供备机备件支持平台连续执勤能力。重大勤务期间，需根据市局安排提前准备保障资源。</w:t>
      </w:r>
      <w:bookmarkEnd w:id="240"/>
      <w:r/>
      <w:r/>
    </w:p>
    <w:p>
      <w:pPr>
        <w:ind w:firstLine="480"/>
        <w:jc w:val="both"/>
        <w:pageBreakBefore w:val="0"/>
        <w:spacing w:after="0" w:line="360" w:lineRule="auto"/>
        <w:widowControl w:val="off"/>
        <w:rPr>
          <w:rFonts w:hint="eastAsia" w:ascii="宋体" w:hAnsi="宋体" w:eastAsia="宋体" w:cs="宋体"/>
          <w:b/>
          <w:bCs/>
          <w:color w:val="auto"/>
          <w:sz w:val="21"/>
          <w:szCs w:val="21"/>
          <w:lang w:val="en-US" w:eastAsia="zh-CN"/>
        </w:rPr>
        <w:outlineLvl w:val="9"/>
      </w:pPr>
      <w:r/>
      <w:bookmarkStart w:id="241" w:name="xQigg"/>
      <w:r>
        <w:rPr>
          <w:rFonts w:hint="eastAsia" w:ascii="宋体" w:hAnsi="宋体" w:eastAsia="宋体" w:cs="宋体"/>
          <w:b/>
          <w:bCs/>
          <w:color w:val="auto"/>
          <w:sz w:val="21"/>
          <w:szCs w:val="21"/>
          <w:lang w:val="en-US" w:eastAsia="zh-CN"/>
        </w:rPr>
        <w:t xml:space="preserve">4.5 安全管理与合规要求 </w:t>
      </w:r>
      <w:bookmarkEnd w:id="241"/>
      <w:r/>
      <w:r/>
    </w:p>
    <w:p>
      <w:pPr>
        <w:ind w:firstLine="48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42" w:name="u1ed530fb"/>
      <w:r>
        <w:rPr>
          <w:rFonts w:hint="eastAsia" w:ascii="宋体" w:hAnsi="宋体" w:eastAsia="宋体" w:cs="宋体"/>
          <w:color w:val="auto"/>
          <w:sz w:val="21"/>
          <w:szCs w:val="21"/>
          <w:lang w:eastAsia="zh-CN"/>
        </w:rPr>
        <w:t xml:space="preserve">维保单位在实施过程中必须遵守公安信息系统安全管理要求：</w:t>
      </w:r>
      <w:bookmarkEnd w:id="242"/>
      <w:r/>
      <w:r/>
    </w:p>
    <w:p>
      <w:pPr>
        <w:numPr>
          <w:ilvl w:val="0"/>
          <w:numId w:val="2"/>
        </w:numPr>
        <w:ind w:left="840" w:hanging="42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43" w:name="u96eb9aeb"/>
      <w:r>
        <w:rPr>
          <w:rFonts w:hint="eastAsia" w:ascii="宋体" w:hAnsi="宋体" w:eastAsia="宋体" w:cs="宋体"/>
          <w:color w:val="auto"/>
          <w:sz w:val="21"/>
          <w:szCs w:val="21"/>
          <w:lang w:eastAsia="zh-CN"/>
        </w:rPr>
        <w:t xml:space="preserve">严格落实涉密人员准入制度</w:t>
      </w:r>
      <w:bookmarkEnd w:id="243"/>
      <w:r/>
      <w:r/>
    </w:p>
    <w:p>
      <w:pPr>
        <w:numPr>
          <w:ilvl w:val="0"/>
          <w:numId w:val="2"/>
        </w:numPr>
        <w:ind w:left="840" w:hanging="42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44" w:name="u9376a6c9"/>
      <w:r>
        <w:rPr>
          <w:rFonts w:hint="eastAsia" w:ascii="宋体" w:hAnsi="宋体" w:eastAsia="宋体" w:cs="宋体"/>
          <w:color w:val="auto"/>
          <w:sz w:val="21"/>
          <w:szCs w:val="21"/>
          <w:lang w:eastAsia="zh-CN"/>
        </w:rPr>
        <w:t xml:space="preserve">所有运维操作留痕可审计</w:t>
      </w:r>
      <w:bookmarkEnd w:id="244"/>
      <w:r/>
      <w:r/>
    </w:p>
    <w:p>
      <w:pPr>
        <w:numPr>
          <w:ilvl w:val="0"/>
          <w:numId w:val="2"/>
        </w:numPr>
        <w:ind w:left="840" w:hanging="420"/>
        <w:jc w:val="both"/>
        <w:pageBreakBefore w:val="0"/>
        <w:spacing w:after="0" w:line="360" w:lineRule="auto"/>
        <w:widowControl w:val="off"/>
        <w:rPr>
          <w:rFonts w:hint="eastAsia" w:ascii="宋体" w:hAnsi="宋体" w:eastAsia="宋体" w:cs="宋体"/>
          <w:color w:val="auto"/>
          <w:sz w:val="21"/>
          <w:szCs w:val="21"/>
          <w:lang w:eastAsia="zh-CN"/>
        </w:rPr>
        <w:outlineLvl w:val="9"/>
      </w:pPr>
      <w:r/>
      <w:bookmarkStart w:id="245" w:name="uf0982d1f"/>
      <w:r>
        <w:rPr>
          <w:rFonts w:hint="eastAsia" w:ascii="宋体" w:hAnsi="宋体" w:eastAsia="宋体" w:cs="宋体"/>
          <w:color w:val="auto"/>
          <w:sz w:val="21"/>
          <w:szCs w:val="21"/>
          <w:lang w:eastAsia="zh-CN"/>
        </w:rPr>
        <w:t xml:space="preserve">数据传输链路安全加固、权限严格控制</w:t>
      </w:r>
      <w:bookmarkEnd w:id="245"/>
      <w:r/>
      <w:r/>
    </w:p>
    <w:p>
      <w:pPr>
        <w:pStyle w:val="1300"/>
        <w:jc w:val="both"/>
        <w:pageBreakBefore w:val="0"/>
        <w:spacing w:beforeAutospacing="0" w:afterAutospacing="0" w:line="360" w:lineRule="auto"/>
        <w:widowControl w:val="off"/>
        <w:rPr>
          <w:rFonts w:hint="eastAsia" w:ascii="宋体" w:hAnsi="宋体" w:eastAsia="宋体" w:cs="宋体"/>
          <w:color w:val="auto"/>
          <w:sz w:val="21"/>
          <w:szCs w:val="21"/>
          <w:lang w:eastAsia="zh-CN"/>
        </w:rPr>
        <w:outlineLvl w:val="9"/>
      </w:pPr>
      <w:r>
        <w:rPr>
          <w:rFonts w:hint="eastAsia" w:ascii="宋体" w:hAnsi="宋体" w:eastAsia="宋体" w:cs="宋体"/>
          <w:color w:val="auto"/>
          <w:sz w:val="21"/>
          <w:szCs w:val="21"/>
          <w:lang w:eastAsia="zh-CN"/>
        </w:rPr>
        <w:t xml:space="preserve">防止任何形式的数据泄露、违规访问（符合平台数据安全边界要求）</w:t>
      </w:r>
      <w:r/>
    </w:p>
    <w:p>
      <w:pPr>
        <w:pStyle w:val="1300"/>
        <w:jc w:val="both"/>
        <w:pageBreakBefore w:val="0"/>
        <w:spacing w:beforeAutospacing="0" w:afterAutospacing="0" w:line="360" w:lineRule="auto"/>
        <w:widowControl w:val="off"/>
        <w:rPr>
          <w:rFonts w:ascii="宋体" w:hAnsi="宋体" w:eastAsia="宋体" w:cs="宋体"/>
          <w:b/>
          <w:bCs/>
          <w:color w:val="auto"/>
          <w:sz w:val="21"/>
          <w:szCs w:val="21"/>
        </w:rPr>
        <w:outlineLvl w:val="9"/>
      </w:pPr>
      <w:r>
        <w:rPr>
          <w:rFonts w:hint="eastAsia" w:ascii="宋体" w:hAnsi="宋体" w:eastAsia="宋体" w:cs="宋体"/>
          <w:b/>
          <w:bCs/>
          <w:color w:val="auto"/>
          <w:sz w:val="21"/>
          <w:szCs w:val="21"/>
          <w:lang w:eastAsia="zh-CN"/>
        </w:rPr>
        <w:t xml:space="preserve">五</w:t>
      </w:r>
      <w:r>
        <w:rPr>
          <w:rFonts w:hint="eastAsia" w:ascii="宋体" w:hAnsi="宋体" w:eastAsia="宋体" w:cs="宋体"/>
          <w:b/>
          <w:bCs/>
          <w:color w:val="auto"/>
          <w:sz w:val="21"/>
          <w:szCs w:val="21"/>
        </w:rPr>
        <w:t xml:space="preserve">、人员配置</w:t>
      </w:r>
      <w:r/>
    </w:p>
    <w:p>
      <w:pPr>
        <w:pStyle w:val="1300"/>
        <w:ind w:firstLine="480"/>
        <w:jc w:val="both"/>
        <w:pageBreakBefore w:val="0"/>
        <w:spacing w:beforeAutospacing="0" w:afterAutospacing="0"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rPr>
        <w:t xml:space="preserve">1.项目负责人具有系统集成项目管理工程师证书</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通信专业技术人员职业水平（中级及以上）</w:t>
      </w:r>
      <w:bookmarkStart w:id="273" w:name="_GoBack"/>
      <w:r/>
      <w:bookmarkEnd w:id="273"/>
      <w:r>
        <w:rPr>
          <w:rFonts w:hint="eastAsia" w:ascii="宋体" w:hAnsi="宋体" w:eastAsia="宋体" w:cs="宋体"/>
          <w:color w:val="auto"/>
          <w:sz w:val="21"/>
          <w:szCs w:val="21"/>
          <w:lang w:val="en-US" w:eastAsia="zh-CN"/>
        </w:rPr>
        <w:t xml:space="preserve">证书的优先；</w:t>
      </w:r>
      <w:r/>
    </w:p>
    <w:p>
      <w:pPr>
        <w:pStyle w:val="1300"/>
        <w:ind w:firstLine="480"/>
        <w:jc w:val="both"/>
        <w:pageBreakBefore w:val="0"/>
        <w:spacing w:beforeAutospacing="0" w:afterAutospacing="0"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2.项目团队成员（除项目负责人外）具有系统架构设计师、网络规划设计师、</w:t>
      </w:r>
      <w:r>
        <w:rPr>
          <w:rFonts w:hint="eastAsia" w:ascii="宋体" w:hAnsi="宋体" w:eastAsia="宋体" w:cs="宋体"/>
          <w:color w:val="auto"/>
          <w:sz w:val="21"/>
          <w:szCs w:val="21"/>
          <w:lang w:val="en-US" w:eastAsia="zh-CN"/>
        </w:rPr>
        <w:t xml:space="preserve">软件设计师、高级工程师（互联网与信息系统）</w:t>
      </w:r>
      <w:r>
        <w:rPr>
          <w:rFonts w:hint="eastAsia" w:ascii="宋体" w:hAnsi="宋体" w:eastAsia="宋体" w:cs="宋体"/>
          <w:color w:val="auto"/>
          <w:sz w:val="21"/>
          <w:szCs w:val="21"/>
        </w:rPr>
        <w:t xml:space="preserve">的优先。</w:t>
      </w:r>
      <w:r/>
    </w:p>
    <w:p>
      <w:pPr>
        <w:pStyle w:val="1300"/>
        <w:ind w:firstLine="480"/>
        <w:jc w:val="both"/>
        <w:pageBreakBefore w:val="0"/>
        <w:spacing w:beforeAutospacing="0" w:afterAutospacing="0"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3.项目服务人员</w:t>
      </w:r>
      <w:r/>
    </w:p>
    <w:tbl>
      <w:tblPr>
        <w:tblStyle w:val="1290"/>
        <w:tblW w:w="8825" w:type="dxa"/>
        <w:tblInd w:w="3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2130"/>
        <w:gridCol w:w="895"/>
        <w:gridCol w:w="4875"/>
      </w:tblGrid>
      <w:tr>
        <w:trPr>
          <w:trHeight w:val="623"/>
        </w:trPr>
        <w:tc>
          <w:tcPr>
            <w:tcW w:w="925" w:type="dxa"/>
            <w:vAlign w:val="center"/>
            <w:textDirection w:val="lrTb"/>
            <w:noWrap w:val="false"/>
          </w:tcPr>
          <w:p>
            <w:pPr>
              <w:jc w:val="center"/>
              <w:pageBreakBefore w:val="0"/>
              <w:spacing w:line="324" w:lineRule="auto"/>
              <w:rPr>
                <w:rFonts w:ascii="宋体" w:hAnsi="宋体" w:cs="宋体"/>
                <w:color w:val="auto"/>
                <w:szCs w:val="21"/>
              </w:rPr>
            </w:pPr>
            <w:r>
              <w:rPr>
                <w:rFonts w:hint="eastAsia" w:ascii="宋体" w:hAnsi="宋体" w:cs="宋体"/>
                <w:color w:val="auto"/>
                <w:szCs w:val="21"/>
              </w:rPr>
              <w:t xml:space="preserve">序号</w:t>
            </w:r>
            <w:r/>
          </w:p>
        </w:tc>
        <w:tc>
          <w:tcPr>
            <w:tcW w:w="2130" w:type="dxa"/>
            <w:vAlign w:val="center"/>
            <w:textDirection w:val="lrTb"/>
            <w:noWrap w:val="false"/>
          </w:tcPr>
          <w:p>
            <w:pPr>
              <w:jc w:val="center"/>
              <w:pageBreakBefore w:val="0"/>
              <w:spacing w:line="324" w:lineRule="auto"/>
              <w:rPr>
                <w:rFonts w:ascii="宋体" w:hAnsi="宋体" w:cs="宋体"/>
                <w:color w:val="auto"/>
                <w:szCs w:val="21"/>
              </w:rPr>
            </w:pPr>
            <w:r>
              <w:rPr>
                <w:rFonts w:hint="eastAsia" w:ascii="宋体" w:hAnsi="宋体" w:cs="宋体"/>
                <w:color w:val="auto"/>
                <w:szCs w:val="21"/>
              </w:rPr>
              <w:t xml:space="preserve">岗位</w:t>
            </w:r>
            <w:r/>
          </w:p>
        </w:tc>
        <w:tc>
          <w:tcPr>
            <w:tcW w:w="895" w:type="dxa"/>
            <w:vAlign w:val="center"/>
            <w:textDirection w:val="lrTb"/>
            <w:noWrap w:val="false"/>
          </w:tcPr>
          <w:p>
            <w:pPr>
              <w:jc w:val="center"/>
              <w:pageBreakBefore w:val="0"/>
              <w:spacing w:line="324" w:lineRule="auto"/>
              <w:rPr>
                <w:rFonts w:ascii="宋体" w:hAnsi="宋体" w:cs="宋体"/>
                <w:color w:val="auto"/>
                <w:szCs w:val="21"/>
              </w:rPr>
            </w:pPr>
            <w:r>
              <w:rPr>
                <w:rFonts w:hint="eastAsia" w:ascii="宋体" w:hAnsi="宋体" w:cs="宋体"/>
                <w:color w:val="auto"/>
                <w:szCs w:val="21"/>
              </w:rPr>
              <w:t xml:space="preserve">数量</w:t>
            </w:r>
            <w:r/>
          </w:p>
        </w:tc>
        <w:tc>
          <w:tcPr>
            <w:tcW w:w="4875" w:type="dxa"/>
            <w:vAlign w:val="center"/>
            <w:textDirection w:val="lrTb"/>
            <w:noWrap w:val="false"/>
          </w:tcPr>
          <w:p>
            <w:pPr>
              <w:jc w:val="center"/>
              <w:pageBreakBefore w:val="0"/>
              <w:spacing w:line="324" w:lineRule="auto"/>
              <w:rPr>
                <w:rFonts w:ascii="宋体" w:hAnsi="宋体" w:cs="宋体"/>
                <w:color w:val="auto"/>
                <w:szCs w:val="21"/>
              </w:rPr>
            </w:pPr>
            <w:r>
              <w:rPr>
                <w:rFonts w:hint="eastAsia" w:ascii="宋体" w:hAnsi="宋体" w:cs="宋体"/>
                <w:color w:val="auto"/>
                <w:szCs w:val="21"/>
              </w:rPr>
              <w:t xml:space="preserve">要求</w:t>
            </w:r>
            <w:r/>
          </w:p>
        </w:tc>
      </w:tr>
      <w:tr>
        <w:trPr>
          <w:trHeight w:val="590"/>
        </w:trPr>
        <w:tc>
          <w:tcPr>
            <w:tcW w:w="925" w:type="dxa"/>
            <w:vAlign w:val="center"/>
            <w:textDirection w:val="lrTb"/>
            <w:noWrap w:val="false"/>
          </w:tcPr>
          <w:p>
            <w:pPr>
              <w:jc w:val="center"/>
              <w:pageBreakBefore w:val="0"/>
              <w:spacing w:line="324" w:lineRule="auto"/>
              <w:rPr>
                <w:rFonts w:ascii="宋体" w:hAnsi="宋体" w:cs="宋体"/>
                <w:color w:val="auto"/>
                <w:szCs w:val="21"/>
              </w:rPr>
            </w:pPr>
            <w:r>
              <w:rPr>
                <w:rFonts w:hint="eastAsia" w:ascii="宋体" w:hAnsi="宋体" w:cs="宋体"/>
                <w:color w:val="auto"/>
                <w:szCs w:val="21"/>
              </w:rPr>
              <w:t xml:space="preserve">1</w:t>
            </w:r>
            <w:r/>
          </w:p>
        </w:tc>
        <w:tc>
          <w:tcPr>
            <w:tcW w:w="2130" w:type="dxa"/>
            <w:vAlign w:val="center"/>
            <w:textDirection w:val="lrTb"/>
            <w:noWrap w:val="false"/>
          </w:tcPr>
          <w:p>
            <w:pPr>
              <w:jc w:val="center"/>
              <w:pageBreakBefore w:val="0"/>
              <w:spacing w:line="324" w:lineRule="auto"/>
              <w:rPr>
                <w:rFonts w:ascii="宋体" w:hAnsi="宋体" w:cs="宋体"/>
                <w:color w:val="auto"/>
                <w:szCs w:val="21"/>
              </w:rPr>
            </w:pPr>
            <w:r>
              <w:rPr>
                <w:rFonts w:hint="eastAsia" w:ascii="宋体" w:hAnsi="宋体" w:cs="宋体"/>
                <w:color w:val="auto"/>
                <w:szCs w:val="21"/>
              </w:rPr>
              <w:t xml:space="preserve">项目负责人</w:t>
            </w:r>
            <w:r/>
          </w:p>
        </w:tc>
        <w:tc>
          <w:tcPr>
            <w:tcW w:w="895" w:type="dxa"/>
            <w:vAlign w:val="center"/>
            <w:textDirection w:val="lrTb"/>
            <w:noWrap w:val="false"/>
          </w:tcPr>
          <w:p>
            <w:pPr>
              <w:jc w:val="center"/>
              <w:pageBreakBefore w:val="0"/>
              <w:spacing w:line="324" w:lineRule="auto"/>
              <w:rPr>
                <w:rFonts w:ascii="宋体" w:hAnsi="宋体" w:cs="宋体"/>
                <w:color w:val="auto"/>
                <w:szCs w:val="21"/>
              </w:rPr>
            </w:pPr>
            <w:r>
              <w:rPr>
                <w:rFonts w:hint="eastAsia" w:ascii="宋体" w:hAnsi="宋体" w:cs="宋体"/>
                <w:color w:val="auto"/>
                <w:szCs w:val="21"/>
              </w:rPr>
              <w:t xml:space="preserve">1人</w:t>
            </w:r>
            <w:r/>
          </w:p>
        </w:tc>
        <w:tc>
          <w:tcPr>
            <w:tcW w:w="4875" w:type="dxa"/>
            <w:vAlign w:val="center"/>
            <w:textDirection w:val="lrTb"/>
            <w:noWrap w:val="false"/>
          </w:tcPr>
          <w:p>
            <w:pPr>
              <w:ind w:firstLine="480"/>
              <w:jc w:val="center"/>
              <w:pageBreakBefore w:val="0"/>
              <w:spacing w:line="324" w:lineRule="auto"/>
              <w:rPr>
                <w:rFonts w:ascii="宋体" w:hAnsi="宋体" w:cs="宋体"/>
                <w:color w:val="auto"/>
                <w:szCs w:val="21"/>
              </w:rPr>
            </w:pPr>
            <w:r>
              <w:rPr>
                <w:rFonts w:hint="eastAsia" w:ascii="宋体" w:hAnsi="宋体" w:cs="宋体"/>
                <w:color w:val="auto"/>
                <w:szCs w:val="21"/>
              </w:rPr>
              <w:t xml:space="preserve">有较强的组织领导能力和协调能力。</w:t>
            </w:r>
            <w:r/>
          </w:p>
        </w:tc>
      </w:tr>
      <w:tr>
        <w:trPr>
          <w:trHeight w:val="90"/>
        </w:trPr>
        <w:tc>
          <w:tcPr>
            <w:tcW w:w="925" w:type="dxa"/>
            <w:vAlign w:val="center"/>
            <w:textDirection w:val="lrTb"/>
            <w:noWrap w:val="false"/>
          </w:tcPr>
          <w:p>
            <w:pPr>
              <w:jc w:val="center"/>
              <w:pageBreakBefore w:val="0"/>
              <w:spacing w:line="324" w:lineRule="auto"/>
              <w:rPr>
                <w:rFonts w:ascii="宋体" w:hAnsi="宋体" w:cs="宋体"/>
                <w:color w:val="auto"/>
                <w:szCs w:val="21"/>
              </w:rPr>
            </w:pPr>
            <w:r>
              <w:rPr>
                <w:rFonts w:hint="eastAsia" w:ascii="宋体" w:hAnsi="宋体" w:cs="宋体"/>
                <w:color w:val="auto"/>
                <w:szCs w:val="21"/>
              </w:rPr>
              <w:t xml:space="preserve">2</w:t>
            </w:r>
            <w:r/>
          </w:p>
        </w:tc>
        <w:tc>
          <w:tcPr>
            <w:tcW w:w="2130" w:type="dxa"/>
            <w:vAlign w:val="center"/>
            <w:textDirection w:val="lrTb"/>
            <w:noWrap w:val="false"/>
          </w:tcPr>
          <w:p>
            <w:pPr>
              <w:jc w:val="center"/>
              <w:pageBreakBefore w:val="0"/>
              <w:spacing w:line="324" w:lineRule="auto"/>
              <w:rPr>
                <w:rFonts w:ascii="宋体" w:hAnsi="宋体" w:cs="宋体"/>
                <w:color w:val="auto"/>
                <w:szCs w:val="21"/>
              </w:rPr>
            </w:pPr>
            <w:r>
              <w:rPr>
                <w:rFonts w:hint="eastAsia" w:ascii="宋体" w:hAnsi="宋体" w:cs="宋体"/>
                <w:color w:val="auto"/>
                <w:szCs w:val="21"/>
              </w:rPr>
              <w:t xml:space="preserve">项目组人员</w:t>
            </w:r>
            <w:r/>
          </w:p>
          <w:p>
            <w:pPr>
              <w:jc w:val="center"/>
              <w:pageBreakBefore w:val="0"/>
              <w:spacing w:line="324" w:lineRule="auto"/>
              <w:rPr>
                <w:rFonts w:ascii="宋体" w:hAnsi="宋体" w:cs="宋体"/>
                <w:color w:val="auto"/>
                <w:szCs w:val="21"/>
              </w:rPr>
            </w:pPr>
            <w:r>
              <w:rPr>
                <w:rFonts w:hint="eastAsia" w:ascii="宋体" w:hAnsi="宋体" w:cs="宋体"/>
                <w:color w:val="auto"/>
                <w:szCs w:val="21"/>
              </w:rPr>
              <w:t xml:space="preserve">（除项目负责人外）</w:t>
            </w:r>
            <w:r/>
          </w:p>
        </w:tc>
        <w:tc>
          <w:tcPr>
            <w:tcW w:w="895" w:type="dxa"/>
            <w:vAlign w:val="center"/>
            <w:textDirection w:val="lrTb"/>
            <w:noWrap w:val="false"/>
          </w:tcPr>
          <w:p>
            <w:pPr>
              <w:jc w:val="center"/>
              <w:pageBreakBefore w:val="0"/>
              <w:spacing w:line="324" w:lineRule="auto"/>
              <w:rPr>
                <w:rFonts w:ascii="宋体" w:hAnsi="宋体" w:cs="宋体"/>
                <w:color w:val="auto"/>
                <w:szCs w:val="21"/>
              </w:rPr>
            </w:pPr>
            <w:r>
              <w:rPr>
                <w:rFonts w:hint="eastAsia" w:ascii="宋体" w:hAnsi="宋体" w:cs="宋体"/>
                <w:color w:val="auto"/>
                <w:szCs w:val="21"/>
              </w:rPr>
              <w:t xml:space="preserve">7人</w:t>
            </w:r>
            <w:r/>
          </w:p>
        </w:tc>
        <w:tc>
          <w:tcPr>
            <w:tcW w:w="4875" w:type="dxa"/>
            <w:vAlign w:val="center"/>
            <w:textDirection w:val="lrTb"/>
            <w:noWrap w:val="false"/>
          </w:tcPr>
          <w:p>
            <w:pPr>
              <w:jc w:val="center"/>
              <w:pageBreakBefore w:val="0"/>
              <w:spacing w:line="324" w:lineRule="auto"/>
              <w:rPr>
                <w:rFonts w:ascii="宋体" w:hAnsi="宋体" w:cs="宋体"/>
                <w:color w:val="auto"/>
                <w:szCs w:val="21"/>
              </w:rPr>
            </w:pPr>
            <w:r>
              <w:rPr>
                <w:rFonts w:hint="eastAsia" w:ascii="宋体" w:hAnsi="宋体" w:cs="宋体"/>
                <w:color w:val="auto"/>
                <w:szCs w:val="21"/>
              </w:rPr>
              <w:t xml:space="preserve">供应商根据现场实际情况增加人员。</w:t>
            </w:r>
            <w:r/>
          </w:p>
        </w:tc>
      </w:tr>
    </w:tbl>
    <w:p>
      <w:pPr>
        <w:pStyle w:val="1300"/>
        <w:jc w:val="both"/>
        <w:pageBreakBefore w:val="0"/>
        <w:spacing w:beforeAutospacing="0" w:afterAutospacing="0" w:line="360" w:lineRule="auto"/>
        <w:widowControl w:val="off"/>
        <w:rPr>
          <w:rFonts w:ascii="宋体" w:hAnsi="宋体" w:eastAsia="宋体" w:cs="宋体"/>
          <w:b/>
          <w:bCs/>
          <w:color w:val="auto"/>
          <w:sz w:val="21"/>
          <w:szCs w:val="21"/>
        </w:rPr>
        <w:outlineLvl w:val="9"/>
      </w:pPr>
      <w:r>
        <w:rPr>
          <w:rFonts w:hint="eastAsia" w:ascii="宋体" w:hAnsi="宋体" w:eastAsia="宋体" w:cs="宋体"/>
          <w:b/>
          <w:bCs/>
          <w:color w:val="auto"/>
          <w:sz w:val="21"/>
          <w:szCs w:val="21"/>
          <w:lang w:eastAsia="zh-CN"/>
        </w:rPr>
        <w:t xml:space="preserve">六</w:t>
      </w:r>
      <w:r>
        <w:rPr>
          <w:rFonts w:hint="eastAsia" w:ascii="宋体" w:hAnsi="宋体" w:eastAsia="宋体" w:cs="宋体"/>
          <w:b/>
          <w:bCs/>
          <w:color w:val="auto"/>
          <w:sz w:val="21"/>
          <w:szCs w:val="21"/>
        </w:rPr>
        <w:t xml:space="preserve">、企业实力</w:t>
      </w:r>
      <w:r/>
    </w:p>
    <w:p>
      <w:pPr>
        <w:pStyle w:val="1300"/>
        <w:ind w:firstLine="480"/>
        <w:jc w:val="both"/>
        <w:pageBreakBefore w:val="0"/>
        <w:spacing w:beforeAutospacing="0" w:afterAutospacing="0"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为了择优选择中标人，体现企业实力，投标人具有信息技术服务管理体系认证证书、隐私信息安全管理体系认证证书</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环境管理</w:t>
      </w:r>
      <w:r>
        <w:rPr>
          <w:rFonts w:hint="eastAsia" w:ascii="宋体" w:hAnsi="宋体" w:eastAsia="宋体" w:cs="宋体"/>
          <w:color w:val="auto"/>
          <w:sz w:val="21"/>
          <w:szCs w:val="21"/>
        </w:rPr>
        <w:t xml:space="preserve">体系认证证书的优先；</w:t>
      </w:r>
      <w:r/>
    </w:p>
    <w:p>
      <w:pPr>
        <w:pStyle w:val="1300"/>
        <w:jc w:val="both"/>
        <w:pageBreakBefore w:val="0"/>
        <w:spacing w:beforeAutospacing="0" w:afterAutospacing="0" w:line="360" w:lineRule="auto"/>
        <w:widowControl w:val="off"/>
        <w:rPr>
          <w:rFonts w:ascii="宋体" w:hAnsi="宋体" w:eastAsia="宋体" w:cs="宋体"/>
          <w:b/>
          <w:bCs/>
          <w:color w:val="auto"/>
          <w:sz w:val="21"/>
          <w:szCs w:val="21"/>
        </w:rPr>
        <w:outlineLvl w:val="9"/>
      </w:pPr>
      <w:r>
        <w:rPr>
          <w:rFonts w:hint="eastAsia" w:ascii="宋体" w:hAnsi="宋体" w:eastAsia="宋体" w:cs="宋体"/>
          <w:b/>
          <w:bCs/>
          <w:color w:val="auto"/>
          <w:sz w:val="21"/>
          <w:szCs w:val="21"/>
          <w:lang w:eastAsia="zh-CN"/>
        </w:rPr>
        <w:t xml:space="preserve">七</w:t>
      </w:r>
      <w:r>
        <w:rPr>
          <w:rFonts w:hint="eastAsia" w:ascii="宋体" w:hAnsi="宋体" w:eastAsia="宋体" w:cs="宋体"/>
          <w:b/>
          <w:bCs/>
          <w:color w:val="auto"/>
          <w:sz w:val="21"/>
          <w:szCs w:val="21"/>
        </w:rPr>
        <w:t xml:space="preserve">、项目业绩</w:t>
      </w:r>
      <w:r/>
    </w:p>
    <w:p>
      <w:pPr>
        <w:pStyle w:val="1300"/>
        <w:ind w:firstLine="480"/>
        <w:jc w:val="both"/>
        <w:pageBreakBefore w:val="0"/>
        <w:spacing w:beforeAutospacing="0" w:afterAutospacing="0" w:line="360" w:lineRule="auto"/>
        <w:widowControl w:val="off"/>
        <w:rPr>
          <w:rFonts w:ascii="宋体" w:hAnsi="宋体" w:eastAsia="宋体" w:cs="宋体"/>
          <w:color w:val="auto"/>
          <w:sz w:val="21"/>
          <w:szCs w:val="21"/>
        </w:rPr>
        <w:outlineLvl w:val="9"/>
      </w:pPr>
      <w:r>
        <w:rPr>
          <w:rFonts w:hint="eastAsia" w:ascii="宋体" w:hAnsi="宋体" w:eastAsia="宋体" w:cs="宋体"/>
          <w:color w:val="auto"/>
          <w:sz w:val="21"/>
          <w:szCs w:val="21"/>
        </w:rPr>
        <w:t xml:space="preserve">投标人</w:t>
      </w:r>
      <w:r>
        <w:rPr>
          <w:rFonts w:hint="eastAsia" w:asciiTheme="minorEastAsia" w:hAnsiTheme="minorEastAsia" w:cstheme="minorEastAsia"/>
          <w:bCs/>
          <w:color w:val="auto"/>
          <w:sz w:val="21"/>
          <w:szCs w:val="21"/>
        </w:rPr>
        <w:t xml:space="preserve">自2022年1月1日（以合同签订</w:t>
      </w:r>
      <w:r>
        <w:rPr>
          <w:rFonts w:hint="eastAsia" w:asciiTheme="minorEastAsia" w:hAnsiTheme="minorEastAsia" w:cstheme="minorEastAsia"/>
          <w:bCs/>
          <w:color w:val="auto"/>
          <w:sz w:val="21"/>
          <w:szCs w:val="21"/>
          <w:lang w:eastAsia="zh-CN"/>
        </w:rPr>
        <w:t xml:space="preserve">时间</w:t>
      </w:r>
      <w:r>
        <w:rPr>
          <w:rFonts w:hint="eastAsia" w:asciiTheme="minorEastAsia" w:hAnsiTheme="minorEastAsia" w:cstheme="minorEastAsia"/>
          <w:bCs/>
          <w:color w:val="auto"/>
          <w:sz w:val="21"/>
          <w:szCs w:val="21"/>
        </w:rPr>
        <w:t xml:space="preserve">为准）承担过</w:t>
      </w:r>
      <w:r>
        <w:rPr>
          <w:rFonts w:hint="eastAsia" w:asciiTheme="minorEastAsia" w:hAnsiTheme="minorEastAsia" w:cstheme="minorEastAsia"/>
          <w:bCs/>
          <w:color w:val="auto"/>
          <w:sz w:val="21"/>
          <w:szCs w:val="21"/>
          <w:lang w:eastAsia="zh-CN"/>
        </w:rPr>
        <w:t xml:space="preserve">类似无人机及自动机场、平台运维服务</w:t>
      </w:r>
      <w:r>
        <w:rPr>
          <w:rFonts w:hint="eastAsia" w:asciiTheme="minorEastAsia" w:hAnsiTheme="minorEastAsia" w:cstheme="minorEastAsia"/>
          <w:bCs/>
          <w:color w:val="auto"/>
          <w:sz w:val="21"/>
          <w:szCs w:val="21"/>
        </w:rPr>
        <w:t xml:space="preserve">相关业绩的优先；</w:t>
      </w:r>
      <w:r/>
    </w:p>
    <w:p>
      <w:pPr>
        <w:pStyle w:val="1300"/>
        <w:jc w:val="both"/>
        <w:pageBreakBefore w:val="0"/>
        <w:spacing w:beforeAutospacing="0" w:afterAutospacing="0" w:line="360" w:lineRule="auto"/>
        <w:widowControl w:val="off"/>
        <w:rPr>
          <w:rFonts w:ascii="宋体" w:hAnsi="宋体" w:eastAsia="宋体" w:cs="宋体"/>
          <w:b/>
          <w:bCs/>
          <w:color w:val="auto"/>
          <w:sz w:val="21"/>
          <w:szCs w:val="21"/>
        </w:rPr>
        <w:outlineLvl w:val="9"/>
      </w:pPr>
      <w:r>
        <w:rPr>
          <w:rFonts w:hint="eastAsia" w:ascii="宋体" w:hAnsi="宋体" w:eastAsia="宋体" w:cs="宋体"/>
          <w:b/>
          <w:bCs/>
          <w:color w:val="auto"/>
          <w:sz w:val="21"/>
          <w:szCs w:val="21"/>
        </w:rPr>
        <w:t xml:space="preserve">八、技术方案</w:t>
      </w:r>
      <w:r/>
    </w:p>
    <w:p>
      <w:pPr>
        <w:pStyle w:val="1300"/>
        <w:jc w:val="both"/>
        <w:pageBreakBefore w:val="0"/>
        <w:spacing w:beforeAutospacing="0" w:afterAutospacing="0" w:line="360" w:lineRule="auto"/>
        <w:widowControl w:val="off"/>
        <w:rPr>
          <w:rFonts w:ascii="宋体" w:hAnsi="宋体" w:eastAsia="宋体" w:cs="宋体"/>
          <w:b/>
          <w:bCs/>
          <w:color w:val="auto"/>
          <w:sz w:val="21"/>
          <w:szCs w:val="21"/>
        </w:rPr>
        <w:outlineLvl w:val="9"/>
      </w:pPr>
      <w:r>
        <w:rPr>
          <w:rFonts w:hint="eastAsia" w:ascii="宋体" w:hAnsi="宋体" w:eastAsia="宋体" w:cs="宋体"/>
          <w:b/>
          <w:bCs/>
          <w:color w:val="auto"/>
          <w:sz w:val="21"/>
          <w:szCs w:val="21"/>
        </w:rPr>
        <w:t xml:space="preserve">    投标人应根据采购需求和本项目实际要求，制订相应的服务方案至少包含以下内容：</w:t>
      </w:r>
      <w:r/>
    </w:p>
    <w:p>
      <w:pPr>
        <w:pStyle w:val="1300"/>
        <w:ind w:firstLine="422"/>
        <w:jc w:val="both"/>
        <w:keepLines w:val="0"/>
        <w:keepNext w:val="0"/>
        <w:pageBreakBefore w:val="0"/>
        <w:spacing w:beforeAutospacing="0" w:afterAutospacing="0" w:line="360" w:lineRule="auto"/>
        <w:widowControl w:val="off"/>
        <w:rPr>
          <w:rFonts w:ascii="宋体" w:hAnsi="宋体" w:eastAsia="宋体" w:cs="宋体"/>
          <w:b/>
          <w:bCs/>
          <w:color w:val="auto"/>
          <w:sz w:val="21"/>
          <w:szCs w:val="21"/>
        </w:rPr>
        <w:outlineLvl w:val="9"/>
      </w:pP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rPr>
        <w:t xml:space="preserve">投标人根据本项目总体要求，提供科学合理的总体维保方案，进行详细阐述。至少包含以下内容：</w:t>
      </w:r>
      <w:r/>
    </w:p>
    <w:p>
      <w:pPr>
        <w:ind w:firstLine="480"/>
        <w:jc w:val="both"/>
        <w:pageBreakBefore w:val="0"/>
        <w:spacing w:after="0"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b/>
          <w:bCs/>
          <w:color w:val="auto"/>
          <w:sz w:val="21"/>
          <w:szCs w:val="21"/>
          <w:lang w:val="en-US" w:eastAsia="zh-CN" w:bidi="ar-SA"/>
        </w:rPr>
        <w:t xml:space="preserve">①项目情况分析：</w:t>
      </w:r>
      <w:r>
        <w:rPr>
          <w:rFonts w:hint="eastAsia" w:ascii="宋体" w:hAnsi="宋体" w:eastAsia="宋体" w:cs="宋体"/>
          <w:color w:val="auto"/>
          <w:sz w:val="21"/>
          <w:szCs w:val="21"/>
          <w:lang w:eastAsia="zh-CN"/>
        </w:rPr>
        <w:t xml:space="preserve">方案须对</w:t>
      </w:r>
      <w:r>
        <w:rPr>
          <w:rFonts w:hint="eastAsia" w:ascii="宋体" w:hAnsi="宋体" w:eastAsia="宋体" w:cs="宋体"/>
          <w:color w:val="auto"/>
          <w:sz w:val="21"/>
          <w:szCs w:val="21"/>
          <w:lang w:val="en-US" w:eastAsia="zh-CN"/>
        </w:rPr>
        <w:t xml:space="preserve">项目当前情况进行详细分析，包括</w:t>
      </w:r>
      <w:r>
        <w:rPr>
          <w:rFonts w:hint="eastAsia" w:ascii="宋体" w:hAnsi="宋体" w:eastAsia="宋体" w:cs="宋体"/>
          <w:color w:val="auto"/>
          <w:sz w:val="21"/>
          <w:szCs w:val="21"/>
          <w:lang w:eastAsia="zh-CN"/>
        </w:rPr>
        <w:t xml:space="preserve">现阶段“警用无人机一体化管控平台”的运行环境、设备接入情况、系统稳定性和潜在风险进行系统现状分析，明确平台部署环境、网络架构、接入无人机及自动机场规模，对平台可用率、主要故障类型及风险隐患进行分析，确保平台全年可用率不低于 99.5%，重大故障年发生次数不超过 2 次，在维保周期内按 季度 提交运行分析与优化报告。</w:t>
      </w:r>
      <w:r/>
    </w:p>
    <w:p>
      <w:pPr>
        <w:ind w:firstLine="480"/>
        <w:jc w:val="both"/>
        <w:pageBreakBefore w:val="0"/>
        <w:spacing w:after="0" w:line="360" w:lineRule="auto"/>
        <w:widowControl w:val="off"/>
        <w:rPr>
          <w:rFonts w:hint="eastAsia" w:asciiTheme="minorEastAsia" w:hAnsiTheme="minorEastAsia" w:cstheme="minorEastAsia"/>
          <w:bCs/>
          <w:color w:val="auto"/>
          <w:sz w:val="21"/>
          <w:szCs w:val="21"/>
        </w:rPr>
        <w:outlineLvl w:val="9"/>
      </w:pPr>
      <w:r>
        <w:rPr>
          <w:rFonts w:hint="eastAsia" w:ascii="宋体" w:hAnsi="宋体" w:eastAsia="宋体" w:cs="宋体"/>
          <w:b/>
          <w:bCs/>
          <w:color w:val="auto"/>
          <w:sz w:val="21"/>
          <w:szCs w:val="21"/>
          <w:lang w:val="en-US" w:eastAsia="zh-CN" w:bidi="ar-SA"/>
        </w:rPr>
        <w:t xml:space="preserve">②构建运维组织框架需构建：</w:t>
      </w:r>
      <w:r>
        <w:rPr>
          <w:rFonts w:hint="eastAsia" w:ascii="宋体" w:hAnsi="宋体" w:eastAsia="宋体" w:cs="宋体"/>
          <w:color w:val="auto"/>
          <w:sz w:val="21"/>
          <w:szCs w:val="21"/>
          <w:lang w:eastAsia="zh-CN"/>
        </w:rPr>
        <w:t xml:space="preserve">清晰的运维组织架构，明确响应节点责任，覆盖平台软件、自动机场、无人机本体、云台挂载等全链路维保范围。确保工单受理响应时间不超过 15 分钟，技术人员介入时间不超过 30 分钟，涉及厂家支持的启动时间不超过 2 小时。</w:t>
      </w:r>
      <w:r/>
    </w:p>
    <w:p>
      <w:pPr>
        <w:ind w:firstLine="480"/>
        <w:jc w:val="both"/>
        <w:pageBreakBefore w:val="0"/>
        <w:spacing w:after="0"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b/>
          <w:bCs/>
          <w:color w:val="auto"/>
          <w:sz w:val="21"/>
          <w:szCs w:val="21"/>
          <w:lang w:val="en-US" w:eastAsia="zh-CN" w:bidi="ar-SA"/>
        </w:rPr>
        <w:t xml:space="preserve">③提供相关服务流程等内容</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eastAsia="zh-CN"/>
        </w:rPr>
        <w:t xml:space="preserve">提供标准化服务流程（问题受理 → 分派处理 → 远程诊断 → 上门处置 → 结案回访），并形成专项应急响应机制及事件分级管理制度，保障系统持续稳定与实战可用。</w:t>
      </w:r>
      <w:r/>
    </w:p>
    <w:p>
      <w:pPr>
        <w:pStyle w:val="1300"/>
        <w:ind w:firstLine="422"/>
        <w:jc w:val="both"/>
        <w:keepLines w:val="0"/>
        <w:keepNext w:val="0"/>
        <w:pageBreakBefore w:val="0"/>
        <w:spacing w:beforeAutospacing="0" w:afterAutospacing="0" w:line="360" w:lineRule="auto"/>
        <w:widowControl w:val="off"/>
        <w:rPr>
          <w:rFonts w:ascii="宋体" w:hAnsi="宋体" w:eastAsia="宋体" w:cs="宋体"/>
          <w:b/>
          <w:bCs/>
          <w:color w:val="auto"/>
          <w:sz w:val="21"/>
          <w:szCs w:val="21"/>
        </w:rPr>
        <w:outlineLvl w:val="9"/>
      </w:pP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rPr>
        <w:t xml:space="preserve">投标人根据本项目总体要求，提供科学合理的硬件与平台联动保障措施，进行详细阐述。至少包含以下内容：</w:t>
      </w:r>
      <w:r/>
    </w:p>
    <w:p>
      <w:pPr>
        <w:pStyle w:val="1300"/>
        <w:numPr>
          <w:ilvl w:val="0"/>
          <w:numId w:val="0"/>
        </w:numPr>
        <w:ind w:firstLine="420"/>
        <w:jc w:val="both"/>
        <w:pageBreakBefore w:val="0"/>
        <w:spacing w:beforeAutospacing="0" w:afterAutospacing="0" w:line="360" w:lineRule="auto"/>
        <w:widowControl w:val="off"/>
        <w:rPr>
          <w:rFonts w:hint="eastAsia" w:asciiTheme="minorEastAsia" w:hAnsiTheme="minorEastAsia" w:cstheme="minorEastAsia"/>
          <w:bCs/>
          <w:color w:val="auto"/>
          <w:sz w:val="21"/>
          <w:szCs w:val="21"/>
        </w:rPr>
        <w:outlineLvl w:val="9"/>
      </w:pPr>
      <w:r>
        <w:rPr>
          <w:rFonts w:hint="eastAsia" w:ascii="宋体" w:hAnsi="宋体" w:eastAsia="宋体" w:cs="宋体"/>
          <w:b/>
          <w:bCs/>
          <w:color w:val="auto"/>
          <w:sz w:val="21"/>
          <w:szCs w:val="21"/>
          <w:lang w:val="en-US" w:eastAsia="zh-CN"/>
        </w:rPr>
        <w:t xml:space="preserve">①明确硬件相关情况：</w:t>
      </w:r>
      <w:r>
        <w:rPr>
          <w:rFonts w:hint="eastAsia" w:ascii="宋体" w:hAnsi="宋体" w:eastAsia="宋体" w:cs="宋体"/>
          <w:color w:val="auto"/>
          <w:sz w:val="21"/>
          <w:szCs w:val="21"/>
          <w:lang w:val="en-US" w:eastAsia="zh-CN" w:bidi="ar-SA"/>
        </w:rPr>
        <w:t xml:space="preserve">需明确硬件相关使用情况，包括巡检周期、保养策略和可预防性维护措施，涵盖大疆机场1/3代42座、大疆经纬系列无人机75台、科比特机场10座、科比特六旋翼无人机115台及相应挂载设备，其中自动机场不少于 每月一次远程巡检、每季度一次现场巡检，无人机本体不少于 每季度一次全面检查，飞行累计达到 100 小时 后须开展专项检测，通过提前发现隐患降低故障发生率。</w:t>
      </w:r>
      <w:r/>
    </w:p>
    <w:p>
      <w:pPr>
        <w:pStyle w:val="1300"/>
        <w:numPr>
          <w:ilvl w:val="0"/>
          <w:numId w:val="0"/>
        </w:numPr>
        <w:ind w:firstLine="420"/>
        <w:jc w:val="both"/>
        <w:pageBreakBefore w:val="0"/>
        <w:spacing w:beforeAutospacing="0" w:afterAutospacing="0" w:line="360" w:lineRule="auto"/>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b/>
          <w:bCs/>
          <w:color w:val="auto"/>
          <w:sz w:val="21"/>
          <w:szCs w:val="21"/>
          <w:lang w:val="en-US" w:eastAsia="zh-CN"/>
        </w:rPr>
        <w:t xml:space="preserve">②提供关键备件储备清单及供应周期：</w:t>
      </w:r>
      <w:r>
        <w:rPr>
          <w:rFonts w:hint="eastAsia" w:ascii="宋体" w:hAnsi="宋体" w:eastAsia="宋体" w:cs="宋体"/>
          <w:color w:val="auto"/>
          <w:sz w:val="21"/>
          <w:szCs w:val="21"/>
          <w:lang w:val="en-US" w:eastAsia="zh-CN" w:bidi="ar-SA"/>
        </w:rPr>
        <w:t xml:space="preserve">要求提供提供关键备件储备清单及供应周期，关键备件储备清单及保障机制，明确常用易损件和核心部件的储备比例及供应周期，常用易损件储备比例不低于设备总量的 10%，核心部件到货周期不超过 7 个工作日。</w:t>
      </w:r>
      <w:r/>
    </w:p>
    <w:p>
      <w:pPr>
        <w:pStyle w:val="1300"/>
        <w:numPr>
          <w:ilvl w:val="0"/>
          <w:numId w:val="0"/>
        </w:numPr>
        <w:ind w:firstLine="420"/>
        <w:jc w:val="both"/>
        <w:pageBreakBefore w:val="0"/>
        <w:spacing w:beforeAutospacing="0" w:afterAutospacing="0" w:line="360" w:lineRule="auto"/>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b/>
          <w:bCs/>
          <w:color w:val="auto"/>
          <w:sz w:val="21"/>
          <w:szCs w:val="21"/>
          <w:lang w:val="en-US" w:eastAsia="zh-CN"/>
        </w:rPr>
        <w:t xml:space="preserve">③确保硬件与平台协议适配等内容：</w:t>
      </w:r>
      <w:r>
        <w:rPr>
          <w:rFonts w:hint="eastAsia" w:ascii="宋体" w:hAnsi="宋体" w:eastAsia="宋体" w:cs="宋体"/>
          <w:color w:val="auto"/>
          <w:sz w:val="21"/>
          <w:szCs w:val="21"/>
          <w:lang w:val="en-US" w:eastAsia="zh-CN" w:bidi="ar-SA"/>
        </w:rPr>
        <w:t xml:space="preserve">确保硬件设备与平台系统的协议适配与版本兼容能力，保障数据链路与信号传输的稳定性和可靠性。</w:t>
      </w:r>
      <w:r/>
    </w:p>
    <w:p>
      <w:pPr>
        <w:pStyle w:val="1300"/>
        <w:ind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b/>
          <w:bCs/>
          <w:color w:val="auto"/>
          <w:sz w:val="21"/>
          <w:szCs w:val="21"/>
          <w:lang w:val="en-US" w:eastAsia="zh-CN"/>
        </w:rPr>
        <w:t xml:space="preserve">3、</w:t>
      </w:r>
      <w:r>
        <w:rPr>
          <w:rFonts w:hint="eastAsia" w:ascii="宋体" w:hAnsi="宋体" w:eastAsia="宋体" w:cs="宋体"/>
          <w:b/>
          <w:bCs/>
          <w:color w:val="auto"/>
          <w:sz w:val="21"/>
          <w:szCs w:val="21"/>
        </w:rPr>
        <w:t xml:space="preserve">投标人根据本项目总体要求，提供科学合理的质量控制措施，进行详细阐述。至少包含以下内容：</w:t>
      </w:r>
      <w:r/>
    </w:p>
    <w:p>
      <w:pPr>
        <w:pStyle w:val="1300"/>
        <w:numPr>
          <w:ilvl w:val="0"/>
          <w:numId w:val="0"/>
        </w:numPr>
        <w:ind w:firstLine="420"/>
        <w:jc w:val="both"/>
        <w:pageBreakBefore w:val="0"/>
        <w:spacing w:beforeAutospacing="0" w:afterAutospacing="0" w:line="360" w:lineRule="auto"/>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b/>
          <w:bCs/>
          <w:color w:val="auto"/>
          <w:sz w:val="21"/>
          <w:szCs w:val="21"/>
          <w:lang w:val="en-US" w:eastAsia="zh-CN"/>
        </w:rPr>
        <w:t xml:space="preserve">①明确服务质量KPI指标体系：</w:t>
      </w:r>
      <w:r>
        <w:rPr>
          <w:rFonts w:hint="eastAsia" w:ascii="宋体" w:hAnsi="宋体" w:eastAsia="宋体" w:cs="宋体"/>
          <w:color w:val="auto"/>
          <w:sz w:val="21"/>
          <w:szCs w:val="21"/>
          <w:lang w:val="en-US" w:eastAsia="zh-CN" w:bidi="ar-SA"/>
        </w:rPr>
        <w:t xml:space="preserve">需建立明确、可考核的服务质量控制体系，设置量化的服务质量 KPI 指标，包括但不限于故障响应时限、问题闭环时效、平台在线率和任务保障成功率等，要求平均故障响应时间不超过 20 分钟，问题闭环率不低于 98%，平台全年在线率不低于 99.5%，任务保障成功率不低于 98%，并定期进行统计分析和改进。</w:t>
      </w:r>
      <w:r/>
    </w:p>
    <w:p>
      <w:pPr>
        <w:pStyle w:val="1300"/>
        <w:numPr>
          <w:ilvl w:val="0"/>
          <w:numId w:val="0"/>
        </w:numPr>
        <w:ind w:firstLine="420"/>
        <w:jc w:val="both"/>
        <w:pageBreakBefore w:val="0"/>
        <w:spacing w:beforeAutospacing="0" w:afterAutospacing="0" w:line="360" w:lineRule="auto"/>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b/>
          <w:bCs/>
          <w:color w:val="auto"/>
          <w:sz w:val="21"/>
          <w:szCs w:val="21"/>
          <w:lang w:val="en-US" w:eastAsia="zh-CN"/>
        </w:rPr>
        <w:t xml:space="preserve">②制定相关机制：</w:t>
      </w:r>
      <w:r>
        <w:rPr>
          <w:rFonts w:hint="eastAsia" w:ascii="宋体" w:hAnsi="宋体" w:eastAsia="宋体" w:cs="宋体"/>
          <w:color w:val="auto"/>
          <w:sz w:val="21"/>
          <w:szCs w:val="21"/>
          <w:lang w:val="en-US" w:eastAsia="zh-CN" w:bidi="ar-SA"/>
        </w:rPr>
        <w:t xml:space="preserve">制定完善服务机制，包括定期巡检计划及系统日志、通信链路监测机制，确保平台运行状态可追溯、可审计，同时建立健全数据安全管理策略，包含权限分级管理、操作日志审计、数据加密传输及网络分区隔离等措施，日志留存时间不少于 12 个月。</w:t>
      </w:r>
      <w:r/>
    </w:p>
    <w:p>
      <w:pPr>
        <w:pStyle w:val="1300"/>
        <w:numPr>
          <w:ilvl w:val="0"/>
          <w:numId w:val="0"/>
        </w:numPr>
        <w:ind w:firstLine="420"/>
        <w:jc w:val="both"/>
        <w:pageBreakBefore w:val="0"/>
        <w:spacing w:beforeAutospacing="0" w:afterAutospacing="0" w:line="360" w:lineRule="auto"/>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b/>
          <w:bCs/>
          <w:color w:val="auto"/>
          <w:sz w:val="21"/>
          <w:szCs w:val="21"/>
          <w:lang w:val="en-US" w:eastAsia="zh-CN"/>
        </w:rPr>
        <w:t xml:space="preserve">③提供网络安全事件处置办法等内容：</w:t>
      </w:r>
      <w:r>
        <w:rPr>
          <w:rFonts w:hint="eastAsia" w:ascii="宋体" w:hAnsi="宋体" w:eastAsia="宋体" w:cs="宋体"/>
          <w:color w:val="auto"/>
          <w:sz w:val="21"/>
          <w:szCs w:val="21"/>
          <w:lang w:val="en-US" w:eastAsia="zh-CN" w:bidi="ar-SA"/>
        </w:rPr>
        <w:t xml:space="preserve">提供网络安全事件处置办法，确保在发现安全风险后 10 分钟内完成上报并 1 小时内 采取有效处置措施，保障平台及业务数据安全。</w:t>
      </w:r>
      <w:r/>
    </w:p>
    <w:p>
      <w:pPr>
        <w:pStyle w:val="1300"/>
        <w:ind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rPr>
        <w:outlineLvl w:val="9"/>
      </w:pP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rPr>
        <w:t xml:space="preserve">投标人根据本项目总体要求，提供科学合理的故障应急与快速恢复措施，进行详细阐述。至少包含以下内容：</w:t>
      </w:r>
      <w:r/>
    </w:p>
    <w:p>
      <w:pPr>
        <w:pStyle w:val="1300"/>
        <w:numPr>
          <w:ilvl w:val="0"/>
          <w:numId w:val="0"/>
        </w:numPr>
        <w:ind w:firstLine="420"/>
        <w:jc w:val="both"/>
        <w:pageBreakBefore w:val="0"/>
        <w:spacing w:beforeAutospacing="0" w:afterAutospacing="0" w:line="360" w:lineRule="auto"/>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b/>
          <w:bCs/>
          <w:color w:val="auto"/>
          <w:sz w:val="21"/>
          <w:szCs w:val="21"/>
          <w:lang w:val="en-US" w:eastAsia="zh-CN"/>
        </w:rPr>
        <w:t xml:space="preserve">①提供相关应急预案：</w:t>
      </w:r>
      <w:r>
        <w:rPr>
          <w:rFonts w:hint="eastAsia" w:ascii="宋体" w:hAnsi="宋体" w:eastAsia="宋体" w:cs="宋体"/>
          <w:color w:val="auto"/>
          <w:sz w:val="21"/>
          <w:szCs w:val="21"/>
          <w:lang w:val="en-US" w:eastAsia="zh-CN" w:bidi="ar-SA"/>
        </w:rPr>
        <w:t xml:space="preserve">提供完备的故障应急预案及分级处置流程，对平台软件、自动机场、无人机本体及通信链路等软硬件故障建立快速定位与恢复机制，明确备件替换、设备切换及热备资源使用策略，确保一级故障在 2 小时内 恢复或启用替代方案，二级故障在 8 小时内 完成处置。</w:t>
      </w:r>
      <w:r/>
    </w:p>
    <w:p>
      <w:pPr>
        <w:pStyle w:val="1300"/>
        <w:numPr>
          <w:ilvl w:val="0"/>
          <w:numId w:val="0"/>
        </w:numPr>
        <w:ind w:firstLine="420"/>
        <w:jc w:val="both"/>
        <w:pageBreakBefore w:val="0"/>
        <w:spacing w:beforeAutospacing="0" w:afterAutospacing="0" w:line="360" w:lineRule="auto"/>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b/>
          <w:bCs/>
          <w:color w:val="auto"/>
          <w:sz w:val="21"/>
          <w:szCs w:val="21"/>
          <w:lang w:val="en-US" w:eastAsia="zh-CN"/>
        </w:rPr>
        <w:t xml:space="preserve">②体现多场景应急能力：</w:t>
      </w:r>
      <w:r>
        <w:rPr>
          <w:rFonts w:hint="eastAsia" w:ascii="宋体" w:hAnsi="宋体" w:eastAsia="宋体" w:cs="宋体"/>
          <w:color w:val="auto"/>
          <w:sz w:val="21"/>
          <w:szCs w:val="21"/>
          <w:lang w:val="en-US" w:eastAsia="zh-CN" w:bidi="ar-SA"/>
        </w:rPr>
        <w:t xml:space="preserve">需具备多场景应急保障能力，针对通信中断、自动机场瘫痪、飞行平台故障</w:t>
      </w:r>
      <w:r>
        <w:rPr>
          <w:rFonts w:hint="eastAsia" w:ascii="宋体" w:hAnsi="宋体" w:eastAsia="宋体" w:cs="宋体"/>
          <w:color w:val="auto"/>
          <w:sz w:val="21"/>
          <w:szCs w:val="21"/>
          <w:lang w:val="en-US" w:eastAsia="zh-CN" w:bidi="ar-SA"/>
        </w:rPr>
      </w:r>
      <w:r>
        <w:rPr>
          <w:rFonts w:hint="eastAsia" w:ascii="宋体" w:hAnsi="宋体" w:eastAsia="宋体" w:cs="宋体"/>
          <w:color w:val="auto"/>
          <w:sz w:val="21"/>
          <w:szCs w:val="21"/>
          <w:lang w:val="en-US" w:eastAsia="zh-CN" w:bidi="ar-SA"/>
        </w:rPr>
        <w:t xml:space="preserve">及重大安保任务等典型场景制定容灾和替代方案，通过备用链路、备用设备或人工接管等方式，确保应急处置和实战任务连续开展。</w:t>
      </w:r>
      <w:r/>
    </w:p>
    <w:p>
      <w:pPr>
        <w:pStyle w:val="1300"/>
        <w:ind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b/>
          <w:bCs/>
          <w:color w:val="auto"/>
          <w:sz w:val="21"/>
          <w:szCs w:val="21"/>
          <w:lang w:val="en-US" w:eastAsia="zh-CN"/>
        </w:rPr>
        <w:t xml:space="preserve">5、</w:t>
      </w:r>
      <w:r>
        <w:rPr>
          <w:rFonts w:hint="eastAsia" w:ascii="宋体" w:hAnsi="宋体" w:eastAsia="宋体" w:cs="宋体"/>
          <w:b/>
          <w:bCs/>
          <w:color w:val="auto"/>
          <w:sz w:val="21"/>
          <w:szCs w:val="21"/>
        </w:rPr>
        <w:t xml:space="preserve">投标人根据本项目总体要求，提供科学合理的</w:t>
      </w:r>
      <w:r>
        <w:rPr>
          <w:rFonts w:hint="eastAsia" w:ascii="宋体" w:hAnsi="宋体" w:eastAsia="宋体" w:cs="宋体"/>
          <w:b/>
          <w:bCs/>
          <w:color w:val="auto"/>
          <w:sz w:val="21"/>
          <w:szCs w:val="21"/>
          <w:lang w:val="en-US" w:eastAsia="zh-CN"/>
        </w:rPr>
        <w:t xml:space="preserve">售后服务方案</w:t>
      </w:r>
      <w:r>
        <w:rPr>
          <w:rFonts w:hint="eastAsia" w:ascii="宋体" w:hAnsi="宋体" w:eastAsia="宋体" w:cs="宋体"/>
          <w:b/>
          <w:bCs/>
          <w:color w:val="auto"/>
          <w:sz w:val="21"/>
          <w:szCs w:val="21"/>
        </w:rPr>
        <w:t xml:space="preserve">，进行详细阐述。至少包含以下内容：</w:t>
      </w:r>
      <w:r/>
    </w:p>
    <w:p>
      <w:pPr>
        <w:ind w:firstLine="420"/>
        <w:keepLines w:val="0"/>
        <w:keepNext w:val="0"/>
        <w:pageBreakBefore w:val="0"/>
        <w:spacing w:line="288" w:lineRule="auto"/>
        <w:widowControl w:val="off"/>
        <w:rPr>
          <w:rFonts w:hint="eastAsia"/>
          <w:color w:val="auto"/>
          <w:lang w:eastAsia="zh-CN"/>
        </w:rPr>
      </w:pPr>
      <w:r>
        <w:rPr>
          <w:rFonts w:hint="eastAsia"/>
          <w:color w:val="auto"/>
        </w:rPr>
        <w:t xml:space="preserve">投标人配备本项目专职售后服务队伍，本地化运维方案,售后服务保障方案，提供完整的操作规范以及服务保障措施，包括故障处理、备份恢复、技术支持、应急响应等内容</w:t>
      </w:r>
      <w:r>
        <w:rPr>
          <w:rFonts w:hint="eastAsia"/>
          <w:color w:val="auto"/>
          <w:lang w:eastAsia="zh-CN"/>
        </w:rPr>
        <w:t xml:space="preserve">。</w:t>
      </w:r>
      <w:r/>
    </w:p>
    <w:p>
      <w:pPr>
        <w:ind w:firstLine="422"/>
        <w:keepLines w:val="0"/>
        <w:keepNext w:val="0"/>
        <w:pageBreakBefore w:val="0"/>
        <w:spacing w:line="288" w:lineRule="auto"/>
        <w:widowControl w:val="off"/>
        <w:rPr>
          <w:rFonts w:hint="eastAsia"/>
          <w:color w:val="auto"/>
          <w:lang w:val="en-US" w:eastAsia="zh-CN"/>
        </w:rPr>
      </w:pPr>
      <w:r>
        <w:rPr>
          <w:rFonts w:hint="eastAsia"/>
          <w:b/>
          <w:bCs/>
          <w:color w:val="auto"/>
          <w:lang w:val="en-US" w:eastAsia="zh-CN"/>
        </w:rPr>
        <w:t xml:space="preserve">①</w:t>
      </w:r>
      <w:r>
        <w:rPr>
          <w:rFonts w:hint="eastAsia"/>
          <w:b/>
          <w:bCs/>
          <w:color w:val="auto"/>
        </w:rPr>
        <w:t xml:space="preserve">故障处理</w:t>
      </w:r>
      <w:r>
        <w:rPr>
          <w:rFonts w:hint="eastAsia"/>
          <w:b/>
          <w:bCs/>
          <w:color w:val="auto"/>
          <w:lang w:eastAsia="zh-CN"/>
        </w:rPr>
        <w:t xml:space="preserve">：</w:t>
      </w:r>
      <w:r>
        <w:rPr>
          <w:rFonts w:hint="eastAsia"/>
          <w:color w:val="auto"/>
        </w:rPr>
        <w:t xml:space="preserve">针对故障根源，制定技术优化、流程完善、资源补充等改进措施</w:t>
      </w:r>
      <w:r>
        <w:rPr>
          <w:rFonts w:hint="eastAsia"/>
          <w:color w:val="auto"/>
          <w:lang w:eastAsia="zh-CN"/>
        </w:rPr>
        <w:t xml:space="preserve">；</w:t>
      </w:r>
      <w:r>
        <w:rPr>
          <w:rFonts w:hint="eastAsia"/>
          <w:color w:val="auto"/>
        </w:rPr>
        <w:t xml:space="preserve">分析故障根源，确定是否为偶发性或系统性问题</w:t>
      </w:r>
      <w:r>
        <w:rPr>
          <w:rFonts w:hint="eastAsia"/>
          <w:color w:val="auto"/>
          <w:lang w:eastAsia="zh-CN"/>
        </w:rPr>
        <w:t xml:space="preserve">。</w:t>
      </w:r>
      <w:r/>
    </w:p>
    <w:p>
      <w:pPr>
        <w:ind w:firstLine="422"/>
        <w:keepLines w:val="0"/>
        <w:keepNext w:val="0"/>
        <w:pageBreakBefore w:val="0"/>
        <w:spacing w:line="288" w:lineRule="auto"/>
        <w:widowControl w:val="off"/>
        <w:rPr>
          <w:rFonts w:hint="eastAsia"/>
          <w:color w:val="auto"/>
        </w:rPr>
      </w:pPr>
      <w:r>
        <w:rPr>
          <w:rFonts w:hint="eastAsia"/>
          <w:b/>
          <w:bCs/>
          <w:color w:val="auto"/>
          <w:lang w:val="en-US" w:eastAsia="zh-CN"/>
        </w:rPr>
        <w:t xml:space="preserve">②</w:t>
      </w:r>
      <w:r>
        <w:rPr>
          <w:rFonts w:hint="eastAsia"/>
          <w:b/>
          <w:bCs/>
          <w:color w:val="auto"/>
        </w:rPr>
        <w:t xml:space="preserve">备份恢复</w:t>
      </w:r>
      <w:r>
        <w:rPr>
          <w:rFonts w:hint="eastAsia"/>
          <w:b/>
          <w:bCs/>
          <w:color w:val="auto"/>
          <w:lang w:eastAsia="zh-CN"/>
        </w:rPr>
        <w:t xml:space="preserve">：</w:t>
      </w:r>
      <w:r>
        <w:rPr>
          <w:rFonts w:hint="eastAsia"/>
          <w:color w:val="auto"/>
        </w:rPr>
        <w:t xml:space="preserve">建立完善的备份机制，防止数据丢失、损坏或被恶意篡改。确保在故障发生时，能够在预定时间内完成数据恢复，最小化业务中断时间。在保证安全的前提下，优化存储资源，控制备份成本。</w:t>
      </w:r>
      <w:r/>
    </w:p>
    <w:p>
      <w:pPr>
        <w:keepLines w:val="0"/>
        <w:keepNext w:val="0"/>
        <w:pageBreakBefore w:val="0"/>
        <w:spacing w:line="288" w:lineRule="auto"/>
        <w:widowControl w:val="off"/>
        <w:rPr>
          <w:rFonts w:hint="eastAsia"/>
          <w:color w:val="auto"/>
          <w:lang w:val="en-US" w:eastAsia="zh-CN"/>
        </w:rPr>
      </w:pPr>
      <w:r>
        <w:rPr>
          <w:rFonts w:hint="eastAsia"/>
          <w:color w:val="auto"/>
          <w:lang w:val="en-US" w:eastAsia="zh-CN"/>
        </w:rPr>
      </w:r>
      <w:r/>
    </w:p>
    <w:p>
      <w:pPr>
        <w:ind w:firstLine="422"/>
        <w:keepLines w:val="0"/>
        <w:keepNext w:val="0"/>
        <w:pageBreakBefore w:val="0"/>
        <w:spacing w:line="288" w:lineRule="auto"/>
        <w:widowControl w:val="off"/>
        <w:rPr>
          <w:rFonts w:hint="eastAsia"/>
          <w:color w:val="auto"/>
          <w:lang w:val="en-US" w:eastAsia="zh-CN"/>
        </w:rPr>
      </w:pPr>
      <w:r>
        <w:rPr>
          <w:rFonts w:hint="eastAsia"/>
          <w:b/>
          <w:bCs/>
          <w:color w:val="auto"/>
          <w:lang w:val="en-US" w:eastAsia="zh-CN"/>
        </w:rPr>
        <w:t xml:space="preserve">③技术支持：</w:t>
      </w:r>
      <w:r>
        <w:rPr>
          <w:rFonts w:hint="eastAsia"/>
          <w:color w:val="auto"/>
          <w:lang w:val="en-US" w:eastAsia="zh-CN"/>
        </w:rPr>
        <w:t xml:space="preserve">提供专业化技术支持服务，确保问题得到准确诊断和有效解决。通过问题分析与总结，不断优化平台性能和用户体验。</w:t>
      </w:r>
      <w:r/>
    </w:p>
    <w:p>
      <w:pPr>
        <w:ind w:firstLine="422"/>
        <w:keepLines w:val="0"/>
        <w:keepNext w:val="0"/>
        <w:pageBreakBefore w:val="0"/>
        <w:spacing w:line="288" w:lineRule="auto"/>
        <w:widowControl w:val="off"/>
        <w:rPr>
          <w:rFonts w:hint="eastAsia"/>
          <w:color w:val="auto"/>
          <w:lang w:val="en-US" w:eastAsia="zh-CN"/>
        </w:rPr>
      </w:pPr>
      <w:r>
        <w:rPr>
          <w:rFonts w:hint="eastAsia"/>
          <w:b/>
          <w:bCs/>
          <w:color w:val="auto"/>
          <w:lang w:val="en-US" w:eastAsia="zh-CN"/>
        </w:rPr>
        <w:fldChar w:fldCharType="begin"/>
      </w:r>
      <w:r>
        <w:rPr>
          <w:rFonts w:hint="eastAsia"/>
          <w:b/>
          <w:bCs/>
          <w:color w:val="auto"/>
          <w:lang w:val="en-US" w:eastAsia="zh-CN"/>
        </w:rPr>
        <w:instrText xml:space="preserve"> = 4 \* GB3 \* MERGEFORMAT </w:instrText>
      </w:r>
      <w:r>
        <w:rPr>
          <w:rFonts w:hint="eastAsia"/>
          <w:b/>
          <w:bCs/>
          <w:color w:val="auto"/>
          <w:lang w:val="en-US" w:eastAsia="zh-CN"/>
        </w:rPr>
        <w:fldChar w:fldCharType="separate"/>
      </w:r>
      <w:r>
        <w:rPr>
          <w:rFonts w:hint="eastAsia"/>
          <w:b/>
          <w:bCs/>
          <w:color w:val="auto"/>
          <w:lang w:val="en-US" w:eastAsia="zh-CN"/>
        </w:rPr>
        <w:t xml:space="preserve">④</w:t>
      </w:r>
      <w:r>
        <w:rPr>
          <w:rFonts w:hint="eastAsia"/>
          <w:b/>
          <w:bCs/>
          <w:color w:val="auto"/>
          <w:lang w:val="en-US" w:eastAsia="zh-CN"/>
        </w:rPr>
        <w:fldChar w:fldCharType="end"/>
      </w:r>
      <w:r>
        <w:rPr>
          <w:rFonts w:hint="eastAsia"/>
          <w:b/>
          <w:bCs/>
          <w:color w:val="auto"/>
          <w:lang w:val="en-US" w:eastAsia="zh-CN"/>
        </w:rPr>
        <w:t xml:space="preserve">应急响应：</w:t>
      </w:r>
      <w:r>
        <w:rPr>
          <w:rFonts w:hint="eastAsia"/>
          <w:color w:val="auto"/>
          <w:lang w:val="en-US" w:eastAsia="zh-CN"/>
        </w:rPr>
        <w:t xml:space="preserve">网络攻击、硬件故障、自然灾害等突发事件可能导致IT系统瘫痪，给系统带来巨大损失。为了有效应对这些风险，建立一套完善的运维应急服务响应预案。要求从应急响应时间、组织安排、处置程序等。</w:t>
      </w:r>
      <w:r/>
    </w:p>
    <w:p>
      <w:pPr>
        <w:pStyle w:val="1300"/>
        <w:numPr>
          <w:ilvl w:val="0"/>
          <w:numId w:val="0"/>
        </w:numPr>
        <w:jc w:val="both"/>
        <w:spacing w:beforeAutospacing="0" w:afterAutospacing="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九、</w:t>
      </w:r>
      <w:r>
        <w:rPr>
          <w:rFonts w:hint="eastAsia" w:ascii="宋体" w:hAnsi="宋体" w:eastAsia="宋体" w:cs="宋体"/>
          <w:b/>
          <w:bCs/>
          <w:color w:val="auto"/>
          <w:sz w:val="21"/>
          <w:szCs w:val="21"/>
        </w:rPr>
        <w:t xml:space="preserve">采购标的对应的中小企业划分标准所属行业一览表</w:t>
      </w:r>
      <w:r/>
    </w:p>
    <w:tbl>
      <w:tblPr>
        <w:tblStyle w:val="1290"/>
        <w:tblW w:w="821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0"/>
        <w:gridCol w:w="3843"/>
        <w:gridCol w:w="354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1300"/>
              <w:jc w:val="center"/>
              <w:spacing w:beforeAutospacing="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43" w:type="dxa"/>
            <w:vAlign w:val="center"/>
            <w:textDirection w:val="lrTb"/>
            <w:noWrap w:val="false"/>
          </w:tcPr>
          <w:p>
            <w:pPr>
              <w:pStyle w:val="1300"/>
              <w:ind w:firstLine="1104"/>
              <w:jc w:val="both"/>
              <w:spacing w:beforeAutospacing="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1300"/>
              <w:jc w:val="center"/>
              <w:spacing w:beforeAutospacing="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对应中小企业划分标准所属行业</w:t>
            </w:r>
            <w:r/>
          </w:p>
        </w:tc>
      </w:tr>
      <w:tr>
        <w:trPr>
          <w:jc w:val="center"/>
          <w:tblCellSpacing w:w="0" w:type="dxa"/>
          <w:trHeight w:val="708"/>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1300"/>
              <w:jc w:val="center"/>
              <w:spacing w:beforeAutospacing="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3" w:type="dxa"/>
            <w:vAlign w:val="center"/>
            <w:textDirection w:val="lrTb"/>
            <w:noWrap w:val="false"/>
          </w:tcPr>
          <w:p>
            <w:pPr>
              <w:pStyle w:val="1300"/>
              <w:jc w:val="both"/>
              <w:spacing w:beforeAutospacing="0" w:afterAutospacing="0"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盐城市公安局“鹰眼”维保项目分包二：无人机及自动机场、平台运维服务</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1300"/>
              <w:jc w:val="center"/>
              <w:spacing w:beforeAutospacing="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软件和信息技术服务业</w:t>
            </w:r>
            <w:r/>
          </w:p>
        </w:tc>
      </w:tr>
    </w:tbl>
    <w:p>
      <w:pPr>
        <w:pStyle w:val="1300"/>
        <w:jc w:val="center"/>
        <w:spacing w:beforeAutospacing="0" w:afterAutospacing="0"/>
        <w:tabs>
          <w:tab w:val="left" w:pos="6205" w:leader="none"/>
        </w:tabs>
        <w:rPr>
          <w:rFonts w:hint="eastAsia" w:ascii="黑体" w:hAnsi="宋体" w:eastAsia="黑体" w:cs="黑体"/>
          <w:color w:val="auto"/>
          <w:sz w:val="44"/>
          <w:szCs w:val="44"/>
        </w:rPr>
        <w:outlineLvl w:val="0"/>
      </w:pPr>
      <w:r/>
      <w:bookmarkStart w:id="246" w:name="_Toc120614281"/>
      <w:r/>
      <w:r/>
    </w:p>
    <w:p>
      <w:pPr>
        <w:pStyle w:val="1300"/>
        <w:jc w:val="left"/>
        <w:spacing w:beforeAutospacing="0" w:afterAutospacing="0"/>
        <w:tabs>
          <w:tab w:val="left" w:pos="6205" w:leader="none"/>
        </w:tabs>
        <w:rPr>
          <w:rFonts w:hint="eastAsia" w:ascii="黑体" w:hAnsi="宋体" w:eastAsia="黑体" w:cs="黑体"/>
          <w:color w:val="auto"/>
          <w:sz w:val="44"/>
          <w:szCs w:val="44"/>
        </w:rPr>
        <w:outlineLvl w:val="0"/>
      </w:pPr>
      <w:r>
        <w:rPr>
          <w:rFonts w:hint="eastAsia" w:ascii="黑体" w:hAnsi="宋体" w:eastAsia="黑体" w:cs="黑体"/>
          <w:color w:val="auto"/>
          <w:sz w:val="44"/>
          <w:szCs w:val="44"/>
        </w:rPr>
      </w:r>
      <w:r/>
    </w:p>
    <w:p>
      <w:pPr>
        <w:pStyle w:val="1300"/>
        <w:jc w:val="center"/>
        <w:spacing w:beforeAutospacing="0" w:afterAutospacing="0"/>
        <w:tabs>
          <w:tab w:val="left" w:pos="6205" w:leader="none"/>
        </w:tabs>
        <w:rPr>
          <w:rFonts w:hint="eastAsia" w:ascii="黑体" w:hAnsi="宋体" w:eastAsia="黑体" w:cs="黑体"/>
          <w:color w:val="auto"/>
          <w:sz w:val="44"/>
          <w:szCs w:val="44"/>
        </w:rPr>
        <w:outlineLvl w:val="0"/>
      </w:pPr>
      <w:r>
        <w:rPr>
          <w:rFonts w:hint="eastAsia" w:ascii="黑体" w:hAnsi="宋体" w:eastAsia="黑体" w:cs="黑体"/>
          <w:color w:val="auto"/>
          <w:sz w:val="44"/>
          <w:szCs w:val="44"/>
        </w:rPr>
      </w:r>
      <w:r/>
    </w:p>
    <w:p>
      <w:pPr>
        <w:pStyle w:val="1300"/>
        <w:jc w:val="center"/>
        <w:spacing w:beforeAutospacing="0" w:afterAutospacing="0"/>
        <w:tabs>
          <w:tab w:val="left" w:pos="6205" w:leader="none"/>
        </w:tabs>
        <w:rPr>
          <w:color w:val="auto"/>
        </w:rPr>
        <w:outlineLvl w:val="0"/>
      </w:pPr>
      <w:r>
        <w:rPr>
          <w:rFonts w:hint="eastAsia" w:ascii="黑体" w:hAnsi="宋体" w:eastAsia="黑体" w:cs="黑体"/>
          <w:color w:val="auto"/>
          <w:sz w:val="44"/>
          <w:szCs w:val="44"/>
        </w:rPr>
        <w:t xml:space="preserve">第五章  </w:t>
      </w:r>
      <w:r>
        <w:rPr>
          <w:rFonts w:hint="eastAsia" w:ascii="黑体" w:hAnsi="宋体" w:eastAsia="黑体" w:cs="黑体"/>
          <w:b/>
          <w:color w:val="auto"/>
          <w:sz w:val="44"/>
          <w:szCs w:val="44"/>
        </w:rPr>
        <w:t xml:space="preserve">评标方法与评标标准</w:t>
      </w:r>
      <w:r/>
    </w:p>
    <w:p>
      <w:pPr>
        <w:pStyle w:val="1300"/>
        <w:jc w:val="both"/>
        <w:keepLines w:val="0"/>
        <w:keepNext w:val="0"/>
        <w:pageBreakBefore w:val="0"/>
        <w:spacing w:beforeAutospacing="0" w:afterAutospacing="0" w:line="340" w:lineRule="exact"/>
        <w:widowControl w:val="off"/>
        <w:rPr>
          <w:rFonts w:ascii="宋体" w:hAnsi="宋体" w:eastAsia="宋体" w:cs="宋体"/>
          <w:b/>
          <w:bCs/>
          <w:color w:val="auto"/>
          <w:szCs w:val="21"/>
        </w:rPr>
      </w:pPr>
      <w:r>
        <w:rPr>
          <w:rFonts w:hint="eastAsia" w:ascii="宋体" w:hAnsi="宋体" w:eastAsia="宋体" w:cs="宋体"/>
          <w:b/>
          <w:bCs/>
          <w:color w:val="auto"/>
          <w:szCs w:val="21"/>
        </w:rPr>
        <w:t xml:space="preserve">一、定标原则</w:t>
      </w:r>
      <w:r/>
    </w:p>
    <w:p>
      <w:pPr>
        <w:ind w:firstLine="420"/>
        <w:keepLines w:val="0"/>
        <w:keepNext w:val="0"/>
        <w:pageBreakBefore w:val="0"/>
        <w:spacing w:line="340" w:lineRule="exact"/>
        <w:widowControl w:val="off"/>
        <w:rPr>
          <w:rFonts w:ascii="宋体" w:hAnsi="宋体" w:eastAsia="宋体" w:cs="宋体"/>
          <w:color w:val="auto"/>
          <w:szCs w:val="21"/>
        </w:rPr>
      </w:pPr>
      <w:r>
        <w:rPr>
          <w:rFonts w:hint="eastAsia" w:ascii="宋体" w:hAnsi="宋体" w:eastAsia="宋体" w:cs="宋体"/>
          <w:bCs/>
          <w:color w:val="auto"/>
          <w:szCs w:val="21"/>
        </w:rPr>
        <w:t xml:space="preserve">本项目采用</w:t>
      </w:r>
      <w:r>
        <w:rPr>
          <w:rFonts w:hint="eastAsia" w:ascii="宋体" w:hAnsi="宋体" w:eastAsia="宋体" w:cs="宋体"/>
          <w:bCs/>
          <w:color w:val="auto"/>
          <w:szCs w:val="21"/>
          <w:u w:val="single"/>
        </w:rPr>
        <w:t xml:space="preserve">综合评分</w:t>
      </w:r>
      <w:r>
        <w:rPr>
          <w:rFonts w:hint="eastAsia" w:ascii="宋体" w:hAnsi="宋体" w:eastAsia="宋体" w:cs="宋体"/>
          <w:bCs/>
          <w:color w:val="auto"/>
          <w:szCs w:val="21"/>
        </w:rPr>
        <w:t xml:space="preserve">法。</w:t>
      </w:r>
      <w:r>
        <w:rPr>
          <w:rFonts w:hint="eastAsia" w:ascii="宋体" w:hAnsi="宋体" w:eastAsia="宋体" w:cs="宋体"/>
          <w:color w:val="auto"/>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1300"/>
        <w:ind w:firstLine="441"/>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b/>
          <w:color w:val="auto"/>
          <w:sz w:val="21"/>
          <w:szCs w:val="21"/>
        </w:rPr>
        <w:t xml:space="preserve">政府采购政策功能落实</w:t>
      </w:r>
      <w:r/>
    </w:p>
    <w:p>
      <w:pPr>
        <w:pStyle w:val="1300"/>
        <w:ind w:firstLine="48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1、小微型企业价格扣除</w:t>
      </w:r>
      <w:r/>
    </w:p>
    <w:p>
      <w:pPr>
        <w:pStyle w:val="1313"/>
        <w:ind w:firstLine="315"/>
        <w:keepLines w:val="0"/>
        <w:keepNext w:val="0"/>
        <w:pageBreakBefore w:val="0"/>
        <w:spacing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（1）本项目不专门面向中小企业采购，对符合规定的小型和微型企业报价给予</w:t>
      </w:r>
      <w:r>
        <w:rPr>
          <w:rFonts w:hint="eastAsia" w:ascii="宋体" w:hAnsi="宋体" w:eastAsia="宋体" w:cs="宋体"/>
          <w:color w:val="auto"/>
          <w:sz w:val="21"/>
          <w:szCs w:val="21"/>
          <w:u w:val="single"/>
        </w:rPr>
        <w:t xml:space="preserve">20</w:t>
      </w:r>
      <w:r>
        <w:rPr>
          <w:rFonts w:hint="eastAsia" w:ascii="宋体" w:hAnsi="宋体" w:eastAsia="宋体" w:cs="宋体"/>
          <w:color w:val="auto"/>
          <w:sz w:val="21"/>
          <w:szCs w:val="21"/>
        </w:rPr>
        <w:t xml:space="preserve">%的扣除价格。</w:t>
      </w:r>
      <w:r/>
    </w:p>
    <w:p>
      <w:pPr>
        <w:pStyle w:val="1300"/>
        <w:ind w:firstLine="36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（2）供应商需按照采购文件的要求提供相应的《中小企业声明函》。</w:t>
      </w:r>
      <w:r/>
    </w:p>
    <w:p>
      <w:pPr>
        <w:pStyle w:val="1300"/>
        <w:ind w:firstLine="36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（3）企业标准请参照《关于印发中小企业划型标准规定的通知》（工信部联企业〔2011〕300号）文件规定自行填写。</w:t>
      </w:r>
      <w:r/>
    </w:p>
    <w:p>
      <w:pPr>
        <w:pStyle w:val="1300"/>
        <w:ind w:firstLine="48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2、残疾人福利单位价格扣除</w:t>
      </w:r>
      <w:r/>
    </w:p>
    <w:p>
      <w:pPr>
        <w:pStyle w:val="1300"/>
        <w:ind w:left="120" w:firstLine="360"/>
        <w:keepLines w:val="0"/>
        <w:keepNext w:val="0"/>
        <w:pageBreakBefore w:val="0"/>
        <w:spacing w:before="120" w:beforeAutospacing="0" w:after="120" w:afterAutospacing="0" w:line="340" w:lineRule="exact"/>
        <w:widowControl w:val="off"/>
        <w:rPr>
          <w:rFonts w:ascii="宋体" w:hAnsi="宋体" w:eastAsia="宋体" w:cs="宋体"/>
          <w:color w:val="auto"/>
          <w:sz w:val="21"/>
          <w:szCs w:val="21"/>
          <w:u w:val="single"/>
        </w:rPr>
      </w:pPr>
      <w:r>
        <w:rPr>
          <w:rFonts w:hint="eastAsia" w:ascii="宋体" w:hAnsi="宋体" w:eastAsia="宋体" w:cs="宋体"/>
          <w:color w:val="auto"/>
          <w:sz w:val="21"/>
          <w:szCs w:val="21"/>
        </w:rPr>
        <w:t xml:space="preserve">（1）本项目对残疾人福利性单位视同小型、微型企业，给予</w:t>
      </w:r>
      <w:r>
        <w:rPr>
          <w:rFonts w:hint="eastAsia" w:ascii="宋体" w:hAnsi="宋体" w:eastAsia="宋体" w:cs="宋体"/>
          <w:color w:val="auto"/>
          <w:sz w:val="21"/>
          <w:szCs w:val="21"/>
          <w:u w:val="single"/>
        </w:rPr>
        <w:t xml:space="preserve">20%的价格扣除。</w:t>
      </w:r>
      <w:r/>
    </w:p>
    <w:p>
      <w:pPr>
        <w:pStyle w:val="1300"/>
        <w:ind w:left="120" w:firstLine="36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（2）残疾人福利单位需按照采购文件的要求提供《残疾人福利性单位声明函》。</w:t>
      </w:r>
      <w:r/>
    </w:p>
    <w:p>
      <w:pPr>
        <w:pStyle w:val="1300"/>
        <w:ind w:left="120" w:firstLine="36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（3）残疾人福利单位标准请参照《关于促进残疾人就业政府采购政策的通知》（财库〔2017〕141号）。</w:t>
      </w:r>
      <w:r/>
    </w:p>
    <w:p>
      <w:pPr>
        <w:pStyle w:val="1300"/>
        <w:ind w:firstLine="48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3、监狱和戒毒企业价格扣除</w:t>
      </w:r>
      <w:r/>
    </w:p>
    <w:p>
      <w:pPr>
        <w:pStyle w:val="1300"/>
        <w:ind w:left="120" w:firstLine="360"/>
        <w:keepLines w:val="0"/>
        <w:keepNext w:val="0"/>
        <w:pageBreakBefore w:val="0"/>
        <w:spacing w:before="120" w:beforeAutospacing="0" w:after="120" w:afterAutospacing="0" w:line="340" w:lineRule="exact"/>
        <w:widowControl w:val="off"/>
        <w:rPr>
          <w:rFonts w:ascii="宋体" w:hAnsi="宋体" w:eastAsia="宋体" w:cs="宋体"/>
          <w:color w:val="auto"/>
          <w:sz w:val="21"/>
          <w:szCs w:val="21"/>
          <w:u w:val="single"/>
        </w:rPr>
      </w:pPr>
      <w:r>
        <w:rPr>
          <w:rFonts w:hint="eastAsia" w:ascii="宋体" w:hAnsi="宋体" w:eastAsia="宋体" w:cs="宋体"/>
          <w:color w:val="auto"/>
          <w:sz w:val="21"/>
          <w:szCs w:val="21"/>
        </w:rPr>
        <w:t xml:space="preserve">（1）本项目对监狱和戒毒企业（简称监狱企业）视同小型、微型企业，给予</w:t>
      </w:r>
      <w:r>
        <w:rPr>
          <w:rFonts w:hint="eastAsia" w:ascii="宋体" w:hAnsi="宋体" w:eastAsia="宋体" w:cs="宋体"/>
          <w:color w:val="auto"/>
          <w:sz w:val="21"/>
          <w:szCs w:val="21"/>
          <w:u w:val="single"/>
        </w:rPr>
        <w:t xml:space="preserve">20%的价格扣除。</w:t>
      </w:r>
      <w:r/>
    </w:p>
    <w:p>
      <w:pPr>
        <w:pStyle w:val="1300"/>
        <w:ind w:firstLine="48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300"/>
        <w:ind w:firstLine="48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（3）监狱企业标准请参照《关于政府采购支持监狱企业发展有关问题的通知》（财库〔2014〕68号）。</w:t>
      </w:r>
      <w:r/>
    </w:p>
    <w:p>
      <w:pPr>
        <w:pStyle w:val="1300"/>
        <w:ind w:firstLine="48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4、残疾人福利单位、监狱企业属于小型、微型企业的，不重复享受政策。</w:t>
      </w:r>
      <w:r/>
    </w:p>
    <w:p>
      <w:pPr>
        <w:pStyle w:val="1300"/>
        <w:ind w:firstLine="48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u w:val="single"/>
        </w:rPr>
        <w:t xml:space="preserve">6%</w:t>
      </w:r>
      <w:r>
        <w:rPr>
          <w:rFonts w:hint="eastAsia" w:ascii="宋体" w:hAnsi="宋体" w:eastAsia="宋体" w:cs="宋体"/>
          <w:color w:val="auto"/>
          <w:sz w:val="21"/>
          <w:szCs w:val="21"/>
        </w:rPr>
        <w:t xml:space="preserve">的价格扣除，用扣除后的价格参与评审。</w:t>
      </w:r>
      <w:r/>
    </w:p>
    <w:p>
      <w:pPr>
        <w:pStyle w:val="1300"/>
        <w:ind w:left="120" w:firstLine="360"/>
        <w:keepLines w:val="0"/>
        <w:keepNext w:val="0"/>
        <w:pageBreakBefore w:val="0"/>
        <w:spacing w:before="120" w:beforeAutospacing="0" w:after="120" w:afterAutospacing="0" w:line="340" w:lineRule="exact"/>
        <w:widowControl w:val="off"/>
        <w:rPr>
          <w:rFonts w:ascii="宋体" w:hAnsi="宋体" w:eastAsia="宋体" w:cs="宋体"/>
          <w:color w:val="auto"/>
          <w:sz w:val="21"/>
          <w:szCs w:val="21"/>
          <w:u w:val="single"/>
        </w:rPr>
      </w:pPr>
      <w:r>
        <w:rPr>
          <w:rFonts w:hint="eastAsia" w:ascii="宋体" w:hAnsi="宋体" w:eastAsia="宋体" w:cs="宋体"/>
          <w:color w:val="auto"/>
          <w:sz w:val="21"/>
          <w:szCs w:val="21"/>
        </w:rPr>
        <w:t xml:space="preserve">6、联合体各方均为小型、微型企业（残疾人福利单位、监狱企业）的，联合体享受</w:t>
      </w:r>
      <w:r>
        <w:rPr>
          <w:rFonts w:hint="eastAsia" w:ascii="宋体" w:hAnsi="宋体" w:eastAsia="宋体" w:cs="宋体"/>
          <w:color w:val="auto"/>
          <w:sz w:val="21"/>
          <w:szCs w:val="21"/>
          <w:u w:val="single"/>
        </w:rPr>
        <w:t xml:space="preserve">20%的价格扣除。</w:t>
      </w:r>
      <w:r/>
    </w:p>
    <w:p>
      <w:pPr>
        <w:ind w:firstLine="420"/>
        <w:keepLines w:val="0"/>
        <w:keepNext w:val="0"/>
        <w:pageBreakBefore w:val="0"/>
        <w:spacing w:line="340" w:lineRule="exact"/>
        <w:widowControl w:val="off"/>
        <w:rPr>
          <w:rFonts w:ascii="宋体" w:hAnsi="宋体" w:eastAsia="宋体" w:cs="宋体"/>
          <w:color w:val="auto"/>
          <w:szCs w:val="21"/>
        </w:rPr>
      </w:pPr>
      <w:r>
        <w:rPr>
          <w:rFonts w:hint="eastAsia" w:ascii="宋体" w:hAnsi="宋体" w:eastAsia="宋体" w:cs="宋体"/>
          <w:color w:val="auto"/>
          <w:szCs w:val="21"/>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Cs w:val="21"/>
        </w:rPr>
        <w:t xml:space="preserve">如属政府强制采购产品未提供认证证书的或认证证书提供不全的将视为未实质性响应采购要求</w:t>
      </w:r>
      <w:r>
        <w:rPr>
          <w:rFonts w:hint="eastAsia" w:ascii="宋体" w:hAnsi="宋体" w:eastAsia="宋体" w:cs="宋体"/>
          <w:i/>
          <w:color w:val="auto"/>
          <w:szCs w:val="21"/>
        </w:rPr>
        <w:t xml:space="preserve">。</w:t>
      </w:r>
      <w:r>
        <w:rPr>
          <w:rFonts w:hint="eastAsia" w:ascii="宋体" w:hAnsi="宋体" w:eastAsia="宋体" w:cs="宋体"/>
          <w:color w:val="auto"/>
          <w:szCs w:val="21"/>
        </w:rPr>
        <w:t xml:space="preserve">其他条件相同情况下，应当优先采购节能产品、环境标志产品。</w:t>
      </w:r>
      <w:r/>
    </w:p>
    <w:p>
      <w:pPr>
        <w:ind w:firstLine="422"/>
        <w:spacing w:line="24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ind w:firstLine="422"/>
        <w:spacing w:line="24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ind w:firstLine="422"/>
        <w:spacing w:line="240" w:lineRule="auto"/>
        <w:rPr>
          <w:rFonts w:ascii="宋体" w:hAnsi="宋体" w:eastAsia="宋体" w:cs="宋体"/>
          <w:b/>
          <w:bCs/>
          <w:color w:val="auto"/>
          <w:szCs w:val="21"/>
        </w:rPr>
      </w:pPr>
      <w:r>
        <w:rPr>
          <w:rFonts w:hint="eastAsia" w:ascii="宋体" w:hAnsi="宋体" w:eastAsia="宋体" w:cs="宋体"/>
          <w:b/>
          <w:bCs/>
          <w:color w:val="auto"/>
          <w:szCs w:val="21"/>
        </w:rPr>
        <w:t xml:space="preserve">二、评标方法与评标标准</w:t>
      </w:r>
      <w:r/>
    </w:p>
    <w:p>
      <w:pPr>
        <w:jc w:val="left"/>
        <w:keepLines w:val="0"/>
        <w:keepNext w:val="0"/>
        <w:pageBreakBefore w:val="0"/>
        <w:spacing w:line="408" w:lineRule="auto"/>
        <w:widowControl w:val="off"/>
        <w:rPr>
          <w:rFonts w:ascii="宋体" w:hAnsi="宋体" w:eastAsia="宋体" w:cs="Times New Roman"/>
          <w:color w:val="auto"/>
          <w:szCs w:val="21"/>
        </w:rPr>
      </w:pPr>
      <w:r>
        <w:rPr>
          <w:rFonts w:hint="eastAsia"/>
          <w:color w:val="auto"/>
          <w:szCs w:val="21"/>
        </w:rPr>
        <w:t xml:space="preserve">  </w:t>
      </w:r>
      <w:r>
        <w:rPr>
          <w:rFonts w:hint="eastAsia" w:ascii="宋体" w:hAnsi="宋体" w:eastAsia="宋体" w:cs="Times New Roman"/>
          <w:color w:val="auto"/>
          <w:szCs w:val="21"/>
        </w:rPr>
        <w:t xml:space="preserve">评分项目（总分100分）</w:t>
      </w:r>
      <w:r/>
    </w:p>
    <w:tbl>
      <w:tblPr>
        <w:tblStyle w:val="1290"/>
        <w:tblW w:w="10035" w:type="dxa"/>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8565"/>
      </w:tblGrid>
      <w:tr>
        <w:trPr>
          <w:trHeight w:val="419"/>
        </w:trPr>
        <w:tc>
          <w:tcPr>
            <w:tcW w:w="1470" w:type="dxa"/>
            <w:vAlign w:val="center"/>
            <w:textDirection w:val="lrTb"/>
            <w:noWrap w:val="false"/>
          </w:tcPr>
          <w:p>
            <w:pPr>
              <w:jc w:val="center"/>
              <w:keepLines w:val="0"/>
              <w:keepNext w:val="0"/>
              <w:pageBreakBefore w:val="0"/>
              <w:spacing w:line="408" w:lineRule="auto"/>
              <w:widowControl w:val="off"/>
              <w:rPr>
                <w:rFonts w:hint="eastAsia" w:ascii="宋体" w:hAnsi="宋体" w:cs="宋体"/>
                <w:color w:val="auto"/>
                <w:highlight w:val="none"/>
              </w:rPr>
            </w:pPr>
            <w:r>
              <w:rPr>
                <w:rFonts w:hint="eastAsia" w:ascii="宋体" w:hAnsi="宋体" w:cs="宋体"/>
                <w:color w:val="auto"/>
                <w:highlight w:val="none"/>
              </w:rPr>
              <w:t xml:space="preserve">评分项目</w:t>
            </w:r>
            <w:r/>
          </w:p>
        </w:tc>
        <w:tc>
          <w:tcPr>
            <w:tcW w:w="8565" w:type="dxa"/>
            <w:vAlign w:val="center"/>
            <w:textDirection w:val="lrTb"/>
            <w:noWrap w:val="false"/>
          </w:tcPr>
          <w:p>
            <w:pPr>
              <w:ind w:left="0" w:firstLine="420"/>
              <w:jc w:val="center"/>
              <w:keepLines w:val="0"/>
              <w:keepNext w:val="0"/>
              <w:pageBreakBefore w:val="0"/>
              <w:spacing w:line="408" w:lineRule="auto"/>
              <w:widowControl w:val="off"/>
              <w:rPr>
                <w:rFonts w:hint="eastAsia" w:ascii="宋体" w:hAnsi="宋体" w:cs="宋体"/>
                <w:color w:val="auto"/>
                <w:highlight w:val="none"/>
              </w:rPr>
            </w:pPr>
            <w:r>
              <w:rPr>
                <w:rFonts w:hint="eastAsia" w:ascii="宋体" w:hAnsi="宋体" w:cs="宋体"/>
                <w:color w:val="auto"/>
                <w:highlight w:val="none"/>
              </w:rPr>
              <w:t xml:space="preserve">评分细则</w:t>
            </w:r>
            <w:r/>
          </w:p>
        </w:tc>
      </w:tr>
      <w:tr>
        <w:trPr>
          <w:trHeight w:val="1120"/>
        </w:trPr>
        <w:tc>
          <w:tcPr>
            <w:tcW w:w="1470" w:type="dxa"/>
            <w:vAlign w:val="center"/>
            <w:textDirection w:val="lrTb"/>
            <w:noWrap w:val="false"/>
          </w:tcPr>
          <w:p>
            <w:pPr>
              <w:ind w:left="210" w:hanging="210"/>
              <w:jc w:val="center"/>
              <w:keepLines w:val="0"/>
              <w:keepNext w:val="0"/>
              <w:pageBreakBefore w:val="0"/>
              <w:spacing w:line="408" w:lineRule="auto"/>
              <w:widowControl w:val="off"/>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投标报价</w:t>
            </w:r>
            <w:r/>
          </w:p>
          <w:p>
            <w:pPr>
              <w:ind w:left="210" w:hanging="210"/>
              <w:jc w:val="center"/>
              <w:keepLines w:val="0"/>
              <w:keepNext w:val="0"/>
              <w:pageBreakBefore w:val="0"/>
              <w:spacing w:line="408" w:lineRule="auto"/>
              <w:widowControl w:val="off"/>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分）</w:t>
            </w:r>
            <w:r/>
          </w:p>
        </w:tc>
        <w:tc>
          <w:tcPr>
            <w:tcW w:w="8565" w:type="dxa"/>
            <w:vAlign w:val="center"/>
            <w:textDirection w:val="lrTb"/>
            <w:noWrap w:val="false"/>
          </w:tcPr>
          <w:p>
            <w:pPr>
              <w:ind w:left="0"/>
              <w:jc w:val="left"/>
              <w:keepLines w:val="0"/>
              <w:keepNext w:val="0"/>
              <w:pageBreakBefore w:val="0"/>
              <w:spacing w:line="408" w:lineRule="auto"/>
              <w:widowControl w:val="off"/>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价格得分统一采用低价优先法计算，即满足招标文件要求且投标价格最低的有效投标报价为评标基准价，其价格分为满分（</w:t>
            </w:r>
            <w:r>
              <w:rPr>
                <w:rFonts w:hint="eastAsia" w:ascii="宋体" w:hAnsi="宋体" w:cs="宋体"/>
                <w:color w:val="000000" w:themeColor="text1"/>
                <w:highlight w:val="none"/>
                <w:lang w:val="en-US" w:eastAsia="zh-CN"/>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分）。其他投标人报价得分：投标报价得分=(评标基准价／投标报</w:t>
            </w:r>
            <w:r>
              <w:rPr>
                <w:rFonts w:hint="eastAsia" w:ascii="STSong" w:hAnsi="STSong" w:eastAsia="STSong" w:cs="STSong"/>
                <w:color w:val="000000" w:themeColor="text1"/>
                <w:highlight w:val="none"/>
                <w14:textFill>
                  <w14:solidFill>
                    <w14:schemeClr w14:val="tx1"/>
                  </w14:solidFill>
                </w14:textFill>
              </w:rPr>
              <w:t xml:space="preserve">价)×</w:t>
            </w:r>
            <w:r>
              <w:rPr>
                <w:rFonts w:hint="eastAsia" w:ascii="STSong" w:hAnsi="STSong" w:cs="STSong"/>
                <w:color w:val="000000" w:themeColor="text1"/>
                <w:highlight w:val="none"/>
                <w:lang w:val="en-US" w:eastAsia="zh-CN"/>
                <w14:textFill>
                  <w14:solidFill>
                    <w14:schemeClr w14:val="tx1"/>
                  </w14:solidFill>
                </w14:textFill>
              </w:rPr>
              <w:t xml:space="preserve">10</w:t>
            </w:r>
            <w:r>
              <w:rPr>
                <w:rFonts w:hint="eastAsia" w:ascii="STSong" w:hAnsi="STSong" w:eastAsia="STSong" w:cs="STSong"/>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四舍五入后保留小数点后两位）。</w:t>
            </w:r>
            <w:r/>
          </w:p>
        </w:tc>
      </w:tr>
      <w:tr>
        <w:trPr>
          <w:trHeight w:val="2759"/>
        </w:trPr>
        <w:tc>
          <w:tcPr>
            <w:tcW w:w="1470" w:type="dxa"/>
            <w:vAlign w:val="center"/>
            <w:vMerge w:val="restart"/>
            <w:textDirection w:val="lrTb"/>
            <w:noWrap w:val="false"/>
          </w:tcPr>
          <w:p>
            <w:pPr>
              <w:ind w:left="0"/>
              <w:jc w:val="center"/>
              <w:keepLines w:val="0"/>
              <w:keepNext w:val="0"/>
              <w:pageBreakBefore w:val="0"/>
              <w:spacing w:line="408" w:lineRule="auto"/>
              <w:widowControl w:val="off"/>
              <w:rPr>
                <w:rFonts w:hint="eastAsia" w:ascii="宋体" w:hAnsi="宋体" w:cs="宋体"/>
                <w:color w:val="auto"/>
                <w:highlight w:val="none"/>
              </w:rPr>
            </w:pPr>
            <w:r>
              <w:rPr>
                <w:rFonts w:hint="eastAsia" w:ascii="宋体" w:hAnsi="宋体" w:cs="宋体"/>
                <w:color w:val="auto"/>
                <w:highlight w:val="none"/>
              </w:rPr>
              <w:t xml:space="preserve">商务部分  （</w:t>
            </w:r>
            <w:r>
              <w:rPr>
                <w:rFonts w:hint="eastAsia" w:ascii="宋体" w:hAnsi="宋体" w:cs="宋体"/>
                <w:color w:val="auto"/>
                <w:highlight w:val="none"/>
                <w:lang w:val="en-US" w:eastAsia="zh-CN"/>
              </w:rPr>
              <w:t xml:space="preserve">40</w:t>
            </w:r>
            <w:r>
              <w:rPr>
                <w:rFonts w:hint="eastAsia" w:ascii="宋体" w:hAnsi="宋体" w:cs="宋体"/>
                <w:color w:val="auto"/>
                <w:highlight w:val="none"/>
              </w:rPr>
              <w:t xml:space="preserve">分）</w:t>
            </w:r>
            <w:r/>
          </w:p>
        </w:tc>
        <w:tc>
          <w:tcPr>
            <w:tcW w:w="8565" w:type="dxa"/>
            <w:vAlign w:val="center"/>
            <w:textDirection w:val="lrTb"/>
            <w:noWrap w:val="false"/>
          </w:tcPr>
          <w:p>
            <w:pPr>
              <w:ind w:left="0"/>
              <w:jc w:val="left"/>
              <w:keepLines w:val="0"/>
              <w:keepNext w:val="0"/>
              <w:pageBreakBefore w:val="0"/>
              <w:spacing w:line="408" w:lineRule="auto"/>
              <w:widowControl w:val="off"/>
              <w:rPr>
                <w:rFonts w:hint="eastAsia" w:ascii="宋体" w:hAnsi="宋体" w:cs="宋体" w:eastAsiaTheme="minorEastAsia"/>
                <w:color w:val="auto"/>
                <w:highlight w:val="none"/>
                <w:lang w:eastAsia="zh-CN"/>
              </w:rPr>
            </w:pPr>
            <w:r>
              <w:rPr>
                <w:rFonts w:hint="eastAsia" w:ascii="宋体" w:hAnsi="宋体" w:cs="宋体"/>
                <w:color w:val="auto"/>
                <w:highlight w:val="none"/>
              </w:rPr>
              <w:t xml:space="preserve">1.人员配备（1</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rPr>
                <w:rFonts w:hint="eastAsia" w:ascii="宋体" w:hAnsi="宋体" w:cs="宋体"/>
                <w:color w:val="auto"/>
                <w:highlight w:val="none"/>
              </w:rPr>
              <w:br/>
            </w:r>
            <w:r>
              <w:rPr>
                <w:rFonts w:hint="eastAsia" w:ascii="宋体" w:hAnsi="宋体" w:cs="宋体"/>
                <w:color w:val="auto"/>
                <w:highlight w:val="none"/>
              </w:rPr>
              <w:t xml:space="preserve">（1）拟派本项目的项目负责人1人，具有系统集成项目管理工程师证书</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通信专业技术人员职业水平（中级及以上）证书</w:t>
            </w:r>
            <w:r>
              <w:rPr>
                <w:rFonts w:hint="eastAsia" w:ascii="宋体" w:hAnsi="宋体" w:cs="宋体"/>
                <w:color w:val="auto"/>
                <w:highlight w:val="none"/>
              </w:rPr>
              <w:t xml:space="preserve">，每提供1个证书得2分，最高得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rPr>
                <w:rFonts w:hint="eastAsia" w:ascii="宋体" w:hAnsi="宋体" w:cs="宋体"/>
                <w:color w:val="auto"/>
                <w:highlight w:val="none"/>
              </w:rPr>
              <w:br/>
            </w:r>
            <w:r>
              <w:rPr>
                <w:rFonts w:hint="eastAsia" w:ascii="宋体" w:hAnsi="宋体" w:cs="宋体"/>
                <w:color w:val="auto"/>
                <w:highlight w:val="none"/>
              </w:rPr>
              <w:t xml:space="preserve">（2）项目组人员（除项目负责人）具有系统架构设计师、网络规划设计师、</w:t>
            </w:r>
            <w:r>
              <w:rPr>
                <w:rFonts w:hint="eastAsia" w:ascii="宋体" w:hAnsi="宋体" w:cs="宋体"/>
                <w:color w:val="auto"/>
                <w:highlight w:val="none"/>
                <w:lang w:val="en-US" w:eastAsia="zh-CN"/>
              </w:rPr>
              <w:t xml:space="preserve">软件设计师、高级工程师（互联网与信息系统）</w:t>
            </w:r>
            <w:r>
              <w:rPr>
                <w:rFonts w:hint="eastAsia" w:ascii="宋体" w:hAnsi="宋体" w:cs="宋体"/>
                <w:color w:val="auto"/>
                <w:highlight w:val="none"/>
              </w:rPr>
              <w:t xml:space="preserve">，每提供1个证书得2分，最高得</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rPr>
                <w:rFonts w:hint="eastAsia" w:ascii="宋体" w:hAnsi="宋体" w:cs="宋体"/>
                <w:color w:val="auto"/>
                <w:highlight w:val="none"/>
              </w:rPr>
              <w:br/>
            </w:r>
            <w:r>
              <w:rPr>
                <w:rFonts w:hint="eastAsia" w:ascii="宋体" w:hAnsi="宋体" w:cs="宋体"/>
                <w:color w:val="auto"/>
                <w:highlight w:val="none"/>
              </w:rPr>
              <w:t xml:space="preserve">注：投标时需提供证书</w:t>
            </w:r>
            <w:r>
              <w:rPr>
                <w:rFonts w:hint="eastAsia" w:ascii="宋体" w:hAnsi="宋体" w:cs="宋体"/>
                <w:color w:val="auto"/>
                <w:highlight w:val="none"/>
                <w:lang w:eastAsia="zh-CN"/>
              </w:rPr>
              <w:t xml:space="preserve">扫描件</w:t>
            </w:r>
            <w:r>
              <w:rPr>
                <w:rFonts w:hint="eastAsia" w:ascii="宋体" w:hAnsi="宋体" w:cs="宋体"/>
                <w:color w:val="auto"/>
                <w:highlight w:val="none"/>
              </w:rPr>
              <w:t xml:space="preserve">并加盖投标人公章及近3个月任意1个月的在投标单位缴纳社保证明材料，未按要求提供证明材料的人员不得分</w:t>
            </w:r>
            <w:r>
              <w:rPr>
                <w:rFonts w:hint="eastAsia" w:ascii="宋体" w:hAnsi="宋体" w:cs="宋体"/>
                <w:color w:val="auto"/>
                <w:highlight w:val="none"/>
                <w:lang w:eastAsia="zh-CN"/>
              </w:rPr>
              <w:t xml:space="preserve">。</w:t>
            </w:r>
            <w:r/>
          </w:p>
        </w:tc>
      </w:tr>
      <w:tr>
        <w:trPr>
          <w:trHeight w:val="90"/>
        </w:trPr>
        <w:tc>
          <w:tcPr>
            <w:tcW w:w="1470" w:type="dxa"/>
            <w:vAlign w:val="center"/>
            <w:vMerge w:val="continue"/>
            <w:textDirection w:val="lrTb"/>
            <w:noWrap w:val="false"/>
          </w:tcPr>
          <w:p>
            <w:pPr>
              <w:ind w:left="0" w:firstLine="420"/>
              <w:jc w:val="left"/>
              <w:keepLines w:val="0"/>
              <w:keepNext w:val="0"/>
              <w:pageBreakBefore w:val="0"/>
              <w:spacing w:line="408" w:lineRule="auto"/>
              <w:widowControl w:val="off"/>
              <w:rPr>
                <w:rFonts w:hint="eastAsia" w:ascii="宋体" w:hAnsi="宋体" w:cs="宋体"/>
                <w:color w:val="auto"/>
                <w:highlight w:val="none"/>
              </w:rPr>
            </w:pPr>
            <w:r>
              <w:rPr>
                <w:rFonts w:hint="eastAsia" w:ascii="宋体" w:hAnsi="宋体" w:cs="宋体"/>
                <w:color w:val="auto"/>
                <w:highlight w:val="none"/>
              </w:rPr>
            </w:r>
            <w:r/>
          </w:p>
        </w:tc>
        <w:tc>
          <w:tcPr>
            <w:tcW w:w="8565" w:type="dxa"/>
            <w:vAlign w:val="center"/>
            <w:textDirection w:val="lrTb"/>
            <w:noWrap w:val="false"/>
          </w:tcPr>
          <w:p>
            <w:pPr>
              <w:numPr>
                <w:ilvl w:val="0"/>
                <w:numId w:val="3"/>
              </w:numPr>
              <w:ind w:left="0"/>
              <w:jc w:val="left"/>
              <w:keepLines w:val="0"/>
              <w:keepNext w:val="0"/>
              <w:pageBreakBefore w:val="0"/>
              <w:spacing w:line="408" w:lineRule="auto"/>
              <w:widowControl w:val="off"/>
              <w:rPr>
                <w:rFonts w:hint="eastAsia" w:ascii="宋体" w:hAnsi="宋体" w:cs="宋体"/>
                <w:color w:val="auto"/>
                <w:highlight w:val="none"/>
              </w:rPr>
            </w:pPr>
            <w:r>
              <w:rPr>
                <w:rFonts w:hint="eastAsia" w:ascii="宋体" w:hAnsi="宋体" w:cs="宋体"/>
                <w:color w:val="auto"/>
                <w:highlight w:val="none"/>
              </w:rPr>
              <w:t xml:space="preserve">企业实力（</w:t>
            </w:r>
            <w:r>
              <w:rPr>
                <w:rFonts w:hint="eastAsia" w:ascii="宋体" w:hAnsi="宋体" w:cs="宋体"/>
                <w:color w:val="auto"/>
                <w:highlight w:val="none"/>
                <w:lang w:val="en-US" w:eastAsia="zh-CN"/>
              </w:rPr>
              <w:t xml:space="preserve">12</w:t>
            </w:r>
            <w:r>
              <w:rPr>
                <w:rFonts w:hint="eastAsia" w:ascii="宋体" w:hAnsi="宋体" w:cs="宋体"/>
                <w:color w:val="auto"/>
                <w:highlight w:val="none"/>
              </w:rPr>
              <w:t xml:space="preserve">分）</w:t>
            </w:r>
            <w:r>
              <w:rPr>
                <w:rFonts w:hint="eastAsia" w:ascii="宋体" w:hAnsi="宋体" w:cs="宋体"/>
                <w:color w:val="auto"/>
                <w:highlight w:val="none"/>
              </w:rPr>
              <w:br/>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）投标人具有</w:t>
            </w:r>
            <w:bookmarkStart w:id="247" w:name="OLE_LINK12"/>
            <w:r>
              <w:rPr>
                <w:rFonts w:hint="eastAsia" w:ascii="宋体" w:hAnsi="宋体" w:cs="宋体"/>
                <w:color w:val="auto"/>
                <w:highlight w:val="none"/>
              </w:rPr>
              <w:t xml:space="preserve">信息技术服务管理体系认证证书</w:t>
            </w:r>
            <w:bookmarkEnd w:id="247"/>
            <w:r>
              <w:rPr>
                <w:rFonts w:hint="eastAsia" w:ascii="宋体" w:hAnsi="宋体" w:cs="宋体"/>
                <w:color w:val="auto"/>
                <w:highlight w:val="none"/>
              </w:rPr>
              <w:t xml:space="preserve">，得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rPr>
                <w:rFonts w:hint="eastAsia" w:ascii="宋体" w:hAnsi="宋体" w:cs="宋体"/>
                <w:color w:val="auto"/>
                <w:highlight w:val="none"/>
              </w:rPr>
              <w:br/>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）投标人具有</w:t>
            </w:r>
            <w:bookmarkStart w:id="248" w:name="OLE_LINK1"/>
            <w:r>
              <w:rPr>
                <w:rFonts w:hint="eastAsia" w:ascii="宋体" w:hAnsi="宋体" w:cs="宋体"/>
                <w:color w:val="auto"/>
                <w:highlight w:val="none"/>
              </w:rPr>
              <w:t xml:space="preserve">隐私信息安全管理体系认证证书</w:t>
            </w:r>
            <w:bookmarkEnd w:id="248"/>
            <w:r>
              <w:rPr>
                <w:rFonts w:hint="eastAsia" w:ascii="宋体" w:hAnsi="宋体" w:cs="宋体"/>
                <w:color w:val="auto"/>
                <w:highlight w:val="none"/>
              </w:rPr>
              <w:t xml:space="preserve">，得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numPr>
                <w:ilvl w:val="0"/>
                <w:numId w:val="0"/>
              </w:numPr>
              <w:jc w:val="left"/>
              <w:keepLines w:val="0"/>
              <w:keepNext w:val="0"/>
              <w:pageBreakBefore w:val="0"/>
              <w:spacing w:line="408" w:lineRule="auto"/>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）投标人具有</w:t>
            </w:r>
            <w:r>
              <w:rPr>
                <w:rFonts w:hint="eastAsia" w:ascii="宋体" w:hAnsi="宋体" w:cs="宋体"/>
                <w:color w:val="auto"/>
                <w:highlight w:val="none"/>
                <w:lang w:val="en-US" w:eastAsia="zh-CN"/>
              </w:rPr>
              <w:t xml:space="preserve">环境管理</w:t>
            </w:r>
            <w:r>
              <w:rPr>
                <w:rFonts w:hint="eastAsia" w:ascii="宋体" w:hAnsi="宋体" w:cs="宋体"/>
                <w:color w:val="auto"/>
                <w:highlight w:val="none"/>
              </w:rPr>
              <w:t xml:space="preserve">体系认证证书，得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rPr>
                <w:rFonts w:hint="eastAsia" w:ascii="宋体" w:hAnsi="宋体" w:cs="宋体"/>
                <w:color w:val="auto"/>
                <w:highlight w:val="none"/>
              </w:rPr>
              <w:br/>
            </w:r>
            <w:r>
              <w:rPr>
                <w:rFonts w:hint="eastAsia" w:ascii="宋体" w:hAnsi="宋体" w:cs="宋体"/>
                <w:color w:val="auto"/>
                <w:highlight w:val="none"/>
              </w:rPr>
              <w:t xml:space="preserve">注：</w:t>
            </w:r>
            <w:r>
              <w:rPr>
                <w:rFonts w:hint="eastAsia" w:ascii="宋体" w:hAnsi="宋体" w:cs="宋体"/>
                <w:bCs/>
                <w:color w:val="auto"/>
                <w:szCs w:val="21"/>
                <w:highlight w:val="none"/>
              </w:rPr>
              <w:t xml:space="preserve">投标时</w:t>
            </w:r>
            <w:r>
              <w:rPr>
                <w:rFonts w:hint="eastAsia" w:ascii="宋体" w:hAnsi="宋体" w:cs="宋体"/>
                <w:color w:val="auto"/>
                <w:szCs w:val="21"/>
                <w:highlight w:val="none"/>
                <w:lang w:bidi="ar"/>
              </w:rPr>
              <w:t xml:space="preserve">以证书</w:t>
            </w:r>
            <w:r>
              <w:rPr>
                <w:rFonts w:hint="eastAsia" w:ascii="宋体" w:hAnsi="宋体" w:cs="宋体"/>
                <w:color w:val="auto"/>
                <w:highlight w:val="none"/>
                <w:lang w:eastAsia="zh-CN"/>
              </w:rPr>
              <w:t xml:space="preserve">扫描件</w:t>
            </w:r>
            <w:r>
              <w:rPr>
                <w:rFonts w:hint="eastAsia" w:ascii="宋体" w:hAnsi="宋体" w:cs="宋体"/>
                <w:color w:val="auto"/>
                <w:szCs w:val="21"/>
                <w:highlight w:val="none"/>
                <w:lang w:bidi="ar"/>
              </w:rPr>
              <w:t xml:space="preserve">加盖投标人公章为依据，否则不得分；证书须在有效期内并处于有效状态。</w:t>
            </w:r>
            <w:r/>
          </w:p>
        </w:tc>
      </w:tr>
      <w:tr>
        <w:trPr>
          <w:trHeight w:val="476"/>
        </w:trPr>
        <w:tc>
          <w:tcPr>
            <w:tcW w:w="1470" w:type="dxa"/>
            <w:vAlign w:val="center"/>
            <w:vMerge w:val="continue"/>
            <w:textDirection w:val="lrTb"/>
            <w:noWrap w:val="false"/>
          </w:tcPr>
          <w:p>
            <w:pPr>
              <w:ind w:left="0" w:firstLine="420"/>
              <w:jc w:val="left"/>
              <w:keepLines w:val="0"/>
              <w:keepNext w:val="0"/>
              <w:pageBreakBefore w:val="0"/>
              <w:spacing w:line="408" w:lineRule="auto"/>
              <w:widowControl w:val="off"/>
              <w:rPr>
                <w:rFonts w:hint="eastAsia" w:ascii="宋体" w:hAnsi="宋体" w:cs="宋体"/>
                <w:color w:val="auto"/>
                <w:highlight w:val="none"/>
              </w:rPr>
            </w:pPr>
            <w:r>
              <w:rPr>
                <w:rFonts w:hint="eastAsia" w:ascii="宋体" w:hAnsi="宋体" w:cs="宋体"/>
                <w:color w:val="auto"/>
                <w:highlight w:val="none"/>
              </w:rPr>
            </w:r>
            <w:r/>
          </w:p>
        </w:tc>
        <w:tc>
          <w:tcPr>
            <w:tcW w:w="8565" w:type="dxa"/>
            <w:vAlign w:val="center"/>
            <w:textDirection w:val="lrTb"/>
            <w:noWrap w:val="false"/>
          </w:tcPr>
          <w:p>
            <w:pPr>
              <w:ind w:left="0"/>
              <w:jc w:val="left"/>
              <w:keepLines w:val="0"/>
              <w:keepNext w:val="0"/>
              <w:pageBreakBefore w:val="0"/>
              <w:spacing w:line="408" w:lineRule="auto"/>
              <w:widowControl w:val="off"/>
              <w:rPr>
                <w:rFonts w:ascii="宋体" w:hAnsi="宋体" w:cs="宋体"/>
                <w:color w:val="auto"/>
                <w:highlight w:val="none"/>
              </w:rPr>
            </w:pPr>
            <w:r>
              <w:rPr>
                <w:rFonts w:hint="eastAsia" w:ascii="宋体" w:hAnsi="宋体" w:cs="宋体"/>
                <w:color w:val="auto"/>
                <w:highlight w:val="none"/>
              </w:rPr>
              <w:t xml:space="preserve">3.业绩（</w:t>
            </w:r>
            <w:r>
              <w:rPr>
                <w:rFonts w:hint="eastAsia" w:ascii="宋体" w:hAnsi="宋体" w:cs="宋体"/>
                <w:color w:val="auto"/>
                <w:highlight w:val="none"/>
                <w:lang w:val="en-US" w:eastAsia="zh-CN"/>
              </w:rPr>
              <w:t xml:space="preserve">16</w:t>
            </w:r>
            <w:r>
              <w:rPr>
                <w:rFonts w:hint="eastAsia" w:ascii="宋体" w:hAnsi="宋体" w:cs="宋体"/>
                <w:color w:val="auto"/>
                <w:highlight w:val="none"/>
              </w:rPr>
              <w:t xml:space="preserve">分）</w:t>
            </w:r>
            <w:r/>
          </w:p>
          <w:p>
            <w:pPr>
              <w:ind w:left="0" w:firstLine="420"/>
              <w:jc w:val="left"/>
              <w:keepLines w:val="0"/>
              <w:keepNext w:val="0"/>
              <w:pageBreakBefore w:val="0"/>
              <w:spacing w:line="408" w:lineRule="auto"/>
              <w:widowControl w:val="off"/>
              <w:rPr>
                <w:rFonts w:hint="eastAsia" w:ascii="宋体" w:hAnsi="宋体" w:cs="宋体"/>
                <w:color w:val="auto"/>
                <w:highlight w:val="none"/>
              </w:rPr>
            </w:pPr>
            <w:r>
              <w:rPr>
                <w:rFonts w:hint="eastAsia" w:ascii="宋体" w:hAnsi="宋体" w:cs="宋体"/>
                <w:color w:val="auto"/>
                <w:highlight w:val="none"/>
              </w:rPr>
              <w:t xml:space="preserve">投标人自2022年1月1日以来（以合同签订时间为准）承担过</w:t>
            </w:r>
            <w:r>
              <w:rPr>
                <w:rFonts w:hint="eastAsia" w:ascii="宋体" w:hAnsi="宋体" w:cs="宋体"/>
                <w:color w:val="auto"/>
                <w:highlight w:val="none"/>
                <w:lang w:eastAsia="zh-CN"/>
              </w:rPr>
              <w:t xml:space="preserve">类似无人机</w:t>
            </w:r>
            <w:r>
              <w:rPr>
                <w:rFonts w:hint="eastAsia" w:ascii="宋体" w:hAnsi="宋体" w:cs="宋体"/>
                <w:color w:val="auto"/>
                <w:highlight w:val="none"/>
                <w:lang w:val="en-US" w:eastAsia="zh-CN"/>
              </w:rPr>
              <w:t xml:space="preserve">服务</w:t>
            </w:r>
            <w:r>
              <w:rPr>
                <w:rFonts w:hint="eastAsia" w:ascii="宋体" w:hAnsi="宋体" w:cs="宋体"/>
                <w:color w:val="auto"/>
                <w:highlight w:val="none"/>
              </w:rPr>
              <w:t xml:space="preserve">相关业绩，每提供一个得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分，最高得</w:t>
            </w:r>
            <w:r>
              <w:rPr>
                <w:rFonts w:hint="eastAsia" w:ascii="宋体" w:hAnsi="宋体" w:cs="宋体"/>
                <w:color w:val="auto"/>
                <w:highlight w:val="none"/>
                <w:lang w:val="en-US" w:eastAsia="zh-CN"/>
              </w:rPr>
              <w:t xml:space="preserve">16</w:t>
            </w:r>
            <w:r>
              <w:rPr>
                <w:rFonts w:hint="eastAsia" w:ascii="宋体" w:hAnsi="宋体" w:cs="宋体"/>
                <w:color w:val="auto"/>
                <w:highlight w:val="none"/>
              </w:rPr>
              <w:t xml:space="preserve">分。</w:t>
            </w:r>
            <w:r/>
          </w:p>
          <w:p>
            <w:pPr>
              <w:ind w:left="0"/>
              <w:jc w:val="left"/>
              <w:keepLines w:val="0"/>
              <w:keepNext w:val="0"/>
              <w:pageBreakBefore w:val="0"/>
              <w:spacing w:line="408" w:lineRule="auto"/>
              <w:widowControl w:val="off"/>
              <w:rPr>
                <w:rFonts w:hint="eastAsia" w:ascii="宋体" w:hAnsi="宋体" w:cs="宋体"/>
                <w:color w:val="auto"/>
                <w:highlight w:val="none"/>
              </w:rPr>
            </w:pPr>
            <w:r>
              <w:rPr>
                <w:rFonts w:hint="eastAsia" w:ascii="宋体" w:hAnsi="宋体" w:cs="宋体"/>
                <w:color w:val="auto"/>
                <w:highlight w:val="none"/>
              </w:rPr>
              <w:t xml:space="preserve">注：提供合同</w:t>
            </w:r>
            <w:r>
              <w:rPr>
                <w:rFonts w:hint="eastAsia" w:ascii="宋体" w:hAnsi="宋体" w:cs="宋体"/>
                <w:color w:val="auto"/>
                <w:highlight w:val="none"/>
                <w:lang w:eastAsia="zh-CN"/>
              </w:rPr>
              <w:t xml:space="preserve">扫描件</w:t>
            </w:r>
            <w:r>
              <w:rPr>
                <w:rFonts w:hint="eastAsia" w:ascii="宋体" w:hAnsi="宋体" w:cs="宋体"/>
                <w:color w:val="auto"/>
                <w:highlight w:val="none"/>
              </w:rPr>
              <w:t xml:space="preserve">加盖投标人公章，合同须能反映项目名称、主要标的物、签订时间</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单位公章或专用合同章,如不能反映的，另须提供盖有原委托单位公章的证明，否则不予认可。</w:t>
            </w:r>
            <w:r/>
          </w:p>
        </w:tc>
      </w:tr>
      <w:tr>
        <w:trPr>
          <w:trHeight w:val="5816"/>
        </w:trPr>
        <w:tc>
          <w:tcPr>
            <w:tcW w:w="1470" w:type="dxa"/>
            <w:vAlign w:val="center"/>
            <w:textDirection w:val="lrTb"/>
            <w:noWrap w:val="false"/>
          </w:tcPr>
          <w:p>
            <w:pPr>
              <w:ind w:left="0"/>
              <w:jc w:val="center"/>
              <w:keepLines w:val="0"/>
              <w:keepNext w:val="0"/>
              <w:pageBreakBefore w:val="0"/>
              <w:spacing w:line="408" w:lineRule="auto"/>
              <w:widowControl w:val="off"/>
              <w:rPr>
                <w:rFonts w:hint="eastAsia" w:ascii="宋体" w:hAnsi="宋体" w:cs="宋体"/>
                <w:color w:val="auto"/>
                <w:highlight w:val="none"/>
              </w:rPr>
            </w:pPr>
            <w:r>
              <w:rPr>
                <w:rFonts w:hint="eastAsia" w:ascii="宋体" w:hAnsi="宋体" w:cs="宋体"/>
                <w:color w:val="auto"/>
                <w:highlight w:val="none"/>
              </w:rPr>
              <w:t xml:space="preserve">技术部分      （</w:t>
            </w:r>
            <w:r>
              <w:rPr>
                <w:rFonts w:hint="eastAsia" w:ascii="宋体" w:hAnsi="宋体" w:cs="宋体"/>
                <w:color w:val="auto"/>
                <w:highlight w:val="none"/>
                <w:lang w:val="en-US" w:eastAsia="zh-CN"/>
              </w:rPr>
              <w:t xml:space="preserve">32</w:t>
            </w:r>
            <w:r>
              <w:rPr>
                <w:rFonts w:hint="eastAsia" w:ascii="宋体" w:hAnsi="宋体" w:cs="宋体"/>
                <w:color w:val="auto"/>
                <w:highlight w:val="none"/>
              </w:rPr>
              <w:t xml:space="preserve">分）</w:t>
            </w:r>
            <w:r/>
          </w:p>
        </w:tc>
        <w:tc>
          <w:tcPr>
            <w:tcW w:w="8565" w:type="dxa"/>
            <w:vAlign w:val="center"/>
            <w:textDirection w:val="lrTb"/>
            <w:noWrap w:val="false"/>
          </w:tcPr>
          <w:p>
            <w:pPr>
              <w:jc w:val="left"/>
              <w:keepLines w:val="0"/>
              <w:keepNext w:val="0"/>
              <w:pageBreakBefore w:val="0"/>
              <w:spacing w:line="384"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1）总体维保方案（</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：投标人根据本项目第四章采购需求中“</w:t>
            </w:r>
            <w:r>
              <w:rPr>
                <w:rFonts w:hint="eastAsia" w:ascii="宋体" w:hAnsi="宋体" w:cs="宋体"/>
                <w:color w:val="auto"/>
                <w:highlight w:val="none"/>
              </w:rPr>
              <w:t xml:space="preserve">总体维保方案</w:t>
            </w:r>
            <w:r>
              <w:rPr>
                <w:rFonts w:hint="eastAsia" w:ascii="宋体" w:hAnsi="宋体" w:cs="宋体"/>
                <w:color w:val="auto"/>
                <w:highlight w:val="none"/>
                <w:lang w:eastAsia="zh-CN"/>
              </w:rPr>
              <w:t xml:space="preserve">”，提供科学合理的项目实施方案，方案至少包含：①项目情况分析②构建运维组织框架③</w:t>
            </w:r>
            <w:r>
              <w:rPr>
                <w:rFonts w:hint="eastAsia" w:ascii="宋体" w:hAnsi="宋体" w:cs="宋体"/>
                <w:color w:val="auto"/>
                <w:highlight w:val="none"/>
                <w:lang w:val="en-US" w:eastAsia="zh-CN"/>
              </w:rPr>
              <w:t xml:space="preserve">提供相关服务流程</w:t>
            </w:r>
            <w:r>
              <w:rPr>
                <w:rFonts w:hint="eastAsia" w:ascii="宋体" w:hAnsi="宋体" w:cs="宋体"/>
                <w:color w:val="auto"/>
                <w:highlight w:val="none"/>
                <w:lang w:eastAsia="zh-CN"/>
              </w:rPr>
              <w:t xml:space="preserve">等内容。方案优于要求的得</w:t>
            </w:r>
            <w:r>
              <w:rPr>
                <w:rFonts w:hint="eastAsia" w:ascii="宋体" w:hAnsi="宋体" w:cs="宋体"/>
                <w:color w:val="auto"/>
                <w:highlight w:val="none"/>
                <w:lang w:val="en-US" w:eastAsia="zh-CN"/>
              </w:rPr>
              <w:t xml:space="preserve">8</w:t>
            </w:r>
            <w:r>
              <w:rPr>
                <w:rFonts w:hint="eastAsia" w:ascii="宋体" w:hAnsi="宋体" w:cs="宋体"/>
                <w:color w:val="auto"/>
                <w:highlight w:val="none"/>
                <w:lang w:eastAsia="zh-CN"/>
              </w:rPr>
              <w:t xml:space="preserve">分，</w:t>
            </w:r>
            <w:r>
              <w:rPr>
                <w:rFonts w:hint="eastAsia" w:ascii="宋体" w:hAnsi="宋体" w:cs="宋体"/>
                <w:color w:val="auto"/>
                <w:highlight w:val="none"/>
                <w:lang w:val="en-US" w:eastAsia="zh-CN"/>
              </w:rPr>
              <w:t xml:space="preserve">满足</w:t>
            </w:r>
            <w:r>
              <w:rPr>
                <w:rFonts w:hint="eastAsia" w:ascii="宋体" w:hAnsi="宋体" w:cs="宋体"/>
                <w:color w:val="auto"/>
                <w:highlight w:val="none"/>
                <w:lang w:eastAsia="zh-CN"/>
              </w:rPr>
              <w:t xml:space="preserve">要求得</w:t>
            </w: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分，不符合要求或未提供的不得分。</w:t>
            </w:r>
            <w:r/>
          </w:p>
          <w:p>
            <w:pPr>
              <w:jc w:val="left"/>
              <w:keepLines w:val="0"/>
              <w:keepNext w:val="0"/>
              <w:pageBreakBefore w:val="0"/>
              <w:spacing w:line="384"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2）硬件与平台联动保障措施（</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投标人根据本项目第四章采购需求中“</w:t>
            </w:r>
            <w:r>
              <w:rPr>
                <w:rFonts w:hint="eastAsia" w:ascii="宋体" w:hAnsi="宋体" w:cs="宋体"/>
                <w:color w:val="auto"/>
                <w:highlight w:val="none"/>
              </w:rPr>
              <w:t xml:space="preserve">硬件与平台联动保障措施</w:t>
            </w:r>
            <w:r>
              <w:rPr>
                <w:rFonts w:hint="eastAsia" w:ascii="宋体" w:hAnsi="宋体" w:cs="宋体"/>
                <w:color w:val="auto"/>
                <w:highlight w:val="none"/>
                <w:lang w:eastAsia="zh-CN"/>
              </w:rPr>
              <w:t xml:space="preserve">”，提供科学合理的项目实施方案，方案至少包含：①明确硬件相关情况②提</w:t>
            </w:r>
            <w:r>
              <w:rPr>
                <w:rFonts w:hint="eastAsia" w:ascii="宋体" w:hAnsi="宋体" w:cs="宋体"/>
                <w:color w:val="auto"/>
                <w:highlight w:val="none"/>
              </w:rPr>
              <w:t xml:space="preserve">供关键备件储备清单及供应周期</w:t>
            </w:r>
            <w:r>
              <w:rPr>
                <w:rFonts w:hint="eastAsia" w:ascii="宋体" w:hAnsi="宋体" w:cs="宋体"/>
                <w:color w:val="auto"/>
                <w:highlight w:val="none"/>
                <w:lang w:eastAsia="zh-CN"/>
              </w:rPr>
              <w:t xml:space="preserve">③</w:t>
            </w:r>
            <w:r>
              <w:rPr>
                <w:rFonts w:hint="eastAsia" w:ascii="宋体" w:hAnsi="宋体" w:cs="宋体"/>
                <w:color w:val="auto"/>
                <w:highlight w:val="none"/>
              </w:rPr>
              <w:t xml:space="preserve">确保硬件与平台协议适配</w:t>
            </w:r>
            <w:r>
              <w:rPr>
                <w:rFonts w:hint="eastAsia" w:ascii="宋体" w:hAnsi="宋体" w:cs="宋体"/>
                <w:color w:val="auto"/>
                <w:highlight w:val="none"/>
                <w:lang w:eastAsia="zh-CN"/>
              </w:rPr>
              <w:t xml:space="preserve">等内容。方案优于要求的得</w:t>
            </w:r>
            <w:r>
              <w:rPr>
                <w:rFonts w:hint="eastAsia" w:ascii="宋体" w:hAnsi="宋体" w:cs="宋体"/>
                <w:color w:val="auto"/>
                <w:highlight w:val="none"/>
                <w:lang w:val="en-US" w:eastAsia="zh-CN"/>
              </w:rPr>
              <w:t xml:space="preserve">8</w:t>
            </w:r>
            <w:r>
              <w:rPr>
                <w:rFonts w:hint="eastAsia" w:ascii="宋体" w:hAnsi="宋体" w:cs="宋体"/>
                <w:color w:val="auto"/>
                <w:highlight w:val="none"/>
                <w:lang w:eastAsia="zh-CN"/>
              </w:rPr>
              <w:t xml:space="preserve">分，</w:t>
            </w:r>
            <w:r>
              <w:rPr>
                <w:rFonts w:hint="eastAsia" w:ascii="宋体" w:hAnsi="宋体" w:cs="宋体"/>
                <w:color w:val="auto"/>
                <w:highlight w:val="none"/>
                <w:lang w:val="en-US" w:eastAsia="zh-CN"/>
              </w:rPr>
              <w:t xml:space="preserve">满足</w:t>
            </w:r>
            <w:r>
              <w:rPr>
                <w:rFonts w:hint="eastAsia" w:ascii="宋体" w:hAnsi="宋体" w:cs="宋体"/>
                <w:color w:val="auto"/>
                <w:highlight w:val="none"/>
                <w:lang w:eastAsia="zh-CN"/>
              </w:rPr>
              <w:t xml:space="preserve">要求得</w:t>
            </w: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分</w:t>
            </w:r>
            <w:r>
              <w:rPr>
                <w:rFonts w:hint="eastAsia" w:ascii="宋体" w:hAnsi="宋体" w:cs="宋体"/>
                <w:color w:val="auto"/>
                <w:highlight w:val="none"/>
                <w:lang w:val="en-US" w:eastAsia="zh-CN"/>
              </w:rPr>
              <w:t xml:space="preserve">，</w:t>
            </w:r>
            <w:r>
              <w:rPr>
                <w:rFonts w:hint="eastAsia" w:ascii="宋体" w:hAnsi="宋体" w:cs="宋体"/>
                <w:color w:val="auto"/>
                <w:highlight w:val="none"/>
                <w:lang w:eastAsia="zh-CN"/>
              </w:rPr>
              <w:t xml:space="preserve">不符合要求或未提供的不得分。</w:t>
            </w:r>
            <w:r>
              <w:rPr>
                <w:rFonts w:hint="eastAsia" w:ascii="宋体" w:hAnsi="宋体" w:cs="宋体"/>
                <w:color w:val="auto"/>
                <w:highlight w:val="none"/>
              </w:rPr>
              <w:br/>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3）质量控制措施（</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投标人根据本项目第四章采购需求中“</w:t>
            </w:r>
            <w:r>
              <w:rPr>
                <w:rFonts w:hint="eastAsia" w:ascii="宋体" w:hAnsi="宋体" w:cs="宋体"/>
                <w:color w:val="auto"/>
                <w:highlight w:val="none"/>
              </w:rPr>
              <w:t xml:space="preserve">质量控制措施</w:t>
            </w:r>
            <w:r>
              <w:rPr>
                <w:rFonts w:hint="eastAsia" w:ascii="宋体" w:hAnsi="宋体" w:cs="宋体"/>
                <w:color w:val="auto"/>
                <w:highlight w:val="none"/>
                <w:lang w:eastAsia="zh-CN"/>
              </w:rPr>
              <w:t xml:space="preserve">”，提供科学合理的项目实施方案，方案至少包含：①</w:t>
            </w:r>
            <w:r>
              <w:rPr>
                <w:rFonts w:hint="eastAsia" w:ascii="宋体" w:hAnsi="宋体" w:cs="宋体"/>
                <w:color w:val="auto"/>
                <w:highlight w:val="none"/>
              </w:rPr>
              <w:t xml:space="preserve">明确服务质量KPI指标体系</w:t>
            </w:r>
            <w:r>
              <w:rPr>
                <w:rFonts w:hint="eastAsia" w:ascii="宋体" w:hAnsi="宋体" w:cs="宋体"/>
                <w:color w:val="auto"/>
                <w:highlight w:val="none"/>
                <w:lang w:eastAsia="zh-CN"/>
              </w:rPr>
              <w:t xml:space="preserve">②制定相关机制③</w:t>
            </w:r>
            <w:r>
              <w:rPr>
                <w:rFonts w:hint="eastAsia" w:ascii="宋体" w:hAnsi="宋体" w:cs="宋体"/>
                <w:color w:val="auto"/>
                <w:highlight w:val="none"/>
              </w:rPr>
              <w:t xml:space="preserve">提供网络安全事件处置办法</w:t>
            </w:r>
            <w:r>
              <w:rPr>
                <w:rFonts w:hint="eastAsia" w:ascii="宋体" w:hAnsi="宋体" w:cs="宋体"/>
                <w:color w:val="auto"/>
                <w:highlight w:val="none"/>
                <w:lang w:eastAsia="zh-CN"/>
              </w:rPr>
              <w:t xml:space="preserve">等内容。方案优于要求的得</w:t>
            </w:r>
            <w:r>
              <w:rPr>
                <w:rFonts w:hint="eastAsia" w:ascii="宋体" w:hAnsi="宋体" w:cs="宋体"/>
                <w:color w:val="auto"/>
                <w:highlight w:val="none"/>
                <w:lang w:val="en-US" w:eastAsia="zh-CN"/>
              </w:rPr>
              <w:t xml:space="preserve">8</w:t>
            </w:r>
            <w:r>
              <w:rPr>
                <w:rFonts w:hint="eastAsia" w:ascii="宋体" w:hAnsi="宋体" w:cs="宋体"/>
                <w:color w:val="auto"/>
                <w:highlight w:val="none"/>
                <w:lang w:eastAsia="zh-CN"/>
              </w:rPr>
              <w:t xml:space="preserve">分，</w:t>
            </w:r>
            <w:r>
              <w:rPr>
                <w:rFonts w:hint="eastAsia" w:ascii="宋体" w:hAnsi="宋体" w:cs="宋体"/>
                <w:color w:val="auto"/>
                <w:highlight w:val="none"/>
                <w:lang w:val="en-US" w:eastAsia="zh-CN"/>
              </w:rPr>
              <w:t xml:space="preserve">满足</w:t>
            </w:r>
            <w:r>
              <w:rPr>
                <w:rFonts w:hint="eastAsia" w:ascii="宋体" w:hAnsi="宋体" w:cs="宋体"/>
                <w:color w:val="auto"/>
                <w:highlight w:val="none"/>
                <w:lang w:eastAsia="zh-CN"/>
              </w:rPr>
              <w:t xml:space="preserve">要求得</w:t>
            </w: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分，不符合要求或未提供的不得分。</w:t>
            </w:r>
            <w:r/>
          </w:p>
          <w:p>
            <w:pPr>
              <w:jc w:val="left"/>
              <w:keepLines w:val="0"/>
              <w:keepNext w:val="0"/>
              <w:pageBreakBefore w:val="0"/>
              <w:spacing w:line="384"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4）故障应急与快速恢复措施（</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投标人根据本项目第四章采购需求中“</w:t>
            </w:r>
            <w:r>
              <w:rPr>
                <w:rFonts w:hint="eastAsia" w:ascii="宋体" w:hAnsi="宋体" w:cs="宋体"/>
                <w:color w:val="auto"/>
                <w:highlight w:val="none"/>
              </w:rPr>
              <w:t xml:space="preserve">故障应急与快速恢复措施 </w:t>
            </w:r>
            <w:r>
              <w:rPr>
                <w:rFonts w:hint="eastAsia" w:ascii="宋体" w:hAnsi="宋体" w:cs="宋体"/>
                <w:color w:val="auto"/>
                <w:highlight w:val="none"/>
                <w:lang w:eastAsia="zh-CN"/>
              </w:rPr>
              <w:t xml:space="preserve">”，提供科学合理的项目实施方案，方案至少包含：①提供相关应急预案②</w:t>
            </w:r>
            <w:r>
              <w:rPr>
                <w:rFonts w:hint="eastAsia" w:ascii="宋体" w:hAnsi="宋体" w:cs="宋体"/>
                <w:color w:val="auto"/>
                <w:highlight w:val="none"/>
              </w:rPr>
              <w:t xml:space="preserve">体现多场景应急能力</w:t>
            </w:r>
            <w:r>
              <w:rPr>
                <w:rFonts w:hint="eastAsia" w:ascii="宋体" w:hAnsi="宋体" w:cs="宋体"/>
                <w:color w:val="auto"/>
                <w:highlight w:val="none"/>
                <w:lang w:eastAsia="zh-CN"/>
              </w:rPr>
              <w:t xml:space="preserve">等内容。方案优于要求的得</w:t>
            </w:r>
            <w:r>
              <w:rPr>
                <w:rFonts w:hint="eastAsia" w:ascii="宋体" w:hAnsi="宋体" w:cs="宋体"/>
                <w:color w:val="auto"/>
                <w:highlight w:val="none"/>
                <w:lang w:val="en-US" w:eastAsia="zh-CN"/>
              </w:rPr>
              <w:t xml:space="preserve">8</w:t>
            </w:r>
            <w:r>
              <w:rPr>
                <w:rFonts w:hint="eastAsia" w:ascii="宋体" w:hAnsi="宋体" w:cs="宋体"/>
                <w:color w:val="auto"/>
                <w:highlight w:val="none"/>
                <w:lang w:eastAsia="zh-CN"/>
              </w:rPr>
              <w:t xml:space="preserve">分，</w:t>
            </w:r>
            <w:r>
              <w:rPr>
                <w:rFonts w:hint="eastAsia" w:ascii="宋体" w:hAnsi="宋体" w:cs="宋体"/>
                <w:color w:val="auto"/>
                <w:highlight w:val="none"/>
                <w:lang w:val="en-US" w:eastAsia="zh-CN"/>
              </w:rPr>
              <w:t xml:space="preserve">满足</w:t>
            </w:r>
            <w:r>
              <w:rPr>
                <w:rFonts w:hint="eastAsia" w:ascii="宋体" w:hAnsi="宋体" w:cs="宋体"/>
                <w:color w:val="auto"/>
                <w:highlight w:val="none"/>
                <w:lang w:eastAsia="zh-CN"/>
              </w:rPr>
              <w:t xml:space="preserve">要求得</w:t>
            </w: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分</w:t>
            </w:r>
            <w:r>
              <w:rPr>
                <w:rFonts w:hint="eastAsia" w:ascii="宋体" w:hAnsi="宋体" w:cs="宋体"/>
                <w:color w:val="auto"/>
                <w:highlight w:val="none"/>
                <w:lang w:val="en-US" w:eastAsia="zh-CN"/>
              </w:rPr>
              <w:t xml:space="preserve">，</w:t>
            </w:r>
            <w:r>
              <w:rPr>
                <w:rFonts w:hint="eastAsia" w:ascii="宋体" w:hAnsi="宋体" w:cs="宋体"/>
                <w:color w:val="auto"/>
                <w:highlight w:val="none"/>
                <w:lang w:eastAsia="zh-CN"/>
              </w:rPr>
              <w:t xml:space="preserve">不符合要求或未提供的不得分。</w:t>
            </w:r>
            <w:r/>
          </w:p>
        </w:tc>
      </w:tr>
      <w:tr>
        <w:trPr>
          <w:trHeight w:val="1120"/>
        </w:trPr>
        <w:tc>
          <w:tcPr>
            <w:tcW w:w="1470" w:type="dxa"/>
            <w:vAlign w:val="center"/>
            <w:textDirection w:val="lrTb"/>
            <w:noWrap w:val="false"/>
          </w:tcPr>
          <w:p>
            <w:pPr>
              <w:jc w:val="center"/>
              <w:keepLines w:val="0"/>
              <w:keepNext w:val="0"/>
              <w:pageBreakBefore w:val="0"/>
              <w:spacing w:line="408"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服务要求</w:t>
            </w:r>
            <w:r/>
          </w:p>
          <w:p>
            <w:pPr>
              <w:jc w:val="center"/>
              <w:keepLines w:val="0"/>
              <w:keepNext w:val="0"/>
              <w:pageBreakBefore w:val="0"/>
              <w:spacing w:line="408" w:lineRule="auto"/>
              <w:widowControl w:val="off"/>
              <w:rPr>
                <w:rFonts w:hint="default" w:ascii="Times New Roman" w:hAnsi="Times New Roman" w:cs="Times New Roman" w:eastAsiaTheme="minorEastAsia"/>
                <w:color w:val="auto"/>
                <w:highlight w:val="none"/>
                <w:lang w:val="en-US" w:eastAsia="zh-CN"/>
              </w:rPr>
            </w:pPr>
            <w:r>
              <w:rPr>
                <w:rFonts w:hint="eastAsia" w:ascii="Times New Roman" w:hAnsi="Times New Roman" w:cs="Times New Roman"/>
                <w:color w:val="auto"/>
                <w:highlight w:val="none"/>
                <w:lang w:val="en-US" w:eastAsia="zh-CN"/>
              </w:rPr>
              <w:t xml:space="preserve">（10</w:t>
            </w:r>
            <w:r>
              <w:rPr>
                <w:rFonts w:hint="default" w:ascii="Times New Roman" w:hAnsi="Times New Roman" w:cs="Times New Roman"/>
                <w:color w:val="auto"/>
                <w:highlight w:val="none"/>
                <w:lang w:val="en-US" w:eastAsia="zh-CN"/>
              </w:rPr>
              <w:t xml:space="preserve">分</w:t>
            </w:r>
            <w:r>
              <w:rPr>
                <w:rFonts w:hint="eastAsia" w:ascii="Times New Roman" w:hAnsi="Times New Roman" w:cs="Times New Roman"/>
                <w:color w:val="auto"/>
                <w:highlight w:val="none"/>
                <w:lang w:val="en-US" w:eastAsia="zh-CN"/>
              </w:rPr>
              <w:t xml:space="preserve">）</w:t>
            </w:r>
            <w:r/>
          </w:p>
        </w:tc>
        <w:tc>
          <w:tcPr>
            <w:tcW w:w="8565" w:type="dxa"/>
            <w:vAlign w:val="center"/>
            <w:textDirection w:val="lrTb"/>
            <w:noWrap w:val="false"/>
          </w:tcPr>
          <w:p>
            <w:pPr>
              <w:jc w:val="left"/>
              <w:keepLines w:val="0"/>
              <w:keepNext w:val="0"/>
              <w:pageBreakBefore w:val="0"/>
              <w:spacing w:line="384" w:lineRule="auto"/>
              <w:widowControl w:val="off"/>
              <w:rPr>
                <w:rFonts w:hint="default" w:ascii="宋体" w:hAnsi="宋体" w:cs="宋体"/>
                <w:color w:val="auto"/>
                <w:highlight w:val="none"/>
                <w:lang w:eastAsia="zh-CN"/>
              </w:rPr>
            </w:pPr>
            <w:r>
              <w:rPr>
                <w:rFonts w:hint="default" w:ascii="宋体" w:hAnsi="宋体" w:cs="宋体"/>
                <w:color w:val="auto"/>
                <w:highlight w:val="none"/>
                <w:lang w:eastAsia="zh-CN"/>
              </w:rPr>
              <w:t xml:space="preserve">1.</w:t>
            </w:r>
            <w:r>
              <w:rPr>
                <w:rFonts w:hint="default" w:ascii="宋体" w:hAnsi="宋体" w:cs="宋体"/>
                <w:color w:val="auto"/>
                <w:highlight w:val="none"/>
                <w:lang w:val="en-US" w:eastAsia="zh-CN"/>
              </w:rPr>
              <w:t xml:space="preserve">一</w:t>
            </w:r>
            <w:r>
              <w:rPr>
                <w:rFonts w:hint="default" w:ascii="宋体" w:hAnsi="宋体" w:cs="宋体"/>
                <w:color w:val="auto"/>
                <w:highlight w:val="none"/>
                <w:lang w:eastAsia="zh-CN"/>
              </w:rPr>
              <w:t xml:space="preserve">年服务周期内，投标人每半年安排专业团队对</w:t>
            </w:r>
            <w:r>
              <w:rPr>
                <w:rFonts w:hint="default" w:ascii="宋体" w:hAnsi="宋体" w:cs="宋体"/>
                <w:color w:val="auto"/>
                <w:highlight w:val="none"/>
                <w:lang w:val="en-US" w:eastAsia="zh-CN"/>
              </w:rPr>
              <w:t xml:space="preserve">运维</w:t>
            </w:r>
            <w:r>
              <w:rPr>
                <w:rFonts w:hint="default" w:ascii="宋体" w:hAnsi="宋体" w:cs="宋体"/>
                <w:color w:val="auto"/>
                <w:highlight w:val="none"/>
                <w:lang w:eastAsia="zh-CN"/>
              </w:rPr>
              <w:t xml:space="preserve">服务</w:t>
            </w:r>
            <w:r>
              <w:rPr>
                <w:rFonts w:hint="default" w:ascii="宋体" w:hAnsi="宋体" w:cs="宋体"/>
                <w:color w:val="auto"/>
                <w:highlight w:val="none"/>
                <w:lang w:val="en-US" w:eastAsia="zh-CN"/>
              </w:rPr>
              <w:t xml:space="preserve">事项评估</w:t>
            </w:r>
            <w:r>
              <w:rPr>
                <w:rFonts w:hint="default" w:ascii="宋体" w:hAnsi="宋体" w:cs="宋体"/>
                <w:color w:val="auto"/>
                <w:highlight w:val="none"/>
                <w:lang w:eastAsia="zh-CN"/>
              </w:rPr>
              <w:t xml:space="preserve">，完成后提供巡检报告，分析</w:t>
            </w:r>
            <w:r>
              <w:rPr>
                <w:rFonts w:hint="default" w:ascii="宋体" w:hAnsi="宋体" w:cs="宋体"/>
                <w:color w:val="auto"/>
                <w:highlight w:val="none"/>
                <w:lang w:val="en-US" w:eastAsia="zh-CN"/>
              </w:rPr>
              <w:t xml:space="preserve">现有系统</w:t>
            </w:r>
            <w:r>
              <w:rPr>
                <w:rFonts w:hint="default" w:ascii="宋体" w:hAnsi="宋体" w:cs="宋体"/>
                <w:color w:val="auto"/>
                <w:highlight w:val="none"/>
                <w:lang w:eastAsia="zh-CN"/>
              </w:rPr>
              <w:t xml:space="preserve">运行情况及存在的风险，并协助采购人进行相关整改及优化工作，巡检报告须真实详细，通过采购人考核认可。提供的得</w:t>
            </w:r>
            <w:r>
              <w:rPr>
                <w:rFonts w:hint="eastAsia" w:ascii="宋体" w:hAnsi="宋体" w:cs="宋体"/>
                <w:color w:val="auto"/>
                <w:highlight w:val="none"/>
                <w:lang w:val="en-US" w:eastAsia="zh-CN"/>
              </w:rPr>
              <w:t xml:space="preserve">5</w:t>
            </w:r>
            <w:r>
              <w:rPr>
                <w:rFonts w:hint="default" w:ascii="宋体" w:hAnsi="宋体" w:cs="宋体"/>
                <w:color w:val="auto"/>
                <w:highlight w:val="none"/>
                <w:lang w:eastAsia="zh-CN"/>
              </w:rPr>
              <w:t xml:space="preserve">分，不提供不得分。(投标时提供巡检服务承诺函并加盖投标人公章，格式自拟)</w:t>
            </w:r>
            <w:r/>
          </w:p>
          <w:p>
            <w:pPr>
              <w:jc w:val="left"/>
              <w:keepLines w:val="0"/>
              <w:keepNext w:val="0"/>
              <w:pageBreakBefore w:val="0"/>
              <w:spacing w:line="384" w:lineRule="auto"/>
              <w:widowControl w:val="off"/>
              <w:rPr>
                <w:rFonts w:hint="default" w:ascii="Times New Roman" w:hAnsi="Times New Roman" w:cs="Times New Roman"/>
                <w:color w:val="auto"/>
                <w:highlight w:val="none"/>
              </w:rPr>
            </w:pPr>
            <w:r>
              <w:rPr>
                <w:rFonts w:hint="default" w:ascii="宋体" w:hAnsi="宋体" w:cs="宋体"/>
                <w:color w:val="auto"/>
                <w:highlight w:val="none"/>
                <w:lang w:eastAsia="zh-CN"/>
              </w:rPr>
              <w:t xml:space="preserve">2.维保单位需提供常用易损件库存与备件保障能力，确保设备故障在规定时限内修复，可提供备机备件支持平台连续执勤能力。重大勤务期间，需根据市局安排提前准备保障资源。提供的得</w:t>
            </w:r>
            <w:r>
              <w:rPr>
                <w:rFonts w:hint="eastAsia" w:ascii="宋体" w:hAnsi="宋体" w:cs="宋体"/>
                <w:color w:val="auto"/>
                <w:highlight w:val="none"/>
                <w:lang w:val="en-US" w:eastAsia="zh-CN"/>
              </w:rPr>
              <w:t xml:space="preserve">5</w:t>
            </w:r>
            <w:r>
              <w:rPr>
                <w:rFonts w:hint="default" w:ascii="宋体" w:hAnsi="宋体" w:cs="宋体"/>
                <w:color w:val="auto"/>
                <w:highlight w:val="none"/>
                <w:lang w:eastAsia="zh-CN"/>
              </w:rPr>
              <w:t xml:space="preserve">分，不提供不得分。(投标时提供巡检服务承诺函并加盖投标人公章，格式自拟)</w:t>
            </w:r>
            <w:r/>
          </w:p>
        </w:tc>
      </w:tr>
      <w:tr>
        <w:trPr>
          <w:trHeight w:val="1120"/>
        </w:trPr>
        <w:tc>
          <w:tcPr>
            <w:shd w:val="clear" w:color="auto" w:fill="auto"/>
            <w:tcW w:w="1470" w:type="dxa"/>
            <w:vAlign w:val="center"/>
            <w:textDirection w:val="lrTb"/>
            <w:noWrap w:val="false"/>
          </w:tcPr>
          <w:p>
            <w:pPr>
              <w:jc w:val="center"/>
              <w:keepLines w:val="0"/>
              <w:keepNext w:val="0"/>
              <w:pageBreakBefore w:val="0"/>
              <w:spacing w:line="408"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售后服务</w:t>
            </w:r>
            <w:r/>
          </w:p>
          <w:p>
            <w:pPr>
              <w:jc w:val="center"/>
              <w:keepLines w:val="0"/>
              <w:keepNext w:val="0"/>
              <w:pageBreakBefore w:val="0"/>
              <w:spacing w:line="408" w:lineRule="auto"/>
              <w:widowControl w:val="off"/>
              <w:rPr>
                <w:rFonts w:hint="default" w:ascii="Times New Roman" w:hAnsi="Times New Roman" w:cs="Times New Roman" w:eastAsiaTheme="minorEastAsia"/>
                <w:color w:val="auto"/>
                <w:sz w:val="21"/>
                <w:szCs w:val="24"/>
                <w:highlight w:val="none"/>
                <w:lang w:val="en-US" w:eastAsia="zh-CN" w:bidi="ar-SA"/>
              </w:rPr>
            </w:pPr>
            <w:r>
              <w:rPr>
                <w:rFonts w:hint="eastAsia" w:ascii="Times New Roman" w:hAnsi="Times New Roman" w:cs="Times New Roman"/>
                <w:color w:val="auto"/>
                <w:highlight w:val="none"/>
                <w:lang w:val="en-US" w:eastAsia="zh-CN"/>
              </w:rPr>
              <w:t xml:space="preserve">（8</w:t>
            </w:r>
            <w:r>
              <w:rPr>
                <w:rFonts w:hint="default" w:ascii="Times New Roman" w:hAnsi="Times New Roman" w:cs="Times New Roman"/>
                <w:color w:val="auto"/>
                <w:highlight w:val="none"/>
                <w:lang w:val="en-US" w:eastAsia="zh-CN"/>
              </w:rPr>
              <w:t xml:space="preserve">分</w:t>
            </w:r>
            <w:r>
              <w:rPr>
                <w:rFonts w:hint="eastAsia" w:ascii="Times New Roman" w:hAnsi="Times New Roman" w:cs="Times New Roman"/>
                <w:color w:val="auto"/>
                <w:highlight w:val="none"/>
                <w:lang w:val="en-US" w:eastAsia="zh-CN"/>
              </w:rPr>
              <w:t xml:space="preserve">）</w:t>
            </w:r>
            <w:r/>
          </w:p>
        </w:tc>
        <w:tc>
          <w:tcPr>
            <w:shd w:val="clear" w:color="auto" w:fill="auto"/>
            <w:tcW w:w="8565" w:type="dxa"/>
            <w:vAlign w:val="center"/>
            <w:textDirection w:val="lrTb"/>
            <w:noWrap w:val="false"/>
          </w:tcPr>
          <w:p>
            <w:pPr>
              <w:jc w:val="left"/>
              <w:keepLines w:val="0"/>
              <w:keepNext w:val="0"/>
              <w:pageBreakBefore w:val="0"/>
              <w:spacing w:line="384" w:lineRule="auto"/>
              <w:widowControl w:val="off"/>
              <w:rPr>
                <w:rFonts w:hint="default" w:ascii="Times New Roman" w:hAnsi="Times New Roman" w:cs="Times New Roman" w:eastAsiaTheme="minorEastAsia"/>
                <w:color w:val="auto"/>
                <w:highlight w:val="none"/>
                <w:lang w:eastAsia="zh-CN"/>
              </w:rPr>
            </w:pPr>
            <w:r>
              <w:rPr>
                <w:rFonts w:hint="default" w:ascii="Times New Roman" w:hAnsi="Times New Roman" w:cs="Times New Roman"/>
                <w:color w:val="auto"/>
                <w:highlight w:val="none"/>
              </w:rPr>
              <w:t xml:space="preserve">投标人</w:t>
            </w:r>
            <w:r>
              <w:rPr>
                <w:rFonts w:hint="default" w:ascii="Times New Roman" w:hAnsi="Times New Roman" w:cs="Times New Roman"/>
                <w:color w:val="auto"/>
                <w:highlight w:val="none"/>
                <w:lang w:val="en-US" w:eastAsia="zh-CN"/>
              </w:rPr>
              <w:t xml:space="preserve">提供</w:t>
            </w:r>
            <w:r>
              <w:rPr>
                <w:rFonts w:hint="default" w:ascii="Times New Roman" w:hAnsi="Times New Roman" w:cs="Times New Roman"/>
                <w:color w:val="auto"/>
                <w:highlight w:val="none"/>
              </w:rPr>
              <w:t xml:space="preserve">售后服务保障方案，提供完整的操作规范以及服务保障措施，包括故障处理、备份恢复、技术支持、应急响应等内容</w:t>
            </w:r>
            <w:r>
              <w:rPr>
                <w:rFonts w:hint="default" w:ascii="Times New Roman" w:hAnsi="Times New Roman" w:cs="Times New Roman"/>
                <w:color w:val="auto"/>
                <w:highlight w:val="none"/>
                <w:lang w:eastAsia="zh-CN"/>
              </w:rPr>
              <w:t xml:space="preserve">。</w:t>
            </w:r>
            <w:r/>
          </w:p>
          <w:p>
            <w:pPr>
              <w:jc w:val="left"/>
              <w:keepLines w:val="0"/>
              <w:keepNext w:val="0"/>
              <w:pageBreakBefore w:val="0"/>
              <w:spacing w:line="384" w:lineRule="auto"/>
              <w:widowControl w:val="off"/>
              <w:rPr>
                <w:rFonts w:hint="default" w:ascii="Times New Roman" w:hAnsi="Times New Roman" w:cs="Times New Roman" w:eastAsiaTheme="minorEastAsia"/>
                <w:color w:val="auto"/>
                <w:sz w:val="21"/>
                <w:szCs w:val="24"/>
                <w:highlight w:val="none"/>
                <w:lang w:val="en-US" w:eastAsia="zh-CN" w:bidi="ar-SA"/>
              </w:rPr>
            </w:pPr>
            <w:r>
              <w:rPr>
                <w:rFonts w:hint="eastAsia" w:ascii="宋体" w:hAnsi="宋体" w:cs="宋体"/>
                <w:color w:val="auto"/>
                <w:highlight w:val="none"/>
                <w:lang w:eastAsia="zh-CN"/>
              </w:rPr>
              <w:t xml:space="preserve">方案优于要求的得</w:t>
            </w:r>
            <w:r>
              <w:rPr>
                <w:rFonts w:hint="eastAsia" w:ascii="宋体" w:hAnsi="宋体" w:cs="宋体"/>
                <w:color w:val="auto"/>
                <w:highlight w:val="none"/>
                <w:lang w:val="en-US" w:eastAsia="zh-CN"/>
              </w:rPr>
              <w:t xml:space="preserve">8</w:t>
            </w:r>
            <w:r>
              <w:rPr>
                <w:rFonts w:hint="eastAsia" w:ascii="宋体" w:hAnsi="宋体" w:cs="宋体"/>
                <w:color w:val="auto"/>
                <w:highlight w:val="none"/>
                <w:lang w:eastAsia="zh-CN"/>
              </w:rPr>
              <w:t xml:space="preserve">分，</w:t>
            </w:r>
            <w:r>
              <w:rPr>
                <w:rFonts w:hint="eastAsia" w:ascii="宋体" w:hAnsi="宋体" w:cs="宋体"/>
                <w:color w:val="auto"/>
                <w:highlight w:val="none"/>
                <w:lang w:val="en-US" w:eastAsia="zh-CN"/>
              </w:rPr>
              <w:t xml:space="preserve">满足</w:t>
            </w:r>
            <w:r>
              <w:rPr>
                <w:rFonts w:hint="eastAsia" w:ascii="宋体" w:hAnsi="宋体" w:cs="宋体"/>
                <w:color w:val="auto"/>
                <w:highlight w:val="none"/>
                <w:lang w:eastAsia="zh-CN"/>
              </w:rPr>
              <w:t xml:space="preserve">要求得</w:t>
            </w: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分</w:t>
            </w:r>
            <w:r>
              <w:rPr>
                <w:rFonts w:hint="eastAsia" w:ascii="宋体" w:hAnsi="宋体" w:cs="宋体"/>
                <w:color w:val="auto"/>
                <w:highlight w:val="none"/>
                <w:lang w:val="en-US" w:eastAsia="zh-CN"/>
              </w:rPr>
              <w:t xml:space="preserve">，</w:t>
            </w:r>
            <w:r>
              <w:rPr>
                <w:rFonts w:hint="eastAsia" w:ascii="宋体" w:hAnsi="宋体" w:cs="宋体"/>
                <w:color w:val="auto"/>
                <w:highlight w:val="none"/>
                <w:lang w:eastAsia="zh-CN"/>
              </w:rPr>
              <w:t xml:space="preserve">不符合要求或未提供的不得分。</w:t>
            </w:r>
            <w:r/>
          </w:p>
        </w:tc>
      </w:tr>
    </w:tbl>
    <w:p>
      <w:pPr>
        <w:rPr>
          <w:rFonts w:ascii="黑体" w:hAnsi="宋体" w:eastAsia="黑体" w:cs="黑体"/>
          <w:color w:val="auto"/>
          <w:sz w:val="44"/>
          <w:szCs w:val="44"/>
        </w:rPr>
      </w:pPr>
      <w:r>
        <w:rPr>
          <w:rFonts w:hint="eastAsia" w:ascii="黑体" w:hAnsi="宋体" w:eastAsia="黑体" w:cs="黑体"/>
          <w:color w:val="auto"/>
          <w:sz w:val="44"/>
          <w:szCs w:val="44"/>
        </w:rPr>
        <w:br w:type="page" w:clear="all"/>
      </w:r>
      <w:r/>
    </w:p>
    <w:p>
      <w:pPr>
        <w:pStyle w:val="1300"/>
        <w:jc w:val="center"/>
        <w:keepNext/>
        <w:spacing w:beforeAutospacing="0" w:afterAutospacing="0"/>
        <w:rPr>
          <w:rFonts w:hint="eastAsia" w:ascii="黑体" w:hAnsi="宋体" w:eastAsia="黑体" w:cs="黑体"/>
          <w:color w:val="auto"/>
          <w:sz w:val="44"/>
          <w:szCs w:val="44"/>
        </w:rPr>
        <w:outlineLvl w:val="9"/>
      </w:pPr>
      <w:r>
        <w:rPr>
          <w:rFonts w:hint="eastAsia" w:ascii="黑体" w:hAnsi="宋体" w:eastAsia="黑体" w:cs="黑体"/>
          <w:color w:val="auto"/>
          <w:sz w:val="44"/>
          <w:szCs w:val="44"/>
        </w:rPr>
      </w:r>
      <w:r/>
    </w:p>
    <w:p>
      <w:pPr>
        <w:pStyle w:val="1300"/>
        <w:jc w:val="center"/>
        <w:keepNext/>
        <w:spacing w:beforeAutospacing="0" w:afterAutospacing="0"/>
        <w:rPr>
          <w:color w:val="auto"/>
        </w:rPr>
        <w:outlineLvl w:val="0"/>
      </w:pPr>
      <w:r>
        <w:rPr>
          <w:rFonts w:hint="eastAsia" w:ascii="黑体" w:hAnsi="宋体" w:eastAsia="黑体" w:cs="黑体"/>
          <w:color w:val="auto"/>
          <w:sz w:val="44"/>
          <w:szCs w:val="44"/>
        </w:rPr>
        <w:t xml:space="preserve">第六章  投标文件格式 </w:t>
      </w:r>
      <w:r/>
    </w:p>
    <w:p>
      <w:pPr>
        <w:pStyle w:val="1300"/>
        <w:jc w:val="center"/>
        <w:spacing w:beforeAutospacing="0" w:afterAutospacing="0"/>
        <w:rPr>
          <w:color w:val="auto"/>
        </w:rPr>
      </w:pPr>
      <w:r/>
      <w:bookmarkStart w:id="249" w:name="_Toc26554094"/>
      <w:r/>
      <w:bookmarkEnd w:id="249"/>
      <w:r/>
      <w:bookmarkStart w:id="250" w:name="_Hlt26955039"/>
      <w:r/>
      <w:bookmarkEnd w:id="250"/>
      <w:r/>
      <w:bookmarkStart w:id="251" w:name="_Hlt26671244"/>
      <w:r/>
      <w:bookmarkEnd w:id="251"/>
      <w:r/>
      <w:bookmarkStart w:id="252" w:name="_Toc49090576"/>
      <w:r/>
      <w:bookmarkStart w:id="253" w:name="_Toc120614282"/>
      <w:r>
        <w:rPr>
          <w:rFonts w:hint="eastAsia" w:ascii="宋体" w:hAnsi="宋体" w:eastAsia="宋体" w:cs="宋体"/>
          <w:b/>
          <w:color w:val="auto"/>
          <w:sz w:val="72"/>
          <w:szCs w:val="72"/>
        </w:rPr>
        <w:t xml:space="preserve">投  标  文  件</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t xml:space="preserve"> </w:t>
      </w:r>
      <w:r/>
    </w:p>
    <w:p>
      <w:pPr>
        <w:pStyle w:val="1300"/>
        <w:ind w:firstLine="1084"/>
        <w:jc w:val="both"/>
        <w:spacing w:beforeAutospacing="0" w:afterAutospacing="0"/>
        <w:rPr>
          <w:color w:val="auto"/>
        </w:rPr>
      </w:pPr>
      <w:r>
        <w:rPr>
          <w:rFonts w:hint="eastAsia" w:ascii="宋体" w:hAnsi="宋体" w:eastAsia="宋体" w:cs="宋体"/>
          <w:b/>
          <w:color w:val="auto"/>
          <w:sz w:val="36"/>
          <w:szCs w:val="36"/>
        </w:rPr>
        <w:t xml:space="preserve">项目 名 称：</w:t>
      </w:r>
      <w:r>
        <w:rPr>
          <w:rFonts w:hint="eastAsia" w:ascii="宋体" w:hAnsi="宋体" w:eastAsia="宋体" w:cs="宋体"/>
          <w:b/>
          <w:color w:val="auto"/>
          <w:sz w:val="36"/>
          <w:szCs w:val="36"/>
          <w:u w:val="single"/>
        </w:rPr>
        <w:t xml:space="preserve">               </w:t>
      </w:r>
      <w:r/>
    </w:p>
    <w:p>
      <w:pPr>
        <w:pStyle w:val="1300"/>
        <w:ind w:firstLine="1084"/>
        <w:jc w:val="both"/>
        <w:spacing w:beforeAutospacing="0" w:afterAutospacing="0"/>
        <w:rPr>
          <w:color w:val="auto"/>
        </w:rPr>
      </w:pPr>
      <w:r>
        <w:rPr>
          <w:rFonts w:hint="eastAsia" w:ascii="宋体" w:hAnsi="宋体" w:eastAsia="宋体" w:cs="宋体"/>
          <w:b/>
          <w:color w:val="auto"/>
          <w:sz w:val="36"/>
          <w:szCs w:val="36"/>
        </w:rPr>
        <w:t xml:space="preserve">项目 编 号：</w:t>
      </w:r>
      <w:r>
        <w:rPr>
          <w:rFonts w:hint="eastAsia" w:ascii="宋体" w:hAnsi="宋体" w:eastAsia="宋体" w:cs="宋体"/>
          <w:b/>
          <w:color w:val="auto"/>
          <w:sz w:val="36"/>
          <w:szCs w:val="36"/>
          <w:u w:val="single"/>
        </w:rPr>
        <w:t xml:space="preserve">               </w:t>
      </w:r>
      <w:r/>
    </w:p>
    <w:p>
      <w:pPr>
        <w:pStyle w:val="1300"/>
        <w:jc w:val="both"/>
        <w:spacing w:beforeAutospacing="0" w:afterAutospacing="0"/>
        <w:rPr>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（加盖CA电子公章）        </w:t>
      </w:r>
      <w:r/>
    </w:p>
    <w:p>
      <w:pPr>
        <w:pStyle w:val="1300"/>
        <w:jc w:val="both"/>
        <w:spacing w:beforeAutospacing="0" w:afterAutospacing="0"/>
        <w:rPr>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1300"/>
        <w:jc w:val="center"/>
        <w:spacing w:beforeAutospacing="0" w:afterAutospacing="0" w:line="0" w:lineRule="atLeast"/>
        <w:rPr>
          <w:color w:val="auto"/>
        </w:rPr>
      </w:pPr>
      <w:r>
        <w:rPr>
          <w:color w:val="auto"/>
        </w:rPr>
        <w:t xml:space="preserve"> </w:t>
      </w:r>
      <w:r/>
    </w:p>
    <w:p>
      <w:pPr>
        <w:pStyle w:val="1300"/>
        <w:jc w:val="both"/>
        <w:spacing w:beforeAutospacing="0" w:afterAutospacing="0" w:line="0" w:lineRule="atLeast"/>
        <w:rPr>
          <w:color w:val="auto"/>
        </w:rPr>
      </w:pPr>
      <w:r>
        <w:rPr>
          <w:color w:val="auto"/>
        </w:rPr>
        <w:t xml:space="preserve"> </w:t>
      </w:r>
      <w:r/>
    </w:p>
    <w:p>
      <w:pPr>
        <w:pStyle w:val="1300"/>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00"/>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00"/>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00"/>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00"/>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00"/>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00"/>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00"/>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00"/>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00"/>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00"/>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00"/>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00"/>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00"/>
        <w:jc w:val="both"/>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1300"/>
        <w:jc w:val="center"/>
        <w:spacing w:beforeAutospacing="0" w:afterAutospacing="0" w:line="0" w:lineRule="atLeast"/>
        <w:rPr>
          <w:color w:val="auto"/>
        </w:rPr>
      </w:pPr>
      <w:r>
        <w:rPr>
          <w:rFonts w:hint="eastAsia" w:ascii="宋体" w:hAnsi="宋体" w:eastAsia="宋体" w:cs="宋体"/>
          <w:b/>
          <w:color w:val="auto"/>
          <w:sz w:val="32"/>
          <w:szCs w:val="32"/>
        </w:rPr>
        <w:t xml:space="preserve">投标文件目录</w:t>
      </w:r>
      <w:r/>
    </w:p>
    <w:p>
      <w:pPr>
        <w:pStyle w:val="1300"/>
        <w:jc w:val="center"/>
        <w:spacing w:beforeAutospacing="0" w:afterAutospacing="0" w:line="0" w:lineRule="atLeast"/>
        <w:rPr>
          <w:color w:val="auto"/>
        </w:rPr>
      </w:pPr>
      <w:r>
        <w:rPr>
          <w:color w:val="auto"/>
        </w:rPr>
        <w:t xml:space="preserve"> </w:t>
      </w:r>
      <w:r/>
    </w:p>
    <w:p>
      <w:pPr>
        <w:pStyle w:val="1300"/>
        <w:ind w:left="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一、法人或者其他组织的营业执照等证明文件，自然人的身份证明</w:t>
      </w:r>
      <w:r/>
    </w:p>
    <w:p>
      <w:pPr>
        <w:pStyle w:val="1300"/>
        <w:ind w:left="480"/>
        <w:jc w:val="both"/>
        <w:spacing w:beforeAutospacing="0" w:afterAutospacing="0" w:line="360" w:lineRule="auto"/>
        <w:rPr>
          <w:rFonts w:hint="eastAsia" w:ascii="宋体" w:hAnsi="宋体" w:eastAsia="宋体" w:cs="宋体"/>
          <w:iCs/>
          <w:color w:val="auto"/>
          <w:sz w:val="21"/>
          <w:szCs w:val="21"/>
        </w:rPr>
      </w:pPr>
      <w:r>
        <w:rPr>
          <w:rFonts w:hint="eastAsia" w:ascii="宋体" w:hAnsi="宋体" w:eastAsia="宋体" w:cs="宋体"/>
          <w:iCs/>
          <w:color w:val="auto"/>
          <w:sz w:val="21"/>
          <w:szCs w:val="21"/>
        </w:rPr>
        <w:t xml:space="preserve">二、上一年度的财务状况报</w:t>
      </w:r>
      <w:r>
        <w:rPr>
          <w:rFonts w:hint="eastAsia" w:ascii="宋体" w:hAnsi="宋体" w:eastAsia="宋体" w:cs="宋体"/>
          <w:iCs/>
          <w:color w:val="auto"/>
          <w:sz w:val="21"/>
          <w:szCs w:val="21"/>
          <w:lang w:eastAsia="zh-CN"/>
        </w:rPr>
        <w:t xml:space="preserve">表</w:t>
      </w:r>
      <w:r>
        <w:rPr>
          <w:rFonts w:hint="eastAsia" w:ascii="宋体" w:hAnsi="宋体" w:eastAsia="宋体" w:cs="宋体"/>
          <w:iCs/>
          <w:color w:val="auto"/>
          <w:sz w:val="21"/>
          <w:szCs w:val="21"/>
        </w:rPr>
        <w:t xml:space="preserve">（财务状况报表至少包含利润表、资产负债表、现金流量表，成立不满一年无需提供）</w:t>
      </w:r>
      <w:r/>
    </w:p>
    <w:p>
      <w:pPr>
        <w:pStyle w:val="1300"/>
        <w:ind w:left="480"/>
        <w:jc w:val="both"/>
        <w:spacing w:beforeAutospacing="0" w:afterAutospacing="0" w:line="360" w:lineRule="auto"/>
        <w:rPr>
          <w:rFonts w:hint="eastAsia" w:ascii="宋体" w:hAnsi="宋体" w:eastAsia="宋体" w:cs="宋体"/>
          <w:iCs/>
          <w:color w:val="auto"/>
          <w:sz w:val="21"/>
          <w:szCs w:val="21"/>
        </w:rPr>
      </w:pPr>
      <w:r>
        <w:rPr>
          <w:rFonts w:hint="eastAsia" w:ascii="宋体" w:hAnsi="宋体" w:eastAsia="宋体" w:cs="宋体"/>
          <w:iCs/>
          <w:color w:val="auto"/>
          <w:sz w:val="21"/>
          <w:szCs w:val="21"/>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300"/>
        <w:ind w:left="480"/>
        <w:jc w:val="both"/>
        <w:spacing w:beforeAutospacing="0" w:afterAutospacing="0" w:line="360" w:lineRule="auto"/>
        <w:rPr>
          <w:rFonts w:hint="eastAsia" w:ascii="宋体" w:hAnsi="宋体" w:eastAsia="宋体" w:cs="宋体"/>
          <w:iCs/>
          <w:color w:val="auto"/>
          <w:sz w:val="21"/>
          <w:szCs w:val="21"/>
        </w:rPr>
      </w:pPr>
      <w:r>
        <w:rPr>
          <w:rFonts w:hint="eastAsia" w:ascii="宋体" w:hAnsi="宋体" w:eastAsia="宋体" w:cs="宋体"/>
          <w:iCs/>
          <w:color w:val="auto"/>
          <w:sz w:val="21"/>
          <w:szCs w:val="21"/>
        </w:rPr>
        <w:t xml:space="preserve">四、具备履行合同所必需的设备和专业技术能力的书面声明</w:t>
      </w:r>
      <w:r/>
    </w:p>
    <w:p>
      <w:pPr>
        <w:pStyle w:val="1300"/>
        <w:ind w:left="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五、参加政府采购活动前 3 年内在经营活动中没有重大违法记录的书面声明</w:t>
      </w:r>
      <w:r/>
    </w:p>
    <w:p>
      <w:pPr>
        <w:pStyle w:val="1300"/>
        <w:ind w:left="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六、特定资格要求的证明文件（如果本项目设置特定资格要求，则需要提供）</w:t>
      </w:r>
      <w:r/>
    </w:p>
    <w:p>
      <w:pPr>
        <w:pStyle w:val="1300"/>
        <w:ind w:left="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七、法人授权书</w:t>
      </w:r>
      <w:r/>
    </w:p>
    <w:p>
      <w:pPr>
        <w:pStyle w:val="1300"/>
        <w:ind w:left="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八、投标函</w:t>
      </w:r>
      <w:r/>
    </w:p>
    <w:p>
      <w:pPr>
        <w:pStyle w:val="1300"/>
        <w:ind w:firstLine="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九、中小企业声明函</w:t>
      </w:r>
      <w:r/>
    </w:p>
    <w:p>
      <w:pPr>
        <w:pStyle w:val="1300"/>
        <w:ind w:firstLine="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十、残疾人福利性单位声明函</w:t>
      </w:r>
      <w:r/>
    </w:p>
    <w:p>
      <w:pPr>
        <w:pStyle w:val="1300"/>
        <w:ind w:firstLine="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十一、投标分项报价表</w:t>
      </w:r>
      <w:r/>
    </w:p>
    <w:p>
      <w:pPr>
        <w:pStyle w:val="1300"/>
        <w:ind w:firstLine="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十二、技术要求响应及偏离表</w:t>
      </w:r>
      <w:r/>
    </w:p>
    <w:p>
      <w:pPr>
        <w:pStyle w:val="1300"/>
        <w:ind w:firstLine="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十三、商务要求响应及偏离表</w:t>
      </w:r>
      <w:r/>
    </w:p>
    <w:p>
      <w:pPr>
        <w:pStyle w:val="1300"/>
        <w:ind w:left="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十四、开标一览表</w:t>
      </w:r>
      <w:r/>
    </w:p>
    <w:p>
      <w:pPr>
        <w:pStyle w:val="1300"/>
        <w:ind w:left="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十五、技术方案、服务承诺、培训承诺等</w:t>
      </w:r>
      <w:r/>
    </w:p>
    <w:p>
      <w:pPr>
        <w:pStyle w:val="1300"/>
        <w:ind w:firstLine="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十六、盐城市政府采购事前信用承诺书</w:t>
      </w:r>
      <w:r/>
    </w:p>
    <w:p>
      <w:pPr>
        <w:pStyle w:val="1300"/>
        <w:ind w:firstLine="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十七、项目建设供应商承诺函</w:t>
      </w:r>
      <w:r/>
    </w:p>
    <w:p>
      <w:pPr>
        <w:pStyle w:val="1300"/>
        <w:ind w:firstLine="480"/>
        <w:jc w:val="both"/>
        <w:spacing w:beforeAutospacing="0" w:afterAutospacing="0" w:line="360" w:lineRule="auto"/>
        <w:rPr>
          <w:rFonts w:ascii="宋体" w:hAnsi="宋体" w:eastAsia="宋体" w:cs="宋体"/>
          <w:iCs/>
          <w:color w:val="auto"/>
          <w:sz w:val="21"/>
          <w:szCs w:val="21"/>
        </w:rPr>
      </w:pPr>
      <w:r>
        <w:rPr>
          <w:rFonts w:ascii="宋体" w:hAnsi="宋体" w:eastAsia="宋体" w:cs="宋体"/>
          <w:iCs/>
          <w:color w:val="auto"/>
          <w:sz w:val="21"/>
          <w:szCs w:val="21"/>
        </w:rPr>
      </w:r>
      <w:r/>
    </w:p>
    <w:p>
      <w:pPr>
        <w:pStyle w:val="1300"/>
        <w:ind w:firstLine="480"/>
        <w:jc w:val="both"/>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1300"/>
        <w:ind w:firstLine="480"/>
        <w:jc w:val="both"/>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1300"/>
        <w:ind w:firstLine="480"/>
        <w:jc w:val="both"/>
        <w:spacing w:beforeAutospacing="0" w:afterAutospacing="0" w:line="0" w:lineRule="atLeast"/>
        <w:rPr>
          <w:color w:val="auto"/>
        </w:rPr>
      </w:pPr>
      <w:r>
        <w:rPr>
          <w:color w:val="auto"/>
        </w:rPr>
        <w:t xml:space="preserve"> </w:t>
      </w:r>
      <w:r/>
    </w:p>
    <w:p>
      <w:pPr>
        <w:pStyle w:val="1300"/>
        <w:ind w:firstLine="480"/>
        <w:jc w:val="both"/>
        <w:spacing w:beforeAutospacing="0" w:afterAutospacing="0" w:line="0" w:lineRule="atLeast"/>
        <w:rPr>
          <w:color w:val="auto"/>
        </w:rPr>
      </w:pPr>
      <w:r>
        <w:rPr>
          <w:color w:val="auto"/>
        </w:rPr>
        <w:t xml:space="preserve"> </w:t>
      </w:r>
      <w:r/>
    </w:p>
    <w:p>
      <w:pPr>
        <w:pStyle w:val="1300"/>
        <w:ind w:firstLine="480"/>
        <w:jc w:val="both"/>
        <w:spacing w:beforeAutospacing="0" w:afterAutospacing="0" w:line="0" w:lineRule="atLeast"/>
        <w:rPr>
          <w:color w:val="auto"/>
        </w:rPr>
      </w:pPr>
      <w:r>
        <w:rPr>
          <w:color w:val="auto"/>
        </w:rPr>
        <w:t xml:space="preserve"> </w:t>
      </w:r>
      <w:r/>
    </w:p>
    <w:p>
      <w:pPr>
        <w:pStyle w:val="1300"/>
        <w:ind w:firstLine="480"/>
        <w:jc w:val="both"/>
        <w:spacing w:beforeAutospacing="0" w:afterAutospacing="0" w:line="0" w:lineRule="atLeast"/>
        <w:rPr>
          <w:color w:val="auto"/>
        </w:rPr>
      </w:pPr>
      <w:r>
        <w:rPr>
          <w:color w:val="auto"/>
        </w:rPr>
        <w:t xml:space="preserve"> </w:t>
      </w:r>
      <w:r/>
    </w:p>
    <w:p>
      <w:pPr>
        <w:pStyle w:val="1300"/>
        <w:ind w:firstLine="480"/>
        <w:jc w:val="both"/>
        <w:spacing w:beforeAutospacing="0" w:afterAutospacing="0" w:line="0" w:lineRule="atLeast"/>
        <w:rPr>
          <w:color w:val="auto"/>
        </w:rPr>
      </w:pPr>
      <w:r>
        <w:rPr>
          <w:color w:val="auto"/>
        </w:rPr>
      </w:r>
      <w:r/>
    </w:p>
    <w:p>
      <w:pPr>
        <w:pStyle w:val="1300"/>
        <w:ind w:firstLine="480"/>
        <w:jc w:val="both"/>
        <w:spacing w:beforeAutospacing="0" w:afterAutospacing="0" w:line="0" w:lineRule="atLeast"/>
        <w:rPr>
          <w:color w:val="auto"/>
        </w:rPr>
      </w:pPr>
      <w:r>
        <w:rPr>
          <w:color w:val="auto"/>
        </w:rPr>
      </w:r>
      <w:r>
        <w:rPr>
          <w:color w:val="auto"/>
        </w:rPr>
      </w:r>
      <w:r/>
    </w:p>
    <w:p>
      <w:pPr>
        <w:pStyle w:val="1300"/>
        <w:ind w:firstLine="480"/>
        <w:jc w:val="both"/>
        <w:spacing w:beforeAutospacing="0" w:afterAutospacing="0" w:line="0" w:lineRule="atLeast"/>
        <w:rPr>
          <w:color w:val="auto"/>
        </w:rPr>
      </w:pPr>
      <w:r>
        <w:rPr>
          <w:color w:val="auto"/>
        </w:rPr>
      </w:r>
      <w:r>
        <w:rPr>
          <w:color w:val="auto"/>
        </w:rPr>
      </w:r>
      <w:r/>
    </w:p>
    <w:p>
      <w:pPr>
        <w:pStyle w:val="1300"/>
        <w:ind w:firstLine="480"/>
        <w:jc w:val="both"/>
        <w:spacing w:beforeAutospacing="0" w:afterAutospacing="0" w:line="0" w:lineRule="atLeast"/>
        <w:rPr>
          <w:color w:val="auto"/>
        </w:rPr>
      </w:pPr>
      <w:r>
        <w:rPr>
          <w:color w:val="auto"/>
        </w:rPr>
      </w:r>
      <w:r>
        <w:rPr>
          <w:color w:val="auto"/>
        </w:rPr>
      </w:r>
      <w:r/>
    </w:p>
    <w:p>
      <w:pPr>
        <w:pStyle w:val="1300"/>
        <w:ind w:firstLine="480"/>
        <w:jc w:val="both"/>
        <w:spacing w:beforeAutospacing="0" w:afterAutospacing="0" w:line="0" w:lineRule="atLeast"/>
        <w:rPr>
          <w:color w:val="auto"/>
        </w:rPr>
      </w:pPr>
      <w:r>
        <w:rPr>
          <w:color w:val="auto"/>
        </w:rPr>
      </w:r>
      <w:r>
        <w:rPr>
          <w:color w:val="auto"/>
        </w:rPr>
      </w:r>
      <w:r/>
    </w:p>
    <w:p>
      <w:pPr>
        <w:pStyle w:val="1300"/>
        <w:ind w:firstLine="480"/>
        <w:jc w:val="both"/>
        <w:spacing w:beforeAutospacing="0" w:afterAutospacing="0" w:line="0" w:lineRule="atLeast"/>
        <w:rPr>
          <w:color w:val="auto"/>
        </w:rPr>
      </w:pPr>
      <w:r>
        <w:rPr>
          <w:color w:val="auto"/>
        </w:rPr>
      </w:r>
      <w:r/>
    </w:p>
    <w:p>
      <w:pPr>
        <w:pStyle w:val="1300"/>
        <w:ind w:firstLine="480"/>
        <w:jc w:val="both"/>
        <w:spacing w:beforeAutospacing="0" w:afterAutospacing="0" w:line="0" w:lineRule="atLeast"/>
        <w:rPr>
          <w:color w:val="auto"/>
        </w:rPr>
      </w:pPr>
      <w:r>
        <w:rPr>
          <w:color w:val="auto"/>
        </w:rPr>
      </w:r>
      <w:r/>
    </w:p>
    <w:p>
      <w:pPr>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r>
      <w:r/>
    </w:p>
    <w:p>
      <w:pPr>
        <w:rPr>
          <w:color w:val="auto"/>
        </w:rPr>
      </w:pPr>
      <w:r>
        <w:rPr>
          <w:rFonts w:hint="eastAsia" w:ascii="黑体" w:hAnsi="宋体" w:eastAsia="黑体" w:cs="黑体"/>
          <w:i/>
          <w:color w:val="auto"/>
          <w:sz w:val="32"/>
          <w:szCs w:val="32"/>
          <w:u w:val="single"/>
        </w:rPr>
        <w:t xml:space="preserve">一、法人或者其他组织的营业执照等证明文件，自然人的身份证明</w:t>
      </w:r>
      <w:r/>
    </w:p>
    <w:p>
      <w:pPr>
        <w:pStyle w:val="1300"/>
        <w:ind w:firstLine="480"/>
        <w:jc w:val="both"/>
        <w:spacing w:beforeAutospacing="0" w:afterAutospacing="0" w:line="0" w:lineRule="atLeast"/>
        <w:rPr>
          <w:color w:val="auto"/>
        </w:rPr>
      </w:pPr>
      <w:r>
        <w:rPr>
          <w:color w:val="auto"/>
        </w:rPr>
        <w:t xml:space="preserve"> </w:t>
      </w:r>
      <w:r/>
    </w:p>
    <w:p>
      <w:pPr>
        <w:pStyle w:val="1300"/>
        <w:jc w:val="both"/>
        <w:spacing w:beforeAutospacing="0" w:afterAutospacing="0"/>
        <w:rPr>
          <w:rFonts w:hint="eastAsia" w:eastAsia="黑体"/>
          <w:color w:val="auto"/>
          <w:lang w:eastAsia="zh-CN"/>
        </w:rPr>
      </w:pPr>
      <w:r>
        <w:rPr>
          <w:rFonts w:hint="eastAsia" w:ascii="黑体" w:hAnsi="宋体" w:eastAsia="黑体" w:cs="黑体"/>
          <w:i/>
          <w:color w:val="auto"/>
          <w:sz w:val="32"/>
          <w:szCs w:val="32"/>
          <w:u w:val="single"/>
        </w:rPr>
        <w:t xml:space="preserve">二、上一年度的财务状况报</w:t>
      </w:r>
      <w:r>
        <w:rPr>
          <w:rFonts w:hint="eastAsia" w:ascii="黑体" w:hAnsi="宋体" w:eastAsia="黑体" w:cs="黑体"/>
          <w:i/>
          <w:color w:val="auto"/>
          <w:sz w:val="32"/>
          <w:szCs w:val="32"/>
          <w:u w:val="single"/>
          <w:lang w:eastAsia="zh-CN"/>
        </w:rPr>
        <w:t xml:space="preserve">表</w:t>
      </w:r>
      <w:r/>
    </w:p>
    <w:p>
      <w:pPr>
        <w:pStyle w:val="1300"/>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（财务状况报表至少包含利润表、资产负债表、现金流量表，成立不满一年无需提供）</w:t>
      </w:r>
      <w:r/>
    </w:p>
    <w:p>
      <w:pPr>
        <w:pStyle w:val="1300"/>
        <w:ind w:firstLine="480"/>
        <w:jc w:val="both"/>
        <w:spacing w:beforeAutospacing="0" w:afterAutospacing="0" w:line="0" w:lineRule="atLeast"/>
        <w:rPr>
          <w:color w:val="auto"/>
        </w:rPr>
      </w:pPr>
      <w:r>
        <w:rPr>
          <w:color w:val="auto"/>
        </w:rPr>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rFonts w:hint="eastAsia" w:ascii="黑体" w:hAnsi="宋体" w:eastAsia="黑体" w:cs="黑体"/>
          <w:i/>
          <w:color w:val="auto"/>
          <w:sz w:val="32"/>
          <w:szCs w:val="32"/>
          <w:u w:val="single"/>
        </w:rPr>
        <w:t xml:space="preserve">三、依法缴纳税收和社会保障资金的相关材料</w:t>
      </w:r>
      <w:r/>
    </w:p>
    <w:p>
      <w:pPr>
        <w:pStyle w:val="1300"/>
        <w:jc w:val="both"/>
        <w:spacing w:beforeAutospacing="0" w:afterAutospacing="0"/>
        <w:rPr>
          <w:rFonts w:hint="eastAsia" w:ascii="宋体" w:hAnsi="宋体" w:eastAsia="宋体" w:cs="宋体"/>
          <w:color w:val="auto"/>
        </w:rPr>
      </w:pPr>
      <w:r/>
      <w:bookmarkStart w:id="254" w:name="_Toc120614284"/>
      <w:r>
        <w:rPr>
          <w:rFonts w:hint="eastAsia" w:ascii="宋体" w:hAnsi="宋体" w:eastAsia="宋体" w:cs="宋体"/>
          <w:color w:val="auto"/>
        </w:rPr>
        <w:t xml:space="preserve">提供提交投标文件截止时间前一年内至少一个月依法缴纳税收及缴纳社会保障资金的证明材料。投标人依法享受缓缴、免缴税收、社会保障资金的提供证明材料。</w:t>
      </w:r>
      <w:bookmarkEnd w:id="254"/>
      <w:r/>
      <w:r/>
    </w:p>
    <w:p>
      <w:pPr>
        <w:pStyle w:val="1300"/>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1300"/>
        <w:jc w:val="both"/>
        <w:spacing w:beforeAutospacing="0" w:afterAutospacing="0"/>
        <w:rPr>
          <w:color w:val="auto"/>
        </w:rPr>
      </w:pPr>
      <w:r>
        <w:rPr>
          <w:rFonts w:hint="eastAsia" w:ascii="黑体" w:hAnsi="宋体" w:eastAsia="黑体" w:cs="黑体"/>
          <w:i/>
          <w:color w:val="auto"/>
          <w:sz w:val="32"/>
          <w:szCs w:val="32"/>
          <w:u w:val="single"/>
        </w:rPr>
        <w:t xml:space="preserve">四、具备履行合同所必需的设备和专业技术能力的书面声明</w:t>
      </w:r>
      <w:r/>
    </w:p>
    <w:p>
      <w:pPr>
        <w:pStyle w:val="1300"/>
        <w:ind w:firstLine="492"/>
        <w:jc w:val="both"/>
        <w:spacing w:beforeAutospacing="0" w:afterAutospacing="0" w:line="0" w:lineRule="atLeast"/>
        <w:rPr>
          <w:color w:val="auto"/>
        </w:rPr>
      </w:pPr>
      <w:r>
        <w:rPr>
          <w:rFonts w:hint="eastAsia" w:ascii="宋体" w:hAnsi="宋体" w:eastAsia="宋体" w:cs="宋体"/>
          <w:color w:val="auto"/>
        </w:rPr>
        <w:t xml:space="preserve">我单位郑重声明：我单位具备履行本项采购合同所必需的设备和专业技术能力，为履行本项采购合同我公司具备如下主要设备和主要专业技术能力：</w:t>
      </w:r>
      <w:r/>
    </w:p>
    <w:p>
      <w:pPr>
        <w:pStyle w:val="1300"/>
        <w:ind w:firstLine="492"/>
        <w:jc w:val="both"/>
        <w:spacing w:beforeAutospacing="0" w:afterAutospacing="0" w:line="0" w:lineRule="atLeast"/>
        <w:rPr>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1300"/>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1300"/>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1300"/>
        <w:jc w:val="both"/>
        <w:spacing w:beforeAutospacing="0" w:afterAutospacing="0"/>
        <w:rPr>
          <w:color w:val="auto"/>
        </w:rPr>
      </w:pPr>
      <w:r>
        <w:rPr>
          <w:rFonts w:hint="eastAsia" w:ascii="黑体" w:hAnsi="宋体" w:eastAsia="黑体" w:cs="黑体"/>
          <w:i/>
          <w:color w:val="auto"/>
          <w:sz w:val="32"/>
          <w:szCs w:val="32"/>
          <w:u w:val="single"/>
        </w:rPr>
        <w:t xml:space="preserve">五、参加政府采购活动前 3 年内在经营活动中没有重大违法记录的书面声明</w:t>
      </w:r>
      <w:r/>
    </w:p>
    <w:p>
      <w:pPr>
        <w:pStyle w:val="1300"/>
        <w:jc w:val="both"/>
        <w:spacing w:beforeAutospacing="0" w:afterAutospacing="0" w:line="0" w:lineRule="atLeast"/>
        <w:rPr>
          <w:color w:val="auto"/>
        </w:rPr>
      </w:pPr>
      <w:r>
        <w:rPr>
          <w:rFonts w:hint="eastAsia" w:ascii="宋体" w:hAnsi="宋体" w:eastAsia="宋体" w:cs="宋体"/>
          <w:b/>
          <w:color w:val="auto"/>
          <w:sz w:val="44"/>
          <w:szCs w:val="44"/>
        </w:rPr>
        <w:t xml:space="preserve">       声  明</w:t>
      </w:r>
      <w:r/>
    </w:p>
    <w:p>
      <w:pPr>
        <w:pStyle w:val="1300"/>
        <w:jc w:val="both"/>
        <w:spacing w:beforeAutospacing="0" w:afterAutospacing="0" w:line="0" w:lineRule="atLeast"/>
        <w:rPr>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rFonts w:hint="eastAsia" w:ascii="黑体" w:hAnsi="宋体" w:eastAsia="黑体" w:cs="黑体"/>
          <w:i/>
          <w:color w:val="auto"/>
          <w:sz w:val="32"/>
          <w:szCs w:val="32"/>
          <w:u w:val="single"/>
        </w:rPr>
        <w:t xml:space="preserve">六、特定资格要求的证明文件</w:t>
      </w:r>
      <w:r/>
    </w:p>
    <w:p>
      <w:pPr>
        <w:pStyle w:val="1300"/>
        <w:ind w:firstLine="84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如果本项目申请人的特定资格要求中要求提供的，必须提供。</w:t>
      </w:r>
      <w:r/>
    </w:p>
    <w:p>
      <w:pPr>
        <w:pStyle w:val="1300"/>
        <w:ind w:firstLine="84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1300"/>
        <w:numPr>
          <w:ilvl w:val="0"/>
          <w:numId w:val="0"/>
        </w:numPr>
        <w:jc w:val="both"/>
        <w:spacing w:beforeAutospacing="0" w:afterAutospacing="0"/>
        <w:rPr>
          <w:rFonts w:hint="eastAsia" w:ascii="黑体" w:hAnsi="宋体" w:eastAsia="黑体" w:cs="黑体"/>
          <w:i/>
          <w:color w:val="auto"/>
          <w:sz w:val="32"/>
          <w:szCs w:val="32"/>
          <w:u w:val="single"/>
          <w:lang w:eastAsia="zh-CN"/>
        </w:rPr>
      </w:pPr>
      <w:r>
        <w:rPr>
          <w:rFonts w:hint="eastAsia" w:ascii="黑体" w:hAnsi="宋体" w:eastAsia="黑体" w:cs="黑体"/>
          <w:i/>
          <w:color w:val="auto"/>
          <w:sz w:val="32"/>
          <w:szCs w:val="32"/>
          <w:u w:val="single"/>
          <w:lang w:eastAsia="zh-CN"/>
        </w:rPr>
      </w:r>
      <w:r/>
    </w:p>
    <w:p>
      <w:pPr>
        <w:pStyle w:val="1300"/>
        <w:jc w:val="both"/>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r>
      <w:r/>
    </w:p>
    <w:p>
      <w:pPr>
        <w:pStyle w:val="130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1300"/>
        <w:jc w:val="center"/>
        <w:spacing w:beforeAutospacing="0" w:afterAutospacing="0"/>
        <w:rPr>
          <w:rFonts w:ascii="黑体" w:hAnsi="宋体" w:eastAsia="黑体" w:cs="黑体"/>
          <w:bCs/>
          <w:i/>
          <w:color w:val="auto"/>
          <w:sz w:val="32"/>
          <w:szCs w:val="32"/>
          <w:u w:val="single"/>
        </w:rPr>
      </w:pPr>
      <w:r>
        <w:rPr>
          <w:rFonts w:ascii="黑体" w:hAnsi="宋体" w:eastAsia="黑体" w:cs="黑体"/>
          <w:i/>
          <w:color w:val="auto"/>
          <w:sz w:val="32"/>
          <w:szCs w:val="32"/>
          <w:u w:val="single"/>
        </w:rPr>
      </w:r>
      <w:r>
        <w:rPr>
          <w:rFonts w:ascii="黑体" w:hAnsi="宋体" w:eastAsia="黑体" w:cs="黑体"/>
          <w:i/>
          <w:color w:val="auto"/>
          <w:sz w:val="32"/>
          <w:szCs w:val="32"/>
          <w:u w:val="single"/>
        </w:rPr>
      </w:r>
      <w:r/>
    </w:p>
    <w:p>
      <w:pPr>
        <w:pStyle w:val="1300"/>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rPr>
          <w:rFonts w:ascii="黑体" w:hAnsi="宋体" w:eastAsia="黑体" w:cs="黑体"/>
          <w:bCs/>
          <w:i/>
          <w:color w:val="auto"/>
          <w:sz w:val="32"/>
          <w:szCs w:val="32"/>
          <w:u w:val="single"/>
        </w:rPr>
      </w:r>
      <w:r/>
    </w:p>
    <w:p>
      <w:pPr>
        <w:pStyle w:val="1300"/>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rPr>
          <w:rFonts w:ascii="黑体" w:hAnsi="宋体" w:eastAsia="黑体" w:cs="黑体"/>
          <w:bCs/>
          <w:i/>
          <w:color w:val="auto"/>
          <w:sz w:val="32"/>
          <w:szCs w:val="32"/>
          <w:u w:val="single"/>
        </w:rPr>
      </w:r>
      <w:r/>
    </w:p>
    <w:p>
      <w:pPr>
        <w:pStyle w:val="1300"/>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rPr>
          <w:rFonts w:ascii="黑体" w:hAnsi="宋体" w:eastAsia="黑体" w:cs="黑体"/>
          <w:bCs/>
          <w:i/>
          <w:color w:val="auto"/>
          <w:sz w:val="32"/>
          <w:szCs w:val="32"/>
          <w:u w:val="single"/>
        </w:rPr>
      </w:r>
      <w:r/>
    </w:p>
    <w:p>
      <w:pPr>
        <w:pStyle w:val="1300"/>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rPr>
          <w:rFonts w:ascii="黑体" w:hAnsi="宋体" w:eastAsia="黑体" w:cs="黑体"/>
          <w:bCs/>
          <w:i/>
          <w:color w:val="auto"/>
          <w:sz w:val="32"/>
          <w:szCs w:val="32"/>
          <w:u w:val="single"/>
        </w:rPr>
      </w:r>
      <w:r/>
    </w:p>
    <w:p>
      <w:pPr>
        <w:pStyle w:val="1300"/>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rPr>
          <w:rFonts w:ascii="黑体" w:hAnsi="宋体" w:eastAsia="黑体" w:cs="黑体"/>
          <w:bCs/>
          <w:i/>
          <w:color w:val="auto"/>
          <w:sz w:val="32"/>
          <w:szCs w:val="32"/>
          <w:u w:val="single"/>
        </w:rPr>
      </w:r>
      <w:r/>
    </w:p>
    <w:p>
      <w:pPr>
        <w:pStyle w:val="1300"/>
        <w:jc w:val="center"/>
        <w:spacing w:beforeAutospacing="0" w:afterAutospacing="0"/>
        <w:rPr>
          <w:rFonts w:ascii="黑体" w:hAnsi="宋体" w:eastAsia="黑体" w:cs="黑体"/>
          <w:bCs/>
          <w:i/>
          <w:color w:val="auto"/>
          <w:sz w:val="32"/>
          <w:szCs w:val="32"/>
          <w:u w:val="single"/>
        </w:rPr>
      </w:pPr>
      <w:r>
        <w:rPr>
          <w:rFonts w:ascii="黑体" w:hAnsi="宋体" w:eastAsia="黑体" w:cs="黑体"/>
          <w:i/>
          <w:color w:val="auto"/>
          <w:sz w:val="32"/>
          <w:szCs w:val="32"/>
          <w:u w:val="single"/>
        </w:rPr>
      </w:r>
      <w:r/>
    </w:p>
    <w:p>
      <w:pPr>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1300"/>
        <w:jc w:val="center"/>
        <w:spacing w:beforeAutospacing="0" w:afterAutospacing="0"/>
        <w:rPr>
          <w:color w:val="auto"/>
          <w:u w:val="single"/>
        </w:rPr>
      </w:pPr>
      <w:r>
        <w:rPr>
          <w:rFonts w:hint="eastAsia" w:ascii="黑体" w:hAnsi="宋体" w:eastAsia="黑体" w:cs="黑体"/>
          <w:i/>
          <w:color w:val="auto"/>
          <w:sz w:val="32"/>
          <w:szCs w:val="32"/>
          <w:u w:val="single"/>
        </w:rPr>
        <w:t xml:space="preserve">七、法人授权书</w:t>
      </w:r>
      <w:r/>
    </w:p>
    <w:p>
      <w:pPr>
        <w:pStyle w:val="1300"/>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本授权书声明：____________（投标人名称）授权________________（被授权人的姓名）为我方就</w:t>
      </w:r>
      <w:r>
        <w:rPr>
          <w:rFonts w:hint="eastAsia" w:ascii="宋体" w:hAnsi="宋体" w:eastAsia="宋体" w:cs="宋体"/>
          <w:color w:val="auto"/>
          <w:sz w:val="21"/>
          <w:szCs w:val="21"/>
          <w:u w:val="single"/>
          <w:lang w:eastAsia="zh-CN"/>
        </w:rPr>
        <w:t xml:space="preserve">JSZC-320900-YCZH-G2026-0007</w:t>
      </w:r>
      <w:r>
        <w:rPr>
          <w:rFonts w:ascii="Times New Roman" w:hAnsi="Times New Roman"/>
          <w:color w:val="auto"/>
          <w:sz w:val="21"/>
          <w:szCs w:val="21"/>
        </w:rPr>
        <w:t xml:space="preserve">号项目采购活动的合法代理人，以本单位名义全权处理一切与该项目采购有关的事务。</w:t>
      </w:r>
      <w:r/>
    </w:p>
    <w:p>
      <w:pPr>
        <w:pStyle w:val="1300"/>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本授权书于______年____月____日起生效，特此声明。</w:t>
      </w:r>
      <w:r/>
    </w:p>
    <w:p>
      <w:pPr>
        <w:pStyle w:val="130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          被授权人身份证号码：</w:t>
      </w:r>
      <w:r>
        <w:rPr>
          <w:rFonts w:ascii="Times New Roman" w:hAnsi="Times New Roman"/>
          <w:color w:val="auto"/>
          <w:sz w:val="21"/>
          <w:szCs w:val="21"/>
          <w:u w:val="single"/>
        </w:rPr>
        <w:t xml:space="preserve">                              </w:t>
      </w:r>
      <w:r/>
    </w:p>
    <w:p>
      <w:pPr>
        <w:pStyle w:val="130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          被授权人联系电话：（手机）</w:t>
      </w:r>
      <w:r>
        <w:rPr>
          <w:rFonts w:ascii="Times New Roman" w:hAnsi="Times New Roman"/>
          <w:color w:val="auto"/>
          <w:sz w:val="21"/>
          <w:szCs w:val="21"/>
          <w:u w:val="single"/>
        </w:rPr>
        <w:t xml:space="preserve">                          </w:t>
      </w:r>
      <w:r/>
    </w:p>
    <w:p>
      <w:pPr>
        <w:pStyle w:val="1300"/>
        <w:ind w:firstLine="63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授权单位名称：</w:t>
      </w:r>
      <w:r>
        <w:rPr>
          <w:rFonts w:ascii="Times New Roman" w:hAnsi="Times New Roman"/>
          <w:color w:val="auto"/>
          <w:sz w:val="21"/>
          <w:szCs w:val="21"/>
          <w:u w:val="single"/>
        </w:rPr>
        <w:t xml:space="preserve">（加盖CA电子公章）</w:t>
      </w:r>
      <w:r/>
    </w:p>
    <w:p>
      <w:pPr>
        <w:pStyle w:val="1300"/>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   单位地址：</w:t>
      </w:r>
      <w:r>
        <w:rPr>
          <w:rFonts w:ascii="Times New Roman" w:hAnsi="Times New Roman"/>
          <w:color w:val="auto"/>
          <w:sz w:val="21"/>
          <w:szCs w:val="21"/>
          <w:u w:val="single"/>
        </w:rPr>
        <w:t xml:space="preserve">                                         </w:t>
      </w:r>
      <w:r/>
    </w:p>
    <w:p>
      <w:pPr>
        <w:pStyle w:val="1300"/>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   日期：</w:t>
      </w:r>
      <w:bookmarkStart w:id="255" w:name="_Hlt26671380"/>
      <w:r/>
      <w:bookmarkStart w:id="256" w:name="_格式3__银行出具的资信证明"/>
      <w:r/>
      <w:bookmarkStart w:id="257" w:name="_Hlt26955070"/>
      <w:r>
        <w:rPr>
          <w:rFonts w:ascii="Times New Roman" w:hAnsi="Times New Roman"/>
          <w:color w:val="auto"/>
          <w:sz w:val="21"/>
          <w:szCs w:val="21"/>
          <w:u w:val="single"/>
        </w:rPr>
        <w:t xml:space="preserve">                                         </w:t>
      </w:r>
      <w:r/>
    </w:p>
    <w:p>
      <w:pPr>
        <w:pStyle w:val="1300"/>
        <w:ind w:firstLine="420"/>
        <w:jc w:val="both"/>
        <w:spacing w:beforeAutospacing="0" w:afterAutospacing="0" w:line="360" w:lineRule="auto"/>
        <w:rPr>
          <w:color w:val="auto"/>
          <w:sz w:val="21"/>
          <w:szCs w:val="21"/>
        </w:rPr>
      </w:pPr>
      <w:r>
        <w:rPr>
          <w:color w:val="auto"/>
          <w:sz w:val="21"/>
          <w:szCs w:val="21"/>
        </w:rPr>
        <w:t xml:space="preserve"> </w:t>
      </w:r>
      <w:r/>
    </w:p>
    <w:p>
      <w:pPr>
        <w:pStyle w:val="1300"/>
        <w:jc w:val="both"/>
        <w:spacing w:beforeAutospacing="0" w:afterAutospacing="0" w:line="360" w:lineRule="auto"/>
        <w:rPr>
          <w:color w:val="auto"/>
          <w:sz w:val="21"/>
          <w:szCs w:val="21"/>
        </w:rPr>
      </w:pPr>
      <w:r>
        <w:rPr>
          <w:color w:val="auto"/>
          <w:sz w:val="21"/>
          <w:szCs w:val="21"/>
        </w:rPr>
        <w:t xml:space="preserve"> </w:t>
      </w:r>
      <w:r/>
    </w:p>
    <w:p>
      <w:pPr>
        <w:pStyle w:val="1300"/>
        <w:jc w:val="both"/>
        <w:spacing w:beforeAutospacing="0" w:afterAutospacing="0" w:line="360" w:lineRule="auto"/>
        <w:rPr>
          <w:color w:val="auto"/>
          <w:sz w:val="21"/>
          <w:szCs w:val="21"/>
        </w:rPr>
      </w:pPr>
      <w:r>
        <w:rPr>
          <w:color w:val="auto"/>
          <w:sz w:val="21"/>
          <w:szCs w:val="21"/>
        </w:rPr>
        <w:t xml:space="preserve"> </w:t>
      </w:r>
      <w:r/>
    </w:p>
    <w:p>
      <w:pPr>
        <w:pStyle w:val="1300"/>
        <w:ind w:firstLine="3390"/>
        <w:jc w:val="both"/>
        <w:keepLines/>
        <w:keepNext/>
        <w:spacing w:before="260" w:beforeAutospacing="0" w:after="260" w:afterAutospacing="0" w:line="415" w:lineRule="auto"/>
        <w:rPr>
          <w:rFonts w:ascii="黑体" w:hAnsi="宋体" w:eastAsia="黑体" w:cs="黑体"/>
          <w:b/>
          <w:color w:val="auto"/>
          <w:sz w:val="32"/>
          <w:szCs w:val="32"/>
        </w:rPr>
      </w:pPr>
      <w:r>
        <w:rPr>
          <w:rFonts w:hint="eastAsia" w:ascii="宋体" w:hAnsi="宋体" w:eastAsia="宋体" w:cs="宋体"/>
          <w:b/>
          <w:color w:val="auto"/>
        </w:rPr>
        <w:br w:type="page" w:clear="all"/>
      </w:r>
      <w:r>
        <w:rPr>
          <w:rFonts w:hint="eastAsia" w:ascii="宋体" w:hAnsi="宋体" w:eastAsia="宋体" w:cs="宋体"/>
          <w:b/>
          <w:color w:val="auto"/>
        </w:rPr>
        <w:t xml:space="preserve"> </w:t>
      </w:r>
      <w:r>
        <w:rPr>
          <w:rFonts w:hint="eastAsia" w:ascii="黑体" w:hAnsi="宋体" w:eastAsia="黑体" w:cs="黑体"/>
          <w:b/>
          <w:color w:val="auto"/>
          <w:sz w:val="32"/>
          <w:szCs w:val="32"/>
        </w:rPr>
        <w:t xml:space="preserve">八、投标函</w:t>
      </w:r>
      <w:r/>
    </w:p>
    <w:p>
      <w:pPr>
        <w:pStyle w:val="1300"/>
        <w:spacing w:beforeAutospacing="0" w:afterAutospacing="0" w:line="360" w:lineRule="auto"/>
        <w:rPr>
          <w:rFonts w:eastAsia="宋体"/>
          <w:color w:val="auto"/>
          <w:sz w:val="21"/>
          <w:szCs w:val="21"/>
        </w:rPr>
      </w:pPr>
      <w:r>
        <w:rPr>
          <w:rFonts w:hint="eastAsia" w:ascii="宋体" w:hAnsi="宋体" w:eastAsia="宋体" w:cs="宋体"/>
          <w:color w:val="auto"/>
          <w:sz w:val="21"/>
          <w:szCs w:val="21"/>
        </w:rPr>
        <w:t xml:space="preserve">致：采购人</w:t>
      </w:r>
      <w:r/>
    </w:p>
    <w:p>
      <w:pPr>
        <w:pStyle w:val="1300"/>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根据贵方的</w:t>
      </w:r>
      <w:r>
        <w:rPr>
          <w:rFonts w:hint="eastAsia" w:ascii="宋体" w:hAnsi="宋体" w:eastAsia="宋体" w:cs="宋体"/>
          <w:color w:val="auto"/>
          <w:sz w:val="21"/>
          <w:szCs w:val="21"/>
          <w:u w:val="single"/>
          <w:lang w:eastAsia="zh-CN"/>
        </w:rPr>
        <w:t xml:space="preserve">JSZC-320900-YCZH-G2026-0007</w:t>
      </w:r>
      <w:r>
        <w:rPr>
          <w:rFonts w:hint="eastAsia" w:ascii="宋体" w:hAnsi="宋体" w:eastAsia="宋体" w:cs="宋体"/>
          <w:color w:val="auto"/>
          <w:sz w:val="21"/>
          <w:szCs w:val="21"/>
        </w:rPr>
        <w:t xml:space="preserve">号招标文件，正式授权下述签字人______(姓名)代表我方______________（投标人的名称），全权处理本次项目投标的有关事宜。</w:t>
      </w:r>
      <w:r/>
    </w:p>
    <w:p>
      <w:pPr>
        <w:pStyle w:val="1300"/>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据此函，__________签字人兹宣布同意如下：</w:t>
      </w:r>
      <w:r/>
    </w:p>
    <w:p>
      <w:pPr>
        <w:pStyle w:val="1300"/>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1.按招标文件规定的各项要求，向买方提供所需服务（包含与服务相关的货物）。</w:t>
      </w:r>
      <w:r/>
    </w:p>
    <w:p>
      <w:pPr>
        <w:pStyle w:val="1300"/>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2.我们完全理解贵方不一定将合同授予最低报价的投标人。</w:t>
      </w:r>
      <w:r/>
    </w:p>
    <w:p>
      <w:pPr>
        <w:pStyle w:val="1300"/>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3.我们已详细审核全部招标文件及其有效补充文件，我们知道必须放弃提出含糊不清或误解问题的权利。</w:t>
      </w:r>
      <w:r/>
    </w:p>
    <w:p>
      <w:pPr>
        <w:pStyle w:val="1300"/>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4.我们同意从规定的开标日期起遵循本投标文件，并在规定的投标有效期期满之前均具有约束力。</w:t>
      </w:r>
      <w:r/>
    </w:p>
    <w:p>
      <w:pPr>
        <w:pStyle w:val="1300"/>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5.同意向贵方提供贵方可能另外要求的与投标有关的任何证据或资料，并保证我方已提供和将要提供的文件是真实的、准确的。</w:t>
      </w:r>
      <w:r/>
    </w:p>
    <w:p>
      <w:pPr>
        <w:pStyle w:val="1300"/>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6.一旦我方中标,我方将根据招标文件的规定，严格履行合同的责任和义务,并保证在招标文件规定的时间完成项目，交付买方验收、使用。</w:t>
      </w:r>
      <w:r/>
    </w:p>
    <w:p>
      <w:pPr>
        <w:pStyle w:val="1300"/>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7.与本投标有关的正式通讯地址为：</w:t>
      </w:r>
      <w:r/>
    </w:p>
    <w:p>
      <w:pPr>
        <w:pStyle w:val="1300"/>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地          址：</w:t>
      </w:r>
      <w:r/>
    </w:p>
    <w:p>
      <w:pPr>
        <w:pStyle w:val="1300"/>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邮          编：</w:t>
      </w:r>
      <w:r/>
    </w:p>
    <w:p>
      <w:pPr>
        <w:pStyle w:val="1300"/>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电          话：</w:t>
      </w:r>
      <w:r/>
    </w:p>
    <w:p>
      <w:pPr>
        <w:pStyle w:val="1300"/>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传          真：</w:t>
      </w:r>
      <w:r/>
    </w:p>
    <w:p>
      <w:pPr>
        <w:pStyle w:val="1300"/>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投标人开户行：</w:t>
      </w:r>
      <w:r/>
    </w:p>
    <w:p>
      <w:pPr>
        <w:pStyle w:val="1300"/>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账          号： </w:t>
      </w:r>
      <w:r/>
    </w:p>
    <w:p>
      <w:pPr>
        <w:pStyle w:val="1300"/>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日           期：________年____月____日</w:t>
      </w:r>
      <w:r/>
    </w:p>
    <w:p>
      <w:pPr>
        <w:pStyle w:val="1300"/>
        <w:ind w:firstLine="240"/>
        <w:jc w:val="center"/>
        <w:spacing w:beforeAutospacing="0" w:afterAutospacing="0" w:line="360" w:lineRule="auto"/>
        <w:rPr>
          <w:color w:val="auto"/>
          <w:sz w:val="21"/>
          <w:szCs w:val="21"/>
        </w:rPr>
      </w:pPr>
      <w:r>
        <w:rPr>
          <w:color w:val="auto"/>
          <w:sz w:val="21"/>
          <w:szCs w:val="21"/>
        </w:rPr>
        <w:t xml:space="preserve"> </w:t>
      </w:r>
      <w:r/>
    </w:p>
    <w:p>
      <w:pPr>
        <w:pStyle w:val="1300"/>
        <w:ind w:firstLine="240"/>
        <w:jc w:val="center"/>
        <w:spacing w:beforeAutospacing="0" w:afterAutospacing="0" w:line="360" w:lineRule="auto"/>
        <w:rPr>
          <w:color w:val="auto"/>
          <w:sz w:val="21"/>
          <w:szCs w:val="21"/>
        </w:rPr>
      </w:pPr>
      <w:r>
        <w:rPr>
          <w:color w:val="auto"/>
          <w:sz w:val="21"/>
          <w:szCs w:val="21"/>
        </w:rPr>
        <w:t xml:space="preserve"> </w:t>
      </w:r>
      <w:r/>
    </w:p>
    <w:p>
      <w:pPr>
        <w:pStyle w:val="1300"/>
        <w:ind w:firstLine="240"/>
        <w:jc w:val="center"/>
        <w:spacing w:beforeAutospacing="0" w:afterAutospacing="0" w:line="0" w:lineRule="atLeast"/>
        <w:rPr>
          <w:color w:val="auto"/>
        </w:rPr>
      </w:pPr>
      <w:r>
        <w:rPr>
          <w:color w:val="auto"/>
        </w:rPr>
        <w:t xml:space="preserve"> </w:t>
      </w:r>
      <w:r/>
    </w:p>
    <w:p>
      <w:pPr>
        <w:pStyle w:val="1300"/>
        <w:ind w:firstLine="240"/>
        <w:jc w:val="center"/>
        <w:spacing w:beforeAutospacing="0" w:afterAutospacing="0" w:line="0" w:lineRule="atLeast"/>
        <w:rPr>
          <w:color w:val="auto"/>
        </w:rPr>
      </w:pPr>
      <w:r>
        <w:rPr>
          <w:color w:val="auto"/>
        </w:rPr>
        <w:t xml:space="preserve"> </w:t>
      </w:r>
      <w:r/>
    </w:p>
    <w:p>
      <w:pPr>
        <w:pStyle w:val="1300"/>
        <w:ind w:firstLine="240"/>
        <w:jc w:val="center"/>
        <w:spacing w:beforeAutospacing="0" w:afterAutospacing="0" w:line="0" w:lineRule="atLeast"/>
        <w:rPr>
          <w:color w:val="auto"/>
        </w:rPr>
      </w:pPr>
      <w:r>
        <w:rPr>
          <w:color w:val="auto"/>
        </w:rPr>
        <w:t xml:space="preserve"> </w:t>
      </w:r>
      <w:r/>
    </w:p>
    <w:p>
      <w:pPr>
        <w:pStyle w:val="1300"/>
        <w:ind w:firstLine="240"/>
        <w:jc w:val="center"/>
        <w:spacing w:beforeAutospacing="0" w:afterAutospacing="0" w:line="0" w:lineRule="atLeast"/>
        <w:rPr>
          <w:color w:val="auto"/>
        </w:rPr>
      </w:pPr>
      <w:r>
        <w:rPr>
          <w:color w:val="auto"/>
        </w:rPr>
      </w:r>
      <w:r/>
    </w:p>
    <w:p>
      <w:pPr>
        <w:pStyle w:val="1300"/>
        <w:jc w:val="both"/>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t xml:space="preserve"> </w:t>
      </w:r>
      <w:r/>
    </w:p>
    <w:p>
      <w:pPr>
        <w:rPr>
          <w:rFonts w:ascii="黑体" w:hAnsi="宋体" w:eastAsia="黑体" w:cs="黑体"/>
          <w:b/>
          <w:color w:val="auto"/>
          <w:sz w:val="32"/>
          <w:szCs w:val="32"/>
        </w:rPr>
      </w:pPr>
      <w:r>
        <w:rPr>
          <w:rFonts w:hint="eastAsia" w:ascii="黑体" w:hAnsi="宋体" w:eastAsia="黑体" w:cs="黑体"/>
          <w:b/>
          <w:color w:val="auto"/>
          <w:sz w:val="32"/>
          <w:szCs w:val="32"/>
        </w:rPr>
        <w:br w:type="page" w:clear="all"/>
      </w:r>
      <w:r/>
    </w:p>
    <w:p>
      <w:pPr>
        <w:pStyle w:val="1300"/>
        <w:jc w:val="center"/>
        <w:spacing w:beforeAutospacing="0" w:afterAutospacing="0" w:line="0" w:lineRule="atLeast"/>
        <w:rPr>
          <w:color w:val="auto"/>
        </w:rPr>
      </w:pPr>
      <w:r>
        <w:rPr>
          <w:rFonts w:hint="eastAsia" w:ascii="黑体" w:hAnsi="宋体" w:eastAsia="黑体" w:cs="黑体"/>
          <w:b/>
          <w:color w:val="auto"/>
          <w:sz w:val="32"/>
          <w:szCs w:val="32"/>
        </w:rPr>
        <w:t xml:space="preserve">九、中小企业声明函（服务）</w:t>
      </w:r>
      <w:r/>
    </w:p>
    <w:p>
      <w:pPr>
        <w:ind w:firstLine="480"/>
        <w:spacing w:line="360" w:lineRule="auto"/>
        <w:rPr>
          <w:color w:val="auto"/>
          <w:szCs w:val="21"/>
        </w:rPr>
      </w:pPr>
      <w:r>
        <w:rPr>
          <w:rFonts w:hint="eastAsia"/>
          <w:color w:val="auto"/>
          <w:szCs w:val="21"/>
        </w:rPr>
        <w:t xml:space="preserve">本公司（联合体）郑重声明，根据《政府采购促进中小企业发展管理办法》（财库﹝2020﹞46 号）的规定，本公司（联合体）参加</w:t>
      </w:r>
      <w:r>
        <w:rPr>
          <w:rFonts w:hint="eastAsia"/>
          <w:i/>
          <w:iCs/>
          <w:color w:val="auto"/>
          <w:szCs w:val="21"/>
          <w:u w:val="single"/>
        </w:rPr>
        <w:t xml:space="preserve">（单位名称）</w:t>
      </w:r>
      <w:r>
        <w:rPr>
          <w:rFonts w:hint="eastAsia"/>
          <w:color w:val="auto"/>
          <w:szCs w:val="21"/>
        </w:rPr>
        <w:t xml:space="preserve">采购编号为的</w:t>
      </w:r>
      <w:r>
        <w:rPr>
          <w:rFonts w:hint="eastAsia"/>
          <w:i/>
          <w:iCs/>
          <w:color w:val="auto"/>
          <w:szCs w:val="21"/>
          <w:u w:val="single"/>
        </w:rPr>
        <w:t xml:space="preserve">（项目名称）</w:t>
      </w:r>
      <w:r>
        <w:rPr>
          <w:rFonts w:hint="eastAsia"/>
          <w:color w:val="auto"/>
          <w:szCs w:val="21"/>
        </w:rPr>
        <w:t xml:space="preserve">的采购活动，服务全部由符合政策要求的中小企业承接。相关企业（含联合体中的中小企业、签订分包意向协议的中小企业）的具体情况如下：</w:t>
      </w:r>
      <w:r/>
    </w:p>
    <w:p>
      <w:pPr>
        <w:numPr>
          <w:ilvl w:val="0"/>
          <w:numId w:val="4"/>
        </w:numPr>
        <w:ind w:firstLine="480"/>
        <w:spacing w:line="360" w:lineRule="auto"/>
        <w:rPr>
          <w:color w:val="auto"/>
          <w:szCs w:val="21"/>
        </w:rPr>
      </w:pPr>
      <w:r>
        <w:rPr>
          <w:rFonts w:hint="eastAsia"/>
          <w:i/>
          <w:iCs/>
          <w:color w:val="auto"/>
          <w:szCs w:val="21"/>
          <w:u w:val="single"/>
        </w:rPr>
        <w:t xml:space="preserve">（标的名称）</w:t>
      </w:r>
      <w:r>
        <w:rPr>
          <w:rFonts w:hint="eastAsia"/>
          <w:color w:val="auto"/>
          <w:szCs w:val="21"/>
        </w:rPr>
        <w:t xml:space="preserve"> ，属于</w:t>
      </w:r>
      <w:r>
        <w:rPr>
          <w:rFonts w:hint="eastAsia"/>
          <w:i/>
          <w:iCs/>
          <w:color w:val="auto"/>
          <w:szCs w:val="21"/>
          <w:u w:val="single"/>
        </w:rPr>
        <w:t xml:space="preserve">（采购文件中明确的所属行业）</w:t>
      </w:r>
      <w:r>
        <w:rPr>
          <w:rFonts w:hint="eastAsia"/>
          <w:color w:val="auto"/>
          <w:szCs w:val="21"/>
        </w:rPr>
        <w:t xml:space="preserve">；承建（承接）企业为</w:t>
      </w:r>
      <w:r>
        <w:rPr>
          <w:rFonts w:hint="eastAsia"/>
          <w:i/>
          <w:iCs/>
          <w:color w:val="auto"/>
          <w:szCs w:val="21"/>
          <w:u w:val="single"/>
        </w:rPr>
        <w:t xml:space="preserve">（企业名称）</w:t>
      </w:r>
      <w:r>
        <w:rPr>
          <w:rFonts w:hint="eastAsia"/>
          <w:color w:val="auto"/>
          <w:szCs w:val="21"/>
        </w:rPr>
        <w:t xml:space="preserve">，从业人员人，营业收入为万元，资产总额为万元，属于（</w:t>
      </w:r>
      <w:r>
        <w:rPr>
          <w:rFonts w:hint="eastAsia"/>
          <w:i/>
          <w:iCs/>
          <w:color w:val="auto"/>
          <w:szCs w:val="21"/>
          <w:u w:val="single"/>
        </w:rPr>
        <w:t xml:space="preserve">中型企业、小型企业、微型企业</w:t>
      </w:r>
      <w:r>
        <w:rPr>
          <w:rFonts w:hint="eastAsia"/>
          <w:color w:val="auto"/>
          <w:szCs w:val="21"/>
        </w:rPr>
        <w:t xml:space="preserve">）；</w:t>
      </w:r>
      <w:r/>
    </w:p>
    <w:p>
      <w:pPr>
        <w:numPr>
          <w:ilvl w:val="0"/>
          <w:numId w:val="4"/>
        </w:numPr>
        <w:ind w:firstLine="480"/>
        <w:spacing w:line="360" w:lineRule="auto"/>
        <w:rPr>
          <w:color w:val="auto"/>
          <w:szCs w:val="21"/>
        </w:rPr>
      </w:pPr>
      <w:r>
        <w:rPr>
          <w:rFonts w:hint="eastAsia"/>
          <w:i/>
          <w:iCs/>
          <w:color w:val="auto"/>
          <w:szCs w:val="21"/>
          <w:u w:val="single"/>
        </w:rPr>
        <w:t xml:space="preserve">（标的名称）</w:t>
      </w:r>
      <w:r>
        <w:rPr>
          <w:rFonts w:hint="eastAsia"/>
          <w:color w:val="auto"/>
          <w:szCs w:val="21"/>
        </w:rPr>
        <w:t xml:space="preserve"> ，属于</w:t>
      </w:r>
      <w:r>
        <w:rPr>
          <w:rFonts w:hint="eastAsia"/>
          <w:i/>
          <w:iCs/>
          <w:color w:val="auto"/>
          <w:szCs w:val="21"/>
          <w:u w:val="single"/>
        </w:rPr>
        <w:t xml:space="preserve">（采购文件中明确的所属行业）</w:t>
      </w:r>
      <w:r>
        <w:rPr>
          <w:rFonts w:hint="eastAsia"/>
          <w:color w:val="auto"/>
          <w:szCs w:val="21"/>
        </w:rPr>
        <w:t xml:space="preserve">；承建（承接）企业为</w:t>
      </w:r>
      <w:r>
        <w:rPr>
          <w:rFonts w:hint="eastAsia"/>
          <w:i/>
          <w:iCs/>
          <w:color w:val="auto"/>
          <w:szCs w:val="21"/>
          <w:u w:val="single"/>
        </w:rPr>
        <w:t xml:space="preserve">（企业名称）</w:t>
      </w:r>
      <w:r>
        <w:rPr>
          <w:rFonts w:hint="eastAsia"/>
          <w:color w:val="auto"/>
          <w:szCs w:val="21"/>
        </w:rPr>
        <w:t xml:space="preserve">，从业人员人，营业收入为万元，资产总额为万元，属于</w:t>
      </w:r>
      <w:r>
        <w:rPr>
          <w:rFonts w:hint="eastAsia"/>
          <w:i/>
          <w:iCs/>
          <w:color w:val="auto"/>
          <w:szCs w:val="21"/>
          <w:u w:val="single"/>
        </w:rPr>
        <w:t xml:space="preserve">（中型企业、小型企业、微型企业）</w:t>
      </w:r>
      <w:r>
        <w:rPr>
          <w:rFonts w:hint="eastAsia"/>
          <w:color w:val="auto"/>
          <w:szCs w:val="21"/>
        </w:rPr>
        <w:t xml:space="preserve">；</w:t>
      </w:r>
      <w:r/>
    </w:p>
    <w:p>
      <w:pPr>
        <w:ind w:firstLine="420"/>
        <w:spacing w:line="360" w:lineRule="auto"/>
        <w:rPr>
          <w:color w:val="auto"/>
          <w:szCs w:val="21"/>
        </w:rPr>
      </w:pPr>
      <w:r>
        <w:rPr>
          <w:rFonts w:hint="eastAsia"/>
          <w:color w:val="auto"/>
          <w:szCs w:val="21"/>
        </w:rPr>
        <w:t xml:space="preserve">……</w:t>
      </w:r>
      <w:r/>
    </w:p>
    <w:p>
      <w:pPr>
        <w:ind w:firstLine="420"/>
        <w:spacing w:line="360" w:lineRule="auto"/>
        <w:rPr>
          <w:color w:val="auto"/>
          <w:szCs w:val="21"/>
        </w:rPr>
      </w:pPr>
      <w:r>
        <w:rPr>
          <w:rFonts w:hint="eastAsia"/>
          <w:color w:val="auto"/>
          <w:szCs w:val="21"/>
        </w:rPr>
        <w:t xml:space="preserve">以上企业，不属于大企业的分支机构，不存在控股股东为大企业的情形，也不存在与大企业的负责人为同一人的情形。</w:t>
      </w:r>
      <w:r/>
    </w:p>
    <w:p>
      <w:pPr>
        <w:ind w:firstLine="420"/>
        <w:spacing w:line="360" w:lineRule="auto"/>
        <w:rPr>
          <w:color w:val="auto"/>
          <w:szCs w:val="21"/>
        </w:rPr>
      </w:pPr>
      <w:r>
        <w:rPr>
          <w:rFonts w:hint="eastAsia"/>
          <w:color w:val="auto"/>
          <w:szCs w:val="21"/>
        </w:rPr>
        <w:t xml:space="preserve">本企业对上述声明内容的真实性负责。如有虚假，将依法承担相应责任。</w:t>
      </w:r>
      <w:r/>
    </w:p>
    <w:p>
      <w:pPr>
        <w:pStyle w:val="1300"/>
        <w:ind w:right="720"/>
        <w:jc w:val="both"/>
        <w:spacing w:beforeAutospacing="0" w:afterAutospacing="0" w:line="360" w:lineRule="auto"/>
        <w:rPr>
          <w:color w:val="auto"/>
          <w:sz w:val="21"/>
          <w:szCs w:val="21"/>
        </w:rPr>
      </w:pPr>
      <w:r>
        <w:rPr>
          <w:color w:val="auto"/>
          <w:sz w:val="21"/>
          <w:szCs w:val="21"/>
        </w:rPr>
        <w:t xml:space="preserve"> </w:t>
      </w:r>
      <w:r/>
    </w:p>
    <w:p>
      <w:pPr>
        <w:pStyle w:val="1300"/>
        <w:ind w:right="180" w:firstLine="360"/>
        <w:jc w:val="right"/>
        <w:spacing w:beforeAutospacing="0" w:afterAutospacing="0" w:line="360" w:lineRule="auto"/>
        <w:rPr>
          <w:color w:val="auto"/>
          <w:sz w:val="21"/>
          <w:szCs w:val="21"/>
        </w:rPr>
      </w:pPr>
      <w:r>
        <w:rPr>
          <w:rFonts w:hint="eastAsia" w:ascii="宋体" w:hAnsi="宋体" w:eastAsia="宋体" w:cs="宋体"/>
          <w:color w:val="auto"/>
          <w:sz w:val="21"/>
          <w:szCs w:val="21"/>
        </w:rPr>
        <w:t xml:space="preserve">企业名称（加盖CA电子公章）：</w:t>
      </w:r>
      <w:r/>
    </w:p>
    <w:p>
      <w:pPr>
        <w:pStyle w:val="1300"/>
        <w:ind w:right="480" w:firstLine="540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日  期：</w:t>
      </w:r>
      <w:r/>
    </w:p>
    <w:p>
      <w:pPr>
        <w:pStyle w:val="1300"/>
        <w:ind w:firstLine="240"/>
        <w:jc w:val="both"/>
        <w:spacing w:beforeAutospacing="0" w:afterAutospacing="0" w:line="360" w:lineRule="auto"/>
        <w:rPr>
          <w:color w:val="auto"/>
          <w:sz w:val="21"/>
          <w:szCs w:val="21"/>
        </w:rPr>
      </w:pPr>
      <w:r>
        <w:rPr>
          <w:color w:val="auto"/>
          <w:sz w:val="21"/>
          <w:szCs w:val="21"/>
        </w:rPr>
        <w:t xml:space="preserve"> </w:t>
      </w:r>
      <w:r/>
    </w:p>
    <w:p>
      <w:pPr>
        <w:pStyle w:val="1300"/>
        <w:ind w:firstLine="48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备注1：从业人员、营业收入、资产总额填报上一年度数据，无上一年度数据的新成立企业可不填报。</w:t>
      </w:r>
      <w:r/>
    </w:p>
    <w:p>
      <w:pPr>
        <w:pStyle w:val="1300"/>
        <w:ind w:firstLine="48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备注2：供应商如不提供此声明函，价格将不做相应扣除（如项目全面面向中小企业，则资格审查不通过）。</w:t>
      </w:r>
      <w:r/>
    </w:p>
    <w:p>
      <w:pPr>
        <w:pStyle w:val="1300"/>
        <w:jc w:val="center"/>
        <w:spacing w:beforeAutospacing="0" w:afterAutospacing="0" w:line="360" w:lineRule="auto"/>
        <w:rPr>
          <w:color w:val="auto"/>
        </w:rPr>
      </w:pPr>
      <w:r>
        <w:rPr>
          <w:rFonts w:hint="eastAsia" w:ascii="黑体" w:hAnsi="宋体" w:eastAsia="黑体" w:cs="黑体"/>
          <w:b/>
          <w:color w:val="auto"/>
          <w:sz w:val="21"/>
          <w:szCs w:val="21"/>
        </w:rPr>
        <w:br w:type="page" w:clear="all"/>
      </w:r>
      <w:r>
        <w:rPr>
          <w:rFonts w:hint="eastAsia" w:ascii="黑体" w:hAnsi="宋体" w:eastAsia="黑体" w:cs="黑体"/>
          <w:b/>
          <w:color w:val="auto"/>
          <w:sz w:val="32"/>
          <w:szCs w:val="32"/>
        </w:rPr>
        <w:t xml:space="preserve"> 十、残疾人福利性单位声明函</w:t>
      </w:r>
      <w:r/>
    </w:p>
    <w:p>
      <w:pPr>
        <w:pStyle w:val="1300"/>
        <w:ind w:firstLine="48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项目（分包号：**）采购活动由本单位提供服务。</w:t>
      </w:r>
      <w:r/>
    </w:p>
    <w:p>
      <w:pPr>
        <w:pStyle w:val="1300"/>
        <w:ind w:firstLine="48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本单位对上述声明的真实性负责。如有虚假，将依法承担相应责任。</w:t>
      </w:r>
      <w:r/>
    </w:p>
    <w:p>
      <w:pPr>
        <w:pStyle w:val="1300"/>
        <w:ind w:firstLine="480"/>
        <w:jc w:val="both"/>
        <w:spacing w:beforeAutospacing="0" w:afterAutospacing="0" w:line="360" w:lineRule="auto"/>
        <w:rPr>
          <w:color w:val="auto"/>
          <w:sz w:val="21"/>
          <w:szCs w:val="21"/>
        </w:rPr>
      </w:pPr>
      <w:r>
        <w:rPr>
          <w:color w:val="auto"/>
          <w:sz w:val="21"/>
          <w:szCs w:val="21"/>
        </w:rPr>
        <w:t xml:space="preserve"> </w:t>
      </w:r>
      <w:r/>
    </w:p>
    <w:p>
      <w:pPr>
        <w:pStyle w:val="1300"/>
        <w:ind w:firstLine="480"/>
        <w:jc w:val="both"/>
        <w:spacing w:beforeAutospacing="0" w:afterAutospacing="0" w:line="360" w:lineRule="auto"/>
        <w:rPr>
          <w:rFonts w:eastAsia="宋体"/>
          <w:color w:val="auto"/>
          <w:sz w:val="21"/>
          <w:szCs w:val="21"/>
        </w:rPr>
      </w:pPr>
      <w:r>
        <w:rPr>
          <w:rFonts w:hint="eastAsia" w:ascii="宋体" w:hAnsi="宋体" w:eastAsia="宋体" w:cs="宋体"/>
          <w:color w:val="auto"/>
          <w:sz w:val="21"/>
          <w:szCs w:val="21"/>
        </w:rPr>
        <w:t xml:space="preserve">备注：1、供应商如不提供此声明函，价格将不做相应扣除（如项目全面面向中小企业，则资格审查不通过）。</w:t>
      </w:r>
      <w:r/>
    </w:p>
    <w:p>
      <w:pPr>
        <w:pStyle w:val="1300"/>
        <w:ind w:firstLine="48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2、中标人为残疾人福利单位的，此声明函将随中标结果同时公告，接受社会监督</w:t>
      </w:r>
      <w:r/>
    </w:p>
    <w:p>
      <w:pPr>
        <w:pStyle w:val="1300"/>
        <w:ind w:firstLine="624"/>
        <w:jc w:val="both"/>
        <w:spacing w:beforeAutospacing="0" w:afterAutospacing="0" w:line="360" w:lineRule="auto"/>
        <w:rPr>
          <w:color w:val="auto"/>
          <w:sz w:val="21"/>
          <w:szCs w:val="21"/>
        </w:rPr>
      </w:pPr>
      <w:r>
        <w:rPr>
          <w:color w:val="auto"/>
          <w:sz w:val="21"/>
          <w:szCs w:val="21"/>
        </w:rPr>
        <w:t xml:space="preserve"> </w:t>
      </w:r>
      <w:r/>
    </w:p>
    <w:p>
      <w:pPr>
        <w:pStyle w:val="1300"/>
        <w:ind w:right="1560" w:firstLine="624"/>
        <w:jc w:val="center"/>
        <w:spacing w:beforeAutospacing="0" w:afterAutospacing="0" w:line="360" w:lineRule="auto"/>
        <w:tabs>
          <w:tab w:val="left" w:pos="4864" w:leader="none"/>
        </w:tabs>
        <w:rPr>
          <w:color w:val="auto"/>
          <w:sz w:val="21"/>
          <w:szCs w:val="21"/>
        </w:rPr>
      </w:pPr>
      <w:r>
        <w:rPr>
          <w:rFonts w:ascii="仿宋_GB2312" w:eastAsia="仿宋_GB2312" w:cs="仿宋_GB2312"/>
          <w:color w:val="auto"/>
          <w:sz w:val="21"/>
          <w:szCs w:val="21"/>
        </w:rPr>
        <w:t xml:space="preserve">             </w:t>
      </w:r>
      <w:r>
        <w:rPr>
          <w:rFonts w:hint="eastAsia" w:ascii="宋体" w:hAnsi="宋体" w:eastAsia="宋体" w:cs="宋体"/>
          <w:color w:val="auto"/>
          <w:sz w:val="21"/>
          <w:szCs w:val="21"/>
        </w:rPr>
        <w:t xml:space="preserve">          供应商全称（加盖CA电子公章）：</w:t>
      </w:r>
      <w:r/>
    </w:p>
    <w:p>
      <w:pPr>
        <w:pStyle w:val="1300"/>
        <w:ind w:right="1560" w:firstLine="480"/>
        <w:jc w:val="center"/>
        <w:spacing w:beforeAutospacing="0" w:afterAutospacing="0" w:line="360" w:lineRule="auto"/>
        <w:tabs>
          <w:tab w:val="left" w:pos="4864" w:leader="none"/>
        </w:tabs>
        <w:rPr>
          <w:color w:val="auto"/>
          <w:sz w:val="21"/>
          <w:szCs w:val="21"/>
        </w:rPr>
      </w:pPr>
      <w:r>
        <w:rPr>
          <w:rFonts w:hint="eastAsia" w:ascii="宋体" w:hAnsi="宋体" w:eastAsia="宋体" w:cs="宋体"/>
          <w:color w:val="auto"/>
          <w:sz w:val="21"/>
          <w:szCs w:val="21"/>
        </w:rPr>
        <w:t xml:space="preserve">        日  期：</w:t>
      </w:r>
      <w:r/>
    </w:p>
    <w:p>
      <w:pPr>
        <w:pStyle w:val="1300"/>
        <w:jc w:val="center"/>
        <w:spacing w:beforeAutospacing="0" w:afterAutospacing="0" w:line="360" w:lineRule="auto"/>
        <w:rPr>
          <w:color w:val="auto"/>
          <w:sz w:val="21"/>
          <w:szCs w:val="21"/>
        </w:rPr>
      </w:pPr>
      <w:r>
        <w:rPr>
          <w:color w:val="auto"/>
          <w:sz w:val="21"/>
          <w:szCs w:val="21"/>
        </w:rPr>
        <w:t xml:space="preserve"> </w:t>
      </w:r>
      <w:r/>
    </w:p>
    <w:p>
      <w:pPr>
        <w:pStyle w:val="1300"/>
        <w:jc w:val="center"/>
        <w:spacing w:beforeAutospacing="0" w:afterAutospacing="0" w:line="0" w:lineRule="atLeast"/>
        <w:rPr>
          <w:color w:val="auto"/>
        </w:rPr>
      </w:pPr>
      <w:r>
        <w:rPr>
          <w:color w:val="auto"/>
        </w:rPr>
        <w:t xml:space="preserve"> </w:t>
      </w:r>
      <w:r/>
    </w:p>
    <w:p>
      <w:pPr>
        <w:pStyle w:val="1300"/>
        <w:jc w:val="center"/>
        <w:spacing w:beforeAutospacing="0" w:afterAutospacing="0" w:line="0" w:lineRule="atLeast"/>
        <w:rPr>
          <w:color w:val="auto"/>
        </w:rPr>
      </w:pPr>
      <w:r>
        <w:rPr>
          <w:color w:val="auto"/>
        </w:rPr>
        <w:t xml:space="preserve"> </w:t>
      </w:r>
      <w:r/>
    </w:p>
    <w:p>
      <w:pPr>
        <w:pStyle w:val="1300"/>
        <w:jc w:val="center"/>
        <w:spacing w:beforeAutospacing="0" w:afterAutospacing="0" w:line="0" w:lineRule="atLeast"/>
        <w:rPr>
          <w:color w:val="auto"/>
        </w:rPr>
      </w:pPr>
      <w:r>
        <w:rPr>
          <w:color w:val="auto"/>
        </w:rPr>
        <w:t xml:space="preserve"> </w:t>
      </w:r>
      <w:r/>
    </w:p>
    <w:p>
      <w:pPr>
        <w:pStyle w:val="1300"/>
        <w:jc w:val="center"/>
        <w:spacing w:beforeAutospacing="0" w:afterAutospacing="0" w:line="0" w:lineRule="atLeast"/>
        <w:rPr>
          <w:color w:val="auto"/>
        </w:rPr>
      </w:pPr>
      <w:r>
        <w:rPr>
          <w:color w:val="auto"/>
        </w:rPr>
        <w:t xml:space="preserve"> </w:t>
      </w:r>
      <w:r/>
    </w:p>
    <w:p>
      <w:pPr>
        <w:pStyle w:val="1300"/>
        <w:jc w:val="center"/>
        <w:spacing w:beforeAutospacing="0" w:afterAutospacing="0" w:line="0" w:lineRule="atLeast"/>
        <w:rPr>
          <w:color w:val="auto"/>
        </w:rPr>
      </w:pPr>
      <w:r>
        <w:rPr>
          <w:color w:val="auto"/>
        </w:rPr>
        <w:t xml:space="preserve"> </w:t>
      </w:r>
      <w:r/>
    </w:p>
    <w:p>
      <w:pPr>
        <w:pStyle w:val="1300"/>
        <w:jc w:val="center"/>
        <w:spacing w:beforeAutospacing="0" w:afterAutospacing="0" w:line="0" w:lineRule="atLeast"/>
        <w:rPr>
          <w:color w:val="auto"/>
        </w:rPr>
      </w:pPr>
      <w:r>
        <w:rPr>
          <w:color w:val="auto"/>
        </w:rPr>
        <w:t xml:space="preserve"> </w:t>
      </w:r>
      <w:r/>
    </w:p>
    <w:p>
      <w:pPr>
        <w:pStyle w:val="1300"/>
        <w:jc w:val="center"/>
        <w:spacing w:beforeAutospacing="0" w:afterAutospacing="0" w:line="0" w:lineRule="atLeast"/>
        <w:rPr>
          <w:color w:val="auto"/>
        </w:rPr>
      </w:pPr>
      <w:r>
        <w:rPr>
          <w:color w:val="auto"/>
        </w:rPr>
        <w:t xml:space="preserve"> </w:t>
      </w:r>
      <w:r/>
    </w:p>
    <w:p>
      <w:pPr>
        <w:pStyle w:val="1300"/>
        <w:jc w:val="center"/>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r>
      <w:r/>
    </w:p>
    <w:p>
      <w:pPr>
        <w:pStyle w:val="1300"/>
        <w:jc w:val="both"/>
        <w:spacing w:beforeAutospacing="0" w:afterAutospacing="0" w:line="0" w:lineRule="atLeast"/>
        <w:rPr>
          <w:color w:val="auto"/>
        </w:rPr>
      </w:pPr>
      <w:r>
        <w:rPr>
          <w:color w:val="auto"/>
        </w:rPr>
        <w:t xml:space="preserve"> </w:t>
      </w:r>
      <w:r/>
    </w:p>
    <w:p>
      <w:pPr>
        <w:pStyle w:val="1300"/>
        <w:jc w:val="both"/>
        <w:spacing w:beforeAutospacing="0" w:afterAutospacing="0" w:line="0" w:lineRule="atLeast"/>
        <w:rPr>
          <w:color w:val="auto"/>
        </w:rPr>
      </w:pPr>
      <w:r>
        <w:rPr>
          <w:color w:val="auto"/>
        </w:rPr>
      </w:r>
      <w:r/>
    </w:p>
    <w:p>
      <w:pPr>
        <w:pStyle w:val="1300"/>
        <w:jc w:val="both"/>
        <w:spacing w:beforeAutospacing="0" w:afterAutospacing="0" w:line="0" w:lineRule="atLeast"/>
        <w:rPr>
          <w:color w:val="auto"/>
        </w:rPr>
      </w:pPr>
      <w:r>
        <w:rPr>
          <w:color w:val="auto"/>
        </w:rPr>
      </w:r>
      <w:r>
        <w:rPr>
          <w:color w:val="auto"/>
        </w:rPr>
      </w:r>
      <w:r/>
    </w:p>
    <w:p>
      <w:pPr>
        <w:pStyle w:val="1300"/>
        <w:jc w:val="both"/>
        <w:spacing w:beforeAutospacing="0" w:afterAutospacing="0" w:line="0" w:lineRule="atLeast"/>
        <w:rPr>
          <w:color w:val="auto"/>
        </w:rPr>
      </w:pPr>
      <w:r>
        <w:rPr>
          <w:color w:val="auto"/>
        </w:rPr>
      </w:r>
      <w:r/>
    </w:p>
    <w:p>
      <w:pPr>
        <w:pStyle w:val="1300"/>
        <w:jc w:val="center"/>
        <w:spacing w:beforeAutospacing="0" w:afterAutospacing="0" w:line="0" w:lineRule="atLeast"/>
        <w:rPr>
          <w:color w:val="auto"/>
        </w:rPr>
      </w:pPr>
      <w:r>
        <w:rPr>
          <w:color w:val="auto"/>
        </w:rPr>
        <w:t xml:space="preserve"> </w:t>
      </w:r>
      <w:r/>
    </w:p>
    <w:p>
      <w:pPr>
        <w:pStyle w:val="1300"/>
        <w:jc w:val="center"/>
        <w:spacing w:beforeAutospacing="0" w:afterAutospacing="0" w:line="0" w:lineRule="atLeast"/>
        <w:rPr>
          <w:color w:val="auto"/>
        </w:rPr>
      </w:pPr>
      <w:r>
        <w:rPr>
          <w:color w:val="auto"/>
        </w:rPr>
      </w:r>
      <w:r/>
    </w:p>
    <w:p>
      <w:pPr>
        <w:pStyle w:val="1300"/>
        <w:jc w:val="both"/>
        <w:spacing w:beforeAutospacing="0" w:afterAutospacing="0" w:line="0" w:lineRule="atLeast"/>
        <w:rPr>
          <w:color w:val="auto"/>
        </w:rPr>
      </w:pPr>
      <w:r>
        <w:rPr>
          <w:color w:val="auto"/>
        </w:rPr>
      </w:r>
      <w:r/>
    </w:p>
    <w:p>
      <w:pPr>
        <w:pStyle w:val="1300"/>
        <w:jc w:val="center"/>
        <w:spacing w:beforeAutospacing="0" w:afterAutospacing="0"/>
        <w:rPr>
          <w:color w:val="auto"/>
        </w:rPr>
      </w:pPr>
      <w:r>
        <w:rPr>
          <w:rFonts w:hint="eastAsia" w:ascii="黑体" w:hAnsi="宋体" w:eastAsia="黑体" w:cs="黑体"/>
          <w:b/>
          <w:color w:val="auto"/>
          <w:sz w:val="32"/>
          <w:szCs w:val="32"/>
        </w:rPr>
        <w:t xml:space="preserve">十一、投标分项报价表</w:t>
      </w:r>
      <w:r/>
    </w:p>
    <w:tbl>
      <w:tblPr>
        <w:tblStyle w:val="1290"/>
        <w:tblW w:w="837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81"/>
        <w:gridCol w:w="1217"/>
        <w:gridCol w:w="1205"/>
        <w:gridCol w:w="878"/>
        <w:gridCol w:w="1129"/>
        <w:gridCol w:w="1502"/>
        <w:gridCol w:w="1663"/>
      </w:tblGrid>
      <w:tr>
        <w:trPr>
          <w:jc w:val="cente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6</w:t>
            </w:r>
            <w:r/>
          </w:p>
        </w:tc>
      </w:tr>
      <w:tr>
        <w:trPr>
          <w:jc w:val="cente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rPr>
                <w:rFonts w:ascii="宋体"/>
                <w:color w:val="auto"/>
                <w:sz w:val="24"/>
              </w:rPr>
            </w:pPr>
            <w:r>
              <w:rPr>
                <w:rFonts w:ascii="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分项</w:t>
            </w:r>
            <w:r/>
          </w:p>
          <w:p>
            <w:pPr>
              <w:pStyle w:val="1300"/>
              <w:jc w:val="center"/>
              <w:spacing w:beforeAutospacing="0" w:afterAutospacing="0" w:line="0" w:lineRule="atLeast"/>
              <w:rPr>
                <w:color w:val="auto"/>
              </w:rPr>
            </w:pPr>
            <w:r>
              <w:rPr>
                <w:rFonts w:hint="eastAsia" w:ascii="宋体" w:hAnsi="宋体" w:eastAsia="宋体" w:cs="宋体"/>
                <w:color w:val="auto"/>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分项</w:t>
            </w:r>
            <w:r/>
          </w:p>
          <w:p>
            <w:pPr>
              <w:pStyle w:val="1300"/>
              <w:jc w:val="center"/>
              <w:spacing w:beforeAutospacing="0" w:afterAutospacing="0" w:line="0" w:lineRule="atLeast"/>
              <w:rPr>
                <w:color w:val="auto"/>
              </w:rPr>
            </w:pPr>
            <w:r>
              <w:rPr>
                <w:rFonts w:hint="eastAsia" w:ascii="宋体" w:hAnsi="宋体" w:eastAsia="宋体" w:cs="宋体"/>
                <w:color w:val="auto"/>
              </w:rPr>
              <w:t xml:space="preserve">总价</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300"/>
              <w:jc w:val="center"/>
              <w:spacing w:beforeAutospacing="0" w:afterAutospacing="0" w:line="0" w:lineRule="atLeast"/>
              <w:rPr>
                <w:color w:val="auto"/>
              </w:rPr>
            </w:pPr>
            <w:r>
              <w:rPr>
                <w:color w:val="auto"/>
              </w:rPr>
              <w:t xml:space="preserve"> </w:t>
            </w:r>
            <w:r/>
          </w:p>
        </w:tc>
      </w:tr>
      <w:tr>
        <w:trPr>
          <w:jc w:val="cente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712" w:type="dxa"/>
            <w:vAlign w:val="center"/>
            <w:textDirection w:val="lrTb"/>
            <w:noWrap w:val="false"/>
          </w:tcPr>
          <w:p>
            <w:pPr>
              <w:pStyle w:val="1300"/>
              <w:jc w:val="center"/>
              <w:spacing w:beforeAutospacing="0" w:afterAutospacing="0" w:line="0" w:lineRule="atLeast"/>
              <w:rPr>
                <w:color w:val="auto"/>
              </w:rPr>
            </w:pPr>
            <w:r>
              <w:rPr>
                <w:rFonts w:hint="eastAsia" w:ascii="宋体" w:hAnsi="宋体" w:eastAsia="宋体" w:cs="宋体"/>
                <w:color w:val="auto"/>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300"/>
              <w:jc w:val="both"/>
              <w:spacing w:beforeAutospacing="0" w:afterAutospacing="0" w:line="0" w:lineRule="atLeast"/>
              <w:rPr>
                <w:color w:val="auto"/>
              </w:rPr>
            </w:pPr>
            <w:r>
              <w:rPr>
                <w:color w:val="auto"/>
              </w:rPr>
              <w:t xml:space="preserve"> </w:t>
            </w:r>
            <w:r/>
          </w:p>
        </w:tc>
      </w:tr>
    </w:tbl>
    <w:p>
      <w:pPr>
        <w:pStyle w:val="1300"/>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1300"/>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r>
      <w:r/>
    </w:p>
    <w:p>
      <w:pPr>
        <w:pStyle w:val="1300"/>
        <w:jc w:val="center"/>
        <w:spacing w:beforeAutospacing="0" w:afterAutospacing="0"/>
        <w:rPr>
          <w:color w:val="auto"/>
        </w:rPr>
      </w:pPr>
      <w:r>
        <w:rPr>
          <w:color w:val="auto"/>
        </w:rPr>
      </w:r>
      <w:r/>
    </w:p>
    <w:p>
      <w:pPr>
        <w:pStyle w:val="1300"/>
        <w:jc w:val="center"/>
        <w:spacing w:beforeAutospacing="0" w:afterAutospacing="0"/>
        <w:rPr>
          <w:color w:val="auto"/>
        </w:rPr>
      </w:pPr>
      <w:r>
        <w:rPr>
          <w:color w:val="auto"/>
        </w:rPr>
      </w:r>
      <w:r/>
    </w:p>
    <w:p>
      <w:pPr>
        <w:pStyle w:val="1300"/>
        <w:jc w:val="center"/>
        <w:spacing w:beforeAutospacing="0" w:afterAutospacing="0"/>
        <w:rPr>
          <w:color w:val="auto"/>
        </w:rPr>
      </w:pPr>
      <w:r>
        <w:rPr>
          <w:color w:val="auto"/>
        </w:rPr>
      </w:r>
      <w:r/>
    </w:p>
    <w:p>
      <w:pPr>
        <w:pStyle w:val="1300"/>
        <w:jc w:val="center"/>
        <w:spacing w:beforeAutospacing="0" w:afterAutospacing="0"/>
        <w:rPr>
          <w:color w:val="auto"/>
        </w:rPr>
      </w:pPr>
      <w:r>
        <w:rPr>
          <w:color w:val="auto"/>
        </w:rPr>
      </w:r>
      <w:r/>
    </w:p>
    <w:p>
      <w:pPr>
        <w:pStyle w:val="1300"/>
        <w:jc w:val="center"/>
        <w:spacing w:beforeAutospacing="0" w:afterAutospacing="0"/>
        <w:rPr>
          <w:color w:val="auto"/>
        </w:rPr>
      </w:pPr>
      <w:r>
        <w:rPr>
          <w:color w:val="auto"/>
        </w:rPr>
      </w:r>
      <w:r/>
    </w:p>
    <w:p>
      <w:pPr>
        <w:pStyle w:val="1300"/>
        <w:jc w:val="center"/>
        <w:spacing w:beforeAutospacing="0" w:afterAutospacing="0"/>
        <w:rPr>
          <w:color w:val="auto"/>
        </w:rPr>
      </w:pPr>
      <w:r>
        <w:rPr>
          <w:color w:val="auto"/>
        </w:rPr>
      </w:r>
      <w:r/>
    </w:p>
    <w:p>
      <w:pPr>
        <w:pStyle w:val="1300"/>
        <w:jc w:val="center"/>
        <w:spacing w:beforeAutospacing="0" w:afterAutospacing="0"/>
        <w:rPr>
          <w:color w:val="auto"/>
        </w:rPr>
      </w:pPr>
      <w:r>
        <w:rPr>
          <w:color w:val="auto"/>
        </w:rPr>
      </w:r>
      <w:r/>
    </w:p>
    <w:p>
      <w:pPr>
        <w:pStyle w:val="1300"/>
        <w:jc w:val="center"/>
        <w:spacing w:beforeAutospacing="0" w:afterAutospacing="0"/>
        <w:rPr>
          <w:color w:val="auto"/>
        </w:rPr>
      </w:pPr>
      <w:r>
        <w:rPr>
          <w:color w:val="auto"/>
        </w:rPr>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r>
      <w:r/>
    </w:p>
    <w:p>
      <w:pPr>
        <w:rPr>
          <w:rFonts w:ascii="黑体" w:hAnsi="宋体" w:eastAsia="黑体" w:cs="黑体"/>
          <w:b/>
          <w:color w:val="auto"/>
          <w:sz w:val="32"/>
          <w:szCs w:val="32"/>
        </w:rPr>
      </w:pPr>
      <w:r>
        <w:rPr>
          <w:rFonts w:hint="eastAsia" w:ascii="黑体" w:hAnsi="宋体" w:eastAsia="黑体" w:cs="黑体"/>
          <w:b/>
          <w:color w:val="auto"/>
          <w:sz w:val="32"/>
          <w:szCs w:val="32"/>
        </w:rPr>
        <w:br w:type="page" w:clear="all"/>
      </w:r>
      <w:r/>
    </w:p>
    <w:p>
      <w:pPr>
        <w:pStyle w:val="1300"/>
        <w:jc w:val="center"/>
        <w:spacing w:beforeAutospacing="0" w:afterAutospacing="0"/>
        <w:rPr>
          <w:color w:val="auto"/>
        </w:rPr>
      </w:pPr>
      <w:r>
        <w:rPr>
          <w:rFonts w:hint="eastAsia" w:ascii="黑体" w:hAnsi="宋体" w:eastAsia="黑体" w:cs="黑体"/>
          <w:b/>
          <w:color w:val="auto"/>
          <w:sz w:val="32"/>
          <w:szCs w:val="32"/>
        </w:rPr>
        <w:t xml:space="preserve">十二、技术要求响应及偏离表</w:t>
      </w:r>
      <w:r/>
    </w:p>
    <w:tbl>
      <w:tblPr>
        <w:tblStyle w:val="1290"/>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00"/>
              <w:jc w:val="center"/>
              <w:spacing w:beforeAutospacing="0" w:afterAutospacing="0"/>
              <w:rPr>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00"/>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00"/>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00"/>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00"/>
              <w:jc w:val="center"/>
              <w:spacing w:beforeAutospacing="0" w:afterAutospacing="0"/>
              <w:rPr>
                <w:color w:val="auto"/>
              </w:rPr>
            </w:pPr>
            <w:r>
              <w:rPr>
                <w:rFonts w:hint="eastAsia" w:ascii="宋体" w:hAnsi="宋体" w:eastAsia="宋体" w:cs="宋体"/>
                <w:color w:val="auto"/>
              </w:rPr>
              <w:t xml:space="preserve">证明</w:t>
            </w:r>
            <w:r/>
          </w:p>
          <w:p>
            <w:pPr>
              <w:pStyle w:val="1300"/>
              <w:jc w:val="center"/>
              <w:spacing w:beforeAutospacing="0" w:afterAutospacing="0"/>
              <w:rPr>
                <w:color w:val="auto"/>
              </w:rPr>
            </w:pPr>
            <w:r>
              <w:rPr>
                <w:rFonts w:hint="eastAsia" w:ascii="宋体" w:hAnsi="宋体" w:eastAsia="宋体" w:cs="宋体"/>
                <w:color w:val="auto"/>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00"/>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00"/>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00"/>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00"/>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00"/>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00"/>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00"/>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00"/>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00"/>
              <w:jc w:val="center"/>
              <w:spacing w:beforeAutospacing="0" w:afterAutospacing="0"/>
              <w:rPr>
                <w:color w:val="auto"/>
              </w:rPr>
            </w:pPr>
            <w:r>
              <w:rPr>
                <w:color w:val="auto"/>
              </w:rPr>
              <w:t xml:space="preserve"> </w:t>
            </w:r>
            <w:r/>
          </w:p>
        </w:tc>
      </w:tr>
    </w:tbl>
    <w:p>
      <w:pPr>
        <w:pStyle w:val="1300"/>
        <w:ind w:firstLine="480"/>
        <w:jc w:val="both"/>
        <w:spacing w:beforeAutospacing="0" w:afterAutospacing="0"/>
        <w:rPr>
          <w:color w:val="auto"/>
        </w:rPr>
      </w:pPr>
      <w:r>
        <w:rPr>
          <w:rFonts w:hint="eastAsia" w:ascii="宋体" w:hAnsi="宋体" w:eastAsia="宋体" w:cs="宋体"/>
          <w:color w:val="auto"/>
        </w:rPr>
        <w:t xml:space="preserve">注： 行数不够，可自行添加。</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t xml:space="preserve"> </w:t>
      </w:r>
      <w:r/>
    </w:p>
    <w:p>
      <w:pPr>
        <w:pStyle w:val="1300"/>
        <w:jc w:val="center"/>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center"/>
        <w:spacing w:beforeAutospacing="0" w:afterAutospacing="0"/>
        <w:rPr>
          <w:color w:val="auto"/>
        </w:rPr>
      </w:pPr>
      <w:r/>
      <w:bookmarkStart w:id="258" w:name="_Hlt26955054"/>
      <w:r>
        <w:rPr>
          <w:rFonts w:hint="eastAsia" w:ascii="黑体" w:hAnsi="宋体" w:eastAsia="黑体" w:cs="黑体"/>
          <w:b/>
          <w:color w:val="auto"/>
          <w:sz w:val="32"/>
          <w:szCs w:val="32"/>
        </w:rPr>
        <w:t xml:space="preserve">十三、商务要求响应及偏离表</w:t>
      </w:r>
      <w:r/>
    </w:p>
    <w:tbl>
      <w:tblPr>
        <w:tblStyle w:val="1290"/>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00"/>
              <w:jc w:val="center"/>
              <w:spacing w:beforeAutospacing="0" w:afterAutospacing="0"/>
              <w:rPr>
                <w:color w:val="auto"/>
              </w:rPr>
            </w:pPr>
            <w:r/>
            <w:bookmarkStart w:id="259" w:name="_Hlt26609391"/>
            <w:r/>
            <w:bookmarkStart w:id="260" w:name="_Hlt26955056"/>
            <w:r/>
            <w:bookmarkStart w:id="261" w:name="_Hlt26671372"/>
            <w:r/>
            <w:bookmarkStart w:id="262" w:name="_Hlt26782999"/>
            <w:r/>
            <w:bookmarkStart w:id="263" w:name="_Hlt26671343"/>
            <w:r/>
            <w:bookmarkStart w:id="264" w:name="_Hlt26955064"/>
            <w:r/>
            <w:bookmarkStart w:id="265" w:name="_Hlt26580838"/>
            <w:r/>
            <w:bookmarkStart w:id="266" w:name="_Hlt24879081"/>
            <w:r>
              <w:rPr>
                <w:rFonts w:hint="eastAsia" w:ascii="宋体" w:hAnsi="宋体" w:eastAsia="宋体" w:cs="宋体"/>
                <w:color w:val="auto"/>
              </w:rPr>
              <w:t xml:space="preserve">序号</w:t>
            </w:r>
            <w:bookmarkEnd w:id="259"/>
            <w:r/>
            <w:bookmarkEnd w:id="260"/>
            <w:r/>
            <w:bookmarkEnd w:id="261"/>
            <w:r/>
            <w:bookmarkEnd w:id="262"/>
            <w:r/>
            <w:bookmarkEnd w:id="263"/>
            <w:r/>
            <w:bookmarkEnd w:id="264"/>
            <w:r/>
            <w:bookmarkEnd w:id="265"/>
            <w:r/>
            <w:bookmarkEnd w:id="266"/>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00"/>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00"/>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00"/>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00"/>
              <w:jc w:val="center"/>
              <w:spacing w:beforeAutospacing="0" w:afterAutospacing="0"/>
              <w:rPr>
                <w:color w:val="auto"/>
              </w:rPr>
            </w:pPr>
            <w:r>
              <w:rPr>
                <w:rFonts w:hint="eastAsia" w:ascii="宋体" w:hAnsi="宋体" w:eastAsia="宋体" w:cs="宋体"/>
                <w:color w:val="auto"/>
              </w:rPr>
              <w:t xml:space="preserve">证明</w:t>
            </w:r>
            <w:r/>
          </w:p>
          <w:p>
            <w:pPr>
              <w:pStyle w:val="1300"/>
              <w:jc w:val="center"/>
              <w:spacing w:beforeAutospacing="0" w:afterAutospacing="0"/>
              <w:rPr>
                <w:color w:val="auto"/>
              </w:rPr>
            </w:pPr>
            <w:r>
              <w:rPr>
                <w:rFonts w:hint="eastAsia" w:ascii="宋体" w:hAnsi="宋体" w:eastAsia="宋体" w:cs="宋体"/>
                <w:color w:val="auto"/>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00"/>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00"/>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00"/>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00"/>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00"/>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00"/>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00"/>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0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00"/>
              <w:jc w:val="center"/>
              <w:spacing w:beforeAutospacing="0" w:afterAutospacing="0"/>
              <w:rPr>
                <w:color w:val="auto"/>
              </w:rPr>
            </w:pPr>
            <w:r>
              <w:rPr>
                <w:color w:val="auto"/>
              </w:rPr>
              <w:t xml:space="preserve"> </w:t>
            </w:r>
            <w:r/>
          </w:p>
        </w:tc>
      </w:tr>
    </w:tbl>
    <w:p>
      <w:pPr>
        <w:pStyle w:val="1300"/>
        <w:jc w:val="both"/>
        <w:spacing w:beforeAutospacing="0" w:afterAutospacing="0"/>
        <w:rPr>
          <w:color w:val="auto"/>
        </w:rPr>
      </w:pPr>
      <w:r>
        <w:rPr>
          <w:rFonts w:hint="eastAsia" w:ascii="宋体" w:hAnsi="宋体" w:eastAsia="宋体" w:cs="宋体"/>
          <w:color w:val="auto"/>
        </w:rPr>
        <w:t xml:space="preserve">注： 行数不够，可自行添加。</w:t>
      </w:r>
      <w:r/>
    </w:p>
    <w:p>
      <w:pPr>
        <w:pStyle w:val="1300"/>
        <w:jc w:val="both"/>
        <w:spacing w:beforeAutospacing="0" w:afterAutospacing="0" w:line="480" w:lineRule="auto"/>
        <w:rPr>
          <w:color w:val="auto"/>
        </w:rPr>
      </w:pPr>
      <w:r>
        <w:rPr>
          <w:color w:val="auto"/>
        </w:rPr>
        <w:t xml:space="preserve"> </w:t>
      </w:r>
      <w:r/>
    </w:p>
    <w:p>
      <w:pPr>
        <w:pStyle w:val="1300"/>
        <w:jc w:val="both"/>
        <w:spacing w:beforeAutospacing="0" w:afterAutospacing="0" w:line="480" w:lineRule="auto"/>
        <w:rPr>
          <w:color w:val="auto"/>
        </w:rPr>
      </w:pPr>
      <w:r>
        <w:rPr>
          <w:color w:val="auto"/>
        </w:rPr>
        <w:t xml:space="preserve"> </w:t>
      </w:r>
      <w:r/>
    </w:p>
    <w:p>
      <w:pPr>
        <w:pStyle w:val="1300"/>
        <w:jc w:val="center"/>
        <w:spacing w:beforeAutospacing="0" w:afterAutospacing="0"/>
        <w:rPr>
          <w:color w:val="auto"/>
        </w:rPr>
      </w:pPr>
      <w:r/>
      <w:bookmarkStart w:id="267" w:name="_Hlt26955066"/>
      <w:r/>
      <w:bookmarkStart w:id="268" w:name="_Hlt26609389"/>
      <w:r/>
      <w:bookmarkStart w:id="269" w:name="_Toc462564146"/>
      <w:r/>
      <w:bookmarkStart w:id="270" w:name="_格式2__法定代表人授权书"/>
      <w:r/>
      <w:bookmarkStart w:id="271" w:name="_Hlt26671374"/>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t xml:space="preserve"> </w:t>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rPr>
          <w:color w:val="auto"/>
        </w:rPr>
      </w:r>
      <w:r/>
    </w:p>
    <w:p>
      <w:pPr>
        <w:pStyle w:val="1300"/>
        <w:jc w:val="both"/>
        <w:spacing w:beforeAutospacing="0" w:afterAutospacing="0"/>
        <w:rPr>
          <w:color w:val="auto"/>
        </w:rPr>
      </w:pPr>
      <w:r>
        <w:rPr>
          <w:color w:val="auto"/>
        </w:rPr>
      </w:r>
      <w:r/>
    </w:p>
    <w:p>
      <w:pPr>
        <w:pStyle w:val="1300"/>
        <w:jc w:val="both"/>
        <w:spacing w:beforeAutospacing="0" w:afterAutospacing="0"/>
        <w:rPr>
          <w:color w:val="auto"/>
        </w:rPr>
      </w:pPr>
      <w:r>
        <w:rPr>
          <w:color w:val="auto"/>
        </w:rPr>
      </w:r>
      <w:r/>
    </w:p>
    <w:p>
      <w:pPr>
        <w:pStyle w:val="1300"/>
        <w:jc w:val="center"/>
        <w:spacing w:beforeAutospacing="0" w:afterAutospacing="0"/>
        <w:rPr>
          <w:color w:val="auto"/>
        </w:rPr>
      </w:pPr>
      <w:r>
        <w:rPr>
          <w:rFonts w:hint="eastAsia" w:ascii="黑体" w:hAnsi="宋体" w:eastAsia="黑体" w:cs="黑体"/>
          <w:b/>
          <w:i/>
          <w:color w:val="auto"/>
          <w:sz w:val="32"/>
          <w:szCs w:val="32"/>
          <w:u w:val="single"/>
        </w:rPr>
        <w:t xml:space="preserve">十四、开标一览表</w:t>
      </w:r>
      <w:r/>
    </w:p>
    <w:p>
      <w:pPr>
        <w:pStyle w:val="130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项目编号：</w:t>
      </w:r>
      <w:r>
        <w:rPr>
          <w:rFonts w:hint="eastAsia" w:ascii="宋体" w:hAnsi="宋体" w:eastAsia="宋体" w:cs="宋体"/>
          <w:color w:val="auto"/>
          <w:sz w:val="21"/>
          <w:szCs w:val="21"/>
          <w:lang w:eastAsia="zh-CN"/>
        </w:rPr>
        <w:t xml:space="preserve">JSZC-320900-YCZH-G2026-0007</w:t>
      </w:r>
      <w:r/>
    </w:p>
    <w:p>
      <w:pPr>
        <w:pStyle w:val="1300"/>
        <w:ind w:firstLine="420"/>
        <w:rPr>
          <w:rFonts w:ascii="宋体" w:hAnsi="宋体" w:eastAsia="宋体" w:cs="宋体"/>
          <w:color w:val="auto"/>
          <w:sz w:val="21"/>
          <w:szCs w:val="21"/>
        </w:rPr>
      </w:pPr>
      <w:r>
        <w:rPr>
          <w:rFonts w:hint="eastAsia" w:ascii="宋体" w:hAnsi="宋体" w:eastAsia="宋体" w:cs="宋体"/>
          <w:color w:val="auto"/>
          <w:sz w:val="21"/>
          <w:szCs w:val="21"/>
        </w:rPr>
        <w:t xml:space="preserve">货币单位：人民币元</w:t>
      </w:r>
      <w:r/>
    </w:p>
    <w:tbl>
      <w:tblPr>
        <w:tblStyle w:val="130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jc w:val="center"/>
          <w:trHeight w:val="677"/>
        </w:trPr>
        <w:tc>
          <w:tcPr>
            <w:tcW w:w="2840" w:type="dxa"/>
            <w:vAlign w:val="center"/>
            <w:textDirection w:val="lrTb"/>
            <w:noWrap w:val="false"/>
          </w:tcPr>
          <w:p>
            <w:pPr>
              <w:pStyle w:val="1300"/>
              <w:ind w:firstLine="960"/>
              <w:rPr>
                <w:rFonts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tcW w:w="2841" w:type="dxa"/>
            <w:vAlign w:val="center"/>
            <w:textDirection w:val="lrTb"/>
            <w:noWrap w:val="false"/>
          </w:tcPr>
          <w:p>
            <w:pPr>
              <w:pStyle w:val="1300"/>
              <w:ind w:firstLine="720"/>
              <w:rPr>
                <w:rFonts w:ascii="宋体" w:hAnsi="宋体" w:eastAsia="宋体" w:cs="宋体"/>
                <w:color w:val="auto"/>
                <w:sz w:val="21"/>
                <w:szCs w:val="21"/>
              </w:rPr>
            </w:pPr>
            <w:r>
              <w:rPr>
                <w:rFonts w:hint="eastAsia" w:ascii="宋体" w:hAnsi="宋体" w:eastAsia="宋体" w:cs="宋体"/>
                <w:color w:val="auto"/>
                <w:sz w:val="21"/>
                <w:szCs w:val="21"/>
              </w:rPr>
              <w:t xml:space="preserve">项目内容</w:t>
            </w:r>
            <w:r/>
          </w:p>
        </w:tc>
        <w:tc>
          <w:tcPr>
            <w:tcW w:w="2841" w:type="dxa"/>
            <w:vAlign w:val="center"/>
            <w:textDirection w:val="lrTb"/>
            <w:noWrap w:val="false"/>
          </w:tcPr>
          <w:p>
            <w:pPr>
              <w:pStyle w:val="1300"/>
              <w:ind w:firstLine="720"/>
              <w:rPr>
                <w:rFonts w:ascii="宋体" w:hAnsi="宋体" w:eastAsia="宋体" w:cs="宋体"/>
                <w:color w:val="auto"/>
                <w:sz w:val="21"/>
                <w:szCs w:val="21"/>
              </w:rPr>
            </w:pPr>
            <w:r>
              <w:rPr>
                <w:rFonts w:hint="eastAsia" w:ascii="宋体" w:hAnsi="宋体" w:eastAsia="宋体" w:cs="宋体"/>
                <w:color w:val="auto"/>
                <w:sz w:val="21"/>
                <w:szCs w:val="21"/>
              </w:rPr>
              <w:t xml:space="preserve">总价（小写）</w:t>
            </w:r>
            <w:r/>
          </w:p>
        </w:tc>
      </w:tr>
      <w:tr>
        <w:trPr>
          <w:jc w:val="center"/>
          <w:trHeight w:val="700"/>
        </w:trPr>
        <w:tc>
          <w:tcPr>
            <w:tcW w:w="2840" w:type="dxa"/>
            <w:vAlign w:val="center"/>
            <w:textDirection w:val="lrTb"/>
            <w:noWrap w:val="false"/>
          </w:tcPr>
          <w:p>
            <w:pPr>
              <w:pStyle w:val="1300"/>
              <w:spacing w:beforeAutospacing="0" w:afterAutospacing="0"/>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eastAsia="zh-CN"/>
              </w:rPr>
              <w:t xml:space="preserve">盐城市公安局“鹰眼”维保项目分包二：无人机及自动机场、平台运维服务</w:t>
            </w:r>
            <w:r/>
          </w:p>
        </w:tc>
        <w:tc>
          <w:tcPr>
            <w:tcW w:w="2841" w:type="dxa"/>
            <w:vAlign w:val="center"/>
            <w:textDirection w:val="lrTb"/>
            <w:noWrap w:val="false"/>
          </w:tcPr>
          <w:p>
            <w:pPr>
              <w:pStyle w:val="1300"/>
              <w:ind w:firstLine="480"/>
              <w:rPr>
                <w:rFonts w:ascii="宋体" w:hAnsi="宋体" w:eastAsia="宋体" w:cs="宋体"/>
                <w:color w:val="auto"/>
                <w:sz w:val="21"/>
                <w:szCs w:val="21"/>
              </w:rPr>
            </w:pPr>
            <w:r>
              <w:rPr>
                <w:rFonts w:hint="eastAsia" w:ascii="宋体" w:hAnsi="宋体" w:eastAsia="宋体" w:cs="宋体"/>
                <w:color w:val="auto"/>
                <w:sz w:val="21"/>
                <w:szCs w:val="21"/>
              </w:rPr>
              <w:t xml:space="preserve">详</w:t>
            </w:r>
            <w:r>
              <w:rPr>
                <w:rFonts w:hint="eastAsia" w:ascii="宋体" w:hAnsi="宋体" w:eastAsia="宋体" w:cs="宋体"/>
                <w:color w:val="000000" w:themeColor="text1"/>
                <w:sz w:val="21"/>
                <w:szCs w:val="21"/>
                <w14:textFill>
                  <w14:solidFill>
                    <w14:schemeClr w14:val="tx1"/>
                  </w14:solidFill>
                </w14:textFill>
              </w:rPr>
              <w:t xml:space="preserve">见投标文件</w:t>
            </w:r>
            <w:r/>
          </w:p>
        </w:tc>
        <w:tc>
          <w:tcPr>
            <w:tcW w:w="2841" w:type="dxa"/>
            <w:vAlign w:val="center"/>
            <w:textDirection w:val="lrTb"/>
            <w:noWrap w:val="false"/>
          </w:tcPr>
          <w:p>
            <w:pPr>
              <w:pStyle w:val="1300"/>
              <w:rPr>
                <w:rFonts w:ascii="宋体" w:hAnsi="宋体" w:eastAsia="宋体" w:cs="宋体"/>
                <w:color w:val="auto"/>
                <w:sz w:val="21"/>
                <w:szCs w:val="21"/>
              </w:rPr>
            </w:pPr>
            <w:r>
              <w:rPr>
                <w:rFonts w:hint="eastAsia" w:ascii="宋体" w:hAnsi="宋体" w:eastAsia="宋体" w:cs="宋体"/>
                <w:color w:val="auto"/>
                <w:sz w:val="21"/>
                <w:szCs w:val="21"/>
              </w:rPr>
              <w:t xml:space="preserve">                 元</w:t>
            </w:r>
            <w:r/>
          </w:p>
        </w:tc>
      </w:tr>
      <w:tr>
        <w:trPr>
          <w:jc w:val="center"/>
          <w:trHeight w:val="806"/>
        </w:trPr>
        <w:tc>
          <w:tcPr>
            <w:tcW w:w="2840" w:type="dxa"/>
            <w:vAlign w:val="center"/>
            <w:textDirection w:val="lrTb"/>
            <w:noWrap w:val="false"/>
          </w:tcPr>
          <w:p>
            <w:pPr>
              <w:pStyle w:val="1300"/>
              <w:jc w:val="center"/>
              <w:rPr>
                <w:rFonts w:ascii="宋体" w:hAnsi="宋体" w:eastAsia="宋体" w:cs="宋体"/>
                <w:color w:val="auto"/>
                <w:sz w:val="21"/>
                <w:szCs w:val="21"/>
              </w:rPr>
            </w:pPr>
            <w:r>
              <w:rPr>
                <w:rFonts w:hint="eastAsia" w:ascii="宋体" w:hAnsi="宋体" w:eastAsia="宋体" w:cs="宋体"/>
                <w:color w:val="auto"/>
                <w:sz w:val="21"/>
                <w:szCs w:val="21"/>
              </w:rPr>
              <w:t xml:space="preserve">总价（大写）：</w:t>
            </w:r>
            <w:r/>
          </w:p>
        </w:tc>
        <w:tc>
          <w:tcPr>
            <w:gridSpan w:val="2"/>
            <w:tcW w:w="5682" w:type="dxa"/>
            <w:vAlign w:val="center"/>
            <w:textDirection w:val="lrTb"/>
            <w:noWrap w:val="false"/>
          </w:tcPr>
          <w:p>
            <w:pPr>
              <w:pStyle w:val="1300"/>
              <w:jc w:val="center"/>
              <w:rPr>
                <w:rFonts w:ascii="宋体" w:hAnsi="宋体" w:eastAsia="宋体" w:cs="宋体"/>
                <w:color w:val="auto"/>
                <w:sz w:val="21"/>
                <w:szCs w:val="21"/>
              </w:rPr>
            </w:pPr>
            <w:r>
              <w:rPr>
                <w:rStyle w:val="1314"/>
                <w:rFonts w:hint="eastAsia" w:ascii="宋体" w:hAnsi="宋体" w:eastAsia="宋体" w:cs="宋体"/>
                <w:color w:val="auto"/>
                <w:sz w:val="21"/>
                <w:szCs w:val="21"/>
              </w:rPr>
              <w:t xml:space="preserve">金额大写</w:t>
            </w:r>
            <w:r/>
          </w:p>
        </w:tc>
      </w:tr>
    </w:tbl>
    <w:p>
      <w:pPr>
        <w:pStyle w:val="1300"/>
        <w:rPr>
          <w:rFonts w:ascii="宋体" w:hAnsi="宋体" w:eastAsia="宋体" w:cs="宋体"/>
          <w:color w:val="auto"/>
          <w:sz w:val="21"/>
          <w:szCs w:val="21"/>
        </w:rPr>
      </w:pPr>
      <w:r>
        <w:rPr>
          <w:rFonts w:ascii="宋体" w:hAnsi="宋体" w:eastAsia="宋体" w:cs="宋体"/>
          <w:color w:val="auto"/>
          <w:sz w:val="21"/>
          <w:szCs w:val="21"/>
        </w:rPr>
      </w:r>
      <w:r/>
    </w:p>
    <w:p>
      <w:pPr>
        <w:pStyle w:val="1300"/>
        <w:ind w:firstLine="420"/>
        <w:rPr>
          <w:rFonts w:ascii="宋体" w:hAnsi="宋体" w:eastAsia="宋体" w:cs="宋体"/>
          <w:color w:val="auto"/>
          <w:sz w:val="21"/>
          <w:szCs w:val="21"/>
        </w:rPr>
      </w:pPr>
      <w:r>
        <w:rPr>
          <w:rFonts w:hint="eastAsia" w:ascii="宋体" w:hAnsi="宋体" w:eastAsia="宋体" w:cs="宋体"/>
          <w:color w:val="auto"/>
          <w:sz w:val="21"/>
          <w:szCs w:val="21"/>
        </w:rPr>
        <w:t xml:space="preserve">投标人公章：                               （电子签章）</w:t>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pStyle w:val="1310"/>
        <w:rPr>
          <w:color w:val="auto"/>
        </w:rPr>
      </w:pPr>
      <w:r>
        <w:rPr>
          <w:color w:val="auto"/>
        </w:rPr>
      </w:r>
      <w:r/>
    </w:p>
    <w:p>
      <w:pPr>
        <w:pStyle w:val="1310"/>
        <w:rPr>
          <w:color w:val="auto"/>
        </w:rPr>
      </w:pPr>
      <w:r>
        <w:rPr>
          <w:color w:val="auto"/>
        </w:rPr>
      </w:r>
      <w:r/>
    </w:p>
    <w:p>
      <w:pPr>
        <w:pStyle w:val="1310"/>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rPr>
          <w:color w:val="auto"/>
        </w:rPr>
      </w:r>
      <w:r/>
    </w:p>
    <w:p>
      <w:pPr>
        <w:jc w:val="center"/>
        <w:spacing w:before="50" w:after="50"/>
        <w:widowControl/>
        <w:rPr>
          <w:color w:val="auto"/>
        </w:rPr>
      </w:pPr>
      <w:r>
        <w:rPr>
          <w:color w:val="auto"/>
        </w:rPr>
      </w:r>
      <w:r>
        <w:rPr>
          <w:color w:val="auto"/>
        </w:rPr>
      </w:r>
      <w:r/>
    </w:p>
    <w:p>
      <w:pPr>
        <w:jc w:val="center"/>
        <w:spacing w:before="50" w:after="50"/>
        <w:widowControl/>
        <w:rPr>
          <w:color w:val="auto"/>
        </w:rPr>
      </w:pPr>
      <w:r>
        <w:rPr>
          <w:color w:val="auto"/>
        </w:rPr>
      </w:r>
      <w:r>
        <w:rPr>
          <w:color w:val="auto"/>
        </w:rPr>
      </w:r>
      <w:r/>
    </w:p>
    <w:p>
      <w:pPr>
        <w:jc w:val="center"/>
        <w:spacing w:before="50" w:after="50"/>
        <w:widowControl/>
        <w:rPr>
          <w:color w:val="auto"/>
        </w:rPr>
      </w:pPr>
      <w:r>
        <w:rPr>
          <w:color w:val="auto"/>
        </w:rPr>
      </w:r>
      <w:r>
        <w:rPr>
          <w:color w:val="auto"/>
        </w:rPr>
      </w:r>
      <w:r/>
    </w:p>
    <w:p>
      <w:pPr>
        <w:jc w:val="center"/>
        <w:spacing w:before="50" w:after="50"/>
        <w:widowControl/>
        <w:rPr>
          <w:color w:val="auto"/>
        </w:rPr>
      </w:pPr>
      <w:r>
        <w:rPr>
          <w:color w:val="auto"/>
        </w:rPr>
      </w:r>
      <w:r>
        <w:rPr>
          <w:color w:val="auto"/>
        </w:rPr>
      </w:r>
      <w:r/>
    </w:p>
    <w:p>
      <w:pPr>
        <w:jc w:val="center"/>
        <w:spacing w:before="50" w:after="50"/>
        <w:widowControl/>
        <w:rPr>
          <w:color w:val="auto"/>
        </w:rPr>
      </w:pPr>
      <w:r>
        <w:rPr>
          <w:color w:val="auto"/>
        </w:rPr>
      </w:r>
      <w:r>
        <w:rPr>
          <w:color w:val="auto"/>
        </w:rPr>
      </w:r>
      <w:r/>
    </w:p>
    <w:p>
      <w:pPr>
        <w:jc w:val="center"/>
        <w:spacing w:before="50" w:after="50"/>
        <w:widowControl/>
        <w:rPr>
          <w:color w:val="auto"/>
        </w:rPr>
      </w:pPr>
      <w:r>
        <w:rPr>
          <w:color w:val="auto"/>
        </w:rPr>
      </w:r>
      <w:r>
        <w:rPr>
          <w:color w:val="auto"/>
        </w:rPr>
      </w:r>
      <w:r/>
    </w:p>
    <w:p>
      <w:pPr>
        <w:jc w:val="center"/>
        <w:spacing w:before="50" w:after="50"/>
        <w:widowControl/>
        <w:rPr>
          <w:color w:val="auto"/>
        </w:rPr>
      </w:pPr>
      <w:r>
        <w:rPr>
          <w:color w:val="auto"/>
        </w:rPr>
      </w: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jc w:val="center"/>
        <w:spacing w:before="50" w:after="50"/>
        <w:widowControl/>
        <w:rPr>
          <w:rFonts w:ascii="宋体" w:hAnsi="宋体" w:eastAsia="宋体" w:cs="宋体"/>
          <w:b/>
          <w:bCs/>
          <w:color w:val="auto"/>
          <w:sz w:val="24"/>
        </w:rPr>
      </w:pPr>
      <w:r>
        <w:rPr>
          <w:rFonts w:hint="eastAsia" w:ascii="宋体" w:hAnsi="宋体" w:eastAsia="宋体" w:cs="宋体"/>
          <w:b/>
          <w:bCs/>
          <w:color w:val="auto"/>
          <w:sz w:val="32"/>
          <w:szCs w:val="32"/>
        </w:rPr>
        <w:t xml:space="preserve">十五、技术方案、服务承诺、培训承诺等</w:t>
      </w:r>
      <w:r/>
    </w:p>
    <w:p>
      <w:pPr>
        <w:pStyle w:val="1300"/>
        <w:jc w:val="both"/>
        <w:spacing w:beforeAutospacing="0" w:afterAutospacing="0"/>
        <w:tabs>
          <w:tab w:val="left" w:pos="2160" w:leader="none"/>
        </w:tabs>
        <w:rPr>
          <w:color w:val="auto"/>
        </w:rPr>
      </w:pPr>
      <w:r>
        <w:rPr>
          <w:color w:val="auto"/>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ind w:firstLine="1600"/>
        <w:jc w:val="center"/>
        <w:spacing w:line="499" w:lineRule="atLeast"/>
        <w:widowControl/>
        <w:rPr>
          <w:rFonts w:ascii="宋体" w:hAnsi="宋体" w:eastAsia="宋体" w:cs="宋体"/>
          <w:color w:val="auto"/>
          <w:sz w:val="24"/>
        </w:rPr>
      </w:pPr>
      <w:r>
        <w:rPr>
          <w:rFonts w:hint="eastAsia" w:ascii="宋体" w:hAnsi="宋体" w:eastAsia="宋体" w:cs="宋体"/>
          <w:b/>
          <w:bCs/>
          <w:color w:val="auto"/>
          <w:sz w:val="32"/>
          <w:szCs w:val="32"/>
        </w:rPr>
        <w:t xml:space="preserve">十六、</w:t>
      </w:r>
      <w:bookmarkStart w:id="272" w:name="OLE_LINK13"/>
      <w:r>
        <w:rPr>
          <w:rFonts w:hint="eastAsia" w:ascii="宋体" w:hAnsi="宋体" w:eastAsia="宋体" w:cs="宋体"/>
          <w:b/>
          <w:bCs/>
          <w:color w:val="auto"/>
          <w:sz w:val="32"/>
          <w:szCs w:val="32"/>
        </w:rPr>
        <w:t xml:space="preserve">盐城市政府采购事前信用承诺书</w:t>
      </w:r>
      <w:bookmarkEnd w:id="272"/>
      <w:r/>
      <w:r/>
    </w:p>
    <w:p>
      <w:pPr>
        <w:ind w:firstLine="480"/>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（六）自觉接受政府、行业组织、社会公众、新闻舆论的监督；</w:t>
      </w:r>
      <w:r/>
    </w:p>
    <w:p>
      <w:pPr>
        <w:ind w:firstLine="420"/>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（八）本人已认真阅读了上述承诺，并向本单位员工作了宣传教育。</w:t>
      </w:r>
      <w:r/>
    </w:p>
    <w:p>
      <w:pPr>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法定代表人签名：</w:t>
      </w:r>
      <w:r/>
    </w:p>
    <w:p>
      <w:pPr>
        <w:jc w:val="center"/>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单位名称（盖章）：</w:t>
      </w:r>
      <w:r/>
    </w:p>
    <w:p>
      <w:pPr>
        <w:jc w:val="center"/>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年月日</w:t>
      </w:r>
      <w:r/>
    </w:p>
    <w:p>
      <w:pPr>
        <w:pStyle w:val="1300"/>
        <w:jc w:val="center"/>
        <w:spacing w:beforeAutospacing="0" w:afterAutospacing="0"/>
        <w:rPr>
          <w:color w:val="auto"/>
          <w:sz w:val="21"/>
          <w:szCs w:val="21"/>
        </w:rPr>
      </w:pPr>
      <w:r>
        <w:rPr>
          <w:color w:val="auto"/>
          <w:sz w:val="21"/>
          <w:szCs w:val="21"/>
        </w:rPr>
      </w:r>
      <w:bookmarkEnd w:id="189"/>
      <w:r/>
      <w:bookmarkEnd w:id="246"/>
      <w:r/>
      <w:bookmarkEnd w:id="252"/>
      <w:r/>
      <w:bookmarkEnd w:id="253"/>
      <w:r/>
      <w:bookmarkEnd w:id="255"/>
      <w:r/>
      <w:bookmarkEnd w:id="256"/>
      <w:r/>
      <w:bookmarkEnd w:id="257"/>
      <w:r/>
      <w:bookmarkEnd w:id="258"/>
      <w:r/>
      <w:bookmarkEnd w:id="267"/>
      <w:r/>
      <w:bookmarkEnd w:id="268"/>
      <w:r/>
      <w:bookmarkEnd w:id="269"/>
      <w:r/>
      <w:bookmarkEnd w:id="270"/>
      <w:r/>
      <w:bookmarkEnd w:id="271"/>
      <w:r/>
      <w:r/>
    </w:p>
    <w:p>
      <w:pPr>
        <w:rPr>
          <w:color w:val="auto"/>
          <w:szCs w:val="21"/>
        </w:rPr>
      </w:pPr>
      <w:r>
        <w:rPr>
          <w:color w:val="auto"/>
          <w:szCs w:val="21"/>
        </w:rPr>
      </w:r>
      <w:r/>
    </w:p>
    <w:p>
      <w:pPr>
        <w:pStyle w:val="1300"/>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300"/>
        <w:jc w:val="both"/>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rPr>
          <w:rFonts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jc w:val="center"/>
        <w:spacing w:line="499" w:lineRule="atLeast"/>
        <w:widowControl/>
        <w:rPr>
          <w:rFonts w:ascii="宋体" w:hAnsi="宋体" w:eastAsia="宋体" w:cs="宋体"/>
          <w:b/>
          <w:bCs/>
          <w:color w:val="auto"/>
          <w:sz w:val="32"/>
          <w:szCs w:val="32"/>
        </w:rPr>
      </w:pPr>
      <w:r>
        <w:rPr>
          <w:rFonts w:hint="eastAsia" w:ascii="宋体" w:hAnsi="宋体" w:eastAsia="宋体" w:cs="宋体"/>
          <w:b/>
          <w:bCs/>
          <w:color w:val="auto"/>
          <w:sz w:val="32"/>
          <w:szCs w:val="32"/>
        </w:rPr>
        <w:t xml:space="preserve">十七、项目建设供应商承诺函</w:t>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对未列出的其他事项，严格按照法律法规等具体规定执行。</w:t>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现承诺，我单位在履行</w:t>
      </w:r>
      <w:r>
        <w:rPr>
          <w:rFonts w:hint="eastAsia" w:ascii="宋体" w:hAnsi="宋体" w:eastAsia="宋体" w:cs="宋体"/>
          <w:color w:val="auto"/>
          <w:szCs w:val="21"/>
          <w:u w:val="single"/>
        </w:rPr>
        <w:t xml:space="preserve">    （ 项目名称  ）         </w:t>
      </w:r>
      <w:r>
        <w:rPr>
          <w:rFonts w:hint="eastAsia" w:ascii="宋体" w:hAnsi="宋体" w:eastAsia="宋体" w:cs="宋体"/>
          <w:color w:val="auto"/>
          <w:szCs w:val="21"/>
        </w:rPr>
        <w:t xml:space="preserve">的项目建设中，将严格按照提示函的内容和要求执行，如若违反愿意承担相应的责任。</w:t>
      </w:r>
      <w:r/>
    </w:p>
    <w:p>
      <w:pPr>
        <w:spacing w:line="480" w:lineRule="auto"/>
        <w:rPr>
          <w:rFonts w:ascii="宋体" w:hAnsi="宋体" w:eastAsia="宋体" w:cs="宋体"/>
          <w:color w:val="auto"/>
          <w:szCs w:val="21"/>
        </w:rPr>
      </w:pPr>
      <w:r>
        <w:rPr>
          <w:rFonts w:ascii="宋体" w:hAnsi="宋体" w:eastAsia="宋体" w:cs="宋体"/>
          <w:color w:val="auto"/>
          <w:szCs w:val="21"/>
        </w:rPr>
      </w:r>
      <w:r/>
    </w:p>
    <w:p>
      <w:pPr>
        <w:ind w:firstLine="630"/>
        <w:spacing w:line="480" w:lineRule="auto"/>
        <w:rPr>
          <w:rFonts w:ascii="宋体" w:hAnsi="宋体" w:eastAsia="宋体" w:cs="宋体"/>
          <w:color w:val="auto"/>
          <w:szCs w:val="21"/>
        </w:rPr>
      </w:pPr>
      <w:r>
        <w:rPr>
          <w:rFonts w:hint="eastAsia" w:ascii="宋体" w:hAnsi="宋体" w:eastAsia="宋体" w:cs="宋体"/>
          <w:color w:val="auto"/>
          <w:szCs w:val="21"/>
        </w:rPr>
        <w:t xml:space="preserve">供应商项目负责人（签字）：            联系方式：</w:t>
      </w:r>
      <w:r/>
    </w:p>
    <w:p>
      <w:pPr>
        <w:jc w:val="center"/>
        <w:spacing w:line="499" w:lineRule="atLeast"/>
        <w:widowControl/>
        <w:rPr>
          <w:rFonts w:ascii="宋体" w:hAnsi="宋体" w:eastAsia="宋体" w:cs="宋体"/>
          <w:color w:val="auto"/>
          <w:szCs w:val="21"/>
        </w:rPr>
      </w:pPr>
      <w:r>
        <w:rPr>
          <w:rFonts w:ascii="宋体" w:hAnsi="宋体" w:eastAsia="宋体" w:cs="宋体"/>
          <w:color w:val="auto"/>
          <w:szCs w:val="21"/>
        </w:rPr>
      </w:r>
      <w:r/>
    </w:p>
    <w:p>
      <w:pPr>
        <w:jc w:val="center"/>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单位名称（盖章）：</w:t>
      </w:r>
      <w:r/>
    </w:p>
    <w:p>
      <w:pPr>
        <w:jc w:val="righ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年    月   日</w:t>
      </w:r>
      <w:r/>
    </w:p>
    <w:p>
      <w:pPr>
        <w:pStyle w:val="1300"/>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300"/>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300"/>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300"/>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300"/>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300"/>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300"/>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color w:val="auto"/>
          <w:sz w:val="32"/>
          <w:szCs w:val="32"/>
        </w:rPr>
      </w:r>
      <w:r>
        <w:rPr>
          <w:rFonts w:hint="eastAsia" w:ascii="宋体" w:hAnsi="宋体" w:eastAsia="宋体" w:cs="宋体"/>
          <w:b/>
          <w:color w:val="auto"/>
          <w:sz w:val="32"/>
          <w:szCs w:val="32"/>
        </w:rPr>
      </w:r>
      <w:r/>
    </w:p>
    <w:p>
      <w:pPr>
        <w:pStyle w:val="1300"/>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rFonts w:hint="eastAsia" w:ascii="宋体" w:hAnsi="宋体" w:eastAsia="宋体" w:cs="宋体"/>
          <w:b/>
          <w:bCs/>
          <w:color w:val="auto"/>
          <w:sz w:val="32"/>
          <w:szCs w:val="32"/>
        </w:rPr>
      </w:r>
      <w:r/>
    </w:p>
    <w:p>
      <w:pPr>
        <w:pStyle w:val="1300"/>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rFonts w:hint="eastAsia" w:ascii="宋体" w:hAnsi="宋体" w:eastAsia="宋体" w:cs="宋体"/>
          <w:b/>
          <w:bCs/>
          <w:color w:val="auto"/>
          <w:sz w:val="32"/>
          <w:szCs w:val="32"/>
        </w:rPr>
      </w:r>
      <w:r/>
    </w:p>
    <w:p>
      <w:pPr>
        <w:pStyle w:val="1300"/>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rFonts w:hint="eastAsia" w:ascii="宋体" w:hAnsi="宋体" w:eastAsia="宋体" w:cs="宋体"/>
          <w:b/>
          <w:bCs/>
          <w:color w:val="auto"/>
          <w:sz w:val="32"/>
          <w:szCs w:val="32"/>
        </w:rPr>
      </w:r>
      <w:r/>
    </w:p>
    <w:p>
      <w:pPr>
        <w:pStyle w:val="1300"/>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rFonts w:hint="eastAsia" w:ascii="宋体" w:hAnsi="宋体" w:eastAsia="宋体" w:cs="宋体"/>
          <w:b/>
          <w:bCs/>
          <w:color w:val="auto"/>
          <w:sz w:val="32"/>
          <w:szCs w:val="32"/>
        </w:rPr>
      </w:r>
      <w:r/>
    </w:p>
    <w:p>
      <w:pPr>
        <w:pStyle w:val="1300"/>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rFonts w:hint="eastAsia" w:ascii="宋体" w:hAnsi="宋体" w:eastAsia="宋体" w:cs="宋体"/>
          <w:b/>
          <w:bCs/>
          <w:color w:val="auto"/>
          <w:sz w:val="32"/>
          <w:szCs w:val="32"/>
        </w:rPr>
      </w:r>
      <w:r/>
    </w:p>
    <w:p>
      <w:pPr>
        <w:pStyle w:val="1300"/>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color w:val="auto"/>
          <w:sz w:val="32"/>
          <w:szCs w:val="32"/>
        </w:rPr>
      </w:r>
      <w:r/>
    </w:p>
    <w:p>
      <w:pPr>
        <w:pStyle w:val="1300"/>
        <w:jc w:val="both"/>
        <w:keepLines w:val="0"/>
        <w:keepNext w:val="0"/>
        <w:pageBreakBefore w:val="0"/>
        <w:spacing w:beforeAutospacing="0" w:afterAutospacing="0" w:line="240" w:lineRule="auto"/>
        <w:widowControl w:val="off"/>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1300"/>
        <w:jc w:val="center"/>
        <w:keepLines w:val="0"/>
        <w:keepNext w:val="0"/>
        <w:pageBreakBefore w:val="0"/>
        <w:spacing w:beforeAutospacing="0" w:afterAutospacing="0" w:line="240" w:lineRule="auto"/>
        <w:widowControl w:val="off"/>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1300"/>
        <w:jc w:val="both"/>
        <w:keepLines w:val="0"/>
        <w:keepNext w:val="0"/>
        <w:pageBreakBefore w:val="0"/>
        <w:spacing w:before="290"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一、质疑供应商基本信息</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质疑供应商：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u w:val="single"/>
        </w:rPr>
      </w:pPr>
      <w:r>
        <w:rPr>
          <w:rFonts w:hint="eastAsia" w:ascii="宋体" w:hAnsi="宋体" w:eastAsia="宋体" w:cs="宋体"/>
          <w:color w:val="auto"/>
          <w:sz w:val="21"/>
          <w:szCs w:val="21"/>
        </w:rPr>
        <w:t xml:space="preserve">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邮编：</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u w:val="single"/>
        </w:rPr>
      </w:pPr>
      <w:r>
        <w:rPr>
          <w:rFonts w:hint="eastAsia" w:ascii="宋体" w:hAnsi="宋体" w:eastAsia="宋体" w:cs="宋体"/>
          <w:color w:val="auto"/>
          <w:sz w:val="21"/>
          <w:szCs w:val="21"/>
        </w:rPr>
        <w:t xml:space="preserve">联系人：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授权代表：</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u w:val="single"/>
        </w:rPr>
      </w:pPr>
      <w:r>
        <w:rPr>
          <w:rFonts w:hint="eastAsia" w:ascii="宋体" w:hAnsi="宋体" w:eastAsia="宋体" w:cs="宋体"/>
          <w:color w:val="auto"/>
          <w:sz w:val="21"/>
          <w:szCs w:val="21"/>
        </w:rPr>
        <w:t xml:space="preserve">地址：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邮编：</w:t>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二、质疑项目基本情况</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质疑项目的名称：</w:t>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u w:val="single"/>
        </w:rPr>
      </w:pPr>
      <w:r>
        <w:rPr>
          <w:rFonts w:hint="eastAsia" w:ascii="宋体" w:hAnsi="宋体" w:eastAsia="宋体" w:cs="宋体"/>
          <w:color w:val="auto"/>
          <w:sz w:val="21"/>
          <w:szCs w:val="21"/>
        </w:rPr>
        <w:t xml:space="preserve">质疑项目的编号：</w:t>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包号：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采购人名称：</w:t>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采购文件获取日期：</w:t>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三、质疑事项具体内容</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质疑事项1：</w:t>
      </w:r>
      <w:r>
        <w:rPr>
          <w:rFonts w:hint="eastAsia" w:ascii="宋体" w:hAnsi="宋体" w:eastAsia="宋体" w:cs="宋体"/>
          <w:color w:val="auto"/>
          <w:sz w:val="21"/>
          <w:szCs w:val="21"/>
          <w:u w:val="single"/>
        </w:rPr>
        <w:t xml:space="preserve">                             </w:t>
      </w:r>
      <w:r/>
    </w:p>
    <w:p>
      <w:pPr>
        <w:pStyle w:val="1300"/>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事实依据：</w:t>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法律依据：</w:t>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质疑事项2</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四、与质疑事项相关的质疑请求</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请求：</w:t>
      </w:r>
      <w:r>
        <w:rPr>
          <w:rFonts w:hint="eastAsia" w:ascii="宋体" w:hAnsi="宋体" w:eastAsia="宋体" w:cs="宋体"/>
          <w:color w:val="auto"/>
          <w:sz w:val="21"/>
          <w:szCs w:val="21"/>
          <w:u w:val="single"/>
        </w:rPr>
        <w:t xml:space="preserve">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签字(签章)：                 公章：               日期：    </w:t>
      </w:r>
      <w:r/>
    </w:p>
    <w:p>
      <w:pPr>
        <w:pStyle w:val="1300"/>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b/>
          <w:color w:val="auto"/>
          <w:sz w:val="21"/>
          <w:szCs w:val="21"/>
        </w:rPr>
        <w:t xml:space="preserve">质疑函制作说明：</w:t>
      </w:r>
      <w:r/>
    </w:p>
    <w:p>
      <w:pPr>
        <w:pStyle w:val="1300"/>
        <w:ind w:firstLine="480"/>
        <w:keepLines w:val="0"/>
        <w:keepNext w:val="0"/>
        <w:pageBreakBefore w:val="0"/>
        <w:spacing w:beforeAutospacing="0" w:afterAutospacing="0" w:line="264"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1.供应商提出质疑时，应提交质疑函和必要的证明材料。</w:t>
      </w:r>
      <w:r/>
    </w:p>
    <w:p>
      <w:pPr>
        <w:pStyle w:val="1300"/>
        <w:ind w:firstLine="480"/>
        <w:keepLines w:val="0"/>
        <w:keepNext w:val="0"/>
        <w:pageBreakBefore w:val="0"/>
        <w:spacing w:beforeAutospacing="0" w:afterAutospacing="0" w:line="264"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300"/>
        <w:ind w:firstLine="480"/>
        <w:keepLines w:val="0"/>
        <w:keepNext w:val="0"/>
        <w:pageBreakBefore w:val="0"/>
        <w:spacing w:beforeAutospacing="0" w:afterAutospacing="0" w:line="264"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3.质疑供应商若对项目的某一分包进行质疑，质疑函中应列明具体分包号。</w:t>
      </w:r>
      <w:r/>
    </w:p>
    <w:p>
      <w:pPr>
        <w:pStyle w:val="1300"/>
        <w:ind w:firstLine="480"/>
        <w:keepLines w:val="0"/>
        <w:keepNext w:val="0"/>
        <w:pageBreakBefore w:val="0"/>
        <w:spacing w:beforeAutospacing="0" w:afterAutospacing="0" w:line="264"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4.质疑函的质疑事项应具体、明确，并有必要的事实依据和法律依据。</w:t>
      </w:r>
      <w:r/>
    </w:p>
    <w:p>
      <w:pPr>
        <w:pStyle w:val="1300"/>
        <w:ind w:firstLine="480"/>
        <w:keepLines w:val="0"/>
        <w:keepNext w:val="0"/>
        <w:pageBreakBefore w:val="0"/>
        <w:spacing w:beforeAutospacing="0" w:afterAutospacing="0" w:line="264"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5.质疑函的质疑请求应与质疑事项相关。</w:t>
      </w:r>
      <w:r/>
    </w:p>
    <w:p>
      <w:pPr>
        <w:pStyle w:val="1300"/>
        <w:ind w:firstLine="480"/>
        <w:keepLines w:val="0"/>
        <w:keepNext w:val="0"/>
        <w:pageBreakBefore w:val="0"/>
        <w:spacing w:beforeAutospacing="0" w:afterAutospacing="0" w:line="264" w:lineRule="auto"/>
        <w:widowControl/>
        <w:rPr>
          <w:color w:val="auto"/>
        </w:rPr>
      </w:pPr>
      <w:r>
        <w:rPr>
          <w:rFonts w:hint="eastAsia" w:ascii="宋体" w:hAnsi="宋体" w:eastAsia="宋体" w:cs="宋体"/>
          <w:color w:val="auto"/>
          <w:sz w:val="21"/>
          <w:szCs w:val="21"/>
        </w:rPr>
        <w:t xml:space="preserve">6.质疑供应商为自然人的，质疑函应由本人签字；质疑供应商为法人或者其他组织的，质疑函应由法定代表人、主要负责人，或者其授权代表签字或者盖章，并加盖公章。 </w:t>
      </w:r>
      <w:r/>
    </w:p>
    <w:sectPr>
      <w:headerReference w:type="default" r:id="rId9"/>
      <w:headerReference w:type="even" r:id="rId10"/>
      <w:headerReference w:type="first" r:id="rId11"/>
      <w:footerReference w:type="default" r:id="rId12"/>
      <w:footnotePr/>
      <w:endnotePr/>
      <w:type w:val="nextPage"/>
      <w:pgSz w:w="11906" w:h="16838" w:orient="portrait"/>
      <w:pgMar w:top="1020" w:right="1026" w:bottom="1338" w:left="122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Song">
    <w:panose1 w:val="02010600040101010101"/>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等线">
    <w:panose1 w:val="02010600030101010101"/>
  </w:font>
  <w:font w:name="仿宋">
    <w:panose1 w:val="02010609060101010101"/>
  </w:font>
  <w:font w:name="Calibri Light">
    <w:panose1 w:val="020F03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jc w:val="both"/>
      <w:pBdr>
        <w:bottom w:val="none" w:color="auto" w:sz="0" w:space="1"/>
      </w:pBdr>
    </w:pPr>
    <w:r/>
    <w:r/>
  </w:p>
  <w:p>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950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7052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715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643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745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848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5926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6028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6131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盐城市公安局”鹰眼“维保项目分包二：无人机及自动机场、平台与运维服务</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nothing"/>
      <w:lvlText w:val=""/>
      <w:lvlJc w:val="left"/>
      <w:pPr>
        <w:ind w:left="84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nothing"/>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14">
    <w:name w:val="Heading 1"/>
    <w:basedOn w:val="1287"/>
    <w:next w:val="1287"/>
    <w:link w:val="1115"/>
    <w:uiPriority w:val="9"/>
    <w:qFormat/>
    <w:pPr>
      <w:keepLines/>
      <w:keepNext/>
      <w:spacing w:before="480" w:after="200"/>
      <w:outlineLvl w:val="0"/>
    </w:pPr>
    <w:rPr>
      <w:rFonts w:ascii="Arial" w:hAnsi="Arial" w:eastAsia="Arial" w:cs="Arial"/>
      <w:sz w:val="40"/>
      <w:szCs w:val="40"/>
    </w:rPr>
  </w:style>
  <w:style w:type="character" w:styleId="1115">
    <w:name w:val="Heading 1 Char"/>
    <w:basedOn w:val="1289"/>
    <w:link w:val="1114"/>
    <w:uiPriority w:val="9"/>
    <w:rPr>
      <w:rFonts w:ascii="Arial" w:hAnsi="Arial" w:eastAsia="Arial" w:cs="Arial"/>
      <w:sz w:val="40"/>
      <w:szCs w:val="40"/>
    </w:rPr>
  </w:style>
  <w:style w:type="character" w:styleId="1116">
    <w:name w:val="Heading 2 Char"/>
    <w:basedOn w:val="1289"/>
    <w:link w:val="1288"/>
    <w:uiPriority w:val="9"/>
    <w:rPr>
      <w:rFonts w:ascii="Arial" w:hAnsi="Arial" w:eastAsia="Arial" w:cs="Arial"/>
      <w:sz w:val="34"/>
    </w:rPr>
  </w:style>
  <w:style w:type="paragraph" w:styleId="1117">
    <w:name w:val="Heading 3"/>
    <w:basedOn w:val="1287"/>
    <w:next w:val="1287"/>
    <w:link w:val="1118"/>
    <w:uiPriority w:val="9"/>
    <w:unhideWhenUsed/>
    <w:qFormat/>
    <w:pPr>
      <w:keepLines/>
      <w:keepNext/>
      <w:spacing w:before="320" w:after="200"/>
      <w:outlineLvl w:val="2"/>
    </w:pPr>
    <w:rPr>
      <w:rFonts w:ascii="Arial" w:hAnsi="Arial" w:eastAsia="Arial" w:cs="Arial"/>
      <w:sz w:val="30"/>
      <w:szCs w:val="30"/>
    </w:rPr>
  </w:style>
  <w:style w:type="character" w:styleId="1118">
    <w:name w:val="Heading 3 Char"/>
    <w:basedOn w:val="1289"/>
    <w:link w:val="1117"/>
    <w:uiPriority w:val="9"/>
    <w:rPr>
      <w:rFonts w:ascii="Arial" w:hAnsi="Arial" w:eastAsia="Arial" w:cs="Arial"/>
      <w:sz w:val="30"/>
      <w:szCs w:val="30"/>
    </w:rPr>
  </w:style>
  <w:style w:type="paragraph" w:styleId="1119">
    <w:name w:val="Heading 4"/>
    <w:basedOn w:val="1287"/>
    <w:next w:val="1287"/>
    <w:link w:val="1120"/>
    <w:uiPriority w:val="9"/>
    <w:unhideWhenUsed/>
    <w:qFormat/>
    <w:pPr>
      <w:keepLines/>
      <w:keepNext/>
      <w:spacing w:before="320" w:after="200"/>
      <w:outlineLvl w:val="3"/>
    </w:pPr>
    <w:rPr>
      <w:rFonts w:ascii="Arial" w:hAnsi="Arial" w:eastAsia="Arial" w:cs="Arial"/>
      <w:b/>
      <w:bCs/>
      <w:sz w:val="26"/>
      <w:szCs w:val="26"/>
    </w:rPr>
  </w:style>
  <w:style w:type="character" w:styleId="1120">
    <w:name w:val="Heading 4 Char"/>
    <w:basedOn w:val="1289"/>
    <w:link w:val="1119"/>
    <w:uiPriority w:val="9"/>
    <w:rPr>
      <w:rFonts w:ascii="Arial" w:hAnsi="Arial" w:eastAsia="Arial" w:cs="Arial"/>
      <w:b/>
      <w:bCs/>
      <w:sz w:val="26"/>
      <w:szCs w:val="26"/>
    </w:rPr>
  </w:style>
  <w:style w:type="paragraph" w:styleId="1121">
    <w:name w:val="Heading 5"/>
    <w:basedOn w:val="1287"/>
    <w:next w:val="1287"/>
    <w:link w:val="1122"/>
    <w:uiPriority w:val="9"/>
    <w:unhideWhenUsed/>
    <w:qFormat/>
    <w:pPr>
      <w:keepLines/>
      <w:keepNext/>
      <w:spacing w:before="320" w:after="200"/>
      <w:outlineLvl w:val="4"/>
    </w:pPr>
    <w:rPr>
      <w:rFonts w:ascii="Arial" w:hAnsi="Arial" w:eastAsia="Arial" w:cs="Arial"/>
      <w:b/>
      <w:bCs/>
      <w:sz w:val="24"/>
      <w:szCs w:val="24"/>
    </w:rPr>
  </w:style>
  <w:style w:type="character" w:styleId="1122">
    <w:name w:val="Heading 5 Char"/>
    <w:basedOn w:val="1289"/>
    <w:link w:val="1121"/>
    <w:uiPriority w:val="9"/>
    <w:rPr>
      <w:rFonts w:ascii="Arial" w:hAnsi="Arial" w:eastAsia="Arial" w:cs="Arial"/>
      <w:b/>
      <w:bCs/>
      <w:sz w:val="24"/>
      <w:szCs w:val="24"/>
    </w:rPr>
  </w:style>
  <w:style w:type="paragraph" w:styleId="1123">
    <w:name w:val="Heading 6"/>
    <w:basedOn w:val="1287"/>
    <w:next w:val="1287"/>
    <w:link w:val="1124"/>
    <w:uiPriority w:val="9"/>
    <w:unhideWhenUsed/>
    <w:qFormat/>
    <w:pPr>
      <w:keepLines/>
      <w:keepNext/>
      <w:spacing w:before="320" w:after="200"/>
      <w:outlineLvl w:val="5"/>
    </w:pPr>
    <w:rPr>
      <w:rFonts w:ascii="Arial" w:hAnsi="Arial" w:eastAsia="Arial" w:cs="Arial"/>
      <w:b/>
      <w:bCs/>
      <w:sz w:val="22"/>
      <w:szCs w:val="22"/>
    </w:rPr>
  </w:style>
  <w:style w:type="character" w:styleId="1124">
    <w:name w:val="Heading 6 Char"/>
    <w:basedOn w:val="1289"/>
    <w:link w:val="1123"/>
    <w:uiPriority w:val="9"/>
    <w:rPr>
      <w:rFonts w:ascii="Arial" w:hAnsi="Arial" w:eastAsia="Arial" w:cs="Arial"/>
      <w:b/>
      <w:bCs/>
      <w:sz w:val="22"/>
      <w:szCs w:val="22"/>
    </w:rPr>
  </w:style>
  <w:style w:type="paragraph" w:styleId="1125">
    <w:name w:val="Heading 7"/>
    <w:basedOn w:val="1287"/>
    <w:next w:val="1287"/>
    <w:link w:val="1126"/>
    <w:uiPriority w:val="9"/>
    <w:unhideWhenUsed/>
    <w:qFormat/>
    <w:pPr>
      <w:keepLines/>
      <w:keepNext/>
      <w:spacing w:before="320" w:after="200"/>
      <w:outlineLvl w:val="6"/>
    </w:pPr>
    <w:rPr>
      <w:rFonts w:ascii="Arial" w:hAnsi="Arial" w:eastAsia="Arial" w:cs="Arial"/>
      <w:b/>
      <w:bCs/>
      <w:i/>
      <w:iCs/>
      <w:sz w:val="22"/>
      <w:szCs w:val="22"/>
    </w:rPr>
  </w:style>
  <w:style w:type="character" w:styleId="1126">
    <w:name w:val="Heading 7 Char"/>
    <w:basedOn w:val="1289"/>
    <w:link w:val="1125"/>
    <w:uiPriority w:val="9"/>
    <w:rPr>
      <w:rFonts w:ascii="Arial" w:hAnsi="Arial" w:eastAsia="Arial" w:cs="Arial"/>
      <w:b/>
      <w:bCs/>
      <w:i/>
      <w:iCs/>
      <w:sz w:val="22"/>
      <w:szCs w:val="22"/>
    </w:rPr>
  </w:style>
  <w:style w:type="paragraph" w:styleId="1127">
    <w:name w:val="Heading 8"/>
    <w:basedOn w:val="1287"/>
    <w:next w:val="1287"/>
    <w:link w:val="1128"/>
    <w:uiPriority w:val="9"/>
    <w:unhideWhenUsed/>
    <w:qFormat/>
    <w:pPr>
      <w:keepLines/>
      <w:keepNext/>
      <w:spacing w:before="320" w:after="200"/>
      <w:outlineLvl w:val="7"/>
    </w:pPr>
    <w:rPr>
      <w:rFonts w:ascii="Arial" w:hAnsi="Arial" w:eastAsia="Arial" w:cs="Arial"/>
      <w:i/>
      <w:iCs/>
      <w:sz w:val="22"/>
      <w:szCs w:val="22"/>
    </w:rPr>
  </w:style>
  <w:style w:type="character" w:styleId="1128">
    <w:name w:val="Heading 8 Char"/>
    <w:basedOn w:val="1289"/>
    <w:link w:val="1127"/>
    <w:uiPriority w:val="9"/>
    <w:rPr>
      <w:rFonts w:ascii="Arial" w:hAnsi="Arial" w:eastAsia="Arial" w:cs="Arial"/>
      <w:i/>
      <w:iCs/>
      <w:sz w:val="22"/>
      <w:szCs w:val="22"/>
    </w:rPr>
  </w:style>
  <w:style w:type="paragraph" w:styleId="1129">
    <w:name w:val="Heading 9"/>
    <w:basedOn w:val="1287"/>
    <w:next w:val="1287"/>
    <w:link w:val="1130"/>
    <w:uiPriority w:val="9"/>
    <w:unhideWhenUsed/>
    <w:qFormat/>
    <w:pPr>
      <w:keepLines/>
      <w:keepNext/>
      <w:spacing w:before="320" w:after="200"/>
      <w:outlineLvl w:val="8"/>
    </w:pPr>
    <w:rPr>
      <w:rFonts w:ascii="Arial" w:hAnsi="Arial" w:eastAsia="Arial" w:cs="Arial"/>
      <w:i/>
      <w:iCs/>
      <w:sz w:val="21"/>
      <w:szCs w:val="21"/>
    </w:rPr>
  </w:style>
  <w:style w:type="character" w:styleId="1130">
    <w:name w:val="Heading 9 Char"/>
    <w:basedOn w:val="1289"/>
    <w:link w:val="1129"/>
    <w:uiPriority w:val="9"/>
    <w:rPr>
      <w:rFonts w:ascii="Arial" w:hAnsi="Arial" w:eastAsia="Arial" w:cs="Arial"/>
      <w:i/>
      <w:iCs/>
      <w:sz w:val="21"/>
      <w:szCs w:val="21"/>
    </w:rPr>
  </w:style>
  <w:style w:type="paragraph" w:styleId="1131">
    <w:name w:val="No Spacing"/>
    <w:uiPriority w:val="1"/>
    <w:qFormat/>
    <w:pPr>
      <w:spacing w:before="0" w:after="0" w:line="240" w:lineRule="auto"/>
    </w:pPr>
  </w:style>
  <w:style w:type="paragraph" w:styleId="1132">
    <w:name w:val="Title"/>
    <w:basedOn w:val="1287"/>
    <w:next w:val="1287"/>
    <w:link w:val="1133"/>
    <w:uiPriority w:val="10"/>
    <w:qFormat/>
    <w:pPr>
      <w:contextualSpacing/>
      <w:spacing w:before="300" w:after="200"/>
    </w:pPr>
    <w:rPr>
      <w:sz w:val="48"/>
      <w:szCs w:val="48"/>
    </w:rPr>
  </w:style>
  <w:style w:type="character" w:styleId="1133">
    <w:name w:val="Title Char"/>
    <w:basedOn w:val="1289"/>
    <w:link w:val="1132"/>
    <w:uiPriority w:val="10"/>
    <w:rPr>
      <w:sz w:val="48"/>
      <w:szCs w:val="48"/>
    </w:rPr>
  </w:style>
  <w:style w:type="paragraph" w:styleId="1134">
    <w:name w:val="Subtitle"/>
    <w:basedOn w:val="1287"/>
    <w:next w:val="1287"/>
    <w:link w:val="1135"/>
    <w:uiPriority w:val="11"/>
    <w:qFormat/>
    <w:pPr>
      <w:spacing w:before="200" w:after="200"/>
    </w:pPr>
    <w:rPr>
      <w:sz w:val="24"/>
      <w:szCs w:val="24"/>
    </w:rPr>
  </w:style>
  <w:style w:type="character" w:styleId="1135">
    <w:name w:val="Subtitle Char"/>
    <w:basedOn w:val="1289"/>
    <w:link w:val="1134"/>
    <w:uiPriority w:val="11"/>
    <w:rPr>
      <w:sz w:val="24"/>
      <w:szCs w:val="24"/>
    </w:rPr>
  </w:style>
  <w:style w:type="paragraph" w:styleId="1136">
    <w:name w:val="Quote"/>
    <w:basedOn w:val="1287"/>
    <w:next w:val="1287"/>
    <w:link w:val="1137"/>
    <w:uiPriority w:val="29"/>
    <w:qFormat/>
    <w:pPr>
      <w:ind w:left="720" w:right="720"/>
    </w:pPr>
    <w:rPr>
      <w:i/>
    </w:rPr>
  </w:style>
  <w:style w:type="character" w:styleId="1137">
    <w:name w:val="Quote Char"/>
    <w:link w:val="1136"/>
    <w:uiPriority w:val="29"/>
    <w:rPr>
      <w:i/>
    </w:rPr>
  </w:style>
  <w:style w:type="paragraph" w:styleId="1138">
    <w:name w:val="Intense Quote"/>
    <w:basedOn w:val="1287"/>
    <w:next w:val="1287"/>
    <w:link w:val="11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9">
    <w:name w:val="Intense Quote Char"/>
    <w:link w:val="1138"/>
    <w:uiPriority w:val="30"/>
    <w:rPr>
      <w:i/>
    </w:rPr>
  </w:style>
  <w:style w:type="character" w:styleId="1140">
    <w:name w:val="Header Char"/>
    <w:basedOn w:val="1289"/>
    <w:link w:val="1298"/>
    <w:uiPriority w:val="99"/>
  </w:style>
  <w:style w:type="character" w:styleId="1141">
    <w:name w:val="Footer Char"/>
    <w:basedOn w:val="1289"/>
    <w:link w:val="1297"/>
    <w:uiPriority w:val="99"/>
  </w:style>
  <w:style w:type="paragraph" w:styleId="1142">
    <w:name w:val="Caption"/>
    <w:basedOn w:val="1287"/>
    <w:next w:val="1287"/>
    <w:uiPriority w:val="35"/>
    <w:semiHidden/>
    <w:unhideWhenUsed/>
    <w:qFormat/>
    <w:pPr>
      <w:spacing w:line="276" w:lineRule="auto"/>
    </w:pPr>
    <w:rPr>
      <w:b/>
      <w:bCs/>
      <w:color w:val="4f81bd" w:themeColor="accent1"/>
      <w:sz w:val="18"/>
      <w:szCs w:val="18"/>
    </w:rPr>
  </w:style>
  <w:style w:type="character" w:styleId="1143">
    <w:name w:val="Caption Char"/>
    <w:basedOn w:val="1142"/>
    <w:link w:val="1297"/>
    <w:uiPriority w:val="99"/>
  </w:style>
  <w:style w:type="table" w:styleId="1144">
    <w:name w:val="Table Grid Light"/>
    <w:basedOn w:val="12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45">
    <w:name w:val="Plain Table 1"/>
    <w:basedOn w:val="12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6">
    <w:name w:val="Plain Table 2"/>
    <w:basedOn w:val="12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7">
    <w:name w:val="Plain Table 3"/>
    <w:basedOn w:val="12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8">
    <w:name w:val="Plain Table 4"/>
    <w:basedOn w:val="12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9">
    <w:name w:val="Plain Table 5"/>
    <w:basedOn w:val="12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50">
    <w:name w:val="Grid Table 1 Light"/>
    <w:basedOn w:val="12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51">
    <w:name w:val="Grid Table 1 Light - Accent 1"/>
    <w:basedOn w:val="12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52">
    <w:name w:val="Grid Table 1 Light - Accent 2"/>
    <w:basedOn w:val="12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53">
    <w:name w:val="Grid Table 1 Light - Accent 3"/>
    <w:basedOn w:val="12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54">
    <w:name w:val="Grid Table 1 Light - Accent 4"/>
    <w:basedOn w:val="12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55">
    <w:name w:val="Grid Table 1 Light - Accent 5"/>
    <w:basedOn w:val="12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56">
    <w:name w:val="Grid Table 1 Light - Accent 6"/>
    <w:basedOn w:val="12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57">
    <w:name w:val="Grid Table 2"/>
    <w:basedOn w:val="12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58">
    <w:name w:val="Grid Table 2 - Accent 1"/>
    <w:basedOn w:val="12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59">
    <w:name w:val="Grid Table 2 - Accent 2"/>
    <w:basedOn w:val="12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60">
    <w:name w:val="Grid Table 2 - Accent 3"/>
    <w:basedOn w:val="12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61">
    <w:name w:val="Grid Table 2 - Accent 4"/>
    <w:basedOn w:val="12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62">
    <w:name w:val="Grid Table 2 - Accent 5"/>
    <w:basedOn w:val="12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63">
    <w:name w:val="Grid Table 2 - Accent 6"/>
    <w:basedOn w:val="12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64">
    <w:name w:val="Grid Table 3"/>
    <w:basedOn w:val="12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5">
    <w:name w:val="Grid Table 3 - Accent 1"/>
    <w:basedOn w:val="12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6">
    <w:name w:val="Grid Table 3 - Accent 2"/>
    <w:basedOn w:val="12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7">
    <w:name w:val="Grid Table 3 - Accent 3"/>
    <w:basedOn w:val="12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8">
    <w:name w:val="Grid Table 3 - Accent 4"/>
    <w:basedOn w:val="12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9">
    <w:name w:val="Grid Table 3 - Accent 5"/>
    <w:basedOn w:val="12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0">
    <w:name w:val="Grid Table 3 - Accent 6"/>
    <w:basedOn w:val="12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1">
    <w:name w:val="Grid Table 4"/>
    <w:basedOn w:val="12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2">
    <w:name w:val="Grid Table 4 - Accent 1"/>
    <w:basedOn w:val="12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73">
    <w:name w:val="Grid Table 4 - Accent 2"/>
    <w:basedOn w:val="12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74">
    <w:name w:val="Grid Table 4 - Accent 3"/>
    <w:basedOn w:val="12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75">
    <w:name w:val="Grid Table 4 - Accent 4"/>
    <w:basedOn w:val="12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76">
    <w:name w:val="Grid Table 4 - Accent 5"/>
    <w:basedOn w:val="12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77">
    <w:name w:val="Grid Table 4 - Accent 6"/>
    <w:basedOn w:val="12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78">
    <w:name w:val="Grid Table 5 Dark"/>
    <w:basedOn w:val="12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79">
    <w:name w:val="Grid Table 5 Dark- Accent 1"/>
    <w:basedOn w:val="12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180">
    <w:name w:val="Grid Table 5 Dark - Accent 2"/>
    <w:basedOn w:val="12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181">
    <w:name w:val="Grid Table 5 Dark - Accent 3"/>
    <w:basedOn w:val="12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182">
    <w:name w:val="Grid Table 5 Dark- Accent 4"/>
    <w:basedOn w:val="12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183">
    <w:name w:val="Grid Table 5 Dark - Accent 5"/>
    <w:basedOn w:val="12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184">
    <w:name w:val="Grid Table 5 Dark - Accent 6"/>
    <w:basedOn w:val="12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185">
    <w:name w:val="Grid Table 6 Colorful"/>
    <w:basedOn w:val="12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86">
    <w:name w:val="Grid Table 6 Colorful - Accent 1"/>
    <w:basedOn w:val="12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187">
    <w:name w:val="Grid Table 6 Colorful - Accent 2"/>
    <w:basedOn w:val="12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188">
    <w:name w:val="Grid Table 6 Colorful - Accent 3"/>
    <w:basedOn w:val="12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189">
    <w:name w:val="Grid Table 6 Colorful - Accent 4"/>
    <w:basedOn w:val="12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190">
    <w:name w:val="Grid Table 6 Colorful - Accent 5"/>
    <w:basedOn w:val="12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91">
    <w:name w:val="Grid Table 6 Colorful - Accent 6"/>
    <w:basedOn w:val="12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92">
    <w:name w:val="Grid Table 7 Colorful"/>
    <w:basedOn w:val="12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93">
    <w:name w:val="Grid Table 7 Colorful - Accent 1"/>
    <w:basedOn w:val="12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94">
    <w:name w:val="Grid Table 7 Colorful - Accent 2"/>
    <w:basedOn w:val="12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95">
    <w:name w:val="Grid Table 7 Colorful - Accent 3"/>
    <w:basedOn w:val="12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96">
    <w:name w:val="Grid Table 7 Colorful - Accent 4"/>
    <w:basedOn w:val="12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97">
    <w:name w:val="Grid Table 7 Colorful - Accent 5"/>
    <w:basedOn w:val="12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98">
    <w:name w:val="Grid Table 7 Colorful - Accent 6"/>
    <w:basedOn w:val="12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99">
    <w:name w:val="List Table 1 Light"/>
    <w:basedOn w:val="12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0">
    <w:name w:val="List Table 1 Light - Accent 1"/>
    <w:basedOn w:val="129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01">
    <w:name w:val="List Table 1 Light - Accent 2"/>
    <w:basedOn w:val="12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02">
    <w:name w:val="List Table 1 Light - Accent 3"/>
    <w:basedOn w:val="12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03">
    <w:name w:val="List Table 1 Light - Accent 4"/>
    <w:basedOn w:val="12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04">
    <w:name w:val="List Table 1 Light - Accent 5"/>
    <w:basedOn w:val="129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05">
    <w:name w:val="List Table 1 Light - Accent 6"/>
    <w:basedOn w:val="12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06">
    <w:name w:val="List Table 2"/>
    <w:basedOn w:val="12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07">
    <w:name w:val="List Table 2 - Accent 1"/>
    <w:basedOn w:val="12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08">
    <w:name w:val="List Table 2 - Accent 2"/>
    <w:basedOn w:val="12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09">
    <w:name w:val="List Table 2 - Accent 3"/>
    <w:basedOn w:val="12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10">
    <w:name w:val="List Table 2 - Accent 4"/>
    <w:basedOn w:val="12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11">
    <w:name w:val="List Table 2 - Accent 5"/>
    <w:basedOn w:val="12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12">
    <w:name w:val="List Table 2 - Accent 6"/>
    <w:basedOn w:val="12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13">
    <w:name w:val="List Table 3"/>
    <w:basedOn w:val="12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4">
    <w:name w:val="List Table 3 - Accent 1"/>
    <w:basedOn w:val="12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15">
    <w:name w:val="List Table 3 - Accent 2"/>
    <w:basedOn w:val="12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16">
    <w:name w:val="List Table 3 - Accent 3"/>
    <w:basedOn w:val="12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7">
    <w:name w:val="List Table 3 - Accent 4"/>
    <w:basedOn w:val="12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18">
    <w:name w:val="List Table 3 - Accent 5"/>
    <w:basedOn w:val="12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19">
    <w:name w:val="List Table 3 - Accent 6"/>
    <w:basedOn w:val="12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20">
    <w:name w:val="List Table 4"/>
    <w:basedOn w:val="12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21">
    <w:name w:val="List Table 4 - Accent 1"/>
    <w:basedOn w:val="12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22">
    <w:name w:val="List Table 4 - Accent 2"/>
    <w:basedOn w:val="12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23">
    <w:name w:val="List Table 4 - Accent 3"/>
    <w:basedOn w:val="12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24">
    <w:name w:val="List Table 4 - Accent 4"/>
    <w:basedOn w:val="12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25">
    <w:name w:val="List Table 4 - Accent 5"/>
    <w:basedOn w:val="12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226">
    <w:name w:val="List Table 4 - Accent 6"/>
    <w:basedOn w:val="12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227">
    <w:name w:val="List Table 5 Dark"/>
    <w:basedOn w:val="12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8">
    <w:name w:val="List Table 5 Dark - Accent 1"/>
    <w:basedOn w:val="12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9">
    <w:name w:val="List Table 5 Dark - Accent 2"/>
    <w:basedOn w:val="12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0">
    <w:name w:val="List Table 5 Dark - Accent 3"/>
    <w:basedOn w:val="12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1">
    <w:name w:val="List Table 5 Dark - Accent 4"/>
    <w:basedOn w:val="12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2">
    <w:name w:val="List Table 5 Dark - Accent 5"/>
    <w:basedOn w:val="12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3">
    <w:name w:val="List Table 5 Dark - Accent 6"/>
    <w:basedOn w:val="12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4">
    <w:name w:val="List Table 6 Colorful"/>
    <w:basedOn w:val="12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35">
    <w:name w:val="List Table 6 Colorful - Accent 1"/>
    <w:basedOn w:val="12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236">
    <w:name w:val="List Table 6 Colorful - Accent 2"/>
    <w:basedOn w:val="12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237">
    <w:name w:val="List Table 6 Colorful - Accent 3"/>
    <w:basedOn w:val="12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238">
    <w:name w:val="List Table 6 Colorful - Accent 4"/>
    <w:basedOn w:val="12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239">
    <w:name w:val="List Table 6 Colorful - Accent 5"/>
    <w:basedOn w:val="12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240">
    <w:name w:val="List Table 6 Colorful - Accent 6"/>
    <w:basedOn w:val="12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241">
    <w:name w:val="List Table 7 Colorful"/>
    <w:basedOn w:val="12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42">
    <w:name w:val="List Table 7 Colorful - Accent 1"/>
    <w:basedOn w:val="12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243">
    <w:name w:val="List Table 7 Colorful - Accent 2"/>
    <w:basedOn w:val="12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244">
    <w:name w:val="List Table 7 Colorful - Accent 3"/>
    <w:basedOn w:val="12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245">
    <w:name w:val="List Table 7 Colorful - Accent 4"/>
    <w:basedOn w:val="12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246">
    <w:name w:val="List Table 7 Colorful - Accent 5"/>
    <w:basedOn w:val="12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247">
    <w:name w:val="List Table 7 Colorful - Accent 6"/>
    <w:basedOn w:val="12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248">
    <w:name w:val="Lined - Accent"/>
    <w:basedOn w:val="12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9">
    <w:name w:val="Lined - Accent 1"/>
    <w:basedOn w:val="12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250">
    <w:name w:val="Lined - Accent 2"/>
    <w:basedOn w:val="12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251">
    <w:name w:val="Lined - Accent 3"/>
    <w:basedOn w:val="12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252">
    <w:name w:val="Lined - Accent 4"/>
    <w:basedOn w:val="12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253">
    <w:name w:val="Lined - Accent 5"/>
    <w:basedOn w:val="12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254">
    <w:name w:val="Lined - Accent 6"/>
    <w:basedOn w:val="12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255">
    <w:name w:val="Bordered &amp; Lined - Accent"/>
    <w:basedOn w:val="12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56">
    <w:name w:val="Bordered &amp; Lined - Accent 1"/>
    <w:basedOn w:val="12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257">
    <w:name w:val="Bordered &amp; Lined - Accent 2"/>
    <w:basedOn w:val="12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258">
    <w:name w:val="Bordered &amp; Lined - Accent 3"/>
    <w:basedOn w:val="12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259">
    <w:name w:val="Bordered &amp; Lined - Accent 4"/>
    <w:basedOn w:val="12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260">
    <w:name w:val="Bordered &amp; Lined - Accent 5"/>
    <w:basedOn w:val="12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261">
    <w:name w:val="Bordered &amp; Lined - Accent 6"/>
    <w:basedOn w:val="12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262">
    <w:name w:val="Bordered"/>
    <w:basedOn w:val="12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63">
    <w:name w:val="Bordered - Accent 1"/>
    <w:basedOn w:val="12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64">
    <w:name w:val="Bordered - Accent 2"/>
    <w:basedOn w:val="12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65">
    <w:name w:val="Bordered - Accent 3"/>
    <w:basedOn w:val="12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66">
    <w:name w:val="Bordered - Accent 4"/>
    <w:basedOn w:val="12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67">
    <w:name w:val="Bordered - Accent 5"/>
    <w:basedOn w:val="12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68">
    <w:name w:val="Bordered - Accent 6"/>
    <w:basedOn w:val="12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69">
    <w:name w:val="Hyperlink"/>
    <w:uiPriority w:val="99"/>
    <w:unhideWhenUsed/>
    <w:rPr>
      <w:color w:val="0000ff" w:themeColor="hyperlink"/>
      <w:u w:val="single"/>
    </w:rPr>
  </w:style>
  <w:style w:type="paragraph" w:styleId="1270">
    <w:name w:val="footnote text"/>
    <w:basedOn w:val="1287"/>
    <w:link w:val="1271"/>
    <w:uiPriority w:val="99"/>
    <w:semiHidden/>
    <w:unhideWhenUsed/>
    <w:pPr>
      <w:spacing w:after="40" w:line="240" w:lineRule="auto"/>
    </w:pPr>
    <w:rPr>
      <w:sz w:val="18"/>
    </w:rPr>
  </w:style>
  <w:style w:type="character" w:styleId="1271">
    <w:name w:val="Footnote Text Char"/>
    <w:link w:val="1270"/>
    <w:uiPriority w:val="99"/>
    <w:rPr>
      <w:sz w:val="18"/>
    </w:rPr>
  </w:style>
  <w:style w:type="character" w:styleId="1272">
    <w:name w:val="footnote reference"/>
    <w:basedOn w:val="1289"/>
    <w:uiPriority w:val="99"/>
    <w:unhideWhenUsed/>
    <w:rPr>
      <w:vertAlign w:val="superscript"/>
    </w:rPr>
  </w:style>
  <w:style w:type="paragraph" w:styleId="1273">
    <w:name w:val="endnote text"/>
    <w:basedOn w:val="1287"/>
    <w:link w:val="1274"/>
    <w:uiPriority w:val="99"/>
    <w:semiHidden/>
    <w:unhideWhenUsed/>
    <w:pPr>
      <w:spacing w:after="0" w:line="240" w:lineRule="auto"/>
    </w:pPr>
    <w:rPr>
      <w:sz w:val="20"/>
    </w:rPr>
  </w:style>
  <w:style w:type="character" w:styleId="1274">
    <w:name w:val="Endnote Text Char"/>
    <w:link w:val="1273"/>
    <w:uiPriority w:val="99"/>
    <w:rPr>
      <w:sz w:val="20"/>
    </w:rPr>
  </w:style>
  <w:style w:type="character" w:styleId="1275">
    <w:name w:val="endnote reference"/>
    <w:basedOn w:val="1289"/>
    <w:uiPriority w:val="99"/>
    <w:semiHidden/>
    <w:unhideWhenUsed/>
    <w:rPr>
      <w:vertAlign w:val="superscript"/>
    </w:rPr>
  </w:style>
  <w:style w:type="paragraph" w:styleId="1276">
    <w:name w:val="toc 1"/>
    <w:basedOn w:val="1287"/>
    <w:next w:val="1287"/>
    <w:uiPriority w:val="39"/>
    <w:unhideWhenUsed/>
    <w:pPr>
      <w:ind w:left="0" w:right="0" w:firstLine="0"/>
      <w:spacing w:after="57"/>
    </w:pPr>
  </w:style>
  <w:style w:type="paragraph" w:styleId="1277">
    <w:name w:val="toc 2"/>
    <w:basedOn w:val="1287"/>
    <w:next w:val="1287"/>
    <w:uiPriority w:val="39"/>
    <w:unhideWhenUsed/>
    <w:pPr>
      <w:ind w:left="283" w:right="0" w:firstLine="0"/>
      <w:spacing w:after="57"/>
    </w:pPr>
  </w:style>
  <w:style w:type="paragraph" w:styleId="1278">
    <w:name w:val="toc 3"/>
    <w:basedOn w:val="1287"/>
    <w:next w:val="1287"/>
    <w:uiPriority w:val="39"/>
    <w:unhideWhenUsed/>
    <w:pPr>
      <w:ind w:left="567" w:right="0" w:firstLine="0"/>
      <w:spacing w:after="57"/>
    </w:pPr>
  </w:style>
  <w:style w:type="paragraph" w:styleId="1279">
    <w:name w:val="toc 4"/>
    <w:basedOn w:val="1287"/>
    <w:next w:val="1287"/>
    <w:uiPriority w:val="39"/>
    <w:unhideWhenUsed/>
    <w:pPr>
      <w:ind w:left="850" w:right="0" w:firstLine="0"/>
      <w:spacing w:after="57"/>
    </w:pPr>
  </w:style>
  <w:style w:type="paragraph" w:styleId="1280">
    <w:name w:val="toc 5"/>
    <w:basedOn w:val="1287"/>
    <w:next w:val="1287"/>
    <w:uiPriority w:val="39"/>
    <w:unhideWhenUsed/>
    <w:pPr>
      <w:ind w:left="1134" w:right="0" w:firstLine="0"/>
      <w:spacing w:after="57"/>
    </w:pPr>
  </w:style>
  <w:style w:type="paragraph" w:styleId="1281">
    <w:name w:val="toc 6"/>
    <w:basedOn w:val="1287"/>
    <w:next w:val="1287"/>
    <w:uiPriority w:val="39"/>
    <w:unhideWhenUsed/>
    <w:pPr>
      <w:ind w:left="1417" w:right="0" w:firstLine="0"/>
      <w:spacing w:after="57"/>
    </w:pPr>
  </w:style>
  <w:style w:type="paragraph" w:styleId="1282">
    <w:name w:val="toc 7"/>
    <w:basedOn w:val="1287"/>
    <w:next w:val="1287"/>
    <w:uiPriority w:val="39"/>
    <w:unhideWhenUsed/>
    <w:pPr>
      <w:ind w:left="1701" w:right="0" w:firstLine="0"/>
      <w:spacing w:after="57"/>
    </w:pPr>
  </w:style>
  <w:style w:type="paragraph" w:styleId="1283">
    <w:name w:val="toc 8"/>
    <w:basedOn w:val="1287"/>
    <w:next w:val="1287"/>
    <w:uiPriority w:val="39"/>
    <w:unhideWhenUsed/>
    <w:pPr>
      <w:ind w:left="1984" w:right="0" w:firstLine="0"/>
      <w:spacing w:after="57"/>
    </w:pPr>
  </w:style>
  <w:style w:type="paragraph" w:styleId="1284">
    <w:name w:val="toc 9"/>
    <w:basedOn w:val="1287"/>
    <w:next w:val="1287"/>
    <w:uiPriority w:val="39"/>
    <w:unhideWhenUsed/>
    <w:pPr>
      <w:ind w:left="2268" w:right="0" w:firstLine="0"/>
      <w:spacing w:after="57"/>
    </w:pPr>
  </w:style>
  <w:style w:type="paragraph" w:styleId="1285">
    <w:name w:val="TOC Heading"/>
    <w:uiPriority w:val="39"/>
    <w:unhideWhenUsed/>
  </w:style>
  <w:style w:type="paragraph" w:styleId="1286">
    <w:name w:val="table of figures"/>
    <w:basedOn w:val="1287"/>
    <w:next w:val="1287"/>
    <w:uiPriority w:val="99"/>
    <w:unhideWhenUsed/>
    <w:pPr>
      <w:spacing w:after="0" w:afterAutospacing="0"/>
    </w:pPr>
  </w:style>
  <w:style w:type="paragraph" w:styleId="1287" w:default="1">
    <w:name w:val="Normal"/>
    <w:next w:val="1291"/>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288">
    <w:name w:val="Heading 2"/>
    <w:basedOn w:val="1287"/>
    <w:next w:val="1287"/>
    <w:uiPriority w:val="0"/>
    <w:unhideWhenUsed/>
    <w:qFormat/>
    <w:pPr>
      <w:jc w:val="left"/>
      <w:spacing w:beforeAutospacing="1" w:afterAutospacing="1"/>
      <w:outlineLvl w:val="1"/>
    </w:pPr>
    <w:rPr>
      <w:rFonts w:hint="eastAsia" w:ascii="宋体" w:hAnsi="宋体" w:eastAsia="宋体" w:cs="Times New Roman"/>
      <w:b/>
      <w:bCs/>
      <w:sz w:val="36"/>
      <w:szCs w:val="36"/>
    </w:rPr>
  </w:style>
  <w:style w:type="character" w:styleId="1289" w:default="1">
    <w:name w:val="Default Paragraph Font"/>
    <w:uiPriority w:val="1"/>
    <w:unhideWhenUsed/>
    <w:qFormat/>
  </w:style>
  <w:style w:type="table" w:styleId="1290" w:default="1">
    <w:name w:val="Normal Table"/>
    <w:uiPriority w:val="99"/>
    <w:unhideWhenUsed/>
    <w:qFormat/>
    <w:tblPr>
      <w:tblCellMar>
        <w:left w:w="108" w:type="dxa"/>
        <w:top w:w="0" w:type="dxa"/>
        <w:right w:w="108" w:type="dxa"/>
        <w:bottom w:w="0" w:type="dxa"/>
      </w:tblCellMar>
    </w:tblPr>
  </w:style>
  <w:style w:type="paragraph" w:styleId="1291" w:customStyle="1">
    <w:name w:val="标题 11"/>
    <w:basedOn w:val="1287"/>
    <w:next w:val="1287"/>
    <w:uiPriority w:val="0"/>
    <w:qFormat/>
    <w:pPr>
      <w:ind w:left="120"/>
      <w:spacing w:before="39"/>
      <w:outlineLvl w:val="0"/>
    </w:pPr>
    <w:rPr>
      <w:sz w:val="27"/>
      <w:szCs w:val="27"/>
    </w:rPr>
  </w:style>
  <w:style w:type="paragraph" w:styleId="1292">
    <w:name w:val="toa heading"/>
    <w:basedOn w:val="1287"/>
    <w:next w:val="1287"/>
    <w:uiPriority w:val="0"/>
    <w:unhideWhenUsed/>
    <w:qFormat/>
    <w:pPr>
      <w:spacing w:before="120"/>
    </w:pPr>
    <w:rPr>
      <w:rFonts w:ascii="Calibri Light" w:hAnsi="Calibri Light"/>
      <w:sz w:val="24"/>
    </w:rPr>
  </w:style>
  <w:style w:type="paragraph" w:styleId="1293">
    <w:name w:val="annotation text"/>
    <w:basedOn w:val="1287"/>
    <w:uiPriority w:val="0"/>
    <w:qFormat/>
    <w:pPr>
      <w:jc w:val="left"/>
    </w:pPr>
  </w:style>
  <w:style w:type="paragraph" w:styleId="1294">
    <w:name w:val="Body Text"/>
    <w:basedOn w:val="1287"/>
    <w:next w:val="1287"/>
    <w:uiPriority w:val="0"/>
    <w:semiHidden/>
    <w:qFormat/>
    <w:rPr>
      <w:rFonts w:ascii="仿宋" w:hAnsi="仿宋" w:eastAsia="仿宋" w:cs="仿宋"/>
      <w:sz w:val="31"/>
      <w:szCs w:val="31"/>
      <w:lang w:eastAsia="en-US"/>
    </w:rPr>
  </w:style>
  <w:style w:type="paragraph" w:styleId="1295">
    <w:name w:val="Block Text"/>
    <w:basedOn w:val="1287"/>
    <w:uiPriority w:val="99"/>
    <w:unhideWhenUsed/>
    <w:qFormat/>
    <w:pPr>
      <w:ind w:left="567" w:right="454" w:firstLine="498"/>
      <w:jc w:val="left"/>
      <w:widowControl/>
    </w:pPr>
    <w:rPr>
      <w:rFonts w:ascii="仿宋_GB2312" w:eastAsia="仿宋_GB2312"/>
      <w:sz w:val="30"/>
      <w:szCs w:val="20"/>
    </w:rPr>
  </w:style>
  <w:style w:type="paragraph" w:styleId="1296">
    <w:name w:val="Plain Text"/>
    <w:basedOn w:val="1287"/>
    <w:uiPriority w:val="0"/>
    <w:qFormat/>
    <w:rPr>
      <w:rFonts w:ascii="宋体" w:hAnsi="Courier New" w:eastAsia="宋体" w:cs="Courier New"/>
      <w:szCs w:val="21"/>
    </w:rPr>
  </w:style>
  <w:style w:type="paragraph" w:styleId="1297">
    <w:name w:val="Footer"/>
    <w:basedOn w:val="1287"/>
    <w:link w:val="1312"/>
    <w:uiPriority w:val="0"/>
    <w:qFormat/>
    <w:pPr>
      <w:jc w:val="left"/>
      <w:tabs>
        <w:tab w:val="center" w:pos="4153" w:leader="none"/>
        <w:tab w:val="right" w:pos="8306" w:leader="none"/>
      </w:tabs>
    </w:pPr>
    <w:rPr>
      <w:sz w:val="18"/>
      <w:szCs w:val="18"/>
    </w:rPr>
  </w:style>
  <w:style w:type="paragraph" w:styleId="1298">
    <w:name w:val="Header"/>
    <w:basedOn w:val="1287"/>
    <w:link w:val="1311"/>
    <w:uiPriority w:val="0"/>
    <w:qFormat/>
    <w:pPr>
      <w:jc w:val="center"/>
      <w:tabs>
        <w:tab w:val="center" w:pos="4153" w:leader="none"/>
        <w:tab w:val="right" w:pos="8306" w:leader="none"/>
      </w:tabs>
      <w:pBdr>
        <w:bottom w:val="single" w:color="auto" w:sz="6" w:space="1"/>
      </w:pBdr>
    </w:pPr>
    <w:rPr>
      <w:sz w:val="18"/>
      <w:szCs w:val="18"/>
    </w:rPr>
  </w:style>
  <w:style w:type="paragraph" w:styleId="1299">
    <w:name w:val="index 9"/>
    <w:basedOn w:val="1287"/>
    <w:next w:val="1287"/>
    <w:uiPriority w:val="99"/>
    <w:unhideWhenUsed/>
    <w:qFormat/>
    <w:pPr>
      <w:ind w:left="1600"/>
    </w:pPr>
  </w:style>
  <w:style w:type="paragraph" w:styleId="1300">
    <w:name w:val="Normal (Web)"/>
    <w:basedOn w:val="1287"/>
    <w:uiPriority w:val="0"/>
    <w:qFormat/>
    <w:pPr>
      <w:jc w:val="left"/>
      <w:spacing w:beforeAutospacing="1" w:afterAutospacing="1"/>
    </w:pPr>
    <w:rPr>
      <w:rFonts w:cs="Times New Roman"/>
      <w:sz w:val="24"/>
    </w:rPr>
  </w:style>
  <w:style w:type="table" w:styleId="1301">
    <w:name w:val="Table Grid"/>
    <w:basedOn w:val="12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02">
    <w:name w:val="Strong"/>
    <w:basedOn w:val="1289"/>
    <w:uiPriority w:val="0"/>
    <w:qFormat/>
    <w:rPr>
      <w:b/>
    </w:rPr>
  </w:style>
  <w:style w:type="paragraph" w:styleId="1303" w:customStyle="1">
    <w:name w:val="正文首行缩进 21"/>
    <w:basedOn w:val="1304"/>
    <w:next w:val="1306"/>
    <w:uiPriority w:val="0"/>
    <w:qFormat/>
    <w:pPr>
      <w:ind w:firstLine="420"/>
    </w:pPr>
  </w:style>
  <w:style w:type="paragraph" w:styleId="1304" w:customStyle="1">
    <w:name w:val="正文文本缩进1"/>
    <w:basedOn w:val="1287"/>
    <w:next w:val="1305"/>
    <w:uiPriority w:val="0"/>
    <w:qFormat/>
    <w:pPr>
      <w:ind w:left="420"/>
      <w:spacing w:after="120"/>
    </w:pPr>
  </w:style>
  <w:style w:type="paragraph" w:styleId="1305" w:customStyle="1">
    <w:name w:val="寄信人地址1"/>
    <w:basedOn w:val="1287"/>
    <w:uiPriority w:val="99"/>
    <w:unhideWhenUsed/>
    <w:qFormat/>
    <w:rPr>
      <w:rFonts w:ascii="Arial" w:hAnsi="Arial"/>
    </w:rPr>
  </w:style>
  <w:style w:type="paragraph" w:styleId="1306" w:customStyle="1">
    <w:name w:val="正文缩进1"/>
    <w:basedOn w:val="1287"/>
    <w:uiPriority w:val="0"/>
    <w:qFormat/>
    <w:pPr>
      <w:ind w:firstLine="420"/>
    </w:pPr>
    <w:rPr>
      <w:szCs w:val="21"/>
    </w:rPr>
  </w:style>
  <w:style w:type="paragraph" w:styleId="1307" w:customStyle="1">
    <w:name w:val="一级条标题"/>
    <w:basedOn w:val="1308"/>
    <w:next w:val="13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08" w:customStyle="1">
    <w:name w:val="章标题"/>
    <w:next w:val="128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309" w:customStyle="1">
    <w:name w:val="段"/>
    <w:next w:val="1287"/>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1310" w:customStyle="1">
    <w:name w:val="Default"/>
    <w:basedOn w:val="1287"/>
    <w:uiPriority w:val="0"/>
    <w:semiHidden/>
    <w:qFormat/>
    <w:pPr>
      <w:jc w:val="left"/>
    </w:pPr>
    <w:rPr>
      <w:rFonts w:ascii="宋体" w:hAnsi="Calibri" w:cs="宋体"/>
      <w:color w:val="000000"/>
      <w:sz w:val="24"/>
    </w:rPr>
  </w:style>
  <w:style w:type="character" w:styleId="1311" w:customStyle="1">
    <w:name w:val="页眉 Char"/>
    <w:basedOn w:val="1289"/>
    <w:link w:val="1298"/>
    <w:uiPriority w:val="0"/>
    <w:qFormat/>
    <w:rPr>
      <w:rFonts w:asciiTheme="minorHAnsi" w:hAnsiTheme="minorHAnsi" w:eastAsiaTheme="minorEastAsia" w:cstheme="minorBidi"/>
      <w:sz w:val="18"/>
      <w:szCs w:val="18"/>
    </w:rPr>
  </w:style>
  <w:style w:type="character" w:styleId="1312" w:customStyle="1">
    <w:name w:val="页脚 Char"/>
    <w:basedOn w:val="1289"/>
    <w:link w:val="1297"/>
    <w:uiPriority w:val="0"/>
    <w:qFormat/>
    <w:rPr>
      <w:rFonts w:asciiTheme="minorHAnsi" w:hAnsiTheme="minorHAnsi" w:eastAsiaTheme="minorEastAsia" w:cstheme="minorBidi"/>
      <w:sz w:val="18"/>
      <w:szCs w:val="18"/>
    </w:rPr>
  </w:style>
  <w:style w:type="paragraph" w:styleId="1313" w:customStyle="1">
    <w:name w:val="普通正文"/>
    <w:basedOn w:val="1287"/>
    <w:uiPriority w:val="0"/>
    <w:qFormat/>
    <w:pPr>
      <w:ind w:firstLine="480"/>
      <w:jc w:val="left"/>
      <w:spacing w:before="120" w:after="120" w:line="360" w:lineRule="auto"/>
    </w:pPr>
    <w:rPr>
      <w:rFonts w:ascii="Arial" w:hAnsi="Arial" w:eastAsia="等线" w:cs="Arial"/>
      <w:sz w:val="24"/>
    </w:rPr>
  </w:style>
  <w:style w:type="character" w:styleId="1314" w:customStyle="1">
    <w:name w:val="custom-tag-placeholder-class"/>
    <w:basedOn w:val="1289"/>
    <w:uiPriority w:val="0"/>
    <w:qFormat/>
  </w:style>
  <w:style w:type="paragraph" w:styleId="1315" w:customStyle="1">
    <w:name w:val="List Paragraph"/>
    <w:basedOn w:val="1287"/>
    <w:uiPriority w:val="34"/>
    <w:qFormat/>
    <w:pPr>
      <w:ind w:firstLine="420"/>
    </w:pPr>
    <w:rPr>
      <w:rFonts w:ascii="Calibri" w:hAnsi="Calibri"/>
    </w:rPr>
  </w:style>
  <w:style w:type="numbering" w:styleId="13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106"/>
    <customShpInfo spid="_x0000_s4107"/>
    <customShpInfo spid="_x0000_s4108"/>
    <customShpInfo spid="_x0000_s4109"/>
    <customShpInfo spid="_x0000_s4110"/>
    <customShpInfo spid="_x0000_s4111"/>
    <customShpInfo spid="_x0000_s4097"/>
    <customShpInfo spid="_x0000_s4098"/>
    <customShpInfo spid="_x0000_s4099"/>
    <customShpInfo spid="_x0000_s4100"/>
    <customShpInfo spid="_x0000_s4101"/>
    <customShpInfo spid="_x0000_s4102"/>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杨工</cp:lastModifiedBy>
  <cp:revision>4</cp:revision>
  <dcterms:created xsi:type="dcterms:W3CDTF">2025-12-11T08:45:00Z</dcterms:created>
  <dcterms:modified xsi:type="dcterms:W3CDTF">2026-06-03T02:38:59Z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F1B4182AF1BA4C738008FE7FB7465463_13</vt:lpwstr>
  </property>
  <property fmtid="{D5CDD505-2E9C-101B-9397-08002B2CF9AE}" pid="3" name="KSOProductBuildVer">
    <vt:lpwstr>2052-12.1.0.26375</vt:lpwstr>
  </property>
  <property fmtid="{D5CDD505-2E9C-101B-9397-08002B2CF9AE}" pid="4" name="KSOTemplateDocerSaveRecord">
    <vt:lpwstr>eyJoZGlkIjoiN2NjOTY5YjRkZTRkMzY2MTIxNmU4M2EyZjFjYzkzNjUiLCJ1c2VySWQiOiIxMDc1NDEyMTE5In0=</vt:lpwstr>
  </property>
</Properties>
</file>