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spacing w:before="120" w:beforeAutospacing="0" w:after="120" w:afterAutospacing="0" w:line="360" w:lineRule="auto"/>
        <w:rPr>
          <w:highlight w:val="none"/>
        </w:rPr>
      </w:pPr>
      <w:r>
        <w:rPr>
          <w:highlight w:val="none"/>
        </w:rPr>
        <w:t xml:space="preserve"> </w:t>
      </w:r>
      <w:r/>
    </w:p>
    <w:p>
      <w:pPr>
        <w:pStyle w:val="706"/>
        <w:spacing w:before="120" w:beforeAutospacing="0" w:after="120" w:afterAutospacing="0" w:line="360" w:lineRule="auto"/>
        <w:rPr>
          <w:highlight w:val="none"/>
        </w:rPr>
      </w:pPr>
      <w:r>
        <w:rPr>
          <w:highlight w:val="none"/>
        </w:rPr>
      </w:r>
      <w:r/>
    </w:p>
    <w:p>
      <w:pPr>
        <w:pStyle w:val="706"/>
        <w:spacing w:before="120" w:beforeAutospacing="0" w:after="120" w:afterAutospacing="0" w:line="360" w:lineRule="auto"/>
        <w:rPr>
          <w:highlight w:val="none"/>
        </w:rPr>
      </w:pPr>
      <w:r>
        <w:rPr>
          <w:highlight w:val="none"/>
        </w:rPr>
      </w:r>
      <w:r/>
    </w:p>
    <w:p>
      <w:pPr>
        <w:pStyle w:val="706"/>
        <w:jc w:val="center"/>
        <w:spacing w:before="120" w:beforeAutospacing="0" w:after="120" w:afterAutospacing="0" w:line="360" w:lineRule="auto"/>
        <w:rPr>
          <w:highlight w:val="none"/>
        </w:rPr>
      </w:pPr>
      <w:r>
        <w:rPr>
          <w:rFonts w:ascii="Arial" w:hAnsi="Arial" w:cs="Arial"/>
          <w:b/>
          <w:sz w:val="84"/>
          <w:szCs w:val="84"/>
          <w:highlight w:val="none"/>
        </w:rPr>
        <w:t xml:space="preserve">招 标 文 件</w:t>
      </w:r>
      <w:r/>
    </w:p>
    <w:p>
      <w:pPr>
        <w:pStyle w:val="706"/>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706"/>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706"/>
        <w:jc w:val="both"/>
        <w:spacing w:before="120" w:beforeAutospacing="0" w:after="120" w:afterAutospacing="0" w:line="360" w:lineRule="auto"/>
        <w:rPr>
          <w:rFonts w:hint="eastAsia" w:eastAsiaTheme="minorEastAsia"/>
          <w:highlight w:val="none"/>
          <w:lang w:eastAsia="zh-CN"/>
        </w:rPr>
      </w:pPr>
      <w:r>
        <w:rPr>
          <w:rFonts w:ascii="Arial" w:hAnsi="Arial" w:cs="Arial"/>
          <w:b/>
          <w:sz w:val="32"/>
          <w:szCs w:val="32"/>
          <w:highlight w:val="none"/>
        </w:rPr>
        <w:t xml:space="preserve">项目名称：</w:t>
      </w:r>
      <w:r>
        <w:rPr>
          <w:rFonts w:hint="eastAsia" w:ascii="Arial" w:hAnsi="Arial" w:cs="Arial"/>
          <w:b/>
          <w:sz w:val="32"/>
          <w:szCs w:val="32"/>
          <w:highlight w:val="none"/>
          <w:lang w:eastAsia="zh-CN"/>
        </w:rPr>
        <w:t xml:space="preserve">盐城市腾飞路初级中学文印外包服务采购项目</w:t>
      </w:r>
      <w:r/>
    </w:p>
    <w:p>
      <w:pPr>
        <w:pStyle w:val="706"/>
        <w:spacing w:beforeAutospacing="0" w:afterAutospacing="0" w:line="360" w:lineRule="auto"/>
        <w:rPr>
          <w:highlight w:val="none"/>
        </w:rPr>
      </w:pPr>
      <w:r>
        <w:rPr>
          <w:rFonts w:hint="eastAsia" w:ascii="Times New Roman" w:hAnsi="Times New Roman"/>
          <w:b/>
          <w:sz w:val="32"/>
          <w:szCs w:val="32"/>
          <w:highlight w:val="none"/>
          <w:lang w:eastAsia="zh-CN"/>
        </w:rPr>
        <w:t xml:space="preserve">项目编号：JSZC-320903-JZCG-G2025-0038</w:t>
      </w:r>
      <w:r/>
    </w:p>
    <w:p>
      <w:pPr>
        <w:pStyle w:val="706"/>
        <w:spacing w:beforeAutospacing="0" w:afterAutospacing="0" w:line="360" w:lineRule="auto"/>
        <w:rPr>
          <w:highlight w:val="none"/>
        </w:rPr>
      </w:pPr>
      <w:r>
        <w:rPr>
          <w:highlight w:val="none"/>
        </w:rPr>
        <w:t xml:space="preserve"> </w:t>
      </w:r>
      <w:r/>
    </w:p>
    <w:p>
      <w:pPr>
        <w:pStyle w:val="706"/>
        <w:spacing w:beforeAutospacing="0" w:afterAutospacing="0" w:line="360" w:lineRule="auto"/>
        <w:rPr>
          <w:highlight w:val="none"/>
        </w:rPr>
      </w:pPr>
      <w:r>
        <w:rPr>
          <w:highlight w:val="none"/>
        </w:rPr>
        <w:t xml:space="preserve"> </w:t>
      </w:r>
      <w:r/>
    </w:p>
    <w:p>
      <w:pPr>
        <w:pStyle w:val="706"/>
        <w:spacing w:beforeAutospacing="0" w:afterAutospacing="0" w:line="360" w:lineRule="auto"/>
        <w:rPr>
          <w:highlight w:val="none"/>
        </w:rPr>
      </w:pPr>
      <w:r>
        <w:rPr>
          <w:highlight w:val="none"/>
        </w:rPr>
        <w:t xml:space="preserve"> </w:t>
      </w:r>
      <w:r/>
    </w:p>
    <w:p>
      <w:pPr>
        <w:pStyle w:val="706"/>
        <w:spacing w:beforeAutospacing="0" w:afterAutospacing="0" w:line="360" w:lineRule="auto"/>
        <w:rPr>
          <w:highlight w:val="none"/>
        </w:rPr>
      </w:pPr>
      <w:r>
        <w:rPr>
          <w:highlight w:val="none"/>
        </w:rPr>
        <w:t xml:space="preserve"> </w:t>
      </w:r>
      <w:r/>
    </w:p>
    <w:p>
      <w:pPr>
        <w:pStyle w:val="706"/>
        <w:spacing w:beforeAutospacing="0" w:afterAutospacing="0" w:line="360" w:lineRule="auto"/>
        <w:rPr>
          <w:highlight w:val="none"/>
        </w:rPr>
      </w:pPr>
      <w:r>
        <w:rPr>
          <w:highlight w:val="none"/>
        </w:rPr>
        <w:t xml:space="preserve"> </w:t>
      </w:r>
      <w:r/>
    </w:p>
    <w:p>
      <w:pPr>
        <w:pStyle w:val="706"/>
        <w:spacing w:beforeAutospacing="0" w:afterAutospacing="0" w:line="360" w:lineRule="auto"/>
        <w:rPr>
          <w:highlight w:val="none"/>
        </w:rPr>
      </w:pPr>
      <w:r>
        <w:rPr>
          <w:highlight w:val="none"/>
        </w:rPr>
        <w:t xml:space="preserve"> </w:t>
      </w:r>
      <w:r/>
    </w:p>
    <w:p>
      <w:pPr>
        <w:pStyle w:val="706"/>
        <w:jc w:val="center"/>
        <w:spacing w:before="120" w:beforeAutospacing="0" w:after="120" w:afterAutospacing="0" w:line="360" w:lineRule="auto"/>
        <w:rPr>
          <w:rFonts w:hint="eastAsia" w:ascii="Arial" w:hAnsi="Arial" w:cs="Arial" w:eastAsiaTheme="minorEastAsia"/>
          <w:b/>
          <w:sz w:val="32"/>
          <w:szCs w:val="32"/>
          <w:highlight w:val="none"/>
          <w:lang w:eastAsia="zh-CN"/>
        </w:rPr>
      </w:pPr>
      <w:r>
        <w:rPr>
          <w:rFonts w:hint="eastAsia" w:ascii="Arial" w:hAnsi="Arial" w:cs="Arial"/>
          <w:b/>
          <w:sz w:val="32"/>
          <w:szCs w:val="32"/>
          <w:highlight w:val="none"/>
          <w:lang w:eastAsia="zh-CN"/>
        </w:rPr>
        <w:t xml:space="preserve">盐城市腾飞路初级中学</w:t>
      </w:r>
      <w:r/>
    </w:p>
    <w:p>
      <w:pPr>
        <w:pStyle w:val="706"/>
        <w:jc w:val="center"/>
        <w:spacing w:before="120" w:beforeAutospacing="0" w:after="120" w:afterAutospacing="0" w:line="360" w:lineRule="auto"/>
        <w:rPr>
          <w:highlight w:val="none"/>
        </w:rPr>
      </w:pPr>
      <w:r>
        <w:rPr>
          <w:rFonts w:hint="eastAsia" w:ascii="Arial" w:hAnsi="Arial" w:cs="Arial"/>
          <w:b/>
          <w:sz w:val="32"/>
          <w:szCs w:val="32"/>
          <w:highlight w:val="none"/>
        </w:rPr>
        <w:t xml:space="preserve">2025</w:t>
      </w:r>
      <w:r>
        <w:rPr>
          <w:rFonts w:ascii="Arial" w:hAnsi="Arial" w:cs="Arial"/>
          <w:b/>
          <w:sz w:val="32"/>
          <w:szCs w:val="32"/>
          <w:highlight w:val="none"/>
        </w:rPr>
        <w:t xml:space="preserve">年</w:t>
      </w:r>
      <w:r>
        <w:rPr>
          <w:rFonts w:hint="eastAsia" w:ascii="Arial" w:hAnsi="Arial" w:cs="Arial"/>
          <w:b/>
          <w:sz w:val="32"/>
          <w:szCs w:val="32"/>
          <w:highlight w:val="none"/>
          <w:lang w:val="en-US" w:eastAsia="zh-CN"/>
        </w:rPr>
        <w:t xml:space="preserve">10</w:t>
      </w:r>
      <w:r>
        <w:rPr>
          <w:rFonts w:hint="eastAsia" w:ascii="Arial" w:hAnsi="Arial" w:cs="Arial"/>
          <w:b/>
          <w:sz w:val="32"/>
          <w:szCs w:val="32"/>
          <w:highlight w:val="none"/>
        </w:rPr>
        <w:t xml:space="preserve">月</w:t>
      </w:r>
      <w:r/>
    </w:p>
    <w:p>
      <w:pPr>
        <w:pStyle w:val="706"/>
        <w:spacing w:before="120" w:beforeAutospacing="0" w:after="120" w:afterAutospacing="0" w:line="360" w:lineRule="auto"/>
        <w:rPr>
          <w:highlight w:val="none"/>
        </w:rPr>
      </w:pPr>
      <w:r>
        <w:rPr>
          <w:rFonts w:ascii="Arial" w:hAnsi="Arial" w:cs="Arial"/>
          <w:highlight w:val="none"/>
        </w:rPr>
        <w:t xml:space="preserve">                        </w:t>
      </w:r>
      <w:r/>
    </w:p>
    <w:p>
      <w:pPr>
        <w:pStyle w:val="706"/>
        <w:jc w:val="center"/>
        <w:spacing w:before="120" w:beforeAutospacing="0" w:after="120" w:afterAutospacing="0" w:line="360" w:lineRule="auto"/>
        <w:rPr>
          <w:highlight w:val="none"/>
        </w:rPr>
      </w:pPr>
      <w:r>
        <w:rPr>
          <w:highlight w:val="none"/>
        </w:rPr>
        <w:t xml:space="preserve"> </w:t>
      </w:r>
      <w:r/>
    </w:p>
    <w:p>
      <w:pPr>
        <w:pStyle w:val="706"/>
        <w:jc w:val="center"/>
        <w:spacing w:beforeAutospacing="0" w:afterAutospacing="0" w:line="480" w:lineRule="auto"/>
        <w:rPr>
          <w:highlight w:val="none"/>
        </w:rPr>
      </w:pPr>
      <w:r>
        <w:rPr>
          <w:rFonts w:ascii="Times New Roman" w:hAnsi="Times New Roman"/>
          <w:sz w:val="21"/>
          <w:szCs w:val="21"/>
          <w:highlight w:val="none"/>
        </w:rPr>
        <w:br w:type="page" w:clear="all"/>
      </w:r>
      <w:r>
        <w:rPr>
          <w:rFonts w:ascii="Times New Roman" w:hAnsi="Times New Roman"/>
          <w:sz w:val="21"/>
          <w:szCs w:val="21"/>
          <w:highlight w:val="none"/>
        </w:rPr>
        <w:t xml:space="preserve"> </w:t>
      </w:r>
      <w:bookmarkStart w:id="0" w:name="_Toc479757206"/>
      <w:r/>
      <w:bookmarkStart w:id="1" w:name="_Toc523127445"/>
      <w:r/>
      <w:bookmarkStart w:id="2" w:name="_Toc20823272"/>
      <w:r/>
      <w:bookmarkStart w:id="3" w:name="_Toc16938516"/>
      <w:r/>
      <w:bookmarkStart w:id="4" w:name="_Toc120614210"/>
      <w:r/>
      <w:bookmarkStart w:id="5" w:name="_Toc513029200"/>
      <w:r>
        <w:rPr>
          <w:rFonts w:ascii="Times New Roman" w:hAnsi="Times New Roman"/>
          <w:sz w:val="21"/>
          <w:szCs w:val="21"/>
          <w:highlight w:val="none"/>
        </w:rPr>
        <w:t xml:space="preserve"> </w:t>
      </w:r>
      <w:r>
        <w:rPr>
          <w:rFonts w:ascii="黑体" w:hAnsi="宋体" w:eastAsia="黑体" w:cs="黑体"/>
          <w:b/>
          <w:sz w:val="44"/>
          <w:szCs w:val="44"/>
          <w:highlight w:val="none"/>
        </w:rPr>
        <w:t xml:space="preserve">总  目  录</w:t>
      </w:r>
      <w:bookmarkEnd w:id="0"/>
      <w:r/>
      <w:bookmarkEnd w:id="1"/>
      <w:r/>
      <w:bookmarkEnd w:id="2"/>
      <w:r/>
      <w:bookmarkEnd w:id="3"/>
      <w:r/>
      <w:bookmarkEnd w:id="4"/>
      <w:r/>
      <w:bookmarkEnd w:id="5"/>
      <w:r/>
      <w:r/>
    </w:p>
    <w:p>
      <w:pPr>
        <w:pStyle w:val="706"/>
        <w:jc w:val="both"/>
        <w:spacing w:beforeAutospacing="0" w:afterAutospacing="0" w:line="480" w:lineRule="auto"/>
        <w:rPr>
          <w:highlight w:val="none"/>
        </w:rPr>
      </w:pPr>
      <w:r>
        <w:rPr>
          <w:highlight w:val="none"/>
        </w:rPr>
        <w:t xml:space="preserve"> </w:t>
      </w:r>
      <w:r/>
    </w:p>
    <w:p>
      <w:pPr>
        <w:pStyle w:val="706"/>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招标公告……………………………………</w:t>
      </w:r>
      <w:r>
        <w:rPr>
          <w:rFonts w:ascii="黑体" w:hAnsi="宋体" w:eastAsia="黑体" w:cs="黑体"/>
          <w:sz w:val="36"/>
          <w:szCs w:val="36"/>
          <w:highlight w:val="none"/>
        </w:rPr>
        <w:t xml:space="preserve">2</w:t>
      </w:r>
      <w:r/>
    </w:p>
    <w:p>
      <w:pPr>
        <w:pStyle w:val="706"/>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投标人须知…………………………………</w:t>
      </w:r>
      <w:r>
        <w:rPr>
          <w:rFonts w:ascii="黑体" w:hAnsi="宋体" w:eastAsia="黑体" w:cs="黑体"/>
          <w:sz w:val="36"/>
          <w:szCs w:val="36"/>
          <w:highlight w:val="none"/>
        </w:rPr>
        <w:t xml:space="preserve">7</w:t>
      </w:r>
      <w:r/>
    </w:p>
    <w:p>
      <w:pPr>
        <w:pStyle w:val="706"/>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合同文本……………………………………2</w:t>
      </w:r>
      <w:r>
        <w:rPr>
          <w:rFonts w:ascii="黑体" w:hAnsi="宋体" w:eastAsia="黑体" w:cs="黑体"/>
          <w:sz w:val="36"/>
          <w:szCs w:val="36"/>
          <w:highlight w:val="none"/>
        </w:rPr>
        <w:t xml:space="preserve">9</w:t>
      </w:r>
      <w:r/>
    </w:p>
    <w:p>
      <w:pPr>
        <w:pStyle w:val="706"/>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采购需求……………………………………3</w:t>
      </w:r>
      <w:r>
        <w:rPr>
          <w:rFonts w:ascii="黑体" w:hAnsi="宋体" w:eastAsia="黑体" w:cs="黑体"/>
          <w:sz w:val="36"/>
          <w:szCs w:val="36"/>
          <w:highlight w:val="none"/>
        </w:rPr>
        <w:t xml:space="preserve">6</w:t>
      </w:r>
      <w:r/>
    </w:p>
    <w:p>
      <w:pPr>
        <w:pStyle w:val="706"/>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评标方法与评标标准………………………4</w:t>
      </w:r>
      <w:r>
        <w:rPr>
          <w:rFonts w:ascii="黑体" w:hAnsi="宋体" w:eastAsia="黑体" w:cs="黑体"/>
          <w:sz w:val="36"/>
          <w:szCs w:val="36"/>
          <w:highlight w:val="none"/>
        </w:rPr>
        <w:t xml:space="preserve">0</w:t>
      </w:r>
      <w:r/>
    </w:p>
    <w:p>
      <w:pPr>
        <w:pStyle w:val="706"/>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投标文件格式………………………………4</w:t>
      </w:r>
      <w:r>
        <w:rPr>
          <w:rFonts w:ascii="黑体" w:hAnsi="宋体" w:eastAsia="黑体" w:cs="黑体"/>
          <w:sz w:val="36"/>
          <w:szCs w:val="36"/>
          <w:highlight w:val="none"/>
        </w:rPr>
        <w:t xml:space="preserve">4</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rFonts w:hint="eastAsia"/>
          <w:highlight w:val="none"/>
        </w:rPr>
      </w:pPr>
      <w:r>
        <w:rPr>
          <w:highlight w:val="none"/>
        </w:rPr>
        <w:t xml:space="preserve"> </w:t>
      </w:r>
      <w:r/>
    </w:p>
    <w:p>
      <w:pPr>
        <w:pStyle w:val="706"/>
        <w:jc w:val="center"/>
        <w:keepNext/>
        <w:spacing w:beforeAutospacing="0" w:afterAutospacing="0"/>
        <w:rPr>
          <w:rFonts w:eastAsia="黑体"/>
          <w:highlight w:val="none"/>
        </w:rPr>
      </w:pPr>
      <w:r/>
      <w:bookmarkStart w:id="6" w:name="_Toc28359009"/>
      <w:r>
        <w:rPr>
          <w:rFonts w:hint="eastAsia" w:ascii="黑体" w:hAnsi="宋体" w:eastAsia="黑体" w:cs="黑体"/>
          <w:sz w:val="44"/>
          <w:szCs w:val="44"/>
          <w:highlight w:val="none"/>
        </w:rPr>
        <w:t xml:space="preserve">第一章 招标公告</w:t>
      </w:r>
      <w:r/>
    </w:p>
    <w:p>
      <w:pPr>
        <w:pStyle w:val="706"/>
        <w:ind w:firstLine="480"/>
        <w:jc w:val="both"/>
        <w:spacing w:beforeAutospacing="0" w:afterAutospacing="0" w:line="520" w:lineRule="exact"/>
        <w:rPr>
          <w:rFonts w:ascii="仿宋" w:hAnsi="仿宋" w:eastAsia="仿宋" w:cs="仿宋"/>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highlight w:val="none"/>
        </w:rPr>
        <w:t xml:space="preserve">项目概况</w:t>
      </w:r>
      <w:r/>
    </w:p>
    <w:p>
      <w:pPr>
        <w:pStyle w:val="706"/>
        <w:ind w:firstLine="480"/>
        <w:jc w:val="both"/>
        <w:spacing w:beforeAutospacing="0" w:afterAutospacing="0" w:line="520" w:lineRule="exact"/>
        <w:rPr>
          <w:rFonts w:ascii="仿宋" w:hAnsi="仿宋" w:eastAsia="仿宋" w:cs="仿宋"/>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highlight w:val="none"/>
          <w:u w:val="single"/>
          <w:lang w:eastAsia="zh-CN"/>
        </w:rPr>
        <w:t xml:space="preserve">盐城市腾飞路初级中学文印外包服务采购项目</w:t>
      </w:r>
      <w:r>
        <w:rPr>
          <w:rFonts w:hint="eastAsia" w:ascii="仿宋" w:hAnsi="仿宋" w:eastAsia="仿宋" w:cs="仿宋"/>
          <w:sz w:val="28"/>
          <w:szCs w:val="28"/>
          <w:highlight w:val="none"/>
        </w:rPr>
        <w:t xml:space="preserve">招标项目的潜在投标人可在“苏采云”系统内免费下载（投标人必须在苏采云系统中获取采购文件，方能参与政府采购项目），并于</w:t>
      </w:r>
      <w:r>
        <w:rPr>
          <w:rFonts w:hint="eastAsia" w:ascii="仿宋" w:hAnsi="仿宋" w:eastAsia="仿宋" w:cs="仿宋"/>
          <w:sz w:val="28"/>
          <w:szCs w:val="28"/>
          <w:highlight w:val="none"/>
          <w:u w:val="single"/>
        </w:rPr>
        <w:t xml:space="preserve"> 2025-</w:t>
      </w:r>
      <w:r>
        <w:rPr>
          <w:rFonts w:hint="eastAsia" w:ascii="仿宋" w:hAnsi="仿宋" w:eastAsia="仿宋" w:cs="仿宋"/>
          <w:sz w:val="28"/>
          <w:szCs w:val="28"/>
          <w:highlight w:val="none"/>
          <w:u w:val="single"/>
          <w:lang w:val="en-US" w:eastAsia="zh-CN"/>
        </w:rPr>
        <w:t xml:space="preserve">11</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en-US" w:eastAsia="zh-CN"/>
        </w:rPr>
        <w:t xml:space="preserve">11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09</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en-US" w:eastAsia="zh-CN"/>
        </w:rPr>
        <w:t xml:space="preserve">00</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rPr>
        <w:t xml:space="preserve">北京时间）前递交投标文件。</w:t>
      </w:r>
      <w:r/>
    </w:p>
    <w:p>
      <w:pPr>
        <w:pStyle w:val="706"/>
        <w:ind w:firstLine="498"/>
        <w:jc w:val="both"/>
        <w:keepLines/>
        <w:keepNext/>
        <w:spacing w:before="145" w:beforeAutospacing="0" w:after="145" w:afterAutospacing="0" w:line="520" w:lineRule="exact"/>
        <w:rPr>
          <w:highlight w:val="none"/>
        </w:rPr>
      </w:pPr>
      <w:r/>
      <w:bookmarkStart w:id="7" w:name="_Toc28359002"/>
      <w:r/>
      <w:bookmarkStart w:id="8" w:name="_Toc35393621"/>
      <w:r/>
      <w:bookmarkStart w:id="9" w:name="_Toc38985263"/>
      <w:r/>
      <w:bookmarkStart w:id="10" w:name="_Hlk24379207"/>
      <w:r/>
      <w:bookmarkStart w:id="11" w:name="_Toc35393790"/>
      <w:r/>
      <w:bookmarkStart w:id="12" w:name="_Toc28359079"/>
      <w:r>
        <w:rPr>
          <w:rFonts w:ascii="Times New Roman" w:hAnsi="Times New Roman"/>
          <w:b/>
          <w:sz w:val="32"/>
          <w:szCs w:val="32"/>
          <w:highlight w:val="none"/>
        </w:rPr>
        <w:t xml:space="preserve">一、项目基本情况</w:t>
      </w:r>
      <w:bookmarkEnd w:id="7"/>
      <w:r/>
      <w:bookmarkEnd w:id="8"/>
      <w:r/>
      <w:bookmarkEnd w:id="9"/>
      <w:r/>
      <w:bookmarkEnd w:id="10"/>
      <w:r/>
      <w:bookmarkEnd w:id="11"/>
      <w:r/>
      <w:bookmarkEnd w:id="12"/>
      <w:r/>
      <w:r/>
    </w:p>
    <w:p>
      <w:pPr>
        <w:pStyle w:val="706"/>
        <w:ind w:firstLine="480"/>
        <w:jc w:val="both"/>
        <w:spacing w:beforeAutospacing="0" w:afterAutospacing="0"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项目编号：JSZC-320903-JZCG-G2025-0038</w:t>
      </w:r>
      <w:r/>
    </w:p>
    <w:p>
      <w:pPr>
        <w:pStyle w:val="706"/>
        <w:ind w:firstLine="480"/>
        <w:jc w:val="both"/>
        <w:spacing w:beforeAutospacing="0" w:afterAutospacing="0"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2.项目名称：</w:t>
      </w:r>
      <w:r>
        <w:rPr>
          <w:rFonts w:hint="eastAsia" w:ascii="仿宋" w:hAnsi="仿宋" w:eastAsia="仿宋" w:cs="仿宋"/>
          <w:sz w:val="28"/>
          <w:szCs w:val="28"/>
          <w:highlight w:val="none"/>
          <w:lang w:eastAsia="zh-CN"/>
        </w:rPr>
        <w:t xml:space="preserve">盐城市腾飞路初级中学文印外包服务采购项目</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3.采购方式：公开招标</w:t>
      </w:r>
      <w:r/>
    </w:p>
    <w:p>
      <w:pPr>
        <w:pStyle w:val="706"/>
        <w:ind w:firstLine="480"/>
        <w:jc w:val="both"/>
        <w:spacing w:beforeAutospacing="0" w:afterAutospacing="0"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4.预算金额：</w:t>
      </w:r>
      <w:r>
        <w:rPr>
          <w:rFonts w:hint="eastAsia" w:ascii="仿宋" w:hAnsi="仿宋" w:eastAsia="仿宋" w:cs="仿宋"/>
          <w:sz w:val="28"/>
          <w:szCs w:val="28"/>
          <w:highlight w:val="none"/>
          <w:lang w:eastAsia="zh-CN"/>
        </w:rPr>
        <w:t xml:space="preserve">18.00万元</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5.最高限价：最高限价折扣系数为98%（即最低优惠率为2%），投标人投标报价高于最高投标限价的，其投标将被否决。</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eastAsia="zh-CN"/>
        </w:rPr>
        <w:t xml:space="preserve">盐城市腾飞路初级中学文印外包服务采购项目</w:t>
      </w:r>
      <w:r>
        <w:rPr>
          <w:rFonts w:hint="eastAsia" w:ascii="仿宋" w:hAnsi="仿宋" w:eastAsia="仿宋" w:cs="仿宋"/>
          <w:sz w:val="28"/>
          <w:szCs w:val="28"/>
          <w:highlight w:val="none"/>
        </w:rPr>
        <w:t xml:space="preserve">，详细内容见本招标文件第四章。</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7.合同履行期限：一年，以合同签订日期为准。</w:t>
      </w:r>
      <w:r/>
    </w:p>
    <w:p>
      <w:pPr>
        <w:pStyle w:val="706"/>
        <w:ind w:firstLine="480"/>
        <w:jc w:val="both"/>
        <w:spacing w:beforeAutospacing="0" w:afterAutospacing="0" w:line="520" w:lineRule="exact"/>
        <w:rPr>
          <w:rFonts w:ascii="仿宋" w:hAnsi="仿宋" w:eastAsia="仿宋" w:cs="仿宋"/>
          <w:sz w:val="28"/>
          <w:szCs w:val="28"/>
          <w:highlight w:val="none"/>
          <w:shd w:val="clear" w:color="auto" w:fill="ffff00"/>
        </w:rPr>
      </w:pPr>
      <w:r>
        <w:rPr>
          <w:rFonts w:hint="eastAsia" w:ascii="仿宋" w:hAnsi="仿宋" w:eastAsia="仿宋" w:cs="仿宋"/>
          <w:sz w:val="28"/>
          <w:szCs w:val="28"/>
          <w:highlight w:val="none"/>
          <w:shd w:val="clear" w:color="auto" w:fill="ffffff"/>
        </w:rPr>
        <w:t xml:space="preserve">8.本项目不接受联合体</w:t>
      </w:r>
      <w:r>
        <w:rPr>
          <w:rFonts w:hint="eastAsia" w:ascii="仿宋" w:hAnsi="仿宋" w:eastAsia="仿宋" w:cs="仿宋"/>
          <w:sz w:val="28"/>
          <w:szCs w:val="28"/>
          <w:highlight w:val="none"/>
        </w:rPr>
        <w:t xml:space="preserve">参与招标。</w:t>
      </w:r>
      <w:r/>
    </w:p>
    <w:p>
      <w:pPr>
        <w:pStyle w:val="706"/>
        <w:ind w:firstLine="498"/>
        <w:jc w:val="both"/>
        <w:keepLines/>
        <w:keepNext/>
        <w:spacing w:before="145" w:beforeAutospacing="0" w:after="145" w:afterAutospacing="0" w:line="520" w:lineRule="exact"/>
        <w:rPr>
          <w:highlight w:val="none"/>
        </w:rPr>
      </w:pPr>
      <w:r/>
      <w:bookmarkStart w:id="13" w:name="_Toc38985264"/>
      <w:r/>
      <w:bookmarkStart w:id="14" w:name="_Toc35393622"/>
      <w:r/>
      <w:bookmarkStart w:id="15" w:name="_Toc28359003"/>
      <w:r/>
      <w:bookmarkStart w:id="16" w:name="_Toc28359080"/>
      <w:r/>
      <w:bookmarkStart w:id="17" w:name="_Toc35393791"/>
      <w:r>
        <w:rPr>
          <w:rFonts w:ascii="Times New Roman" w:hAnsi="Times New Roman"/>
          <w:b/>
          <w:sz w:val="32"/>
          <w:szCs w:val="32"/>
          <w:highlight w:val="none"/>
        </w:rPr>
        <w:t xml:space="preserve">二、申请人的资格要求：</w:t>
      </w:r>
      <w:bookmarkEnd w:id="13"/>
      <w:r/>
      <w:bookmarkEnd w:id="14"/>
      <w:r/>
      <w:bookmarkEnd w:id="15"/>
      <w:r/>
      <w:bookmarkEnd w:id="16"/>
      <w:r/>
      <w:bookmarkEnd w:id="17"/>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1.满足《中华人民共和国政府采购法》第二十二条规定，并提供下列材料：</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1.1 法人或者其他组织的营业执照等证明文件，自然人的身份证明；</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1.2上一年度的财务状况报告（成立不满一年无需提供）；</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1.3具备履行合同所必需的设备和专业技术能力的书面声明；</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1.5参加政府采购活动前3年内在经营活动中没有重大违法记录的书面声明。</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1.6法律、行政法规规定的其他条件。</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1.8单位负责人为同一人或者存在直接控股、管理关系的不同供应商，不得参加同一合同项下的政府采购活动。</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落实政府采购政策需满足的资格要求：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3.本项目的特定资格要求：无。</w:t>
      </w:r>
      <w:r/>
    </w:p>
    <w:p>
      <w:pPr>
        <w:pStyle w:val="706"/>
        <w:ind w:firstLine="498"/>
        <w:jc w:val="both"/>
        <w:keepLines/>
        <w:keepNext/>
        <w:spacing w:before="145" w:beforeAutospacing="0" w:after="145" w:afterAutospacing="0" w:line="520" w:lineRule="exact"/>
        <w:rPr>
          <w:highlight w:val="none"/>
        </w:rPr>
      </w:pPr>
      <w:r>
        <w:rPr>
          <w:rFonts w:ascii="Times New Roman" w:hAnsi="Times New Roman"/>
          <w:b/>
          <w:sz w:val="32"/>
          <w:szCs w:val="32"/>
          <w:highlight w:val="none"/>
        </w:rPr>
        <w:t xml:space="preserve">三、获取招标文件</w:t>
      </w:r>
      <w:r/>
    </w:p>
    <w:p>
      <w:pPr>
        <w:pStyle w:val="706"/>
        <w:ind w:firstLine="540"/>
        <w:jc w:val="both"/>
        <w:spacing w:beforeAutospacing="0" w:afterAutospacing="0" w:line="520" w:lineRule="exact"/>
        <w:shd w:val="clear" w:color="auto" w:fill="ffffff"/>
        <w:widowControl/>
        <w:rPr>
          <w:rFonts w:ascii="仿宋" w:hAnsi="仿宋" w:eastAsia="仿宋" w:cs="仿宋"/>
          <w:sz w:val="28"/>
          <w:szCs w:val="28"/>
          <w:highlight w:val="none"/>
        </w:rPr>
      </w:pPr>
      <w:r/>
      <w:bookmarkStart w:id="18" w:name="_Toc38985266"/>
      <w:r/>
      <w:bookmarkStart w:id="19" w:name="_Toc28359005"/>
      <w:r/>
      <w:bookmarkStart w:id="20" w:name="_Toc35393793"/>
      <w:r/>
      <w:bookmarkStart w:id="21" w:name="_Toc28359082"/>
      <w:r/>
      <w:bookmarkStart w:id="22" w:name="_Toc35393624"/>
      <w:r>
        <w:rPr>
          <w:rFonts w:hint="eastAsia" w:ascii="仿宋" w:hAnsi="仿宋" w:eastAsia="仿宋" w:cs="仿宋"/>
          <w:sz w:val="28"/>
          <w:szCs w:val="28"/>
          <w:highlight w:val="none"/>
        </w:rPr>
        <w:t xml:space="preserve">1.时间：</w:t>
      </w:r>
      <w:bookmarkEnd w:id="18"/>
      <w:r/>
      <w:bookmarkEnd w:id="19"/>
      <w:r/>
      <w:bookmarkEnd w:id="20"/>
      <w:r/>
      <w:bookmarkEnd w:id="21"/>
      <w:r/>
      <w:bookmarkEnd w:id="22"/>
      <w:r>
        <w:rPr>
          <w:rFonts w:hint="eastAsia" w:ascii="仿宋" w:hAnsi="仿宋" w:eastAsia="仿宋" w:cs="仿宋"/>
          <w:sz w:val="28"/>
          <w:szCs w:val="28"/>
          <w:highlight w:val="none"/>
        </w:rPr>
        <w:t xml:space="preserve">自招标文件公告发布之日起5个工作日</w:t>
      </w:r>
      <w:r>
        <w:rPr>
          <w:rFonts w:hint="eastAsia" w:ascii="仿宋" w:hAnsi="仿宋" w:eastAsia="仿宋" w:cs="仿宋"/>
          <w:sz w:val="28"/>
          <w:szCs w:val="28"/>
          <w:highlight w:val="none"/>
        </w:rPr>
        <w:tab/>
      </w:r>
      <w:r/>
    </w:p>
    <w:p>
      <w:pPr>
        <w:ind w:firstLine="480"/>
        <w:jc w:val="left"/>
        <w:spacing w:line="52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2.地点：</w:t>
      </w:r>
      <w:r>
        <w:rPr>
          <w:rFonts w:hint="eastAsia" w:ascii="仿宋" w:hAnsi="仿宋" w:eastAsia="仿宋" w:cs="仿宋"/>
          <w:sz w:val="28"/>
          <w:szCs w:val="28"/>
          <w:highlight w:val="none"/>
        </w:rPr>
        <w:t xml:space="preserve">“苏采云”系统内免费下载（投标人必须在苏采云系统中获取采购文件，方能参与政府采购项目）</w:t>
      </w:r>
      <w:r/>
    </w:p>
    <w:p>
      <w:pPr>
        <w:pStyle w:val="706"/>
        <w:ind w:firstLine="54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3.方式：本项目采用网上注册登记方式</w:t>
      </w:r>
      <w:r/>
    </w:p>
    <w:p>
      <w:pPr>
        <w:ind w:firstLine="480"/>
        <w:jc w:val="left"/>
        <w:spacing w:line="520" w:lineRule="exact"/>
        <w:widowControl/>
        <w:rPr>
          <w:highlight w:val="none"/>
        </w:rPr>
      </w:pPr>
      <w:r>
        <w:rPr>
          <w:rFonts w:hint="eastAsia" w:ascii="仿宋" w:hAnsi="仿宋" w:eastAsia="仿宋" w:cs="仿宋"/>
          <w:sz w:val="28"/>
          <w:szCs w:val="28"/>
          <w:highlight w:val="none"/>
        </w:rPr>
        <w:t xml:space="preserve">4.售价：0元</w:t>
      </w:r>
      <w:r/>
    </w:p>
    <w:p>
      <w:pPr>
        <w:pStyle w:val="706"/>
        <w:ind w:firstLine="498"/>
        <w:jc w:val="both"/>
        <w:keepLines/>
        <w:keepNext/>
        <w:spacing w:before="145" w:beforeAutospacing="0" w:after="145" w:afterAutospacing="0" w:line="520" w:lineRule="exact"/>
        <w:rPr>
          <w:highlight w:val="none"/>
        </w:rPr>
      </w:pPr>
      <w:r>
        <w:rPr>
          <w:rFonts w:ascii="Times New Roman" w:hAnsi="Times New Roman"/>
          <w:b/>
          <w:sz w:val="32"/>
          <w:szCs w:val="32"/>
          <w:highlight w:val="none"/>
        </w:rPr>
        <w:t xml:space="preserve">四、提交投标文件截止时间、开标时间和地点</w:t>
      </w:r>
      <w:r/>
    </w:p>
    <w:p>
      <w:pPr>
        <w:pStyle w:val="706"/>
        <w:ind w:firstLine="540"/>
        <w:jc w:val="both"/>
        <w:spacing w:beforeAutospacing="0" w:afterAutospacing="0" w:line="520" w:lineRule="exact"/>
        <w:shd w:val="clear" w:color="auto" w:fill="ffffff"/>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sz w:val="28"/>
          <w:szCs w:val="28"/>
          <w:highlight w:val="none"/>
          <w:u w:val="single"/>
          <w:shd w:val="clear" w:color="auto" w:fill="ffffff"/>
        </w:rPr>
        <w:t xml:space="preserve">2025-</w:t>
      </w:r>
      <w:r>
        <w:rPr>
          <w:rFonts w:hint="eastAsia" w:ascii="仿宋" w:hAnsi="仿宋" w:eastAsia="仿宋" w:cs="仿宋"/>
          <w:sz w:val="28"/>
          <w:szCs w:val="28"/>
          <w:highlight w:val="none"/>
          <w:u w:val="single"/>
          <w:shd w:val="clear" w:color="auto" w:fill="ffffff"/>
          <w:lang w:val="en-US" w:eastAsia="zh-CN"/>
        </w:rPr>
        <w:t xml:space="preserve">11</w:t>
      </w:r>
      <w:r>
        <w:rPr>
          <w:rFonts w:hint="eastAsia" w:ascii="仿宋" w:hAnsi="仿宋" w:eastAsia="仿宋" w:cs="仿宋"/>
          <w:sz w:val="28"/>
          <w:szCs w:val="28"/>
          <w:highlight w:val="none"/>
          <w:u w:val="single"/>
          <w:shd w:val="clear" w:color="auto" w:fill="ffffff"/>
        </w:rPr>
        <w:t xml:space="preserve">-</w:t>
      </w:r>
      <w:r>
        <w:rPr>
          <w:rFonts w:hint="eastAsia" w:ascii="仿宋" w:hAnsi="仿宋" w:eastAsia="仿宋" w:cs="仿宋"/>
          <w:sz w:val="28"/>
          <w:szCs w:val="28"/>
          <w:highlight w:val="none"/>
          <w:u w:val="single"/>
          <w:shd w:val="clear" w:color="auto" w:fill="ffffff"/>
          <w:lang w:val="en-US" w:eastAsia="zh-CN"/>
        </w:rPr>
        <w:t xml:space="preserve">11</w:t>
      </w:r>
      <w:r>
        <w:rPr>
          <w:rFonts w:hint="eastAsia" w:ascii="仿宋" w:hAnsi="仿宋" w:eastAsia="仿宋" w:cs="仿宋"/>
          <w:sz w:val="28"/>
          <w:szCs w:val="28"/>
          <w:highlight w:val="none"/>
          <w:u w:val="single"/>
          <w:shd w:val="clear" w:color="auto" w:fill="ffffff"/>
        </w:rPr>
        <w:t xml:space="preserve">  </w:t>
      </w:r>
      <w:r>
        <w:rPr>
          <w:rFonts w:hint="eastAsia" w:ascii="仿宋" w:hAnsi="仿宋" w:eastAsia="仿宋" w:cs="仿宋"/>
          <w:sz w:val="28"/>
          <w:szCs w:val="28"/>
          <w:highlight w:val="none"/>
          <w:u w:val="single"/>
          <w:shd w:val="clear" w:color="auto" w:fill="ffffff"/>
          <w:lang w:val="en-US" w:eastAsia="zh-CN"/>
        </w:rPr>
        <w:t xml:space="preserve">09</w:t>
      </w:r>
      <w:r>
        <w:rPr>
          <w:rFonts w:hint="eastAsia" w:ascii="仿宋" w:hAnsi="仿宋" w:eastAsia="仿宋" w:cs="仿宋"/>
          <w:sz w:val="28"/>
          <w:szCs w:val="28"/>
          <w:highlight w:val="none"/>
          <w:u w:val="single"/>
          <w:shd w:val="clear" w:color="auto" w:fill="ffffff"/>
        </w:rPr>
        <w:t xml:space="preserve">：</w:t>
      </w:r>
      <w:r>
        <w:rPr>
          <w:rFonts w:hint="eastAsia" w:ascii="仿宋" w:hAnsi="仿宋" w:eastAsia="仿宋" w:cs="仿宋"/>
          <w:sz w:val="28"/>
          <w:szCs w:val="28"/>
          <w:highlight w:val="none"/>
          <w:u w:val="single"/>
          <w:shd w:val="clear" w:color="auto" w:fill="ffffff"/>
          <w:lang w:val="en-US" w:eastAsia="zh-CN"/>
        </w:rPr>
        <w:t xml:space="preserve">00</w:t>
      </w:r>
      <w:r>
        <w:rPr>
          <w:rFonts w:hint="eastAsia" w:ascii="仿宋" w:hAnsi="仿宋" w:eastAsia="仿宋" w:cs="仿宋"/>
          <w:sz w:val="28"/>
          <w:szCs w:val="28"/>
          <w:highlight w:val="none"/>
        </w:rPr>
        <w:t xml:space="preserve">（北京时间）。</w:t>
      </w:r>
      <w:r/>
    </w:p>
    <w:p>
      <w:pPr>
        <w:pStyle w:val="706"/>
        <w:ind w:firstLine="480"/>
        <w:jc w:val="both"/>
        <w:spacing w:beforeAutospacing="0" w:afterAutospacing="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2.地点：苏采云“不见面”开标大厅。</w:t>
      </w:r>
      <w:r/>
    </w:p>
    <w:p>
      <w:pPr>
        <w:pStyle w:val="706"/>
        <w:ind w:firstLine="498"/>
        <w:jc w:val="both"/>
        <w:keepLines/>
        <w:keepNext/>
        <w:spacing w:before="145" w:beforeAutospacing="0" w:after="145" w:afterAutospacing="0" w:line="520" w:lineRule="exact"/>
        <w:rPr>
          <w:highlight w:val="none"/>
        </w:rPr>
      </w:pPr>
      <w:r/>
      <w:bookmarkStart w:id="23" w:name="_Toc35393625"/>
      <w:r/>
      <w:bookmarkStart w:id="24" w:name="_Toc28359007"/>
      <w:r/>
      <w:bookmarkStart w:id="25" w:name="_Toc35393794"/>
      <w:r/>
      <w:bookmarkStart w:id="26" w:name="_Toc38985267"/>
      <w:r/>
      <w:bookmarkStart w:id="27" w:name="_Toc28359084"/>
      <w:r>
        <w:rPr>
          <w:rFonts w:ascii="Times New Roman" w:hAnsi="Times New Roman"/>
          <w:b/>
          <w:sz w:val="32"/>
          <w:szCs w:val="32"/>
          <w:highlight w:val="none"/>
        </w:rPr>
        <w:t xml:space="preserve">五、公告期限</w:t>
      </w:r>
      <w:bookmarkEnd w:id="23"/>
      <w:r/>
      <w:bookmarkEnd w:id="24"/>
      <w:r/>
      <w:bookmarkEnd w:id="25"/>
      <w:r/>
      <w:bookmarkEnd w:id="26"/>
      <w:r/>
      <w:bookmarkEnd w:id="27"/>
      <w:r/>
      <w:r/>
    </w:p>
    <w:p>
      <w:pPr>
        <w:pStyle w:val="706"/>
        <w:ind w:firstLine="560"/>
        <w:jc w:val="both"/>
        <w:spacing w:beforeAutospacing="0" w:afterAutospacing="0" w:line="520" w:lineRule="exact"/>
        <w:shd w:val="clear" w:color="auto" w:fill="ffffff"/>
        <w:widowControl/>
        <w:rPr>
          <w:rFonts w:ascii="仿宋" w:hAnsi="仿宋" w:eastAsia="仿宋" w:cs="仿宋"/>
          <w:sz w:val="28"/>
          <w:szCs w:val="28"/>
          <w:highlight w:val="none"/>
          <w:shd w:val="clear" w:color="auto" w:fill="ffffff"/>
        </w:rPr>
      </w:pPr>
      <w:r/>
      <w:bookmarkStart w:id="28" w:name="_Toc35393626"/>
      <w:r/>
      <w:bookmarkStart w:id="29" w:name="_Toc38985268"/>
      <w:r/>
      <w:bookmarkStart w:id="30" w:name="_Toc35393795"/>
      <w:r>
        <w:rPr>
          <w:rFonts w:hint="eastAsia" w:ascii="仿宋" w:hAnsi="仿宋" w:eastAsia="仿宋" w:cs="仿宋"/>
          <w:sz w:val="28"/>
          <w:szCs w:val="28"/>
          <w:highlight w:val="none"/>
          <w:shd w:val="clear" w:color="auto" w:fill="ffffff"/>
        </w:rPr>
        <w:t xml:space="preserve">自本公告发布之日起5个工作日。</w:t>
      </w:r>
      <w:bookmarkEnd w:id="28"/>
      <w:r/>
      <w:bookmarkEnd w:id="29"/>
      <w:r/>
      <w:bookmarkEnd w:id="30"/>
      <w:r/>
      <w:r/>
    </w:p>
    <w:p>
      <w:pPr>
        <w:pStyle w:val="706"/>
        <w:ind w:firstLine="498"/>
        <w:jc w:val="both"/>
        <w:keepLines/>
        <w:keepNext/>
        <w:spacing w:before="145" w:beforeAutospacing="0" w:after="145" w:afterAutospacing="0" w:line="520" w:lineRule="exact"/>
        <w:rPr>
          <w:highlight w:val="none"/>
        </w:rPr>
      </w:pPr>
      <w:r>
        <w:rPr>
          <w:rFonts w:ascii="Times New Roman" w:hAnsi="Times New Roman"/>
          <w:b/>
          <w:sz w:val="32"/>
          <w:szCs w:val="32"/>
          <w:highlight w:val="none"/>
        </w:rPr>
        <w:t xml:space="preserve">六、其他补充事宜</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bookmarkStart w:id="31" w:name="_Toc28359018"/>
      <w:r>
        <w:rPr>
          <w:rFonts w:hint="eastAsia" w:ascii="仿宋" w:hAnsi="仿宋" w:eastAsia="仿宋" w:cs="仿宋"/>
          <w:sz w:val="28"/>
          <w:szCs w:val="28"/>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2.潜在供应商访问电子招标响应交易平台的网络地址和方法： </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2.2 潜在投标人访问“苏采云”系统方法：江苏省政府采购网首页-“苏采云”链接。 </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2.3 采购文件（后缀名为“.kedt”）、供应商操作手册及政府采购客户端 工具可通过“苏采云”系统相应链接进行下载。 </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2.4 采购代理机构将数据电文形式的采购文件加载至“苏采云”系统，供潜在供应商下载或者查阅。 </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2.5 请潜在投标单位提前安装相应的控件（详见《“苏采云”系统供应商操作手册》）并使用谷歌浏览器登录“苏采云”系统参与不见面开评标。 </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如潜在投标人未按上述要求操作，将自行承担所产生的风险。</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3.有关本次招标的事项若存在变动或修改，敬请及时关注盐城市盐都区公共资源交易中心在“中国政府采购网”、“江苏政府采购网”、“盐城市政府采购网”发布的更正公告。</w:t>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4.本次招标不收取投标保证金，不收取质量保证金</w:t>
      </w:r>
      <w:r>
        <w:rPr>
          <w:rFonts w:hint="eastAsia" w:ascii="仿宋" w:hAnsi="仿宋" w:eastAsia="仿宋" w:cs="仿宋"/>
          <w:sz w:val="28"/>
          <w:szCs w:val="28"/>
          <w:highlight w:val="none"/>
          <w:shd w:val="clear" w:color="auto" w:fill="ffffff"/>
        </w:rPr>
        <w:t xml:space="preserve">。</w:t>
      </w:r>
      <w:r/>
    </w:p>
    <w:p>
      <w:pPr>
        <w:pStyle w:val="691"/>
        <w:ind w:firstLine="560"/>
        <w:jc w:val="both"/>
        <w:spacing w:beforeAutospacing="0" w:afterAutospacing="0" w:line="600" w:lineRule="exact"/>
        <w:shd w:val="clear" w:color="auto" w:fill="ffffff"/>
        <w:widowControl/>
        <w:rPr>
          <w:rFonts w:hint="default" w:ascii="微软雅黑" w:hAnsi="微软雅黑" w:eastAsia="微软雅黑" w:cs="微软雅黑"/>
          <w:b w:val="0"/>
          <w:bCs w:val="0"/>
          <w:sz w:val="27"/>
          <w:szCs w:val="27"/>
          <w:highlight w:val="none"/>
        </w:rPr>
      </w:pPr>
      <w:r>
        <w:rPr>
          <w:rFonts w:ascii="黑体" w:eastAsia="黑体" w:cs="黑体"/>
          <w:b w:val="0"/>
          <w:bCs w:val="0"/>
          <w:sz w:val="28"/>
          <w:szCs w:val="28"/>
          <w:highlight w:val="none"/>
          <w:shd w:val="clear" w:color="auto" w:fill="ffffff"/>
        </w:rPr>
        <w:t xml:space="preserve">七、对本次招标提出询问，请按以下方式联系。</w:t>
      </w:r>
      <w:bookmarkEnd w:id="31"/>
      <w:r/>
      <w:r/>
    </w:p>
    <w:p>
      <w:pPr>
        <w:pStyle w:val="706"/>
        <w:ind w:firstLine="560"/>
        <w:jc w:val="both"/>
        <w:spacing w:beforeAutospacing="0" w:afterAutospacing="0" w:line="600" w:lineRule="exact"/>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1.采购人信息</w:t>
      </w:r>
      <w:r/>
    </w:p>
    <w:p>
      <w:pPr>
        <w:pStyle w:val="706"/>
        <w:ind w:firstLine="560"/>
        <w:jc w:val="both"/>
        <w:spacing w:beforeAutospacing="0" w:afterAutospacing="0" w:line="600" w:lineRule="exact"/>
        <w:shd w:val="clear" w:color="auto" w:fill="ffffff"/>
        <w:widowControl/>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rPr>
        <w:t xml:space="preserve">名 称：</w:t>
      </w:r>
      <w:r>
        <w:rPr>
          <w:rFonts w:hint="eastAsia" w:ascii="仿宋" w:hAnsi="仿宋" w:eastAsia="仿宋" w:cs="仿宋"/>
          <w:sz w:val="28"/>
          <w:szCs w:val="28"/>
          <w:highlight w:val="none"/>
          <w:shd w:val="clear" w:color="auto" w:fill="ffffff"/>
          <w:lang w:eastAsia="zh-CN"/>
        </w:rPr>
        <w:t xml:space="preserve">盐城市腾飞路初级中学</w:t>
      </w:r>
      <w:r/>
    </w:p>
    <w:p>
      <w:pPr>
        <w:pStyle w:val="706"/>
        <w:ind w:firstLine="560"/>
        <w:jc w:val="both"/>
        <w:spacing w:beforeAutospacing="0" w:afterAutospacing="0" w:line="600" w:lineRule="exact"/>
        <w:shd w:val="clear" w:color="auto" w:fill="ffffff"/>
        <w:widowControl/>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rPr>
        <w:t xml:space="preserve">地 址：</w:t>
      </w:r>
      <w:r>
        <w:rPr>
          <w:rFonts w:hint="eastAsia" w:ascii="仿宋" w:hAnsi="仿宋" w:eastAsia="仿宋" w:cs="仿宋"/>
          <w:sz w:val="28"/>
          <w:szCs w:val="28"/>
          <w:highlight w:val="none"/>
          <w:shd w:val="clear" w:color="auto" w:fill="ffffff"/>
          <w:lang w:eastAsia="zh-CN"/>
        </w:rPr>
        <w:t xml:space="preserve">盐城市盐都区腾飞路</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联系人：</w:t>
      </w:r>
      <w:r>
        <w:rPr>
          <w:rFonts w:hint="eastAsia" w:ascii="仿宋" w:hAnsi="仿宋" w:eastAsia="仿宋" w:cs="仿宋"/>
          <w:sz w:val="28"/>
          <w:szCs w:val="28"/>
          <w:highlight w:val="none"/>
          <w:shd w:val="clear" w:color="auto" w:fill="ffffff"/>
          <w:lang w:eastAsia="zh-CN"/>
        </w:rPr>
        <w:t xml:space="preserve">李主任</w:t>
      </w:r>
      <w:r>
        <w:rPr>
          <w:rFonts w:hint="eastAsia" w:ascii="仿宋" w:hAnsi="仿宋" w:eastAsia="仿宋" w:cs="仿宋"/>
          <w:sz w:val="28"/>
          <w:szCs w:val="28"/>
          <w:highlight w:val="none"/>
          <w:shd w:val="clear" w:color="auto" w:fill="ffffff"/>
        </w:rPr>
        <w:t xml:space="preserve">  </w:t>
      </w:r>
      <w:r/>
    </w:p>
    <w:p>
      <w:pPr>
        <w:pStyle w:val="706"/>
        <w:ind w:firstLine="561"/>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联系方式：</w:t>
      </w:r>
      <w:r>
        <w:rPr>
          <w:rFonts w:hint="eastAsia" w:ascii="仿宋" w:hAnsi="仿宋" w:eastAsia="仿宋" w:cs="仿宋"/>
          <w:sz w:val="28"/>
          <w:szCs w:val="28"/>
          <w:highlight w:val="none"/>
          <w:shd w:val="clear" w:color="auto" w:fill="ffffff"/>
          <w:lang w:eastAsia="zh-CN"/>
        </w:rPr>
        <w:t xml:space="preserve">13814389086</w:t>
      </w:r>
      <w:r>
        <w:rPr>
          <w:rFonts w:hint="eastAsia" w:ascii="仿宋" w:hAnsi="仿宋" w:eastAsia="仿宋" w:cs="仿宋"/>
          <w:sz w:val="28"/>
          <w:szCs w:val="28"/>
          <w:highlight w:val="none"/>
          <w:shd w:val="clear" w:color="auto" w:fill="ffffff"/>
        </w:rPr>
        <w:t xml:space="preserve">          </w:t>
      </w:r>
      <w:bookmarkStart w:id="32" w:name="_Toc28359010"/>
      <w:r/>
      <w:bookmarkStart w:id="33" w:name="_Toc28359087"/>
      <w:r>
        <w:rPr>
          <w:rFonts w:hint="eastAsia" w:ascii="仿宋" w:hAnsi="仿宋" w:eastAsia="仿宋" w:cs="仿宋"/>
          <w:sz w:val="28"/>
          <w:szCs w:val="28"/>
          <w:highlight w:val="none"/>
          <w:shd w:val="clear" w:color="auto" w:fill="ffffff"/>
        </w:rPr>
        <w:t xml:space="preserve">    </w:t>
      </w:r>
      <w:bookmarkEnd w:id="32"/>
      <w:r/>
      <w:bookmarkEnd w:id="33"/>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2.采购代理机构信息</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单位名称：盐城市盐都区公共资源交易中心</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单位地址：盐城市盐都区世纪大道1188号服务大厦808室</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联系人：许工</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联系电话：19895618399</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3.项目联系方式</w:t>
      </w:r>
      <w:r/>
    </w:p>
    <w:p>
      <w:pPr>
        <w:pStyle w:val="706"/>
        <w:ind w:firstLine="560"/>
        <w:jc w:val="both"/>
        <w:spacing w:beforeAutospacing="0" w:afterAutospacing="0"/>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项目联系人：许工</w:t>
      </w:r>
      <w:r/>
    </w:p>
    <w:p>
      <w:pPr>
        <w:pStyle w:val="706"/>
        <w:ind w:firstLine="560"/>
        <w:jc w:val="both"/>
        <w:spacing w:beforeAutospacing="0" w:afterAutospacing="0"/>
        <w:shd w:val="clear" w:color="auto" w:fill="ffffff"/>
        <w:widowControl/>
        <w:rPr>
          <w:highlight w:val="none"/>
        </w:rPr>
      </w:pPr>
      <w:r>
        <w:rPr>
          <w:rFonts w:hint="eastAsia" w:ascii="仿宋" w:hAnsi="仿宋" w:eastAsia="仿宋" w:cs="仿宋"/>
          <w:sz w:val="28"/>
          <w:szCs w:val="28"/>
          <w:highlight w:val="none"/>
          <w:shd w:val="clear" w:color="auto" w:fill="ffffff"/>
        </w:rPr>
        <w:t xml:space="preserve">电话：19895618399　　　　　　　　　　</w:t>
      </w:r>
      <w:r>
        <w:rPr>
          <w:highlight w:val="none"/>
        </w:rPr>
        <w:t xml:space="preserve"> </w:t>
      </w:r>
      <w:r>
        <w:rPr>
          <w:rFonts w:hint="eastAsia" w:ascii="宋体" w:hAnsi="宋体" w:eastAsia="宋体" w:cs="宋体"/>
          <w:highlight w:val="none"/>
        </w:rPr>
        <w:t xml:space="preserve"> </w:t>
      </w:r>
      <w:r/>
    </w:p>
    <w:p>
      <w:pPr>
        <w:rPr>
          <w:rFonts w:ascii="黑体" w:hAnsi="宋体" w:eastAsia="黑体" w:cs="黑体"/>
          <w:b/>
          <w:sz w:val="44"/>
          <w:szCs w:val="44"/>
          <w:highlight w:val="none"/>
        </w:rPr>
      </w:pPr>
      <w:r/>
      <w:bookmarkStart w:id="34" w:name="_Toc120614211"/>
      <w:r>
        <w:rPr>
          <w:rFonts w:hint="eastAsia" w:ascii="黑体" w:hAnsi="宋体" w:eastAsia="黑体" w:cs="黑体"/>
          <w:b/>
          <w:sz w:val="44"/>
          <w:szCs w:val="44"/>
          <w:highlight w:val="none"/>
        </w:rPr>
        <w:br w:type="page" w:clear="all"/>
      </w:r>
      <w:r/>
    </w:p>
    <w:p>
      <w:pPr>
        <w:pStyle w:val="706"/>
        <w:ind w:firstLine="2429"/>
        <w:jc w:val="both"/>
        <w:keepLines/>
        <w:keepNext/>
        <w:spacing w:before="260" w:beforeAutospacing="0" w:after="260" w:afterAutospacing="0" w:line="415" w:lineRule="auto"/>
        <w:rPr>
          <w:highlight w:val="none"/>
        </w:rPr>
      </w:pPr>
      <w:r>
        <w:rPr>
          <w:rFonts w:hint="eastAsia" w:ascii="黑体" w:hAnsi="宋体" w:eastAsia="黑体" w:cs="黑体"/>
          <w:b/>
          <w:sz w:val="44"/>
          <w:szCs w:val="44"/>
          <w:highlight w:val="none"/>
        </w:rPr>
        <w:t xml:space="preserve">第二章  </w:t>
      </w:r>
      <w:bookmarkEnd w:id="34"/>
      <w:r/>
      <w:bookmarkStart w:id="35" w:name="_Toc16938518"/>
      <w:r/>
      <w:bookmarkStart w:id="36" w:name="_Toc20823274"/>
      <w:r/>
      <w:bookmarkStart w:id="37" w:name="_Toc513029202"/>
      <w:r/>
      <w:bookmarkStart w:id="38" w:name="_Toc120614213"/>
      <w:r>
        <w:rPr>
          <w:rFonts w:hint="eastAsia" w:ascii="黑体" w:hAnsi="宋体" w:eastAsia="黑体" w:cs="黑体"/>
          <w:b/>
          <w:sz w:val="44"/>
          <w:szCs w:val="44"/>
          <w:highlight w:val="none"/>
        </w:rPr>
        <w:t xml:space="preserve">投标人须知</w:t>
      </w:r>
      <w:bookmarkEnd w:id="35"/>
      <w:r/>
      <w:bookmarkEnd w:id="36"/>
      <w:r/>
      <w:bookmarkEnd w:id="37"/>
      <w:r/>
      <w:bookmarkEnd w:id="38"/>
      <w:r/>
      <w:r/>
    </w:p>
    <w:p>
      <w:pPr>
        <w:pStyle w:val="706"/>
        <w:ind w:firstLine="562"/>
        <w:jc w:val="both"/>
        <w:keepLines/>
        <w:keepNext/>
        <w:spacing w:beforeAutospacing="0" w:afterAutospacing="0"/>
        <w:rPr>
          <w:rFonts w:ascii="仿宋" w:hAnsi="仿宋" w:eastAsia="仿宋" w:cs="仿宋"/>
          <w:sz w:val="28"/>
          <w:szCs w:val="28"/>
          <w:highlight w:val="none"/>
        </w:rPr>
      </w:pPr>
      <w:r/>
      <w:bookmarkStart w:id="39" w:name="_Toc16938519"/>
      <w:r/>
      <w:bookmarkStart w:id="40" w:name="_Toc120614214"/>
      <w:r/>
      <w:bookmarkStart w:id="41" w:name="_Toc20823275"/>
      <w:r/>
      <w:bookmarkStart w:id="42" w:name="_Toc513029203"/>
      <w:r>
        <w:rPr>
          <w:rFonts w:hint="eastAsia" w:ascii="仿宋" w:hAnsi="仿宋" w:eastAsia="仿宋" w:cs="仿宋"/>
          <w:b/>
          <w:sz w:val="28"/>
          <w:szCs w:val="28"/>
          <w:highlight w:val="none"/>
        </w:rPr>
        <w:t xml:space="preserve">一、总则</w:t>
      </w:r>
      <w:bookmarkEnd w:id="39"/>
      <w:r/>
      <w:bookmarkEnd w:id="40"/>
      <w:r/>
      <w:bookmarkEnd w:id="41"/>
      <w:r/>
      <w:bookmarkEnd w:id="42"/>
      <w:r/>
      <w:r/>
    </w:p>
    <w:p>
      <w:pPr>
        <w:pStyle w:val="706"/>
        <w:ind w:firstLine="560"/>
        <w:jc w:val="both"/>
        <w:keepLines/>
        <w:keepNext/>
        <w:spacing w:beforeAutospacing="0" w:afterAutospacing="0"/>
        <w:rPr>
          <w:rFonts w:ascii="仿宋" w:hAnsi="仿宋" w:eastAsia="仿宋" w:cs="仿宋"/>
          <w:sz w:val="28"/>
          <w:szCs w:val="28"/>
          <w:highlight w:val="none"/>
        </w:rPr>
      </w:pPr>
      <w:r/>
      <w:bookmarkStart w:id="43" w:name="_Toc16938520"/>
      <w:r/>
      <w:bookmarkStart w:id="44" w:name="_Toc20823276"/>
      <w:r/>
      <w:bookmarkStart w:id="45" w:name="_Toc513029204"/>
      <w:r/>
      <w:bookmarkStart w:id="46" w:name="_Toc458694821"/>
      <w:r/>
      <w:bookmarkStart w:id="47" w:name="_Hlt16619475"/>
      <w:r>
        <w:rPr>
          <w:rFonts w:hint="eastAsia" w:ascii="仿宋" w:hAnsi="仿宋" w:eastAsia="仿宋" w:cs="仿宋"/>
          <w:sz w:val="28"/>
          <w:szCs w:val="28"/>
          <w:highlight w:val="none"/>
        </w:rPr>
        <w:t xml:space="preserve">1</w:t>
      </w:r>
      <w:bookmarkEnd w:id="43"/>
      <w:r>
        <w:rPr>
          <w:rFonts w:hint="eastAsia" w:ascii="仿宋" w:hAnsi="仿宋" w:eastAsia="仿宋" w:cs="仿宋"/>
          <w:sz w:val="28"/>
          <w:szCs w:val="28"/>
          <w:highlight w:val="none"/>
        </w:rPr>
        <w:t xml:space="preserve">、招标方式</w:t>
      </w:r>
      <w:bookmarkEnd w:id="44"/>
      <w:r/>
      <w:bookmarkEnd w:id="45"/>
      <w:r/>
      <w:bookmarkEnd w:id="46"/>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1.1本次招标采取公开招标方式，本招标文件仅适用于招标公告中所述项目。</w:t>
      </w:r>
      <w:r/>
    </w:p>
    <w:p>
      <w:pPr>
        <w:pStyle w:val="706"/>
        <w:ind w:firstLine="560"/>
        <w:jc w:val="both"/>
        <w:keepLines/>
        <w:keepNext/>
        <w:spacing w:beforeAutospacing="0" w:afterAutospacing="0"/>
        <w:rPr>
          <w:rFonts w:ascii="仿宋" w:hAnsi="仿宋" w:eastAsia="仿宋" w:cs="仿宋"/>
          <w:sz w:val="28"/>
          <w:szCs w:val="28"/>
          <w:highlight w:val="none"/>
        </w:rPr>
      </w:pPr>
      <w:r/>
      <w:bookmarkStart w:id="48" w:name="_Toc16938521"/>
      <w:r/>
      <w:bookmarkStart w:id="49" w:name="_Toc513029205"/>
      <w:r/>
      <w:bookmarkStart w:id="50" w:name="_Toc20823277"/>
      <w:r>
        <w:rPr>
          <w:rFonts w:hint="eastAsia" w:ascii="仿宋" w:hAnsi="仿宋" w:eastAsia="仿宋" w:cs="仿宋"/>
          <w:sz w:val="28"/>
          <w:szCs w:val="28"/>
          <w:highlight w:val="none"/>
        </w:rPr>
        <w:t xml:space="preserve">2、合格的投标人</w:t>
      </w:r>
      <w:bookmarkEnd w:id="48"/>
      <w:r/>
      <w:bookmarkEnd w:id="49"/>
      <w:r/>
      <w:bookmarkEnd w:id="50"/>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2.1满足招标公告中供应商的资格要求的规定。</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2.2满足本文件实质性要求和条件的规定。</w:t>
      </w:r>
      <w:r/>
    </w:p>
    <w:p>
      <w:pPr>
        <w:pStyle w:val="706"/>
        <w:ind w:firstLine="560"/>
        <w:jc w:val="both"/>
        <w:keepLines/>
        <w:keepNext/>
        <w:spacing w:beforeAutospacing="0" w:afterAutospacing="0"/>
        <w:rPr>
          <w:rFonts w:ascii="仿宋" w:hAnsi="仿宋" w:eastAsia="仿宋" w:cs="仿宋"/>
          <w:sz w:val="28"/>
          <w:szCs w:val="28"/>
          <w:highlight w:val="none"/>
        </w:rPr>
      </w:pPr>
      <w:r/>
      <w:bookmarkStart w:id="51" w:name="_Toc16938522"/>
      <w:r/>
      <w:bookmarkStart w:id="52" w:name="_Toc20823278"/>
      <w:r/>
      <w:bookmarkStart w:id="53" w:name="_Toc513029206"/>
      <w:r>
        <w:rPr>
          <w:rFonts w:hint="eastAsia" w:ascii="仿宋" w:hAnsi="仿宋" w:eastAsia="仿宋" w:cs="仿宋"/>
          <w:sz w:val="28"/>
          <w:szCs w:val="28"/>
          <w:highlight w:val="none"/>
        </w:rPr>
        <w:t xml:space="preserve">3、适用法律</w:t>
      </w:r>
      <w:bookmarkEnd w:id="51"/>
      <w:r/>
      <w:bookmarkEnd w:id="52"/>
      <w:r/>
      <w:bookmarkEnd w:id="53"/>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3.1本次招标及由此产生的合同受中华人民共和国有关的法律法规制约和保护。</w:t>
      </w:r>
      <w:r/>
    </w:p>
    <w:p>
      <w:pPr>
        <w:pStyle w:val="706"/>
        <w:ind w:firstLine="560"/>
        <w:jc w:val="both"/>
        <w:keepLines/>
        <w:keepNext/>
        <w:spacing w:beforeAutospacing="0" w:afterAutospacing="0"/>
        <w:rPr>
          <w:rFonts w:ascii="仿宋" w:hAnsi="仿宋" w:eastAsia="仿宋" w:cs="仿宋"/>
          <w:sz w:val="28"/>
          <w:szCs w:val="28"/>
          <w:highlight w:val="none"/>
        </w:rPr>
      </w:pPr>
      <w:r/>
      <w:bookmarkStart w:id="54" w:name="_Toc513029207"/>
      <w:r/>
      <w:bookmarkStart w:id="55" w:name="_Toc16938523"/>
      <w:r/>
      <w:bookmarkStart w:id="56" w:name="_Toc20823279"/>
      <w:r/>
      <w:bookmarkStart w:id="57" w:name="_Toc462564067"/>
      <w:r>
        <w:rPr>
          <w:rFonts w:hint="eastAsia" w:ascii="仿宋" w:hAnsi="仿宋" w:eastAsia="仿宋" w:cs="仿宋"/>
          <w:sz w:val="28"/>
          <w:szCs w:val="28"/>
          <w:highlight w:val="none"/>
        </w:rPr>
        <w:t xml:space="preserve">4、投标费用</w:t>
      </w:r>
      <w:bookmarkEnd w:id="54"/>
      <w:r/>
      <w:bookmarkEnd w:id="55"/>
      <w:r/>
      <w:bookmarkEnd w:id="56"/>
      <w:r/>
      <w:bookmarkEnd w:id="57"/>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4.1投标人应自行承担所有与参加投标有关的费用，无论投标过程中的做法和结果如何，盐城市盐都区公共资源交易中心（以下简称交易中心）在任何情况下均无义务和责任承担这些费用。</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4.2本次招标交易中心和采购人不收取标书工本费与中标服务费。</w:t>
      </w:r>
      <w:r/>
    </w:p>
    <w:p>
      <w:pPr>
        <w:pStyle w:val="706"/>
        <w:ind w:firstLine="562"/>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b/>
          <w:sz w:val="28"/>
          <w:szCs w:val="28"/>
          <w:highlight w:val="none"/>
        </w:rPr>
        <w:t xml:space="preserve">5、</w:t>
      </w:r>
      <w:r>
        <w:rPr>
          <w:rFonts w:hint="eastAsia" w:ascii="仿宋" w:hAnsi="仿宋" w:eastAsia="仿宋" w:cs="仿宋"/>
          <w:sz w:val="28"/>
          <w:szCs w:val="28"/>
          <w:highlight w:val="none"/>
        </w:rPr>
        <w:t xml:space="preserve">招标文件的约束力</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5.1投标人一旦参加本项目采购活动，即被认为接受了本招标文件的规定和约束。</w:t>
      </w:r>
      <w:r/>
    </w:p>
    <w:p>
      <w:pPr>
        <w:pStyle w:val="706"/>
        <w:ind w:firstLine="562"/>
        <w:jc w:val="both"/>
        <w:spacing w:beforeAutospacing="0" w:afterAutospacing="0"/>
        <w:rPr>
          <w:rFonts w:ascii="仿宋" w:hAnsi="仿宋" w:eastAsia="仿宋" w:cs="仿宋"/>
          <w:sz w:val="28"/>
          <w:szCs w:val="28"/>
          <w:highlight w:val="none"/>
        </w:rPr>
      </w:pPr>
      <w:r/>
      <w:bookmarkStart w:id="58" w:name="_Toc16938525"/>
      <w:r/>
      <w:bookmarkStart w:id="59" w:name="_Toc120614215"/>
      <w:r/>
      <w:bookmarkStart w:id="60" w:name="_Toc513029209"/>
      <w:r/>
      <w:bookmarkStart w:id="61" w:name="_Toc20823281"/>
      <w:r>
        <w:rPr>
          <w:rFonts w:hint="eastAsia" w:ascii="仿宋" w:hAnsi="仿宋" w:eastAsia="仿宋" w:cs="仿宋"/>
          <w:b/>
          <w:sz w:val="28"/>
          <w:szCs w:val="28"/>
          <w:highlight w:val="none"/>
        </w:rPr>
        <w:t xml:space="preserve">二、招标文件</w:t>
      </w:r>
      <w:bookmarkEnd w:id="58"/>
      <w:r/>
      <w:bookmarkEnd w:id="59"/>
      <w:r/>
      <w:bookmarkEnd w:id="60"/>
      <w:r/>
      <w:bookmarkEnd w:id="61"/>
      <w:r/>
      <w:r/>
    </w:p>
    <w:p>
      <w:pPr>
        <w:pStyle w:val="706"/>
        <w:ind w:firstLine="560"/>
        <w:jc w:val="both"/>
        <w:spacing w:beforeAutospacing="0" w:afterAutospacing="0"/>
        <w:rPr>
          <w:rFonts w:ascii="仿宋" w:hAnsi="仿宋" w:eastAsia="仿宋" w:cs="仿宋"/>
          <w:sz w:val="28"/>
          <w:szCs w:val="28"/>
          <w:highlight w:val="none"/>
        </w:rPr>
      </w:pPr>
      <w:r/>
      <w:bookmarkStart w:id="62" w:name="_Toc20823282"/>
      <w:r/>
      <w:bookmarkStart w:id="63" w:name="_Toc513029210"/>
      <w:r/>
      <w:bookmarkStart w:id="64" w:name="_Toc16938526"/>
      <w:r>
        <w:rPr>
          <w:rFonts w:hint="eastAsia" w:ascii="仿宋" w:hAnsi="仿宋" w:eastAsia="仿宋" w:cs="仿宋"/>
          <w:sz w:val="28"/>
          <w:szCs w:val="28"/>
          <w:highlight w:val="none"/>
        </w:rPr>
        <w:t xml:space="preserve">6、招标文件构成</w:t>
      </w:r>
      <w:bookmarkEnd w:id="62"/>
      <w:r/>
      <w:bookmarkEnd w:id="63"/>
      <w:r/>
      <w:bookmarkEnd w:id="64"/>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6.1 招标文件由以下部分组成：</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（1）招标公告</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（2）投标人须知</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（3）合同文本</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（4）采购需求</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（5）评标方法与评标标准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（6）投标文件格式</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请仔细检查招标文件是否齐全，如有缺漏请立即与采购人联系解决。</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6"/>
        <w:ind w:firstLine="560"/>
        <w:jc w:val="both"/>
        <w:keepLines/>
        <w:keepNext/>
        <w:spacing w:beforeAutospacing="0" w:afterAutospacing="0"/>
        <w:rPr>
          <w:rFonts w:ascii="仿宋" w:hAnsi="仿宋" w:eastAsia="仿宋" w:cs="仿宋"/>
          <w:sz w:val="28"/>
          <w:szCs w:val="28"/>
          <w:highlight w:val="none"/>
        </w:rPr>
      </w:pPr>
      <w:r/>
      <w:bookmarkStart w:id="65" w:name="_Toc513029211"/>
      <w:r/>
      <w:bookmarkStart w:id="66" w:name="_Toc462564070"/>
      <w:r/>
      <w:bookmarkStart w:id="67" w:name="_Toc16938527"/>
      <w:r/>
      <w:bookmarkStart w:id="68" w:name="_Toc20823283"/>
      <w:r>
        <w:rPr>
          <w:rFonts w:hint="eastAsia" w:ascii="仿宋" w:hAnsi="仿宋" w:eastAsia="仿宋" w:cs="仿宋"/>
          <w:sz w:val="28"/>
          <w:szCs w:val="28"/>
          <w:highlight w:val="none"/>
        </w:rPr>
        <w:t xml:space="preserve">7、招标文件的澄清</w:t>
      </w:r>
      <w:bookmarkEnd w:id="65"/>
      <w:r/>
      <w:bookmarkEnd w:id="66"/>
      <w:r/>
      <w:bookmarkEnd w:id="67"/>
      <w:r/>
      <w:bookmarkEnd w:id="68"/>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7.1任何要求对招标文件进行澄清的投标人，应在投标截止期十日前按招标公告中的通讯地址，以书面形式通知采购人。</w:t>
      </w:r>
      <w:r/>
    </w:p>
    <w:p>
      <w:pPr>
        <w:pStyle w:val="706"/>
        <w:ind w:firstLine="560"/>
        <w:jc w:val="both"/>
        <w:keepLines/>
        <w:keepNext/>
        <w:spacing w:beforeAutospacing="0" w:afterAutospacing="0"/>
        <w:rPr>
          <w:rFonts w:ascii="仿宋" w:hAnsi="仿宋" w:eastAsia="仿宋" w:cs="仿宋"/>
          <w:sz w:val="28"/>
          <w:szCs w:val="28"/>
          <w:highlight w:val="none"/>
        </w:rPr>
      </w:pPr>
      <w:r/>
      <w:bookmarkStart w:id="69" w:name="_Toc16938528"/>
      <w:r/>
      <w:bookmarkStart w:id="70" w:name="_Toc513029212"/>
      <w:r/>
      <w:bookmarkStart w:id="71" w:name="_Toc20823284"/>
      <w:r/>
      <w:bookmarkStart w:id="72" w:name="_Toc462564071"/>
      <w:r>
        <w:rPr>
          <w:rFonts w:hint="eastAsia" w:ascii="仿宋" w:hAnsi="仿宋" w:eastAsia="仿宋" w:cs="仿宋"/>
          <w:sz w:val="28"/>
          <w:szCs w:val="28"/>
          <w:highlight w:val="none"/>
        </w:rPr>
        <w:t xml:space="preserve">8、招标文件的修改</w:t>
      </w:r>
      <w:bookmarkEnd w:id="69"/>
      <w:r/>
      <w:bookmarkEnd w:id="70"/>
      <w:r/>
      <w:bookmarkEnd w:id="71"/>
      <w:r/>
      <w:bookmarkEnd w:id="72"/>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8.1在投标截止时间前，采购人可以对招标文件进行修改。</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8.2交易中心和采购人有权按照法定的要求推迟投标截止日期和开标日期。</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8.3招标文件的修改将在“中国政府采购网”、“江苏政府采购网”、“盐城市政府采购网”、“盐城市盐都区人民政府网”公布，补充文件将作为招标文件的组成部分，并对投标人具有约束力。</w:t>
      </w:r>
      <w:r/>
    </w:p>
    <w:p>
      <w:pPr>
        <w:pStyle w:val="706"/>
        <w:ind w:firstLine="562"/>
        <w:jc w:val="both"/>
        <w:keepLines/>
        <w:keepNext/>
        <w:spacing w:beforeAutospacing="0" w:afterAutospacing="0"/>
        <w:rPr>
          <w:rFonts w:ascii="仿宋" w:hAnsi="仿宋" w:eastAsia="仿宋" w:cs="仿宋"/>
          <w:sz w:val="28"/>
          <w:szCs w:val="28"/>
          <w:highlight w:val="none"/>
        </w:rPr>
      </w:pPr>
      <w:r/>
      <w:bookmarkStart w:id="73" w:name="_Toc513029213"/>
      <w:r/>
      <w:bookmarkStart w:id="74" w:name="_Toc20823285"/>
      <w:r/>
      <w:bookmarkStart w:id="75" w:name="_Toc462564072"/>
      <w:r/>
      <w:bookmarkStart w:id="76" w:name="_Toc16938529"/>
      <w:r/>
      <w:bookmarkStart w:id="77" w:name="_Toc120614216"/>
      <w:r>
        <w:rPr>
          <w:rFonts w:hint="eastAsia" w:ascii="仿宋" w:hAnsi="仿宋" w:eastAsia="仿宋" w:cs="仿宋"/>
          <w:b/>
          <w:sz w:val="28"/>
          <w:szCs w:val="28"/>
          <w:highlight w:val="none"/>
        </w:rPr>
        <w:t xml:space="preserve">三、投标文件的编制</w:t>
      </w:r>
      <w:bookmarkEnd w:id="73"/>
      <w:r/>
      <w:bookmarkEnd w:id="74"/>
      <w:r/>
      <w:bookmarkEnd w:id="75"/>
      <w:r/>
      <w:bookmarkEnd w:id="76"/>
      <w:r/>
      <w:bookmarkEnd w:id="77"/>
      <w:r/>
      <w:r/>
    </w:p>
    <w:p>
      <w:pPr>
        <w:pStyle w:val="706"/>
        <w:ind w:firstLine="560"/>
        <w:jc w:val="both"/>
        <w:keepLines/>
        <w:keepNext/>
        <w:spacing w:beforeAutospacing="0" w:afterAutospacing="0"/>
        <w:rPr>
          <w:rFonts w:ascii="仿宋" w:hAnsi="仿宋" w:eastAsia="仿宋" w:cs="仿宋"/>
          <w:sz w:val="28"/>
          <w:szCs w:val="28"/>
          <w:highlight w:val="none"/>
        </w:rPr>
      </w:pPr>
      <w:r/>
      <w:bookmarkStart w:id="78" w:name="_Toc16938530"/>
      <w:r/>
      <w:bookmarkStart w:id="79" w:name="_Toc513029214"/>
      <w:r/>
      <w:bookmarkStart w:id="80" w:name="_Toc20823286"/>
      <w:r/>
      <w:bookmarkStart w:id="81" w:name="_Toc462564073"/>
      <w:r>
        <w:rPr>
          <w:rFonts w:hint="eastAsia" w:ascii="仿宋" w:hAnsi="仿宋" w:eastAsia="仿宋" w:cs="仿宋"/>
          <w:sz w:val="28"/>
          <w:szCs w:val="28"/>
          <w:highlight w:val="none"/>
        </w:rPr>
        <w:t xml:space="preserve">9、投标文件的语言及度量衡单位</w:t>
      </w:r>
      <w:bookmarkEnd w:id="78"/>
      <w:r/>
      <w:bookmarkEnd w:id="79"/>
      <w:r/>
      <w:bookmarkEnd w:id="80"/>
      <w:r/>
      <w:bookmarkEnd w:id="81"/>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9.1投标人提交的投标文件以及投标人与采购人就有关投标的所有来往通知、函件和文件均应使用</w:t>
      </w:r>
      <w:r>
        <w:rPr>
          <w:rFonts w:hint="eastAsia" w:ascii="仿宋" w:hAnsi="仿宋" w:eastAsia="仿宋" w:cs="仿宋"/>
          <w:b/>
          <w:sz w:val="28"/>
          <w:szCs w:val="28"/>
          <w:highlight w:val="none"/>
        </w:rPr>
        <w:t xml:space="preserve">简体中文</w:t>
      </w:r>
      <w:r>
        <w:rPr>
          <w:rFonts w:hint="eastAsia" w:ascii="仿宋" w:hAnsi="仿宋" w:eastAsia="仿宋" w:cs="仿宋"/>
          <w:sz w:val="28"/>
          <w:szCs w:val="28"/>
          <w:highlight w:val="none"/>
        </w:rPr>
        <w:t xml:space="preserve">。</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9.2除技术性能另有规定外，投标文件所使用的度量衡单位，均须采用国家法定计量单位。</w:t>
      </w:r>
      <w:r/>
    </w:p>
    <w:p>
      <w:pPr>
        <w:pStyle w:val="706"/>
        <w:ind w:firstLine="560"/>
        <w:jc w:val="both"/>
        <w:keepLines/>
        <w:keepNext/>
        <w:spacing w:beforeAutospacing="0" w:afterAutospacing="0"/>
        <w:rPr>
          <w:rFonts w:ascii="仿宋" w:hAnsi="仿宋" w:eastAsia="仿宋" w:cs="仿宋"/>
          <w:sz w:val="28"/>
          <w:szCs w:val="28"/>
          <w:highlight w:val="none"/>
        </w:rPr>
      </w:pPr>
      <w:r/>
      <w:bookmarkStart w:id="82" w:name="_Toc16938531"/>
      <w:r/>
      <w:bookmarkStart w:id="83" w:name="_Toc513029215"/>
      <w:r/>
      <w:bookmarkStart w:id="84" w:name="_Toc462564074"/>
      <w:r/>
      <w:bookmarkStart w:id="85" w:name="_Toc20823287"/>
      <w:r>
        <w:rPr>
          <w:rFonts w:hint="eastAsia" w:ascii="仿宋" w:hAnsi="仿宋" w:eastAsia="仿宋" w:cs="仿宋"/>
          <w:sz w:val="28"/>
          <w:szCs w:val="28"/>
          <w:highlight w:val="none"/>
        </w:rPr>
        <w:t xml:space="preserve">10、投标文件构成</w:t>
      </w:r>
      <w:bookmarkEnd w:id="82"/>
      <w:r/>
      <w:bookmarkEnd w:id="83"/>
      <w:r/>
      <w:bookmarkEnd w:id="84"/>
      <w:r/>
      <w:bookmarkEnd w:id="85"/>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10.2如标书制作工具中格式和内容与“中国政府采购网”、“江苏政府采购网”、“盐城市政府采购网”、“盐城市盐都区人民政府网”发布的招标文件不一致，请以“中国政府采购网”、“江苏政府采购网”、“盐城市政府采购网”发布的招标文件为准。</w:t>
      </w:r>
      <w:r/>
    </w:p>
    <w:p>
      <w:pPr>
        <w:pStyle w:val="706"/>
        <w:ind w:firstLine="560"/>
        <w:jc w:val="both"/>
        <w:keepLines/>
        <w:keepNext/>
        <w:spacing w:beforeAutospacing="0" w:afterAutospacing="0"/>
        <w:rPr>
          <w:rFonts w:ascii="仿宋" w:hAnsi="仿宋" w:eastAsia="仿宋" w:cs="仿宋"/>
          <w:sz w:val="28"/>
          <w:szCs w:val="28"/>
          <w:highlight w:val="none"/>
        </w:rPr>
      </w:pPr>
      <w:r/>
      <w:bookmarkStart w:id="86" w:name="_Toc49090509"/>
      <w:r/>
      <w:bookmarkStart w:id="87" w:name="_Toc513029216"/>
      <w:r/>
      <w:bookmarkStart w:id="88" w:name="_Toc14577357"/>
      <w:r/>
      <w:bookmarkStart w:id="89" w:name="_Toc513029219"/>
      <w:r/>
      <w:bookmarkStart w:id="90" w:name="_Toc14577354"/>
      <w:r/>
      <w:bookmarkStart w:id="91" w:name="_Toc49090507"/>
      <w:r/>
      <w:bookmarkStart w:id="92" w:name="_Hlt26954838"/>
      <w:r/>
      <w:bookmarkStart w:id="93" w:name="_Hlt26668975"/>
      <w:r/>
      <w:bookmarkStart w:id="94" w:name="_Hlt26670360"/>
      <w:r>
        <w:rPr>
          <w:rFonts w:hint="eastAsia" w:ascii="仿宋" w:hAnsi="仿宋" w:eastAsia="仿宋" w:cs="仿宋"/>
          <w:sz w:val="28"/>
          <w:szCs w:val="28"/>
          <w:highlight w:val="none"/>
        </w:rPr>
        <w:t xml:space="preserve">11、证明投标人及投标标的符合招标文件规定的文件</w:t>
      </w:r>
      <w:bookmarkEnd w:id="86"/>
      <w:r/>
      <w:bookmarkEnd w:id="87"/>
      <w:r/>
      <w:bookmarkEnd w:id="88"/>
      <w:r/>
      <w:bookmarkEnd w:id="89"/>
      <w:r/>
      <w:bookmarkEnd w:id="90"/>
      <w:r/>
      <w:bookmarkEnd w:id="91"/>
      <w:r/>
      <w:bookmarkStart w:id="95" w:name="_Toc14577355"/>
      <w:r/>
      <w:bookmarkStart w:id="96" w:name="_Toc49090508"/>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11.1投标人应按照法律、法规、规章和规范性文件以及招标文件要求提交证明文件，证明其及投标标的符合招标文件规定。</w:t>
      </w:r>
      <w:bookmarkEnd w:id="95"/>
      <w:r/>
      <w:bookmarkEnd w:id="96"/>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11.2招标文件对证明文件无明确形式要求的，证明文件可以以文字资料、图纸和数据等形式提交。</w:t>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12、投标分项报价</w:t>
      </w:r>
      <w:bookmarkStart w:id="97" w:name="_Hlt26670373"/>
      <w:r>
        <w:rPr>
          <w:rFonts w:hint="eastAsia" w:ascii="仿宋" w:hAnsi="仿宋" w:eastAsia="仿宋" w:cs="仿宋"/>
          <w:sz w:val="28"/>
          <w:szCs w:val="28"/>
          <w:highlight w:val="none"/>
        </w:rPr>
        <w:t xml:space="preserve">表</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12.1投</w:t>
      </w:r>
      <w:bookmarkStart w:id="98" w:name="_Hlt26954840"/>
      <w:r>
        <w:rPr>
          <w:rFonts w:hint="eastAsia" w:ascii="仿宋" w:hAnsi="仿宋" w:eastAsia="仿宋" w:cs="仿宋"/>
          <w:sz w:val="28"/>
          <w:szCs w:val="28"/>
          <w:highlight w:val="none"/>
        </w:rPr>
        <w:t xml:space="preserve">标人应按照招标文件规定格式填报投标分项报价表</w:t>
      </w:r>
      <w:bookmarkStart w:id="99" w:name="_Hlt26670399"/>
      <w:r>
        <w:rPr>
          <w:rFonts w:hint="eastAsia" w:ascii="仿宋" w:hAnsi="仿宋" w:eastAsia="仿宋" w:cs="仿宋"/>
          <w:sz w:val="28"/>
          <w:szCs w:val="28"/>
          <w:highlight w:val="none"/>
        </w:rPr>
        <w:t xml:space="preserve">。</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12.2投标货币。投标文件中的单价和总价无特殊规定的采用人民币报价，以元为单位标注。招标文件中另有规定的按规定执行。</w:t>
      </w:r>
      <w:bookmarkStart w:id="100" w:name="_Hlt26954848"/>
      <w:r/>
      <w:bookmarkStart w:id="101" w:name="_Hlt26670482"/>
      <w:r/>
      <w:bookmarkStart w:id="102" w:name="_Hlt26954842"/>
      <w:r/>
      <w:bookmarkStart w:id="103" w:name="_Hlt26954846"/>
      <w:r/>
      <w:bookmarkStart w:id="104" w:name="_Hlt26670425"/>
      <w:r/>
      <w:bookmarkStart w:id="105" w:name="_Hlt26954731"/>
      <w:r/>
      <w:bookmarkStart w:id="106" w:name="_Hlt26670403"/>
      <w:r/>
      <w:bookmarkStart w:id="107" w:name="_Hlt26668983"/>
      <w:r/>
      <w:bookmarkStart w:id="108" w:name="_Hlt26670486"/>
      <w:r/>
      <w:bookmarkStart w:id="109" w:name="_Hlt26954844"/>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13、技术要求响应及偏离表、商务要求响应及偏离表</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13.1投标人需对招标文件中的技术要求与商务要求逐项作出响应或偏离，并说明原因。</w:t>
      </w:r>
      <w:r/>
    </w:p>
    <w:p>
      <w:pPr>
        <w:pStyle w:val="706"/>
        <w:ind w:firstLine="560"/>
        <w:jc w:val="both"/>
        <w:spacing w:beforeAutospacing="0" w:afterAutospacing="0"/>
        <w:tabs>
          <w:tab w:val="left" w:pos="1036"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13.2投标人可在投标文件中提供认为需要的其他技术文件或说明。</w:t>
      </w:r>
      <w:r/>
    </w:p>
    <w:p>
      <w:pPr>
        <w:pStyle w:val="706"/>
        <w:ind w:firstLine="560"/>
        <w:jc w:val="both"/>
        <w:keepLines/>
        <w:keepNext/>
        <w:spacing w:beforeAutospacing="0" w:afterAutospacing="0"/>
        <w:rPr>
          <w:rFonts w:ascii="仿宋" w:hAnsi="仿宋" w:eastAsia="仿宋" w:cs="仿宋"/>
          <w:sz w:val="28"/>
          <w:szCs w:val="28"/>
          <w:highlight w:val="none"/>
        </w:rPr>
      </w:pPr>
      <w:r/>
      <w:bookmarkStart w:id="110" w:name="_Toc49090510"/>
      <w:r/>
      <w:bookmarkStart w:id="111" w:name="_Toc14577359"/>
      <w:r>
        <w:rPr>
          <w:rFonts w:hint="eastAsia" w:ascii="仿宋" w:hAnsi="仿宋" w:eastAsia="仿宋" w:cs="仿宋"/>
          <w:sz w:val="28"/>
          <w:szCs w:val="28"/>
          <w:highlight w:val="none"/>
        </w:rPr>
        <w:t xml:space="preserve">14、投标函和开标一览表</w:t>
      </w:r>
      <w:bookmarkEnd w:id="110"/>
      <w:r/>
      <w:bookmarkEnd w:id="111"/>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14.1投标人应按照招标文件中提供的格式完整、正确填写投标函、开标一览表。</w:t>
      </w:r>
      <w:r/>
    </w:p>
    <w:p>
      <w:pPr>
        <w:pStyle w:val="706"/>
        <w:ind w:firstLine="560"/>
        <w:jc w:val="both"/>
        <w:spacing w:beforeAutospacing="0" w:afterAutospacing="0"/>
        <w:rPr>
          <w:rFonts w:ascii="仿宋" w:hAnsi="仿宋" w:eastAsia="仿宋" w:cs="仿宋"/>
          <w:b/>
          <w:sz w:val="28"/>
          <w:szCs w:val="28"/>
          <w:highlight w:val="none"/>
        </w:rPr>
      </w:pPr>
      <w:r>
        <w:rPr>
          <w:rFonts w:hint="eastAsia" w:ascii="仿宋" w:hAnsi="仿宋" w:eastAsia="仿宋" w:cs="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sz w:val="28"/>
          <w:szCs w:val="28"/>
          <w:highlight w:val="none"/>
        </w:rPr>
        <w:t xml:space="preserve">。</w:t>
      </w:r>
      <w:r/>
    </w:p>
    <w:p>
      <w:pPr>
        <w:ind w:firstLine="560"/>
        <w:rPr>
          <w:rFonts w:ascii="仿宋" w:hAnsi="仿宋" w:eastAsia="仿宋" w:cs="仿宋"/>
          <w:b/>
          <w:sz w:val="28"/>
          <w:szCs w:val="28"/>
          <w:highlight w:val="none"/>
        </w:rPr>
      </w:pPr>
      <w:r>
        <w:rPr>
          <w:rFonts w:hint="eastAsia" w:ascii="仿宋" w:hAnsi="仿宋" w:eastAsia="仿宋" w:cs="仿宋"/>
          <w:sz w:val="28"/>
          <w:szCs w:val="28"/>
          <w:highlight w:val="none"/>
        </w:rPr>
        <w:t xml:space="preserve">14.3投标文件的大写金额和小写金额不一致的，以大写金额为准；对不同文字文本投标的解释发生异议的，以中文文本为准。</w:t>
      </w:r>
      <w:r/>
    </w:p>
    <w:p>
      <w:pPr>
        <w:pStyle w:val="706"/>
        <w:ind w:firstLine="560"/>
        <w:jc w:val="both"/>
        <w:keepLines/>
        <w:keepNext/>
        <w:spacing w:beforeAutospacing="0" w:afterAutospacing="0"/>
        <w:rPr>
          <w:rFonts w:ascii="仿宋" w:hAnsi="仿宋" w:eastAsia="仿宋" w:cs="仿宋"/>
          <w:sz w:val="28"/>
          <w:szCs w:val="28"/>
          <w:highlight w:val="none"/>
        </w:rPr>
      </w:pPr>
      <w:r/>
      <w:bookmarkStart w:id="112" w:name="_Toc49090511"/>
      <w:r/>
      <w:bookmarkStart w:id="113" w:name="_Toc14577360"/>
      <w:r/>
      <w:bookmarkStart w:id="114" w:name="_Hlt26670489"/>
      <w:r/>
      <w:bookmarkStart w:id="115" w:name="_Hlt26954850"/>
      <w:r/>
      <w:bookmarkStart w:id="116" w:name="_Hlt26954734"/>
      <w:r>
        <w:rPr>
          <w:rFonts w:hint="eastAsia" w:ascii="仿宋" w:hAnsi="仿宋" w:eastAsia="仿宋" w:cs="仿宋"/>
          <w:sz w:val="28"/>
          <w:szCs w:val="28"/>
          <w:highlight w:val="none"/>
        </w:rPr>
        <w:t xml:space="preserve">15、投标有效期</w:t>
      </w:r>
      <w:bookmarkEnd w:id="112"/>
      <w:r/>
      <w:bookmarkEnd w:id="113"/>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15.1投标有效期为采购人规定的开标之日后</w:t>
      </w:r>
      <w:r>
        <w:rPr>
          <w:rFonts w:hint="eastAsia" w:ascii="仿宋" w:hAnsi="仿宋" w:eastAsia="仿宋" w:cs="仿宋"/>
          <w:b/>
          <w:sz w:val="28"/>
          <w:szCs w:val="28"/>
          <w:highlight w:val="none"/>
          <w:u w:val="single"/>
        </w:rPr>
        <w:t xml:space="preserve">九十（90）天</w:t>
      </w:r>
      <w:r>
        <w:rPr>
          <w:rFonts w:hint="eastAsia" w:ascii="仿宋" w:hAnsi="仿宋" w:eastAsia="仿宋" w:cs="仿宋"/>
          <w:sz w:val="28"/>
          <w:szCs w:val="28"/>
          <w:highlight w:val="none"/>
        </w:rPr>
        <w:t xml:space="preserve">。投标有效期比规定短的将被视为未实质性响应招标文件而予以拒绝。</w:t>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06"/>
        <w:ind w:firstLine="562"/>
        <w:jc w:val="both"/>
        <w:keepLines/>
        <w:keepNext/>
        <w:spacing w:beforeAutospacing="0" w:afterAutospacing="0"/>
        <w:rPr>
          <w:rFonts w:ascii="仿宋" w:hAnsi="仿宋" w:eastAsia="仿宋" w:cs="仿宋"/>
          <w:sz w:val="28"/>
          <w:szCs w:val="28"/>
          <w:highlight w:val="none"/>
        </w:rPr>
      </w:pPr>
      <w:r/>
      <w:bookmarkStart w:id="117" w:name="_Toc20823296"/>
      <w:r/>
      <w:bookmarkStart w:id="118" w:name="_Toc16938540"/>
      <w:r/>
      <w:bookmarkStart w:id="119" w:name="_Toc513029224"/>
      <w:r/>
      <w:bookmarkStart w:id="120" w:name="_Toc120614217"/>
      <w:r/>
      <w:bookmarkStart w:id="121" w:name="_Hlt26954852"/>
      <w:r/>
      <w:bookmarkStart w:id="122" w:name="_Hlt26954739"/>
      <w:r>
        <w:rPr>
          <w:rFonts w:hint="eastAsia" w:ascii="仿宋" w:hAnsi="仿宋" w:eastAsia="仿宋" w:cs="仿宋"/>
          <w:b/>
          <w:sz w:val="28"/>
          <w:szCs w:val="28"/>
          <w:highlight w:val="none"/>
        </w:rPr>
        <w:t xml:space="preserve">四、投标文件的递交</w:t>
      </w:r>
      <w:bookmarkEnd w:id="117"/>
      <w:r/>
      <w:bookmarkEnd w:id="118"/>
      <w:r/>
      <w:bookmarkEnd w:id="119"/>
      <w:r/>
      <w:bookmarkEnd w:id="120"/>
      <w:r/>
      <w:r/>
    </w:p>
    <w:p>
      <w:pPr>
        <w:pStyle w:val="706"/>
        <w:ind w:firstLine="560"/>
        <w:jc w:val="both"/>
        <w:keepLines/>
        <w:keepNext/>
        <w:spacing w:beforeAutospacing="0" w:afterAutospacing="0"/>
        <w:rPr>
          <w:rFonts w:ascii="仿宋" w:hAnsi="仿宋" w:eastAsia="仿宋" w:cs="仿宋"/>
          <w:sz w:val="28"/>
          <w:szCs w:val="28"/>
          <w:highlight w:val="none"/>
        </w:rPr>
      </w:pPr>
      <w:r/>
      <w:bookmarkStart w:id="123" w:name="_Toc513029225"/>
      <w:r/>
      <w:bookmarkStart w:id="124" w:name="_Toc20823297"/>
      <w:r/>
      <w:bookmarkStart w:id="125" w:name="_Toc16938541"/>
      <w:r/>
      <w:bookmarkStart w:id="126" w:name="_Toc462564084"/>
      <w:r>
        <w:rPr>
          <w:rFonts w:hint="eastAsia" w:ascii="仿宋" w:hAnsi="仿宋" w:eastAsia="仿宋" w:cs="仿宋"/>
          <w:sz w:val="28"/>
          <w:szCs w:val="28"/>
          <w:highlight w:val="none"/>
        </w:rPr>
        <w:t xml:space="preserve">17、投标文件</w:t>
      </w:r>
      <w:bookmarkEnd w:id="123"/>
      <w:r/>
      <w:bookmarkEnd w:id="124"/>
      <w:r/>
      <w:bookmarkEnd w:id="125"/>
      <w:r/>
      <w:bookmarkEnd w:id="126"/>
      <w:r>
        <w:rPr>
          <w:rFonts w:hint="eastAsia" w:ascii="仿宋" w:hAnsi="仿宋" w:eastAsia="仿宋" w:cs="仿宋"/>
          <w:sz w:val="28"/>
          <w:szCs w:val="28"/>
          <w:highlight w:val="none"/>
        </w:rPr>
        <w:t xml:space="preserve">的递交</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17.1 电子投标文件的递交</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18、投标截止时间</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i/>
          <w:sz w:val="28"/>
          <w:szCs w:val="28"/>
          <w:highlight w:val="none"/>
          <w:u w:val="single"/>
        </w:rPr>
        <w:t xml:space="preserve">18.1投标人上传电子投标文件的时间不得迟于招标公告中规定的投标截止时间。</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706"/>
        <w:ind w:firstLine="560"/>
        <w:jc w:val="both"/>
        <w:keepLines/>
        <w:keepNext/>
        <w:spacing w:beforeAutospacing="0" w:afterAutospacing="0"/>
        <w:rPr>
          <w:rFonts w:ascii="仿宋" w:hAnsi="仿宋" w:eastAsia="仿宋" w:cs="仿宋"/>
          <w:sz w:val="28"/>
          <w:szCs w:val="28"/>
          <w:highlight w:val="none"/>
        </w:rPr>
      </w:pPr>
      <w:r/>
      <w:bookmarkStart w:id="130" w:name="_Toc513029227"/>
      <w:r/>
      <w:bookmarkStart w:id="131" w:name="_Toc20823299"/>
      <w:r/>
      <w:bookmarkStart w:id="132" w:name="_Toc16938543"/>
      <w:r>
        <w:rPr>
          <w:rFonts w:hint="eastAsia" w:ascii="仿宋" w:hAnsi="仿宋" w:eastAsia="仿宋" w:cs="仿宋"/>
          <w:sz w:val="28"/>
          <w:szCs w:val="28"/>
          <w:highlight w:val="none"/>
        </w:rPr>
        <w:t xml:space="preserve">19、投标文件</w:t>
      </w:r>
      <w:bookmarkEnd w:id="130"/>
      <w:r/>
      <w:bookmarkEnd w:id="131"/>
      <w:r/>
      <w:bookmarkEnd w:id="132"/>
      <w:r>
        <w:rPr>
          <w:rFonts w:hint="eastAsia" w:ascii="仿宋" w:hAnsi="仿宋" w:eastAsia="仿宋" w:cs="仿宋"/>
          <w:sz w:val="28"/>
          <w:szCs w:val="28"/>
          <w:highlight w:val="none"/>
        </w:rPr>
        <w:t xml:space="preserve">的拒收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19.1采购人拒绝接收在其规定的投标截止时间后上传的任何投标文件。</w:t>
      </w:r>
      <w:r/>
    </w:p>
    <w:p>
      <w:pPr>
        <w:pStyle w:val="706"/>
        <w:ind w:firstLine="560"/>
        <w:jc w:val="both"/>
        <w:keepLines/>
        <w:keepNext/>
        <w:spacing w:beforeAutospacing="0" w:afterAutospacing="0"/>
        <w:rPr>
          <w:rFonts w:ascii="仿宋" w:hAnsi="仿宋" w:eastAsia="仿宋" w:cs="仿宋"/>
          <w:sz w:val="28"/>
          <w:szCs w:val="28"/>
          <w:highlight w:val="none"/>
        </w:rPr>
      </w:pPr>
      <w:r/>
      <w:bookmarkStart w:id="133" w:name="_Toc20823300"/>
      <w:r/>
      <w:bookmarkStart w:id="134" w:name="_Toc513029228"/>
      <w:r/>
      <w:bookmarkStart w:id="135" w:name="_Toc16938544"/>
      <w:r>
        <w:rPr>
          <w:rFonts w:hint="eastAsia" w:ascii="仿宋" w:hAnsi="仿宋" w:eastAsia="仿宋" w:cs="仿宋"/>
          <w:sz w:val="28"/>
          <w:szCs w:val="28"/>
          <w:highlight w:val="none"/>
        </w:rPr>
        <w:t xml:space="preserve">20、投标文件的撤回和修改</w:t>
      </w:r>
      <w:bookmarkEnd w:id="133"/>
      <w:r/>
      <w:bookmarkEnd w:id="134"/>
      <w:r/>
      <w:bookmarkEnd w:id="135"/>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20.1投标文件的撤回</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20.1.1电子投标文件的撤回</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投标人可在投标截止时间前，撤回其电子投标文件，具体操作方法见《操作手册》。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20.1.2投标人撤回电子投标文件，则认为其不再参与本项目投标活动。</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20.2 投标文件的修改</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20.2.1投标人可在投标截止时间前，对其电子投标文件进行修改，具体操作方法见《操作手册》。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20.2.2在投标截止时间之后，投标人不得对其电子投标文件作任何修改。</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20.3在投标截止时间至招标文件中规定的投标有效期满之间的这段时间内，投标人不得撤回其投标。</w:t>
      </w:r>
      <w:r/>
    </w:p>
    <w:p>
      <w:pPr>
        <w:pStyle w:val="706"/>
        <w:ind w:firstLine="562"/>
        <w:jc w:val="both"/>
        <w:keepLines/>
        <w:keepNext/>
        <w:spacing w:beforeAutospacing="0" w:afterAutospacing="0"/>
        <w:rPr>
          <w:rFonts w:ascii="仿宋" w:hAnsi="仿宋" w:eastAsia="仿宋" w:cs="仿宋"/>
          <w:sz w:val="28"/>
          <w:szCs w:val="28"/>
          <w:highlight w:val="none"/>
        </w:rPr>
      </w:pPr>
      <w:r/>
      <w:bookmarkStart w:id="136" w:name="_Toc20823301"/>
      <w:r/>
      <w:bookmarkStart w:id="137" w:name="_Toc513029229"/>
      <w:r/>
      <w:bookmarkStart w:id="138" w:name="_Toc16938545"/>
      <w:r/>
      <w:bookmarkStart w:id="139" w:name="_Toc120614218"/>
      <w:r>
        <w:rPr>
          <w:rFonts w:hint="eastAsia" w:ascii="仿宋" w:hAnsi="仿宋" w:eastAsia="仿宋" w:cs="仿宋"/>
          <w:b/>
          <w:sz w:val="28"/>
          <w:szCs w:val="28"/>
          <w:highlight w:val="none"/>
        </w:rPr>
        <w:t xml:space="preserve">五、开标与评标</w:t>
      </w:r>
      <w:bookmarkEnd w:id="136"/>
      <w:r/>
      <w:bookmarkEnd w:id="137"/>
      <w:r/>
      <w:bookmarkEnd w:id="138"/>
      <w:r/>
      <w:bookmarkEnd w:id="139"/>
      <w:r/>
      <w:r/>
    </w:p>
    <w:p>
      <w:pPr>
        <w:pStyle w:val="706"/>
        <w:ind w:firstLine="560"/>
        <w:jc w:val="both"/>
        <w:keepLines/>
        <w:keepNext/>
        <w:spacing w:beforeAutospacing="0" w:afterAutospacing="0"/>
        <w:rPr>
          <w:rFonts w:ascii="仿宋" w:hAnsi="仿宋" w:eastAsia="仿宋" w:cs="仿宋"/>
          <w:sz w:val="28"/>
          <w:szCs w:val="28"/>
          <w:highlight w:val="none"/>
        </w:rPr>
      </w:pPr>
      <w:r/>
      <w:bookmarkStart w:id="140" w:name="_Toc513029230"/>
      <w:r/>
      <w:bookmarkStart w:id="141" w:name="_Toc16938546"/>
      <w:r/>
      <w:bookmarkStart w:id="142" w:name="_Toc20823302"/>
      <w:r>
        <w:rPr>
          <w:rFonts w:hint="eastAsia" w:ascii="仿宋" w:hAnsi="仿宋" w:eastAsia="仿宋" w:cs="仿宋"/>
          <w:sz w:val="28"/>
          <w:szCs w:val="28"/>
          <w:highlight w:val="none"/>
        </w:rPr>
        <w:t xml:space="preserve">21、开标</w:t>
      </w:r>
      <w:bookmarkEnd w:id="140"/>
      <w:r/>
      <w:bookmarkEnd w:id="141"/>
      <w:r/>
      <w:bookmarkEnd w:id="142"/>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21.1交易中心将在招标公告中规定的时间和地点组织公开开标。投标人应当按照《操作手册》规定，参加开标活动和在苏采云系统规定的时间内对投标文件进行解密。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21.2开标仪式由交易中心组织。苏采云系统将自动对项目进行开标，并宣布各投标人名称和投标价格。</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21.3投标人在开标过程中涉及到的投标文件解密、开标结果确认等工作，应按照《操作手册》规定执行。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21.4投标人如果对开标过程和开标记录有疑义，应当根据《操作手册》规定提出，如苏采云系统中《开标记录表》宣布后5分钟内未提出的，视同认可开标结果。</w:t>
      </w:r>
      <w:r/>
    </w:p>
    <w:p>
      <w:pPr>
        <w:pStyle w:val="706"/>
        <w:ind w:firstLine="560"/>
        <w:jc w:val="both"/>
        <w:keepLines/>
        <w:keepNext/>
        <w:spacing w:beforeAutospacing="0" w:afterAutospacing="0"/>
        <w:rPr>
          <w:rFonts w:ascii="仿宋" w:hAnsi="仿宋" w:eastAsia="仿宋" w:cs="仿宋"/>
          <w:sz w:val="28"/>
          <w:szCs w:val="28"/>
          <w:highlight w:val="none"/>
        </w:rPr>
      </w:pPr>
      <w:r/>
      <w:bookmarkStart w:id="143" w:name="_Toc20823303"/>
      <w:r/>
      <w:bookmarkStart w:id="144" w:name="_Toc513029231"/>
      <w:r/>
      <w:bookmarkStart w:id="145" w:name="_Toc16938547"/>
      <w:r>
        <w:rPr>
          <w:rFonts w:hint="eastAsia" w:ascii="仿宋" w:hAnsi="仿宋" w:eastAsia="仿宋" w:cs="仿宋"/>
          <w:sz w:val="28"/>
          <w:szCs w:val="28"/>
          <w:highlight w:val="none"/>
        </w:rPr>
        <w:t xml:space="preserve">22、评标委员会</w:t>
      </w:r>
      <w:bookmarkEnd w:id="143"/>
      <w:r/>
      <w:bookmarkEnd w:id="144"/>
      <w:r/>
      <w:bookmarkEnd w:id="145"/>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22.1开标后，交易中心将立即组织评标委员会（以下简称评委会）进行评标。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22.2评委会由采购人代表和有关技术、经济等方面的专家组成，且人员构成符合政府采购有关规定。</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22.3评委会独立工作，负责评审所有投标文件并确定中标候选人。</w:t>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23、评标过程的保密与公正</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23.1凡是与审查、澄清、评价和比较投标的有关资料以及授标建议等，采购人、评委、交易中心均不得向投标人或与评标无关的其他人员透露。</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23.2在评标过程中，投标人不得以任何行为影响评标过程，否则其投标文件将被作为无效投标文件。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23.3交易中心和评标委员会不向未中标的投标人解释未中标原因，也不公布评标过程中的相关细节。</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23.4采用综合评分法的项目，未中标的投标人可于中标结果公告期限届满之日起通过苏采云系统查看自己的评审得分及排序情况。</w:t>
      </w:r>
      <w:r/>
    </w:p>
    <w:p>
      <w:pPr>
        <w:pStyle w:val="706"/>
        <w:ind w:firstLine="560"/>
        <w:jc w:val="both"/>
        <w:keepLines/>
        <w:keepNext/>
        <w:spacing w:beforeAutospacing="0" w:afterAutospacing="0"/>
        <w:rPr>
          <w:rFonts w:ascii="仿宋" w:hAnsi="仿宋" w:eastAsia="仿宋" w:cs="仿宋"/>
          <w:sz w:val="28"/>
          <w:szCs w:val="28"/>
          <w:highlight w:val="none"/>
        </w:rPr>
      </w:pPr>
      <w:r/>
      <w:bookmarkStart w:id="146" w:name="_Toc16938548"/>
      <w:r/>
      <w:bookmarkStart w:id="147" w:name="_Toc20823304"/>
      <w:r/>
      <w:bookmarkStart w:id="148" w:name="_Toc513029232"/>
      <w:r>
        <w:rPr>
          <w:rFonts w:hint="eastAsia" w:ascii="仿宋" w:hAnsi="仿宋" w:eastAsia="仿宋" w:cs="仿宋"/>
          <w:sz w:val="28"/>
          <w:szCs w:val="28"/>
          <w:highlight w:val="none"/>
        </w:rPr>
        <w:t xml:space="preserve">24、投标文件的澄清</w:t>
      </w:r>
      <w:bookmarkEnd w:id="146"/>
      <w:r/>
      <w:bookmarkEnd w:id="147"/>
      <w:r/>
      <w:bookmarkEnd w:id="148"/>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投标人的澄清、说明或者补正不得超出投标文件的范围或者改变投标文件的实质性内容。</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评标委员会并非对每个投标人都做澄清要求。</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24.3接到评委会澄清、说明和补正要求的投标人如未按规定作出澄清、说明和补正，其风险由投标人自行承担。</w:t>
      </w:r>
      <w:r/>
    </w:p>
    <w:p>
      <w:pPr>
        <w:pStyle w:val="706"/>
        <w:ind w:firstLine="560"/>
        <w:jc w:val="both"/>
        <w:keepLines/>
        <w:keepNext/>
        <w:spacing w:beforeAutospacing="0" w:afterAutospacing="0"/>
        <w:rPr>
          <w:rFonts w:ascii="仿宋" w:hAnsi="仿宋" w:eastAsia="仿宋" w:cs="仿宋"/>
          <w:sz w:val="28"/>
          <w:szCs w:val="28"/>
          <w:highlight w:val="none"/>
        </w:rPr>
      </w:pPr>
      <w:r/>
      <w:bookmarkStart w:id="149" w:name="_Toc20823305"/>
      <w:r/>
      <w:bookmarkStart w:id="150" w:name="_Toc513029233"/>
      <w:r/>
      <w:bookmarkStart w:id="151" w:name="_Toc16938549"/>
      <w:r>
        <w:rPr>
          <w:rFonts w:hint="eastAsia" w:ascii="仿宋" w:hAnsi="仿宋" w:eastAsia="仿宋" w:cs="仿宋"/>
          <w:sz w:val="28"/>
          <w:szCs w:val="28"/>
          <w:highlight w:val="none"/>
        </w:rPr>
        <w:t xml:space="preserve">25、对投标文件的初审</w:t>
      </w:r>
      <w:bookmarkEnd w:id="149"/>
      <w:r/>
      <w:bookmarkEnd w:id="150"/>
      <w:r/>
      <w:bookmarkEnd w:id="151"/>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25.1投标文件初审分为资格审查和符合性审查。</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25.1.1资格审查：依据法律法规和招标文件的规定，由采购人对投标文件中的资格证明文件进行审查。资格审查的结论，采购人以书面形式向评委会进行反馈。</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25.4评委会将对确定为实质性响应的投标进行进一步审核，确定其是否有计算上或累加上的算术错误，修正错误的原则如下：</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6"/>
        <w:ind w:firstLine="560"/>
        <w:jc w:val="both"/>
        <w:spacing w:beforeAutospacing="0" w:afterAutospacing="0"/>
        <w:rPr>
          <w:rFonts w:ascii="仿宋" w:hAnsi="仿宋" w:eastAsia="仿宋" w:cs="仿宋"/>
          <w:sz w:val="28"/>
          <w:szCs w:val="28"/>
          <w:highlight w:val="none"/>
        </w:rPr>
      </w:pPr>
      <w:r/>
      <w:bookmarkStart w:id="152" w:name="_Toc513029234"/>
      <w:r/>
      <w:bookmarkStart w:id="153" w:name="_Toc16938550"/>
      <w:r/>
      <w:bookmarkStart w:id="154" w:name="_Toc20823306"/>
      <w:r>
        <w:rPr>
          <w:rFonts w:hint="eastAsia" w:ascii="仿宋" w:hAnsi="仿宋" w:eastAsia="仿宋" w:cs="仿宋"/>
          <w:sz w:val="28"/>
          <w:szCs w:val="28"/>
          <w:highlight w:val="none"/>
        </w:rPr>
        <w:t xml:space="preserve">25.6投标人在开、评标全过程中应保持通信畅通，及时登录苏采云系统查阅、答复相关信息，并安排专人与交易中心及评标委员会联系。</w:t>
      </w:r>
      <w:bookmarkEnd w:id="152"/>
      <w:r/>
      <w:bookmarkEnd w:id="153"/>
      <w:r/>
      <w:bookmarkEnd w:id="154"/>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26、无效投标条款和废标条款</w:t>
      </w:r>
      <w:r/>
    </w:p>
    <w:p>
      <w:pPr>
        <w:pStyle w:val="706"/>
        <w:ind w:firstLine="560"/>
        <w:jc w:val="both"/>
        <w:spacing w:beforeAutospacing="0" w:afterAutospacing="0"/>
        <w:rPr>
          <w:rFonts w:ascii="仿宋" w:hAnsi="仿宋" w:eastAsia="仿宋" w:cs="仿宋"/>
          <w:sz w:val="28"/>
          <w:szCs w:val="28"/>
          <w:highlight w:val="none"/>
        </w:rPr>
      </w:pPr>
      <w:r/>
      <w:bookmarkStart w:id="155" w:name="_Toc16938551"/>
      <w:r/>
      <w:bookmarkStart w:id="156" w:name="_Toc20823307"/>
      <w:r/>
      <w:bookmarkStart w:id="157" w:name="_Toc513029235"/>
      <w:r>
        <w:rPr>
          <w:rFonts w:hint="eastAsia" w:ascii="仿宋" w:hAnsi="仿宋" w:eastAsia="仿宋" w:cs="仿宋"/>
          <w:sz w:val="28"/>
          <w:szCs w:val="28"/>
          <w:highlight w:val="none"/>
        </w:rPr>
        <w:t xml:space="preserve">26.1无效投标条款</w:t>
      </w:r>
      <w:bookmarkEnd w:id="155"/>
      <w:r/>
      <w:bookmarkEnd w:id="156"/>
      <w:r/>
      <w:bookmarkEnd w:id="157"/>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26.1.1投标人在苏采云系统规定的时间内未成功解密电子投标文件的。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26.1.2投标人未按照招标文件要求上传电子投标文件的。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26.1.3同一投标人提交两个（含两个）以上不同的投标报价的。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26.1.4投标人不具备招标文件中规定资格要求的。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26.1.5投标人的报价超过了采购预算或最高限价的。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26.1.6未通过符合性审查的。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26.1.7不符合招标文件中规定的实质性要求和条件的（</w:t>
      </w:r>
      <w:r>
        <w:rPr>
          <w:rFonts w:hint="eastAsia" w:ascii="仿宋" w:hAnsi="仿宋" w:eastAsia="仿宋" w:cs="仿宋"/>
          <w:i/>
          <w:sz w:val="28"/>
          <w:szCs w:val="28"/>
          <w:highlight w:val="none"/>
          <w:u w:val="single"/>
        </w:rPr>
        <w:t xml:space="preserve">本招标文件中斜体且有下划线部分为实质性要求和条件）。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26.1.9投标文件含有采购人不能接受的附加条件的。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（一）评审过程中出现下列情形之一的，评标委员会应当启动异常低价投标审查程序：</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1.投标报价低于采购项目预算50%的，即投标报价&lt;采购项目预算×50%；</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2.投标报价低于采购项目最高限价45%的，即投标报价&lt;采购项目最高限价×45%；</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3.评标委员会认定的供应商报价过低、有可能影响产品质量或者不能诚信履约的其他情形。</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26.1.12投标文件未按照招标文件要求加盖CA电子公章的。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26.1.13其他法律、法规及本招标文件规定的属无效投标的情形。</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26.2废标条款</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26.2.1符合专业条件的供应商或者对招标文件作实质响应的供应商不足三家的。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26.2.2出现影响采购公正的违法、违规行为的。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26.2.3因重大变故，采购任务取消的。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26.2.4评标委员会认定招标文件存在歧义、重大缺陷导致评审工作无法进行。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26.2.5因苏采云系统系统故障原因造成开标不成功的。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投标截止时间结束后参加投标的供应商不足三家的处理：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26.3.1如出现投标截止时间结束后参加投标的供应商或者在评标期间对招标文件做出实质响应的供应商不足三家情况，按政府采购相关规定执行。</w:t>
      </w:r>
      <w:r/>
    </w:p>
    <w:p>
      <w:pPr>
        <w:pStyle w:val="706"/>
        <w:ind w:firstLine="562"/>
        <w:jc w:val="both"/>
        <w:keepLines/>
        <w:keepNext/>
        <w:spacing w:beforeAutospacing="0" w:afterAutospacing="0"/>
        <w:rPr>
          <w:rFonts w:ascii="仿宋" w:hAnsi="仿宋" w:eastAsia="仿宋" w:cs="仿宋"/>
          <w:sz w:val="28"/>
          <w:szCs w:val="28"/>
          <w:highlight w:val="none"/>
        </w:rPr>
      </w:pPr>
      <w:r/>
      <w:bookmarkStart w:id="158" w:name="_Toc120614219"/>
      <w:r>
        <w:rPr>
          <w:rFonts w:hint="eastAsia" w:ascii="仿宋" w:hAnsi="仿宋" w:eastAsia="仿宋" w:cs="仿宋"/>
          <w:b/>
          <w:sz w:val="28"/>
          <w:szCs w:val="28"/>
          <w:highlight w:val="none"/>
        </w:rPr>
        <w:t xml:space="preserve">六、定标</w:t>
      </w:r>
      <w:bookmarkEnd w:id="158"/>
      <w:r/>
      <w:r/>
    </w:p>
    <w:p>
      <w:pPr>
        <w:pStyle w:val="706"/>
        <w:ind w:firstLine="560"/>
        <w:jc w:val="both"/>
        <w:keepLines/>
        <w:keepNext/>
        <w:spacing w:beforeAutospacing="0" w:afterAutospacing="0"/>
        <w:rPr>
          <w:rFonts w:ascii="仿宋" w:hAnsi="仿宋" w:eastAsia="仿宋" w:cs="仿宋"/>
          <w:sz w:val="28"/>
          <w:szCs w:val="28"/>
          <w:highlight w:val="none"/>
        </w:rPr>
      </w:pPr>
      <w:r/>
      <w:bookmarkStart w:id="159" w:name="_Toc20823310"/>
      <w:r/>
      <w:bookmarkStart w:id="160" w:name="_Toc16938554"/>
      <w:r/>
      <w:bookmarkStart w:id="161" w:name="_Toc513029238"/>
      <w:r>
        <w:rPr>
          <w:rFonts w:hint="eastAsia" w:ascii="仿宋" w:hAnsi="仿宋" w:eastAsia="仿宋" w:cs="仿宋"/>
          <w:sz w:val="28"/>
          <w:szCs w:val="28"/>
          <w:highlight w:val="none"/>
        </w:rPr>
        <w:t xml:space="preserve">27、</w:t>
      </w:r>
      <w:bookmarkEnd w:id="159"/>
      <w:r>
        <w:rPr>
          <w:rFonts w:hint="eastAsia" w:ascii="仿宋" w:hAnsi="仿宋" w:eastAsia="仿宋" w:cs="仿宋"/>
          <w:sz w:val="28"/>
          <w:szCs w:val="28"/>
          <w:highlight w:val="none"/>
        </w:rPr>
        <w:t xml:space="preserve">确定</w:t>
      </w:r>
      <w:bookmarkEnd w:id="160"/>
      <w:r/>
      <w:bookmarkEnd w:id="161"/>
      <w:r>
        <w:rPr>
          <w:rFonts w:hint="eastAsia" w:ascii="仿宋" w:hAnsi="仿宋" w:eastAsia="仿宋" w:cs="仿宋"/>
          <w:sz w:val="28"/>
          <w:szCs w:val="28"/>
          <w:highlight w:val="none"/>
        </w:rPr>
        <w:t xml:space="preserve">中标单位</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27.1中标候选人的选取原则和数量见招标文件第五章规定。 </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27.2采购人应根据评委会推荐的中标候选人确定中标人。</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27.3交易中心将在</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rPr>
        <w:t xml:space="preserve">中国政府采购网</w:t>
      </w:r>
      <w:r>
        <w:rPr>
          <w:rFonts w:hint="eastAsia" w:ascii="仿宋" w:hAnsi="仿宋" w:eastAsia="仿宋" w:cs="仿宋"/>
          <w:sz w:val="28"/>
          <w:szCs w:val="28"/>
          <w:highlight w:val="none"/>
          <w:shd w:val="clear" w:color="auto" w:fill="ffffff"/>
        </w:rPr>
        <w:t xml:space="preserve">”、“江苏政府采购网”、“盐城市政府采购网”、“盐城市盐都区人民政府网”</w:t>
      </w:r>
      <w:r>
        <w:rPr>
          <w:rFonts w:hint="eastAsia" w:ascii="仿宋" w:hAnsi="仿宋" w:eastAsia="仿宋" w:cs="仿宋"/>
          <w:sz w:val="28"/>
          <w:szCs w:val="28"/>
          <w:highlight w:val="none"/>
        </w:rPr>
        <w:t xml:space="preserve">发布中标公告，公告期限为1个工作日。</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27.4若有充分证据证明，中标人出现下列情况之一的，一经查实，将被取消中标资格：</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27.4.1提供虚假材料谋取中标的。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27.4.2向采购人、交易中心行贿或者提供其他不正当利益的。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27.4.3属于本文件规定的无效条件，但在评标过程中又未被评委会发现的。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27.4.4与采购人或者其他供应商恶意串通的。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27.4.5采取不正当手段诋毁、排挤其他供应商的。</w:t>
      </w:r>
      <w:r/>
    </w:p>
    <w:p>
      <w:pPr>
        <w:pStyle w:val="706"/>
        <w:ind w:firstLine="560"/>
        <w:jc w:val="both"/>
        <w:spacing w:beforeAutospacing="0" w:afterAutospacing="0"/>
        <w:rPr>
          <w:rFonts w:ascii="仿宋" w:hAnsi="仿宋" w:eastAsia="仿宋" w:cs="仿宋"/>
          <w:sz w:val="28"/>
          <w:szCs w:val="28"/>
          <w:highlight w:val="none"/>
        </w:rPr>
      </w:pPr>
      <w:r/>
      <w:bookmarkStart w:id="162" w:name="_Toc200451960"/>
      <w:r>
        <w:rPr>
          <w:rFonts w:hint="eastAsia" w:ascii="仿宋" w:hAnsi="仿宋" w:eastAsia="仿宋" w:cs="仿宋"/>
          <w:sz w:val="28"/>
          <w:szCs w:val="28"/>
          <w:highlight w:val="none"/>
        </w:rPr>
        <w:t xml:space="preserve">27.5 有下列情形之一的，视为投标人串通投标，投标无效：</w:t>
      </w:r>
      <w:bookmarkEnd w:id="162"/>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27.5.1不同投标人的投标文件由同一单位或者个人编制。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27.5.2不同投标人委托同一单位或者个人办理投标事宜。</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27.5.3不同投标人的投标文件载明的项目管理成员或者联系人员为同一人。</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27.5.4不同投标人的投标文件异常一致或者投标报价呈规律性差异。</w:t>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28、质疑处理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28.1提出质疑的供应商应当是参与所质疑项目采购活动的供应商。潜在供应商依法获取其可质疑的采购文件的，可以对采购文件提出质疑。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28.2.1对可以质疑的采购文件提出质疑的，为收到采购文件之日或者采购文件公告期限届满之日；</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28.2.2对采购过程提出质疑的，为各采购程序环节结束之日；</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28.2.3对中标或者成交结果提出质疑的，为中标或者成交结果公告期限届满之日。</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28.4供应商（含潜在供应商）对与本项目有关的所有询问、质疑均请向采购人提出，由采购人负责答复。</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采购人只接收以纸质原件形式送达的质疑,采购人不接受未填写快递运单的快件。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28.5 以下情形的质疑不予受理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28.5.1内容不符合《政府采购质疑和投诉办法》第十二条规定的质疑。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28.5.2超出政府采购法定期限的质疑。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28.5.3以传真、电子邮件等方式递交的非原件形式的质疑。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28.5.4未参加投标活动的供应商或在投标活动中自身权益未受到损害的供应商所提出的质疑。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28.5.5供应商组成联合体参加投标，联合体中任何一方或多方未按要求签字、盖章、加盖公章的质疑。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29、中标通知书</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06"/>
        <w:ind w:firstLine="562"/>
        <w:jc w:val="both"/>
        <w:keepLines/>
        <w:keepNext/>
        <w:spacing w:beforeAutospacing="0" w:afterAutospacing="0"/>
        <w:rPr>
          <w:rFonts w:ascii="仿宋" w:hAnsi="仿宋" w:eastAsia="仿宋" w:cs="仿宋"/>
          <w:sz w:val="28"/>
          <w:szCs w:val="28"/>
          <w:highlight w:val="none"/>
        </w:rPr>
      </w:pPr>
      <w:r/>
      <w:bookmarkStart w:id="163" w:name="_Toc20823308"/>
      <w:r/>
      <w:bookmarkStart w:id="164" w:name="_Toc16938552"/>
      <w:r/>
      <w:bookmarkStart w:id="165" w:name="_Toc120614220"/>
      <w:r/>
      <w:bookmarkStart w:id="166" w:name="_Toc513029236"/>
      <w:r>
        <w:rPr>
          <w:rFonts w:hint="eastAsia" w:ascii="仿宋" w:hAnsi="仿宋" w:eastAsia="仿宋" w:cs="仿宋"/>
          <w:b/>
          <w:sz w:val="28"/>
          <w:szCs w:val="28"/>
          <w:highlight w:val="none"/>
        </w:rPr>
        <w:t xml:space="preserve">七、授予合同</w:t>
      </w:r>
      <w:bookmarkEnd w:id="163"/>
      <w:r/>
      <w:bookmarkEnd w:id="164"/>
      <w:r/>
      <w:bookmarkEnd w:id="165"/>
      <w:r/>
      <w:bookmarkEnd w:id="166"/>
      <w:r/>
      <w:r/>
    </w:p>
    <w:p>
      <w:pPr>
        <w:pStyle w:val="706"/>
        <w:ind w:firstLine="560"/>
        <w:jc w:val="both"/>
        <w:keepLines/>
        <w:keepNext/>
        <w:spacing w:beforeAutospacing="0" w:afterAutospacing="0"/>
        <w:rPr>
          <w:rFonts w:ascii="仿宋" w:hAnsi="仿宋" w:eastAsia="仿宋" w:cs="仿宋"/>
          <w:sz w:val="28"/>
          <w:szCs w:val="28"/>
          <w:highlight w:val="none"/>
        </w:rPr>
      </w:pPr>
      <w:r/>
      <w:bookmarkStart w:id="167" w:name="_Toc20823309"/>
      <w:r/>
      <w:bookmarkStart w:id="168" w:name="_Toc513029237"/>
      <w:r/>
      <w:bookmarkStart w:id="169" w:name="_Toc16938553"/>
      <w:r>
        <w:rPr>
          <w:rFonts w:hint="eastAsia" w:ascii="仿宋" w:hAnsi="仿宋" w:eastAsia="仿宋" w:cs="仿宋"/>
          <w:sz w:val="28"/>
          <w:szCs w:val="28"/>
          <w:highlight w:val="none"/>
        </w:rPr>
        <w:t xml:space="preserve">30.签订合同</w:t>
      </w:r>
      <w:bookmarkEnd w:id="167"/>
      <w:r/>
      <w:bookmarkEnd w:id="168"/>
      <w:r/>
      <w:bookmarkEnd w:id="169"/>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30.l中标人应当在中标通知书发出之日起三十日内，按照招标文件确定的事项与采购人签订政府采购合同。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30.2招标文件、中标人的投标文件及招标过程中有关澄清、承诺文件均应作为合同附件。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30.3签订合同后，</w:t>
      </w:r>
      <w:r>
        <w:rPr>
          <w:rFonts w:hint="eastAsia" w:ascii="仿宋" w:hAnsi="仿宋" w:eastAsia="仿宋" w:cs="仿宋"/>
          <w:i/>
          <w:sz w:val="28"/>
          <w:szCs w:val="28"/>
          <w:highlight w:val="none"/>
          <w:u w:val="single"/>
        </w:rPr>
        <w:t xml:space="preserve">中标人不得将合同标的进行转包</w:t>
      </w:r>
      <w:r>
        <w:rPr>
          <w:rFonts w:hint="eastAsia" w:ascii="仿宋" w:hAnsi="仿宋" w:eastAsia="仿宋" w:cs="仿宋"/>
          <w:sz w:val="28"/>
          <w:szCs w:val="28"/>
          <w:highlight w:val="none"/>
        </w:rPr>
        <w:t xml:space="preserve">。未经采购人同意，中标人也不得采用分包的形式履行合同，否则采购人有权终止合同。转包或分包造成采购人损失的，中标人应承担相应赔偿责任。</w:t>
      </w:r>
      <w:r/>
    </w:p>
    <w:p>
      <w:pPr>
        <w:pStyle w:val="706"/>
        <w:ind w:firstLine="560"/>
        <w:jc w:val="both"/>
        <w:keepLines/>
        <w:keepNext/>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31.服务（包含与服务相关的货物）的追加</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6"/>
        <w:ind w:firstLine="560"/>
        <w:jc w:val="both"/>
        <w:keepLines/>
        <w:keepNext/>
        <w:spacing w:beforeAutospacing="0" w:afterAutospacing="0"/>
        <w:rPr>
          <w:rFonts w:ascii="仿宋" w:hAnsi="仿宋" w:eastAsia="仿宋" w:cs="仿宋"/>
          <w:sz w:val="28"/>
          <w:szCs w:val="28"/>
          <w:highlight w:val="none"/>
        </w:rPr>
      </w:pPr>
      <w:r/>
      <w:bookmarkStart w:id="170" w:name="_Toc513029242"/>
      <w:r/>
      <w:bookmarkStart w:id="171" w:name="_Toc120614221"/>
      <w:r/>
      <w:bookmarkStart w:id="172" w:name="_Toc479757207"/>
      <w:r/>
      <w:bookmarkStart w:id="173" w:name="_Toc16938558"/>
      <w:r/>
      <w:bookmarkStart w:id="174" w:name="_Toc20823314"/>
      <w:r>
        <w:rPr>
          <w:rFonts w:hint="eastAsia" w:ascii="仿宋" w:hAnsi="仿宋" w:eastAsia="仿宋" w:cs="仿宋"/>
          <w:sz w:val="28"/>
          <w:szCs w:val="28"/>
          <w:highlight w:val="none"/>
        </w:rPr>
        <w:t xml:space="preserve">32</w:t>
      </w:r>
      <w:bookmarkEnd w:id="170"/>
      <w:r/>
      <w:bookmarkEnd w:id="171"/>
      <w:r/>
      <w:bookmarkEnd w:id="172"/>
      <w:r/>
      <w:bookmarkEnd w:id="173"/>
      <w:r/>
      <w:bookmarkEnd w:id="174"/>
      <w:r>
        <w:rPr>
          <w:rFonts w:hint="eastAsia" w:ascii="仿宋" w:hAnsi="仿宋" w:eastAsia="仿宋" w:cs="仿宋"/>
          <w:sz w:val="28"/>
          <w:szCs w:val="28"/>
          <w:highlight w:val="none"/>
        </w:rPr>
        <w:t xml:space="preserve">.政府采购政策功能落实</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32.1政府采购线上合同信用融资政策</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32.2进口产品</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32.3中小企业、监狱企业及残疾人福利性单位</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32.3.1中小企业定义：</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中小企业是</w:t>
      </w:r>
      <w:r>
        <w:rPr>
          <w:rFonts w:hint="eastAsia" w:ascii="仿宋" w:hAnsi="仿宋" w:eastAsia="仿宋" w:cs="仿宋"/>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32.3.2供应商提供的货物、工程或者服务符合下列情形的，享受中小企业扶持政策：</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32.3.2.1在货物采购项目中，货物由中小企业制造，即货物由中小企业生产且使用该中小企业商号或者注册商标；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32.3.2.2在工程采购项目中，工程由中小企业承建，即工程施工单位为中小企业；</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32.3.2.3在服务采购项目中，服务由中小企业承接，即提供服务的人员为中小企业依照《中华人民共和国劳动合同法》订立劳动合同的从业人员。</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32.3.3在货物采购项目中，供应商提供的货物既有中小企业制造货物，也有大型企业制造货物的，不享受中小企业扶持政策。</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32.3.4以联合体形式参加政府采购活动，联合体各方均为中小企业的，联合体视同中小企业。其中，联合体各方均为小微企业的，联合体视同小微企业。</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32.3.6残疾人福利单位定义：享受政府采购支持政策的残疾人福利性单位应当同时满足以下条件：</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32.3.6.1安置的残疾人占本单位在职职工人数的比例不低于25%（含25%），并且安置的残疾人人数不少于10 人（含10 人）；</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32.3.6.2依法与安置的每位残疾人签订了一年以上（含一年）的劳动合同或服务协议；</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32.3.6.3为安置的每位残疾人按月足额缴纳了基本养老保险、基本医疗保险、失业保险、工伤保险和生育保险等社会保险费；</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32.3.6.4通过银行等金融机构向安置的每位残疾人，按月支付了不低于单位所在区县适用的经省级人民政府批准的月最低工资标准的工资；</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32.3.6.5提供本单位制造的货物、承担的工程或者服务（以下简称产品），或者提供其他残疾人福利性单位制造的货物（不包括使用非残疾人福利性单位注册商标的货物）；</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32.3.7本项目是否专门面向中小企业预留采购份额见第一章《招标公告》。</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32.3.8采购标的对应的中小企业划分标准所属行业见第四章《采购需求》。</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32.3.9小微企业价格评审优惠的政策：见第五章《评标方法和评标标准》。</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32.4政府采购节能产品、环境标志产品</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32.4.1严格执行政府采购关于支持</w:t>
      </w:r>
      <w:r>
        <w:rPr>
          <w:rFonts w:hint="eastAsia" w:ascii="仿宋" w:hAnsi="仿宋" w:eastAsia="仿宋" w:cs="仿宋"/>
          <w:sz w:val="28"/>
          <w:szCs w:val="28"/>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32.5绿色包装</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32.6政府采购创新产品</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采购人优先采购各级政府部门公开发布的有效期内的创新产品、创新服务、首台套、首购首用等《目录》的创新产品。</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32.7绿色数据中心政策 </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本文件中若涉及到数据中心采购，采购人应依据《绿色数据中心政府采购需求标准（试行）》（财办库〔2023〕7号）文件精神</w:t>
      </w:r>
      <w:r>
        <w:rPr>
          <w:rFonts w:hint="eastAsia" w:ascii="仿宋" w:hAnsi="仿宋" w:eastAsia="仿宋" w:cs="仿宋"/>
          <w:sz w:val="28"/>
          <w:szCs w:val="28"/>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32.8履约保证金政策</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确需收取履约保证金的，履约保证金的缴纳形式：</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 如以履约保函（保险）形式缴纳履约保证金，供应商可通过政府采购电子履约保函（保险）平台（www.jsdzbh.com）在线申请履约保函（保险）。</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33. 预付款制度</w:t>
      </w:r>
      <w:r/>
    </w:p>
    <w:p>
      <w:pPr>
        <w:pStyle w:val="706"/>
        <w:ind w:firstLine="560"/>
        <w:jc w:val="both"/>
        <w:spacing w:beforeAutospacing="0" w:afterAutospacing="0"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706"/>
        <w:ind w:firstLine="560"/>
        <w:jc w:val="both"/>
        <w:spacing w:beforeAutospacing="0" w:afterAutospacing="0"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  </w:t>
      </w:r>
      <w:r/>
    </w:p>
    <w:p>
      <w:pPr>
        <w:rPr>
          <w:rFonts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706"/>
        <w:jc w:val="center"/>
        <w:spacing w:beforeAutospacing="0" w:afterAutospacing="0"/>
        <w:rPr>
          <w:highlight w:val="none"/>
        </w:rPr>
      </w:pPr>
      <w:r>
        <w:rPr>
          <w:rFonts w:hint="eastAsia" w:ascii="黑体" w:hAnsi="宋体" w:eastAsia="黑体" w:cs="黑体"/>
          <w:sz w:val="44"/>
          <w:szCs w:val="44"/>
          <w:highlight w:val="none"/>
        </w:rPr>
        <w:t xml:space="preserve">第三章  合同文本</w:t>
      </w:r>
      <w:r/>
    </w:p>
    <w:p>
      <w:pPr>
        <w:pStyle w:val="706"/>
        <w:ind w:firstLine="480"/>
        <w:jc w:val="both"/>
        <w:spacing w:beforeAutospacing="0" w:afterAutospacing="0" w:line="0" w:lineRule="atLeast"/>
        <w:rPr>
          <w:rFonts w:ascii="仿宋" w:hAnsi="仿宋" w:eastAsia="仿宋" w:cs="仿宋"/>
          <w:sz w:val="28"/>
          <w:szCs w:val="28"/>
          <w:highlight w:val="none"/>
        </w:rPr>
      </w:pPr>
      <w:r/>
      <w:bookmarkStart w:id="175" w:name="_Toc513029243"/>
      <w:r/>
      <w:bookmarkStart w:id="176" w:name="_Toc20823315"/>
      <w:r/>
      <w:bookmarkStart w:id="177" w:name="_Toc16938559"/>
      <w:r>
        <w:rPr>
          <w:rFonts w:hint="eastAsia" w:ascii="仿宋" w:hAnsi="仿宋" w:eastAsia="仿宋" w:cs="仿宋"/>
          <w:sz w:val="28"/>
          <w:szCs w:val="28"/>
          <w:highlight w:val="none"/>
        </w:rPr>
        <w:t xml:space="preserve">以下为中标后签订本项目合同的通用条款，中标人不得提出实质性的修改。</w:t>
      </w:r>
      <w:bookmarkEnd w:id="175"/>
      <w:r/>
      <w:bookmarkEnd w:id="176"/>
      <w:r/>
      <w:bookmarkEnd w:id="177"/>
      <w:r/>
      <w:r/>
    </w:p>
    <w:p>
      <w:pPr>
        <w:pStyle w:val="706"/>
        <w:jc w:val="center"/>
        <w:spacing w:before="145" w:beforeAutospacing="0" w:after="145" w:afterAutospacing="0"/>
        <w:rPr>
          <w:rFonts w:ascii="仿宋" w:hAnsi="仿宋" w:eastAsia="仿宋" w:cs="仿宋"/>
          <w:sz w:val="28"/>
          <w:szCs w:val="28"/>
          <w:highlight w:val="none"/>
        </w:rPr>
      </w:pPr>
      <w:r>
        <w:rPr>
          <w:rFonts w:hint="eastAsia" w:ascii="仿宋" w:hAnsi="仿宋" w:eastAsia="仿宋" w:cs="仿宋"/>
          <w:b/>
          <w:sz w:val="28"/>
          <w:szCs w:val="28"/>
          <w:highlight w:val="none"/>
        </w:rPr>
        <w:t xml:space="preserve">盐城市政府采购合同（服务）（合同编号）</w:t>
      </w:r>
      <w:r/>
    </w:p>
    <w:p>
      <w:pPr>
        <w:ind w:left="-525" w:right="-525" w:firstLine="560"/>
        <w:jc w:val="left"/>
        <w:spacing w:line="440" w:lineRule="exact"/>
        <w:tabs>
          <w:tab w:val="left" w:pos="900" w:leader="none"/>
        </w:tabs>
        <w:rPr>
          <w:rFonts w:ascii="仿宋" w:hAnsi="仿宋" w:eastAsia="仿宋" w:cs="仿宋"/>
          <w:bCs/>
          <w:sz w:val="28"/>
          <w:szCs w:val="28"/>
          <w:highlight w:val="none"/>
        </w:rPr>
      </w:pPr>
      <w:r/>
      <w:bookmarkStart w:id="178" w:name="_Toc479757211"/>
      <w:r/>
      <w:bookmarkStart w:id="179" w:name="_Hlt16619350"/>
      <w:r/>
      <w:bookmarkStart w:id="180" w:name="_Toc20823346"/>
      <w:r/>
      <w:bookmarkStart w:id="181" w:name="_Toc16938590"/>
      <w:r/>
      <w:bookmarkStart w:id="182" w:name="_Toc120614244"/>
      <w:r/>
      <w:bookmarkStart w:id="183" w:name="_Toc462564139"/>
      <w:r/>
      <w:bookmarkStart w:id="184" w:name="_Hlt16619369"/>
      <w:r>
        <w:rPr>
          <w:rFonts w:hint="eastAsia" w:ascii="仿宋" w:hAnsi="仿宋" w:eastAsia="仿宋" w:cs="仿宋"/>
          <w:sz w:val="28"/>
          <w:szCs w:val="28"/>
          <w:highlight w:val="none"/>
        </w:rPr>
        <w:t xml:space="preserve">项目名称：</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ind w:left="-525" w:right="-525" w:firstLine="560"/>
        <w:jc w:val="left"/>
        <w:spacing w:line="44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bCs/>
          <w:sz w:val="28"/>
          <w:szCs w:val="28"/>
          <w:highlight w:val="none"/>
          <w:u w:val="single"/>
        </w:rPr>
        <w:t xml:space="preserve">             </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甲方：（买方）</w:t>
      </w:r>
      <w:r>
        <w:rPr>
          <w:rFonts w:hint="eastAsia" w:ascii="仿宋" w:hAnsi="仿宋" w:eastAsia="仿宋" w:cs="仿宋"/>
          <w:sz w:val="28"/>
          <w:szCs w:val="28"/>
          <w:highlight w:val="none"/>
          <w:u w:val="single"/>
        </w:rPr>
        <w:t xml:space="preserve">         </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乙方：（卖方）</w:t>
      </w:r>
      <w:r>
        <w:rPr>
          <w:rFonts w:hint="eastAsia" w:ascii="仿宋" w:hAnsi="仿宋" w:eastAsia="仿宋" w:cs="仿宋"/>
          <w:sz w:val="28"/>
          <w:szCs w:val="28"/>
          <w:highlight w:val="none"/>
          <w:u w:val="single"/>
        </w:rPr>
        <w:t xml:space="preserve">         </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甲、乙双方根据盐城市盐都区公共资源交易中心</w:t>
      </w:r>
      <w:r>
        <w:rPr>
          <w:rFonts w:hint="eastAsia" w:ascii="仿宋" w:hAnsi="仿宋" w:eastAsia="仿宋" w:cs="仿宋"/>
          <w:sz w:val="28"/>
          <w:szCs w:val="28"/>
          <w:highlight w:val="none"/>
          <w:u w:val="single"/>
          <w:lang w:eastAsia="zh-CN"/>
        </w:rPr>
        <w:t xml:space="preserve">盐城市腾飞路初级中学文印外包服务采购项目</w:t>
      </w:r>
      <w:r>
        <w:rPr>
          <w:rFonts w:hint="eastAsia" w:ascii="仿宋" w:hAnsi="仿宋" w:eastAsia="仿宋" w:cs="仿宋"/>
          <w:sz w:val="28"/>
          <w:szCs w:val="28"/>
          <w:highlight w:val="none"/>
        </w:rPr>
        <w:t xml:space="preserve">公开招标的结果，签署本合同。</w:t>
      </w:r>
      <w:r/>
    </w:p>
    <w:p>
      <w:pPr>
        <w:pStyle w:val="701"/>
        <w:ind w:left="-525" w:right="-525" w:firstLine="560"/>
        <w:spacing w:before="120" w:after="12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一、合同内容</w:t>
      </w:r>
      <w:r/>
    </w:p>
    <w:p>
      <w:pPr>
        <w:pStyle w:val="701"/>
        <w:ind w:left="-525" w:right="-525" w:firstLine="560"/>
        <w:spacing w:before="120" w:after="120"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1.1 标的名称：</w:t>
      </w:r>
      <w:r>
        <w:rPr>
          <w:rFonts w:hint="eastAsia" w:ascii="仿宋" w:hAnsi="仿宋" w:eastAsia="仿宋" w:cs="仿宋"/>
          <w:sz w:val="28"/>
          <w:szCs w:val="28"/>
          <w:highlight w:val="none"/>
          <w:lang w:eastAsia="zh-CN"/>
        </w:rPr>
        <w:t xml:space="preserve">盐城市腾飞路初级中学文印外包服务采购项目</w:t>
      </w:r>
      <w:r/>
    </w:p>
    <w:p>
      <w:pPr>
        <w:pStyle w:val="701"/>
        <w:ind w:left="-525" w:right="-525" w:firstLine="560"/>
        <w:spacing w:before="120" w:after="12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 服务内容：甲方交付的试卷、练习等资料的印刷服务</w:t>
      </w:r>
      <w:r/>
    </w:p>
    <w:p>
      <w:pPr>
        <w:pStyle w:val="701"/>
        <w:ind w:left="-525" w:right="-525" w:firstLine="560"/>
        <w:spacing w:before="120" w:after="12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1.3 人员配备：乙方须有专门的文印人员，须满足服务要求，不得耽误印刷服务工作；在人员不足的情况下须额外补充人员完成服务工作。文印人员（作息时间按甲方的作息时间执行）驻甲方提供的文印室办公。</w:t>
      </w:r>
      <w:r/>
    </w:p>
    <w:p>
      <w:pPr>
        <w:pStyle w:val="701"/>
        <w:ind w:left="-525" w:right="-525" w:firstLine="560"/>
        <w:spacing w:before="120" w:after="12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1.4设备配备：一体化的印刷机、复印机、电脑、打印机等设备、印刷所需的耗材（油墨、纸张等）并保证设备运行正常，不耽误印刷工作进行。至少配备一体化印刷机、复印打印机及电脑、扫描仪等设备。</w:t>
      </w:r>
      <w:r/>
    </w:p>
    <w:p>
      <w:pPr>
        <w:pStyle w:val="701"/>
        <w:ind w:left="-525" w:right="-525" w:firstLine="560"/>
        <w:spacing w:before="120" w:after="12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1.5服务期：一年，自2025年  月   日起至2026年    月     日结束。</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二、合同金额</w:t>
      </w:r>
      <w:r/>
    </w:p>
    <w:tbl>
      <w:tblPr>
        <w:tblStyle w:val="693"/>
        <w:tblpPr w:horzAnchor="page" w:tblpX="1501" w:vertAnchor="text" w:tblpY="408" w:leftFromText="180" w:topFromText="0" w:rightFromText="180" w:bottomFromText="0"/>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972"/>
        <w:gridCol w:w="854"/>
        <w:gridCol w:w="1600"/>
        <w:gridCol w:w="1784"/>
        <w:gridCol w:w="1683"/>
        <w:gridCol w:w="1543"/>
      </w:tblGrid>
      <w:tr>
        <w:trPr>
          <w:trHeight w:val="405"/>
        </w:trPr>
        <w:tc>
          <w:tcPr>
            <w:tcW w:w="685"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W w:w="972"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项目</w:t>
            </w:r>
            <w:r/>
          </w:p>
        </w:tc>
        <w:tc>
          <w:tcPr>
            <w:gridSpan w:val="2"/>
            <w:tcW w:w="2454"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规  格</w:t>
            </w:r>
            <w:r/>
          </w:p>
        </w:tc>
        <w:tc>
          <w:tcPr>
            <w:tcW w:w="1784"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招标控制单价</w:t>
            </w:r>
            <w:r/>
          </w:p>
        </w:tc>
        <w:tc>
          <w:tcPr>
            <w:tcW w:w="1683" w:type="dxa"/>
            <w:vAlign w:val="center"/>
            <w:textDirection w:val="lrTb"/>
            <w:noWrap/>
          </w:tcPr>
          <w:p>
            <w:pPr>
              <w:jc w:val="center"/>
              <w:spacing w:line="520" w:lineRule="exact"/>
              <w:widowControl/>
              <w:rPr>
                <w:rFonts w:hint="eastAsia" w:ascii="仿宋" w:hAnsi="仿宋" w:eastAsia="仿宋" w:cs="仿宋"/>
                <w:b/>
                <w:bCs/>
                <w:szCs w:val="21"/>
                <w:highlight w:val="none"/>
                <w:lang w:eastAsia="zh-CN"/>
              </w:rPr>
            </w:pPr>
            <w:r>
              <w:rPr>
                <w:rFonts w:hint="eastAsia" w:ascii="仿宋" w:hAnsi="仿宋" w:eastAsia="仿宋" w:cs="仿宋"/>
                <w:b/>
                <w:bCs/>
                <w:szCs w:val="21"/>
                <w:highlight w:val="none"/>
                <w:lang w:val="en-US" w:eastAsia="zh-CN" w:bidi="ar"/>
              </w:rPr>
              <w:t xml:space="preserve">优惠率（%）</w:t>
            </w:r>
            <w:r/>
          </w:p>
        </w:tc>
        <w:tc>
          <w:tcPr>
            <w:tcW w:w="1543"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备注</w:t>
            </w:r>
            <w:r/>
          </w:p>
        </w:tc>
      </w:tr>
      <w:tr>
        <w:trPr>
          <w:trHeight w:val="319"/>
        </w:trPr>
        <w:tc>
          <w:tcPr>
            <w:tcW w:w="685" w:type="dxa"/>
            <w:vAlign w:val="center"/>
            <w:vMerge w:val="restart"/>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W w:w="972"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复印</w:t>
            </w:r>
            <w:r/>
          </w:p>
        </w:tc>
        <w:tc>
          <w:tcPr>
            <w:tcW w:w="854"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A3/8K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0.275</w:t>
            </w:r>
            <w:r/>
          </w:p>
        </w:tc>
        <w:tc>
          <w:tcPr>
            <w:tcW w:w="1683" w:type="dxa"/>
            <w:vAlign w:val="center"/>
            <w:vMerge w:val="restart"/>
            <w:textDirection w:val="lrTb"/>
            <w:noWrap/>
          </w:tcPr>
          <w:p>
            <w:pPr>
              <w:jc w:val="center"/>
              <w:spacing w:line="5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w:t>
            </w:r>
            <w:r/>
          </w:p>
        </w:tc>
        <w:tc>
          <w:tcPr>
            <w:tcW w:w="1543" w:type="dxa"/>
            <w:vAlign w:val="center"/>
            <w:vMerge w:val="restart"/>
            <w:textDirection w:val="lrTb"/>
            <w:noWrap/>
          </w:tcPr>
          <w:p>
            <w:pPr>
              <w:pStyle w:val="708"/>
              <w:ind w:firstLine="0"/>
              <w:spacing w:line="520" w:lineRule="exact"/>
              <w:rPr>
                <w:rFonts w:ascii="仿宋" w:hAnsi="仿宋" w:eastAsia="仿宋" w:cs="仿宋"/>
                <w:b/>
                <w:bCs/>
                <w:szCs w:val="21"/>
                <w:highlight w:val="none"/>
                <w:lang w:bidi="ar"/>
              </w:rPr>
            </w:pPr>
            <w:r>
              <w:rPr>
                <w:rFonts w:hint="eastAsia" w:ascii="仿宋" w:hAnsi="仿宋" w:eastAsia="仿宋" w:cs="仿宋"/>
                <w:b/>
                <w:bCs/>
                <w:szCs w:val="21"/>
                <w:highlight w:val="none"/>
                <w:lang w:bidi="ar"/>
              </w:rPr>
              <w:t xml:space="preserve">1、印刷必须使用</w:t>
            </w:r>
            <w:r>
              <w:rPr>
                <w:rFonts w:hint="eastAsia" w:ascii="仿宋" w:hAnsi="仿宋" w:eastAsia="仿宋" w:cs="仿宋"/>
                <w:b/>
                <w:bCs/>
                <w:szCs w:val="21"/>
                <w:highlight w:val="none"/>
                <w:lang w:eastAsia="zh-CN" w:bidi="ar"/>
              </w:rPr>
              <w:t xml:space="preserve">70 克</w:t>
            </w:r>
            <w:r>
              <w:rPr>
                <w:rFonts w:hint="eastAsia" w:ascii="仿宋" w:hAnsi="仿宋" w:eastAsia="仿宋" w:cs="仿宋"/>
                <w:b/>
                <w:bCs/>
                <w:szCs w:val="21"/>
                <w:highlight w:val="none"/>
                <w:lang w:bidi="ar"/>
              </w:rPr>
              <w:t xml:space="preserve">及以上原浆纸。</w:t>
            </w:r>
            <w:r/>
          </w:p>
          <w:p>
            <w:pPr>
              <w:pStyle w:val="708"/>
              <w:ind w:firstLine="0"/>
              <w:spacing w:line="520" w:lineRule="exact"/>
              <w:rPr>
                <w:rFonts w:ascii="仿宋" w:hAnsi="仿宋" w:eastAsia="仿宋" w:cs="仿宋"/>
                <w:highlight w:val="none"/>
              </w:rPr>
            </w:pPr>
            <w:r>
              <w:rPr>
                <w:rFonts w:hint="eastAsia" w:ascii="仿宋" w:hAnsi="仿宋" w:eastAsia="仿宋" w:cs="仿宋"/>
                <w:b/>
                <w:bCs/>
                <w:szCs w:val="21"/>
                <w:highlight w:val="none"/>
                <w:lang w:bidi="ar"/>
              </w:rPr>
              <w:t xml:space="preserve">2、文印张数</w:t>
            </w:r>
            <w:r>
              <w:rPr>
                <w:rFonts w:hint="eastAsia" w:ascii="仿宋" w:hAnsi="仿宋" w:eastAsia="仿宋" w:cs="仿宋"/>
                <w:b/>
                <w:bCs/>
                <w:szCs w:val="21"/>
                <w:highlight w:val="none"/>
                <w:lang w:val="en-US" w:eastAsia="zh-CN" w:bidi="ar"/>
              </w:rPr>
              <w:t xml:space="preserve">3</w:t>
            </w:r>
            <w:r>
              <w:rPr>
                <w:rFonts w:hint="eastAsia" w:ascii="仿宋" w:hAnsi="仿宋" w:eastAsia="仿宋" w:cs="仿宋"/>
                <w:b/>
                <w:bCs/>
                <w:szCs w:val="21"/>
                <w:highlight w:val="none"/>
                <w:lang w:bidi="ar"/>
              </w:rPr>
              <w:t xml:space="preserve">0张以上的复印必须油印,油印30张以上不满100张的以10</w:t>
            </w:r>
            <w:r>
              <w:rPr>
                <w:rFonts w:hint="eastAsia" w:ascii="仿宋" w:hAnsi="仿宋" w:eastAsia="仿宋" w:cs="仿宋"/>
                <w:b/>
                <w:bCs/>
                <w:szCs w:val="21"/>
                <w:highlight w:val="none"/>
                <w:lang w:val="en-US" w:eastAsia="zh-CN" w:bidi="ar"/>
              </w:rPr>
              <w:t xml:space="preserve">0</w:t>
            </w:r>
            <w:r>
              <w:rPr>
                <w:rFonts w:hint="eastAsia" w:ascii="仿宋" w:hAnsi="仿宋" w:eastAsia="仿宋" w:cs="仿宋"/>
                <w:b/>
                <w:bCs/>
                <w:szCs w:val="21"/>
                <w:highlight w:val="none"/>
                <w:lang w:bidi="ar"/>
              </w:rPr>
              <w:t xml:space="preserve">张计。文印张数未超过 100 张的，补制版费  8K:2元每版，16K:1元每版。</w:t>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0.330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default" w:ascii="仿宋" w:hAnsi="仿宋" w:eastAsia="仿宋" w:cs="仿宋"/>
                <w:szCs w:val="21"/>
                <w:highlight w:val="none"/>
                <w:lang w:val="en-US" w:eastAsia="zh-CN" w:bidi="ar"/>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0.550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default" w:ascii="仿宋" w:hAnsi="仿宋" w:eastAsia="仿宋" w:cs="仿宋"/>
                <w:szCs w:val="21"/>
                <w:highlight w:val="none"/>
                <w:lang w:val="en-US" w:eastAsia="zh-CN" w:bidi="ar"/>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0.660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A4</w:t>
            </w:r>
            <w:r>
              <w:rPr>
                <w:rFonts w:hint="eastAsia" w:ascii="仿宋" w:hAnsi="仿宋" w:eastAsia="仿宋" w:cs="仿宋"/>
                <w:szCs w:val="21"/>
                <w:highlight w:val="none"/>
                <w:lang w:val="en-US" w:eastAsia="zh-CN" w:bidi="ar"/>
              </w:rPr>
              <w:t xml:space="preserve">/</w:t>
            </w:r>
            <w:r>
              <w:rPr>
                <w:rFonts w:hint="eastAsia" w:ascii="仿宋" w:hAnsi="仿宋" w:eastAsia="仿宋" w:cs="仿宋"/>
                <w:szCs w:val="21"/>
                <w:highlight w:val="none"/>
                <w:lang w:bidi="ar"/>
              </w:rPr>
              <w:t xml:space="preserve">16K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0.165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0.165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widowControl/>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0.385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29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0.440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restart"/>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W w:w="972"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油印</w:t>
            </w:r>
            <w:r/>
          </w:p>
        </w:tc>
        <w:tc>
          <w:tcPr>
            <w:tcW w:w="854" w:type="dxa"/>
            <w:vAlign w:val="center"/>
            <w:vMerge w:val="restart"/>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8K</w:t>
            </w:r>
            <w:r/>
          </w:p>
          <w:p>
            <w:pPr>
              <w:jc w:val="center"/>
              <w:spacing w:line="520" w:lineRule="exact"/>
              <w:widowControl/>
              <w:rPr>
                <w:rFonts w:hint="default" w:ascii="仿宋" w:hAnsi="仿宋" w:eastAsia="仿宋" w:cs="仿宋"/>
                <w:szCs w:val="21"/>
                <w:highlight w:val="none"/>
                <w:lang w:val="en-US" w:eastAsia="zh-CN"/>
              </w:rPr>
            </w:pPr>
            <w:r>
              <w:rPr>
                <w:rFonts w:hint="default" w:ascii="仿宋" w:hAnsi="仿宋" w:eastAsia="仿宋" w:cs="仿宋"/>
                <w:szCs w:val="21"/>
                <w:highlight w:val="none"/>
                <w:lang w:val="en-US" w:eastAsia="zh-CN"/>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0.033</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eastAsia" w:ascii="仿宋" w:hAnsi="仿宋" w:eastAsia="仿宋" w:cs="仿宋"/>
                <w:szCs w:val="21"/>
                <w:highlight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0.044</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widowControl/>
              <w:rPr>
                <w:rFonts w:hint="default" w:ascii="仿宋" w:hAnsi="仿宋" w:eastAsia="仿宋" w:cs="仿宋"/>
                <w:szCs w:val="21"/>
                <w:highlight w:val="none"/>
                <w:lang w:val="en-US" w:eastAsia="zh-CN"/>
              </w:rPr>
            </w:pPr>
            <w:r>
              <w:rPr>
                <w:rFonts w:hint="default" w:ascii="仿宋" w:hAnsi="仿宋" w:eastAsia="仿宋" w:cs="仿宋"/>
                <w:szCs w:val="21"/>
                <w:highlight w:val="none"/>
                <w:lang w:val="en-US" w:eastAsia="zh-CN"/>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0.110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0.198</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restart"/>
            <w:textDirection w:val="lrTb"/>
            <w:noWrap/>
          </w:tcPr>
          <w:p>
            <w:pPr>
              <w:jc w:val="center"/>
              <w:spacing w:line="520" w:lineRule="exact"/>
              <w:rPr>
                <w:rFonts w:ascii="仿宋" w:hAnsi="仿宋" w:eastAsia="仿宋" w:cs="仿宋"/>
                <w:szCs w:val="21"/>
                <w:highlight w:val="none"/>
              </w:rPr>
            </w:pPr>
            <w:r>
              <w:rPr>
                <w:rFonts w:hint="eastAsia" w:ascii="仿宋" w:hAnsi="仿宋" w:eastAsia="仿宋" w:cs="仿宋"/>
                <w:szCs w:val="21"/>
                <w:highlight w:val="none"/>
              </w:rPr>
              <w:t xml:space="preserve">16K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0.017</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0.022</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0.110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pStyle w:val="708"/>
              <w:ind w:firstLine="0"/>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0.198</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textDirection w:val="lrTb"/>
            <w:noWrap/>
          </w:tcPr>
          <w:p>
            <w:pPr>
              <w:pStyle w:val="708"/>
              <w:ind w:firstLine="211"/>
              <w:spacing w:line="520" w:lineRule="exact"/>
              <w:rPr>
                <w:rFonts w:ascii="仿宋" w:hAnsi="仿宋" w:eastAsia="仿宋" w:cs="仿宋"/>
                <w:b/>
                <w:bCs/>
                <w:szCs w:val="21"/>
                <w:highlight w:val="none"/>
              </w:rPr>
            </w:pPr>
            <w:r>
              <w:rPr>
                <w:rFonts w:hint="eastAsia" w:ascii="仿宋" w:hAnsi="仿宋" w:eastAsia="仿宋" w:cs="仿宋"/>
                <w:b/>
                <w:bCs/>
                <w:szCs w:val="21"/>
                <w:highlight w:val="none"/>
              </w:rPr>
              <w:t xml:space="preserve">3</w:t>
            </w:r>
            <w:r/>
          </w:p>
        </w:tc>
        <w:tc>
          <w:tcPr>
            <w:tcW w:w="972" w:type="dxa"/>
            <w:vAlign w:val="center"/>
            <w:textDirection w:val="lrTb"/>
            <w:noWrap/>
          </w:tcPr>
          <w:p>
            <w:pPr>
              <w:jc w:val="center"/>
              <w:spacing w:line="520" w:lineRule="exact"/>
              <w:rPr>
                <w:rFonts w:ascii="仿宋" w:hAnsi="仿宋" w:eastAsia="仿宋" w:cs="仿宋"/>
                <w:szCs w:val="21"/>
                <w:highlight w:val="none"/>
              </w:rPr>
            </w:pPr>
            <w:r>
              <w:rPr>
                <w:rFonts w:hint="eastAsia" w:ascii="仿宋" w:hAnsi="仿宋" w:eastAsia="仿宋" w:cs="仿宋"/>
                <w:szCs w:val="21"/>
                <w:highlight w:val="none"/>
              </w:rPr>
              <w:t xml:space="preserve">胶装</w:t>
            </w:r>
            <w:r/>
          </w:p>
        </w:tc>
        <w:tc>
          <w:tcPr>
            <w:gridSpan w:val="3"/>
            <w:tcW w:w="4238" w:type="dxa"/>
            <w:vAlign w:val="center"/>
            <w:textDirection w:val="lrTb"/>
            <w:noWrap/>
          </w:tcPr>
          <w:p>
            <w:pPr>
              <w:jc w:val="center"/>
              <w:spacing w:line="520" w:lineRule="exact"/>
              <w:widowControl/>
              <w:rPr>
                <w:rFonts w:ascii="仿宋" w:hAnsi="仿宋" w:eastAsia="仿宋" w:cs="仿宋"/>
                <w:sz w:val="22"/>
                <w:szCs w:val="22"/>
                <w:highlight w:val="none"/>
                <w:lang w:bidi="ar"/>
              </w:rPr>
            </w:pPr>
            <w:r>
              <w:rPr>
                <w:rFonts w:hint="eastAsia" w:ascii="仿宋" w:hAnsi="仿宋" w:eastAsia="仿宋" w:cs="仿宋"/>
                <w:szCs w:val="21"/>
                <w:highlight w:val="none"/>
                <w:lang w:bidi="ar"/>
              </w:rPr>
              <w:t xml:space="preserve">另;胶装费每本</w:t>
            </w:r>
            <w:r>
              <w:rPr>
                <w:rFonts w:hint="eastAsia" w:ascii="仿宋" w:hAnsi="仿宋" w:eastAsia="仿宋" w:cs="仿宋"/>
                <w:szCs w:val="21"/>
                <w:highlight w:val="none"/>
                <w:lang w:val="en-US" w:eastAsia="zh-CN" w:bidi="ar"/>
              </w:rPr>
              <w:t xml:space="preserve">11</w:t>
            </w:r>
            <w:r>
              <w:rPr>
                <w:rFonts w:hint="eastAsia" w:ascii="仿宋" w:hAnsi="仿宋" w:eastAsia="仿宋" w:cs="仿宋"/>
                <w:szCs w:val="21"/>
                <w:highlight w:val="none"/>
                <w:lang w:bidi="ar"/>
              </w:rPr>
              <w:t xml:space="preserve">元</w:t>
            </w:r>
            <w:r/>
          </w:p>
        </w:tc>
        <w:tc>
          <w:tcPr>
            <w:gridSpan w:val="2"/>
            <w:tcW w:w="3226" w:type="dxa"/>
            <w:vAlign w:val="center"/>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bl>
    <w:p>
      <w:pPr>
        <w:pStyle w:val="706"/>
        <w:ind w:right="-525"/>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三、交印手续</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3.1学校印刷材料一律凭盖校长办主任、教务处主任、和各年级部主任签的准印单方可印刷，材料印好后，必须有领用人员签收，教师材料5张以内临时复印（含），可填写临时复印登记表后复印；乙方不得以营利形式私自给学生提供复印和打印等业务。</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3.2乙方必须在规定的时间保质保量完成打印任务，对量大的统考试卷甲方必须提前通知乙方。如因印刷质量不合格导致重印或加印的损失由乙方承担。如乙方在逾期未完成任务，第一次警告，第二罚款1000元，第三次中止合同并不赔偿乙方损失。</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3.3讲义、试卷一律双面油印，其他材料也尽量双面印刷（特殊要求除外）。</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3.4乙方向甲方提供的部分耗材不得高市场价格。</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3.5乙方必须严守保密纪律，如因乙方责任造成材料泄密，造成的损失由乙方承担，并视情况追究当事人责任。</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3.6在承包期间文印室如涉及到税、费等事项由乙方承担，与甲方无关。</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3.7乙方不得转包业务。如发现转包，学校有权立即终止合同。</w:t>
      </w:r>
      <w:r/>
    </w:p>
    <w:p>
      <w:pPr>
        <w:pStyle w:val="706"/>
        <w:ind w:left="-525" w:right="-525" w:firstLine="560"/>
        <w:jc w:val="both"/>
        <w:spacing w:before="120" w:beforeAutospacing="0" w:after="12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3.8乙方必须保证至少一名工作人员常驻学校，与学生上学时间一致，如有特殊情况需提供加班服务。</w:t>
      </w:r>
      <w:r/>
    </w:p>
    <w:p>
      <w:pPr>
        <w:pStyle w:val="706"/>
        <w:ind w:left="-525" w:right="-525" w:firstLine="560"/>
        <w:jc w:val="both"/>
        <w:spacing w:before="120" w:beforeAutospacing="0" w:after="120" w:afterAutospacing="0"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3.9.印刷不合格、少印造成的重印其损失由乙方承担。乙方承担打印所花的一切费用《含电费。电费每学期结算1次,因无电表、可双方约定每月电费额度)。乙方不得私自带非服务文印的其他电器。</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四、质量保证</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4.1 乙方提供印刷服务时，制版、印刷等要求应按不低于国家、省、市有关部门规定的质量标准执行。</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4.2 乙方对承印的物品，必须严格按投标时所承诺的内容进行服务，纸张品质应符合甲方的要求；所有印刷成品要字迹清楚、墨迹饱满、颜色无偏差、规格尺寸准确。</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4.3 乙方应保证印刷所用材料是未使用过的合同承诺的合格正品，并完全符合合同规定的质量和性能的要求。乙方应对由于印刷技术、工艺或印刷材料的缺陷以及其他由于乙方的原因而发生的任何不足负责，费用由乙方负担。</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4.4 如果乙方在收到索赔通知后，在合同中所附服务承诺约定的时间内没有采取措施，甲方可采取必要的补救措施，但风险和费用将由乙方承担。</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4.5乙方文印人员须遵守甲方关于工作时间方面的有关规定。</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4.6乙方应遵守保密制度，如因乙方责任造成材料泄密，损失全部由乙方承担，并视情况追究乙方责任。</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4.7乙方必须保证印刷质量和交货时间，不得擅自改变印刷品要求、偷工减料。对甲方印刷品优先排版，优先印刷，不得拒绝。乙方应对上述服务进行承诺，认真履行，如经查严重违反服务承诺的将解除合同。</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4.8乙方应根据印刷内容保质保量完成，因乙方自身原因造成的错版、错印、严重色差、纸张瑕疵等印刷质量问题，由乙方免费重印。若由乙方原因引起甲方纠纷、造成损失，由乙方负责赔偿。</w:t>
      </w:r>
      <w:r/>
    </w:p>
    <w:p>
      <w:pPr>
        <w:pStyle w:val="706"/>
        <w:ind w:left="-525" w:right="-525" w:firstLine="562"/>
        <w:jc w:val="both"/>
        <w:spacing w:before="120" w:beforeAutospacing="0" w:after="120" w:afterAutospacing="0" w:line="44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五、交货延误</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5.1 乙方应按照《申请单》中规定的时间完成印刷项目，并将印刷成品交付甲方验收使用。</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5.2 如果乙方无正当理由拖延印刷时间或不主动与甲方办理送货交接手续，将受到以下制裁：赔偿按照服务承诺执行。</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5.3 在履行印刷服务过程中，如果乙方遇到不能按时完成印刷项目的情况，乙方应及时以书面形式将不能按时完成印刷项目或不能按时交货的理由、可能延误的时间通知甲方。甲方在收到乙方通知后，应对情况进行分析，决定是否修改印刷项目、酌情延长印刷时间或终止印刷；同时保留按第5.2条规定的权力。</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六、履约保证金</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6.1乙方交纳人民币_________元作为本合同的履约保证金。</w:t>
      </w:r>
      <w:r/>
    </w:p>
    <w:p>
      <w:pPr>
        <w:pStyle w:val="706"/>
        <w:ind w:left="-525" w:right="-525" w:firstLine="562"/>
        <w:jc w:val="both"/>
        <w:spacing w:before="120" w:beforeAutospacing="0" w:after="120" w:afterAutospacing="0" w:line="44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（备注：合同金额的10%，采购人应当对AA评级及以上政府采购供应商（需提供信用管理部门备案的第三方信用报告）免收履约保证金或降低履约保证金缴纳比例。）</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6.2确需收取履约保证金的，履约保证金的缴纳形式：</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6.2.2 如以履约保函（保险）形式缴纳履约保证金，供应商可通过政府采购电子履约保函（保险）平台（www.jsdzbh.com）在线申请履约保函（保险）。</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6.3合同履行结束后，甲方应及时退还交纳的履约保证金。</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6.4履约保证金的退还：</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6.4.1方式：退还至投标人缴纳履约保证金的账户。如为保函，在到期时自行失效。</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6.4.2时间：验收合格且采购人收到发票后30日内。</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6.4.3条件：按合同要求全部履约完成并经采购人验收合格，且采购人收到中标人出具的发票。</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6.4.4不予退还情形：</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除不可抗力情况外，投标人出现下列情形之一的，其履约保证金，招标人将视情节决定不予退还或部分不予退还。</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（1）中标人无正当理由拒绝签订合同的，或者在签订合同时向采购人提出附加条件或者更改合同实质性内容要求的；</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（2）中标人不履行与采购人订立的合同的；</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（3）中标人所供货物或服务不符合招标文件规定要求的；</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（4）中标人采取欺骗、弄虚作假方式投标的或与其它投标人串通投标的；</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（5）中标人将合同内容转包、违法分包的；</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（6）中标人故意捏造事实或伪造证明材料，进行虚假恶意投诉或反映的。</w:t>
      </w:r>
      <w:r/>
    </w:p>
    <w:p>
      <w:pPr>
        <w:pStyle w:val="706"/>
        <w:ind w:left="-525" w:right="-525" w:firstLine="560"/>
        <w:jc w:val="both"/>
        <w:spacing w:before="120" w:beforeAutospacing="0" w:after="120" w:afterAutospacing="0"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06"/>
        <w:ind w:left="-525" w:right="-525" w:firstLine="562"/>
        <w:jc w:val="both"/>
        <w:spacing w:before="145" w:beforeAutospacing="0" w:after="145"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七、合同转包或分包</w:t>
      </w:r>
      <w:r/>
    </w:p>
    <w:p>
      <w:pPr>
        <w:pStyle w:val="706"/>
        <w:ind w:left="-525" w:right="-525" w:firstLine="560"/>
        <w:jc w:val="both"/>
        <w:spacing w:before="145" w:beforeAutospacing="0" w:after="145"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7.1乙方不得将合同标的转包给他人履行。</w:t>
      </w:r>
      <w:r/>
    </w:p>
    <w:p>
      <w:pPr>
        <w:pStyle w:val="706"/>
        <w:ind w:left="-525" w:right="-525" w:firstLine="560"/>
        <w:jc w:val="both"/>
        <w:spacing w:before="145" w:beforeAutospacing="0" w:after="145"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7.2乙方不得将合同标的分包给他人履行。</w:t>
      </w:r>
      <w:r/>
    </w:p>
    <w:p>
      <w:pPr>
        <w:pStyle w:val="706"/>
        <w:ind w:left="-525" w:right="-525" w:firstLine="560"/>
        <w:jc w:val="both"/>
        <w:spacing w:before="145" w:beforeAutospacing="0" w:after="145"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7.3乙方如有转包或未经甲方同意的分包行为，甲方有权解除合同。</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八、合同款项支付</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8.1合同款项的支付方式及进度安排</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8.1.1 预付款支付时间：合同签订后，甲方收到发票后10个工作日内，预付款支付比例：合同金额的30%；</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8.1.2 进度款支付时间：每半年支付一次服务费。每次支付费用=总服务费/2—预付款/2；</w:t>
      </w:r>
      <w:r/>
    </w:p>
    <w:p>
      <w:pPr>
        <w:pStyle w:val="706"/>
        <w:ind w:left="-525" w:right="-525" w:firstLine="560"/>
        <w:jc w:val="both"/>
        <w:spacing w:before="120" w:beforeAutospacing="0" w:after="120" w:afterAutospacing="0" w:line="440" w:lineRule="exact"/>
        <w:rPr>
          <w:rFonts w:ascii="仿宋" w:hAnsi="仿宋" w:eastAsia="仿宋" w:cs="仿宋"/>
          <w:b/>
          <w:sz w:val="28"/>
          <w:szCs w:val="28"/>
          <w:highlight w:val="none"/>
          <w:u w:val="single"/>
        </w:rPr>
      </w:pPr>
      <w:r>
        <w:rPr>
          <w:rFonts w:hint="eastAsia" w:ascii="仿宋" w:hAnsi="仿宋" w:eastAsia="仿宋" w:cs="仿宋"/>
          <w:sz w:val="28"/>
          <w:szCs w:val="28"/>
          <w:highlight w:val="none"/>
          <w:u w:val="single"/>
        </w:rPr>
        <w:t xml:space="preserve">8.1.3尾款支付时间：服务结束并验收合格,采购人收到发票后10个工作日内，支付剩余服务费。</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九、税费</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9.1本合同执行中相关的一切税费均由乙方负担。</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十、项目验收</w:t>
      </w:r>
      <w:r/>
    </w:p>
    <w:p>
      <w:pPr>
        <w:ind w:left="-525" w:right="-525" w:firstLine="560"/>
        <w:spacing w:after="156"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10.1甲方依法组织履约验收工作。</w:t>
      </w:r>
      <w:r/>
    </w:p>
    <w:p>
      <w:pPr>
        <w:ind w:left="-525" w:right="-525" w:firstLine="560"/>
        <w:spacing w:after="156"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525" w:right="-525" w:firstLine="560"/>
        <w:spacing w:after="156"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10.3对于实际使用人和甲方分离的项目，甲方邀请实际使用人参与验收。</w:t>
      </w:r>
      <w:r/>
    </w:p>
    <w:p>
      <w:pPr>
        <w:ind w:left="-525" w:right="-525" w:firstLine="560"/>
        <w:spacing w:after="156"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10.4如有必要，甲方邀请参加本项目的其他供应商或第三方专业机构及专家参与验收，相关意见将作为验收书的参考资料。</w:t>
      </w:r>
      <w:r/>
    </w:p>
    <w:p>
      <w:pPr>
        <w:ind w:left="-525" w:right="-525" w:firstLine="560"/>
        <w:spacing w:after="156"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525" w:right="-525" w:firstLine="560"/>
        <w:spacing w:after="156"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525" w:right="-525" w:firstLine="562"/>
        <w:spacing w:line="44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十一、违约责任</w:t>
      </w:r>
      <w:r/>
    </w:p>
    <w:p>
      <w:pPr>
        <w:ind w:left="-525" w:right="-525" w:firstLine="560"/>
        <w:spacing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11.1 用户向甲方反映乙方有违约情形的，甲方有权进行调查核实。乙方确有下列违约行为的，在甲方和用户对乙方违约而采取的任何补救措施不受影响的情况下，根据情节轻重，可扣除部分或全部履约保证金，直至终止合同。如因乙方的违约造成用户的损失，乙方还应当赔偿损失。</w:t>
      </w:r>
      <w:r/>
    </w:p>
    <w:p>
      <w:pPr>
        <w:ind w:left="-525" w:right="-525" w:firstLine="560"/>
        <w:spacing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（1）对乙方有效投诉记录累计达到2次；</w:t>
      </w:r>
      <w:r/>
    </w:p>
    <w:p>
      <w:pPr>
        <w:ind w:left="-525" w:right="-525" w:firstLine="560"/>
        <w:spacing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（2）未经用户同意，乙方擅自将印刷业务转包的；</w:t>
      </w:r>
      <w:r/>
    </w:p>
    <w:p>
      <w:pPr>
        <w:ind w:left="-525" w:right="-525" w:firstLine="560"/>
        <w:spacing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（3）未经用户同意，乙方擅自使用达不到用户质量要求的纸张印刷的；</w:t>
      </w:r>
      <w:r/>
    </w:p>
    <w:p>
      <w:pPr>
        <w:ind w:left="-525" w:right="-525" w:firstLine="560"/>
        <w:spacing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（4）因乙方印刷质量问题，导致用户出现重大损失或严重后果的。</w:t>
      </w:r>
      <w:r/>
    </w:p>
    <w:p>
      <w:pPr>
        <w:ind w:left="-525" w:right="-525" w:firstLine="560"/>
        <w:spacing w:line="44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11.2乙方在任何情况下都不得向用户经办人提供任何形式的回扣，一经发现，甲方可立即全面暂停或终止合同的履行，并没收履约保证金，同时提请有关部门追究有关当事人的责任。</w:t>
      </w:r>
      <w:r/>
    </w:p>
    <w:p>
      <w:pPr>
        <w:ind w:left="-525" w:right="-525" w:firstLine="560"/>
        <w:spacing w:line="440" w:lineRule="exact"/>
        <w:rPr>
          <w:rFonts w:ascii="仿宋" w:hAnsi="仿宋" w:eastAsia="仿宋" w:cs="仿宋"/>
          <w:sz w:val="28"/>
          <w:szCs w:val="28"/>
          <w:highlight w:val="none"/>
        </w:rPr>
      </w:pPr>
      <w:r>
        <w:rPr>
          <w:rFonts w:hint="eastAsia" w:ascii="仿宋" w:hAnsi="仿宋" w:eastAsia="仿宋" w:cs="仿宋"/>
          <w:bCs/>
          <w:sz w:val="28"/>
          <w:szCs w:val="28"/>
          <w:highlight w:val="none"/>
        </w:rPr>
        <w:t xml:space="preserve">11.3 在根据上述规定，终止了全部或部分合同后，甲方可以视情另行招标选择外包单位</w:t>
      </w:r>
      <w:r>
        <w:rPr>
          <w:rFonts w:hint="eastAsia" w:ascii="仿宋" w:hAnsi="仿宋" w:eastAsia="仿宋" w:cs="仿宋"/>
          <w:sz w:val="28"/>
          <w:szCs w:val="28"/>
          <w:highlight w:val="none"/>
        </w:rPr>
        <w:t xml:space="preserve">。</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十二、不可抗力事件处理</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12.1在合同有效期内，任何一方因不可抗力事件导致不能履行合同，则合同履行期可延长，其延长期与不可抗力影响期相同。</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12.2不可抗力事件发生后，应立即通知对方，并寄送有关权威机构出具的证明。</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12.3不可抗力事件延续120天以上，双方应通过友好协商，确定是否继续履行合同。</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十三、解决争议的方法</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13.1双方在签订、履行合同中所发生的一切争议，应通过友好协商解决。如协商不成，由甲方住所地人民法院管辖。</w:t>
      </w:r>
      <w:r/>
    </w:p>
    <w:p>
      <w:pPr>
        <w:pStyle w:val="706"/>
        <w:ind w:left="-525" w:right="-525" w:firstLine="562"/>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十四、合同生效及其它</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14.1合同经双方法定代表人或授权委托代表人签字并加盖单位公章后生效。</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14.2本合同未尽事宜，遵照《民法典》、《政府采购法》有关条文执行。</w:t>
      </w:r>
      <w:r/>
    </w:p>
    <w:p>
      <w:pPr>
        <w:pStyle w:val="706"/>
        <w:ind w:left="-525" w:right="-525" w:firstLine="560"/>
        <w:jc w:val="both"/>
        <w:spacing w:before="120" w:beforeAutospacing="0" w:after="12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14.3 本合同一式陆份，具有同等法律效力，甲方、乙方各执叁份。</w:t>
      </w:r>
      <w:r/>
    </w:p>
    <w:p>
      <w:pPr>
        <w:pStyle w:val="706"/>
        <w:ind w:left="33" w:right="-525" w:hanging="75"/>
        <w:jc w:val="both"/>
        <w:spacing w:before="120" w:beforeAutospacing="0" w:after="120" w:afterAutospacing="0"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甲方：                 乙方： </w:t>
      </w:r>
      <w:r/>
    </w:p>
    <w:p>
      <w:pPr>
        <w:pStyle w:val="706"/>
        <w:ind w:left="-525" w:right="-525" w:firstLine="560"/>
        <w:jc w:val="both"/>
        <w:spacing w:before="120" w:beforeAutospacing="0" w:after="120" w:afterAutospacing="0"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                 地址： </w:t>
      </w:r>
      <w:r/>
    </w:p>
    <w:p>
      <w:pPr>
        <w:pStyle w:val="706"/>
        <w:ind w:left="-525" w:right="-525" w:firstLine="560"/>
        <w:jc w:val="both"/>
        <w:spacing w:before="120" w:beforeAutospacing="0" w:after="120" w:afterAutospacing="0"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法定代表人或授权代表：         法定代表人或授权代表：</w:t>
      </w:r>
      <w:r/>
    </w:p>
    <w:p>
      <w:pPr>
        <w:pStyle w:val="706"/>
        <w:ind w:left="-525" w:right="-525" w:firstLine="560"/>
        <w:jc w:val="both"/>
        <w:spacing w:before="120" w:beforeAutospacing="0" w:after="120" w:afterAutospacing="0"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联系电话：           </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t xml:space="preserve">联系电话：   </w:t>
      </w:r>
      <w:r/>
    </w:p>
    <w:p>
      <w:pPr>
        <w:pStyle w:val="706"/>
        <w:ind w:left="-525" w:right="-525" w:firstLine="560"/>
        <w:jc w:val="right"/>
        <w:spacing w:before="120" w:beforeAutospacing="0" w:after="120" w:afterAutospacing="0"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签订日期：   年    月   日 </w:t>
      </w:r>
      <w:r/>
    </w:p>
    <w:p>
      <w:pPr>
        <w:rPr>
          <w:rFonts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706"/>
        <w:jc w:val="center"/>
        <w:spacing w:before="120" w:beforeAutospacing="0" w:after="120" w:afterAutospacing="0" w:line="0" w:lineRule="atLeast"/>
        <w:rPr>
          <w:highlight w:val="none"/>
        </w:rPr>
      </w:pPr>
      <w:r>
        <w:rPr>
          <w:rFonts w:hint="eastAsia" w:ascii="黑体" w:hAnsi="宋体" w:eastAsia="黑体" w:cs="黑体"/>
          <w:sz w:val="44"/>
          <w:szCs w:val="44"/>
          <w:highlight w:val="none"/>
        </w:rPr>
        <w:t xml:space="preserve">第</w:t>
      </w:r>
      <w:bookmarkEnd w:id="178"/>
      <w:r>
        <w:rPr>
          <w:rFonts w:hint="eastAsia" w:ascii="黑体" w:hAnsi="宋体" w:eastAsia="黑体" w:cs="黑体"/>
          <w:sz w:val="44"/>
          <w:szCs w:val="44"/>
          <w:highlight w:val="none"/>
        </w:rPr>
        <w:t xml:space="preserve">四章 采购需求</w:t>
      </w:r>
      <w:bookmarkEnd w:id="179"/>
      <w:r/>
      <w:bookmarkEnd w:id="180"/>
      <w:r/>
      <w:bookmarkEnd w:id="181"/>
      <w:r/>
      <w:bookmarkEnd w:id="182"/>
      <w:r/>
      <w:bookmarkEnd w:id="183"/>
      <w:r/>
      <w:r/>
    </w:p>
    <w:p>
      <w:pPr>
        <w:pStyle w:val="701"/>
        <w:spacing w:line="440" w:lineRule="exact"/>
        <w:rPr>
          <w:rFonts w:ascii="仿宋" w:hAnsi="仿宋" w:eastAsia="仿宋"/>
          <w:b/>
          <w:sz w:val="28"/>
          <w:szCs w:val="28"/>
          <w:highlight w:val="none"/>
        </w:rPr>
      </w:pPr>
      <w:r/>
      <w:bookmarkStart w:id="185" w:name="_Toc498371157"/>
      <w:r/>
      <w:bookmarkStart w:id="186" w:name="_Toc435191605"/>
      <w:r/>
      <w:bookmarkStart w:id="187" w:name="_Toc120614281"/>
      <w:r>
        <w:rPr>
          <w:rFonts w:hint="eastAsia" w:ascii="仿宋" w:hAnsi="仿宋" w:eastAsia="仿宋"/>
          <w:b/>
          <w:sz w:val="28"/>
          <w:szCs w:val="28"/>
          <w:highlight w:val="none"/>
        </w:rPr>
        <w:t xml:space="preserve">一、项目内容</w:t>
      </w:r>
      <w:bookmarkEnd w:id="185"/>
      <w:r/>
      <w:bookmarkEnd w:id="186"/>
      <w:r/>
      <w:r/>
    </w:p>
    <w:p>
      <w:pPr>
        <w:pStyle w:val="701"/>
        <w:ind w:firstLine="560"/>
        <w:spacing w:line="44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1.项目名称：</w:t>
      </w:r>
      <w:r>
        <w:rPr>
          <w:rFonts w:hint="eastAsia" w:ascii="仿宋" w:hAnsi="仿宋" w:eastAsia="仿宋"/>
          <w:bCs/>
          <w:sz w:val="28"/>
          <w:szCs w:val="28"/>
          <w:highlight w:val="none"/>
          <w:lang w:eastAsia="zh-CN"/>
        </w:rPr>
        <w:t xml:space="preserve">盐城市腾飞路初级中学文印外包服务采购项目</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2.服务期：一年。</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3.服务内容：采购人交付的试卷、练习等资料的印刷、打印或复印。</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4.甲方提供的条件：</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4.1文印室一间，电路及网络畅通齐全；</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4.2提供与教育教学工作等相关的文印材料。</w:t>
      </w:r>
      <w:r/>
    </w:p>
    <w:p>
      <w:pPr>
        <w:pStyle w:val="701"/>
        <w:spacing w:line="440" w:lineRule="exact"/>
        <w:rPr>
          <w:rFonts w:ascii="仿宋" w:hAnsi="仿宋" w:eastAsia="仿宋"/>
          <w:b/>
          <w:sz w:val="28"/>
          <w:szCs w:val="28"/>
          <w:highlight w:val="none"/>
        </w:rPr>
      </w:pPr>
      <w:r/>
      <w:bookmarkStart w:id="188" w:name="_Toc435191606"/>
      <w:r/>
      <w:bookmarkStart w:id="189" w:name="_Toc498371158"/>
      <w:r>
        <w:rPr>
          <w:rFonts w:hint="eastAsia" w:ascii="仿宋" w:hAnsi="仿宋" w:eastAsia="仿宋"/>
          <w:b/>
          <w:sz w:val="28"/>
          <w:szCs w:val="28"/>
          <w:highlight w:val="none"/>
        </w:rPr>
        <w:t xml:space="preserve">二、服务要求</w:t>
      </w:r>
      <w:bookmarkEnd w:id="188"/>
      <w:r/>
      <w:bookmarkEnd w:id="189"/>
      <w:r/>
      <w:r/>
    </w:p>
    <w:p>
      <w:pPr>
        <w:pStyle w:val="701"/>
        <w:ind w:firstLine="560"/>
        <w:spacing w:line="440" w:lineRule="exact"/>
        <w:rPr>
          <w:rFonts w:ascii="仿宋" w:hAnsi="仿宋" w:eastAsia="仿宋"/>
          <w:bCs/>
          <w:sz w:val="28"/>
          <w:szCs w:val="28"/>
          <w:highlight w:val="none"/>
        </w:rPr>
      </w:pPr>
      <w:r/>
      <w:bookmarkStart w:id="190" w:name="_Toc498371159"/>
      <w:r/>
      <w:bookmarkStart w:id="191" w:name="_Toc435191607"/>
      <w:r>
        <w:rPr>
          <w:rFonts w:hint="eastAsia" w:ascii="仿宋" w:hAnsi="仿宋" w:eastAsia="仿宋"/>
          <w:bCs/>
          <w:sz w:val="28"/>
          <w:szCs w:val="28"/>
          <w:highlight w:val="none"/>
        </w:rPr>
        <w:t xml:space="preserve">供应商须有专门的文印人员，须满足服务要求，不得耽误印刷服务工作；在人员不足的情况下须额外补充人员完成服务工作。文印人员（作息时间按采购人的作息时间执行）驻甲方提供的文印室办公。</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提供一体化的印刷机、复印机、电脑、打印机等设备、印刷所需的耗材（油墨、纸张等）并保证设备运行正常，不耽误印刷工作进行。至少配备一体化印刷机、复印打印机及电脑、扫描仪等设备；</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纸张克数为</w:t>
      </w:r>
      <w:r>
        <w:rPr>
          <w:rFonts w:hint="eastAsia" w:ascii="仿宋" w:hAnsi="仿宋" w:eastAsia="仿宋"/>
          <w:bCs/>
          <w:sz w:val="28"/>
          <w:szCs w:val="28"/>
          <w:highlight w:val="none"/>
          <w:lang w:val="en-US" w:eastAsia="zh-CN"/>
        </w:rPr>
        <w:t xml:space="preserve">7</w:t>
      </w:r>
      <w:r>
        <w:rPr>
          <w:rFonts w:ascii="仿宋" w:hAnsi="仿宋" w:eastAsia="仿宋"/>
          <w:bCs/>
          <w:sz w:val="28"/>
          <w:szCs w:val="28"/>
          <w:highlight w:val="none"/>
        </w:rPr>
        <w:t xml:space="preserve">0g或以上全木浆非再生双胶纸</w:t>
      </w:r>
      <w:r>
        <w:rPr>
          <w:rFonts w:hint="eastAsia" w:ascii="仿宋" w:hAnsi="仿宋" w:eastAsia="仿宋"/>
          <w:bCs/>
          <w:sz w:val="28"/>
          <w:szCs w:val="28"/>
          <w:highlight w:val="none"/>
        </w:rPr>
        <w:t xml:space="preserve">（采购人有明确要求除外），且符合相关质量标准。</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必须保证印刷质量和交货时间，不得擅自改变印刷品要求、偷工减料。供应商应对上述服务进行承诺，认真履行，如经查严重违反服务承诺的将解除合同。</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供应商应根据印刷内容保质保量完成，因供应商自身原因造成的错版、错印、严重色差、纸张瑕疵等印刷质量问题，由供应商免费重印。若由供应商原因引起采购人纠纷、造成损失，由供应商负责赔偿。</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注：一体印刷机的技术要求：</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产品类型：一体化速印机；印刷幅面 B4或以上；</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颜色类型： /；</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涵盖功能 ：书本式数码印刷功能；</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速度：≥155页/分钟（5级可変）；</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扫描分辨率：（主扫描方向×副扫描方向） 扫描：≥600dpi×600dpi</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纸张尺寸：最大：320mm x 540 mm 最小：100 mm x 148mm；</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印刷倍率：等倍100%、缩小86%、81%、70%、61%；放大163％、141%、122%、115%，缩微印刷99%～90%、无级缩放：500%～50%（以1%为单位）；</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独立变焦：500%～50%（以1%为单位）；</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打印分辨率： 制版：≥300dpi×600dpi（版纸穿孔密度≥ 600dpi×600dpi）；</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其他要求：标配含配套万向轮工作底台。</w:t>
      </w:r>
      <w:r/>
    </w:p>
    <w:p>
      <w:pPr>
        <w:pStyle w:val="701"/>
        <w:spacing w:line="440" w:lineRule="exact"/>
        <w:rPr>
          <w:rFonts w:ascii="仿宋" w:hAnsi="仿宋" w:eastAsia="仿宋"/>
          <w:b/>
          <w:sz w:val="28"/>
          <w:szCs w:val="28"/>
          <w:highlight w:val="none"/>
        </w:rPr>
      </w:pPr>
      <w:r>
        <w:rPr>
          <w:rFonts w:hint="eastAsia" w:ascii="仿宋" w:hAnsi="仿宋" w:eastAsia="仿宋"/>
          <w:b/>
          <w:sz w:val="28"/>
          <w:szCs w:val="28"/>
          <w:highlight w:val="none"/>
        </w:rPr>
        <w:t xml:space="preserve">三、质量保证</w:t>
      </w:r>
      <w:bookmarkEnd w:id="190"/>
      <w:r/>
      <w:r/>
    </w:p>
    <w:p>
      <w:pPr>
        <w:pStyle w:val="701"/>
        <w:ind w:firstLine="560"/>
        <w:spacing w:line="440" w:lineRule="exact"/>
        <w:rPr>
          <w:rFonts w:ascii="仿宋" w:hAnsi="仿宋" w:eastAsia="仿宋"/>
          <w:bCs/>
          <w:sz w:val="28"/>
          <w:szCs w:val="28"/>
          <w:highlight w:val="none"/>
        </w:rPr>
      </w:pPr>
      <w:r/>
      <w:bookmarkStart w:id="192" w:name="_Toc498371160"/>
      <w:r>
        <w:rPr>
          <w:rFonts w:hint="eastAsia" w:ascii="仿宋" w:hAnsi="仿宋" w:eastAsia="仿宋"/>
          <w:bCs/>
          <w:sz w:val="28"/>
          <w:szCs w:val="28"/>
          <w:highlight w:val="none"/>
        </w:rPr>
        <w:t xml:space="preserve">1.供应商提供印刷服务时，纸张须选用高质量的木浆纸、制版、印刷须符合采购人要求。</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2.供应商对承印的物品，必须严格按投标时所承诺的内容进行服务，纸张品质应符合采购人要求；所有印刷成品要字迹清楚、墨迹饱满、颜色无偏差、规格尺寸准确。</w:t>
      </w:r>
      <w:r/>
    </w:p>
    <w:p>
      <w:pPr>
        <w:pStyle w:val="701"/>
        <w:spacing w:line="440" w:lineRule="exact"/>
        <w:rPr>
          <w:rFonts w:ascii="仿宋" w:hAnsi="仿宋" w:eastAsia="仿宋"/>
          <w:b/>
          <w:sz w:val="28"/>
          <w:szCs w:val="28"/>
          <w:highlight w:val="none"/>
        </w:rPr>
      </w:pPr>
      <w:r>
        <w:rPr>
          <w:rFonts w:hint="eastAsia" w:ascii="仿宋" w:hAnsi="仿宋" w:eastAsia="仿宋"/>
          <w:b/>
          <w:sz w:val="28"/>
          <w:szCs w:val="28"/>
          <w:highlight w:val="none"/>
        </w:rPr>
        <w:t xml:space="preserve">四、其他</w:t>
      </w:r>
      <w:bookmarkEnd w:id="191"/>
      <w:r/>
      <w:bookmarkEnd w:id="192"/>
      <w:r>
        <w:rPr>
          <w:rFonts w:hint="eastAsia" w:ascii="仿宋" w:hAnsi="仿宋" w:eastAsia="仿宋"/>
          <w:b/>
          <w:sz w:val="28"/>
          <w:szCs w:val="28"/>
          <w:highlight w:val="none"/>
        </w:rPr>
        <w:t xml:space="preserve">补充内容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1.学校的印刷材料一律要凭印刷申请单方可印刷；</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2.供应商须根据采购人要求在规定的时间内保质保量完成印刷任务。</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3.采购人有大量资料需印刷须提前通知乙方。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4.供应商须有专职的文印人员驻采购人提供的文印室办公，其作息时间按采购人的要求的作息时间执行。</w:t>
      </w:r>
      <w:r/>
    </w:p>
    <w:p>
      <w:pPr>
        <w:pStyle w:val="695"/>
        <w:spacing w:line="440" w:lineRule="exact"/>
        <w:rPr>
          <w:rFonts w:ascii="仿宋" w:hAnsi="仿宋" w:eastAsia="仿宋" w:cs="Courier New"/>
          <w:b/>
          <w:highlight w:val="none"/>
        </w:rPr>
      </w:pPr>
      <w:r>
        <w:rPr>
          <w:rFonts w:hint="eastAsia" w:ascii="仿宋" w:hAnsi="仿宋" w:eastAsia="仿宋" w:cs="Courier New"/>
          <w:b/>
          <w:highlight w:val="none"/>
        </w:rPr>
        <w:t xml:space="preserve">五、项目清单</w:t>
      </w:r>
      <w:r/>
    </w:p>
    <w:tbl>
      <w:tblPr>
        <w:tblStyle w:val="693"/>
        <w:tblpPr w:horzAnchor="page" w:tblpX="1501" w:vertAnchor="text" w:tblpY="408" w:leftFromText="180" w:topFromText="0" w:rightFromText="180" w:bottomFromText="0"/>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972"/>
        <w:gridCol w:w="854"/>
        <w:gridCol w:w="1600"/>
        <w:gridCol w:w="1784"/>
        <w:gridCol w:w="1683"/>
        <w:gridCol w:w="1543"/>
      </w:tblGrid>
      <w:tr>
        <w:trPr>
          <w:trHeight w:val="405"/>
        </w:trPr>
        <w:tc>
          <w:tcPr>
            <w:tcW w:w="685"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W w:w="972"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项目</w:t>
            </w:r>
            <w:r/>
          </w:p>
        </w:tc>
        <w:tc>
          <w:tcPr>
            <w:gridSpan w:val="2"/>
            <w:tcW w:w="2454"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规  格</w:t>
            </w:r>
            <w:r/>
          </w:p>
        </w:tc>
        <w:tc>
          <w:tcPr>
            <w:tcW w:w="1784"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招标控制单价</w:t>
            </w:r>
            <w:r/>
          </w:p>
        </w:tc>
        <w:tc>
          <w:tcPr>
            <w:tcW w:w="1683" w:type="dxa"/>
            <w:vAlign w:val="center"/>
            <w:textDirection w:val="lrTb"/>
            <w:noWrap/>
          </w:tcPr>
          <w:p>
            <w:pPr>
              <w:jc w:val="center"/>
              <w:spacing w:line="520" w:lineRule="exact"/>
              <w:widowControl/>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bidi="ar"/>
              </w:rPr>
              <w:t xml:space="preserve">优惠率（%）</w:t>
            </w:r>
            <w:r/>
          </w:p>
        </w:tc>
        <w:tc>
          <w:tcPr>
            <w:tcW w:w="1543"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备注</w:t>
            </w:r>
            <w:r/>
          </w:p>
        </w:tc>
      </w:tr>
      <w:tr>
        <w:trPr>
          <w:trHeight w:val="319"/>
        </w:trPr>
        <w:tc>
          <w:tcPr>
            <w:tcW w:w="685" w:type="dxa"/>
            <w:vAlign w:val="center"/>
            <w:vMerge w:val="restart"/>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W w:w="972"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复印</w:t>
            </w:r>
            <w:r/>
          </w:p>
        </w:tc>
        <w:tc>
          <w:tcPr>
            <w:tcW w:w="854"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A3/8K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0.275</w:t>
            </w:r>
            <w:r/>
          </w:p>
        </w:tc>
        <w:tc>
          <w:tcPr>
            <w:tcW w:w="1683" w:type="dxa"/>
            <w:vAlign w:val="center"/>
            <w:vMerge w:val="restart"/>
            <w:textDirection w:val="lrTb"/>
            <w:noWrap/>
          </w:tcPr>
          <w:p>
            <w:pPr>
              <w:jc w:val="center"/>
              <w:spacing w:line="5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w:t>
            </w:r>
            <w:r/>
          </w:p>
        </w:tc>
        <w:tc>
          <w:tcPr>
            <w:tcW w:w="1543" w:type="dxa"/>
            <w:vAlign w:val="center"/>
            <w:vMerge w:val="restart"/>
            <w:textDirection w:val="lrTb"/>
            <w:noWrap/>
          </w:tcPr>
          <w:p>
            <w:pPr>
              <w:pStyle w:val="708"/>
              <w:ind w:firstLine="0"/>
              <w:spacing w:line="520" w:lineRule="exact"/>
              <w:rPr>
                <w:rFonts w:ascii="仿宋" w:hAnsi="仿宋" w:eastAsia="仿宋" w:cs="仿宋"/>
                <w:b/>
                <w:bCs/>
                <w:szCs w:val="21"/>
                <w:highlight w:val="none"/>
                <w:lang w:bidi="ar"/>
              </w:rPr>
            </w:pPr>
            <w:r>
              <w:rPr>
                <w:rFonts w:hint="eastAsia" w:ascii="仿宋" w:hAnsi="仿宋" w:eastAsia="仿宋" w:cs="仿宋"/>
                <w:b/>
                <w:bCs/>
                <w:szCs w:val="21"/>
                <w:highlight w:val="none"/>
                <w:lang w:bidi="ar"/>
              </w:rPr>
              <w:t xml:space="preserve">1、印刷必须使用</w:t>
            </w:r>
            <w:r>
              <w:rPr>
                <w:rFonts w:hint="eastAsia" w:ascii="仿宋" w:hAnsi="仿宋" w:eastAsia="仿宋" w:cs="仿宋"/>
                <w:b/>
                <w:bCs/>
                <w:szCs w:val="21"/>
                <w:highlight w:val="none"/>
                <w:lang w:eastAsia="zh-CN" w:bidi="ar"/>
              </w:rPr>
              <w:t xml:space="preserve">70 克</w:t>
            </w:r>
            <w:r>
              <w:rPr>
                <w:rFonts w:hint="eastAsia" w:ascii="仿宋" w:hAnsi="仿宋" w:eastAsia="仿宋" w:cs="仿宋"/>
                <w:b/>
                <w:bCs/>
                <w:szCs w:val="21"/>
                <w:highlight w:val="none"/>
                <w:lang w:bidi="ar"/>
              </w:rPr>
              <w:t xml:space="preserve">及以上原浆纸。</w:t>
            </w:r>
            <w:r/>
          </w:p>
          <w:p>
            <w:pPr>
              <w:pStyle w:val="708"/>
              <w:ind w:firstLine="0"/>
              <w:spacing w:line="520" w:lineRule="exact"/>
              <w:rPr>
                <w:rFonts w:ascii="仿宋" w:hAnsi="仿宋" w:eastAsia="仿宋" w:cs="仿宋"/>
                <w:highlight w:val="none"/>
              </w:rPr>
            </w:pPr>
            <w:r>
              <w:rPr>
                <w:rFonts w:hint="eastAsia" w:ascii="仿宋" w:hAnsi="仿宋" w:eastAsia="仿宋" w:cs="仿宋"/>
                <w:b/>
                <w:bCs/>
                <w:szCs w:val="21"/>
                <w:highlight w:val="none"/>
                <w:lang w:bidi="ar"/>
              </w:rPr>
              <w:t xml:space="preserve">2、文印张数</w:t>
            </w:r>
            <w:r>
              <w:rPr>
                <w:rFonts w:hint="eastAsia" w:ascii="仿宋" w:hAnsi="仿宋" w:eastAsia="仿宋" w:cs="仿宋"/>
                <w:b/>
                <w:bCs/>
                <w:szCs w:val="21"/>
                <w:highlight w:val="none"/>
                <w:lang w:val="en-US" w:eastAsia="zh-CN" w:bidi="ar"/>
              </w:rPr>
              <w:t xml:space="preserve">3</w:t>
            </w:r>
            <w:r>
              <w:rPr>
                <w:rFonts w:hint="eastAsia" w:ascii="仿宋" w:hAnsi="仿宋" w:eastAsia="仿宋" w:cs="仿宋"/>
                <w:b/>
                <w:bCs/>
                <w:szCs w:val="21"/>
                <w:highlight w:val="none"/>
                <w:lang w:bidi="ar"/>
              </w:rPr>
              <w:t xml:space="preserve">0张以上的复印必须油印,油印30张以上不满100张的以10</w:t>
            </w:r>
            <w:r>
              <w:rPr>
                <w:rFonts w:hint="eastAsia" w:ascii="仿宋" w:hAnsi="仿宋" w:eastAsia="仿宋" w:cs="仿宋"/>
                <w:b/>
                <w:bCs/>
                <w:szCs w:val="21"/>
                <w:highlight w:val="none"/>
                <w:lang w:val="en-US" w:eastAsia="zh-CN" w:bidi="ar"/>
              </w:rPr>
              <w:t xml:space="preserve">0</w:t>
            </w:r>
            <w:r>
              <w:rPr>
                <w:rFonts w:hint="eastAsia" w:ascii="仿宋" w:hAnsi="仿宋" w:eastAsia="仿宋" w:cs="仿宋"/>
                <w:b/>
                <w:bCs/>
                <w:szCs w:val="21"/>
                <w:highlight w:val="none"/>
                <w:lang w:bidi="ar"/>
              </w:rPr>
              <w:t xml:space="preserve">张计。文印张数未超过 100 张的，补制版费  8K:2元每版，16K:1元每版。</w:t>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0.330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default" w:ascii="仿宋" w:hAnsi="仿宋" w:eastAsia="仿宋" w:cs="仿宋"/>
                <w:szCs w:val="21"/>
                <w:highlight w:val="none"/>
                <w:lang w:val="en-US" w:eastAsia="zh-CN" w:bidi="ar"/>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0.550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default" w:ascii="仿宋" w:hAnsi="仿宋" w:eastAsia="仿宋" w:cs="仿宋"/>
                <w:szCs w:val="21"/>
                <w:highlight w:val="none"/>
                <w:lang w:val="en-US" w:eastAsia="zh-CN" w:bidi="ar"/>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0.660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A4</w:t>
            </w:r>
            <w:r>
              <w:rPr>
                <w:rFonts w:hint="eastAsia" w:ascii="仿宋" w:hAnsi="仿宋" w:eastAsia="仿宋" w:cs="仿宋"/>
                <w:szCs w:val="21"/>
                <w:highlight w:val="none"/>
                <w:lang w:val="en-US" w:eastAsia="zh-CN" w:bidi="ar"/>
              </w:rPr>
              <w:t xml:space="preserve">/</w:t>
            </w:r>
            <w:r>
              <w:rPr>
                <w:rFonts w:hint="eastAsia" w:ascii="仿宋" w:hAnsi="仿宋" w:eastAsia="仿宋" w:cs="仿宋"/>
                <w:szCs w:val="21"/>
                <w:highlight w:val="none"/>
                <w:lang w:bidi="ar"/>
              </w:rPr>
              <w:t xml:space="preserve">16K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0.165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0.165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widowControl/>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0.385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29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0.440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restart"/>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W w:w="972"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油印</w:t>
            </w:r>
            <w:r/>
          </w:p>
        </w:tc>
        <w:tc>
          <w:tcPr>
            <w:tcW w:w="854" w:type="dxa"/>
            <w:vAlign w:val="center"/>
            <w:vMerge w:val="restart"/>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8K</w:t>
            </w:r>
            <w:r/>
          </w:p>
          <w:p>
            <w:pPr>
              <w:jc w:val="center"/>
              <w:spacing w:line="520" w:lineRule="exact"/>
              <w:widowControl/>
              <w:rPr>
                <w:rFonts w:hint="default" w:ascii="仿宋" w:hAnsi="仿宋" w:eastAsia="仿宋" w:cs="仿宋"/>
                <w:szCs w:val="21"/>
                <w:highlight w:val="none"/>
                <w:lang w:val="en-US" w:eastAsia="zh-CN"/>
              </w:rPr>
            </w:pPr>
            <w:r>
              <w:rPr>
                <w:rFonts w:hint="default" w:ascii="仿宋" w:hAnsi="仿宋" w:eastAsia="仿宋" w:cs="仿宋"/>
                <w:szCs w:val="21"/>
                <w:highlight w:val="none"/>
                <w:lang w:val="en-US" w:eastAsia="zh-CN"/>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0.033</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eastAsia" w:ascii="仿宋" w:hAnsi="仿宋" w:eastAsia="仿宋" w:cs="仿宋"/>
                <w:szCs w:val="21"/>
                <w:highlight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0.044</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widowControl/>
              <w:rPr>
                <w:rFonts w:hint="default" w:ascii="仿宋" w:hAnsi="仿宋" w:eastAsia="仿宋" w:cs="仿宋"/>
                <w:szCs w:val="21"/>
                <w:highlight w:val="none"/>
                <w:lang w:val="en-US" w:eastAsia="zh-CN"/>
              </w:rPr>
            </w:pPr>
            <w:r>
              <w:rPr>
                <w:rFonts w:hint="default" w:ascii="仿宋" w:hAnsi="仿宋" w:eastAsia="仿宋" w:cs="仿宋"/>
                <w:szCs w:val="21"/>
                <w:highlight w:val="none"/>
                <w:lang w:val="en-US" w:eastAsia="zh-CN"/>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0.110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0.198</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restart"/>
            <w:textDirection w:val="lrTb"/>
            <w:noWrap/>
          </w:tcPr>
          <w:p>
            <w:pPr>
              <w:jc w:val="center"/>
              <w:spacing w:line="520" w:lineRule="exact"/>
              <w:rPr>
                <w:rFonts w:ascii="仿宋" w:hAnsi="仿宋" w:eastAsia="仿宋" w:cs="仿宋"/>
                <w:szCs w:val="21"/>
                <w:highlight w:val="none"/>
              </w:rPr>
            </w:pPr>
            <w:r>
              <w:rPr>
                <w:rFonts w:hint="eastAsia" w:ascii="仿宋" w:hAnsi="仿宋" w:eastAsia="仿宋" w:cs="仿宋"/>
                <w:szCs w:val="21"/>
                <w:highlight w:val="none"/>
              </w:rPr>
              <w:t xml:space="preserve">16K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0.017</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0.022</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0.110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pStyle w:val="708"/>
              <w:ind w:firstLine="0"/>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0.198</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textDirection w:val="lrTb"/>
            <w:noWrap/>
          </w:tcPr>
          <w:p>
            <w:pPr>
              <w:pStyle w:val="708"/>
              <w:ind w:firstLine="211"/>
              <w:spacing w:line="520" w:lineRule="exact"/>
              <w:rPr>
                <w:rFonts w:ascii="仿宋" w:hAnsi="仿宋" w:eastAsia="仿宋" w:cs="仿宋"/>
                <w:b/>
                <w:bCs/>
                <w:szCs w:val="21"/>
                <w:highlight w:val="none"/>
              </w:rPr>
            </w:pPr>
            <w:r>
              <w:rPr>
                <w:rFonts w:hint="eastAsia" w:ascii="仿宋" w:hAnsi="仿宋" w:eastAsia="仿宋" w:cs="仿宋"/>
                <w:b/>
                <w:bCs/>
                <w:szCs w:val="21"/>
                <w:highlight w:val="none"/>
              </w:rPr>
              <w:t xml:space="preserve">3</w:t>
            </w:r>
            <w:r/>
          </w:p>
        </w:tc>
        <w:tc>
          <w:tcPr>
            <w:tcW w:w="972" w:type="dxa"/>
            <w:vAlign w:val="center"/>
            <w:textDirection w:val="lrTb"/>
            <w:noWrap/>
          </w:tcPr>
          <w:p>
            <w:pPr>
              <w:jc w:val="center"/>
              <w:spacing w:line="520" w:lineRule="exact"/>
              <w:rPr>
                <w:rFonts w:ascii="仿宋" w:hAnsi="仿宋" w:eastAsia="仿宋" w:cs="仿宋"/>
                <w:szCs w:val="21"/>
                <w:highlight w:val="none"/>
              </w:rPr>
            </w:pPr>
            <w:r>
              <w:rPr>
                <w:rFonts w:hint="eastAsia" w:ascii="仿宋" w:hAnsi="仿宋" w:eastAsia="仿宋" w:cs="仿宋"/>
                <w:szCs w:val="21"/>
                <w:highlight w:val="none"/>
              </w:rPr>
              <w:t xml:space="preserve">胶装</w:t>
            </w:r>
            <w:r/>
          </w:p>
        </w:tc>
        <w:tc>
          <w:tcPr>
            <w:gridSpan w:val="3"/>
            <w:tcW w:w="4238" w:type="dxa"/>
            <w:vAlign w:val="center"/>
            <w:textDirection w:val="lrTb"/>
            <w:noWrap/>
          </w:tcPr>
          <w:p>
            <w:pPr>
              <w:jc w:val="center"/>
              <w:spacing w:line="520" w:lineRule="exact"/>
              <w:widowControl/>
              <w:rPr>
                <w:rFonts w:ascii="仿宋" w:hAnsi="仿宋" w:eastAsia="仿宋" w:cs="仿宋"/>
                <w:sz w:val="22"/>
                <w:szCs w:val="22"/>
                <w:highlight w:val="none"/>
                <w:lang w:bidi="ar"/>
              </w:rPr>
            </w:pPr>
            <w:r>
              <w:rPr>
                <w:rFonts w:hint="eastAsia" w:ascii="仿宋" w:hAnsi="仿宋" w:eastAsia="仿宋" w:cs="仿宋"/>
                <w:szCs w:val="21"/>
                <w:highlight w:val="none"/>
                <w:lang w:bidi="ar"/>
              </w:rPr>
              <w:t xml:space="preserve">另;胶装费每本</w:t>
            </w:r>
            <w:r>
              <w:rPr>
                <w:rFonts w:hint="eastAsia" w:ascii="仿宋" w:hAnsi="仿宋" w:eastAsia="仿宋" w:cs="仿宋"/>
                <w:szCs w:val="21"/>
                <w:highlight w:val="none"/>
                <w:lang w:val="en-US" w:eastAsia="zh-CN" w:bidi="ar"/>
              </w:rPr>
              <w:t xml:space="preserve">11</w:t>
            </w:r>
            <w:r>
              <w:rPr>
                <w:rFonts w:hint="eastAsia" w:ascii="仿宋" w:hAnsi="仿宋" w:eastAsia="仿宋" w:cs="仿宋"/>
                <w:szCs w:val="21"/>
                <w:highlight w:val="none"/>
                <w:lang w:bidi="ar"/>
              </w:rPr>
              <w:t xml:space="preserve">元</w:t>
            </w:r>
            <w:r/>
          </w:p>
        </w:tc>
        <w:tc>
          <w:tcPr>
            <w:gridSpan w:val="2"/>
            <w:tcW w:w="3226" w:type="dxa"/>
            <w:vAlign w:val="center"/>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bl>
    <w:p>
      <w:pPr>
        <w:pStyle w:val="698"/>
        <w:rPr>
          <w:rFonts w:ascii="仿宋" w:hAnsi="仿宋" w:eastAsia="仿宋" w:cs="Courier New"/>
          <w:b/>
          <w:color w:val="auto"/>
          <w:sz w:val="24"/>
          <w:szCs w:val="24"/>
          <w:highlight w:val="none"/>
        </w:rPr>
      </w:pPr>
      <w:r>
        <w:rPr>
          <w:rFonts w:ascii="仿宋" w:hAnsi="仿宋" w:eastAsia="仿宋" w:cs="Courier New"/>
          <w:b/>
          <w:color w:val="auto"/>
          <w:sz w:val="24"/>
          <w:szCs w:val="24"/>
          <w:highlight w:val="none"/>
        </w:rPr>
      </w:r>
      <w:r/>
    </w:p>
    <w:p>
      <w:pPr>
        <w:ind w:right="-525"/>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六、项目管理服务方案</w:t>
      </w:r>
      <w:r/>
    </w:p>
    <w:p>
      <w:pPr>
        <w:ind w:right="-525"/>
        <w:spacing w:line="440" w:lineRule="exact"/>
        <w:rPr>
          <w:rFonts w:ascii="仿宋" w:hAnsi="仿宋" w:eastAsia="仿宋" w:cs="Courier New"/>
          <w:bCs/>
          <w:sz w:val="28"/>
          <w:szCs w:val="28"/>
          <w:highlight w:val="none"/>
        </w:rPr>
      </w:pPr>
      <w:r>
        <w:rPr>
          <w:rFonts w:hint="eastAsia" w:ascii="仿宋" w:hAnsi="仿宋" w:eastAsia="仿宋" w:cs="Courier New"/>
          <w:bCs/>
          <w:sz w:val="28"/>
          <w:szCs w:val="28"/>
          <w:highlight w:val="none"/>
        </w:rPr>
        <w:t xml:space="preserve">投标人应根据采购需求和本项目实际，制订相应的服务方案包括但不限于以下内容：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1.项目整体实施方案：</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应根据采购需求和本项目实际，提供项目整体实施方案，要求方案细致完整、针对性强、措施有力，方案的贯彻应能满足本项目各项服务要求。至少包含（1）文印服务管理的目标（2）成本管控（3）设备与耗材管理（4）人员配置与培训(5)质量监控与反馈改进等5个方面的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2.服务标准及工作流程：</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应根据采购需求和本项目实际，提供服务标准及工作流程，要求服务标准及工作流程满足本项目各项服务要求。至少包含（1）文印服务质量要求，交付时间等基础服务标准（2）人员的服务标准（3）常规文印流程（4）专项文印流程(5)应急文印流程（6）问题处理流程等6个方面的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3.团队管理和服务人员培训：</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应根据采购需求和本项目实际，提供团队管理和服务人员培训计划，要求团队管理和服务人员满足本项目各项服务要求。至少包含（1）考勤与值班制度（2）岗位职责制度（3）保密与安全制度（4）服务人员培训方案4个方面的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4.突发及应急方案：</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应根据采购需求和本项目实际，提供突发及应急方案，要求突发及应急方案满足本项目突发、应急事件处理的要求。至少包含（1）文印服务过程中发生的各类突发情况的处理方案，包括设备故障、耗材短缺、应急订单、安全事故、系统瘫痪等（2）常见突发情况应急处置流程等2个方面的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5.与各方的交接、协调沟通方案：</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应根据采购需求和本项目实际，提供与各方的交接、协调沟通方案，要求与各方的交接、协调沟通方案满足本项目各项服务要求。至少包含（1）与校内各部门的交接协调沟通（2）沟通保障与优化机制等2个方面的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6.印刷内容录入准确率质量保证措施及有相关考核标准：</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应根据采购需求和本项目实际，提供印刷内容录入准确率质量保证措施及有相关考核标准，要求印刷内容录入准确率质量保证措施及有相关考核标准满足本项目各项服务要求。至少包含（1）文印需求明确与文件核验（2）人员与工具配置（3）关键环节重点把控（4）分级审核机制（5）考核指标的制定等5个方面的内容</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7.业绩</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投标人需要具备丰富的文印服务相关承接经验，确保本项目的顺利实施，投标人2022年1月1日（以合同签订时间为准）以来具有类似业绩的优先。</w:t>
      </w:r>
      <w:r/>
    </w:p>
    <w:p>
      <w:pPr>
        <w:pStyle w:val="701"/>
        <w:ind w:firstLine="560"/>
        <w:spacing w:line="440" w:lineRule="exact"/>
        <w:rPr>
          <w:rFonts w:ascii="仿宋" w:hAnsi="仿宋" w:eastAsia="仿宋"/>
          <w:bCs/>
          <w:sz w:val="28"/>
          <w:szCs w:val="28"/>
          <w:highlight w:val="none"/>
        </w:rPr>
      </w:pPr>
      <w:r>
        <w:rPr>
          <w:rFonts w:hint="eastAsia" w:ascii="仿宋" w:hAnsi="仿宋" w:eastAsia="仿宋"/>
          <w:bCs/>
          <w:sz w:val="28"/>
          <w:szCs w:val="28"/>
          <w:highlight w:val="none"/>
        </w:rPr>
        <w:t xml:space="preserve">8.体系认证</w:t>
      </w:r>
      <w:r/>
    </w:p>
    <w:p>
      <w:pPr>
        <w:pStyle w:val="701"/>
        <w:ind w:firstLine="560"/>
        <w:spacing w:line="440" w:lineRule="exact"/>
        <w:rPr>
          <w:rFonts w:ascii="仿宋" w:hAnsi="仿宋" w:eastAsia="仿宋"/>
          <w:sz w:val="28"/>
          <w:szCs w:val="28"/>
          <w:highlight w:val="none"/>
        </w:rPr>
      </w:pPr>
      <w:r>
        <w:rPr>
          <w:rFonts w:hint="eastAsia" w:ascii="仿宋" w:hAnsi="仿宋" w:eastAsia="仿宋"/>
          <w:bCs/>
          <w:sz w:val="28"/>
          <w:szCs w:val="28"/>
          <w:highlight w:val="none"/>
        </w:rPr>
        <w:t xml:space="preserve">投标人需具备各种良好的管理体系，规范日常管理与服务流程，确保文印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p>
    <w:p>
      <w:pPr>
        <w:ind w:right="-525"/>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七、采购标的对应的中小企业划分标准所属行业一览表</w:t>
      </w:r>
      <w:r/>
    </w:p>
    <w:tbl>
      <w:tblPr>
        <w:tblStyle w:val="693"/>
        <w:tblW w:w="91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46"/>
        <w:gridCol w:w="4002"/>
        <w:gridCol w:w="3985"/>
      </w:tblGrid>
      <w:tr>
        <w:trPr>
          <w:jc w:val="center"/>
          <w:tblCellSpacing w:w="0" w:type="dxa"/>
          <w:trHeight w:val="792"/>
        </w:trPr>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06"/>
              <w:jc w:val="center"/>
              <w:spacing w:beforeAutospacing="0" w:afterAutospacing="0" w:line="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706"/>
              <w:ind w:firstLine="240"/>
              <w:jc w:val="center"/>
              <w:spacing w:beforeAutospacing="0" w:afterAutospacing="0" w:line="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pStyle w:val="706"/>
              <w:ind w:firstLine="240"/>
              <w:jc w:val="center"/>
              <w:spacing w:beforeAutospacing="0" w:afterAutospacing="0" w:line="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对应中小企业划分标准所属行业</w:t>
            </w:r>
            <w:r/>
          </w:p>
        </w:tc>
      </w:tr>
      <w:tr>
        <w:trPr>
          <w:jc w:val="center"/>
          <w:tblCellSpacing w:w="0" w:type="dxa"/>
          <w:trHeight w:val="320"/>
        </w:trPr>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06"/>
              <w:jc w:val="center"/>
              <w:spacing w:beforeAutospacing="0" w:afterAutospacing="0" w:line="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706"/>
              <w:ind w:firstLine="240"/>
              <w:jc w:val="center"/>
              <w:spacing w:beforeAutospacing="0" w:afterAutospacing="0" w:line="0" w:lineRule="atLeas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盐城市腾飞路初级中学文印外包服务采购项目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pStyle w:val="706"/>
              <w:ind w:firstLine="240"/>
              <w:jc w:val="center"/>
              <w:spacing w:beforeAutospacing="0" w:afterAutospacing="0" w:line="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其他未列明行业</w:t>
            </w:r>
            <w:r/>
          </w:p>
        </w:tc>
      </w:tr>
    </w:tbl>
    <w:p>
      <w:pPr>
        <w:pStyle w:val="706"/>
        <w:jc w:val="center"/>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706"/>
        <w:jc w:val="center"/>
        <w:spacing w:beforeAutospacing="0" w:afterAutospacing="0"/>
        <w:rPr>
          <w:highlight w:val="none"/>
        </w:rPr>
      </w:pPr>
      <w:r>
        <w:rPr>
          <w:rFonts w:hint="eastAsia" w:ascii="黑体" w:hAnsi="宋体" w:eastAsia="黑体" w:cs="黑体"/>
          <w:sz w:val="44"/>
          <w:szCs w:val="44"/>
          <w:highlight w:val="none"/>
        </w:rPr>
        <w:t xml:space="preserve">第五章  </w:t>
      </w:r>
      <w:r>
        <w:rPr>
          <w:rFonts w:hint="eastAsia" w:ascii="黑体" w:hAnsi="宋体" w:eastAsia="黑体" w:cs="黑体"/>
          <w:b/>
          <w:sz w:val="44"/>
          <w:szCs w:val="44"/>
          <w:highlight w:val="none"/>
        </w:rPr>
        <w:t xml:space="preserve">评标方法与评标标准</w:t>
      </w:r>
      <w:r/>
    </w:p>
    <w:p>
      <w:pPr>
        <w:pStyle w:val="706"/>
        <w:jc w:val="both"/>
        <w:spacing w:beforeAutospacing="0" w:afterAutospacing="0"/>
        <w:rPr>
          <w:highlight w:val="none"/>
        </w:rPr>
      </w:pPr>
      <w:r>
        <w:rPr>
          <w:highlight w:val="none"/>
        </w:rPr>
        <w:t xml:space="preserve"> </w:t>
      </w:r>
      <w:r/>
    </w:p>
    <w:p>
      <w:pPr>
        <w:pStyle w:val="706"/>
        <w:spacing w:before="120" w:beforeAutospacing="0" w:after="120" w:afterAutospacing="0" w:line="0" w:lineRule="atLeast"/>
        <w:rPr>
          <w:rFonts w:ascii="仿宋" w:hAnsi="仿宋" w:eastAsia="仿宋" w:cs="仿宋"/>
          <w:b/>
          <w:sz w:val="28"/>
          <w:szCs w:val="28"/>
          <w:highlight w:val="none"/>
        </w:rPr>
      </w:pPr>
      <w:r>
        <w:rPr>
          <w:rFonts w:hint="eastAsia" w:ascii="仿宋" w:hAnsi="仿宋" w:eastAsia="仿宋" w:cs="仿宋"/>
          <w:b/>
          <w:sz w:val="28"/>
          <w:szCs w:val="28"/>
          <w:highlight w:val="none"/>
        </w:rPr>
        <w:t xml:space="preserve">一、定标原则</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06"/>
        <w:ind w:firstLine="562"/>
        <w:spacing w:beforeAutospacing="0" w:afterAutospacing="0" w:line="360" w:lineRule="auto"/>
        <w:rPr>
          <w:rFonts w:ascii="仿宋" w:hAnsi="仿宋" w:eastAsia="仿宋" w:cs="仿宋"/>
          <w:sz w:val="28"/>
          <w:szCs w:val="28"/>
          <w:highlight w:val="none"/>
        </w:rPr>
      </w:pPr>
      <w:r>
        <w:rPr>
          <w:rFonts w:hint="eastAsia" w:ascii="仿宋" w:hAnsi="仿宋" w:eastAsia="仿宋" w:cs="仿宋"/>
          <w:b/>
          <w:sz w:val="28"/>
          <w:szCs w:val="28"/>
          <w:highlight w:val="none"/>
        </w:rPr>
        <w:t xml:space="preserve">政府采购政策功能落实</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1、小微型企业价格扣除</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（1）本项目专门面向中小企业采购，不再对小型和微型企业报价给予价格扣除。</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（2）供应商需按照采购文件的要求提供相应的《中小企业声明函》。</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（3）企业标准请参照《关于印发中小企业划型标准规定的通知》（工信部联企业[2011]300号）文件规定自行填写。</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2、残疾人福利单位价格扣除</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（1）本项目对残疾人福利性单位视同小型、微型企业。</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（2）残疾人福利单位需按照采购文件的要求提供《残疾人福利性单位声明函》。</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（3）残疾人福利单位标准请参照《关于促进残疾人就业政府采购政策的通知》（财库〔2017〕141号）。</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3、监狱和戒毒企业价格扣除</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（1）本项目对监狱和戒毒企业（简称监狱企业）视同小型、微型企业。</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（3）监狱企业标准请参照《关于政府采购支持监狱企业发展有关问题的通知》（财库[2014]68号）。</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4、残疾人福利单位、监狱企业属于小型、微型企业的，不重复享受政策。</w:t>
      </w:r>
      <w:r/>
    </w:p>
    <w:p>
      <w:pPr>
        <w:pStyle w:val="716"/>
        <w:ind w:firstLine="560"/>
        <w:spacing w:before="0" w:after="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5、严格执行政府采购关于支持</w:t>
      </w:r>
      <w:r>
        <w:rPr>
          <w:rFonts w:hint="eastAsia" w:ascii="仿宋" w:hAnsi="仿宋" w:eastAsia="仿宋" w:cs="仿宋"/>
          <w:bCs/>
          <w:sz w:val="28"/>
          <w:szCs w:val="28"/>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6"/>
        <w:spacing w:before="120" w:beforeAutospacing="0" w:after="120" w:afterAutospacing="0" w:line="0" w:lineRule="atLeast"/>
        <w:rPr>
          <w:rFonts w:ascii="仿宋" w:hAnsi="仿宋" w:eastAsia="仿宋" w:cs="仿宋"/>
          <w:sz w:val="28"/>
          <w:szCs w:val="28"/>
          <w:highlight w:val="none"/>
        </w:rPr>
      </w:pPr>
      <w:r>
        <w:rPr>
          <w:rFonts w:hint="eastAsia" w:ascii="仿宋" w:hAnsi="仿宋" w:eastAsia="仿宋" w:cs="仿宋"/>
          <w:b/>
          <w:sz w:val="28"/>
          <w:szCs w:val="28"/>
          <w:highlight w:val="none"/>
        </w:rPr>
        <w:t xml:space="preserve">二、评标方法与评标标准</w:t>
      </w:r>
      <w:r/>
    </w:p>
    <w:p>
      <w:pPr>
        <w:ind w:firstLine="56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本项目评分总分值为100分。</w:t>
      </w:r>
      <w:r/>
    </w:p>
    <w:tbl>
      <w:tblPr>
        <w:tblStyle w:val="693"/>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447"/>
        <w:gridCol w:w="887"/>
        <w:gridCol w:w="1273"/>
        <w:gridCol w:w="720"/>
        <w:gridCol w:w="6099"/>
      </w:tblGrid>
      <w:tr>
        <w:trPr>
          <w:jc w:val="center"/>
          <w:trHeight w:val="485"/>
        </w:trPr>
        <w:tc>
          <w:tcPr>
            <w:shd w:val="clear" w:color="auto" w:fill="ffffff"/>
            <w:tcMar>
              <w:left w:w="108" w:type="dxa"/>
              <w:top w:w="0" w:type="dxa"/>
              <w:right w:w="108" w:type="dxa"/>
              <w:bottom w:w="0" w:type="dxa"/>
            </w:tcMar>
            <w:tcW w:w="447" w:type="dxa"/>
            <w:vAlign w:val="center"/>
            <w:textDirection w:val="lrTb"/>
            <w:noWrap w:val="false"/>
          </w:tcPr>
          <w:p>
            <w:pPr>
              <w:jc w:val="center"/>
              <w:spacing w:line="360" w:lineRule="exact"/>
              <w:rPr>
                <w:rFonts w:ascii="仿宋" w:hAnsi="仿宋" w:eastAsia="仿宋" w:cs="仿宋"/>
                <w:b/>
                <w:sz w:val="24"/>
                <w:highlight w:val="none"/>
              </w:rPr>
            </w:pPr>
            <w:r>
              <w:rPr>
                <w:rFonts w:hint="eastAsia" w:ascii="仿宋" w:hAnsi="仿宋" w:eastAsia="仿宋" w:cs="仿宋"/>
                <w:b/>
                <w:sz w:val="24"/>
                <w:highlight w:val="none"/>
              </w:rPr>
              <w:t xml:space="preserve">序号</w:t>
            </w:r>
            <w:r/>
          </w:p>
        </w:tc>
        <w:tc>
          <w:tcPr>
            <w:shd w:val="clear" w:color="auto" w:fill="ffffff"/>
            <w:tcW w:w="887" w:type="dxa"/>
            <w:vAlign w:val="center"/>
            <w:textDirection w:val="lrTb"/>
            <w:noWrap w:val="false"/>
          </w:tcPr>
          <w:p>
            <w:pPr>
              <w:jc w:val="center"/>
              <w:spacing w:line="360" w:lineRule="exact"/>
              <w:rPr>
                <w:rFonts w:ascii="仿宋" w:hAnsi="仿宋" w:eastAsia="仿宋" w:cs="仿宋"/>
                <w:b/>
                <w:sz w:val="24"/>
                <w:highlight w:val="none"/>
              </w:rPr>
            </w:pPr>
            <w:r>
              <w:rPr>
                <w:rFonts w:hint="eastAsia" w:ascii="仿宋" w:hAnsi="仿宋" w:eastAsia="仿宋" w:cs="仿宋"/>
                <w:b/>
                <w:sz w:val="24"/>
                <w:highlight w:val="none"/>
              </w:rPr>
              <w:t xml:space="preserve">评分项</w:t>
            </w:r>
            <w:r/>
          </w:p>
        </w:tc>
        <w:tc>
          <w:tcPr>
            <w:shd w:val="clear" w:color="auto" w:fill="ffffff"/>
            <w:tcMar>
              <w:left w:w="108" w:type="dxa"/>
              <w:top w:w="0" w:type="dxa"/>
              <w:right w:w="108" w:type="dxa"/>
              <w:bottom w:w="0" w:type="dxa"/>
            </w:tcMar>
            <w:tcW w:w="1273" w:type="dxa"/>
            <w:vAlign w:val="center"/>
            <w:textDirection w:val="lrTb"/>
            <w:noWrap w:val="false"/>
          </w:tcPr>
          <w:p>
            <w:pPr>
              <w:jc w:val="center"/>
              <w:spacing w:line="360" w:lineRule="exact"/>
              <w:rPr>
                <w:rFonts w:ascii="仿宋" w:hAnsi="仿宋" w:eastAsia="仿宋" w:cs="仿宋"/>
                <w:b/>
                <w:sz w:val="24"/>
                <w:highlight w:val="none"/>
              </w:rPr>
            </w:pPr>
            <w:r>
              <w:rPr>
                <w:rFonts w:hint="eastAsia" w:ascii="仿宋" w:hAnsi="仿宋" w:eastAsia="仿宋" w:cs="仿宋"/>
                <w:b/>
                <w:sz w:val="24"/>
                <w:highlight w:val="none"/>
              </w:rPr>
              <w:t xml:space="preserve">评分因素</w:t>
            </w:r>
            <w:r/>
          </w:p>
        </w:tc>
        <w:tc>
          <w:tcPr>
            <w:shd w:val="clear" w:color="auto" w:fill="ffffff"/>
            <w:tcW w:w="720" w:type="dxa"/>
            <w:vAlign w:val="center"/>
            <w:textDirection w:val="lrTb"/>
            <w:noWrap w:val="false"/>
          </w:tcPr>
          <w:p>
            <w:pPr>
              <w:jc w:val="center"/>
              <w:spacing w:line="360" w:lineRule="exact"/>
              <w:rPr>
                <w:rFonts w:ascii="仿宋" w:hAnsi="仿宋" w:eastAsia="仿宋" w:cs="仿宋"/>
                <w:b/>
                <w:sz w:val="24"/>
                <w:highlight w:val="none"/>
              </w:rPr>
            </w:pPr>
            <w:r>
              <w:rPr>
                <w:rFonts w:hint="eastAsia" w:ascii="仿宋" w:hAnsi="仿宋" w:eastAsia="仿宋" w:cs="仿宋"/>
                <w:b/>
                <w:sz w:val="24"/>
                <w:highlight w:val="none"/>
              </w:rPr>
              <w:t xml:space="preserve">分值</w:t>
            </w:r>
            <w:r/>
          </w:p>
        </w:tc>
        <w:tc>
          <w:tcPr>
            <w:shd w:val="clear" w:color="auto" w:fill="ffffff"/>
            <w:tcMar>
              <w:left w:w="108" w:type="dxa"/>
              <w:top w:w="0" w:type="dxa"/>
              <w:right w:w="108" w:type="dxa"/>
              <w:bottom w:w="0" w:type="dxa"/>
            </w:tcMar>
            <w:tcW w:w="6099" w:type="dxa"/>
            <w:vAlign w:val="center"/>
            <w:textDirection w:val="lrTb"/>
            <w:noWrap w:val="false"/>
          </w:tcPr>
          <w:p>
            <w:pPr>
              <w:jc w:val="center"/>
              <w:spacing w:line="360" w:lineRule="exact"/>
              <w:rPr>
                <w:rFonts w:ascii="仿宋" w:hAnsi="仿宋" w:eastAsia="仿宋" w:cs="仿宋"/>
                <w:b/>
                <w:sz w:val="24"/>
                <w:highlight w:val="none"/>
              </w:rPr>
            </w:pPr>
            <w:r>
              <w:rPr>
                <w:rFonts w:hint="eastAsia" w:ascii="仿宋" w:hAnsi="仿宋" w:eastAsia="仿宋" w:cs="仿宋"/>
                <w:b/>
                <w:sz w:val="24"/>
                <w:highlight w:val="none"/>
              </w:rPr>
              <w:t xml:space="preserve">评分准则</w:t>
            </w:r>
            <w:r/>
          </w:p>
        </w:tc>
      </w:tr>
      <w:tr>
        <w:trPr>
          <w:jc w:val="center"/>
          <w:trHeight w:val="1136"/>
        </w:trPr>
        <w:tc>
          <w:tcPr>
            <w:shd w:val="clear" w:color="auto" w:fill="ffffff"/>
            <w:tcMar>
              <w:left w:w="108" w:type="dxa"/>
              <w:top w:w="0" w:type="dxa"/>
              <w:right w:w="108" w:type="dxa"/>
              <w:bottom w:w="0" w:type="dxa"/>
            </w:tcMar>
            <w:tcW w:w="447"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一</w:t>
            </w:r>
            <w:r/>
          </w:p>
        </w:tc>
        <w:tc>
          <w:tcPr>
            <w:shd w:val="clear" w:color="auto" w:fill="ffffff"/>
            <w:tcW w:w="887"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报价</w:t>
            </w:r>
            <w:r/>
          </w:p>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（50分）</w:t>
            </w:r>
            <w:r/>
          </w:p>
        </w:tc>
        <w:tc>
          <w:tcPr>
            <w:shd w:val="clear" w:color="auto" w:fill="ffffff"/>
            <w:tcMar>
              <w:left w:w="108" w:type="dxa"/>
              <w:top w:w="0" w:type="dxa"/>
              <w:right w:w="108" w:type="dxa"/>
              <w:bottom w:w="0" w:type="dxa"/>
            </w:tcMar>
            <w:tcW w:w="1273"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投标报价</w:t>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50分</w:t>
            </w:r>
            <w:r/>
          </w:p>
        </w:tc>
        <w:tc>
          <w:tcPr>
            <w:shd w:val="clear" w:color="auto" w:fill="ffffff"/>
            <w:tcMar>
              <w:left w:w="108" w:type="dxa"/>
              <w:top w:w="0" w:type="dxa"/>
              <w:right w:w="108" w:type="dxa"/>
              <w:bottom w:w="0" w:type="dxa"/>
            </w:tcMar>
            <w:tcW w:w="6099" w:type="dxa"/>
            <w:textDirection w:val="lrTb"/>
            <w:noWrap w:val="false"/>
          </w:tcPr>
          <w:p>
            <w:pPr>
              <w:jc w:val="left"/>
              <w:spacing w:line="340" w:lineRule="exact"/>
              <w:rPr>
                <w:rFonts w:ascii="仿宋" w:hAnsi="仿宋" w:eastAsia="仿宋" w:cs="仿宋"/>
                <w:sz w:val="24"/>
                <w:highlight w:val="none"/>
              </w:rPr>
            </w:pPr>
            <w:r>
              <w:rPr>
                <w:rFonts w:hint="eastAsia" w:ascii="仿宋" w:hAnsi="仿宋" w:eastAsia="仿宋" w:cs="仿宋"/>
                <w:sz w:val="24"/>
                <w:highlight w:val="none"/>
              </w:rPr>
              <w:t xml:space="preserve">1、本次报价采用优惠率报价，优惠率是指控制单价的优惠比例；</w:t>
            </w:r>
            <w:r/>
          </w:p>
          <w:p>
            <w:pPr>
              <w:jc w:val="left"/>
              <w:spacing w:line="340" w:lineRule="exact"/>
              <w:rPr>
                <w:rFonts w:ascii="仿宋" w:hAnsi="仿宋" w:eastAsia="仿宋" w:cs="仿宋"/>
                <w:sz w:val="24"/>
                <w:highlight w:val="none"/>
              </w:rPr>
            </w:pPr>
            <w:r>
              <w:rPr>
                <w:rFonts w:hint="eastAsia" w:ascii="仿宋" w:hAnsi="仿宋" w:eastAsia="仿宋" w:cs="仿宋"/>
                <w:sz w:val="24"/>
                <w:highlight w:val="none"/>
              </w:rPr>
              <w:t xml:space="preserve">2、价格分采用低价优先法计算，根据各投标人通过符合性审查的有效投标优惠率中的最高优惠率作为最高优惠率评审价，其价格分为满分50分。例如各投标人的投标优惠率分别为40%、30%、20%、10%，以上数字中，40%为最高优惠率评审价，报价分为满分。</w:t>
            </w:r>
            <w:r/>
          </w:p>
          <w:p>
            <w:pPr>
              <w:jc w:val="left"/>
              <w:spacing w:line="340" w:lineRule="exact"/>
              <w:rPr>
                <w:rFonts w:ascii="仿宋" w:hAnsi="仿宋" w:eastAsia="仿宋" w:cs="仿宋"/>
                <w:sz w:val="24"/>
                <w:highlight w:val="none"/>
              </w:rPr>
            </w:pPr>
            <w:r>
              <w:rPr>
                <w:rFonts w:hint="eastAsia" w:ascii="仿宋" w:hAnsi="仿宋" w:eastAsia="仿宋" w:cs="仿宋"/>
                <w:sz w:val="24"/>
                <w:highlight w:val="none"/>
              </w:rPr>
              <w:t xml:space="preserve">价格分计算公式：价格得分=（1-最高优惠率评审价）/（1-优惠率评审价）×50；（计算到小数点后二位，四舍五入）。</w:t>
            </w:r>
            <w:r/>
          </w:p>
        </w:tc>
      </w:tr>
      <w:tr>
        <w:trPr>
          <w:jc w:val="center"/>
          <w:trHeight w:val="694"/>
        </w:trPr>
        <w:tc>
          <w:tcPr>
            <w:shd w:val="clear" w:color="auto" w:fill="ffffff"/>
            <w:tcMar>
              <w:left w:w="108" w:type="dxa"/>
              <w:top w:w="0" w:type="dxa"/>
              <w:right w:w="108" w:type="dxa"/>
              <w:bottom w:w="0" w:type="dxa"/>
            </w:tcMar>
            <w:tcW w:w="447" w:type="dxa"/>
            <w:vAlign w:val="center"/>
            <w:vMerge w:val="restart"/>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二</w:t>
            </w:r>
            <w:r/>
          </w:p>
        </w:tc>
        <w:tc>
          <w:tcPr>
            <w:shd w:val="clear" w:color="auto" w:fill="ffffff"/>
            <w:tcW w:w="887" w:type="dxa"/>
            <w:vAlign w:val="center"/>
            <w:vMerge w:val="restart"/>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服务方案（3</w:t>
            </w:r>
            <w:r>
              <w:rPr>
                <w:rFonts w:ascii="仿宋" w:hAnsi="仿宋" w:eastAsia="仿宋" w:cs="仿宋"/>
                <w:sz w:val="24"/>
                <w:highlight w:val="none"/>
              </w:rPr>
              <w:t xml:space="preserve">5</w:t>
            </w:r>
            <w:r>
              <w:rPr>
                <w:rFonts w:hint="eastAsia" w:ascii="仿宋" w:hAnsi="仿宋" w:eastAsia="仿宋" w:cs="仿宋"/>
                <w:sz w:val="24"/>
                <w:highlight w:val="none"/>
              </w:rPr>
              <w:t xml:space="preserve">分）</w:t>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服务项目方案</w:t>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6分</w:t>
            </w:r>
            <w:r/>
          </w:p>
        </w:tc>
        <w:tc>
          <w:tcPr>
            <w:shd w:val="clear" w:color="auto" w:fill="ffffff"/>
            <w:tcMar>
              <w:left w:w="108" w:type="dxa"/>
              <w:top w:w="0" w:type="dxa"/>
              <w:right w:w="108" w:type="dxa"/>
              <w:bottom w:w="0" w:type="dxa"/>
            </w:tcMar>
            <w:tcW w:w="6099" w:type="dxa"/>
            <w:vAlign w:val="center"/>
            <w:textDirection w:val="lrTb"/>
            <w:noWrap w:val="false"/>
          </w:tcPr>
          <w:p>
            <w:pPr>
              <w:pStyle w:val="701"/>
              <w:ind w:firstLine="480"/>
              <w:spacing w:line="4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根据本项目第四章第六条第一款项目整体实施方案方案，至少包含（1）文印服务管理的目标（2）成本管控（3）设备与耗材管理（4）人员配置与培训(5)质量监控与反馈改进等5个方面的内容。</w:t>
            </w:r>
            <w:r/>
          </w:p>
          <w:p>
            <w:pPr>
              <w:ind w:firstLine="48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方案完整、内容详细、维保计划清晰明确、并且能结合用户需求提供全面的维护服务的得6分；实施方案较为完整、内容较为详细、维保计划较为清晰明确的得5分；方案不全面、内容简略、维保计划无针对性的4分；不提供不得分。</w:t>
            </w:r>
            <w:r/>
          </w:p>
        </w:tc>
      </w:tr>
      <w:tr>
        <w:trPr>
          <w:jc w:val="center"/>
          <w:trHeight w:val="1424"/>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W w:w="88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spacing w:line="36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服务标准及工作流程</w:t>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6分</w:t>
            </w:r>
            <w:r/>
          </w:p>
        </w:tc>
        <w:tc>
          <w:tcPr>
            <w:shd w:val="clear" w:color="auto" w:fill="ffffff"/>
            <w:tcMar>
              <w:left w:w="108" w:type="dxa"/>
              <w:top w:w="0" w:type="dxa"/>
              <w:right w:w="108" w:type="dxa"/>
              <w:bottom w:w="0" w:type="dxa"/>
            </w:tcMar>
            <w:tcW w:w="6099" w:type="dxa"/>
            <w:vAlign w:val="center"/>
            <w:textDirection w:val="lrTb"/>
            <w:noWrap w:val="false"/>
          </w:tcPr>
          <w:p>
            <w:pPr>
              <w:ind w:firstLine="24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根据本项目第四章第六条第二款服务标准及工作流程，至少包含（1）文印服务质量要求，交付时间等基础服务标准（2）人员的服务标准（3）常规文印流程（4）专项文印流程(5)应急文印流程（6）问题处理流程等6个方面的内容</w:t>
            </w:r>
            <w:r/>
          </w:p>
          <w:p>
            <w:pPr>
              <w:ind w:firstLine="24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方案有规范的服务标准及详细的工作流程的得6分；服务标准一般，工作流程较为完整的得5分；服务标准不够规范，工作流程不够详细的得4分；未提供不得分。</w:t>
            </w:r>
            <w:r/>
          </w:p>
        </w:tc>
      </w:tr>
      <w:tr>
        <w:trPr>
          <w:jc w:val="center"/>
          <w:trHeight w:val="1797"/>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W w:w="88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团队管理和服务人员培训</w:t>
            </w:r>
            <w:r/>
          </w:p>
        </w:tc>
        <w:tc>
          <w:tcPr>
            <w:shd w:val="clear" w:color="auto" w:fill="ffffff"/>
            <w:tcW w:w="720"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6分</w:t>
            </w:r>
            <w:r/>
          </w:p>
        </w:tc>
        <w:tc>
          <w:tcPr>
            <w:shd w:val="clear" w:color="auto" w:fill="ffffff"/>
            <w:tcMar>
              <w:left w:w="108" w:type="dxa"/>
              <w:top w:w="0" w:type="dxa"/>
              <w:right w:w="108" w:type="dxa"/>
              <w:bottom w:w="0" w:type="dxa"/>
            </w:tcMar>
            <w:tcW w:w="6099" w:type="dxa"/>
            <w:vAlign w:val="center"/>
            <w:textDirection w:val="lrTb"/>
            <w:noWrap w:val="false"/>
          </w:tcPr>
          <w:p>
            <w:pPr>
              <w:ind w:firstLine="24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根据本项目第四章第六条第三款团队管理和服务人员培训，至少包含（1）考勤与值班制度（2）岗位职责制度（3）保密与安全制度（4）服务人员培训方案4个方面的内容</w:t>
            </w:r>
            <w:r/>
          </w:p>
          <w:p>
            <w:pPr>
              <w:ind w:firstLine="24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团队管理组织架构清晰、职责划分明确，人员培训计划合理的得6分；团队管理组织架构较为清晰、职责划分基本明确，人员培训计划合理较好的得5分；内部架构简单，职责划分含糊，人员培训计划缺乏合理性的得4分；不提供不得分</w:t>
            </w:r>
            <w:r>
              <w:rPr>
                <w:rFonts w:hint="eastAsia" w:ascii="仿宋" w:hAnsi="仿宋" w:eastAsia="仿宋" w:cs="仿宋"/>
                <w:sz w:val="24"/>
                <w:szCs w:val="21"/>
                <w:highlight w:val="none"/>
                <w:lang w:val="zh-CN"/>
              </w:rPr>
              <w:t xml:space="preserve">。</w:t>
            </w:r>
            <w:r/>
          </w:p>
        </w:tc>
      </w:tr>
      <w:tr>
        <w:trPr>
          <w:jc w:val="center"/>
          <w:trHeight w:val="399"/>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W w:w="88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突发及应急方案</w:t>
            </w:r>
            <w:r/>
          </w:p>
        </w:tc>
        <w:tc>
          <w:tcPr>
            <w:shd w:val="clear" w:color="auto" w:fill="ffffff"/>
            <w:tcW w:w="720"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6分</w:t>
            </w:r>
            <w:r/>
          </w:p>
        </w:tc>
        <w:tc>
          <w:tcPr>
            <w:shd w:val="clear" w:color="auto" w:fill="ffffff"/>
            <w:tcMar>
              <w:left w:w="108" w:type="dxa"/>
              <w:top w:w="0" w:type="dxa"/>
              <w:right w:w="108" w:type="dxa"/>
              <w:bottom w:w="0" w:type="dxa"/>
            </w:tcMar>
            <w:tcW w:w="6099" w:type="dxa"/>
            <w:vAlign w:val="center"/>
            <w:textDirection w:val="lrTb"/>
            <w:noWrap w:val="false"/>
          </w:tcPr>
          <w:p>
            <w:pPr>
              <w:pStyle w:val="701"/>
              <w:ind w:firstLine="480"/>
              <w:spacing w:line="4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根据本项目第四章第六条第四款突发及应急方案，至少包含（1）文印服务过程中发生的各类突发情况的处理方案，包括设备故障、耗材短缺、应急订单、安全事故、系统瘫痪等（2）常见突发情况应急处置流程等2个方面的内容</w:t>
            </w:r>
            <w:r/>
          </w:p>
          <w:p>
            <w:pPr>
              <w:ind w:firstLine="24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对突发情况处理应急方案进行评分。应急预案措施完善、合理、切实可行的得6分；应急预案措施较为完善实用、可行性较好的得5分；应急预案措施不全面、可行性一般、内容简略、无针对性的得4分；不提供不得分</w:t>
            </w:r>
            <w:r>
              <w:rPr>
                <w:rFonts w:hint="eastAsia" w:ascii="仿宋" w:hAnsi="仿宋" w:eastAsia="仿宋" w:cs="仿宋"/>
                <w:sz w:val="24"/>
                <w:szCs w:val="21"/>
                <w:highlight w:val="none"/>
                <w:lang w:val="zh-CN"/>
              </w:rPr>
              <w:t xml:space="preserve">。</w:t>
            </w:r>
            <w:r/>
          </w:p>
        </w:tc>
      </w:tr>
      <w:tr>
        <w:trPr>
          <w:jc w:val="center"/>
          <w:trHeight w:val="1621"/>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W w:w="88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与各方的交接、协调沟通方案</w:t>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5分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  根据本项目第四章第六条第五款与各方的交接、协调沟通方案，至少包含（1）与校内各部门的交接协调沟通（2）沟通保障与优化机制等2个方面的内容  </w:t>
            </w:r>
            <w:r/>
          </w:p>
          <w:p>
            <w:pPr>
              <w:ind w:firstLine="24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评委根据方案的全面性、可行性、合理性等方面进行综合打分。方案具有很强的交接、协调沟通内容、可行合理的得5分；方案具有较强的交接、协调沟通内容、较可行合理的得4分；方案内容欠缺、可行性较差、合理性较差的得3分；未提供不得分。</w:t>
            </w:r>
            <w:r/>
          </w:p>
        </w:tc>
      </w:tr>
      <w:tr>
        <w:trPr>
          <w:jc w:val="center"/>
          <w:trHeight w:val="1621"/>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W w:w="88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ascii="仿宋" w:hAnsi="仿宋" w:eastAsia="仿宋" w:cs="仿宋"/>
                <w:sz w:val="24"/>
                <w:szCs w:val="21"/>
                <w:highlight w:val="none"/>
              </w:rPr>
            </w:pPr>
            <w:r>
              <w:rPr>
                <w:rFonts w:hint="eastAsia" w:ascii="仿宋" w:hAnsi="仿宋" w:eastAsia="仿宋" w:cs="仿宋"/>
                <w:sz w:val="24"/>
                <w:szCs w:val="21"/>
                <w:highlight w:val="none"/>
              </w:rPr>
              <w:t xml:space="preserve">印刷内容录入准确率质量保证措施及有相关考核标准</w:t>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6分</w:t>
            </w:r>
            <w:r/>
          </w:p>
        </w:tc>
        <w:tc>
          <w:tcPr>
            <w:shd w:val="clear" w:color="auto" w:fill="ffffff"/>
            <w:tcMar>
              <w:left w:w="108" w:type="dxa"/>
              <w:top w:w="0" w:type="dxa"/>
              <w:right w:w="108" w:type="dxa"/>
              <w:bottom w:w="0" w:type="dxa"/>
            </w:tcMar>
            <w:tcW w:w="6099" w:type="dxa"/>
            <w:vAlign w:val="center"/>
            <w:textDirection w:val="lrTb"/>
            <w:noWrap w:val="false"/>
          </w:tcPr>
          <w:p>
            <w:pPr>
              <w:ind w:firstLine="48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根据本项目第四章第六条第六款印刷内容录入准确率质量保证措施及有相关考核标准，至少包含（1）文印需求明确与文件核验（2）人员与工具配置（3）关键环节重点把控（4）分级审核机制（5）考核指标的制定等5个方面的内容</w:t>
            </w:r>
            <w:r/>
          </w:p>
          <w:p>
            <w:pPr>
              <w:ind w:firstLine="480"/>
              <w:spacing w:line="340" w:lineRule="exact"/>
              <w:rPr>
                <w:rFonts w:ascii="仿宋" w:hAnsi="仿宋" w:eastAsia="仿宋" w:cs="仿宋"/>
                <w:sz w:val="24"/>
                <w:szCs w:val="21"/>
                <w:highlight w:val="none"/>
              </w:rPr>
            </w:pPr>
            <w:r>
              <w:rPr>
                <w:rFonts w:hint="eastAsia" w:ascii="仿宋" w:hAnsi="仿宋" w:eastAsia="仿宋" w:cs="仿宋"/>
                <w:sz w:val="24"/>
                <w:szCs w:val="21"/>
                <w:highlight w:val="none"/>
              </w:rPr>
              <w:t xml:space="preserve">较强的质量保证和完善的考核标准的得6分；质量保证及考核标准一般的得5分；质量保证差，考核标准不完善的得4分；未提供不得分。</w:t>
            </w:r>
            <w:r/>
          </w:p>
        </w:tc>
      </w:tr>
      <w:tr>
        <w:trPr>
          <w:jc w:val="center"/>
          <w:trHeight w:val="260"/>
        </w:trPr>
        <w:tc>
          <w:tcPr>
            <w:shd w:val="clear" w:color="auto" w:fill="ffffff"/>
            <w:tcMar>
              <w:left w:w="108" w:type="dxa"/>
              <w:top w:w="0" w:type="dxa"/>
              <w:right w:w="108" w:type="dxa"/>
              <w:bottom w:w="0" w:type="dxa"/>
            </w:tcMar>
            <w:tcW w:w="447" w:type="dxa"/>
            <w:vAlign w:val="center"/>
            <w:vMerge w:val="restart"/>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三</w:t>
            </w:r>
            <w:r/>
          </w:p>
        </w:tc>
        <w:tc>
          <w:tcPr>
            <w:gridSpan w:val="2"/>
            <w:shd w:val="clear" w:color="auto" w:fill="ffffff"/>
            <w:tcW w:w="2160" w:type="dxa"/>
            <w:vAlign w:val="center"/>
            <w:vMerge w:val="restart"/>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企业综合实力</w:t>
            </w:r>
            <w:r/>
          </w:p>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（15分）</w:t>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12分</w:t>
            </w:r>
            <w:r/>
          </w:p>
        </w:tc>
        <w:tc>
          <w:tcPr>
            <w:shd w:val="clear" w:color="auto" w:fill="ffffff"/>
            <w:tcMar>
              <w:left w:w="108" w:type="dxa"/>
              <w:top w:w="0" w:type="dxa"/>
              <w:right w:w="108" w:type="dxa"/>
              <w:bottom w:w="0" w:type="dxa"/>
            </w:tcMar>
            <w:tcW w:w="6099" w:type="dxa"/>
            <w:textDirection w:val="lrTb"/>
            <w:noWrap w:val="false"/>
          </w:tcPr>
          <w:p>
            <w:pPr>
              <w:pStyle w:val="717"/>
              <w:ind w:firstLine="0"/>
              <w:spacing w:line="340" w:lineRule="exact"/>
              <w:rPr>
                <w:rFonts w:ascii="仿宋" w:hAnsi="仿宋" w:cs="仿宋"/>
                <w:color w:val="auto"/>
                <w:sz w:val="24"/>
                <w:szCs w:val="21"/>
                <w:highlight w:val="none"/>
              </w:rPr>
            </w:pPr>
            <w:r>
              <w:rPr>
                <w:rFonts w:hint="eastAsia" w:ascii="仿宋" w:hAnsi="仿宋" w:cs="仿宋"/>
                <w:color w:val="auto"/>
                <w:sz w:val="24"/>
                <w:szCs w:val="21"/>
                <w:highlight w:val="none"/>
              </w:rPr>
              <w:t xml:space="preserve">投标人2022年1月1日（以合同签订时间为准）以来具有类似项目业绩的得2分，多提供一个加2分，本项最高得12分（需提供相应合同原件彩色扫描件，未提供不得分,如合同为一年一签的同一项目年度合同，只认同为一项合同）。</w:t>
            </w:r>
            <w:r/>
          </w:p>
        </w:tc>
      </w:tr>
      <w:tr>
        <w:trPr>
          <w:jc w:val="center"/>
          <w:trHeight w:val="1158"/>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gridSpan w:val="2"/>
            <w:shd w:val="clear" w:color="auto" w:fill="ffffff"/>
            <w:tcW w:w="2160" w:type="dxa"/>
            <w:vAlign w:val="center"/>
            <w:vMerge w:val="continue"/>
            <w:textDirection w:val="lrTb"/>
            <w:noWrap w:val="false"/>
          </w:tcPr>
          <w:p>
            <w:pPr>
              <w:jc w:val="center"/>
              <w:spacing w:line="360" w:lineRule="exact"/>
              <w:rPr>
                <w:rFonts w:ascii="仿宋" w:hAnsi="仿宋" w:eastAsia="仿宋" w:cs="仿宋"/>
                <w:sz w:val="24"/>
                <w:highlight w:val="none"/>
              </w:rPr>
            </w:pPr>
            <w:r>
              <w:rPr>
                <w:rFonts w:ascii="仿宋" w:hAnsi="仿宋" w:eastAsia="仿宋" w:cs="仿宋"/>
                <w:sz w:val="24"/>
                <w:highlight w:val="none"/>
              </w:rPr>
            </w:r>
            <w:r/>
          </w:p>
        </w:tc>
        <w:tc>
          <w:tcPr>
            <w:shd w:val="clear" w:color="auto" w:fill="ffffff"/>
            <w:tcW w:w="720"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3分</w:t>
            </w:r>
            <w:r/>
          </w:p>
        </w:tc>
        <w:tc>
          <w:tcPr>
            <w:shd w:val="clear" w:color="auto" w:fill="ffffff"/>
            <w:tcMar>
              <w:left w:w="108" w:type="dxa"/>
              <w:top w:w="0" w:type="dxa"/>
              <w:right w:w="108" w:type="dxa"/>
              <w:bottom w:w="0" w:type="dxa"/>
            </w:tcMar>
            <w:tcW w:w="6099" w:type="dxa"/>
            <w:textDirection w:val="lrTb"/>
            <w:noWrap w:val="false"/>
          </w:tcPr>
          <w:p>
            <w:pPr>
              <w:spacing w:line="340" w:lineRule="exact"/>
              <w:rPr>
                <w:rFonts w:ascii="仿宋" w:hAnsi="仿宋" w:eastAsia="仿宋" w:cs="仿宋"/>
                <w:sz w:val="24"/>
                <w:highlight w:val="none"/>
              </w:rPr>
            </w:pPr>
            <w:r>
              <w:rPr>
                <w:rFonts w:hint="eastAsia" w:ascii="仿宋" w:hAnsi="仿宋" w:eastAsia="仿宋" w:cs="仿宋"/>
                <w:bCs/>
                <w:sz w:val="24"/>
                <w:highlight w:val="none"/>
              </w:rPr>
              <w:t xml:space="preserve">投标人具备有效期内的质量管理体系认证证书、环境管理体系认证证书、职业健康安全管理体系认证证书，</w:t>
            </w:r>
            <w:r>
              <w:rPr>
                <w:rFonts w:hint="eastAsia" w:ascii="仿宋" w:hAnsi="仿宋" w:eastAsia="仿宋" w:cs="仿宋"/>
                <w:sz w:val="24"/>
                <w:highlight w:val="none"/>
              </w:rPr>
              <w:t xml:space="preserve">每提供1个得1分，最高得3分。</w:t>
            </w:r>
            <w:r>
              <w:rPr>
                <w:rFonts w:hint="eastAsia" w:ascii="仿宋" w:hAnsi="仿宋" w:eastAsia="仿宋" w:cs="仿宋"/>
                <w:bCs/>
                <w:sz w:val="24"/>
                <w:highlight w:val="none"/>
              </w:rPr>
              <w:t xml:space="preserve">（提供证书原件彩色扫描件及加盖投标人公章的中国认监委网站（http://www.cnca.gov.cn/）查询截图，不提供不得分。）</w:t>
            </w:r>
            <w:r/>
          </w:p>
        </w:tc>
      </w:tr>
    </w:tbl>
    <w:p>
      <w:pPr>
        <w:pStyle w:val="706"/>
        <w:ind w:firstLine="560"/>
        <w:jc w:val="both"/>
        <w:spacing w:beforeAutospacing="0" w:afterAutospacing="0"/>
        <w:rPr>
          <w:rFonts w:ascii="仿宋" w:hAnsi="仿宋" w:eastAsia="仿宋" w:cs="仿宋"/>
          <w:sz w:val="28"/>
          <w:szCs w:val="28"/>
          <w:highlight w:val="none"/>
        </w:rPr>
      </w:pPr>
      <w:r>
        <w:rPr>
          <w:rFonts w:hint="eastAsia" w:ascii="仿宋" w:hAnsi="仿宋" w:eastAsia="仿宋" w:cs="仿宋"/>
          <w:sz w:val="28"/>
          <w:szCs w:val="28"/>
          <w:highlight w:val="none"/>
        </w:rPr>
        <w:t xml:space="preserve">注：以上投标人提供的评分材料，需真实有效，中标后2个工作日内提供原件由采购人逐一核查材料的真实性，若经发现存在弄虚作假行为，取消中标人中标资格，同时追究其法律赔偿与责任。</w:t>
      </w:r>
      <w:r/>
    </w:p>
    <w:p>
      <w:pPr>
        <w:jc w:val="center"/>
        <w:rPr>
          <w:highlight w:val="none"/>
        </w:rPr>
      </w:pPr>
      <w:r>
        <w:rPr>
          <w:rFonts w:hint="eastAsia" w:ascii="黑体" w:hAnsi="宋体" w:eastAsia="黑体" w:cs="黑体"/>
          <w:sz w:val="44"/>
          <w:szCs w:val="44"/>
          <w:highlight w:val="none"/>
        </w:rPr>
        <w:br w:type="page" w:clear="all"/>
      </w:r>
      <w:r>
        <w:rPr>
          <w:rFonts w:hint="eastAsia" w:ascii="黑体" w:hAnsi="宋体" w:eastAsia="黑体" w:cs="黑体"/>
          <w:sz w:val="44"/>
          <w:szCs w:val="44"/>
          <w:highlight w:val="none"/>
        </w:rPr>
        <w:t xml:space="preserve">第六章  投标文件格式</w:t>
      </w:r>
      <w:r/>
    </w:p>
    <w:p>
      <w:pPr>
        <w:pStyle w:val="706"/>
        <w:jc w:val="center"/>
        <w:spacing w:beforeAutospacing="0" w:afterAutospacing="0"/>
        <w:rPr>
          <w:rFonts w:ascii="宋体" w:hAnsi="宋体" w:eastAsia="宋体" w:cs="宋体"/>
          <w:b/>
          <w:sz w:val="72"/>
          <w:szCs w:val="72"/>
          <w:highlight w:val="none"/>
        </w:rPr>
      </w:pPr>
      <w:r/>
      <w:bookmarkStart w:id="193" w:name="_Toc26554094"/>
      <w:r/>
      <w:bookmarkEnd w:id="193"/>
      <w:r/>
      <w:bookmarkStart w:id="194" w:name="_Hlt26671244"/>
      <w:r/>
      <w:bookmarkEnd w:id="194"/>
      <w:r/>
      <w:bookmarkStart w:id="195" w:name="_Hlt26955039"/>
      <w:r/>
      <w:bookmarkEnd w:id="195"/>
      <w:r/>
      <w:bookmarkStart w:id="196" w:name="_Toc49090576"/>
      <w:r/>
      <w:bookmarkStart w:id="197" w:name="_Toc120614282"/>
      <w:r/>
      <w:r/>
    </w:p>
    <w:p>
      <w:pPr>
        <w:pStyle w:val="706"/>
        <w:jc w:val="center"/>
        <w:spacing w:beforeAutospacing="0" w:afterAutospacing="0"/>
        <w:rPr>
          <w:rFonts w:ascii="宋体" w:hAnsi="宋体" w:eastAsia="宋体" w:cs="宋体"/>
          <w:b/>
          <w:sz w:val="72"/>
          <w:szCs w:val="72"/>
          <w:highlight w:val="none"/>
        </w:rPr>
      </w:pPr>
      <w:r>
        <w:rPr>
          <w:rFonts w:ascii="宋体" w:hAnsi="宋体" w:eastAsia="宋体" w:cs="宋体"/>
          <w:b/>
          <w:sz w:val="72"/>
          <w:szCs w:val="72"/>
          <w:highlight w:val="none"/>
        </w:rPr>
      </w:r>
      <w:r/>
    </w:p>
    <w:p>
      <w:pPr>
        <w:pStyle w:val="706"/>
        <w:jc w:val="center"/>
        <w:spacing w:beforeAutospacing="0" w:afterAutospacing="0"/>
        <w:rPr>
          <w:rFonts w:ascii="宋体" w:hAnsi="宋体" w:eastAsia="宋体" w:cs="宋体"/>
          <w:b/>
          <w:sz w:val="72"/>
          <w:szCs w:val="72"/>
          <w:highlight w:val="none"/>
        </w:rPr>
      </w:pPr>
      <w:r>
        <w:rPr>
          <w:rFonts w:ascii="宋体" w:hAnsi="宋体" w:eastAsia="宋体" w:cs="宋体"/>
          <w:b/>
          <w:sz w:val="72"/>
          <w:szCs w:val="72"/>
          <w:highlight w:val="none"/>
        </w:rPr>
      </w:r>
      <w:r/>
    </w:p>
    <w:p>
      <w:pPr>
        <w:pStyle w:val="706"/>
        <w:jc w:val="center"/>
        <w:spacing w:beforeAutospacing="0" w:afterAutospacing="0"/>
        <w:rPr>
          <w:highlight w:val="none"/>
        </w:rPr>
      </w:pPr>
      <w:r>
        <w:rPr>
          <w:rFonts w:hint="eastAsia" w:ascii="宋体" w:hAnsi="宋体" w:eastAsia="宋体" w:cs="宋体"/>
          <w:b/>
          <w:sz w:val="72"/>
          <w:szCs w:val="72"/>
          <w:highlight w:val="none"/>
        </w:rPr>
        <w:t xml:space="preserve">投  标  文  件</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ind w:firstLine="1084"/>
        <w:jc w:val="both"/>
        <w:spacing w:beforeAutospacing="0" w:afterAutospacing="0"/>
        <w:rPr>
          <w:highlight w:val="none"/>
        </w:rPr>
      </w:pPr>
      <w:r>
        <w:rPr>
          <w:rFonts w:hint="eastAsia" w:ascii="宋体" w:hAnsi="宋体" w:eastAsia="宋体" w:cs="宋体"/>
          <w:b/>
          <w:sz w:val="36"/>
          <w:szCs w:val="36"/>
          <w:highlight w:val="none"/>
        </w:rPr>
        <w:t xml:space="preserve">项目 名 称：</w:t>
      </w:r>
      <w:r>
        <w:rPr>
          <w:rFonts w:hint="eastAsia" w:ascii="宋体" w:hAnsi="宋体" w:eastAsia="宋体" w:cs="宋体"/>
          <w:b/>
          <w:sz w:val="36"/>
          <w:szCs w:val="36"/>
          <w:highlight w:val="none"/>
          <w:u w:val="single"/>
        </w:rPr>
        <w:t xml:space="preserve">               </w:t>
      </w:r>
      <w:r/>
    </w:p>
    <w:p>
      <w:pPr>
        <w:pStyle w:val="706"/>
        <w:ind w:firstLine="1084"/>
        <w:jc w:val="both"/>
        <w:spacing w:beforeAutospacing="0" w:afterAutospacing="0"/>
        <w:rPr>
          <w:highlight w:val="none"/>
        </w:rPr>
      </w:pPr>
      <w:r>
        <w:rPr>
          <w:rFonts w:hint="eastAsia" w:ascii="宋体" w:hAnsi="宋体" w:eastAsia="宋体" w:cs="宋体"/>
          <w:b/>
          <w:sz w:val="36"/>
          <w:szCs w:val="36"/>
          <w:highlight w:val="none"/>
        </w:rPr>
        <w:t xml:space="preserve">项目 编 号：</w:t>
      </w:r>
      <w:r>
        <w:rPr>
          <w:rFonts w:hint="eastAsia" w:ascii="宋体" w:hAnsi="宋体" w:eastAsia="宋体" w:cs="宋体"/>
          <w:b/>
          <w:sz w:val="36"/>
          <w:szCs w:val="36"/>
          <w:highlight w:val="none"/>
          <w:u w:val="single"/>
        </w:rPr>
        <w:t xml:space="preserve">               </w:t>
      </w:r>
      <w:r/>
    </w:p>
    <w:p>
      <w:pPr>
        <w:pStyle w:val="706"/>
        <w:jc w:val="both"/>
        <w:spacing w:beforeAutospacing="0" w:afterAutospacing="0"/>
        <w:rPr>
          <w:highlight w:val="none"/>
        </w:rPr>
      </w:pPr>
      <w:r>
        <w:rPr>
          <w:rFonts w:hint="eastAsia" w:ascii="宋体" w:hAnsi="宋体" w:eastAsia="宋体" w:cs="宋体"/>
          <w:b/>
          <w:sz w:val="36"/>
          <w:szCs w:val="36"/>
          <w:highlight w:val="none"/>
        </w:rPr>
        <w:t xml:space="preserve">   投标人名称 ：</w:t>
      </w:r>
      <w:r>
        <w:rPr>
          <w:rFonts w:hint="eastAsia" w:ascii="宋体" w:hAnsi="宋体" w:eastAsia="宋体" w:cs="宋体"/>
          <w:b/>
          <w:sz w:val="36"/>
          <w:szCs w:val="36"/>
          <w:highlight w:val="none"/>
          <w:u w:val="single"/>
        </w:rPr>
        <w:t xml:space="preserve">（加盖CA电子公章）        </w:t>
      </w:r>
      <w:r/>
    </w:p>
    <w:p>
      <w:pPr>
        <w:pStyle w:val="706"/>
        <w:jc w:val="both"/>
        <w:spacing w:beforeAutospacing="0" w:afterAutospacing="0"/>
        <w:rPr>
          <w:highlight w:val="none"/>
        </w:rPr>
      </w:pPr>
      <w:r>
        <w:rPr>
          <w:rFonts w:hint="eastAsia" w:ascii="宋体" w:hAnsi="宋体" w:eastAsia="宋体" w:cs="宋体"/>
          <w:b/>
          <w:sz w:val="36"/>
          <w:szCs w:val="36"/>
          <w:highlight w:val="none"/>
        </w:rPr>
        <w:t xml:space="preserve">   日   期 ：</w:t>
      </w:r>
      <w:r>
        <w:rPr>
          <w:rFonts w:hint="eastAsia" w:ascii="宋体" w:hAnsi="宋体" w:eastAsia="宋体" w:cs="宋体"/>
          <w:b/>
          <w:sz w:val="36"/>
          <w:szCs w:val="36"/>
          <w:highlight w:val="none"/>
          <w:u w:val="singl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both"/>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rFonts w:ascii="宋体" w:hAnsi="宋体" w:eastAsia="宋体" w:cs="宋体"/>
          <w:b/>
          <w:sz w:val="36"/>
          <w:szCs w:val="36"/>
          <w:highlight w:val="none"/>
          <w:u w:val="single"/>
        </w:rPr>
      </w:pPr>
      <w:r>
        <w:rPr>
          <w:rFonts w:ascii="宋体" w:hAnsi="宋体" w:eastAsia="宋体" w:cs="宋体"/>
          <w:b/>
          <w:sz w:val="36"/>
          <w:szCs w:val="36"/>
          <w:highlight w:val="none"/>
          <w:u w:val="single"/>
        </w:rPr>
      </w:r>
      <w:r/>
    </w:p>
    <w:p>
      <w:pPr>
        <w:pStyle w:val="706"/>
        <w:jc w:val="center"/>
        <w:spacing w:beforeAutospacing="0" w:afterAutospacing="0" w:line="0" w:lineRule="atLeast"/>
        <w:rPr>
          <w:highlight w:val="none"/>
        </w:rPr>
      </w:pPr>
      <w:r>
        <w:rPr>
          <w:rFonts w:hint="eastAsia" w:ascii="宋体" w:hAnsi="宋体" w:eastAsia="宋体" w:cs="宋体"/>
          <w:b/>
          <w:sz w:val="32"/>
          <w:szCs w:val="32"/>
          <w:highlight w:val="none"/>
        </w:rPr>
        <w:t xml:space="preserve">投标文件目录</w:t>
      </w:r>
      <w:r/>
    </w:p>
    <w:p>
      <w:pPr>
        <w:pStyle w:val="706"/>
        <w:jc w:val="center"/>
        <w:spacing w:beforeAutospacing="0" w:afterAutospacing="0" w:line="0" w:lineRule="atLeast"/>
        <w:rPr>
          <w:highlight w:val="none"/>
        </w:rPr>
      </w:pPr>
      <w:r>
        <w:rPr>
          <w:highlight w:val="none"/>
        </w:rPr>
        <w:t xml:space="preserve"> </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一、法人或者其他组织的营业执照等证明文件，自然人的身份证明</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二、上一年度的财务状况报告（至少提供资产负债表、利润表、现金流量表，投标人成立不满一年无需提供）</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三、具备履行合同所必需的设备和专业技术能力的书面声明</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五、参加政府采购活动前 3 年内在经营活动中没有重大违法记录的书面声明</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六、特定资格要求的证明文件（如果本项目设置特定资格要求，则需要提供）</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七、法人授权书</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八、投标函</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九、中小企业声明函</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十、残疾人福利性单位声明函</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十一、投标分项报价表</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十二、技术要求响应及偏离表</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十三、商务要求响应及偏离表</w:t>
      </w:r>
      <w:r/>
    </w:p>
    <w:p>
      <w:pPr>
        <w:pStyle w:val="706"/>
        <w:ind w:left="480"/>
        <w:jc w:val="both"/>
        <w:spacing w:beforeAutospacing="0" w:afterAutospacing="0"/>
        <w:rPr>
          <w:rFonts w:ascii="宋体" w:hAnsi="宋体" w:eastAsia="宋体" w:cs="宋体"/>
          <w:i/>
          <w:highlight w:val="none"/>
          <w:u w:val="single"/>
        </w:rPr>
      </w:pPr>
      <w:r>
        <w:rPr>
          <w:rFonts w:hint="eastAsia" w:ascii="宋体" w:hAnsi="宋体" w:eastAsia="宋体" w:cs="宋体"/>
          <w:i/>
          <w:highlight w:val="none"/>
          <w:u w:val="single"/>
        </w:rPr>
        <w:t xml:space="preserve">十四、开标一览表</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十五、技术方案、服务承诺、培训承诺等</w:t>
      </w:r>
      <w:r/>
    </w:p>
    <w:p>
      <w:pPr>
        <w:pStyle w:val="706"/>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十六、盐都区政府采购事前信用承诺书</w:t>
      </w:r>
      <w:r/>
    </w:p>
    <w:p>
      <w:pPr>
        <w:pStyle w:val="706"/>
        <w:ind w:firstLine="480"/>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06"/>
        <w:ind w:firstLine="480"/>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06"/>
        <w:ind w:firstLine="480"/>
        <w:jc w:val="both"/>
        <w:spacing w:beforeAutospacing="0" w:afterAutospacing="0" w:line="0" w:lineRule="atLeast"/>
        <w:rPr>
          <w:highlight w:val="none"/>
        </w:rPr>
      </w:pPr>
      <w:r>
        <w:rPr>
          <w:highlight w:val="none"/>
        </w:rPr>
        <w:t xml:space="preserve"> </w:t>
      </w:r>
      <w:r/>
    </w:p>
    <w:p>
      <w:pPr>
        <w:pStyle w:val="706"/>
        <w:ind w:firstLine="480"/>
        <w:jc w:val="both"/>
        <w:spacing w:beforeAutospacing="0" w:afterAutospacing="0" w:line="0" w:lineRule="atLeast"/>
        <w:rPr>
          <w:highlight w:val="none"/>
        </w:rPr>
      </w:pPr>
      <w:r>
        <w:rPr>
          <w:highlight w:val="none"/>
        </w:rPr>
        <w:t xml:space="preserve"> </w:t>
      </w:r>
      <w:r/>
    </w:p>
    <w:p>
      <w:pPr>
        <w:pStyle w:val="706"/>
        <w:ind w:firstLine="480"/>
        <w:jc w:val="both"/>
        <w:spacing w:beforeAutospacing="0" w:afterAutospacing="0" w:line="0" w:lineRule="atLeast"/>
        <w:rPr>
          <w:highlight w:val="none"/>
        </w:rPr>
      </w:pPr>
      <w:r>
        <w:rPr>
          <w:highlight w:val="none"/>
        </w:rPr>
        <w:t xml:space="preserve"> </w:t>
      </w:r>
      <w:r/>
    </w:p>
    <w:p>
      <w:pPr>
        <w:rPr>
          <w:highlight w:val="none"/>
        </w:rPr>
      </w:pPr>
      <w:r>
        <w:rPr>
          <w:highlight w:val="none"/>
        </w:rPr>
        <w:br w:type="page" w:clear="all"/>
      </w:r>
      <w:r/>
    </w:p>
    <w:p>
      <w:pPr>
        <w:pStyle w:val="706"/>
        <w:jc w:val="both"/>
        <w:spacing w:beforeAutospacing="0" w:afterAutospacing="0"/>
        <w:rPr>
          <w:highlight w:val="none"/>
        </w:rPr>
      </w:pPr>
      <w:r>
        <w:rPr>
          <w:rFonts w:hint="eastAsia" w:ascii="黑体" w:hAnsi="宋体" w:eastAsia="黑体" w:cs="黑体"/>
          <w:i/>
          <w:sz w:val="32"/>
          <w:szCs w:val="32"/>
          <w:highlight w:val="none"/>
          <w:u w:val="single"/>
        </w:rPr>
        <w:t xml:space="preserve">一、法人或者其他组织的营业执照等证明文件，自然人的身份证明</w:t>
      </w:r>
      <w:r/>
    </w:p>
    <w:p>
      <w:pPr>
        <w:pStyle w:val="706"/>
        <w:ind w:firstLine="480"/>
        <w:jc w:val="both"/>
        <w:spacing w:beforeAutospacing="0" w:afterAutospacing="0" w:line="0" w:lineRule="atLeast"/>
        <w:rPr>
          <w:highlight w:val="none"/>
        </w:rPr>
      </w:pPr>
      <w:r>
        <w:rPr>
          <w:highlight w:val="none"/>
        </w:rPr>
        <w:t xml:space="preserve"> </w:t>
      </w:r>
      <w:r/>
    </w:p>
    <w:p>
      <w:pPr>
        <w:pStyle w:val="706"/>
        <w:jc w:val="both"/>
        <w:spacing w:beforeAutospacing="0" w:afterAutospacing="0"/>
        <w:rPr>
          <w:rFonts w:eastAsia="黑体"/>
          <w:highlight w:val="none"/>
        </w:rPr>
      </w:pPr>
      <w:r>
        <w:rPr>
          <w:rFonts w:hint="eastAsia" w:ascii="黑体" w:hAnsi="宋体" w:eastAsia="黑体" w:cs="黑体"/>
          <w:i/>
          <w:sz w:val="32"/>
          <w:szCs w:val="32"/>
          <w:highlight w:val="none"/>
          <w:u w:val="single"/>
        </w:rPr>
        <w:t xml:space="preserve">二、上一年度的财务状况报告</w:t>
      </w:r>
      <w:r/>
    </w:p>
    <w:p>
      <w:pPr>
        <w:pStyle w:val="706"/>
        <w:jc w:val="both"/>
        <w:spacing w:beforeAutospacing="0" w:afterAutospacing="0" w:line="0" w:lineRule="atLeast"/>
        <w:rPr>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706"/>
        <w:ind w:firstLine="492"/>
        <w:jc w:val="both"/>
        <w:spacing w:beforeAutospacing="0" w:afterAutospacing="0" w:line="0" w:lineRule="atLeast"/>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706"/>
        <w:ind w:firstLine="492"/>
        <w:jc w:val="both"/>
        <w:spacing w:beforeAutospacing="0" w:afterAutospacing="0" w:line="0" w:lineRule="atLeast"/>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706"/>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706"/>
        <w:jc w:val="both"/>
        <w:spacing w:beforeAutospacing="0" w:afterAutospacing="0"/>
        <w:rPr>
          <w:highlight w:val="none"/>
        </w:rPr>
      </w:pPr>
      <w:r>
        <w:rPr>
          <w:rFonts w:hint="eastAsia" w:ascii="黑体" w:hAnsi="宋体" w:eastAsia="黑体" w:cs="黑体"/>
          <w:i/>
          <w:sz w:val="32"/>
          <w:szCs w:val="32"/>
          <w:highlight w:val="none"/>
          <w:u w:val="single"/>
        </w:rPr>
        <w:t xml:space="preserve">四、依法缴纳税收和社会保障资金的相关材料</w:t>
      </w:r>
      <w:r/>
    </w:p>
    <w:p>
      <w:pPr>
        <w:pStyle w:val="706"/>
        <w:ind w:firstLine="480"/>
        <w:jc w:val="both"/>
        <w:spacing w:beforeAutospacing="0" w:afterAutospacing="0"/>
        <w:rPr>
          <w:highlight w:val="none"/>
        </w:rPr>
      </w:pPr>
      <w:r/>
      <w:bookmarkStart w:id="198" w:name="_Toc120614284"/>
      <w:r>
        <w:rPr>
          <w:rFonts w:hint="eastAsia" w:ascii="宋体" w:hAnsi="宋体" w:eastAsia="宋体" w:cs="宋体"/>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pStyle w:val="706"/>
        <w:jc w:val="both"/>
        <w:spacing w:beforeAutospacing="0" w:afterAutospacing="0"/>
        <w:rPr>
          <w:highlight w:val="none"/>
        </w:rPr>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706"/>
        <w:jc w:val="both"/>
        <w:spacing w:beforeAutospacing="0" w:afterAutospacing="0" w:line="0" w:lineRule="atLeast"/>
        <w:rPr>
          <w:highlight w:val="none"/>
        </w:rPr>
      </w:pPr>
      <w:r>
        <w:rPr>
          <w:rFonts w:hint="eastAsia" w:ascii="宋体" w:hAnsi="宋体" w:eastAsia="宋体" w:cs="宋体"/>
          <w:b/>
          <w:sz w:val="44"/>
          <w:szCs w:val="44"/>
          <w:highlight w:val="none"/>
        </w:rPr>
        <w:t xml:space="preserve">       声  明</w:t>
      </w:r>
      <w:r/>
    </w:p>
    <w:p>
      <w:pPr>
        <w:pStyle w:val="706"/>
        <w:jc w:val="both"/>
        <w:spacing w:beforeAutospacing="0" w:afterAutospacing="0" w:line="0" w:lineRule="atLeast"/>
        <w:rPr>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rFonts w:hint="eastAsia" w:ascii="黑体" w:hAnsi="宋体" w:eastAsia="黑体" w:cs="黑体"/>
          <w:i/>
          <w:sz w:val="32"/>
          <w:szCs w:val="32"/>
          <w:highlight w:val="none"/>
          <w:u w:val="single"/>
        </w:rPr>
        <w:t xml:space="preserve">六、特定资格要求的证明文件</w:t>
      </w:r>
      <w:r/>
    </w:p>
    <w:p>
      <w:pPr>
        <w:pStyle w:val="706"/>
        <w:jc w:val="both"/>
        <w:spacing w:beforeAutospacing="0" w:afterAutospacing="0" w:line="0" w:lineRule="atLeast"/>
        <w:rPr>
          <w:highlight w:val="none"/>
        </w:rPr>
      </w:pPr>
      <w:r>
        <w:rPr>
          <w:rFonts w:hint="eastAsia" w:ascii="宋体" w:hAnsi="宋体" w:eastAsia="宋体" w:cs="宋体"/>
          <w:highlight w:val="none"/>
        </w:rPr>
        <w:t xml:space="preserve">    如果本项目申请人的特定资格要求中要求提供的，必须提供。</w:t>
      </w:r>
      <w:r/>
    </w:p>
    <w:p>
      <w:pPr>
        <w:pStyle w:val="706"/>
        <w:jc w:val="both"/>
        <w:spacing w:beforeAutospacing="0" w:afterAutospacing="0" w:line="0" w:lineRule="atLeast"/>
        <w:rPr>
          <w:highlight w:val="none"/>
        </w:rPr>
      </w:pPr>
      <w:r>
        <w:rPr>
          <w:highlight w:val="none"/>
        </w:rPr>
        <w:t xml:space="preserve"> </w:t>
      </w:r>
      <w:r/>
    </w:p>
    <w:p>
      <w:pPr>
        <w:pStyle w:val="706"/>
        <w:jc w:val="center"/>
        <w:spacing w:beforeAutospacing="0" w:afterAutospacing="0"/>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pStyle w:val="706"/>
        <w:jc w:val="center"/>
        <w:spacing w:beforeAutospacing="0" w:afterAutospacing="0"/>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rPr>
          <w:rFonts w:ascii="黑体" w:hAnsi="宋体" w:eastAsia="黑体" w:cs="黑体"/>
          <w:i/>
          <w:sz w:val="32"/>
          <w:szCs w:val="32"/>
          <w:highlight w:val="none"/>
          <w:u w:val="single"/>
        </w:rPr>
      </w:pPr>
      <w:r>
        <w:rPr>
          <w:rFonts w:ascii="黑体" w:hAnsi="宋体" w:eastAsia="黑体" w:cs="黑体"/>
          <w:i/>
          <w:sz w:val="32"/>
          <w:szCs w:val="32"/>
          <w:highlight w:val="none"/>
          <w:u w:val="single"/>
        </w:rPr>
        <w:br w:type="page" w:clear="all"/>
      </w:r>
      <w:r/>
    </w:p>
    <w:p>
      <w:pPr>
        <w:pStyle w:val="706"/>
        <w:jc w:val="center"/>
        <w:spacing w:beforeAutospacing="0" w:afterAutospacing="0"/>
        <w:rPr>
          <w:highlight w:val="none"/>
        </w:rPr>
      </w:pPr>
      <w:r>
        <w:rPr>
          <w:rFonts w:hint="eastAsia" w:ascii="黑体" w:hAnsi="宋体" w:eastAsia="黑体" w:cs="黑体"/>
          <w:i/>
          <w:sz w:val="32"/>
          <w:szCs w:val="32"/>
          <w:highlight w:val="none"/>
          <w:u w:val="single"/>
        </w:rPr>
        <w:t xml:space="preserve">七、法人授权书</w:t>
      </w:r>
      <w:r/>
    </w:p>
    <w:p>
      <w:pPr>
        <w:pStyle w:val="706"/>
        <w:ind w:firstLine="480"/>
        <w:jc w:val="both"/>
        <w:spacing w:beforeAutospacing="0" w:afterAutospacing="0"/>
        <w:tabs>
          <w:tab w:val="left" w:pos="360" w:leader="none"/>
        </w:tabs>
        <w:rPr>
          <w:highlight w:val="none"/>
        </w:rPr>
      </w:pPr>
      <w:r>
        <w:rPr>
          <w:rFonts w:ascii="Times New Roman" w:hAnsi="Times New Roman"/>
          <w:highlight w:val="none"/>
        </w:rPr>
        <w:t xml:space="preserve">本授权书声明：____________（投标人名称）授权________________（被授权人的姓名）为我方就号项目采购活动的合法代理人，以本单位名义全权处理一切与该项目采购有关的事务。</w:t>
      </w:r>
      <w:r/>
    </w:p>
    <w:p>
      <w:pPr>
        <w:pStyle w:val="706"/>
        <w:ind w:firstLine="480"/>
        <w:jc w:val="both"/>
        <w:spacing w:beforeAutospacing="0" w:afterAutospacing="0"/>
        <w:tabs>
          <w:tab w:val="left" w:pos="360" w:leader="none"/>
        </w:tabs>
        <w:rPr>
          <w:highlight w:val="none"/>
        </w:rPr>
      </w:pPr>
      <w:r>
        <w:rPr>
          <w:rFonts w:ascii="Times New Roman" w:hAnsi="Times New Roman"/>
          <w:highlight w:val="none"/>
        </w:rPr>
        <w:t xml:space="preserve">本授权书于______年____月____日起生效，特此声明。</w:t>
      </w:r>
      <w:r/>
    </w:p>
    <w:p>
      <w:pPr>
        <w:pStyle w:val="706"/>
        <w:jc w:val="both"/>
        <w:spacing w:beforeAutospacing="0" w:afterAutospacing="0"/>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p>
    <w:p>
      <w:pPr>
        <w:pStyle w:val="706"/>
        <w:jc w:val="both"/>
        <w:spacing w:beforeAutospacing="0" w:afterAutospacing="0"/>
        <w:tabs>
          <w:tab w:val="left" w:pos="360" w:leader="none"/>
        </w:tabs>
        <w:rPr>
          <w:highlight w:val="non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706"/>
        <w:ind w:firstLine="1200"/>
        <w:jc w:val="both"/>
        <w:spacing w:beforeAutospacing="0" w:afterAutospacing="0"/>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706"/>
        <w:ind w:firstLine="480"/>
        <w:jc w:val="both"/>
        <w:spacing w:beforeAutospacing="0" w:afterAutospacing="0"/>
        <w:tabs>
          <w:tab w:val="left" w:pos="360" w:leader="none"/>
        </w:tabs>
        <w:rPr>
          <w:highlight w:val="none"/>
        </w:rPr>
      </w:pPr>
      <w:r>
        <w:rPr>
          <w:rFonts w:ascii="Times New Roman" w:hAnsi="Times New Roman"/>
          <w:highlight w:val="none"/>
        </w:rPr>
        <w:t xml:space="preserve">      单位地址：</w:t>
      </w:r>
      <w:r>
        <w:rPr>
          <w:rFonts w:ascii="Times New Roman" w:hAnsi="Times New Roman"/>
          <w:highlight w:val="none"/>
          <w:u w:val="single"/>
        </w:rPr>
        <w:t xml:space="preserve">                                         </w:t>
      </w:r>
      <w:r/>
    </w:p>
    <w:p>
      <w:pPr>
        <w:pStyle w:val="706"/>
        <w:ind w:firstLine="480"/>
        <w:jc w:val="both"/>
        <w:spacing w:beforeAutospacing="0" w:afterAutospacing="0"/>
        <w:tabs>
          <w:tab w:val="left" w:pos="360" w:leader="none"/>
        </w:tabs>
        <w:rPr>
          <w:highlight w:val="none"/>
        </w:rPr>
      </w:pPr>
      <w:r>
        <w:rPr>
          <w:rFonts w:ascii="Times New Roman" w:hAnsi="Times New Roman"/>
          <w:highlight w:val="none"/>
        </w:rPr>
        <w:t xml:space="preserve">      日期：</w:t>
      </w:r>
      <w:bookmarkStart w:id="199" w:name="_格式3__银行出具的资信证明"/>
      <w:r/>
      <w:bookmarkStart w:id="200" w:name="_Hlt26671380"/>
      <w:r/>
      <w:bookmarkStart w:id="201" w:name="_Hlt26955070"/>
      <w:r>
        <w:rPr>
          <w:rFonts w:ascii="Times New Roman" w:hAnsi="Times New Roman"/>
          <w:highlight w:val="none"/>
          <w:u w:val="single"/>
        </w:rPr>
        <w:t xml:space="preserve">                                         </w:t>
      </w:r>
      <w:r/>
    </w:p>
    <w:p>
      <w:pPr>
        <w:pStyle w:val="706"/>
        <w:ind w:firstLine="420"/>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line="0" w:lineRule="atLeast"/>
        <w:rPr>
          <w:highlight w:val="none"/>
        </w:rPr>
      </w:pPr>
      <w:r>
        <w:rPr>
          <w:highlight w:val="none"/>
        </w:rPr>
        <w:t xml:space="preserve"> </w:t>
      </w:r>
      <w:r/>
    </w:p>
    <w:p>
      <w:pPr>
        <w:pStyle w:val="706"/>
        <w:jc w:val="both"/>
        <w:spacing w:beforeAutospacing="0" w:afterAutospacing="0" w:line="0" w:lineRule="atLeast"/>
        <w:rPr>
          <w:highlight w:val="none"/>
        </w:rPr>
      </w:pPr>
      <w:r>
        <w:rPr>
          <w:highlight w:val="none"/>
        </w:rPr>
        <w:t xml:space="preserve"> </w:t>
      </w:r>
      <w:r/>
    </w:p>
    <w:p>
      <w:pPr>
        <w:pStyle w:val="706"/>
        <w:ind w:firstLine="3390"/>
        <w:jc w:val="both"/>
        <w:keepLines/>
        <w:keepNext/>
        <w:spacing w:before="260" w:beforeAutospacing="0" w:after="260" w:afterAutospacing="0" w:line="415" w:lineRule="auto"/>
        <w:rPr>
          <w:rFonts w:ascii="黑体" w:hAnsi="宋体" w:eastAsia="黑体" w:cs="黑体"/>
          <w:b/>
          <w:sz w:val="32"/>
          <w:szCs w:val="32"/>
          <w:highlight w:val="none"/>
        </w:rPr>
      </w:pPr>
      <w:r>
        <w:rPr>
          <w:rFonts w:hint="eastAsia" w:ascii="宋体" w:hAnsi="宋体" w:eastAsia="宋体" w:cs="宋体"/>
          <w:b/>
          <w:highlight w:val="none"/>
        </w:rPr>
        <w:br w:type="page" w:clear="all"/>
      </w:r>
      <w:r>
        <w:rPr>
          <w:rFonts w:hint="eastAsia" w:ascii="宋体" w:hAnsi="宋体" w:eastAsia="宋体" w:cs="宋体"/>
          <w:b/>
          <w:highlight w:val="none"/>
        </w:rPr>
        <w:t xml:space="preserve"> </w:t>
      </w:r>
      <w:r>
        <w:rPr>
          <w:rFonts w:hint="eastAsia" w:ascii="黑体" w:hAnsi="宋体" w:eastAsia="黑体" w:cs="黑体"/>
          <w:b/>
          <w:sz w:val="32"/>
          <w:szCs w:val="32"/>
          <w:highlight w:val="none"/>
        </w:rPr>
        <w:t xml:space="preserve">八、投标函</w:t>
      </w:r>
      <w:r/>
    </w:p>
    <w:p>
      <w:pPr>
        <w:pStyle w:val="706"/>
        <w:spacing w:beforeAutospacing="0" w:afterAutospacing="0" w:line="0" w:lineRule="atLeast"/>
        <w:rPr>
          <w:highlight w:val="none"/>
        </w:rPr>
      </w:pPr>
      <w:r>
        <w:rPr>
          <w:rFonts w:hint="eastAsia" w:ascii="宋体" w:hAnsi="宋体" w:eastAsia="宋体" w:cs="宋体"/>
          <w:highlight w:val="none"/>
        </w:rPr>
        <w:t xml:space="preserve">致：盐城市盐都区公共资源交易中心</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根据贵方的号招标文件，正式授权下述签字人______(姓名)代表我方______________（投标人的名称），全权处理本次项目投标的有关事宜。</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据此函，__________签字人兹宣布同意如下：</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1.按招标文件规定的各项要求，向买方提供所需服务（包含与服务相关的货物）。</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2.我们完全理解贵方不一定将合同授予最低报价的投标人。</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3.我们已详细审核全部招标文件及其有效补充文件，我们知道必须放弃提出含糊不清或误解问题的权利。</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4.我们同意从规定的开标日期起遵循本投标文件，并在规定的投标有效期期满之前均具有约束力。</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5.同意向贵方提供贵方可能另外要求的与投标有关的任何证据或资料，并保证我方已提供和将要提供的文件是真实的、准确的。</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6.一旦我方中标,我方将根据招标文件的规定，严格履行合同的责任和义务,并保证在招标文件规定的时间完成项目，交付买方验收、使用。</w:t>
      </w:r>
      <w:r/>
    </w:p>
    <w:p>
      <w:pPr>
        <w:pStyle w:val="706"/>
        <w:ind w:firstLine="480"/>
        <w:spacing w:beforeAutospacing="0" w:afterAutospacing="0" w:line="0" w:lineRule="atLeast"/>
        <w:rPr>
          <w:highlight w:val="none"/>
        </w:rPr>
      </w:pPr>
      <w:r>
        <w:rPr>
          <w:rFonts w:hint="eastAsia" w:ascii="宋体" w:hAnsi="宋体" w:eastAsia="宋体" w:cs="宋体"/>
          <w:highlight w:val="none"/>
        </w:rPr>
        <w:t xml:space="preserve">7.与本投标有关的正式通讯地址为：</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地          址：</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邮          编：</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电          话：</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传          真：</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投标人开户行：</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账          号： </w:t>
      </w:r>
      <w:r/>
    </w:p>
    <w:p>
      <w:pPr>
        <w:pStyle w:val="706"/>
        <w:ind w:left="420" w:firstLine="480"/>
        <w:spacing w:beforeAutospacing="0" w:afterAutospacing="0" w:line="0" w:lineRule="atLeast"/>
        <w:rPr>
          <w:highlight w:val="none"/>
        </w:rPr>
      </w:pPr>
      <w:r>
        <w:rPr>
          <w:rFonts w:hint="eastAsia" w:ascii="宋体" w:hAnsi="宋体" w:eastAsia="宋体" w:cs="宋体"/>
          <w:highlight w:val="none"/>
        </w:rPr>
        <w:t xml:space="preserve">日           期：________年____月____日</w:t>
      </w:r>
      <w:r/>
    </w:p>
    <w:p>
      <w:pPr>
        <w:pStyle w:val="706"/>
        <w:ind w:firstLine="240"/>
        <w:jc w:val="center"/>
        <w:spacing w:beforeAutospacing="0" w:afterAutospacing="0" w:line="0" w:lineRule="atLeast"/>
        <w:rPr>
          <w:highlight w:val="none"/>
        </w:rPr>
      </w:pPr>
      <w:r>
        <w:rPr>
          <w:highlight w:val="none"/>
        </w:rPr>
        <w:t xml:space="preserve"> </w:t>
      </w:r>
      <w:r/>
    </w:p>
    <w:p>
      <w:pPr>
        <w:pStyle w:val="706"/>
        <w:ind w:firstLine="240"/>
        <w:jc w:val="center"/>
        <w:spacing w:beforeAutospacing="0" w:afterAutospacing="0" w:line="0" w:lineRule="atLeast"/>
        <w:rPr>
          <w:highlight w:val="none"/>
        </w:rPr>
      </w:pPr>
      <w:r>
        <w:rPr>
          <w:highlight w:val="none"/>
        </w:rPr>
        <w:t xml:space="preserve"> </w:t>
      </w:r>
      <w:r/>
    </w:p>
    <w:p>
      <w:pPr>
        <w:pStyle w:val="706"/>
        <w:ind w:firstLine="240"/>
        <w:jc w:val="center"/>
        <w:spacing w:beforeAutospacing="0" w:afterAutospacing="0" w:line="0" w:lineRule="atLeast"/>
        <w:rPr>
          <w:highlight w:val="none"/>
        </w:rPr>
      </w:pPr>
      <w:r>
        <w:rPr>
          <w:highlight w:val="none"/>
        </w:rPr>
        <w:t xml:space="preserve"> </w:t>
      </w:r>
      <w:r/>
    </w:p>
    <w:p>
      <w:pPr>
        <w:pStyle w:val="706"/>
        <w:ind w:firstLine="240"/>
        <w:jc w:val="center"/>
        <w:spacing w:beforeAutospacing="0" w:afterAutospacing="0" w:line="0" w:lineRule="atLeast"/>
        <w:rPr>
          <w:highlight w:val="none"/>
        </w:rPr>
      </w:pPr>
      <w:r>
        <w:rPr>
          <w:highlight w:val="none"/>
        </w:rPr>
        <w:t xml:space="preserve"> </w:t>
      </w:r>
      <w:r/>
    </w:p>
    <w:p>
      <w:pPr>
        <w:pStyle w:val="706"/>
        <w:ind w:firstLine="240"/>
        <w:jc w:val="center"/>
        <w:spacing w:beforeAutospacing="0" w:afterAutospacing="0" w:line="0" w:lineRule="atLeast"/>
        <w:rPr>
          <w:highlight w:val="none"/>
        </w:rPr>
      </w:pPr>
      <w:r>
        <w:rPr>
          <w:highlight w:val="none"/>
        </w:rPr>
        <w:t xml:space="preserve"> </w:t>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ind w:firstLine="240"/>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0" w:lineRule="atLeast"/>
        <w:rPr>
          <w:rFonts w:cs="Times New Roman"/>
          <w:sz w:val="24"/>
          <w:highlight w:val="none"/>
        </w:rPr>
      </w:pPr>
      <w:r>
        <w:rPr>
          <w:rFonts w:hint="eastAsia" w:ascii="黑体" w:hAnsi="宋体" w:eastAsia="黑体" w:cs="黑体"/>
          <w:b/>
          <w:sz w:val="32"/>
          <w:szCs w:val="32"/>
          <w:highlight w:val="none"/>
        </w:rPr>
        <w:t xml:space="preserve">九、中小企业声明函（服务）（分包号：**）</w:t>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号）的规定，本公司（联合体）参加盐城市盐都区公共资源交易中心组织的</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w:t>
      </w:r>
      <w:r>
        <w:rPr>
          <w:rFonts w:hint="eastAsia"/>
          <w:sz w:val="24"/>
          <w:highlight w:val="none"/>
          <w:u w:val="single"/>
        </w:rPr>
        <w:t xml:space="preserve">     </w:t>
      </w:r>
      <w:r>
        <w:rPr>
          <w:rFonts w:hint="eastAsia"/>
          <w:sz w:val="24"/>
          <w:highlight w:val="none"/>
        </w:rPr>
        <w:t xml:space="preserve">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1"/>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ind w:right="720"/>
        <w:spacing w:line="0" w:lineRule="atLeast"/>
        <w:rPr>
          <w:rFonts w:cs="Times New Roman"/>
          <w:sz w:val="24"/>
          <w:highlight w:val="none"/>
        </w:rPr>
      </w:pPr>
      <w:r>
        <w:rPr>
          <w:rFonts w:cs="Times New Roman"/>
          <w:sz w:val="24"/>
          <w:highlight w:val="none"/>
        </w:rPr>
        <w:t xml:space="preserve"> </w:t>
      </w:r>
      <w:r/>
    </w:p>
    <w:p>
      <w:pPr>
        <w:ind w:right="180" w:firstLine="360"/>
        <w:jc w:val="right"/>
        <w:spacing w:line="0" w:lineRule="atLeast"/>
        <w:rPr>
          <w:rFonts w:cs="Times New Roman"/>
          <w:sz w:val="24"/>
          <w:highlight w:val="none"/>
        </w:rPr>
      </w:pPr>
      <w:r>
        <w:rPr>
          <w:rFonts w:hint="eastAsia" w:ascii="宋体" w:hAnsi="宋体" w:eastAsia="宋体" w:cs="宋体"/>
          <w:sz w:val="24"/>
          <w:highlight w:val="none"/>
        </w:rPr>
        <w:t xml:space="preserve">企业名称（加盖CA电子公章）：</w:t>
      </w:r>
      <w:r/>
    </w:p>
    <w:p>
      <w:pPr>
        <w:ind w:right="480" w:firstLine="5400"/>
        <w:spacing w:line="0" w:lineRule="atLeast"/>
        <w:rPr>
          <w:rFonts w:cs="Times New Roman"/>
          <w:sz w:val="24"/>
          <w:highlight w:val="none"/>
        </w:rPr>
      </w:pPr>
      <w:r>
        <w:rPr>
          <w:rFonts w:hint="eastAsia" w:ascii="宋体" w:hAnsi="宋体" w:eastAsia="宋体" w:cs="宋体"/>
          <w:sz w:val="24"/>
          <w:highlight w:val="none"/>
        </w:rPr>
        <w:t xml:space="preserve">日  期：</w:t>
      </w:r>
      <w:r/>
    </w:p>
    <w:p>
      <w:pPr>
        <w:ind w:firstLine="240"/>
        <w:spacing w:line="0" w:lineRule="atLeast"/>
        <w:rPr>
          <w:rFonts w:cs="Times New Roman"/>
          <w:sz w:val="24"/>
          <w:highlight w:val="none"/>
        </w:rPr>
      </w:pPr>
      <w:r>
        <w:rPr>
          <w:rFonts w:cs="Times New Roman"/>
          <w:sz w:val="24"/>
          <w:highlight w:val="none"/>
        </w:rPr>
        <w:t xml:space="preserve"> </w:t>
      </w:r>
      <w:r/>
    </w:p>
    <w:p>
      <w:pPr>
        <w:ind w:firstLine="480"/>
        <w:spacing w:line="0" w:lineRule="atLeast"/>
        <w:rPr>
          <w:rFonts w:cs="Times New Roman"/>
          <w:sz w:val="24"/>
          <w:highlight w:val="none"/>
        </w:rPr>
      </w:pPr>
      <w:r>
        <w:rPr>
          <w:rFonts w:hint="eastAsia" w:ascii="宋体" w:hAnsi="宋体" w:eastAsia="宋体" w:cs="宋体"/>
          <w:sz w:val="24"/>
          <w:highlight w:val="none"/>
        </w:rPr>
        <w:t xml:space="preserve">备注1：从业人员、营业收入、资产总额填报上一年度数据，无上一年度数据的新成立企业可不填报。</w:t>
      </w:r>
      <w:r/>
    </w:p>
    <w:p>
      <w:pPr>
        <w:ind w:firstLine="480"/>
        <w:spacing w:line="0" w:lineRule="atLeast"/>
        <w:rPr>
          <w:rFonts w:cs="Times New Roman"/>
          <w:sz w:val="24"/>
          <w:highlight w:val="none"/>
        </w:rPr>
      </w:pPr>
      <w:r>
        <w:rPr>
          <w:rFonts w:hint="eastAsia" w:ascii="宋体" w:hAnsi="宋体" w:eastAsia="宋体" w:cs="宋体"/>
          <w:sz w:val="24"/>
          <w:highlight w:val="none"/>
        </w:rPr>
        <w:t xml:space="preserve">备注2：供应商如不提供此声明函，价格将不做相应扣除（如项目全面面向中小企业，则资格审查不通过）。</w:t>
      </w:r>
      <w:r/>
    </w:p>
    <w:p>
      <w:pPr>
        <w:jc w:val="center"/>
        <w:spacing w:line="0" w:lineRule="atLeast"/>
        <w:rPr>
          <w:rFonts w:cs="Times New Roman"/>
          <w:sz w:val="24"/>
          <w:highlight w:val="none"/>
        </w:rPr>
      </w:pPr>
      <w:r>
        <w:rPr>
          <w:rFonts w:hint="eastAsia" w:ascii="黑体" w:hAnsi="宋体" w:eastAsia="黑体" w:cs="黑体"/>
          <w:b/>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ind w:firstLine="480"/>
        <w:spacing w:line="0" w:lineRule="atLeast"/>
        <w:rPr>
          <w:rFonts w:cs="Times New Roman"/>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项目（分包号：**）采购活动由本单位提供服务。</w:t>
      </w:r>
      <w:r/>
    </w:p>
    <w:p>
      <w:pPr>
        <w:ind w:firstLine="480"/>
        <w:spacing w:line="0" w:lineRule="atLeast"/>
        <w:rPr>
          <w:rFonts w:cs="Times New Roman"/>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p>
    <w:p>
      <w:pPr>
        <w:ind w:firstLine="480"/>
        <w:spacing w:line="0" w:lineRule="atLeast"/>
        <w:rPr>
          <w:rFonts w:cs="Times New Roman"/>
          <w:sz w:val="24"/>
          <w:highlight w:val="none"/>
        </w:rPr>
      </w:pPr>
      <w:r>
        <w:rPr>
          <w:rFonts w:cs="Times New Roman"/>
          <w:sz w:val="24"/>
          <w:highlight w:val="none"/>
        </w:rPr>
        <w:t xml:space="preserve"> </w:t>
      </w:r>
      <w:r/>
    </w:p>
    <w:p>
      <w:pPr>
        <w:ind w:firstLine="480"/>
        <w:spacing w:line="0" w:lineRule="atLeast"/>
        <w:rPr>
          <w:rFonts w:eastAsia="宋体" w:cs="Times New Roman"/>
          <w:sz w:val="24"/>
          <w:highlight w:val="none"/>
        </w:rPr>
      </w:pPr>
      <w:r>
        <w:rPr>
          <w:rFonts w:hint="eastAsia" w:ascii="宋体" w:hAnsi="宋体" w:eastAsia="宋体" w:cs="宋体"/>
          <w:color w:val="000000"/>
          <w:sz w:val="24"/>
          <w:highlight w:val="none"/>
        </w:rPr>
        <w:t xml:space="preserve">备注：1、供应商如不提供此声明函，价格将不做相应扣除（如项目全面面向中小企业，则资格审查不通过）。</w:t>
      </w:r>
      <w:r/>
    </w:p>
    <w:p>
      <w:pPr>
        <w:ind w:firstLine="480"/>
        <w:spacing w:line="0" w:lineRule="atLeast"/>
        <w:rPr>
          <w:rFonts w:cs="Times New Roman"/>
          <w:sz w:val="24"/>
          <w:highlight w:val="none"/>
        </w:rPr>
      </w:pPr>
      <w:r>
        <w:rPr>
          <w:rFonts w:hint="eastAsia" w:ascii="宋体" w:hAnsi="宋体" w:eastAsia="宋体" w:cs="宋体"/>
          <w:color w:val="000000"/>
          <w:sz w:val="24"/>
          <w:highlight w:val="none"/>
        </w:rPr>
        <w:t xml:space="preserve">2、中标人为残疾人福利单位的，此声明函将随中标结果同时公告，接受社会监督</w:t>
      </w:r>
      <w:r/>
    </w:p>
    <w:p>
      <w:pPr>
        <w:ind w:firstLine="624"/>
        <w:spacing w:line="0" w:lineRule="atLeast"/>
        <w:rPr>
          <w:rFonts w:cs="Times New Roman"/>
          <w:sz w:val="24"/>
          <w:highlight w:val="none"/>
        </w:rPr>
      </w:pPr>
      <w:r>
        <w:rPr>
          <w:rFonts w:cs="Times New Roman"/>
          <w:sz w:val="24"/>
          <w:highlight w:val="none"/>
        </w:rPr>
        <w:t xml:space="preserve"> </w:t>
      </w:r>
      <w:r/>
    </w:p>
    <w:p>
      <w:pPr>
        <w:ind w:right="1560" w:firstLine="624"/>
        <w:jc w:val="center"/>
        <w:spacing w:line="0" w:lineRule="atLeast"/>
        <w:tabs>
          <w:tab w:val="left" w:pos="4864" w:leader="none"/>
        </w:tabs>
        <w:rPr>
          <w:rFonts w:cs="Times New Roman"/>
          <w:sz w:val="24"/>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highlight w:val="none"/>
        </w:rPr>
        <w:t xml:space="preserve">        供应商全称（加盖CA电子公章）：</w:t>
      </w:r>
      <w:r/>
    </w:p>
    <w:p>
      <w:pPr>
        <w:ind w:right="1560" w:firstLine="480"/>
        <w:jc w:val="center"/>
        <w:spacing w:line="0" w:lineRule="atLeast"/>
        <w:tabs>
          <w:tab w:val="left" w:pos="4864" w:leader="none"/>
        </w:tabs>
        <w:rPr>
          <w:rFonts w:cs="Times New Roman"/>
          <w:sz w:val="24"/>
          <w:highlight w:val="none"/>
        </w:rPr>
      </w:pPr>
      <w:r>
        <w:rPr>
          <w:rFonts w:hint="eastAsia" w:ascii="宋体" w:hAnsi="宋体" w:eastAsia="宋体" w:cs="宋体"/>
          <w:color w:val="000000"/>
          <w:sz w:val="24"/>
          <w:highlight w:val="none"/>
        </w:rPr>
        <w:t xml:space="preserve">        日  期：</w:t>
      </w:r>
      <w:r/>
    </w:p>
    <w:p>
      <w:pPr>
        <w:pStyle w:val="706"/>
        <w:ind w:right="1560" w:firstLine="480"/>
        <w:jc w:val="center"/>
        <w:spacing w:beforeAutospacing="0" w:afterAutospacing="0" w:line="0" w:lineRule="atLeast"/>
        <w:tabs>
          <w:tab w:val="left" w:pos="4864" w:leader="none"/>
        </w:tabs>
        <w:rPr>
          <w:highlight w:val="none"/>
        </w:rPr>
      </w:pPr>
      <w:r>
        <w:rPr>
          <w:highlight w:val="none"/>
        </w:rPr>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06"/>
        <w:jc w:val="center"/>
        <w:spacing w:beforeAutospacing="0" w:afterAutospacing="0" w:line="0" w:lineRule="atLeast"/>
        <w:rPr>
          <w:highlight w:val="none"/>
        </w:rPr>
      </w:pPr>
      <w:r>
        <w:rPr>
          <w:highlight w:val="none"/>
        </w:rPr>
        <w:t xml:space="preserve">  </w:t>
      </w:r>
      <w:r/>
    </w:p>
    <w:p>
      <w:pPr>
        <w:pStyle w:val="712"/>
        <w:jc w:val="center"/>
        <w:spacing w:line="360" w:lineRule="auto"/>
        <w:rPr>
          <w:rFonts w:ascii="黑体" w:hAnsi="宋体" w:eastAsia="黑体" w:cs="黑体"/>
          <w:b/>
          <w:sz w:val="32"/>
          <w:szCs w:val="32"/>
          <w:highlight w:val="none"/>
        </w:rPr>
      </w:pPr>
      <w:r>
        <w:rPr>
          <w:rFonts w:hint="eastAsia" w:ascii="黑体" w:hAnsi="宋体" w:eastAsia="黑体" w:cs="黑体"/>
          <w:b/>
          <w:sz w:val="32"/>
          <w:szCs w:val="32"/>
          <w:highlight w:val="none"/>
        </w:rPr>
        <w:t xml:space="preserve">十一、投标分项报价表</w:t>
      </w:r>
      <w:r/>
    </w:p>
    <w:p>
      <w:pPr>
        <w:pStyle w:val="712"/>
        <w:spacing w:line="360" w:lineRule="auto"/>
        <w:rPr>
          <w:rFonts w:ascii="Times New Roman" w:hAnsi="Times New Roman" w:eastAsia="宋体"/>
          <w:sz w:val="21"/>
          <w:highlight w:val="none"/>
        </w:rPr>
      </w:pPr>
      <w:r>
        <w:rPr>
          <w:rFonts w:hint="eastAsia" w:ascii="Times New Roman" w:hAnsi="宋体" w:eastAsia="宋体"/>
          <w:sz w:val="21"/>
          <w:highlight w:val="none"/>
        </w:rPr>
        <w:t xml:space="preserve">项目名称：</w:t>
      </w:r>
      <w:r/>
    </w:p>
    <w:tbl>
      <w:tblPr>
        <w:tblStyle w:val="693"/>
        <w:tblpPr w:horzAnchor="page" w:tblpX="1501" w:vertAnchor="text" w:tblpY="408" w:leftFromText="180" w:topFromText="0" w:rightFromText="180" w:bottomFromText="0"/>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972"/>
        <w:gridCol w:w="854"/>
        <w:gridCol w:w="1600"/>
        <w:gridCol w:w="1784"/>
        <w:gridCol w:w="1683"/>
        <w:gridCol w:w="1543"/>
      </w:tblGrid>
      <w:tr>
        <w:trPr>
          <w:trHeight w:val="405"/>
        </w:trPr>
        <w:tc>
          <w:tcPr>
            <w:tcW w:w="685"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W w:w="972"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项目</w:t>
            </w:r>
            <w:r/>
          </w:p>
        </w:tc>
        <w:tc>
          <w:tcPr>
            <w:gridSpan w:val="2"/>
            <w:tcW w:w="2454"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规  格</w:t>
            </w:r>
            <w:r/>
          </w:p>
        </w:tc>
        <w:tc>
          <w:tcPr>
            <w:tcW w:w="1784"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招标控制单价</w:t>
            </w:r>
            <w:r/>
          </w:p>
        </w:tc>
        <w:tc>
          <w:tcPr>
            <w:tcW w:w="1683"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val="en-US" w:eastAsia="zh-CN" w:bidi="ar"/>
              </w:rPr>
              <w:t xml:space="preserve">优惠率</w:t>
            </w:r>
            <w:r>
              <w:rPr>
                <w:rFonts w:hint="eastAsia" w:ascii="仿宋" w:hAnsi="仿宋" w:eastAsia="仿宋" w:cs="仿宋"/>
                <w:b/>
                <w:bCs/>
                <w:szCs w:val="21"/>
                <w:highlight w:val="none"/>
                <w:lang w:bidi="ar"/>
              </w:rPr>
              <w:t xml:space="preserve">（%）</w:t>
            </w:r>
            <w:r/>
          </w:p>
        </w:tc>
        <w:tc>
          <w:tcPr>
            <w:tcW w:w="1543" w:type="dxa"/>
            <w:vAlign w:val="center"/>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备注</w:t>
            </w:r>
            <w:r/>
          </w:p>
        </w:tc>
      </w:tr>
      <w:tr>
        <w:trPr>
          <w:trHeight w:val="319"/>
        </w:trPr>
        <w:tc>
          <w:tcPr>
            <w:tcW w:w="685" w:type="dxa"/>
            <w:vAlign w:val="center"/>
            <w:vMerge w:val="restart"/>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W w:w="972"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复印</w:t>
            </w:r>
            <w:r/>
          </w:p>
        </w:tc>
        <w:tc>
          <w:tcPr>
            <w:tcW w:w="854"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A3/8K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0.275</w:t>
            </w:r>
            <w:r/>
          </w:p>
        </w:tc>
        <w:tc>
          <w:tcPr>
            <w:tcW w:w="1683" w:type="dxa"/>
            <w:vAlign w:val="center"/>
            <w:vMerge w:val="restart"/>
            <w:textDirection w:val="lrTb"/>
            <w:noWrap/>
          </w:tcPr>
          <w:p>
            <w:pPr>
              <w:numPr>
                <w:ilvl w:val="0"/>
                <w:numId w:val="0"/>
              </w:numPr>
              <w:ind w:firstLine="240"/>
              <w:jc w:val="both"/>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tc>
        <w:tc>
          <w:tcPr>
            <w:tcW w:w="1543" w:type="dxa"/>
            <w:vAlign w:val="center"/>
            <w:vMerge w:val="restart"/>
            <w:textDirection w:val="lrTb"/>
            <w:noWrap/>
          </w:tcPr>
          <w:p>
            <w:pPr>
              <w:pStyle w:val="708"/>
              <w:ind w:firstLine="0"/>
              <w:spacing w:line="520" w:lineRule="exact"/>
              <w:rPr>
                <w:rFonts w:ascii="仿宋" w:hAnsi="仿宋" w:eastAsia="仿宋" w:cs="仿宋"/>
                <w:b/>
                <w:bCs/>
                <w:szCs w:val="21"/>
                <w:highlight w:val="none"/>
                <w:lang w:bidi="ar"/>
              </w:rPr>
            </w:pPr>
            <w:r>
              <w:rPr>
                <w:rFonts w:hint="eastAsia" w:ascii="仿宋" w:hAnsi="仿宋" w:eastAsia="仿宋" w:cs="仿宋"/>
                <w:b/>
                <w:bCs/>
                <w:szCs w:val="21"/>
                <w:highlight w:val="none"/>
                <w:lang w:bidi="ar"/>
              </w:rPr>
              <w:t xml:space="preserve">1、印刷必须使用</w:t>
            </w:r>
            <w:r>
              <w:rPr>
                <w:rFonts w:hint="eastAsia" w:ascii="仿宋" w:hAnsi="仿宋" w:eastAsia="仿宋" w:cs="仿宋"/>
                <w:b/>
                <w:bCs/>
                <w:szCs w:val="21"/>
                <w:highlight w:val="none"/>
                <w:lang w:eastAsia="zh-CN" w:bidi="ar"/>
              </w:rPr>
              <w:t xml:space="preserve">70 克</w:t>
            </w:r>
            <w:r>
              <w:rPr>
                <w:rFonts w:hint="eastAsia" w:ascii="仿宋" w:hAnsi="仿宋" w:eastAsia="仿宋" w:cs="仿宋"/>
                <w:b/>
                <w:bCs/>
                <w:szCs w:val="21"/>
                <w:highlight w:val="none"/>
                <w:lang w:bidi="ar"/>
              </w:rPr>
              <w:t xml:space="preserve">及以上原浆纸。</w:t>
            </w:r>
            <w:r/>
          </w:p>
          <w:p>
            <w:pPr>
              <w:pStyle w:val="708"/>
              <w:ind w:firstLine="0"/>
              <w:spacing w:line="520" w:lineRule="exact"/>
              <w:rPr>
                <w:rFonts w:ascii="仿宋" w:hAnsi="仿宋" w:eastAsia="仿宋" w:cs="仿宋"/>
                <w:highlight w:val="none"/>
              </w:rPr>
            </w:pPr>
            <w:r>
              <w:rPr>
                <w:rFonts w:hint="eastAsia" w:ascii="仿宋" w:hAnsi="仿宋" w:eastAsia="仿宋" w:cs="仿宋"/>
                <w:b/>
                <w:bCs/>
                <w:szCs w:val="21"/>
                <w:highlight w:val="none"/>
                <w:lang w:bidi="ar"/>
              </w:rPr>
              <w:t xml:space="preserve">2、文印张数</w:t>
            </w:r>
            <w:r>
              <w:rPr>
                <w:rFonts w:hint="eastAsia" w:ascii="仿宋" w:hAnsi="仿宋" w:eastAsia="仿宋" w:cs="仿宋"/>
                <w:b/>
                <w:bCs/>
                <w:szCs w:val="21"/>
                <w:highlight w:val="none"/>
                <w:lang w:val="en-US" w:eastAsia="zh-CN" w:bidi="ar"/>
              </w:rPr>
              <w:t xml:space="preserve">3</w:t>
            </w:r>
            <w:r>
              <w:rPr>
                <w:rFonts w:hint="eastAsia" w:ascii="仿宋" w:hAnsi="仿宋" w:eastAsia="仿宋" w:cs="仿宋"/>
                <w:b/>
                <w:bCs/>
                <w:szCs w:val="21"/>
                <w:highlight w:val="none"/>
                <w:lang w:bidi="ar"/>
              </w:rPr>
              <w:t xml:space="preserve">0张以上的复印必须油印,油印30张以上不满100张的以10</w:t>
            </w:r>
            <w:r>
              <w:rPr>
                <w:rFonts w:hint="eastAsia" w:ascii="仿宋" w:hAnsi="仿宋" w:eastAsia="仿宋" w:cs="仿宋"/>
                <w:b/>
                <w:bCs/>
                <w:szCs w:val="21"/>
                <w:highlight w:val="none"/>
                <w:lang w:val="en-US" w:eastAsia="zh-CN" w:bidi="ar"/>
              </w:rPr>
              <w:t xml:space="preserve">0</w:t>
            </w:r>
            <w:r>
              <w:rPr>
                <w:rFonts w:hint="eastAsia" w:ascii="仿宋" w:hAnsi="仿宋" w:eastAsia="仿宋" w:cs="仿宋"/>
                <w:b/>
                <w:bCs/>
                <w:szCs w:val="21"/>
                <w:highlight w:val="none"/>
                <w:lang w:bidi="ar"/>
              </w:rPr>
              <w:t xml:space="preserve">张计。文印张数未超过 100 张的，补制版费  8K:2元每版，16K:1元每版。</w:t>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0.330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default" w:ascii="仿宋" w:hAnsi="仿宋" w:eastAsia="仿宋" w:cs="仿宋"/>
                <w:szCs w:val="21"/>
                <w:highlight w:val="none"/>
                <w:lang w:val="en-US" w:eastAsia="zh-CN" w:bidi="ar"/>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0.550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44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default" w:ascii="仿宋" w:hAnsi="仿宋" w:eastAsia="仿宋" w:cs="仿宋"/>
                <w:szCs w:val="21"/>
                <w:highlight w:val="none"/>
                <w:lang w:val="en-US" w:eastAsia="zh-CN" w:bidi="ar"/>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0.660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A4</w:t>
            </w:r>
            <w:r>
              <w:rPr>
                <w:rFonts w:hint="eastAsia" w:ascii="仿宋" w:hAnsi="仿宋" w:eastAsia="仿宋" w:cs="仿宋"/>
                <w:szCs w:val="21"/>
                <w:highlight w:val="none"/>
                <w:lang w:val="en-US" w:eastAsia="zh-CN" w:bidi="ar"/>
              </w:rPr>
              <w:t xml:space="preserve">/</w:t>
            </w:r>
            <w:r>
              <w:rPr>
                <w:rFonts w:hint="eastAsia" w:ascii="仿宋" w:hAnsi="仿宋" w:eastAsia="仿宋" w:cs="仿宋"/>
                <w:szCs w:val="21"/>
                <w:highlight w:val="none"/>
                <w:lang w:bidi="ar"/>
              </w:rPr>
              <w:t xml:space="preserve">16K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0.165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0.165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widowControl/>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0.385</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292"/>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0.440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restart"/>
            <w:textDirection w:val="lrTb"/>
            <w:noWrap/>
          </w:tcPr>
          <w:p>
            <w:pPr>
              <w:jc w:val="center"/>
              <w:spacing w:line="520" w:lineRule="exact"/>
              <w:widowControl/>
              <w:rPr>
                <w:rFonts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W w:w="972" w:type="dxa"/>
            <w:vAlign w:val="center"/>
            <w:vMerge w:val="restart"/>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bidi="ar"/>
              </w:rPr>
              <w:t xml:space="preserve">油印</w:t>
            </w:r>
            <w:r/>
          </w:p>
        </w:tc>
        <w:tc>
          <w:tcPr>
            <w:tcW w:w="854" w:type="dxa"/>
            <w:vAlign w:val="center"/>
            <w:vMerge w:val="restart"/>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8K</w:t>
            </w:r>
            <w:r/>
          </w:p>
          <w:p>
            <w:pPr>
              <w:jc w:val="center"/>
              <w:spacing w:line="520" w:lineRule="exact"/>
              <w:widowControl/>
              <w:rPr>
                <w:rFonts w:hint="default" w:ascii="仿宋" w:hAnsi="仿宋" w:eastAsia="仿宋" w:cs="仿宋"/>
                <w:szCs w:val="21"/>
                <w:highlight w:val="none"/>
                <w:lang w:val="en-US" w:eastAsia="zh-CN"/>
              </w:rPr>
            </w:pPr>
            <w:r>
              <w:rPr>
                <w:rFonts w:hint="default" w:ascii="仿宋" w:hAnsi="仿宋" w:eastAsia="仿宋" w:cs="仿宋"/>
                <w:szCs w:val="21"/>
                <w:highlight w:val="none"/>
                <w:lang w:val="en-US" w:eastAsia="zh-CN"/>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0.033</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eastAsia" w:ascii="仿宋" w:hAnsi="仿宋" w:eastAsia="仿宋" w:cs="仿宋"/>
                <w:szCs w:val="21"/>
                <w:highlight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0.044</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widowControl/>
              <w:rPr>
                <w:rFonts w:hint="default" w:ascii="仿宋" w:hAnsi="仿宋" w:eastAsia="仿宋" w:cs="仿宋"/>
                <w:szCs w:val="21"/>
                <w:highlight w:val="none"/>
                <w:lang w:val="en-US" w:eastAsia="zh-CN"/>
              </w:rPr>
            </w:pPr>
            <w:r>
              <w:rPr>
                <w:rFonts w:hint="default" w:ascii="仿宋" w:hAnsi="仿宋" w:eastAsia="仿宋" w:cs="仿宋"/>
                <w:szCs w:val="21"/>
                <w:highlight w:val="none"/>
                <w:lang w:val="en-US" w:eastAsia="zh-CN"/>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0.110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0.198</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restart"/>
            <w:textDirection w:val="lrTb"/>
            <w:noWrap/>
          </w:tcPr>
          <w:p>
            <w:pPr>
              <w:jc w:val="center"/>
              <w:spacing w:line="520" w:lineRule="exact"/>
              <w:rPr>
                <w:rFonts w:ascii="仿宋" w:hAnsi="仿宋" w:eastAsia="仿宋" w:cs="仿宋"/>
                <w:szCs w:val="21"/>
                <w:highlight w:val="none"/>
              </w:rPr>
            </w:pPr>
            <w:r>
              <w:rPr>
                <w:rFonts w:hint="eastAsia" w:ascii="仿宋" w:hAnsi="仿宋" w:eastAsia="仿宋" w:cs="仿宋"/>
                <w:szCs w:val="21"/>
                <w:highlight w:val="none"/>
              </w:rPr>
              <w:t xml:space="preserve">16K</w:t>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单面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0.017</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val="en-US" w:eastAsia="zh-CN" w:bidi="ar"/>
              </w:rPr>
              <w:t xml:space="preserve">白纸</w:t>
            </w:r>
            <w:r>
              <w:rPr>
                <w:rFonts w:hint="eastAsia" w:ascii="仿宋" w:hAnsi="仿宋" w:eastAsia="仿宋" w:cs="仿宋"/>
                <w:szCs w:val="21"/>
                <w:highlight w:val="none"/>
                <w:lang w:bidi="ar"/>
              </w:rPr>
              <w:t xml:space="preserve">双面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0.022</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jc w:val="center"/>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600" w:type="dxa"/>
            <w:vAlign w:val="center"/>
            <w:textDirection w:val="lrTb"/>
            <w:noWrap/>
          </w:tcPr>
          <w:p>
            <w:pPr>
              <w:jc w:val="center"/>
              <w:spacing w:line="5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val="en-US" w:eastAsia="zh-CN" w:bidi="ar"/>
              </w:rPr>
              <w:t xml:space="preserve">彩纸单面</w:t>
            </w:r>
            <w:r/>
          </w:p>
        </w:tc>
        <w:tc>
          <w:tcPr>
            <w:tcW w:w="1784" w:type="dxa"/>
            <w:vAlign w:val="center"/>
            <w:textDirection w:val="lrTb"/>
            <w:noWrap/>
          </w:tcPr>
          <w:p>
            <w:pPr>
              <w:jc w:val="center"/>
              <w:keepLines w:val="0"/>
              <w:keepNext w:val="0"/>
              <w:widowControl/>
              <w:rPr>
                <w:rFonts w:hint="default" w:ascii="仿宋" w:hAnsi="仿宋" w:eastAsia="仿宋" w:cs="仿宋"/>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0.110</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vMerge w:val="continue"/>
            <w:textDirection w:val="lrTb"/>
            <w:noWrap/>
          </w:tcPr>
          <w:p>
            <w:pPr>
              <w:pStyle w:val="708"/>
              <w:ind w:firstLine="0"/>
              <w:spacing w:line="520" w:lineRule="exact"/>
              <w:rPr>
                <w:rFonts w:ascii="仿宋" w:hAnsi="仿宋" w:eastAsia="仿宋" w:cs="仿宋"/>
                <w:b/>
                <w:bCs/>
                <w:szCs w:val="21"/>
                <w:highlight w:val="none"/>
              </w:rPr>
            </w:pPr>
            <w:r>
              <w:rPr>
                <w:rFonts w:ascii="仿宋" w:hAnsi="仿宋" w:eastAsia="仿宋" w:cs="仿宋"/>
                <w:b/>
                <w:bCs/>
                <w:szCs w:val="21"/>
                <w:highlight w:val="none"/>
              </w:rPr>
            </w:r>
            <w:r/>
          </w:p>
        </w:tc>
        <w:tc>
          <w:tcPr>
            <w:tcW w:w="972"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854" w:type="dxa"/>
            <w:vAlign w:val="center"/>
            <w:vMerge w:val="continue"/>
            <w:textDirection w:val="lrTb"/>
            <w:noWrap/>
          </w:tcPr>
          <w:p>
            <w:pPr>
              <w:jc w:val="center"/>
              <w:spacing w:line="520" w:lineRule="exact"/>
              <w:rPr>
                <w:rFonts w:ascii="仿宋" w:hAnsi="仿宋" w:eastAsia="仿宋" w:cs="仿宋"/>
                <w:szCs w:val="21"/>
                <w:highlight w:val="none"/>
              </w:rPr>
            </w:pPr>
            <w:r>
              <w:rPr>
                <w:rFonts w:ascii="仿宋" w:hAnsi="仿宋" w:eastAsia="仿宋" w:cs="仿宋"/>
                <w:szCs w:val="21"/>
                <w:highlight w:val="none"/>
              </w:rPr>
            </w:r>
            <w:r/>
          </w:p>
        </w:tc>
        <w:tc>
          <w:tcPr>
            <w:tcW w:w="1600" w:type="dxa"/>
            <w:vAlign w:val="center"/>
            <w:textDirection w:val="lrTb"/>
            <w:noWrap/>
          </w:tcPr>
          <w:p>
            <w:pPr>
              <w:jc w:val="center"/>
              <w:spacing w:line="52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bidi="ar"/>
              </w:rPr>
              <w:t xml:space="preserve">彩纸双面</w:t>
            </w:r>
            <w:r/>
          </w:p>
        </w:tc>
        <w:tc>
          <w:tcPr>
            <w:tcW w:w="1784" w:type="dxa"/>
            <w:vAlign w:val="center"/>
            <w:textDirection w:val="lrTb"/>
            <w:noWrap/>
          </w:tcPr>
          <w:p>
            <w:pPr>
              <w:jc w:val="center"/>
              <w:keepLines w:val="0"/>
              <w:keepNext w:val="0"/>
              <w:widowControl/>
              <w:rPr>
                <w:rFonts w:hint="default" w:ascii="仿宋" w:hAnsi="仿宋" w:eastAsia="仿宋" w:cs="仿宋"/>
                <w:szCs w:val="21"/>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0.198</w:t>
            </w:r>
            <w:r/>
          </w:p>
        </w:tc>
        <w:tc>
          <w:tcPr>
            <w:tcW w:w="1683" w:type="dxa"/>
            <w:vAlign w:val="center"/>
            <w:vMerge w:val="continue"/>
            <w:textDirection w:val="lrTb"/>
            <w:noWrap/>
          </w:tcPr>
          <w:p>
            <w:pPr>
              <w:jc w:val="center"/>
              <w:spacing w:line="520" w:lineRule="exact"/>
              <w:rPr>
                <w:rFonts w:ascii="仿宋" w:hAnsi="仿宋" w:eastAsia="仿宋" w:cs="仿宋"/>
                <w:sz w:val="24"/>
                <w:highlight w:val="none"/>
              </w:rPr>
            </w:pPr>
            <w:r>
              <w:rPr>
                <w:rFonts w:ascii="仿宋" w:hAnsi="仿宋" w:eastAsia="仿宋" w:cs="仿宋"/>
                <w:sz w:val="24"/>
                <w:highlight w:val="none"/>
              </w:rPr>
            </w:r>
            <w:r/>
          </w:p>
        </w:tc>
        <w:tc>
          <w:tcPr>
            <w:tcW w:w="1543" w:type="dxa"/>
            <w:vAlign w:val="center"/>
            <w:vMerge w:val="continue"/>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r>
        <w:trPr>
          <w:trHeight w:val="181"/>
        </w:trPr>
        <w:tc>
          <w:tcPr>
            <w:tcW w:w="685" w:type="dxa"/>
            <w:vAlign w:val="center"/>
            <w:textDirection w:val="lrTb"/>
            <w:noWrap/>
          </w:tcPr>
          <w:p>
            <w:pPr>
              <w:pStyle w:val="708"/>
              <w:ind w:firstLine="211"/>
              <w:spacing w:line="520" w:lineRule="exact"/>
              <w:rPr>
                <w:rFonts w:ascii="仿宋" w:hAnsi="仿宋" w:eastAsia="仿宋" w:cs="仿宋"/>
                <w:b/>
                <w:bCs/>
                <w:szCs w:val="21"/>
                <w:highlight w:val="none"/>
              </w:rPr>
            </w:pPr>
            <w:r>
              <w:rPr>
                <w:rFonts w:hint="eastAsia" w:ascii="仿宋" w:hAnsi="仿宋" w:eastAsia="仿宋" w:cs="仿宋"/>
                <w:b/>
                <w:bCs/>
                <w:szCs w:val="21"/>
                <w:highlight w:val="none"/>
              </w:rPr>
              <w:t xml:space="preserve">3</w:t>
            </w:r>
            <w:r/>
          </w:p>
        </w:tc>
        <w:tc>
          <w:tcPr>
            <w:tcW w:w="972" w:type="dxa"/>
            <w:vAlign w:val="center"/>
            <w:textDirection w:val="lrTb"/>
            <w:noWrap/>
          </w:tcPr>
          <w:p>
            <w:pPr>
              <w:jc w:val="center"/>
              <w:spacing w:line="520" w:lineRule="exact"/>
              <w:rPr>
                <w:rFonts w:ascii="仿宋" w:hAnsi="仿宋" w:eastAsia="仿宋" w:cs="仿宋"/>
                <w:szCs w:val="21"/>
                <w:highlight w:val="none"/>
              </w:rPr>
            </w:pPr>
            <w:r>
              <w:rPr>
                <w:rFonts w:hint="eastAsia" w:ascii="仿宋" w:hAnsi="仿宋" w:eastAsia="仿宋" w:cs="仿宋"/>
                <w:szCs w:val="21"/>
                <w:highlight w:val="none"/>
              </w:rPr>
              <w:t xml:space="preserve">胶装</w:t>
            </w:r>
            <w:r/>
          </w:p>
        </w:tc>
        <w:tc>
          <w:tcPr>
            <w:gridSpan w:val="3"/>
            <w:tcW w:w="4238" w:type="dxa"/>
            <w:vAlign w:val="center"/>
            <w:textDirection w:val="lrTb"/>
            <w:noWrap/>
          </w:tcPr>
          <w:p>
            <w:pPr>
              <w:jc w:val="center"/>
              <w:spacing w:line="520" w:lineRule="exact"/>
              <w:widowControl/>
              <w:rPr>
                <w:rFonts w:ascii="仿宋" w:hAnsi="仿宋" w:eastAsia="仿宋" w:cs="仿宋"/>
                <w:sz w:val="22"/>
                <w:szCs w:val="22"/>
                <w:highlight w:val="none"/>
                <w:lang w:bidi="ar"/>
              </w:rPr>
            </w:pPr>
            <w:r>
              <w:rPr>
                <w:rFonts w:hint="eastAsia" w:ascii="仿宋" w:hAnsi="仿宋" w:eastAsia="仿宋" w:cs="仿宋"/>
                <w:szCs w:val="21"/>
                <w:highlight w:val="none"/>
                <w:lang w:bidi="ar"/>
              </w:rPr>
              <w:t xml:space="preserve">另;胶装费每本</w:t>
            </w:r>
            <w:r>
              <w:rPr>
                <w:rFonts w:hint="eastAsia" w:ascii="仿宋" w:hAnsi="仿宋" w:eastAsia="仿宋" w:cs="仿宋"/>
                <w:szCs w:val="21"/>
                <w:highlight w:val="none"/>
                <w:lang w:val="en-US" w:eastAsia="zh-CN" w:bidi="ar"/>
              </w:rPr>
              <w:t xml:space="preserve">11</w:t>
            </w:r>
            <w:r>
              <w:rPr>
                <w:rFonts w:hint="eastAsia" w:ascii="仿宋" w:hAnsi="仿宋" w:eastAsia="仿宋" w:cs="仿宋"/>
                <w:szCs w:val="21"/>
                <w:highlight w:val="none"/>
                <w:lang w:bidi="ar"/>
              </w:rPr>
              <w:t xml:space="preserve">元</w:t>
            </w:r>
            <w:r/>
          </w:p>
        </w:tc>
        <w:tc>
          <w:tcPr>
            <w:gridSpan w:val="2"/>
            <w:tcW w:w="3226" w:type="dxa"/>
            <w:vAlign w:val="center"/>
            <w:textDirection w:val="lrTb"/>
            <w:noWrap/>
          </w:tcPr>
          <w:p>
            <w:pPr>
              <w:pStyle w:val="708"/>
              <w:spacing w:line="520" w:lineRule="exact"/>
              <w:rPr>
                <w:rFonts w:ascii="仿宋" w:hAnsi="仿宋" w:eastAsia="仿宋" w:cs="仿宋"/>
                <w:highlight w:val="none"/>
              </w:rPr>
            </w:pPr>
            <w:r>
              <w:rPr>
                <w:rFonts w:ascii="仿宋" w:hAnsi="仿宋" w:eastAsia="仿宋" w:cs="仿宋"/>
                <w:highlight w:val="none"/>
              </w:rPr>
            </w:r>
            <w:r/>
          </w:p>
        </w:tc>
      </w:tr>
    </w:tbl>
    <w:p>
      <w:pPr>
        <w:pStyle w:val="712"/>
        <w:spacing w:line="360" w:lineRule="auto"/>
        <w:rPr>
          <w:rFonts w:hAnsi="宋体" w:eastAsia="宋体"/>
          <w:sz w:val="21"/>
          <w:highlight w:val="none"/>
        </w:rPr>
      </w:pPr>
      <w:r>
        <w:rPr>
          <w:rFonts w:hint="eastAsia" w:hAnsi="宋体" w:eastAsia="宋体"/>
          <w:sz w:val="21"/>
          <w:highlight w:val="none"/>
        </w:rPr>
        <w:t xml:space="preserve">投标人名称（公章）：</w:t>
      </w:r>
      <w:r/>
    </w:p>
    <w:p>
      <w:pPr>
        <w:pStyle w:val="694"/>
        <w:ind w:firstLine="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注：（1）合同固定单价按招标控制单价*（1-优惠率（%））计算。</w:t>
      </w:r>
      <w:r/>
    </w:p>
    <w:p>
      <w:pPr>
        <w:pStyle w:val="694"/>
        <w:ind w:firstLine="482"/>
        <w:spacing w:line="440" w:lineRule="exact"/>
        <w:rPr>
          <w:rFonts w:ascii="宋体" w:hAnsi="宋体" w:eastAsia="宋体" w:cs="宋体"/>
          <w:highlight w:val="none"/>
        </w:rPr>
      </w:pPr>
      <w:r>
        <w:rPr>
          <w:rFonts w:hint="eastAsia" w:ascii="仿宋" w:hAnsi="仿宋" w:eastAsia="仿宋" w:cs="仿宋"/>
          <w:b/>
          <w:bCs/>
          <w:sz w:val="28"/>
          <w:szCs w:val="28"/>
          <w:highlight w:val="none"/>
        </w:rPr>
        <w:t xml:space="preserve">（2）本次报价采用优惠率报价，优惠率是指控制单价的优惠比例，本项目最低优惠率为2%，所报优惠率不能低于2%。</w:t>
      </w:r>
      <w:r/>
    </w:p>
    <w:p>
      <w:pPr>
        <w:ind w:firstLine="420"/>
        <w:jc w:val="center"/>
        <w:spacing w:line="360" w:lineRule="auto"/>
        <w:rPr>
          <w:rFonts w:ascii="宋体" w:hAnsi="宋体" w:eastAsia="宋体" w:cs="宋体"/>
          <w:highlight w:val="none"/>
        </w:rPr>
      </w:pPr>
      <w:r>
        <w:rPr>
          <w:rFonts w:ascii="宋体" w:hAnsi="宋体" w:eastAsia="宋体" w:cs="宋体"/>
          <w:highlight w:val="none"/>
        </w:rPr>
      </w:r>
      <w:r/>
    </w:p>
    <w:p>
      <w:pPr>
        <w:ind w:firstLine="420"/>
        <w:jc w:val="center"/>
        <w:spacing w:line="360" w:lineRule="auto"/>
        <w:rPr>
          <w:rFonts w:ascii="宋体" w:hAnsi="宋体" w:eastAsia="宋体" w:cs="宋体"/>
          <w:highlight w:val="none"/>
        </w:rPr>
      </w:pPr>
      <w:r>
        <w:rPr>
          <w:rFonts w:ascii="宋体" w:hAnsi="宋体" w:eastAsia="宋体" w:cs="宋体"/>
          <w:highlight w:val="none"/>
        </w:rPr>
      </w:r>
      <w:r/>
    </w:p>
    <w:p>
      <w:pPr>
        <w:rPr>
          <w:rFonts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pStyle w:val="706"/>
        <w:jc w:val="center"/>
        <w:spacing w:beforeAutospacing="0" w:afterAutospacing="0"/>
        <w:rPr>
          <w:highlight w:val="none"/>
        </w:rPr>
      </w:pPr>
      <w:r>
        <w:rPr>
          <w:rFonts w:hint="eastAsia" w:ascii="黑体" w:hAnsi="宋体" w:eastAsia="黑体" w:cs="黑体"/>
          <w:b/>
          <w:sz w:val="32"/>
          <w:szCs w:val="32"/>
          <w:highlight w:val="none"/>
        </w:rPr>
        <w:t xml:space="preserve">十二、技术要求响应及偏离表</w:t>
      </w:r>
      <w:r/>
    </w:p>
    <w:tbl>
      <w:tblPr>
        <w:tblStyle w:val="69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证明</w:t>
            </w:r>
            <w:r/>
          </w:p>
          <w:p>
            <w:pPr>
              <w:pStyle w:val="706"/>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6"/>
              <w:jc w:val="center"/>
              <w:spacing w:beforeAutospacing="0" w:afterAutospacing="0"/>
              <w:rPr>
                <w:highlight w:val="none"/>
              </w:rPr>
            </w:pPr>
            <w:r>
              <w:rPr>
                <w:highlight w:val="none"/>
              </w:rPr>
              <w:t xml:space="preserve"> </w:t>
            </w:r>
            <w:r/>
          </w:p>
        </w:tc>
      </w:tr>
    </w:tbl>
    <w:p>
      <w:pPr>
        <w:pStyle w:val="706"/>
        <w:jc w:val="both"/>
        <w:spacing w:beforeAutospacing="0" w:afterAutospacing="0"/>
        <w:rPr>
          <w:highlight w:val="none"/>
        </w:rPr>
      </w:pPr>
      <w:r>
        <w:rPr>
          <w:rFonts w:hint="eastAsia" w:ascii="宋体" w:hAnsi="宋体" w:eastAsia="宋体" w:cs="宋体"/>
          <w:highlight w:val="none"/>
        </w:rPr>
        <w:t xml:space="preserve">注： 行数不够，可自行添加。</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jc w:val="center"/>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t xml:space="preserve"> </w:t>
      </w:r>
      <w:r/>
    </w:p>
    <w:p>
      <w:pPr>
        <w:pStyle w:val="706"/>
        <w:jc w:val="center"/>
        <w:spacing w:beforeAutospacing="0" w:afterAutospacing="0"/>
        <w:rPr>
          <w:highlight w:val="none"/>
        </w:rPr>
      </w:pPr>
      <w:r/>
      <w:bookmarkStart w:id="202" w:name="_Hlt26955054"/>
      <w:r>
        <w:rPr>
          <w:rFonts w:hint="eastAsia" w:ascii="黑体" w:hAnsi="宋体" w:eastAsia="黑体" w:cs="黑体"/>
          <w:b/>
          <w:sz w:val="32"/>
          <w:szCs w:val="32"/>
          <w:highlight w:val="none"/>
        </w:rPr>
        <w:t xml:space="preserve">十三、商务要求响应及偏离表</w:t>
      </w:r>
      <w:r/>
    </w:p>
    <w:tbl>
      <w:tblPr>
        <w:tblStyle w:val="69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bookmarkStart w:id="203" w:name="_Hlt26609391"/>
            <w:r/>
            <w:bookmarkStart w:id="204" w:name="_Hlt24879081"/>
            <w:r/>
            <w:bookmarkStart w:id="205" w:name="_Hlt26580838"/>
            <w:r/>
            <w:bookmarkStart w:id="206" w:name="_Hlt26671343"/>
            <w:r/>
            <w:bookmarkStart w:id="207" w:name="_Hlt26671372"/>
            <w:r/>
            <w:bookmarkStart w:id="208" w:name="_Hlt26955056"/>
            <w:r/>
            <w:bookmarkStart w:id="209" w:name="_Hlt26782999"/>
            <w:r/>
            <w:bookmarkStart w:id="210" w:name="_Hlt26955064"/>
            <w:r>
              <w:rPr>
                <w:rFonts w:hint="eastAsia" w:ascii="宋体" w:hAnsi="宋体" w:eastAsia="宋体" w:cs="宋体"/>
                <w:highlight w:val="none"/>
              </w:rPr>
              <w:t xml:space="preserve">序号</w:t>
            </w:r>
            <w:bookmarkEnd w:id="203"/>
            <w:bookmarkEnd w:id="204"/>
            <w:bookmarkEnd w:id="205"/>
            <w:bookmarkEnd w:id="206"/>
            <w:bookmarkEnd w:id="207"/>
            <w:bookmarkEnd w:id="208"/>
            <w:bookmarkEnd w:id="209"/>
            <w:bookmarkEnd w:id="210"/>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rFonts w:hint="eastAsia" w:ascii="宋体" w:hAnsi="宋体" w:eastAsia="宋体" w:cs="宋体"/>
                <w:highlight w:val="none"/>
              </w:rPr>
              <w:t xml:space="preserve">证明</w:t>
            </w:r>
            <w:r/>
          </w:p>
          <w:p>
            <w:pPr>
              <w:pStyle w:val="706"/>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6"/>
              <w:jc w:val="center"/>
              <w:spacing w:beforeAutospacing="0" w:afterAutospacing="0"/>
              <w:rPr>
                <w:highlight w:val="none"/>
              </w:rPr>
            </w:pPr>
            <w:r>
              <w:rPr>
                <w:highlight w:val="none"/>
              </w:rPr>
              <w:t xml:space="preserve"> </w:t>
            </w:r>
            <w:r/>
          </w:p>
        </w:tc>
      </w:tr>
    </w:tbl>
    <w:p>
      <w:pPr>
        <w:pStyle w:val="706"/>
        <w:jc w:val="both"/>
        <w:spacing w:beforeAutospacing="0" w:afterAutospacing="0"/>
        <w:rPr>
          <w:highlight w:val="none"/>
        </w:rPr>
      </w:pPr>
      <w:r>
        <w:rPr>
          <w:rFonts w:hint="eastAsia" w:ascii="宋体" w:hAnsi="宋体" w:eastAsia="宋体" w:cs="宋体"/>
          <w:highlight w:val="none"/>
        </w:rPr>
        <w:t xml:space="preserve">注： 行数不够，可自行添加。</w:t>
      </w:r>
      <w:r/>
    </w:p>
    <w:p>
      <w:pPr>
        <w:pStyle w:val="706"/>
        <w:jc w:val="both"/>
        <w:spacing w:beforeAutospacing="0" w:afterAutospacing="0" w:line="480" w:lineRule="auto"/>
        <w:rPr>
          <w:highlight w:val="none"/>
        </w:rPr>
      </w:pPr>
      <w:r>
        <w:rPr>
          <w:highlight w:val="none"/>
        </w:rPr>
        <w:t xml:space="preserve"> </w:t>
      </w:r>
      <w:r/>
    </w:p>
    <w:p>
      <w:pPr>
        <w:pStyle w:val="706"/>
        <w:jc w:val="both"/>
        <w:spacing w:beforeAutospacing="0" w:afterAutospacing="0" w:line="480" w:lineRule="auto"/>
        <w:rPr>
          <w:highlight w:val="none"/>
        </w:rPr>
      </w:pPr>
      <w:r>
        <w:rPr>
          <w:highlight w:val="none"/>
        </w:rPr>
        <w:t xml:space="preserve"> </w:t>
      </w:r>
      <w:r/>
    </w:p>
    <w:p>
      <w:pPr>
        <w:pStyle w:val="706"/>
        <w:jc w:val="center"/>
        <w:spacing w:beforeAutospacing="0" w:afterAutospacing="0"/>
        <w:rPr>
          <w:highlight w:val="none"/>
        </w:rPr>
      </w:pPr>
      <w:r/>
      <w:bookmarkStart w:id="211" w:name="_Hlt26955066"/>
      <w:r/>
      <w:bookmarkStart w:id="212" w:name="_Toc462564146"/>
      <w:r/>
      <w:bookmarkStart w:id="213" w:name="_Hlt26671374"/>
      <w:r/>
      <w:bookmarkStart w:id="214" w:name="_Hlt26609389"/>
      <w:r/>
      <w:bookmarkStart w:id="215" w:name="_格式2__法定代表人授权书"/>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pStyle w:val="706"/>
        <w:jc w:val="both"/>
        <w:spacing w:beforeAutospacing="0" w:afterAutospacing="0"/>
        <w:rPr>
          <w:highlight w:val="none"/>
        </w:rPr>
      </w:pPr>
      <w:r>
        <w:rPr>
          <w:highlight w:val="none"/>
        </w:rPr>
      </w:r>
      <w:r/>
    </w:p>
    <w:p>
      <w:pPr>
        <w:rPr>
          <w:rFonts w:ascii="黑体" w:hAnsi="宋体" w:eastAsia="黑体" w:cs="黑体"/>
          <w:b/>
          <w:i/>
          <w:sz w:val="32"/>
          <w:szCs w:val="32"/>
          <w:highlight w:val="none"/>
          <w:u w:val="single"/>
        </w:rPr>
      </w:pPr>
      <w:r>
        <w:rPr>
          <w:rFonts w:hint="eastAsia" w:ascii="黑体" w:hAnsi="宋体" w:eastAsia="黑体" w:cs="黑体"/>
          <w:b/>
          <w:i/>
          <w:sz w:val="32"/>
          <w:szCs w:val="32"/>
          <w:highlight w:val="none"/>
          <w:u w:val="single"/>
        </w:rPr>
        <w:br w:type="page" w:clear="all"/>
      </w:r>
      <w:r/>
    </w:p>
    <w:p>
      <w:pPr>
        <w:pStyle w:val="706"/>
        <w:jc w:val="center"/>
        <w:spacing w:beforeAutospacing="0" w:afterAutospacing="0"/>
        <w:rPr>
          <w:highlight w:val="none"/>
        </w:rPr>
      </w:pPr>
      <w:r>
        <w:rPr>
          <w:rFonts w:hint="eastAsia" w:ascii="黑体" w:hAnsi="宋体" w:eastAsia="黑体" w:cs="黑体"/>
          <w:b/>
          <w:i/>
          <w:sz w:val="32"/>
          <w:szCs w:val="32"/>
          <w:highlight w:val="none"/>
          <w:u w:val="single"/>
        </w:rPr>
        <w:t xml:space="preserve">十四、开标一览表</w:t>
      </w:r>
      <w:r/>
    </w:p>
    <w:p>
      <w:pPr>
        <w:pStyle w:val="70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项目名称：</w:t>
      </w:r>
      <w:r/>
    </w:p>
    <w:p>
      <w:pPr>
        <w:pStyle w:val="706"/>
        <w:jc w:val="both"/>
        <w:spacing w:beforeAutospacing="0" w:afterAutospacing="0"/>
        <w:rPr>
          <w:rFonts w:hint="eastAsia" w:ascii="宋体" w:hAnsi="宋体" w:eastAsia="宋体" w:cs="宋体"/>
          <w:highlight w:val="none"/>
        </w:rPr>
      </w:pPr>
      <w:r>
        <w:rPr>
          <w:rFonts w:hint="eastAsia" w:ascii="宋体" w:hAnsi="宋体" w:eastAsia="宋体" w:cs="宋体"/>
          <w:highlight w:val="none"/>
          <w:lang w:eastAsia="zh-CN"/>
        </w:rPr>
        <w:t xml:space="preserve">项目编号：</w:t>
      </w:r>
      <w:bookmarkStart w:id="216" w:name="_GoBack"/>
      <w:r/>
      <w:bookmarkEnd w:id="216"/>
      <w:r>
        <w:rPr>
          <w:rFonts w:hint="eastAsia" w:ascii="宋体" w:hAnsi="宋体" w:eastAsia="宋体" w:cs="宋体"/>
          <w:highlight w:val="none"/>
          <w:lang w:eastAsia="zh-CN"/>
        </w:rPr>
        <w:t xml:space="preserve">JSZC-320903-JZCG-G2025-0038</w:t>
      </w:r>
      <w:r/>
    </w:p>
    <w:tbl>
      <w:tblPr>
        <w:tblStyle w:val="693"/>
        <w:tblW w:w="936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253"/>
        <w:gridCol w:w="3467"/>
        <w:gridCol w:w="1648"/>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4253" w:type="dxa"/>
            <w:vAlign w:val="center"/>
            <w:textDirection w:val="lrTb"/>
            <w:noWrap w:val="false"/>
          </w:tcPr>
          <w:p>
            <w:pPr>
              <w:pStyle w:val="706"/>
              <w:jc w:val="both"/>
              <w:spacing w:beforeAutospacing="0" w:afterAutospacing="0"/>
              <w:rPr>
                <w:highlight w:val="none"/>
              </w:rPr>
            </w:pPr>
            <w:r>
              <w:rPr>
                <w:rFonts w:hint="eastAsia" w:ascii="宋体" w:hAnsi="宋体" w:eastAsia="宋体" w:cs="宋体"/>
                <w:highlight w:val="none"/>
              </w:rPr>
              <w:t xml:space="preserve">     投标人名称  </w:t>
            </w:r>
            <w:r/>
          </w:p>
        </w:tc>
        <w:tc>
          <w:tcPr>
            <w:shd w:val="clear" w:color="auto" w:fill="auto"/>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pStyle w:val="70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投标优惠率（小写）</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0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备注</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4253" w:type="dxa"/>
            <w:vAlign w:val="center"/>
            <w:textDirection w:val="lrTb"/>
            <w:noWrap w:val="false"/>
          </w:tcPr>
          <w:p>
            <w:pPr>
              <w:pStyle w:val="706"/>
              <w:jc w:val="center"/>
              <w:spacing w:beforeAutospacing="0" w:afterAutospacing="0" w:line="0" w:lineRule="atLeast"/>
              <w:rPr>
                <w:highlight w:val="none"/>
              </w:rPr>
            </w:pPr>
            <w:r>
              <w:rPr>
                <w:rFonts w:hint="eastAsia" w:ascii="宋体" w:hAnsi="宋体" w:eastAsia="宋体" w:cs="宋体"/>
                <w:highlight w:val="none"/>
              </w:rPr>
              <w:t xml:space="preserve">供应商名称</w:t>
            </w:r>
            <w:r/>
          </w:p>
        </w:tc>
        <w:tc>
          <w:tcPr>
            <w:shd w:val="clear" w:color="auto" w:fill="auto"/>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pStyle w:val="706"/>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06"/>
              <w:spacing w:beforeAutospacing="0" w:afterAutospacing="0" w:line="0" w:lineRule="atLeast"/>
              <w:rPr>
                <w:rFonts w:ascii="宋体" w:hAnsi="宋体" w:eastAsia="宋体" w:cs="宋体"/>
                <w:highlight w:val="none"/>
              </w:rPr>
            </w:pPr>
            <w:r>
              <w:rPr>
                <w:rFonts w:ascii="宋体" w:hAnsi="宋体" w:eastAsia="宋体" w:cs="宋体"/>
                <w:highlight w:val="none"/>
              </w:rPr>
            </w:r>
            <w:r/>
          </w:p>
        </w:tc>
      </w:tr>
    </w:tbl>
    <w:p>
      <w:pPr>
        <w:pStyle w:val="706"/>
        <w:jc w:val="both"/>
        <w:spacing w:beforeAutospacing="0" w:afterAutospacing="0"/>
        <w:rPr>
          <w:highlight w:val="none"/>
        </w:rPr>
      </w:pPr>
      <w:r>
        <w:rPr>
          <w:highlight w:val="none"/>
        </w:rPr>
        <w:t xml:space="preserve"> </w:t>
      </w:r>
      <w:r/>
    </w:p>
    <w:p>
      <w:pPr>
        <w:pStyle w:val="706"/>
        <w:jc w:val="both"/>
        <w:spacing w:beforeAutospacing="0" w:afterAutospacing="0"/>
        <w:rPr>
          <w:highlight w:val="none"/>
        </w:rPr>
      </w:pPr>
      <w:r>
        <w:rPr>
          <w:rFonts w:hint="eastAsia" w:ascii="宋体" w:hAnsi="宋体" w:eastAsia="宋体" w:cs="宋体"/>
          <w:highlight w:val="none"/>
        </w:rPr>
        <w:t xml:space="preserve">投标人公章：         （电子签章）</w:t>
      </w:r>
      <w:r/>
    </w:p>
    <w:p>
      <w:pPr>
        <w:pStyle w:val="706"/>
        <w:jc w:val="right"/>
        <w:spacing w:beforeAutospacing="0" w:afterAutospacing="0"/>
        <w:rPr>
          <w:highlight w:val="none"/>
        </w:rPr>
      </w:pPr>
      <w:r>
        <w:rPr>
          <w:rFonts w:hint="eastAsia" w:ascii="宋体" w:hAnsi="宋体" w:eastAsia="宋体" w:cs="宋体"/>
          <w:highlight w:val="none"/>
        </w:rPr>
        <w:t xml:space="preserve">                                    日期：</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pStyle w:val="706"/>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rPr>
          <w:rFonts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jc w:val="center"/>
        <w:spacing w:before="50" w:after="50"/>
        <w:widowControl/>
        <w:rPr>
          <w:rFonts w:ascii="宋体" w:hAnsi="宋体" w:eastAsia="宋体" w:cs="宋体"/>
          <w:sz w:val="24"/>
          <w:highlight w:val="none"/>
        </w:rPr>
      </w:pPr>
      <w:r>
        <w:rPr>
          <w:rFonts w:hint="eastAsia" w:ascii="宋体" w:hAnsi="宋体" w:eastAsia="宋体" w:cs="宋体"/>
          <w:sz w:val="32"/>
          <w:szCs w:val="32"/>
          <w:highlight w:val="none"/>
        </w:rPr>
        <w:t xml:space="preserve">十五、技术方案、服务承诺、培训承诺等</w:t>
      </w:r>
      <w:r/>
    </w:p>
    <w:p>
      <w:pPr>
        <w:pStyle w:val="706"/>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ind w:firstLine="1600"/>
        <w:spacing w:line="499" w:lineRule="atLeast"/>
        <w:widowControl/>
        <w:rPr>
          <w:rFonts w:ascii="宋体" w:hAnsi="宋体" w:eastAsia="宋体" w:cs="宋体"/>
          <w:sz w:val="32"/>
          <w:szCs w:val="32"/>
          <w:highlight w:val="none"/>
        </w:rPr>
      </w:pPr>
      <w:r>
        <w:rPr>
          <w:rFonts w:ascii="宋体" w:hAnsi="宋体" w:eastAsia="宋体" w:cs="宋体"/>
          <w:sz w:val="32"/>
          <w:szCs w:val="32"/>
          <w:highlight w:val="none"/>
        </w:rPr>
      </w:r>
      <w:r/>
    </w:p>
    <w:p>
      <w:pPr>
        <w:rPr>
          <w:rFonts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sz w:val="32"/>
          <w:szCs w:val="32"/>
          <w:highlight w:val="none"/>
        </w:rPr>
        <w:t xml:space="preserve">十六、盐都区政府采购事前信用承诺书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年月日</w:t>
      </w:r>
      <w:r/>
    </w:p>
    <w:p>
      <w:pPr>
        <w:pStyle w:val="706"/>
        <w:jc w:val="center"/>
        <w:spacing w:beforeAutospacing="0" w:afterAutospacing="0"/>
        <w:rPr>
          <w:highlight w:val="none"/>
        </w:rPr>
      </w:pPr>
      <w:r>
        <w:rPr>
          <w:highlight w:val="none"/>
        </w:rPr>
      </w:r>
      <w:bookmarkEnd w:id="6"/>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4"/>
      <w:bookmarkEnd w:id="187"/>
      <w:bookmarkEnd w:id="196"/>
      <w:bookmarkEnd w:id="197"/>
      <w:bookmarkEnd w:id="199"/>
      <w:bookmarkEnd w:id="200"/>
      <w:bookmarkEnd w:id="201"/>
      <w:bookmarkEnd w:id="202"/>
      <w:bookmarkEnd w:id="211"/>
      <w:bookmarkEnd w:id="212"/>
      <w:bookmarkEnd w:id="213"/>
      <w:bookmarkEnd w:id="214"/>
      <w:bookmarkEnd w:id="215"/>
      <w:r/>
    </w:p>
    <w:p>
      <w:pPr>
        <w:rPr>
          <w:highlight w:val="none"/>
        </w:rPr>
      </w:pPr>
      <w:r>
        <w:rPr>
          <w:highlight w:val="none"/>
        </w:rPr>
      </w:r>
      <w:r/>
    </w:p>
    <w:p>
      <w:pPr>
        <w:pStyle w:val="706"/>
        <w:jc w:val="center"/>
        <w:spacing w:beforeAutospacing="0" w:afterAutospacing="0"/>
        <w:rPr>
          <w:rFonts w:ascii="宋体" w:hAnsi="宋体" w:eastAsia="宋体" w:cs="宋体"/>
          <w:b/>
          <w:sz w:val="32"/>
          <w:szCs w:val="32"/>
          <w:highlight w:val="none"/>
        </w:rPr>
      </w:pPr>
      <w:r>
        <w:rPr>
          <w:rFonts w:hint="eastAsia" w:ascii="宋体" w:hAnsi="宋体" w:eastAsia="宋体" w:cs="宋体"/>
          <w:b/>
          <w:sz w:val="32"/>
          <w:szCs w:val="32"/>
          <w:highlight w:val="none"/>
        </w:rPr>
        <w:t xml:space="preserve">质疑函范本</w:t>
      </w:r>
      <w:r/>
    </w:p>
    <w:p>
      <w:pPr>
        <w:pStyle w:val="706"/>
        <w:jc w:val="both"/>
        <w:spacing w:before="290"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一、质疑供应商基本信息</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质疑供应商：</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u w:val="singl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u w:val="single"/>
        </w:rPr>
      </w:pPr>
      <w:r>
        <w:rPr>
          <w:rFonts w:hint="eastAsia" w:ascii="宋体" w:hAnsi="宋体" w:eastAsia="宋体" w:cs="宋体"/>
          <w:highlight w:val="none"/>
        </w:rPr>
        <w:t xml:space="preserve">地址： </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二、质疑项目基本情况</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质疑项目的名称：</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u w:val="single"/>
        </w:rPr>
      </w:pPr>
      <w:r>
        <w:rPr>
          <w:rFonts w:hint="eastAsia" w:ascii="宋体" w:hAnsi="宋体" w:eastAsia="宋体" w:cs="宋体"/>
          <w:highlight w:val="none"/>
        </w:rPr>
        <w:t xml:space="preserve">质疑项目的编号：</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采购人名称：</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采购文件获取日期：</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三、质疑事项具体内容</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质疑事项1：</w:t>
      </w:r>
      <w:r>
        <w:rPr>
          <w:rFonts w:hint="eastAsia" w:ascii="宋体" w:hAnsi="宋体" w:eastAsia="宋体" w:cs="宋体"/>
          <w:highlight w:val="none"/>
          <w:u w:val="single"/>
        </w:rPr>
        <w:t xml:space="preserve">                             </w:t>
      </w:r>
      <w:r/>
    </w:p>
    <w:p>
      <w:pPr>
        <w:pStyle w:val="706"/>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事实依据：</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法律依据：</w:t>
      </w:r>
      <w:r>
        <w:rPr>
          <w:rFonts w:hint="eastAsia" w:ascii="宋体" w:hAnsi="宋体" w:eastAsia="宋体" w:cs="宋体"/>
          <w:highlight w:val="none"/>
          <w:u w:val="single"/>
        </w:rPr>
        <w:t xml:space="preserve">                                                    </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质疑事项2</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四、与质疑事项相关的质疑请求</w:t>
      </w:r>
      <w:r/>
    </w:p>
    <w:p>
      <w:pPr>
        <w:pStyle w:val="706"/>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请求：</w:t>
      </w:r>
      <w:r>
        <w:rPr>
          <w:rFonts w:hint="eastAsia" w:ascii="宋体" w:hAnsi="宋体" w:eastAsia="宋体" w:cs="宋体"/>
          <w:highlight w:val="none"/>
          <w:u w:val="single"/>
        </w:rPr>
        <w:t xml:space="preserve">                                                          </w:t>
      </w:r>
      <w:r/>
    </w:p>
    <w:p>
      <w:pPr>
        <w:pStyle w:val="706"/>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签字(签章)：                 公章：               日期：    </w:t>
      </w:r>
      <w:r/>
    </w:p>
    <w:p>
      <w:pPr>
        <w:pStyle w:val="706"/>
        <w:jc w:val="both"/>
        <w:spacing w:beforeAutospacing="0" w:afterAutospacing="0" w:line="0" w:lineRule="atLeast"/>
        <w:rPr>
          <w:rFonts w:ascii="宋体" w:hAnsi="宋体" w:eastAsia="宋体" w:cs="宋体"/>
          <w:highlight w:val="none"/>
        </w:rPr>
      </w:pPr>
      <w:r>
        <w:rPr>
          <w:rFonts w:hint="eastAsia" w:ascii="宋体" w:hAnsi="宋体" w:eastAsia="宋体" w:cs="宋体"/>
          <w:b/>
          <w:highlight w:val="none"/>
        </w:rPr>
        <w:t xml:space="preserve">质疑函制作说明：</w:t>
      </w:r>
      <w:r/>
    </w:p>
    <w:p>
      <w:pPr>
        <w:pStyle w:val="70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highlight w:val="none"/>
        </w:rPr>
        <w:t xml:space="preserve">1.供应商提出质疑时，应提交质疑函和必要的证明材料。</w:t>
      </w:r>
      <w:r/>
    </w:p>
    <w:p>
      <w:pPr>
        <w:pStyle w:val="70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highlight w:val="none"/>
        </w:rPr>
        <w:t xml:space="preserve">3.质疑供应商若对项目的某一分包进行质疑，质疑函中应列明具体分包号。</w:t>
      </w:r>
      <w:r/>
    </w:p>
    <w:p>
      <w:pPr>
        <w:pStyle w:val="70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highlight w:val="none"/>
        </w:rPr>
        <w:t xml:space="preserve">4.质疑函的质疑事项应具体、明确，并有必要的事实依据和法律依据。</w:t>
      </w:r>
      <w:r/>
    </w:p>
    <w:p>
      <w:pPr>
        <w:pStyle w:val="70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highlight w:val="none"/>
        </w:rPr>
        <w:t xml:space="preserve">5.质疑函的质疑请求应与质疑事项相关。</w:t>
      </w:r>
      <w:r/>
    </w:p>
    <w:p>
      <w:pPr>
        <w:pStyle w:val="70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6"/>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rPr>
          <w:highlight w:val="none"/>
        </w:rPr>
      </w:pPr>
      <w:r>
        <w:rPr>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3064261"/>
      <w:docPartObj>
        <w:docPartGallery w:val="autotext"/>
      </w:docPartObj>
      <w:rPr/>
    </w:sdtPr>
    <w:sdtContent>
      <w:p>
        <w:pPr>
          <w:pStyle w:val="702"/>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0"/>
    <w:next w:val="6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2"/>
    <w:link w:val="12"/>
    <w:uiPriority w:val="9"/>
    <w:rPr>
      <w:rFonts w:ascii="Arial" w:hAnsi="Arial" w:eastAsia="Arial" w:cs="Arial"/>
      <w:sz w:val="40"/>
      <w:szCs w:val="40"/>
    </w:rPr>
  </w:style>
  <w:style w:type="character" w:styleId="15">
    <w:name w:val="Heading 2 Char"/>
    <w:basedOn w:val="692"/>
    <w:link w:val="691"/>
    <w:uiPriority w:val="9"/>
    <w:rPr>
      <w:rFonts w:ascii="Arial" w:hAnsi="Arial" w:eastAsia="Arial" w:cs="Arial"/>
      <w:sz w:val="34"/>
    </w:rPr>
  </w:style>
  <w:style w:type="paragraph" w:styleId="16">
    <w:name w:val="Heading 3"/>
    <w:basedOn w:val="690"/>
    <w:next w:val="6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2"/>
    <w:link w:val="16"/>
    <w:uiPriority w:val="9"/>
    <w:rPr>
      <w:rFonts w:ascii="Arial" w:hAnsi="Arial" w:eastAsia="Arial" w:cs="Arial"/>
      <w:sz w:val="30"/>
      <w:szCs w:val="30"/>
    </w:rPr>
  </w:style>
  <w:style w:type="paragraph" w:styleId="18">
    <w:name w:val="Heading 4"/>
    <w:basedOn w:val="690"/>
    <w:next w:val="6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2"/>
    <w:link w:val="18"/>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2"/>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2"/>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2"/>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2"/>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692"/>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03"/>
    <w:uiPriority w:val="99"/>
  </w:style>
  <w:style w:type="character" w:styleId="44">
    <w:name w:val="Footer Char"/>
    <w:basedOn w:val="692"/>
    <w:link w:val="702"/>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0">
    <w:name w:val="toc 1"/>
    <w:basedOn w:val="690"/>
    <w:next w:val="690"/>
    <w:uiPriority w:val="39"/>
    <w:unhideWhenUsed/>
    <w:pPr>
      <w:ind w:left="0" w:right="0" w:firstLine="0"/>
      <w:spacing w:after="57"/>
    </w:pPr>
  </w:style>
  <w:style w:type="paragraph" w:styleId="181">
    <w:name w:val="toc 2"/>
    <w:basedOn w:val="690"/>
    <w:next w:val="690"/>
    <w:uiPriority w:val="39"/>
    <w:unhideWhenUsed/>
    <w:pPr>
      <w:ind w:left="283" w:right="0" w:firstLine="0"/>
      <w:spacing w:after="57"/>
    </w:pPr>
  </w:style>
  <w:style w:type="paragraph" w:styleId="182">
    <w:name w:val="toc 3"/>
    <w:basedOn w:val="690"/>
    <w:next w:val="690"/>
    <w:uiPriority w:val="39"/>
    <w:unhideWhenUsed/>
    <w:pPr>
      <w:ind w:left="567" w:right="0" w:firstLine="0"/>
      <w:spacing w:after="57"/>
    </w:p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1">
    <w:name w:val="Heading 2"/>
    <w:basedOn w:val="690"/>
    <w:next w:val="69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90"/>
    <w:uiPriority w:val="0"/>
    <w:unhideWhenUsed/>
    <w:qFormat/>
    <w:pPr>
      <w:ind w:firstLine="420"/>
    </w:pPr>
  </w:style>
  <w:style w:type="paragraph" w:styleId="695">
    <w:name w:val="Body Text"/>
    <w:basedOn w:val="690"/>
    <w:next w:val="696"/>
    <w:uiPriority w:val="99"/>
    <w:qFormat/>
    <w:rPr>
      <w:rFonts w:ascii="楷体_GB2312" w:hAnsi="Arial" w:eastAsia="楷体_GB2312"/>
      <w:sz w:val="28"/>
      <w:szCs w:val="28"/>
    </w:rPr>
  </w:style>
  <w:style w:type="paragraph" w:styleId="696" w:customStyle="1">
    <w:name w:val="一级条标题"/>
    <w:basedOn w:val="697"/>
    <w:next w:val="6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7" w:customStyle="1">
    <w:name w:val="章标题"/>
    <w:next w:val="6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98" w:customStyle="1">
    <w:name w:val="段"/>
    <w:next w:val="69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9" w:customStyle="1">
    <w:name w:val="正文 A"/>
    <w:next w:val="698"/>
    <w:uiPriority w:val="0"/>
    <w:qFormat/>
    <w:pPr>
      <w:jc w:val="both"/>
      <w:widowControl w:val="off"/>
    </w:pPr>
    <w:rPr>
      <w:rFonts w:ascii="Calibri" w:hAnsi="Calibri" w:eastAsia="Calibri" w:cs="Calibri"/>
      <w:color w:val="000000"/>
      <w:sz w:val="21"/>
      <w:szCs w:val="21"/>
      <w:lang w:val="en-US" w:eastAsia="zh-CN" w:bidi="ar-SA"/>
    </w:rPr>
  </w:style>
  <w:style w:type="paragraph" w:styleId="700">
    <w:name w:val="Body Text Indent"/>
    <w:basedOn w:val="690"/>
    <w:uiPriority w:val="0"/>
    <w:qFormat/>
    <w:pPr>
      <w:ind w:firstLine="645"/>
    </w:pPr>
    <w:rPr>
      <w:rFonts w:ascii="楷体_GB2312" w:eastAsia="楷体_GB2312"/>
      <w:sz w:val="32"/>
      <w:szCs w:val="32"/>
    </w:rPr>
  </w:style>
  <w:style w:type="paragraph" w:styleId="701">
    <w:name w:val="Plain Text"/>
    <w:basedOn w:val="690"/>
    <w:uiPriority w:val="99"/>
    <w:qFormat/>
    <w:rPr>
      <w:rFonts w:ascii="宋体" w:hAnsi="Courier New" w:cs="Courier New"/>
    </w:rPr>
  </w:style>
  <w:style w:type="paragraph" w:styleId="702">
    <w:name w:val="Footer"/>
    <w:basedOn w:val="690"/>
    <w:link w:val="714"/>
    <w:uiPriority w:val="99"/>
    <w:qFormat/>
    <w:pPr>
      <w:jc w:val="left"/>
      <w:tabs>
        <w:tab w:val="center" w:pos="4153" w:leader="none"/>
        <w:tab w:val="right" w:pos="8306" w:leader="none"/>
      </w:tabs>
    </w:pPr>
    <w:rPr>
      <w:sz w:val="18"/>
      <w:szCs w:val="18"/>
    </w:rPr>
  </w:style>
  <w:style w:type="paragraph" w:styleId="703">
    <w:name w:val="Header"/>
    <w:basedOn w:val="690"/>
    <w:link w:val="713"/>
    <w:uiPriority w:val="0"/>
    <w:qFormat/>
    <w:pPr>
      <w:jc w:val="center"/>
      <w:tabs>
        <w:tab w:val="center" w:pos="4153" w:leader="none"/>
        <w:tab w:val="right" w:pos="8306" w:leader="none"/>
      </w:tabs>
      <w:pBdr>
        <w:bottom w:val="single" w:color="auto" w:sz="6" w:space="1"/>
      </w:pBdr>
    </w:pPr>
    <w:rPr>
      <w:sz w:val="18"/>
      <w:szCs w:val="18"/>
    </w:rPr>
  </w:style>
  <w:style w:type="paragraph" w:styleId="704">
    <w:name w:val="Body Text Indent 3"/>
    <w:basedOn w:val="690"/>
    <w:uiPriority w:val="0"/>
    <w:qFormat/>
    <w:pPr>
      <w:ind w:left="645" w:firstLine="645"/>
    </w:pPr>
    <w:rPr>
      <w:rFonts w:ascii="Arial" w:hAnsi="Arial" w:eastAsia="仿宋_GB2312" w:cs="Arial"/>
      <w:color w:val="ffff00"/>
      <w:sz w:val="32"/>
      <w:szCs w:val="32"/>
    </w:rPr>
  </w:style>
  <w:style w:type="paragraph" w:styleId="705">
    <w:name w:val="HTML Preformatted"/>
    <w:basedOn w:val="6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06">
    <w:name w:val="Normal (Web)"/>
    <w:basedOn w:val="690"/>
    <w:uiPriority w:val="0"/>
    <w:qFormat/>
    <w:pPr>
      <w:jc w:val="left"/>
      <w:spacing w:beforeAutospacing="1" w:afterAutospacing="1"/>
    </w:pPr>
    <w:rPr>
      <w:rFonts w:cs="Times New Roman"/>
      <w:sz w:val="24"/>
    </w:rPr>
  </w:style>
  <w:style w:type="paragraph" w:styleId="707">
    <w:name w:val="Body Text First Indent"/>
    <w:basedOn w:val="690"/>
    <w:next w:val="690"/>
    <w:uiPriority w:val="99"/>
    <w:unhideWhenUsed/>
    <w:qFormat/>
    <w:pPr>
      <w:ind w:firstLine="420"/>
    </w:pPr>
    <w:rPr>
      <w:rFonts w:ascii="Times New Roman" w:hAnsi="Times New Roman" w:eastAsia="宋体" w:cs="Times New Roman"/>
    </w:rPr>
  </w:style>
  <w:style w:type="paragraph" w:styleId="708">
    <w:name w:val="Body Text First Indent 2"/>
    <w:basedOn w:val="700"/>
    <w:uiPriority w:val="0"/>
    <w:qFormat/>
    <w:pPr>
      <w:ind w:firstLine="420"/>
      <w:spacing w:line="360" w:lineRule="auto"/>
    </w:pPr>
    <w:rPr>
      <w:rFonts w:ascii="宋体" w:hAnsi="宋体" w:eastAsia="宋体"/>
      <w:sz w:val="21"/>
      <w:szCs w:val="20"/>
    </w:rPr>
  </w:style>
  <w:style w:type="table" w:styleId="709">
    <w:name w:val="Table Grid"/>
    <w:basedOn w:val="6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10"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711" w:customStyle="1">
    <w:name w:val="4"/>
    <w:basedOn w:val="690"/>
    <w:next w:val="704"/>
    <w:uiPriority w:val="0"/>
    <w:qFormat/>
    <w:pPr>
      <w:ind w:firstLine="420"/>
      <w:spacing w:line="360" w:lineRule="auto"/>
    </w:pPr>
    <w:rPr>
      <w:color w:val="ff0000"/>
      <w:sz w:val="24"/>
    </w:rPr>
  </w:style>
  <w:style w:type="paragraph" w:styleId="712" w:customStyle="1">
    <w:name w:val="纯文本1"/>
    <w:basedOn w:val="690"/>
    <w:uiPriority w:val="0"/>
    <w:qFormat/>
    <w:rPr>
      <w:rFonts w:ascii="宋体" w:hAnsi="Courier New" w:eastAsia="楷体_GB2312"/>
      <w:sz w:val="28"/>
      <w:szCs w:val="20"/>
    </w:rPr>
  </w:style>
  <w:style w:type="character" w:styleId="713" w:customStyle="1">
    <w:name w:val="页眉 字符"/>
    <w:basedOn w:val="692"/>
    <w:link w:val="703"/>
    <w:uiPriority w:val="0"/>
    <w:qFormat/>
    <w:rPr>
      <w:sz w:val="18"/>
      <w:szCs w:val="18"/>
    </w:rPr>
  </w:style>
  <w:style w:type="character" w:styleId="714" w:customStyle="1">
    <w:name w:val="页脚 字符"/>
    <w:basedOn w:val="692"/>
    <w:link w:val="702"/>
    <w:uiPriority w:val="99"/>
    <w:qFormat/>
    <w:rPr>
      <w:sz w:val="18"/>
      <w:szCs w:val="18"/>
    </w:rPr>
  </w:style>
  <w:style w:type="character" w:styleId="715" w:customStyle="1">
    <w:name w:val="NormalCharacter"/>
    <w:uiPriority w:val="99"/>
    <w:qFormat/>
    <w:rPr>
      <w:rFonts w:ascii="Calibri" w:hAnsi="Calibri" w:eastAsia="宋体"/>
    </w:rPr>
  </w:style>
  <w:style w:type="paragraph" w:styleId="716" w:customStyle="1">
    <w:name w:val="普通正文"/>
    <w:basedOn w:val="690"/>
    <w:uiPriority w:val="0"/>
    <w:qFormat/>
    <w:pPr>
      <w:ind w:firstLine="480"/>
      <w:jc w:val="left"/>
      <w:spacing w:before="120" w:after="120" w:line="360" w:lineRule="auto"/>
    </w:pPr>
    <w:rPr>
      <w:rFonts w:ascii="Arial" w:hAnsi="Arial" w:eastAsia="等线" w:cs="Arial"/>
      <w:sz w:val="24"/>
    </w:rPr>
  </w:style>
  <w:style w:type="paragraph" w:styleId="717">
    <w:name w:val="List Paragraph"/>
    <w:basedOn w:val="690"/>
    <w:uiPriority w:val="34"/>
    <w:qFormat/>
    <w:pPr>
      <w:ind w:firstLine="420"/>
      <w:jc w:val="left"/>
      <w:widowControl/>
    </w:pPr>
    <w:rPr>
      <w:rFonts w:eastAsia="仿宋" w:cs="宋体"/>
      <w:color w:val="000000"/>
      <w:sz w:val="28"/>
    </w:rPr>
  </w:style>
  <w:style w:type="numbering" w:styleId="10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蔡洁</cp:lastModifiedBy>
  <cp:revision>15</cp:revision>
  <dcterms:created xsi:type="dcterms:W3CDTF">2024-07-19T02:42:00Z</dcterms:created>
  <dcterms:modified xsi:type="dcterms:W3CDTF">2025-10-17T07:41:27Z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87E1CEABE2D7456BB0E94DEC45D93AC9_13</vt:lpwstr>
  </property>
  <property fmtid="{D5CDD505-2E9C-101B-9397-08002B2CF9AE}" pid="4" name="KSOTemplateDocerSaveRecord">
    <vt:lpwstr>eyJoZGlkIjoiYjRkYzk3MTNkMTJiNTIyOTI1OGU3ZjRiOTE4YmE2OWEiLCJ1c2VySWQiOiIyNzQ1MjQyMTkifQ==</vt:lpwstr>
  </property>
</Properties>
</file>