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900"/>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90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00"/>
        <w:jc w:val="center"/>
        <w:spacing w:before="120" w:beforeAutospacing="0" w:after="12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江苏省射阳中学智慧校园采购项目（二次）</w:t>
      </w:r>
      <w:r/>
    </w:p>
    <w:p>
      <w:pPr>
        <w:pStyle w:val="900"/>
        <w:ind w:firstLine="643"/>
        <w:jc w:val="both"/>
        <w:spacing w:before="120" w:beforeAutospacing="0" w:after="120" w:afterAutospacing="0" w:line="360" w:lineRule="auto"/>
        <w:rPr>
          <w:rFonts w:hint="default" w:eastAsia="宋体"/>
          <w:highlight w:val="none"/>
          <w:lang w:val="en-US" w:eastAsia="zh-CN"/>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JSZC-320924-JZCG-G2026-0036</w:t>
      </w:r>
      <w:r/>
    </w:p>
    <w:p>
      <w:pPr>
        <w:pStyle w:val="900"/>
        <w:spacing w:beforeAutospacing="0" w:afterAutospacing="0" w:line="360" w:lineRule="auto"/>
        <w:rPr>
          <w:highlight w:val="none"/>
        </w:rPr>
      </w:pPr>
      <w:r>
        <w:rPr>
          <w:highlight w:val="none"/>
        </w:rPr>
        <w:t xml:space="preserve"> </w:t>
      </w:r>
      <w:r/>
    </w:p>
    <w:p>
      <w:pPr>
        <w:pStyle w:val="900"/>
        <w:spacing w:beforeAutospacing="0" w:afterAutospacing="0" w:line="360" w:lineRule="auto"/>
        <w:rPr>
          <w:highlight w:val="none"/>
        </w:rPr>
      </w:pPr>
      <w:r>
        <w:rPr>
          <w:highlight w:val="none"/>
        </w:rPr>
        <w:t xml:space="preserve"> </w:t>
      </w:r>
      <w:r/>
    </w:p>
    <w:p>
      <w:pPr>
        <w:pStyle w:val="900"/>
        <w:spacing w:beforeAutospacing="0" w:afterAutospacing="0" w:line="360" w:lineRule="auto"/>
        <w:rPr>
          <w:highlight w:val="none"/>
        </w:rPr>
      </w:pPr>
      <w:r>
        <w:rPr>
          <w:highlight w:val="none"/>
        </w:rPr>
        <w:t xml:space="preserve"> </w:t>
      </w:r>
      <w:r/>
    </w:p>
    <w:p>
      <w:pPr>
        <w:pStyle w:val="900"/>
        <w:spacing w:beforeAutospacing="0" w:afterAutospacing="0" w:line="360" w:lineRule="auto"/>
        <w:rPr>
          <w:highlight w:val="none"/>
        </w:rPr>
      </w:pPr>
      <w:r>
        <w:rPr>
          <w:highlight w:val="none"/>
        </w:rPr>
        <w:t xml:space="preserve"> </w:t>
      </w:r>
      <w:r/>
    </w:p>
    <w:p>
      <w:pPr>
        <w:pStyle w:val="900"/>
        <w:spacing w:beforeAutospacing="0" w:afterAutospacing="0" w:line="360" w:lineRule="auto"/>
        <w:rPr>
          <w:highlight w:val="none"/>
        </w:rPr>
      </w:pPr>
      <w:r>
        <w:rPr>
          <w:highlight w:val="none"/>
        </w:rPr>
        <w:t xml:space="preserve"> </w:t>
      </w:r>
      <w:r/>
    </w:p>
    <w:p>
      <w:pPr>
        <w:pStyle w:val="900"/>
        <w:spacing w:beforeAutospacing="0" w:afterAutospacing="0" w:line="360" w:lineRule="auto"/>
        <w:rPr>
          <w:highlight w:val="none"/>
        </w:rPr>
      </w:pPr>
      <w:r>
        <w:rPr>
          <w:highlight w:val="none"/>
        </w:rPr>
      </w:r>
      <w:r/>
    </w:p>
    <w:p>
      <w:pPr>
        <w:pStyle w:val="900"/>
        <w:spacing w:beforeAutospacing="0" w:afterAutospacing="0" w:line="360" w:lineRule="auto"/>
        <w:rPr>
          <w:highlight w:val="none"/>
        </w:rPr>
      </w:pPr>
      <w:r>
        <w:rPr>
          <w:highlight w:val="none"/>
        </w:rPr>
      </w:r>
      <w:r/>
    </w:p>
    <w:p>
      <w:pPr>
        <w:pStyle w:val="900"/>
        <w:spacing w:beforeAutospacing="0" w:afterAutospacing="0" w:line="360" w:lineRule="auto"/>
        <w:rPr>
          <w:highlight w:val="none"/>
        </w:rPr>
      </w:pPr>
      <w:r>
        <w:rPr>
          <w:highlight w:val="none"/>
        </w:rPr>
        <w:t xml:space="preserve"> </w:t>
      </w:r>
      <w:r/>
    </w:p>
    <w:p>
      <w:pPr>
        <w:pStyle w:val="900"/>
        <w:spacing w:beforeAutospacing="0" w:afterAutospacing="0" w:line="360" w:lineRule="auto"/>
        <w:rPr>
          <w:highlight w:val="none"/>
        </w:rPr>
      </w:pPr>
      <w:r>
        <w:rPr>
          <w:highlight w:val="none"/>
        </w:rPr>
      </w:r>
      <w:r/>
    </w:p>
    <w:p>
      <w:pPr>
        <w:pStyle w:val="900"/>
        <w:spacing w:beforeAutospacing="0" w:afterAutospacing="0" w:line="360" w:lineRule="auto"/>
        <w:rPr>
          <w:highlight w:val="none"/>
        </w:rPr>
      </w:pPr>
      <w:r>
        <w:rPr>
          <w:highlight w:val="none"/>
        </w:rPr>
        <w:t xml:space="preserve"> </w:t>
      </w:r>
      <w:r/>
    </w:p>
    <w:p>
      <w:pPr>
        <w:pStyle w:val="900"/>
        <w:jc w:val="center"/>
        <w:spacing w:before="120" w:beforeAutospacing="0" w:after="120" w:afterAutospacing="0" w:line="360" w:lineRule="auto"/>
        <w:rPr>
          <w:rFonts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江苏省射阳中学</w:t>
      </w:r>
      <w:r/>
    </w:p>
    <w:p>
      <w:pPr>
        <w:pStyle w:val="900"/>
        <w:jc w:val="center"/>
        <w:spacing w:before="120" w:beforeAutospacing="0" w:after="120" w:afterAutospacing="0" w:line="360" w:lineRule="auto"/>
        <w:rPr>
          <w:rFonts w:eastAsia="宋体"/>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8</w:t>
      </w:r>
      <w:r>
        <w:rPr>
          <w:rFonts w:ascii="Arial" w:hAnsi="Arial" w:cs="Arial"/>
          <w:b/>
          <w:color w:val="000000"/>
          <w:sz w:val="32"/>
          <w:szCs w:val="32"/>
          <w:highlight w:val="none"/>
        </w:rPr>
        <w:t xml:space="preserve">月</w:t>
      </w:r>
      <w:r/>
    </w:p>
    <w:p>
      <w:pPr>
        <w:pStyle w:val="900"/>
        <w:spacing w:before="120" w:beforeAutospacing="0" w:after="120" w:afterAutospacing="0" w:line="360" w:lineRule="auto"/>
        <w:rPr>
          <w:highlight w:val="none"/>
        </w:rPr>
      </w:pPr>
      <w:r>
        <w:rPr>
          <w:rFonts w:ascii="Arial" w:hAnsi="Arial" w:cs="Arial"/>
          <w:color w:val="000000"/>
          <w:highlight w:val="none"/>
        </w:rPr>
        <w:t xml:space="preserve">                        </w:t>
      </w:r>
      <w:r/>
    </w:p>
    <w:p>
      <w:pPr>
        <w:pStyle w:val="900"/>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23127445"/>
      <w:r/>
      <w:bookmarkStart w:id="1" w:name="_Toc16938516"/>
      <w:r/>
      <w:bookmarkStart w:id="2" w:name="_Toc120614210"/>
      <w:r/>
      <w:bookmarkStart w:id="3" w:name="_Toc513029200"/>
      <w:r/>
      <w:bookmarkStart w:id="4" w:name="_Toc479757206"/>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900"/>
        <w:jc w:val="both"/>
        <w:spacing w:beforeAutospacing="0" w:afterAutospacing="0" w:line="480" w:lineRule="auto"/>
        <w:rPr>
          <w:highlight w:val="none"/>
        </w:rPr>
      </w:pPr>
      <w:r>
        <w:rPr>
          <w:highlight w:val="none"/>
        </w:rPr>
        <w:t xml:space="preserve"> </w:t>
      </w:r>
      <w:r/>
    </w:p>
    <w:p>
      <w:pPr>
        <w:pStyle w:val="90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rPr>
          <w:rFonts w:hint="eastAsia" w:ascii="黑体" w:hAnsi="宋体" w:eastAsia="黑体" w:cs="黑体"/>
          <w:color w:val="000000"/>
          <w:sz w:val="36"/>
          <w:szCs w:val="36"/>
          <w:highlight w:val="none"/>
        </w:rPr>
        <w:t xml:space="preserve"> </w:t>
      </w:r>
      <w:r/>
    </w:p>
    <w:p>
      <w:pPr>
        <w:pStyle w:val="90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eastAsia="zh-CN"/>
        </w:rPr>
        <w:t xml:space="preserve">供应商</w:t>
      </w:r>
      <w:r>
        <w:rPr>
          <w:rFonts w:hint="eastAsia" w:ascii="黑体" w:hAnsi="宋体" w:eastAsia="黑体" w:cs="黑体"/>
          <w:color w:val="000000"/>
          <w:sz w:val="36"/>
          <w:szCs w:val="36"/>
          <w:highlight w:val="none"/>
        </w:rPr>
        <w:t xml:space="preserve">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p>
    <w:p>
      <w:pPr>
        <w:pStyle w:val="900"/>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19</w:t>
      </w:r>
      <w:r/>
    </w:p>
    <w:p>
      <w:pPr>
        <w:pStyle w:val="900"/>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40</w:t>
      </w:r>
      <w:r/>
    </w:p>
    <w:p>
      <w:pPr>
        <w:pStyle w:val="900"/>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44</w:t>
      </w:r>
      <w:r/>
    </w:p>
    <w:p>
      <w:pPr>
        <w:pStyle w:val="900"/>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49</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pPr>
      <w:r>
        <w:rPr>
          <w:highlight w:val="none"/>
        </w:rPr>
        <w:t xml:space="preserve"> </w:t>
      </w:r>
      <w:r/>
    </w:p>
    <w:p>
      <w:pPr>
        <w:pStyle w:val="900"/>
        <w:jc w:val="both"/>
        <w:spacing w:beforeAutospacing="0" w:afterAutospacing="0"/>
        <w:rPr>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rPr>
      </w:r>
      <w:r/>
    </w:p>
    <w:p>
      <w:pPr>
        <w:pStyle w:val="900"/>
        <w:jc w:val="both"/>
        <w:spacing w:beforeAutospacing="0" w:afterAutospacing="0"/>
        <w:rPr>
          <w:highlight w:val="none"/>
        </w:rPr>
      </w:pPr>
      <w:r>
        <w:rPr>
          <w:highlight w:val="none"/>
        </w:rPr>
        <w:t xml:space="preserve"> </w:t>
      </w:r>
      <w:r/>
    </w:p>
    <w:p>
      <w:pPr>
        <w:pStyle w:val="900"/>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900"/>
        <w:jc w:val="both"/>
        <w:spacing w:beforeAutospacing="0" w:afterAutospacing="0" w:line="360" w:lineRule="auto"/>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p>
    <w:p>
      <w:pPr>
        <w:pStyle w:val="89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lang w:eastAsia="zh-CN"/>
        </w:rPr>
        <w:t xml:space="preserve">江苏省射阳中学智慧校园采购项目（二次）</w:t>
      </w:r>
      <w:r>
        <w:rPr>
          <w:rFonts w:hint="eastAsia" w:ascii="宋体" w:hAnsi="宋体" w:eastAsia="宋体" w:cs="宋体"/>
          <w:color w:val="auto"/>
          <w:sz w:val="24"/>
          <w:szCs w:val="24"/>
          <w:highlight w:val="none"/>
        </w:rPr>
        <w:t xml:space="preserve">的潜在投标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cs="宋体"/>
          <w:color w:val="000000"/>
          <w:u w:val="single"/>
          <w:lang w:val="en-US" w:eastAsia="zh-CN"/>
        </w:rPr>
        <w:t xml:space="preserve">9</w:t>
      </w:r>
      <w:r>
        <w:rPr>
          <w:rFonts w:hint="eastAsia" w:ascii="宋体" w:hAnsi="宋体" w:eastAsia="宋体" w:cs="宋体"/>
          <w:color w:val="000000"/>
          <w:u w:val="single"/>
        </w:rPr>
        <w:t xml:space="preserve">月</w:t>
      </w:r>
      <w:r>
        <w:rPr>
          <w:rFonts w:hint="eastAsia" w:ascii="宋体" w:hAnsi="宋体" w:cs="宋体"/>
          <w:color w:val="000000"/>
          <w:u w:val="single"/>
          <w:lang w:val="en-US" w:eastAsia="zh-CN"/>
        </w:rPr>
        <w:t xml:space="preserve">14</w:t>
      </w:r>
      <w:r>
        <w:rPr>
          <w:rFonts w:hint="eastAsia" w:ascii="宋体" w:hAnsi="宋体" w:eastAsia="宋体" w:cs="宋体"/>
          <w:color w:val="000000"/>
          <w:u w:val="single"/>
        </w:rPr>
        <w:t xml:space="preserve">日</w:t>
      </w:r>
      <w:r>
        <w:rPr>
          <w:rFonts w:hint="eastAsia" w:ascii="宋体" w:hAnsi="宋体" w:cs="宋体"/>
          <w:color w:val="000000"/>
          <w:u w:val="single"/>
          <w:lang w:val="en-US" w:eastAsia="zh-CN"/>
        </w:rPr>
        <w:t xml:space="preserve">15</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900"/>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7" w:name="_Hlk24379207"/>
      <w:r/>
      <w:bookmarkStart w:id="8" w:name="_Toc28359079"/>
      <w:r/>
      <w:bookmarkStart w:id="9" w:name="_Toc28359002"/>
      <w:r/>
      <w:bookmarkStart w:id="10" w:name="_Toc38985263"/>
      <w:r/>
      <w:bookmarkStart w:id="11" w:name="_Toc35393790"/>
      <w:r/>
      <w:bookmarkStart w:id="12" w:name="_Toc35393621"/>
      <w:r>
        <w:rPr>
          <w:rFonts w:hint="eastAsia" w:ascii="宋体" w:hAnsi="宋体" w:eastAsia="宋体" w:cs="宋体"/>
          <w:b/>
          <w:bCs/>
          <w:color w:val="000000"/>
          <w:sz w:val="24"/>
          <w:szCs w:val="24"/>
          <w:lang w:val="en-US" w:eastAsia="zh-CN" w:bidi="ar-SA"/>
        </w:rPr>
        <w:t xml:space="preserve">一、项目基本情况</w:t>
      </w:r>
      <w:bookmarkEnd w:id="7"/>
      <w:r/>
      <w:bookmarkEnd w:id="8"/>
      <w:r/>
      <w:bookmarkEnd w:id="9"/>
      <w:r/>
      <w:bookmarkEnd w:id="10"/>
      <w:r/>
      <w:bookmarkEnd w:id="11"/>
      <w:r/>
      <w:bookmarkEnd w:id="12"/>
      <w:r/>
      <w:r/>
    </w:p>
    <w:p>
      <w:pPr>
        <w:pStyle w:val="900"/>
        <w:ind w:firstLine="48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1.项目编号：JSZC-320924-JZCG-G2026-0036</w:t>
      </w:r>
      <w:r/>
    </w:p>
    <w:p>
      <w:pPr>
        <w:pStyle w:val="90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2.项目名称：</w:t>
      </w:r>
      <w:r>
        <w:rPr>
          <w:rFonts w:hint="eastAsia" w:ascii="宋体" w:hAnsi="宋体" w:cs="宋体"/>
          <w:color w:val="000000"/>
          <w:sz w:val="24"/>
          <w:szCs w:val="24"/>
          <w:lang w:val="en-US" w:eastAsia="zh-CN" w:bidi="ar-SA"/>
        </w:rPr>
        <w:t xml:space="preserve">江苏省射阳中学智慧校园采购项目（二次）</w:t>
      </w:r>
      <w:r/>
    </w:p>
    <w:p>
      <w:pPr>
        <w:pStyle w:val="90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3.采购方式：公开招标</w:t>
      </w:r>
      <w:r/>
    </w:p>
    <w:p>
      <w:pPr>
        <w:pStyle w:val="90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4.预算金额：1</w:t>
      </w:r>
      <w:r>
        <w:rPr>
          <w:rFonts w:hint="eastAsia" w:ascii="宋体" w:hAnsi="宋体" w:cs="宋体"/>
          <w:color w:val="000000"/>
          <w:sz w:val="24"/>
          <w:szCs w:val="24"/>
          <w:lang w:val="en-US" w:eastAsia="zh-CN" w:bidi="ar-SA"/>
        </w:rPr>
        <w:t xml:space="preserve">41.5</w:t>
      </w:r>
      <w:r>
        <w:rPr>
          <w:rFonts w:hint="eastAsia" w:ascii="宋体" w:hAnsi="宋体" w:eastAsia="宋体" w:cs="宋体"/>
          <w:color w:val="000000"/>
          <w:sz w:val="24"/>
          <w:szCs w:val="24"/>
          <w:lang w:val="en-US" w:eastAsia="zh-CN" w:bidi="ar-SA"/>
        </w:rPr>
        <w:t xml:space="preserve">万元</w:t>
      </w:r>
      <w:r/>
    </w:p>
    <w:p>
      <w:pPr>
        <w:pStyle w:val="90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5.最高限价（如有）：</w:t>
      </w:r>
      <w:r>
        <w:rPr>
          <w:rFonts w:hint="eastAsia" w:ascii="宋体" w:hAnsi="宋体" w:cs="宋体"/>
          <w:color w:val="000000"/>
          <w:sz w:val="24"/>
          <w:szCs w:val="24"/>
          <w:lang w:val="en-US" w:eastAsia="zh-CN" w:bidi="ar-SA"/>
        </w:rPr>
        <w:t xml:space="preserve">141.5</w:t>
      </w:r>
      <w:r>
        <w:rPr>
          <w:rFonts w:hint="eastAsia" w:ascii="宋体" w:hAnsi="宋体" w:eastAsia="宋体" w:cs="宋体"/>
          <w:color w:val="000000"/>
          <w:sz w:val="24"/>
          <w:szCs w:val="24"/>
          <w:lang w:val="en-US" w:eastAsia="zh-CN" w:bidi="ar-SA"/>
        </w:rPr>
        <w:t xml:space="preserve">万元，投标人投标报价不得超过该最高限价，否则按无效投标处理。</w:t>
      </w:r>
      <w:r/>
    </w:p>
    <w:p>
      <w:pPr>
        <w:pStyle w:val="894"/>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6.采购需求：本项目为</w:t>
      </w:r>
      <w:r>
        <w:rPr>
          <w:rFonts w:hint="eastAsia" w:ascii="宋体" w:hAnsi="宋体" w:cs="宋体"/>
          <w:color w:val="000000"/>
          <w:sz w:val="24"/>
          <w:szCs w:val="24"/>
          <w:lang w:val="en-US" w:eastAsia="zh-CN" w:bidi="ar-SA"/>
        </w:rPr>
        <w:t xml:space="preserve">江苏省射阳中学智慧校园采购项目（二次）</w:t>
      </w:r>
      <w:r>
        <w:rPr>
          <w:rFonts w:hint="eastAsia" w:ascii="宋体" w:hAnsi="宋体" w:eastAsia="宋体" w:cs="宋体"/>
          <w:color w:val="000000"/>
          <w:sz w:val="24"/>
          <w:szCs w:val="24"/>
          <w:lang w:val="en-US" w:eastAsia="zh-CN" w:bidi="ar-SA"/>
        </w:rPr>
        <w:t xml:space="preserve">，本次招标范围包括：AI跑步运动专用检测相机、交换机、路由器、电子班牌等设</w:t>
      </w:r>
      <w:r>
        <w:rPr>
          <w:rFonts w:hint="eastAsia" w:ascii="宋体" w:hAnsi="宋体" w:cs="宋体"/>
          <w:color w:val="000000"/>
          <w:sz w:val="24"/>
          <w:szCs w:val="24"/>
          <w:lang w:val="en-US" w:eastAsia="zh-CN" w:bidi="ar-SA"/>
        </w:rPr>
        <w:t xml:space="preserve">备</w:t>
      </w:r>
      <w:r>
        <w:rPr>
          <w:rFonts w:hint="eastAsia" w:ascii="宋体" w:hAnsi="宋体" w:eastAsia="宋体" w:cs="宋体"/>
          <w:color w:val="000000"/>
          <w:sz w:val="24"/>
          <w:szCs w:val="24"/>
          <w:lang w:val="en-US" w:eastAsia="zh-CN" w:bidi="ar-SA"/>
        </w:rPr>
        <w:t xml:space="preserve">。采购内容包括以上货物的供应、运输、安装调试及售后等相关伴随服务；具体采购范围及所应达到的具体要求，详见本招标文件中项目需求。</w:t>
      </w:r>
      <w:r/>
    </w:p>
    <w:p>
      <w:pPr>
        <w:pStyle w:val="894"/>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7.合同履行期限：中标单位与采购方签订合同后30日内供货到采购人指定地点完成安装、调试工作，并经采购人验收合格。</w:t>
      </w:r>
      <w:r/>
    </w:p>
    <w:p>
      <w:pPr>
        <w:pStyle w:val="90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8.本项目（是/否）接受联合体投标：否</w:t>
      </w:r>
      <w:r/>
    </w:p>
    <w:p>
      <w:pPr>
        <w:pStyle w:val="900"/>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13" w:name="_Toc35393791"/>
      <w:r/>
      <w:bookmarkStart w:id="14" w:name="_Toc38985264"/>
      <w:r/>
      <w:bookmarkStart w:id="15" w:name="_Toc35393622"/>
      <w:r/>
      <w:bookmarkStart w:id="16" w:name="_Toc28359003"/>
      <w:r/>
      <w:bookmarkStart w:id="17" w:name="_Toc28359080"/>
      <w:r>
        <w:rPr>
          <w:rFonts w:hint="eastAsia" w:ascii="宋体" w:hAnsi="宋体" w:eastAsia="宋体" w:cs="宋体"/>
          <w:b/>
          <w:bCs/>
          <w:color w:val="000000"/>
          <w:sz w:val="24"/>
          <w:szCs w:val="24"/>
          <w:lang w:val="en-US" w:eastAsia="zh-CN" w:bidi="ar-SA"/>
        </w:rPr>
        <w:t xml:space="preserve">二、申请人的资格要求：</w:t>
      </w:r>
      <w:bookmarkEnd w:id="13"/>
      <w:r/>
      <w:bookmarkEnd w:id="14"/>
      <w:r/>
      <w:bookmarkEnd w:id="15"/>
      <w:r/>
      <w:bookmarkEnd w:id="16"/>
      <w:r/>
      <w:bookmarkEnd w:id="17"/>
      <w:r/>
      <w:r/>
    </w:p>
    <w:p>
      <w:pPr>
        <w:pStyle w:val="900"/>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（一）满足《中华人民共和国政府采购法》第二十二条规定：</w:t>
      </w:r>
      <w:r/>
    </w:p>
    <w:p>
      <w:pPr>
        <w:pStyle w:val="900"/>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1.法人或者其他组织的营业执照等证明文件，自然人的身份证明；</w:t>
      </w:r>
      <w:r/>
    </w:p>
    <w:p>
      <w:pPr>
        <w:pStyle w:val="900"/>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2.上一年度的财务状况报表（成立不满一年无需提供）；</w:t>
      </w:r>
      <w:r/>
    </w:p>
    <w:p>
      <w:pPr>
        <w:pStyle w:val="900"/>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900"/>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4.具备履行合同所必需的设备和专业技术能力的书面声明；</w:t>
      </w:r>
      <w:r/>
    </w:p>
    <w:p>
      <w:pPr>
        <w:pStyle w:val="900"/>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5.参加政府采购活动前3年内在经营活动中没有重大违法记录的书面声明。</w:t>
      </w:r>
      <w:r/>
    </w:p>
    <w:p>
      <w:pPr>
        <w:pStyle w:val="900"/>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6.法律、行政法规规定的其他条件</w:t>
      </w:r>
      <w:r/>
    </w:p>
    <w:p>
      <w:pPr>
        <w:pStyle w:val="900"/>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0"/>
        <w:ind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.单位负责人为同一人或者存在直接控股、管理关系的不同供应商，不得参加同一合同项下的政府采购活动。</w:t>
      </w:r>
      <w:r/>
    </w:p>
    <w:p>
      <w:pPr>
        <w:pStyle w:val="900"/>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（二）落实政府采购政策需满足的资格要求：</w:t>
      </w:r>
      <w:r/>
    </w:p>
    <w:p>
      <w:pPr>
        <w:pStyle w:val="894"/>
        <w:numPr>
          <w:ilvl w:val="0"/>
          <w:numId w:val="0"/>
        </w:numPr>
        <w:ind w:firstLine="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本项目为</w:t>
      </w:r>
      <w:r>
        <w:rPr>
          <w:rFonts w:hint="eastAsia" w:ascii="宋体" w:hAnsi="宋体" w:cs="宋体"/>
          <w:color w:val="000000"/>
          <w:sz w:val="24"/>
          <w:szCs w:val="24"/>
          <w:lang w:val="en-US" w:eastAsia="zh-CN" w:bidi="ar-SA"/>
        </w:rPr>
        <w:t xml:space="preserve">货物</w:t>
      </w:r>
      <w:r>
        <w:rPr>
          <w:rFonts w:hint="eastAsia" w:ascii="宋体" w:hAnsi="宋体" w:eastAsia="宋体" w:cs="宋体"/>
          <w:color w:val="000000"/>
          <w:sz w:val="24"/>
          <w:szCs w:val="24"/>
          <w:lang w:val="en-US" w:eastAsia="zh-CN" w:bidi="ar-SA"/>
        </w:rPr>
        <w:t xml:space="preserve">类采购项目，所属行业为：</w:t>
      </w:r>
      <w:r>
        <w:rPr>
          <w:rFonts w:hint="eastAsia" w:ascii="宋体" w:hAnsi="宋体" w:cs="宋体"/>
          <w:color w:val="000000"/>
          <w:sz w:val="24"/>
          <w:szCs w:val="24"/>
          <w:lang w:val="en-US" w:eastAsia="zh-CN" w:bidi="ar-SA"/>
        </w:rPr>
        <w:t xml:space="preserve">工业</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本</w:t>
      </w:r>
      <w:r>
        <w:rPr>
          <w:rFonts w:hint="eastAsia" w:ascii="宋体" w:hAnsi="宋体" w:eastAsia="宋体" w:cs="宋体"/>
          <w:color w:val="000000"/>
          <w:sz w:val="24"/>
          <w:szCs w:val="24"/>
          <w:lang w:val="en-US" w:eastAsia="zh-CN" w:bidi="ar-SA"/>
        </w:rPr>
        <w:t xml:space="preserve">项目为非预留份额的采购项目，执行价格扣除优惠政策，给予小微型企业、监狱企业或残疾人福利性单位</w:t>
      </w:r>
      <w:r>
        <w:rPr>
          <w:rFonts w:hint="eastAsia" w:ascii="宋体" w:hAnsi="宋体" w:cs="宋体"/>
          <w:color w:val="000000"/>
          <w:sz w:val="24"/>
          <w:szCs w:val="24"/>
          <w:lang w:val="en-US" w:eastAsia="zh-CN" w:bidi="ar-SA"/>
        </w:rPr>
        <w:t xml:space="preserve">报价</w:t>
      </w:r>
      <w:r>
        <w:rPr>
          <w:rFonts w:hint="eastAsia" w:ascii="宋体" w:hAnsi="宋体" w:eastAsia="宋体" w:cs="宋体"/>
          <w:color w:val="000000"/>
          <w:sz w:val="24"/>
          <w:szCs w:val="24"/>
          <w:lang w:val="en-US" w:eastAsia="zh-CN" w:bidi="ar-SA"/>
        </w:rPr>
        <w:t xml:space="preserve">20%的扣除，用扣除后的价格参加评审。价格扣除比例对小型企业和微型企业同等对待，不作区分。监狱企业、残疾人福利单位属于小型、微型企业的，不重复享受政策。</w:t>
      </w:r>
      <w:r/>
    </w:p>
    <w:p>
      <w:pPr>
        <w:pStyle w:val="900"/>
        <w:numPr>
          <w:ilvl w:val="0"/>
          <w:numId w:val="1"/>
        </w:numPr>
        <w:ind w:right="0" w:firstLine="480"/>
        <w:jc w:val="both"/>
        <w:keepLines/>
        <w:keepNext/>
        <w:pageBreakBefore w:val="0"/>
        <w:spacing w:beforeAutospacing="0" w:afterAutospacing="0"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本项目的特定资格要求：无。</w:t>
      </w:r>
      <w:r/>
    </w:p>
    <w:p>
      <w:pPr>
        <w:pStyle w:val="900"/>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bookmarkStart w:id="18" w:name="_Toc38985266"/>
      <w:r/>
      <w:bookmarkStart w:id="19" w:name="_Toc35393624"/>
      <w:r/>
      <w:bookmarkStart w:id="20" w:name="_Toc35393793"/>
      <w:r/>
      <w:bookmarkStart w:id="21" w:name="_Toc28359005"/>
      <w:r/>
      <w:bookmarkStart w:id="22" w:name="_Toc28359082"/>
      <w:r>
        <w:rPr>
          <w:rFonts w:hint="eastAsia" w:ascii="宋体" w:hAnsi="宋体" w:eastAsia="宋体" w:cs="宋体"/>
          <w:color w:val="000000"/>
          <w:sz w:val="24"/>
          <w:szCs w:val="24"/>
          <w:lang w:val="en-US" w:eastAsia="zh-CN" w:bidi="ar-SA"/>
        </w:rPr>
        <w:t xml:space="preserve">1.时间：</w:t>
      </w:r>
      <w:bookmarkEnd w:id="18"/>
      <w:r/>
      <w:bookmarkEnd w:id="19"/>
      <w:r/>
      <w:bookmarkEnd w:id="20"/>
      <w:r/>
      <w:bookmarkEnd w:id="21"/>
      <w:r/>
      <w:bookmarkEnd w:id="22"/>
      <w:r>
        <w:rPr>
          <w:rFonts w:hint="eastAsia" w:ascii="宋体" w:hAnsi="宋体" w:eastAsia="宋体" w:cs="宋体"/>
          <w:color w:val="000000"/>
          <w:sz w:val="24"/>
          <w:szCs w:val="24"/>
          <w:lang w:val="en-US" w:eastAsia="zh-CN" w:bidi="ar-SA"/>
        </w:rPr>
        <w:t xml:space="preserve">自招标文件公告发布之日起5个工作日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2.地点：“苏采云”系统内免费下载（供应商必须在苏采云系统中获取采购文件，方能参与政府采购项目）</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4.售价：0元</w:t>
      </w:r>
      <w:r/>
    </w:p>
    <w:p>
      <w:pPr>
        <w:pStyle w:val="900"/>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1.时间：2026-9-</w:t>
      </w:r>
      <w:r>
        <w:rPr>
          <w:rFonts w:hint="eastAsia" w:ascii="宋体" w:hAnsi="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t xml:space="preserve">:00（北京时间）</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2.地点：苏采云“不见面”开标大厅 </w:t>
      </w:r>
      <w:r/>
    </w:p>
    <w:p>
      <w:pPr>
        <w:pStyle w:val="900"/>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23" w:name="_Toc35393625"/>
      <w:r/>
      <w:bookmarkStart w:id="24" w:name="_Toc28359084"/>
      <w:r/>
      <w:bookmarkStart w:id="25" w:name="_Toc38985267"/>
      <w:r/>
      <w:bookmarkStart w:id="26" w:name="_Toc35393794"/>
      <w:r/>
      <w:bookmarkStart w:id="27" w:name="_Toc28359007"/>
      <w:r>
        <w:rPr>
          <w:rFonts w:hint="eastAsia" w:ascii="宋体" w:hAnsi="宋体" w:eastAsia="宋体" w:cs="宋体"/>
          <w:b/>
          <w:bCs/>
          <w:color w:val="000000"/>
          <w:sz w:val="24"/>
          <w:szCs w:val="24"/>
          <w:lang w:val="en-US" w:eastAsia="zh-CN" w:bidi="ar-SA"/>
        </w:rPr>
        <w:t xml:space="preserve">五、公告期限</w:t>
      </w:r>
      <w:bookmarkEnd w:id="23"/>
      <w:r/>
      <w:bookmarkEnd w:id="24"/>
      <w:r/>
      <w:bookmarkEnd w:id="25"/>
      <w:r/>
      <w:bookmarkEnd w:id="26"/>
      <w:r/>
      <w:bookmarkEnd w:id="27"/>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28" w:name="_Toc35393795"/>
      <w:r/>
      <w:bookmarkStart w:id="29" w:name="_Toc35393626"/>
      <w:r/>
      <w:bookmarkStart w:id="30" w:name="_Toc38985268"/>
      <w:r>
        <w:rPr>
          <w:rFonts w:hint="eastAsia" w:ascii="宋体" w:hAnsi="宋体" w:eastAsia="宋体" w:cs="宋体"/>
          <w:color w:val="000000"/>
          <w:sz w:val="24"/>
          <w:szCs w:val="24"/>
          <w:lang w:val="en-US" w:eastAsia="zh-CN" w:bidi="ar-SA"/>
        </w:rPr>
        <w:t xml:space="preserve">自本公告发布之日起5个工作日。</w:t>
      </w:r>
      <w:bookmarkEnd w:id="28"/>
      <w:r/>
      <w:bookmarkEnd w:id="29"/>
      <w:r/>
      <w:bookmarkEnd w:id="30"/>
      <w:r/>
      <w:r/>
    </w:p>
    <w:p>
      <w:pPr>
        <w:pStyle w:val="900"/>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六、其他补充事宜</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color w:val="000000"/>
          <w:sz w:val="24"/>
          <w:szCs w:val="24"/>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2.潜在供应商访问电子招标响应交易平台的网络地址和方法： </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2.1“苏采云”系统用户注册--获取“CA 数字证书”--CA 绑定与登录--参与投 标--下载采购文件（后缀名为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kedt”）--将后缀名为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潜在供应商访问“苏采云”系统方法：江苏省政府采购网首页-“苏采云”链接。 </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 采购文件（后缀名为</w:t>
      </w:r>
      <w:r>
        <w:rPr>
          <w:rFonts w:hint="eastAsia"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kedt”）、供应商操作手册及政府采购客户端工具可通过“苏采云”系统相应链接进行下载。 </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 采购代理机构将数据电文形式的采购文件加载至“苏采云”系统，供潜在供应商下载或者查阅。 </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 请潜在投标单位提前安装相应的控件（详见《“苏采云”系统供应商操作手册》）并使用谷歌浏览器登录“苏采云”系统参与不见面开评标。 </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如潜在供应商未按上述要求操作，将自行承担所产生的风险。</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3.有关本次招标的事项若存在变动或修改，敬请及时关注射阳县行政服务中心在“中国政府采购网”、“江苏政府采购网”“盐城市政府采购网”发布的更正公告。</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4.本次招标不收取投标保证金，不收取质量保证金。</w:t>
      </w:r>
      <w:r/>
    </w:p>
    <w:p>
      <w:pPr>
        <w:pStyle w:val="90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七、对本次招标提出询问，请按以下方式联系。</w:t>
      </w:r>
      <w:bookmarkEnd w:id="31"/>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1.采购人信息</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称：江苏省射阳中学</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地址：射阳县幸福大道</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联系人：嵇少华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联系方式：18752273053</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2.采购代理机构信息</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lang w:val="en-US" w:eastAsia="en-US" w:bidi="ar-SA"/>
        </w:rPr>
        <w:t xml:space="preserve">射阳县行政服务中心</w:t>
      </w:r>
      <w:r>
        <w:rPr>
          <w:rFonts w:hint="eastAsia" w:ascii="宋体" w:hAnsi="宋体" w:eastAsia="宋体" w:cs="宋体"/>
          <w:color w:val="000000"/>
          <w:sz w:val="24"/>
          <w:szCs w:val="24"/>
          <w:lang w:val="en-US" w:eastAsia="zh-CN" w:bidi="ar-SA"/>
        </w:rPr>
        <w:t xml:space="preserve">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 址：盐城市射阳县幸福大道16号</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联系人：彭明静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w:t>
      </w:r>
      <w:bookmarkStart w:id="32" w:name="_Toc28359010"/>
      <w:r/>
      <w:bookmarkStart w:id="33" w:name="_Toc28359087"/>
      <w:r>
        <w:rPr>
          <w:rFonts w:hint="eastAsia" w:ascii="宋体" w:hAnsi="宋体" w:eastAsia="宋体" w:cs="宋体"/>
          <w:color w:val="000000"/>
          <w:sz w:val="24"/>
          <w:szCs w:val="24"/>
          <w:lang w:val="en-US" w:eastAsia="zh-CN" w:bidi="ar-SA"/>
        </w:rPr>
        <w:t xml:space="preserve">0515-82309113       </w:t>
      </w:r>
      <w:bookmarkEnd w:id="32"/>
      <w:r/>
      <w:bookmarkEnd w:id="33"/>
      <w:r>
        <w:rPr>
          <w:rFonts w:hint="eastAsia" w:ascii="宋体" w:hAnsi="宋体" w:eastAsia="宋体" w:cs="宋体"/>
          <w:color w:val="000000"/>
          <w:sz w:val="24"/>
          <w:szCs w:val="24"/>
          <w:lang w:val="en-US" w:eastAsia="zh-CN" w:bidi="ar-SA"/>
        </w:rPr>
        <w:t xml:space="preserve">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color w:val="000000"/>
          <w:sz w:val="24"/>
          <w:szCs w:val="24"/>
          <w:lang w:val="en-US" w:eastAsia="zh-CN" w:bidi="ar-SA"/>
        </w:rPr>
        <w:t xml:space="preserve">3.</w:t>
      </w:r>
      <w:bookmarkEnd w:id="34"/>
      <w:r>
        <w:rPr>
          <w:rFonts w:hint="eastAsia" w:ascii="宋体" w:hAnsi="宋体" w:eastAsia="宋体" w:cs="宋体"/>
          <w:color w:val="000000"/>
          <w:sz w:val="24"/>
          <w:szCs w:val="24"/>
          <w:lang w:val="en-US" w:eastAsia="zh-CN" w:bidi="ar-SA"/>
        </w:rPr>
        <w:t xml:space="preserve">项目联系方式</w:t>
      </w:r>
      <w:r/>
    </w:p>
    <w:p>
      <w:pPr>
        <w:pStyle w:val="900"/>
        <w:ind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项目联系人：彭明静</w:t>
      </w:r>
      <w:r/>
    </w:p>
    <w:p>
      <w:pPr>
        <w:pStyle w:val="900"/>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电　　 话：0515-82309113　 </w:t>
      </w:r>
      <w:r/>
    </w:p>
    <w:p>
      <w:pPr>
        <w:jc w:val="center"/>
        <w:pageBreakBefore w:val="0"/>
        <w:spacing w:line="440" w:lineRule="exact"/>
        <w:rPr>
          <w:highlight w:val="none"/>
        </w:rPr>
      </w:pPr>
      <w:r/>
      <w:bookmarkStart w:id="190" w:name="_GoBack"/>
      <w:r/>
      <w:bookmarkEnd w:id="190"/>
      <w:r>
        <w:rPr>
          <w:rFonts w:hint="eastAsia" w:ascii="宋体" w:hAnsi="宋体" w:eastAsia="宋体" w:cs="宋体"/>
          <w:color w:val="000000"/>
          <w:sz w:val="24"/>
          <w:szCs w:val="24"/>
          <w:lang w:val="en-US" w:eastAsia="zh-CN" w:bidi="ar-SA"/>
        </w:rPr>
        <w:br w:type="page" w:clear="all"/>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6938518"/>
      <w:r/>
      <w:bookmarkStart w:id="38" w:name="_Toc120614213"/>
      <w:r/>
      <w:bookmarkStart w:id="39" w:name="_Toc513029202"/>
      <w:r>
        <w:rPr>
          <w:rFonts w:hint="eastAsia" w:ascii="黑体" w:hAnsi="宋体" w:eastAsia="黑体" w:cs="黑体"/>
          <w:b/>
          <w:color w:val="000000"/>
          <w:sz w:val="44"/>
          <w:szCs w:val="44"/>
          <w:highlight w:val="none"/>
          <w:lang w:eastAsia="zh-CN"/>
        </w:rPr>
        <w:t xml:space="preserve">供应商</w:t>
      </w:r>
      <w:r>
        <w:rPr>
          <w:rFonts w:hint="eastAsia" w:ascii="黑体" w:hAnsi="宋体" w:eastAsia="黑体" w:cs="黑体"/>
          <w:b/>
          <w:color w:val="000000"/>
          <w:sz w:val="44"/>
          <w:szCs w:val="44"/>
          <w:highlight w:val="none"/>
        </w:rPr>
        <w:t xml:space="preserve">须知</w:t>
      </w:r>
      <w:bookmarkEnd w:id="36"/>
      <w:r/>
      <w:bookmarkEnd w:id="37"/>
      <w:r/>
      <w:bookmarkEnd w:id="38"/>
      <w:r/>
      <w:bookmarkEnd w:id="39"/>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40" w:name="_Toc16938519"/>
      <w:r/>
      <w:bookmarkStart w:id="41" w:name="_Toc513029203"/>
      <w:r/>
      <w:bookmarkStart w:id="42" w:name="_Toc20823275"/>
      <w:r/>
      <w:bookmarkStart w:id="43" w:name="_Toc120614214"/>
      <w:r/>
      <w:bookmarkStart w:id="44" w:name="_Hlt26954852"/>
      <w:r/>
      <w:bookmarkStart w:id="45" w:name="_Hlt26954848"/>
      <w:r/>
      <w:bookmarkStart w:id="46" w:name="_Hlt26954739"/>
      <w:r/>
      <w:bookmarkStart w:id="47" w:name="_Hlt26670486"/>
      <w:r/>
      <w:bookmarkStart w:id="48" w:name="_Hlt16619475"/>
      <w:r/>
      <w:bookmarkStart w:id="49" w:name="_Hlt26954838"/>
      <w:r/>
      <w:bookmarkStart w:id="50" w:name="_Hlt26670482"/>
      <w:r/>
      <w:bookmarkStart w:id="51" w:name="_Toc513029226"/>
      <w:r/>
      <w:bookmarkStart w:id="52" w:name="_Hlt26670360"/>
      <w:r/>
      <w:bookmarkStart w:id="53" w:name="_Hlt26954731"/>
      <w:r/>
      <w:bookmarkStart w:id="54" w:name="_Hlt26668975"/>
      <w:r/>
      <w:bookmarkStart w:id="55" w:name="_Hlt26954846"/>
      <w:r>
        <w:rPr>
          <w:rFonts w:hint="eastAsia" w:ascii="宋体" w:hAnsi="宋体" w:eastAsia="宋体" w:cs="宋体"/>
          <w:b/>
          <w:bCs/>
          <w:color w:val="000000"/>
          <w:sz w:val="28"/>
          <w:szCs w:val="28"/>
          <w:lang w:val="en-US" w:eastAsia="zh-CN" w:bidi="ar-SA"/>
        </w:rPr>
        <w:t xml:space="preserve">一、总则</w:t>
      </w:r>
      <w:bookmarkEnd w:id="40"/>
      <w:r/>
      <w:bookmarkEnd w:id="41"/>
      <w:r/>
      <w:bookmarkEnd w:id="42"/>
      <w:r/>
      <w:bookmarkEnd w:id="43"/>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56" w:name="_Toc20823276"/>
      <w:r/>
      <w:bookmarkStart w:id="57" w:name="_Toc16938520"/>
      <w:r/>
      <w:bookmarkStart w:id="58" w:name="_Toc513029204"/>
      <w:r/>
      <w:bookmarkStart w:id="59" w:name="_Toc458694821"/>
      <w:r>
        <w:rPr>
          <w:rFonts w:hint="eastAsia" w:ascii="宋体" w:hAnsi="宋体" w:eastAsia="宋体" w:cs="宋体"/>
          <w:color w:val="000000"/>
          <w:sz w:val="24"/>
          <w:szCs w:val="24"/>
          <w:lang w:val="en-US" w:eastAsia="zh-CN" w:bidi="ar-SA"/>
        </w:rPr>
        <w:t xml:space="preserve">1</w:t>
      </w:r>
      <w:bookmarkEnd w:id="56"/>
      <w:r>
        <w:rPr>
          <w:rFonts w:hint="eastAsia" w:ascii="宋体" w:hAnsi="宋体" w:eastAsia="宋体" w:cs="宋体"/>
          <w:color w:val="000000"/>
          <w:sz w:val="24"/>
          <w:szCs w:val="24"/>
          <w:lang w:val="en-US" w:eastAsia="zh-CN" w:bidi="ar-SA"/>
        </w:rPr>
        <w:t xml:space="preserve">、招标方式</w:t>
      </w:r>
      <w:bookmarkEnd w:id="57"/>
      <w:r/>
      <w:bookmarkEnd w:id="58"/>
      <w:r/>
      <w:bookmarkEnd w:id="59"/>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 本次招标采取公开招标方式，本招标文件仅适用于招标公告中所述项目。</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0" w:name="_Toc20823277"/>
      <w:r/>
      <w:bookmarkStart w:id="61" w:name="_Toc16938521"/>
      <w:r/>
      <w:bookmarkStart w:id="62" w:name="_Toc513029205"/>
      <w:r>
        <w:rPr>
          <w:rFonts w:hint="eastAsia" w:ascii="宋体" w:hAnsi="宋体" w:eastAsia="宋体" w:cs="宋体"/>
          <w:color w:val="000000"/>
          <w:sz w:val="24"/>
          <w:szCs w:val="24"/>
          <w:lang w:val="en-US" w:eastAsia="zh-CN" w:bidi="ar-SA"/>
        </w:rPr>
        <w:t xml:space="preserve">2、合格的</w:t>
      </w:r>
      <w:bookmarkEnd w:id="60"/>
      <w:r/>
      <w:bookmarkEnd w:id="61"/>
      <w:r/>
      <w:bookmarkEnd w:id="62"/>
      <w:r>
        <w:rPr>
          <w:rFonts w:hint="eastAsia" w:ascii="宋体" w:hAnsi="宋体" w:eastAsia="宋体" w:cs="宋体"/>
          <w:color w:val="000000"/>
          <w:sz w:val="24"/>
          <w:szCs w:val="24"/>
          <w:lang w:val="en-US" w:eastAsia="zh-CN" w:bidi="ar-SA"/>
        </w:rPr>
        <w:t xml:space="preserve">供应商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2.1满足招标公告中供应商的资格要求的规定。</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满足本文件实质性要求和条件的规定。</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3" w:name="_Toc513029206"/>
      <w:r/>
      <w:bookmarkStart w:id="64" w:name="_Toc16938522"/>
      <w:r/>
      <w:bookmarkStart w:id="65" w:name="_Toc20823278"/>
      <w:r>
        <w:rPr>
          <w:rFonts w:hint="eastAsia" w:ascii="宋体" w:hAnsi="宋体" w:eastAsia="宋体" w:cs="宋体"/>
          <w:color w:val="000000"/>
          <w:sz w:val="24"/>
          <w:szCs w:val="24"/>
          <w:lang w:val="en-US" w:eastAsia="zh-CN" w:bidi="ar-SA"/>
        </w:rPr>
        <w:t xml:space="preserve">3、适用法律</w:t>
      </w:r>
      <w:bookmarkEnd w:id="63"/>
      <w:r/>
      <w:bookmarkEnd w:id="64"/>
      <w:r/>
      <w:bookmarkEnd w:id="65"/>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 本次招标及由此产生的合同受中华人民共和国有关的法律法规制约和保护。</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6" w:name="_Toc513029207"/>
      <w:r/>
      <w:bookmarkStart w:id="67" w:name="_Toc20823279"/>
      <w:r/>
      <w:bookmarkStart w:id="68" w:name="_Toc16938523"/>
      <w:r/>
      <w:bookmarkStart w:id="69" w:name="_Toc462564067"/>
      <w:r>
        <w:rPr>
          <w:rFonts w:hint="eastAsia" w:ascii="宋体" w:hAnsi="宋体" w:eastAsia="宋体" w:cs="宋体"/>
          <w:color w:val="000000"/>
          <w:sz w:val="24"/>
          <w:szCs w:val="24"/>
          <w:lang w:val="en-US" w:eastAsia="zh-CN" w:bidi="ar-SA"/>
        </w:rPr>
        <w:t xml:space="preserve">4、投标费用</w:t>
      </w:r>
      <w:bookmarkEnd w:id="66"/>
      <w:r/>
      <w:bookmarkEnd w:id="67"/>
      <w:r/>
      <w:bookmarkEnd w:id="68"/>
      <w:r/>
      <w:bookmarkEnd w:id="69"/>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4.1 供应商应自行承担所有与参加投标有关的费用，无论投标过程中的做法和结果如何，射阳县行政服务中心（以下简称采购中心）在任何情况下均无义务和责任承担这些费用。</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4.2本次招标采购人不收取标书工本费。</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5、招标文件的约束力</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5.1 供应商一旦参加本项目采购活动，即被认为接受了本招标文件的规定和约束。</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70" w:name="_Toc16938525"/>
      <w:r/>
      <w:bookmarkStart w:id="71" w:name="_Toc20823281"/>
      <w:r/>
      <w:bookmarkStart w:id="72" w:name="_Toc120614215"/>
      <w:r/>
      <w:bookmarkStart w:id="73" w:name="_Toc513029209"/>
      <w:r>
        <w:rPr>
          <w:rFonts w:hint="eastAsia" w:ascii="宋体" w:hAnsi="宋体" w:eastAsia="宋体" w:cs="宋体"/>
          <w:b/>
          <w:bCs/>
          <w:color w:val="000000"/>
          <w:sz w:val="28"/>
          <w:szCs w:val="28"/>
          <w:lang w:val="en-US" w:eastAsia="zh-CN" w:bidi="ar-SA"/>
        </w:rPr>
        <w:t xml:space="preserve">二、招标文件</w:t>
      </w:r>
      <w:bookmarkEnd w:id="70"/>
      <w:r/>
      <w:bookmarkEnd w:id="71"/>
      <w:r/>
      <w:bookmarkEnd w:id="72"/>
      <w:r/>
      <w:bookmarkEnd w:id="73"/>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4" w:name="_Toc513029210"/>
      <w:r/>
      <w:bookmarkStart w:id="75" w:name="_Toc16938526"/>
      <w:r/>
      <w:bookmarkStart w:id="76" w:name="_Toc20823282"/>
      <w:r>
        <w:rPr>
          <w:rFonts w:hint="eastAsia" w:ascii="宋体" w:hAnsi="宋体" w:eastAsia="宋体" w:cs="宋体"/>
          <w:color w:val="000000"/>
          <w:sz w:val="24"/>
          <w:szCs w:val="24"/>
          <w:lang w:val="en-US" w:eastAsia="zh-CN" w:bidi="ar-SA"/>
        </w:rPr>
        <w:t xml:space="preserve">6、招标文件构成</w:t>
      </w:r>
      <w:bookmarkEnd w:id="74"/>
      <w:r/>
      <w:bookmarkEnd w:id="75"/>
      <w:r/>
      <w:bookmarkEnd w:id="76"/>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6.1 招标文件由以下部分组成：</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（1）招标公告</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（2）供应商须知</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（3）合同文本</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（4）采购需求</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（5）评标方法与评标标准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（6）投标文件格式</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请仔细检查招标文件是否齐全，如有缺漏请立即与采购人联系解决。</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7" w:name="_Toc462564070"/>
      <w:r/>
      <w:bookmarkStart w:id="78" w:name="_Toc513029211"/>
      <w:r/>
      <w:bookmarkStart w:id="79" w:name="_Toc20823283"/>
      <w:r/>
      <w:bookmarkStart w:id="80" w:name="_Toc16938527"/>
      <w:r>
        <w:rPr>
          <w:rFonts w:hint="eastAsia" w:ascii="宋体" w:hAnsi="宋体" w:eastAsia="宋体" w:cs="宋体"/>
          <w:color w:val="000000"/>
          <w:sz w:val="24"/>
          <w:szCs w:val="24"/>
          <w:lang w:val="en-US" w:eastAsia="zh-CN" w:bidi="ar-SA"/>
        </w:rPr>
        <w:t xml:space="preserve">7、招标文件的澄清</w:t>
      </w:r>
      <w:bookmarkEnd w:id="77"/>
      <w:r/>
      <w:bookmarkEnd w:id="78"/>
      <w:r/>
      <w:bookmarkEnd w:id="79"/>
      <w:r/>
      <w:bookmarkEnd w:id="80"/>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7.1 任何要求对招标文件进行澄清的供应商，应在投标截止期十日前按招标公告中的通讯地址，以书面形式通知采购人。</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81" w:name="_Toc20823284"/>
      <w:r/>
      <w:bookmarkStart w:id="82" w:name="_Toc16938528"/>
      <w:r/>
      <w:bookmarkStart w:id="83" w:name="_Toc513029212"/>
      <w:r/>
      <w:bookmarkStart w:id="84" w:name="_Toc462564071"/>
      <w:r>
        <w:rPr>
          <w:rFonts w:hint="eastAsia" w:ascii="宋体" w:hAnsi="宋体" w:eastAsia="宋体" w:cs="宋体"/>
          <w:color w:val="000000"/>
          <w:sz w:val="24"/>
          <w:szCs w:val="24"/>
          <w:lang w:val="en-US" w:eastAsia="zh-CN" w:bidi="ar-SA"/>
        </w:rPr>
        <w:t xml:space="preserve">8、招标文件的修改</w:t>
      </w:r>
      <w:bookmarkEnd w:id="81"/>
      <w:r/>
      <w:bookmarkEnd w:id="82"/>
      <w:r/>
      <w:bookmarkEnd w:id="83"/>
      <w:r/>
      <w:bookmarkEnd w:id="84"/>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8.1 在投标截止时间前，采购人可以对招标文件进行修改。</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8.2 采购人有权按照法定的要求推迟投标截止日期和开标日期。</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8.3 招标文件的修改将在中国政府采购网、江苏政府采购网、盐城市政府采购网公布，补充文件将作为招标文件的组成部分，并对供应商具有约束力。</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85" w:name="_Toc16938529"/>
      <w:r/>
      <w:bookmarkStart w:id="86" w:name="_Toc120614216"/>
      <w:r/>
      <w:bookmarkStart w:id="87" w:name="_Toc20823285"/>
      <w:r/>
      <w:bookmarkStart w:id="88" w:name="_Toc513029213"/>
      <w:r/>
      <w:bookmarkStart w:id="89" w:name="_Toc462564072"/>
      <w:r>
        <w:rPr>
          <w:rFonts w:hint="eastAsia" w:ascii="宋体" w:hAnsi="宋体" w:eastAsia="宋体" w:cs="宋体"/>
          <w:b/>
          <w:bCs/>
          <w:color w:val="000000"/>
          <w:sz w:val="28"/>
          <w:szCs w:val="28"/>
          <w:lang w:val="en-US" w:eastAsia="zh-CN" w:bidi="ar-SA"/>
        </w:rPr>
        <w:t xml:space="preserve">三、投标文件的编制</w:t>
      </w:r>
      <w:bookmarkEnd w:id="85"/>
      <w:r/>
      <w:bookmarkEnd w:id="86"/>
      <w:r/>
      <w:bookmarkEnd w:id="87"/>
      <w:r/>
      <w:bookmarkEnd w:id="88"/>
      <w:r/>
      <w:bookmarkEnd w:id="89"/>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0" w:name="_Toc462564073"/>
      <w:r/>
      <w:bookmarkStart w:id="91" w:name="_Toc20823286"/>
      <w:r/>
      <w:bookmarkStart w:id="92" w:name="_Toc16938530"/>
      <w:r/>
      <w:bookmarkStart w:id="93" w:name="_Toc513029214"/>
      <w:r>
        <w:rPr>
          <w:rFonts w:hint="eastAsia" w:ascii="宋体" w:hAnsi="宋体" w:eastAsia="宋体" w:cs="宋体"/>
          <w:color w:val="000000"/>
          <w:sz w:val="24"/>
          <w:szCs w:val="24"/>
          <w:lang w:val="en-US" w:eastAsia="zh-CN" w:bidi="ar-SA"/>
        </w:rPr>
        <w:t xml:space="preserve">9、投标文件的语言及度量衡单位</w:t>
      </w:r>
      <w:bookmarkEnd w:id="90"/>
      <w:r/>
      <w:bookmarkEnd w:id="91"/>
      <w:r/>
      <w:bookmarkEnd w:id="92"/>
      <w:r/>
      <w:bookmarkEnd w:id="93"/>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9.1 供应商提交的投标文件以及供应商与采购中心就有关投标的所有来往通知、函件和文件均应使用简体中文。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9.2 除技术性能另有规定外，投标文件所使用的度量衡单位，均须采用国家法定计量单位。</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4" w:name="_Toc16938531"/>
      <w:r/>
      <w:bookmarkStart w:id="95" w:name="_Toc513029215"/>
      <w:r/>
      <w:bookmarkStart w:id="96" w:name="_Toc20823287"/>
      <w:r/>
      <w:bookmarkStart w:id="97" w:name="_Toc462564074"/>
      <w:r>
        <w:rPr>
          <w:rFonts w:hint="eastAsia" w:ascii="宋体" w:hAnsi="宋体" w:eastAsia="宋体" w:cs="宋体"/>
          <w:color w:val="000000"/>
          <w:sz w:val="24"/>
          <w:szCs w:val="24"/>
          <w:lang w:val="en-US" w:eastAsia="zh-CN" w:bidi="ar-SA"/>
        </w:rPr>
        <w:t xml:space="preserve">10、投标文件构成</w:t>
      </w:r>
      <w:bookmarkEnd w:id="94"/>
      <w:r/>
      <w:bookmarkEnd w:id="95"/>
      <w:r/>
      <w:bookmarkEnd w:id="96"/>
      <w:r/>
      <w:bookmarkEnd w:id="97"/>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10.1 供应商编写的投标文件应包括资格证明文件、符合性证明文件、投标分项报价表、技术要求响应及偏离表、商务要求响应及偏离表、其他证明文件、投标函、开标一览表等部分。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8" w:name="_Toc49090507"/>
      <w:r/>
      <w:bookmarkStart w:id="99" w:name="_Toc49090508"/>
      <w:r/>
      <w:bookmarkStart w:id="100" w:name="_Toc14577357"/>
      <w:r/>
      <w:bookmarkStart w:id="101" w:name="_Toc14577354"/>
      <w:r/>
      <w:bookmarkStart w:id="102" w:name="_Toc513029216"/>
      <w:r/>
      <w:bookmarkStart w:id="103" w:name="_Toc513029219"/>
      <w:r/>
      <w:bookmarkStart w:id="104" w:name="_Toc14577355"/>
      <w:r/>
      <w:bookmarkStart w:id="105" w:name="_Toc49090509"/>
      <w:r>
        <w:rPr>
          <w:rFonts w:hint="eastAsia" w:ascii="宋体" w:hAnsi="宋体" w:eastAsia="宋体" w:cs="宋体"/>
          <w:color w:val="000000"/>
          <w:sz w:val="24"/>
          <w:szCs w:val="24"/>
          <w:lang w:val="en-US" w:eastAsia="zh-CN" w:bidi="ar-SA"/>
        </w:rPr>
        <w:t xml:space="preserve">11、证明供应商及投标标的符合招标文件规定的文件</w:t>
      </w:r>
      <w:bookmarkEnd w:id="98"/>
      <w:r/>
      <w:bookmarkEnd w:id="99"/>
      <w:r/>
      <w:bookmarkEnd w:id="100"/>
      <w:r/>
      <w:bookmarkEnd w:id="101"/>
      <w:r/>
      <w:bookmarkEnd w:id="102"/>
      <w:r/>
      <w:bookmarkEnd w:id="103"/>
      <w:r/>
      <w:bookmarkEnd w:id="104"/>
      <w:r/>
      <w:bookmarkEnd w:id="105"/>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11.1 供应商应按照招标文件要求提交证明文件，证明其及投标标的符合招标文件规定。</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11.2招标文件对证明文件无明确形式要求的，证明文件可以以文字资料、图纸和数据等形式提交。</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12、投标分项报价表</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12.1 供应商应按照招标文件规定格式填报投标分项报价表。</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12.2投标货币。投标文件中的单价和总价无特殊规定的采用人民币报价，以元为单位标注。招标文件中另有规定的按规定执行。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13、技术要求响应及偏离表、商务要求响应及偏离表</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13.1供应商需对招标文件中的技术要求与商务要求逐项作出响应或偏离，并说明原因。</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13.2 供应商可在投标文件中提供认为需要的其他技术文件或说明。</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14、服务承诺、培训计划、人员安排及其他</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14.1 供应商需根据招标文件要求提供有关售后服务的管理制度，售后服务机构的分布情况，售后服务人员的数量、素质、技术水平及售后服务的反应能力等。</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14.2 供应商需根据招标文件要求提供培训计划。</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14.3供应商需根据招标文件要求提供所投标的的主要组成部分、功能设计、实现思路及关键技术等。</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6" w:name="_Toc14577359"/>
      <w:r/>
      <w:bookmarkStart w:id="107" w:name="_Toc49090510"/>
      <w:r>
        <w:rPr>
          <w:rFonts w:hint="eastAsia" w:ascii="宋体" w:hAnsi="宋体" w:eastAsia="宋体" w:cs="宋体"/>
          <w:color w:val="000000"/>
          <w:sz w:val="24"/>
          <w:szCs w:val="24"/>
          <w:lang w:val="en-US" w:eastAsia="zh-CN" w:bidi="ar-SA"/>
        </w:rPr>
        <w:t xml:space="preserve">15、投标函和开标一览表</w:t>
      </w:r>
      <w:bookmarkEnd w:id="106"/>
      <w:r/>
      <w:bookmarkEnd w:id="107"/>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15.1 供应商应按照招标文件中提供的格式完整、正确填写投标函、开标一览表。</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8" w:name="_Toc49090511"/>
      <w:r/>
      <w:bookmarkStart w:id="109" w:name="_Toc14577360"/>
      <w:r>
        <w:rPr>
          <w:rFonts w:hint="eastAsia" w:ascii="宋体" w:hAnsi="宋体" w:eastAsia="宋体" w:cs="宋体"/>
          <w:color w:val="000000"/>
          <w:sz w:val="24"/>
          <w:szCs w:val="24"/>
          <w:lang w:val="en-US" w:eastAsia="zh-CN" w:bidi="ar-SA"/>
        </w:rPr>
        <w:t xml:space="preserve">16、投标有效期</w:t>
      </w:r>
      <w:bookmarkEnd w:id="108"/>
      <w:r/>
      <w:bookmarkEnd w:id="109"/>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16.1投标有效期为采购人规定的开标之日后</w:t>
      </w:r>
      <w:r>
        <w:rPr>
          <w:rFonts w:hint="eastAsia" w:ascii="宋体" w:hAnsi="宋体" w:eastAsia="宋体" w:cs="宋体"/>
          <w:b/>
          <w:bCs/>
          <w:color w:val="000000"/>
          <w:sz w:val="24"/>
          <w:szCs w:val="24"/>
          <w:u w:val="single"/>
          <w:lang w:val="en-US" w:eastAsia="zh-CN" w:bidi="ar-SA"/>
        </w:rPr>
        <w:t xml:space="preserve">九十（90）天</w:t>
      </w:r>
      <w:r>
        <w:rPr>
          <w:rFonts w:hint="eastAsia" w:ascii="宋体" w:hAnsi="宋体" w:eastAsia="宋体" w:cs="宋体"/>
          <w:color w:val="000000"/>
          <w:sz w:val="24"/>
          <w:szCs w:val="24"/>
          <w:lang w:val="en-US" w:eastAsia="zh-CN" w:bidi="ar-SA"/>
        </w:rPr>
        <w:t xml:space="preserve">。投标有效期比规定短的将被视为未实质性响应招标文件而予以拒绝。</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17、投标有效期的延长</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10" w:name="_Toc20823296"/>
      <w:r/>
      <w:bookmarkStart w:id="111" w:name="_Toc513029224"/>
      <w:r/>
      <w:bookmarkStart w:id="112" w:name="_Toc16938540"/>
      <w:r/>
      <w:bookmarkStart w:id="113" w:name="_Toc120614217"/>
      <w:r>
        <w:rPr>
          <w:rFonts w:hint="eastAsia" w:ascii="宋体" w:hAnsi="宋体" w:eastAsia="宋体" w:cs="宋体"/>
          <w:b/>
          <w:bCs/>
          <w:color w:val="000000"/>
          <w:sz w:val="28"/>
          <w:szCs w:val="28"/>
          <w:lang w:val="en-US" w:eastAsia="zh-CN" w:bidi="ar-SA"/>
        </w:rPr>
        <w:t xml:space="preserve">四、投标文件的递交</w:t>
      </w:r>
      <w:bookmarkEnd w:id="110"/>
      <w:r/>
      <w:bookmarkEnd w:id="111"/>
      <w:r/>
      <w:bookmarkEnd w:id="112"/>
      <w:r/>
      <w:bookmarkEnd w:id="113"/>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14" w:name="_Toc513029225"/>
      <w:r/>
      <w:bookmarkStart w:id="115" w:name="_Toc20823297"/>
      <w:r/>
      <w:bookmarkStart w:id="116" w:name="_Toc16938541"/>
      <w:r/>
      <w:bookmarkStart w:id="117" w:name="_Toc462564084"/>
      <w:r>
        <w:rPr>
          <w:rFonts w:hint="eastAsia" w:ascii="宋体" w:hAnsi="宋体" w:eastAsia="宋体" w:cs="宋体"/>
          <w:color w:val="000000"/>
          <w:sz w:val="24"/>
          <w:szCs w:val="24"/>
          <w:lang w:val="en-US" w:eastAsia="zh-CN" w:bidi="ar-SA"/>
        </w:rPr>
        <w:t xml:space="preserve">18、电子投标文件</w:t>
      </w:r>
      <w:bookmarkEnd w:id="114"/>
      <w:r/>
      <w:bookmarkEnd w:id="115"/>
      <w:r/>
      <w:bookmarkEnd w:id="116"/>
      <w:r/>
      <w:bookmarkEnd w:id="117"/>
      <w:r>
        <w:rPr>
          <w:rFonts w:hint="eastAsia" w:ascii="宋体" w:hAnsi="宋体" w:eastAsia="宋体" w:cs="宋体"/>
          <w:color w:val="000000"/>
          <w:sz w:val="24"/>
          <w:szCs w:val="24"/>
          <w:lang w:val="en-US" w:eastAsia="zh-CN" w:bidi="ar-SA"/>
        </w:rPr>
        <w:t xml:space="preserve">的递交</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18.1供应商应当按照《操作手册》规定，在投标截止时间前制作并上传电子投标文件。</w:t>
      </w:r>
      <w:bookmarkStart w:id="118" w:name="_Toc20823298"/>
      <w:r/>
      <w:bookmarkEnd w:id="118"/>
      <w:r/>
      <w:bookmarkStart w:id="119" w:name="_Toc16938542"/>
      <w:r/>
      <w:bookmarkEnd w:id="119"/>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19、投标截止日期</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color w:val="000000"/>
          <w:sz w:val="24"/>
          <w:szCs w:val="24"/>
          <w:u w:val="single"/>
          <w:lang w:val="en-US" w:eastAsia="zh-CN" w:bidi="ar-SA"/>
        </w:rPr>
        <w:t xml:space="preserve">19.1 供应商上传电子投标文件的时间不得迟于招标公告中规定的投标截止时间。</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供应商应充分考虑到网络环境、网络带宽等风险因素，如因供应商自身原因造成的电子投标文件上传不成功的按照本招标文件第二章第27.1.2条规定</w:t>
      </w:r>
      <w:r>
        <w:rPr>
          <w:rFonts w:hint="eastAsia" w:ascii="宋体" w:hAnsi="宋体" w:cs="宋体"/>
          <w:color w:val="000000"/>
          <w:sz w:val="24"/>
          <w:szCs w:val="24"/>
          <w:lang w:val="en-US" w:eastAsia="zh-CN" w:bidi="ar-SA"/>
        </w:rPr>
        <w:t xml:space="preserve">作无效投标</w:t>
      </w:r>
      <w:r>
        <w:rPr>
          <w:rFonts w:hint="eastAsia" w:ascii="宋体" w:hAnsi="宋体" w:eastAsia="宋体" w:cs="宋体"/>
          <w:color w:val="000000"/>
          <w:sz w:val="24"/>
          <w:szCs w:val="24"/>
          <w:lang w:val="en-US" w:eastAsia="zh-CN" w:bidi="ar-SA"/>
        </w:rPr>
        <w:t xml:space="preserve">处理。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19.2 采购人可以按照规定，通过修改招标文件酌情延长投标截止日期，在此情况下，供应商的所有权利和义务以及供应商受制的截止日期均应以延长后新的截止日期为准。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0" w:name="_Toc20823299"/>
      <w:r/>
      <w:bookmarkStart w:id="121" w:name="_Toc16938543"/>
      <w:r/>
      <w:bookmarkStart w:id="122" w:name="_Toc513029227"/>
      <w:r>
        <w:rPr>
          <w:rFonts w:hint="eastAsia" w:ascii="宋体" w:hAnsi="宋体" w:eastAsia="宋体" w:cs="宋体"/>
          <w:color w:val="000000"/>
          <w:sz w:val="24"/>
          <w:szCs w:val="24"/>
          <w:lang w:val="en-US" w:eastAsia="zh-CN" w:bidi="ar-SA"/>
        </w:rPr>
        <w:t xml:space="preserve">20、投标文件</w:t>
      </w:r>
      <w:bookmarkEnd w:id="120"/>
      <w:r/>
      <w:bookmarkEnd w:id="121"/>
      <w:r/>
      <w:bookmarkEnd w:id="122"/>
      <w:r>
        <w:rPr>
          <w:rFonts w:hint="eastAsia" w:ascii="宋体" w:hAnsi="宋体" w:eastAsia="宋体" w:cs="宋体"/>
          <w:color w:val="000000"/>
          <w:sz w:val="24"/>
          <w:szCs w:val="24"/>
          <w:lang w:val="en-US" w:eastAsia="zh-CN" w:bidi="ar-SA"/>
        </w:rPr>
        <w:t xml:space="preserve">的拒收</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20.1 采购中心拒绝接收在其规定的投标截止时间后上传的任何投标文件。</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3" w:name="_Toc16938544"/>
      <w:r/>
      <w:bookmarkStart w:id="124" w:name="_Toc20823300"/>
      <w:r/>
      <w:bookmarkStart w:id="125" w:name="_Toc513029228"/>
      <w:r>
        <w:rPr>
          <w:rFonts w:hint="eastAsia" w:ascii="宋体" w:hAnsi="宋体" w:eastAsia="宋体" w:cs="宋体"/>
          <w:color w:val="000000"/>
          <w:sz w:val="24"/>
          <w:szCs w:val="24"/>
          <w:lang w:val="en-US" w:eastAsia="zh-CN" w:bidi="ar-SA"/>
        </w:rPr>
        <w:t xml:space="preserve">21、投标文件的撤回和修改</w:t>
      </w:r>
      <w:bookmarkEnd w:id="123"/>
      <w:r/>
      <w:bookmarkEnd w:id="124"/>
      <w:r/>
      <w:bookmarkEnd w:id="125"/>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 投标文件的撤回</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21.1.1 电子投标文件的撤回</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供应商可在投标截止时间前，撤回其电子投标文件，具体操作方法见《操作手册》。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21.1.2 供应商撤回电子投标文件，则认为其不再参与本项目投标活动。</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 投标文件的修改</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21.2.1供应商可在投标截止时间前，对其电子投标文件进行修改，具体操作方法见《操作手册》。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21.2.2 在投标截止时间之后，供应商不得对其电子投标文件作任何修改。</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21.3 在投标截止时间至招标文件中规定的投标有效期满之间的这段时间内，供应商不得撤回其投标。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26" w:name="_Toc20823301"/>
      <w:r/>
      <w:bookmarkStart w:id="127" w:name="_Toc513029229"/>
      <w:r/>
      <w:bookmarkStart w:id="128" w:name="_Toc120614218"/>
      <w:r/>
      <w:bookmarkStart w:id="129" w:name="_Toc16938545"/>
      <w:r>
        <w:rPr>
          <w:rFonts w:hint="eastAsia" w:ascii="宋体" w:hAnsi="宋体" w:eastAsia="宋体" w:cs="宋体"/>
          <w:b/>
          <w:bCs/>
          <w:color w:val="000000"/>
          <w:sz w:val="28"/>
          <w:szCs w:val="28"/>
          <w:lang w:val="en-US" w:eastAsia="zh-CN" w:bidi="ar-SA"/>
        </w:rPr>
        <w:t xml:space="preserve">五、开标与评标</w:t>
      </w:r>
      <w:bookmarkEnd w:id="126"/>
      <w:r/>
      <w:bookmarkEnd w:id="127"/>
      <w:r/>
      <w:bookmarkEnd w:id="128"/>
      <w:r/>
      <w:bookmarkEnd w:id="129"/>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0" w:name="_Toc20823302"/>
      <w:r/>
      <w:bookmarkStart w:id="131" w:name="_Toc16938546"/>
      <w:r/>
      <w:bookmarkStart w:id="132" w:name="_Toc513029230"/>
      <w:r>
        <w:rPr>
          <w:rFonts w:hint="eastAsia" w:ascii="宋体" w:hAnsi="宋体" w:eastAsia="宋体" w:cs="宋体"/>
          <w:color w:val="000000"/>
          <w:sz w:val="24"/>
          <w:szCs w:val="24"/>
          <w:lang w:val="en-US" w:eastAsia="zh-CN" w:bidi="ar-SA"/>
        </w:rPr>
        <w:t xml:space="preserve">22、开标</w:t>
      </w:r>
      <w:bookmarkEnd w:id="130"/>
      <w:r/>
      <w:bookmarkEnd w:id="131"/>
      <w:r/>
      <w:bookmarkEnd w:id="132"/>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22.1 采购人将在招标公告中规定的时间和地点组织公开开标。供应商应当按照《操作手册》规定，参加开标活动和在苏采云系统规定的时间内对投标文件进行解密。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22.2开标仪式由采购中心组织。苏采云系统将自动对项目进行开标，并宣布各供应商名称和投标价格。</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22.3供应商在开标过程中涉及到的投标文件解密、开标结果确认等工作，应按照《操作手册》规定执行。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22.4供应商如果对开标过程和开标记录有疑义，应当根据《操作手册》规定提出，如 苏采云系统中《开标记录表》宣布后5分钟内未提出的，视同认可开标结果。</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3" w:name="_Toc20823303"/>
      <w:r/>
      <w:bookmarkStart w:id="134" w:name="_Toc513029231"/>
      <w:r/>
      <w:bookmarkStart w:id="135" w:name="_Toc16938547"/>
      <w:r>
        <w:rPr>
          <w:rFonts w:hint="eastAsia" w:ascii="宋体" w:hAnsi="宋体" w:eastAsia="宋体" w:cs="宋体"/>
          <w:color w:val="000000"/>
          <w:sz w:val="24"/>
          <w:szCs w:val="24"/>
          <w:lang w:val="en-US" w:eastAsia="zh-CN" w:bidi="ar-SA"/>
        </w:rPr>
        <w:t xml:space="preserve">23、评标委员会</w:t>
      </w:r>
      <w:bookmarkEnd w:id="133"/>
      <w:r/>
      <w:bookmarkEnd w:id="134"/>
      <w:r/>
      <w:bookmarkEnd w:id="135"/>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23.1 开标后，采购中心将立即组织评标委员会（以下简称评委会）进行评标。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23.2 评委会由采购人代表和有关技术、经济等方面的专家组成，且人员构成符合政府采购有关规定。</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23.3评委会独立工作，负责评审所有投标文件并确定中标候选人。</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t xml:space="preserve">评标过程的保密与公正</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24.1凡是与审查、澄清、评价和比较投标的有关资料以及授标建议等，采购人、评委、采购中心均不得向供应商或与评标无关的其他人员透露。</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24.2在评标过程中，供应商不得以任何行为影响评标过程，否则其投标文件将被作为无效投标文件。</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24.3 采购中心和评标委员会不向未中标的供应商解释未中标原因，也不公布评标过程中的相关细节。</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24.4 采用综合评分法的项目，未中标的供应商可于中标结果公告期限届满之日起通过苏采云系统查看自己的评审得分及排序情况。（提醒：经办人在苏采云系统查询到中标结果公告后，再点击推送。招标文件定稿后该提醒删除）</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6" w:name="_Toc16938548"/>
      <w:r/>
      <w:bookmarkStart w:id="137" w:name="_Toc513029232"/>
      <w:r/>
      <w:bookmarkStart w:id="138" w:name="_Toc20823304"/>
      <w:r>
        <w:rPr>
          <w:rFonts w:hint="eastAsia" w:ascii="宋体" w:hAnsi="宋体" w:cs="宋体"/>
          <w:color w:val="000000"/>
          <w:sz w:val="24"/>
          <w:szCs w:val="24"/>
          <w:lang w:val="en-US" w:eastAsia="zh-CN" w:bidi="ar-SA"/>
        </w:rPr>
        <w:t xml:space="preserve">25.</w:t>
      </w:r>
      <w:r>
        <w:rPr>
          <w:rFonts w:hint="eastAsia" w:ascii="宋体" w:hAnsi="宋体" w:eastAsia="宋体" w:cs="宋体"/>
          <w:color w:val="000000"/>
          <w:sz w:val="24"/>
          <w:szCs w:val="24"/>
          <w:lang w:val="en-US" w:eastAsia="zh-CN" w:bidi="ar-SA"/>
        </w:rPr>
        <w:t xml:space="preserve">投标文件的澄清</w:t>
      </w:r>
      <w:bookmarkEnd w:id="136"/>
      <w:r/>
      <w:bookmarkEnd w:id="137"/>
      <w:r/>
      <w:bookmarkEnd w:id="138"/>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9" w:name="_Toc513029233"/>
      <w:r/>
      <w:bookmarkStart w:id="140" w:name="_Toc20823305"/>
      <w:r/>
      <w:bookmarkStart w:id="141" w:name="_Toc16938549"/>
      <w:r>
        <w:rPr>
          <w:rFonts w:hint="eastAsia" w:ascii="宋体" w:hAnsi="宋体" w:eastAsia="宋体" w:cs="宋体"/>
          <w:color w:val="000000"/>
          <w:sz w:val="24"/>
          <w:szCs w:val="24"/>
          <w:lang w:val="en-US" w:eastAsia="zh-CN" w:bidi="ar-SA"/>
        </w:rPr>
        <w:t xml:space="preserve">25.1评标期间，评委会对投标文件中含义不明确、同类问题表述不一致或者有明显文字和计算错误的内容，有权要求供应商作出必要的澄清、说明或者补正。</w:t>
      </w:r>
      <w:bookmarkEnd w:id="139"/>
      <w:r/>
      <w:bookmarkEnd w:id="140"/>
      <w:r/>
      <w:bookmarkEnd w:id="141"/>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供应商的澄清、说明或者补正不得超出投标文件的范围或者改变投标文件的实质性内容。</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评标委员会并非对每个供应商都做澄清要求。</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25.3 接到评委会澄清、说明和补正要求的供应商如未按规定作出澄清、说明和补正，其风险由供应商自行承担。</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26、对投标文件的初审</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26.1投标文件初审分为资格审查和符合性审查。</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26.1.1 资格审查：依据法律法规和招标文件的规定，由采购人对投标文件中的资格证明文件进行审查。资格审查的结论，采购人以书面形式向评委会进行反馈。</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采购人在进行资格性审查的同时，将在“信用中国”网站（www.creditchina.gov.cn）查询供应商的信用记录，以确定供应商是否具备投标资格,查询结果留存并归档。</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26.1.3 未通过资格审查或符合性审查的供应商，采购中心将在苏采云系统中告知未通过资格审查或符合性审查的原因，评审结束后，采购中心将不再告知未通过资格审查或符合性审查的原因。</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26.3如果投标文件实质上没有响应招标文件的要求，评委会将予以拒绝，供应商不得通过修改或撤销不符合要求的偏离或保留而使其投标成为实质性响应的投标。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26.4评委会将对确定为实质性响应的投标进行进一步审核，看其是否有计算上或累加上的算术错误，修正错误的原则如下：</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（1）投标文件中开标一览表内容与投标文件中相应内容不一致的，以开标一览表为准。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（2）大写金额和小写金额不一致的，以大写金额为准。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（3）单价金额小数点或者百分比有明显错位的，以开标一览表的总价为准，并修改单价。</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同时出现两种以上错误的，按照前款规定的顺序修正。</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26.5评委会将按上述修正错误的方法调整投标文件中的投标报价，并通过苏采云系统告知供应商，调整后的价格应对供应商具有约束力。如果供应商不接受修正后的价格，则其投标将被拒绝。</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2" w:name="_Toc16938550"/>
      <w:r/>
      <w:bookmarkStart w:id="143" w:name="_Toc513029234"/>
      <w:r/>
      <w:bookmarkStart w:id="144" w:name="_Toc20823306"/>
      <w:r>
        <w:rPr>
          <w:rFonts w:hint="eastAsia" w:ascii="宋体" w:hAnsi="宋体" w:eastAsia="宋体" w:cs="宋体"/>
          <w:color w:val="000000"/>
          <w:sz w:val="24"/>
          <w:szCs w:val="24"/>
          <w:lang w:val="en-US" w:eastAsia="zh-CN" w:bidi="ar-SA"/>
        </w:rPr>
        <w:t xml:space="preserve">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bookmarkEnd w:id="142"/>
      <w:r/>
      <w:bookmarkEnd w:id="143"/>
      <w:r/>
      <w:bookmarkEnd w:id="144"/>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非单一产品采购项目，招标文件中将载明其中的核心产品。多家供应商提供的核心产品品牌相同的，按前两款规定处理。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26.7供应商在开、评标全过程中应保持通信畅通，及时登录苏采云系统查阅、答复相关信息，并安排专人与采购人及评标委员会联系。</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27、无效投标条款和废标条款</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5" w:name="_Toc513029235"/>
      <w:r/>
      <w:bookmarkStart w:id="146" w:name="_Toc20823307"/>
      <w:r/>
      <w:bookmarkStart w:id="147" w:name="_Toc16938551"/>
      <w:r>
        <w:rPr>
          <w:rFonts w:hint="eastAsia" w:ascii="宋体" w:hAnsi="宋体" w:eastAsia="宋体" w:cs="宋体"/>
          <w:color w:val="000000"/>
          <w:sz w:val="24"/>
          <w:szCs w:val="24"/>
          <w:lang w:val="en-US" w:eastAsia="zh-CN" w:bidi="ar-SA"/>
        </w:rPr>
        <w:t xml:space="preserve">27.1无效投标条款</w:t>
      </w:r>
      <w:bookmarkEnd w:id="145"/>
      <w:r/>
      <w:bookmarkEnd w:id="146"/>
      <w:r/>
      <w:bookmarkEnd w:id="147"/>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 供应商在苏采云系统规定的时间内未成功解密电子投标文件的。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27.1.2 供应商未按照招标文件要求上传电子投标文件的。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27.1.3同一供应商提交两个（含两个）以上不同的投标报价的。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27.1.4供应商不具备招标文件中规定资格要求的。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27.1.5供应商的报价超过了采购预算或最高限价的。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27.1.6未通过符合性审查的。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27.1.7不符合招标文件中规定的实质性要求和条件的</w:t>
      </w:r>
      <w:r>
        <w:rPr>
          <w:rFonts w:hint="eastAsia" w:ascii="宋体" w:hAnsi="宋体" w:eastAsia="宋体" w:cs="宋体"/>
          <w:i/>
          <w:iCs/>
          <w:color w:val="000000"/>
          <w:sz w:val="24"/>
          <w:szCs w:val="24"/>
          <w:u w:val="single"/>
          <w:lang w:val="en-US" w:eastAsia="zh-CN" w:bidi="ar-SA"/>
        </w:rPr>
        <w:t xml:space="preserve">（本招标文件中斜体且有下划线部分为实质性要求和条件）。</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27.1.9投标文件含有采购人不能接受的附加条件的。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（一）评审过程中出现下列情形之一的，评标委员会应当启动异常低价投标审查程序：</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3.投标（响应）报价低于采购项目最高限价45%的，即投标（响应）报价&lt;采购项目最高限价×45%；</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4.评审委员会基于专业判断，认为供应商报价过低，有可能影响产品质量或者不能诚信履约的其他情形。</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提醒：采购人可以结合具体项目实际情况，提高上述第1项至第3项中启动异常低价投标（响应）审查的数值标准，但是最高不得超过65%。</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相关法律法规对供应商报价有规定的，从其规定。</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27.1.11 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27.1.12 投标文件未按照招标文件要求加盖CA电子公章的。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27.1.13其他法律、法规及本招标文件规定的属无效投标的情形。</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27.2废标条款</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27.2.1符合专业条件的供应商或者对招标文件作实质响应的供应商不足三家的。27.2.2出现影响采购公正的违法、违规行为的。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27.2.3因重大变故，采购任务取消的。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27.2.4评标委员会认定招标文件存在歧义、重大缺陷导致评审工作无法进行。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27.2.5 因苏采云系统故障原因造成开标不成功的。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 投标截止时间结束后参加投标的供应商不足三家的处理：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27.3.1如出现投标截止时间结束后参加投标的供应商或者在评标期间对招标文件做出实质响应的供应商不足三家情况，按政府采购相关规定执行。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48" w:name="_Toc120614219"/>
      <w:r>
        <w:rPr>
          <w:rFonts w:hint="eastAsia" w:ascii="宋体" w:hAnsi="宋体" w:eastAsia="宋体" w:cs="宋体"/>
          <w:b/>
          <w:bCs/>
          <w:color w:val="000000"/>
          <w:sz w:val="28"/>
          <w:szCs w:val="28"/>
          <w:lang w:val="en-US" w:eastAsia="zh-CN" w:bidi="ar-SA"/>
        </w:rPr>
        <w:t xml:space="preserve">六、定标</w:t>
      </w:r>
      <w:bookmarkEnd w:id="148"/>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9" w:name="_Toc20823310"/>
      <w:r/>
      <w:bookmarkStart w:id="150" w:name="_Toc513029238"/>
      <w:r/>
      <w:bookmarkStart w:id="151" w:name="_Toc16938554"/>
      <w:r>
        <w:rPr>
          <w:rFonts w:hint="eastAsia" w:ascii="宋体" w:hAnsi="宋体" w:eastAsia="宋体" w:cs="宋体"/>
          <w:color w:val="000000"/>
          <w:sz w:val="24"/>
          <w:szCs w:val="24"/>
          <w:lang w:val="en-US" w:eastAsia="zh-CN" w:bidi="ar-SA"/>
        </w:rPr>
        <w:t xml:space="preserve">28、</w:t>
      </w:r>
      <w:bookmarkEnd w:id="149"/>
      <w:r>
        <w:rPr>
          <w:rFonts w:hint="eastAsia" w:ascii="宋体" w:hAnsi="宋体" w:eastAsia="宋体" w:cs="宋体"/>
          <w:color w:val="000000"/>
          <w:sz w:val="24"/>
          <w:szCs w:val="24"/>
          <w:lang w:val="en-US" w:eastAsia="zh-CN" w:bidi="ar-SA"/>
        </w:rPr>
        <w:t xml:space="preserve">确定</w:t>
      </w:r>
      <w:bookmarkEnd w:id="150"/>
      <w:r/>
      <w:bookmarkEnd w:id="151"/>
      <w:r>
        <w:rPr>
          <w:rFonts w:hint="eastAsia" w:ascii="宋体" w:hAnsi="宋体" w:eastAsia="宋体" w:cs="宋体"/>
          <w:color w:val="000000"/>
          <w:sz w:val="24"/>
          <w:szCs w:val="24"/>
          <w:lang w:val="en-US" w:eastAsia="zh-CN" w:bidi="ar-SA"/>
        </w:rPr>
        <w:t xml:space="preserve">中标单位</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28.1中标候选人的选取原则和数量见招标文件第五章规定。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28.2 采购人应根据评委会推荐的中标候选人确定中标人。</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28.3 采购人将在</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中国政府采购网”“江苏政府采购网”“盐城市政府采购网”发布中标公告，公告期限为1个工作日。</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 若有充分证据证明，中标人出现下列情况之一的，一经查实，将被取消中标资格：</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28.4.1提供虚假材料谋取中标的。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28.4.2向采购人、代理机构行贿或者提供其他不正当利益的。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28.4.3属于本文件规定的无效条件，但在评标过程中又未被评委会发现的。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28.4.4与采购人或者其他供应商恶意串通的。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28.4.5采取不正当手段诋毁、排挤其他供应商的。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2" w:name="_Toc200451960"/>
      <w:r>
        <w:rPr>
          <w:rFonts w:hint="eastAsia" w:ascii="宋体" w:hAnsi="宋体" w:eastAsia="宋体" w:cs="宋体"/>
          <w:color w:val="000000"/>
          <w:sz w:val="24"/>
          <w:szCs w:val="24"/>
          <w:lang w:val="en-US" w:eastAsia="zh-CN" w:bidi="ar-SA"/>
        </w:rPr>
        <w:t xml:space="preserve">28.5.有下列情形之一的，视为供应商串通投标，投标无效：</w:t>
      </w:r>
      <w:bookmarkEnd w:id="152"/>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28.5.1不同供应商的投标文件由同一单位或者个人编制；</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28.5.2不同供应商委托同一单位或者个人办理投标事宜；</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28.5.3 不同供应商的投标文件载明的项目管理成员或者联系人员为同一人；</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28.5.4不同供应商的投标文件异常一致或者投标报价呈规律性差异；</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29、质疑处理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29.1 提出质疑的供应商应当是参与所质疑项目采购活动的供应商。潜在供应商依法获取其可质疑的采购文件的，可以对采购文件提出质疑。</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29.2.1对可以质疑的采购文件提出质疑的，为收到采购文件之日或者采购文件公告期限届满之日；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29.2.2对采购过程提出质疑的，为各采购程序环节结束之日；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29.2.3对中标或者成交结果提出质疑的，为中标或者成交结果公告期限届满之日。</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 以下情形的质疑不予受理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29.5.1 内容不符合《政府采购质疑和投诉办法》第十二条规定的质疑。</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29.5.2 超出政府采购法定期限的质疑。</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29.5.3 以传真、电子邮件等方式递交的非原件形式的质疑。</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29.5.4 未参加投标活动的供应商或在投标活动中自身权益未受到损害的供应商所提出的质疑。</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29.5.5供应商组成联合体参加投标，联合体中任何一方或多方未按要求签字、盖章、加盖公章的质疑。</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30、中标通知书</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53" w:name="_Toc120614220"/>
      <w:r/>
      <w:bookmarkStart w:id="154" w:name="_Toc20823308"/>
      <w:r/>
      <w:bookmarkStart w:id="155" w:name="_Toc16938552"/>
      <w:r/>
      <w:bookmarkStart w:id="156" w:name="_Toc513029236"/>
      <w:r>
        <w:rPr>
          <w:rFonts w:hint="eastAsia" w:ascii="宋体" w:hAnsi="宋体" w:eastAsia="宋体" w:cs="宋体"/>
          <w:b/>
          <w:bCs/>
          <w:color w:val="000000"/>
          <w:sz w:val="28"/>
          <w:szCs w:val="28"/>
          <w:lang w:val="en-US" w:eastAsia="zh-CN" w:bidi="ar-SA"/>
        </w:rPr>
        <w:t xml:space="preserve">七、授予合同</w:t>
      </w:r>
      <w:bookmarkEnd w:id="153"/>
      <w:r/>
      <w:bookmarkEnd w:id="154"/>
      <w:r/>
      <w:bookmarkEnd w:id="155"/>
      <w:r/>
      <w:bookmarkEnd w:id="156"/>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7" w:name="_Toc20823309"/>
      <w:r/>
      <w:bookmarkStart w:id="158" w:name="_Toc513029237"/>
      <w:r/>
      <w:bookmarkStart w:id="159" w:name="_Toc16938553"/>
      <w:r>
        <w:rPr>
          <w:rFonts w:hint="eastAsia" w:ascii="宋体" w:hAnsi="宋体" w:eastAsia="宋体" w:cs="宋体"/>
          <w:color w:val="000000"/>
          <w:sz w:val="24"/>
          <w:szCs w:val="24"/>
          <w:lang w:val="en-US" w:eastAsia="zh-CN" w:bidi="ar-SA"/>
        </w:rPr>
        <w:t xml:space="preserve">31. 签订合同</w:t>
      </w:r>
      <w:bookmarkEnd w:id="157"/>
      <w:r/>
      <w:bookmarkEnd w:id="158"/>
      <w:r/>
      <w:bookmarkEnd w:id="159"/>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31.l中标人应当在中标通知书发出之日起三十日内，按照招标文件确定的事项与采购人签订政府采购合同。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31.2招标文件、中标人的投标文件及招标过程中有关澄清、承诺文件均应作为合同附件。</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31.3 </w:t>
      </w:r>
      <w:r>
        <w:rPr>
          <w:rFonts w:hint="eastAsia" w:ascii="宋体" w:hAnsi="宋体" w:eastAsia="宋体" w:cs="宋体"/>
          <w:i/>
          <w:iCs/>
          <w:color w:val="000000"/>
          <w:sz w:val="24"/>
          <w:szCs w:val="24"/>
          <w:u w:val="single"/>
          <w:lang w:val="en-US" w:eastAsia="zh-CN" w:bidi="ar-SA"/>
        </w:rPr>
        <w:t xml:space="preserve">签订合同后，中标人不得将合同标的进行转包</w:t>
      </w:r>
      <w:r>
        <w:rPr>
          <w:rFonts w:hint="eastAsia" w:ascii="宋体" w:hAnsi="宋体" w:eastAsia="宋体" w:cs="宋体"/>
          <w:color w:val="000000"/>
          <w:sz w:val="24"/>
          <w:szCs w:val="24"/>
          <w:lang w:val="en-US" w:eastAsia="zh-CN" w:bidi="ar-SA"/>
        </w:rPr>
        <w:t xml:space="preserve">。未经采购人同意，中标人也不得采用分包的形式履行合同，否则采购人有权终止合同。转包或分包造成采购人损失的，中标人应承担相应赔偿责任。</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32、货物（包含与货物相关的服务）的追加</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33.政府采购政策功能落实</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33.1政府采购线上合同信用融资政策</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000000"/>
          <w:sz w:val="24"/>
          <w:szCs w:val="24"/>
          <w:lang w:val="en-US" w:eastAsia="zh-CN" w:bidi="ar-SA"/>
        </w:rPr>
        <w:t xml:space="preserve">系统</w:t>
      </w:r>
      <w:r>
        <w:rPr>
          <w:rFonts w:hint="eastAsia" w:ascii="宋体" w:hAnsi="宋体" w:eastAsia="宋体" w:cs="宋体"/>
          <w:color w:val="000000"/>
          <w:sz w:val="24"/>
          <w:szCs w:val="24"/>
          <w:lang w:val="en-US" w:eastAsia="zh-CN" w:bidi="ar-SA"/>
        </w:rPr>
        <w:t xml:space="preserve">操作手册。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33.2进口产品</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33.3中小企业、监狱企业及残疾人福利性单位</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33.3.1中小企业定义：</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中小企业</w:t>
      </w:r>
      <w:r>
        <w:rPr>
          <w:rFonts w:hint="eastAsia" w:ascii="宋体" w:hAnsi="宋体" w:eastAsia="宋体" w:cs="宋体"/>
          <w:color w:val="000000"/>
          <w:sz w:val="24"/>
          <w:szCs w:val="24"/>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33.3.2供应商提供的货物、工程或者服务符合下列情形的，享受中小企业扶持政策：</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33.3.2.1在货物采购项目中，货物由中小企业制造，即货物由中小企业生产且使用该中小企业商号或者注册商标；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33.3.2.2在工程采购项目中，工程由中小企业承建，即工程施工单位为中小企业；</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33.3.2.3在服务采购项目中，服务由中小企业承接，即提供服务的人员为中小企业依照《中华人民共和国劳动合同法》订立劳动合同的从业人员。</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33.3.3在货物采购项目中，供应商提供的货物既有中小企业制造货物，也有大型企业制造货物的，不享受中小企业扶持政策。</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33.3.4以联合体形式参加政府采购活动，联合体各方均为中小企业的，联合体视同中小企业。其中，联合体各方均为小微企业的，联合体视同小微企业。</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33.3.6残疾人福利单位定义：享受政府采购支持政策的残疾人福利性单位应当同时满足以下条件：</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33.3.6.1安置的残疾人占本单位在职职工人数的比例不低于25%（含25%），并且安置的残疾人人数不少于10 人（含10 人）；</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33.3.6.2依法与安置的每位残疾人签订了一年以上（含一年）的劳动合同或服务协议；</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33.3.6.3为安置的每位残疾人按月足额缴纳了基本养老保险、基本医疗保险、失业保险、工伤保险和生育保险等社会保险费；</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33.3.6.4通过银行等金融机构向安置的每位残疾人，按月支付了不低于单位所在区县适用的经省级人民政府批准的月最低工资标准的工资；</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33.3.7本项目是否专门面向中小企业预留采购份额见第一章《招标公告》。</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33.3.8采购标的对应的中小企业划分标准所属行业见第四章《采购需求》。</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33.3.9小微企业价格评审优惠的政策：见第五章《评标方法和评标标准》。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33.4政府采购节能产品、环境标志产品</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000000"/>
          <w:sz w:val="24"/>
          <w:szCs w:val="24"/>
          <w:lang w:val="en-US" w:eastAsia="zh-CN" w:bidi="ar-SA"/>
        </w:rPr>
        <w:t xml:space="preserve">其他条件相同情况下，应当优先采购节能产品、环境标志产品。</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33.5绿色包装</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33.6政府采购创新产品</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采购人优先采购各级政府部门公开发布的有效期内的创新产品、创新服务、首台套、首购首用等《目录》的创新产品。</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33.7绿色数据中心政策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33.8实施本国产品标准及相关政策</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1.本项目对采购本国产品给予政策支持，具体内容见招标文件“第五章 评标方法与评标标准”。</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ff0000"/>
          <w:sz w:val="24"/>
          <w:szCs w:val="24"/>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33.8履约保证金政策</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确需收取履约保证金的，履约保证金的缴纳形式：</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如以履约保函（保险）形式缴纳履约保证金，供应商可通过政府采购电子履约保函（保险）平台（www.jsdzbh.com）在线申请履约保函（保险）。</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34. 预付款制度</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90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4"/>
        <w:ind w:firstLine="1760"/>
        <w:jc w:val="center"/>
        <w:keepNext/>
        <w:spacing w:beforeAutospacing="0" w:afterAutospacing="0"/>
      </w:pPr>
      <w:r/>
      <w:bookmarkStart w:id="160" w:name="_Toc479757211"/>
      <w:r/>
      <w:bookmarkStart w:id="161" w:name="_Hlt16619350"/>
      <w:r/>
      <w:bookmarkStart w:id="162" w:name="_Toc462564139"/>
      <w:r/>
      <w:bookmarkStart w:id="163" w:name="_Toc20823346"/>
      <w:r/>
      <w:bookmarkStart w:id="164" w:name="_Toc16938590"/>
      <w:r/>
      <w:bookmarkStart w:id="165" w:name="_Toc120614244"/>
      <w:r/>
      <w:bookmarkStart w:id="166" w:name="_Hlt16619369"/>
      <w:r>
        <w:rPr>
          <w:rFonts w:hint="eastAsia" w:ascii="黑体" w:hAnsi="宋体" w:eastAsia="黑体" w:cs="黑体"/>
          <w:color w:val="000000"/>
          <w:sz w:val="44"/>
          <w:szCs w:val="44"/>
        </w:rPr>
        <w:t xml:space="preserve">第三章  合同文本</w:t>
      </w:r>
      <w:r/>
    </w:p>
    <w:p>
      <w:pPr>
        <w:pStyle w:val="894"/>
        <w:ind w:firstLine="480"/>
        <w:jc w:val="both"/>
        <w:spacing w:beforeAutospacing="0" w:afterAutospacing="0" w:line="360" w:lineRule="auto"/>
      </w:pPr>
      <w:r/>
      <w:bookmarkStart w:id="167" w:name="_Toc513029243"/>
      <w:r/>
      <w:bookmarkStart w:id="168" w:name="_Toc20823315"/>
      <w:r/>
      <w:bookmarkStart w:id="169" w:name="_Toc16938559"/>
      <w:r>
        <w:rPr>
          <w:rFonts w:hint="eastAsia" w:ascii="宋体" w:hAnsi="宋体" w:eastAsia="宋体" w:cs="宋体"/>
          <w:color w:val="000000"/>
        </w:rPr>
        <w:t xml:space="preserve">以下为中标后签定本项目合同的通用条款，中标人不得提出实质性的修改。</w:t>
      </w:r>
      <w:bookmarkEnd w:id="167"/>
      <w:r/>
      <w:bookmarkEnd w:id="168"/>
      <w:r/>
      <w:bookmarkEnd w:id="169"/>
      <w:r/>
      <w:r/>
    </w:p>
    <w:p>
      <w:pPr>
        <w:pStyle w:val="894"/>
        <w:jc w:val="center"/>
        <w:spacing w:before="145" w:beforeAutospacing="0" w:after="145" w:afterAutospacing="0" w:line="360" w:lineRule="auto"/>
      </w:pPr>
      <w:r>
        <w:rPr>
          <w:rFonts w:hint="eastAsia" w:ascii="宋体" w:hAnsi="宋体" w:eastAsia="宋体" w:cs="宋体"/>
          <w:b/>
          <w:color w:val="000000"/>
          <w:sz w:val="30"/>
          <w:szCs w:val="30"/>
        </w:rPr>
        <w:t xml:space="preserve">盐城市政府采购合同（货物）（合同编号）</w:t>
      </w:r>
      <w:r/>
    </w:p>
    <w:p>
      <w:pPr>
        <w:pStyle w:val="894"/>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                        </w:t>
      </w:r>
      <w:r/>
    </w:p>
    <w:p>
      <w:pPr>
        <w:pStyle w:val="894"/>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p>
    <w:p>
      <w:pPr>
        <w:pStyle w:val="894"/>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甲方：（买方）_________</w:t>
      </w:r>
      <w:r/>
    </w:p>
    <w:p>
      <w:pPr>
        <w:pStyle w:val="894"/>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乙方：（卖方）_________</w:t>
      </w:r>
      <w:r/>
    </w:p>
    <w:p>
      <w:pPr>
        <w:pStyle w:val="894"/>
        <w:jc w:val="both"/>
        <w:spacing w:before="120" w:beforeAutospacing="0" w:after="12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sz w:val="24"/>
          <w:szCs w:val="24"/>
          <w:lang w:val="en-US" w:eastAsia="zh-CN"/>
        </w:rPr>
        <w:t xml:space="preserve">射阳县行政服务中心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94"/>
        <w:jc w:val="both"/>
        <w:spacing w:before="120" w:beforeAutospacing="0" w:after="120" w:afterAutospacing="0" w:line="360" w:lineRule="auto"/>
      </w:pPr>
      <w:r>
        <w:rPr>
          <w:rFonts w:hint="eastAsia" w:ascii="宋体" w:hAnsi="宋体" w:eastAsia="宋体" w:cs="宋体"/>
          <w:b/>
          <w:color w:val="000000"/>
        </w:rPr>
        <w:t xml:space="preserve">一、合同内容</w:t>
      </w:r>
      <w:r/>
    </w:p>
    <w:p>
      <w:pPr>
        <w:pStyle w:val="894"/>
        <w:jc w:val="both"/>
        <w:spacing w:before="120" w:beforeAutospacing="0" w:after="120" w:afterAutospacing="0" w:line="360" w:lineRule="auto"/>
      </w:pPr>
      <w:r>
        <w:rPr>
          <w:rFonts w:hint="eastAsia" w:ascii="宋体" w:hAnsi="宋体" w:eastAsia="宋体" w:cs="宋体"/>
          <w:color w:val="000000"/>
        </w:rPr>
        <w:t xml:space="preserve">1.1 标的名称：</w:t>
      </w:r>
      <w:r/>
    </w:p>
    <w:p>
      <w:pPr>
        <w:pStyle w:val="894"/>
        <w:jc w:val="both"/>
        <w:spacing w:before="120" w:beforeAutospacing="0" w:after="120" w:afterAutospacing="0" w:line="360" w:lineRule="auto"/>
      </w:pPr>
      <w:r>
        <w:rPr>
          <w:rFonts w:hint="eastAsia" w:ascii="宋体" w:hAnsi="宋体" w:eastAsia="宋体" w:cs="宋体"/>
          <w:color w:val="000000"/>
        </w:rPr>
        <w:t xml:space="preserve">1.2 标的质量：</w:t>
      </w:r>
      <w:r/>
    </w:p>
    <w:p>
      <w:pPr>
        <w:pStyle w:val="894"/>
        <w:jc w:val="both"/>
        <w:spacing w:before="120" w:beforeAutospacing="0" w:after="120" w:afterAutospacing="0" w:line="360" w:lineRule="auto"/>
      </w:pPr>
      <w:r>
        <w:rPr>
          <w:rFonts w:hint="eastAsia" w:ascii="宋体" w:hAnsi="宋体" w:eastAsia="宋体" w:cs="宋体"/>
          <w:color w:val="000000"/>
        </w:rPr>
        <w:t xml:space="preserve">1.3 标的数量（规模）：</w:t>
      </w:r>
      <w:r/>
    </w:p>
    <w:p>
      <w:pPr>
        <w:pStyle w:val="894"/>
        <w:jc w:val="both"/>
        <w:spacing w:before="120" w:beforeAutospacing="0" w:after="120" w:afterAutospacing="0" w:line="360" w:lineRule="auto"/>
      </w:pPr>
      <w:r>
        <w:rPr>
          <w:rFonts w:hint="eastAsia" w:ascii="宋体" w:hAnsi="宋体" w:eastAsia="宋体" w:cs="宋体"/>
          <w:color w:val="000000"/>
        </w:rPr>
        <w:t xml:space="preserve">1.4 履行时间（期限）：</w:t>
      </w:r>
      <w:r/>
    </w:p>
    <w:p>
      <w:pPr>
        <w:pStyle w:val="894"/>
        <w:jc w:val="both"/>
        <w:spacing w:before="120" w:beforeAutospacing="0" w:after="120" w:afterAutospacing="0" w:line="360" w:lineRule="auto"/>
      </w:pPr>
      <w:r>
        <w:rPr>
          <w:rFonts w:hint="eastAsia" w:ascii="宋体" w:hAnsi="宋体" w:eastAsia="宋体" w:cs="宋体"/>
          <w:color w:val="000000"/>
        </w:rPr>
        <w:t xml:space="preserve">1.5 履行地点：</w:t>
      </w:r>
      <w:r/>
    </w:p>
    <w:p>
      <w:pPr>
        <w:pStyle w:val="894"/>
        <w:jc w:val="both"/>
        <w:spacing w:before="120" w:beforeAutospacing="0" w:after="120" w:afterAutospacing="0" w:line="360" w:lineRule="auto"/>
      </w:pPr>
      <w:r>
        <w:rPr>
          <w:rFonts w:hint="eastAsia" w:ascii="宋体" w:hAnsi="宋体" w:eastAsia="宋体" w:cs="宋体"/>
          <w:color w:val="000000"/>
        </w:rPr>
        <w:t xml:space="preserve">1.6 履行方式：</w:t>
      </w:r>
      <w:r/>
    </w:p>
    <w:p>
      <w:pPr>
        <w:pStyle w:val="894"/>
        <w:jc w:val="both"/>
        <w:spacing w:before="120" w:beforeAutospacing="0" w:after="120" w:afterAutospacing="0" w:line="360" w:lineRule="auto"/>
      </w:pPr>
      <w:r>
        <w:rPr>
          <w:rFonts w:hint="eastAsia" w:ascii="宋体" w:hAnsi="宋体" w:eastAsia="宋体" w:cs="宋体"/>
          <w:color w:val="000000"/>
        </w:rPr>
        <w:t xml:space="preserve">1.7 包装方式：</w:t>
      </w:r>
      <w:r/>
    </w:p>
    <w:p>
      <w:pPr>
        <w:pStyle w:val="894"/>
        <w:jc w:val="both"/>
        <w:spacing w:before="120" w:beforeAutospacing="0" w:after="120" w:afterAutospacing="0" w:line="360" w:lineRule="auto"/>
      </w:pPr>
      <w:r>
        <w:rPr>
          <w:rFonts w:hint="eastAsia" w:ascii="宋体" w:hAnsi="宋体" w:eastAsia="宋体" w:cs="宋体"/>
          <w:b/>
          <w:color w:val="000000"/>
        </w:rPr>
        <w:t xml:space="preserve">二、合同金额</w:t>
      </w:r>
      <w:r/>
    </w:p>
    <w:p>
      <w:pPr>
        <w:pStyle w:val="894"/>
        <w:ind w:left="410" w:hanging="410"/>
        <w:jc w:val="both"/>
        <w:spacing w:before="120" w:beforeAutospacing="0" w:after="120" w:afterAutospacing="0" w:line="360" w:lineRule="auto"/>
      </w:pPr>
      <w:r>
        <w:rPr>
          <w:rFonts w:hint="eastAsia" w:ascii="宋体" w:hAnsi="宋体" w:eastAsia="宋体" w:cs="宋体"/>
          <w:color w:val="000000"/>
        </w:rPr>
        <w:t xml:space="preserve">2.1 本合同金额为（大写）：_______圆（___元）人民币或其他币种。</w:t>
      </w:r>
      <w:r/>
    </w:p>
    <w:p>
      <w:pPr>
        <w:pStyle w:val="894"/>
        <w:jc w:val="both"/>
        <w:spacing w:before="120" w:beforeAutospacing="0" w:after="120" w:afterAutospacing="0" w:line="360" w:lineRule="auto"/>
      </w:pPr>
      <w:r>
        <w:rPr>
          <w:rFonts w:hint="eastAsia" w:ascii="宋体" w:hAnsi="宋体" w:eastAsia="宋体" w:cs="宋体"/>
          <w:b/>
          <w:color w:val="000000"/>
        </w:rPr>
        <w:t xml:space="preserve">三、技术资料</w:t>
      </w:r>
      <w:r/>
    </w:p>
    <w:p>
      <w:pPr>
        <w:pStyle w:val="894"/>
        <w:ind w:left="410" w:hanging="410"/>
        <w:jc w:val="both"/>
        <w:spacing w:before="120" w:beforeAutospacing="0" w:after="120" w:afterAutospacing="0" w:line="360" w:lineRule="auto"/>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94"/>
        <w:ind w:left="410" w:hanging="410"/>
        <w:jc w:val="both"/>
        <w:spacing w:before="120" w:beforeAutospacing="0" w:after="12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4"/>
        <w:ind w:left="412" w:hanging="412"/>
        <w:jc w:val="both"/>
        <w:spacing w:before="120" w:beforeAutospacing="0" w:after="120" w:afterAutospacing="0" w:line="360" w:lineRule="auto"/>
      </w:pPr>
      <w:r>
        <w:rPr>
          <w:rFonts w:hint="eastAsia" w:ascii="宋体" w:hAnsi="宋体" w:eastAsia="宋体" w:cs="宋体"/>
          <w:b/>
          <w:color w:val="000000"/>
        </w:rPr>
        <w:t xml:space="preserve">四、知识产权</w:t>
      </w:r>
      <w:r/>
    </w:p>
    <w:p>
      <w:pPr>
        <w:pStyle w:val="894"/>
        <w:jc w:val="both"/>
        <w:spacing w:beforeAutospacing="0" w:afterAutospacing="0" w:line="360" w:lineRule="auto"/>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94"/>
        <w:jc w:val="both"/>
        <w:spacing w:before="120" w:beforeAutospacing="0" w:after="120" w:afterAutospacing="0" w:line="360" w:lineRule="auto"/>
      </w:pPr>
      <w:r>
        <w:rPr>
          <w:rFonts w:hint="eastAsia" w:ascii="宋体" w:hAnsi="宋体" w:eastAsia="宋体" w:cs="宋体"/>
          <w:b/>
          <w:color w:val="000000"/>
        </w:rPr>
        <w:t xml:space="preserve">五、产权担保</w:t>
      </w:r>
      <w:r/>
    </w:p>
    <w:p>
      <w:pPr>
        <w:pStyle w:val="894"/>
        <w:ind w:left="408" w:hanging="408"/>
        <w:jc w:val="both"/>
        <w:spacing w:before="120" w:beforeAutospacing="0" w:after="120" w:afterAutospacing="0" w:line="360" w:lineRule="auto"/>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94"/>
        <w:ind w:left="410" w:hanging="410"/>
        <w:jc w:val="both"/>
        <w:spacing w:before="120" w:beforeAutospacing="0" w:after="120" w:afterAutospacing="0" w:line="360" w:lineRule="auto"/>
      </w:pPr>
      <w:r>
        <w:rPr>
          <w:rFonts w:hint="eastAsia" w:ascii="宋体" w:hAnsi="宋体" w:eastAsia="宋体" w:cs="宋体"/>
          <w:b/>
          <w:color w:val="000000"/>
        </w:rPr>
        <w:t xml:space="preserve">六、履约保证金</w:t>
      </w:r>
      <w:r/>
    </w:p>
    <w:p>
      <w:pPr>
        <w:pStyle w:val="894"/>
        <w:ind w:left="408" w:hanging="408"/>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6.1 乙方交纳人民币_________元作为本合同的履约保证金。</w:t>
      </w:r>
      <w:r/>
    </w:p>
    <w:p>
      <w:pPr>
        <w:pStyle w:val="894"/>
        <w:ind w:left="210" w:firstLine="240"/>
        <w:jc w:val="both"/>
        <w:spacing w:before="120" w:beforeAutospacing="0" w:after="120" w:afterAutospacing="0" w:line="360" w:lineRule="auto"/>
        <w:rPr>
          <w:rFonts w:hint="eastAsia" w:ascii="宋体" w:hAnsi="宋体" w:eastAsia="宋体" w:cs="宋体"/>
          <w:color w:val="7030a0"/>
          <w:lang w:eastAsia="zh-CN"/>
        </w:rPr>
      </w:pPr>
      <w:r>
        <w:rPr>
          <w:rFonts w:hint="eastAsia" w:ascii="宋体" w:hAnsi="宋体" w:eastAsia="宋体" w:cs="宋体"/>
          <w:color w:val="7030a0"/>
        </w:rPr>
        <w:t xml:space="preserve">（备注：不得超过合同金额的10%，采购人</w:t>
      </w:r>
      <w:r>
        <w:rPr>
          <w:rFonts w:hint="eastAsia" w:ascii="宋体" w:hAnsi="宋体" w:eastAsia="宋体" w:cs="宋体"/>
          <w:color w:val="7030a0"/>
          <w:lang w:eastAsia="zh-CN"/>
        </w:rPr>
        <w:t xml:space="preserve">应当</w:t>
      </w:r>
      <w:r>
        <w:rPr>
          <w:rFonts w:hint="eastAsia" w:ascii="宋体" w:hAnsi="宋体" w:eastAsia="宋体" w:cs="宋体"/>
          <w:color w:val="7030a0"/>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lang w:eastAsia="zh-CN"/>
        </w:rPr>
        <w:t xml:space="preserve">）</w:t>
      </w:r>
      <w:r/>
    </w:p>
    <w:p>
      <w:pPr>
        <w:pStyle w:val="894"/>
        <w:jc w:val="both"/>
        <w:spacing w:before="120" w:beforeAutospacing="0" w:after="120" w:afterAutospacing="0" w:line="360" w:lineRule="auto"/>
        <w:rPr>
          <w:rFonts w:hint="eastAsia" w:ascii="宋体" w:hAnsi="宋体" w:eastAsia="宋体" w:cs="宋体"/>
          <w:color w:val="ff0000"/>
          <w:lang w:eastAsia="zh-CN"/>
        </w:rPr>
      </w:pPr>
      <w:r>
        <w:rPr>
          <w:rFonts w:hint="eastAsia" w:ascii="宋体" w:hAnsi="宋体" w:eastAsia="宋体" w:cs="宋体"/>
          <w:color w:val="ff0000"/>
        </w:rPr>
        <w:t xml:space="preserve">6.</w:t>
      </w:r>
      <w:r>
        <w:rPr>
          <w:rFonts w:hint="eastAsia" w:ascii="宋体" w:hAnsi="宋体" w:eastAsia="宋体" w:cs="宋体"/>
          <w:color w:val="ff0000"/>
          <w:lang w:val="en-US" w:eastAsia="zh-CN"/>
        </w:rPr>
        <w:t xml:space="preserve">2确需收取履约保证金的，</w:t>
      </w:r>
      <w:r>
        <w:rPr>
          <w:rFonts w:hint="eastAsia" w:ascii="宋体" w:hAnsi="宋体" w:eastAsia="宋体" w:cs="宋体"/>
          <w:color w:val="ff0000"/>
          <w:lang w:eastAsia="zh-CN"/>
        </w:rPr>
        <w:t xml:space="preserve">履约保证金的缴纳形式：</w:t>
      </w:r>
      <w:r/>
    </w:p>
    <w:p>
      <w:pPr>
        <w:pStyle w:val="894"/>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eastAsia="zh-CN"/>
        </w:rPr>
      </w:pPr>
      <w:r>
        <w:rPr>
          <w:rFonts w:hint="eastAsia" w:ascii="宋体" w:hAnsi="宋体" w:eastAsia="宋体" w:cs="宋体"/>
          <w:color w:val="ff0000"/>
          <w:lang w:val="en-US" w:eastAsia="zh-CN"/>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lang w:eastAsia="zh-CN"/>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lang w:eastAsia="zh-CN"/>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lang w:eastAsia="zh-CN"/>
        </w:rPr>
        <w:t xml:space="preserve">。</w:t>
      </w:r>
      <w:r/>
    </w:p>
    <w:p>
      <w:pPr>
        <w:pStyle w:val="894"/>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6.2.2 如以履约保函（保险）形式缴纳履约保证金，供应商可通过政府采购电子履约保函（保险）平台（www.jsdzbh.com）在线申请履约保函（保险）。</w:t>
      </w:r>
      <w:r/>
    </w:p>
    <w:p>
      <w:pPr>
        <w:pStyle w:val="894"/>
        <w:ind w:left="408" w:hanging="408"/>
        <w:jc w:val="both"/>
        <w:spacing w:before="120" w:beforeAutospacing="0" w:after="12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履约保证金的退还：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.1方式：无息退还至投标人缴纳履约保证金的账户。如为保函，在到期时自行失效。</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.2时间：验收合格且采购人收到发票后30日内。</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.3条件：按合同要求全部履约完成并经采购人验收合格，且采购人收到中标人出具的发票。</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.4不予退还情形：</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94"/>
        <w:jc w:val="both"/>
        <w:spacing w:before="145" w:beforeAutospacing="0" w:after="145" w:afterAutospacing="0" w:line="360" w:lineRule="auto"/>
      </w:pPr>
      <w:r>
        <w:rPr>
          <w:rFonts w:hint="eastAsia" w:ascii="宋体" w:hAnsi="宋体" w:eastAsia="宋体" w:cs="宋体"/>
          <w:b/>
          <w:color w:val="000000"/>
        </w:rPr>
        <w:t xml:space="preserve">七、合同转包或分包</w:t>
      </w:r>
      <w:r/>
    </w:p>
    <w:p>
      <w:pPr>
        <w:pStyle w:val="894"/>
        <w:jc w:val="both"/>
        <w:spacing w:before="145" w:beforeAutospacing="0" w:after="145" w:afterAutospacing="0" w:line="360" w:lineRule="auto"/>
      </w:pPr>
      <w:r>
        <w:rPr>
          <w:rFonts w:hint="eastAsia" w:ascii="宋体" w:hAnsi="宋体" w:eastAsia="宋体" w:cs="宋体"/>
          <w:color w:val="000000"/>
        </w:rPr>
        <w:t xml:space="preserve">7.1乙方不得将合同标的转包给他人履行。</w:t>
      </w:r>
      <w:r/>
    </w:p>
    <w:p>
      <w:pPr>
        <w:pStyle w:val="894"/>
        <w:jc w:val="both"/>
        <w:spacing w:before="145" w:beforeAutospacing="0" w:after="145" w:afterAutospacing="0" w:line="360" w:lineRule="auto"/>
      </w:pPr>
      <w:r>
        <w:rPr>
          <w:rFonts w:hint="eastAsia" w:ascii="宋体" w:hAnsi="宋体" w:eastAsia="宋体" w:cs="宋体"/>
          <w:color w:val="000000"/>
        </w:rPr>
        <w:t xml:space="preserve">7.2乙方不得将合同标的分包给他人履行。</w:t>
      </w:r>
      <w:r/>
    </w:p>
    <w:p>
      <w:pPr>
        <w:pStyle w:val="894"/>
        <w:jc w:val="both"/>
        <w:spacing w:before="145" w:beforeAutospacing="0" w:after="145" w:afterAutospacing="0" w:line="360" w:lineRule="auto"/>
      </w:pPr>
      <w:r>
        <w:rPr>
          <w:rFonts w:hint="eastAsia" w:ascii="宋体" w:hAnsi="宋体" w:eastAsia="宋体" w:cs="宋体"/>
          <w:color w:val="000000"/>
        </w:rPr>
        <w:t xml:space="preserve">7.3乙方如有转包或未经甲方同意的分包行为，甲方有权给予终止合同。</w:t>
      </w:r>
      <w:r/>
    </w:p>
    <w:p>
      <w:pPr>
        <w:pStyle w:val="894"/>
        <w:jc w:val="both"/>
        <w:spacing w:before="120" w:beforeAutospacing="0" w:after="120" w:afterAutospacing="0" w:line="360" w:lineRule="auto"/>
      </w:pPr>
      <w:r>
        <w:rPr>
          <w:rFonts w:hint="eastAsia" w:ascii="宋体" w:hAnsi="宋体" w:eastAsia="宋体" w:cs="宋体"/>
          <w:b/>
          <w:color w:val="000000"/>
        </w:rPr>
        <w:t xml:space="preserve">八、合同款项支付</w:t>
      </w:r>
      <w:r/>
    </w:p>
    <w:p>
      <w:pPr>
        <w:pStyle w:val="894"/>
        <w:jc w:val="both"/>
        <w:spacing w:before="145" w:beforeAutospacing="0" w:after="145" w:afterAutospacing="0" w:line="360" w:lineRule="auto"/>
        <w:rPr>
          <w:rFonts w:hint="eastAsia"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894"/>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8.1.1合同签订时，采购单位支付合同总价的30%作为项目启动预付款。预付款支付比例(或中标单位是否需要采购单位支付预付款)由采购人与中标人根据实际情况协商一致在合同中作说明。</w:t>
      </w:r>
      <w:r/>
    </w:p>
    <w:p>
      <w:pPr>
        <w:pStyle w:val="894"/>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8.1.2项目验收合格后付至合同总价款的70%；经审计结束、验收合格满一年后，付至项目审计总价款的90%;验收合格满三年后，无质量、服务问题一次性付清项目审计总价余款(无息)</w:t>
      </w:r>
      <w:r/>
    </w:p>
    <w:p>
      <w:pPr>
        <w:pStyle w:val="894"/>
        <w:jc w:val="both"/>
        <w:spacing w:before="145" w:beforeAutospacing="0" w:after="145" w:afterAutospacing="0" w:line="360" w:lineRule="auto"/>
      </w:pPr>
      <w:r>
        <w:rPr>
          <w:rFonts w:hint="eastAsia" w:ascii="宋体" w:hAnsi="宋体" w:eastAsia="宋体" w:cs="宋体"/>
          <w:b/>
          <w:color w:val="000000"/>
        </w:rPr>
        <w:t xml:space="preserve">九、税费</w:t>
      </w:r>
      <w:r/>
    </w:p>
    <w:p>
      <w:pPr>
        <w:pStyle w:val="894"/>
        <w:jc w:val="both"/>
        <w:spacing w:before="145" w:beforeAutospacing="0" w:after="145" w:afterAutospacing="0" w:line="360" w:lineRule="auto"/>
      </w:pPr>
      <w:r>
        <w:rPr>
          <w:rFonts w:hint="eastAsia" w:ascii="宋体" w:hAnsi="宋体" w:eastAsia="宋体" w:cs="宋体"/>
          <w:color w:val="000000"/>
        </w:rPr>
        <w:t xml:space="preserve">9.1本合同执行中相关的一切税费均由乙方负担。</w:t>
      </w:r>
      <w:r/>
    </w:p>
    <w:p>
      <w:pPr>
        <w:pStyle w:val="894"/>
        <w:ind w:left="412" w:hanging="412"/>
        <w:jc w:val="both"/>
        <w:spacing w:before="120" w:beforeAutospacing="0" w:after="120" w:afterAutospacing="0" w:line="360" w:lineRule="auto"/>
      </w:pPr>
      <w:r>
        <w:rPr>
          <w:rFonts w:hint="eastAsia" w:ascii="宋体" w:hAnsi="宋体" w:eastAsia="宋体" w:cs="宋体"/>
          <w:b/>
          <w:color w:val="000000"/>
        </w:rPr>
        <w:t xml:space="preserve">十、质量保修范围和保修期及售后服务</w:t>
      </w:r>
      <w:r/>
    </w:p>
    <w:p>
      <w:pPr>
        <w:pStyle w:val="894"/>
        <w:ind w:left="410" w:hanging="410"/>
        <w:jc w:val="both"/>
        <w:spacing w:before="120" w:beforeAutospacing="0" w:after="120" w:afterAutospacing="0" w:line="360" w:lineRule="auto"/>
      </w:pPr>
      <w:r>
        <w:rPr>
          <w:rFonts w:hint="eastAsia" w:ascii="宋体" w:hAnsi="宋体" w:eastAsia="宋体" w:cs="宋体"/>
          <w:color w:val="000000"/>
        </w:rPr>
        <w:t xml:space="preserve">10.1 乙方应按招标文件规定的货物性能、技术要求、质量标准向甲方提供未经使用的全新产品。</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94"/>
        <w:ind w:firstLine="420"/>
        <w:jc w:val="both"/>
        <w:spacing w:before="120" w:beforeAutospacing="0" w:after="120" w:afterAutospacing="0" w:line="360" w:lineRule="auto"/>
      </w:pPr>
      <w:r>
        <w:rPr>
          <w:rFonts w:hint="eastAsia" w:ascii="宋体" w:hAnsi="宋体" w:eastAsia="宋体" w:cs="宋体"/>
          <w:color w:val="000000"/>
        </w:rPr>
        <w:t xml:space="preserve">⑴更换：由乙方承担所发生的全部费用。</w:t>
      </w:r>
      <w:r/>
    </w:p>
    <w:p>
      <w:pPr>
        <w:pStyle w:val="894"/>
        <w:ind w:firstLine="420"/>
        <w:jc w:val="both"/>
        <w:spacing w:before="120" w:beforeAutospacing="0" w:after="120" w:afterAutospacing="0" w:line="360" w:lineRule="auto"/>
      </w:pPr>
      <w:r>
        <w:rPr>
          <w:rFonts w:hint="eastAsia" w:ascii="宋体" w:hAnsi="宋体" w:eastAsia="宋体" w:cs="宋体"/>
          <w:color w:val="000000"/>
        </w:rPr>
        <w:t xml:space="preserve">⑵贬值处理：由甲乙双方合议定价。</w:t>
      </w:r>
      <w:r/>
    </w:p>
    <w:p>
      <w:pPr>
        <w:pStyle w:val="894"/>
        <w:ind w:left="420"/>
        <w:jc w:val="both"/>
        <w:spacing w:before="120" w:beforeAutospacing="0" w:after="120" w:afterAutospacing="0" w:line="360" w:lineRule="auto"/>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894"/>
        <w:jc w:val="both"/>
        <w:spacing w:before="120" w:beforeAutospacing="0" w:after="120" w:afterAutospacing="0" w:line="360" w:lineRule="auto"/>
      </w:pPr>
      <w:r>
        <w:rPr>
          <w:rFonts w:hint="eastAsia" w:ascii="宋体" w:hAnsi="宋体" w:eastAsia="宋体" w:cs="宋体"/>
          <w:color w:val="000000"/>
        </w:rPr>
        <w:t xml:space="preserve">10.3 如在使用过程中发生质量问题，乙方在接到甲方通知后在_________小时内到达甲方现场。</w:t>
      </w:r>
      <w:r/>
    </w:p>
    <w:p>
      <w:pPr>
        <w:pStyle w:val="894"/>
        <w:jc w:val="both"/>
        <w:spacing w:before="120" w:beforeAutospacing="0" w:after="120" w:afterAutospacing="0" w:line="360" w:lineRule="auto"/>
      </w:pPr>
      <w:r>
        <w:rPr>
          <w:rFonts w:hint="eastAsia" w:ascii="宋体" w:hAnsi="宋体" w:eastAsia="宋体" w:cs="宋体"/>
          <w:color w:val="000000"/>
        </w:rPr>
        <w:t xml:space="preserve">10.4 在质保期内，乙方应对货物出现的质量及安全问题负责处理解决并承担一切费用。</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年（自交货验收合格之日起计），因人为因素出现的故障不在免费保修范围内。超过保修期的机器设备，</w:t>
      </w:r>
      <w:r>
        <w:rPr>
          <w:rFonts w:hint="eastAsia" w:ascii="宋体" w:hAnsi="宋体" w:cs="宋体"/>
          <w:color w:val="000000"/>
          <w:lang w:eastAsia="zh-CN"/>
        </w:rPr>
        <w:t xml:space="preserve">终身</w:t>
      </w:r>
      <w:r>
        <w:rPr>
          <w:rFonts w:hint="eastAsia" w:ascii="宋体" w:hAnsi="宋体" w:eastAsia="宋体" w:cs="宋体"/>
          <w:color w:val="000000"/>
        </w:rPr>
        <w:t xml:space="preserve">维修，维修时只收部件成本费。</w:t>
      </w:r>
      <w:r/>
    </w:p>
    <w:p>
      <w:pPr>
        <w:pStyle w:val="894"/>
        <w:jc w:val="both"/>
        <w:spacing w:before="120" w:beforeAutospacing="0" w:after="120" w:afterAutospacing="0" w:line="360" w:lineRule="auto"/>
      </w:pPr>
      <w:r>
        <w:rPr>
          <w:rFonts w:hint="eastAsia" w:ascii="宋体" w:hAnsi="宋体" w:eastAsia="宋体" w:cs="宋体"/>
          <w:b/>
          <w:color w:val="000000"/>
        </w:rPr>
        <w:t xml:space="preserve">十一、项目验收</w:t>
      </w:r>
      <w:r/>
    </w:p>
    <w:p>
      <w:pPr>
        <w:pStyle w:val="894"/>
        <w:jc w:val="both"/>
        <w:spacing w:before="120" w:beforeAutospacing="0" w:after="120" w:afterAutospacing="0" w:line="360" w:lineRule="auto"/>
      </w:pPr>
      <w:r>
        <w:rPr>
          <w:rFonts w:hint="eastAsia" w:ascii="宋体" w:hAnsi="宋体" w:eastAsia="宋体" w:cs="宋体"/>
          <w:color w:val="000000"/>
        </w:rPr>
        <w:t xml:space="preserve">11.1 甲方依法组织履约验收工作。</w:t>
      </w:r>
      <w:r/>
    </w:p>
    <w:p>
      <w:pPr>
        <w:pStyle w:val="894"/>
        <w:jc w:val="both"/>
        <w:spacing w:before="120" w:beforeAutospacing="0" w:after="120" w:afterAutospacing="0" w:line="360" w:lineRule="auto"/>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4"/>
        <w:jc w:val="both"/>
        <w:spacing w:before="120" w:beforeAutospacing="0" w:after="120" w:afterAutospacing="0" w:line="360" w:lineRule="auto"/>
      </w:pPr>
      <w:r>
        <w:rPr>
          <w:rFonts w:hint="eastAsia" w:ascii="宋体" w:hAnsi="宋体" w:eastAsia="宋体" w:cs="宋体"/>
          <w:color w:val="000000"/>
        </w:rPr>
        <w:t xml:space="preserve">11.3 对于实际使用人和甲方分离的项目，甲方邀请实际使用人参与验收。</w:t>
      </w:r>
      <w:r/>
    </w:p>
    <w:p>
      <w:pPr>
        <w:pStyle w:val="894"/>
        <w:jc w:val="both"/>
        <w:spacing w:before="120" w:beforeAutospacing="0" w:after="120" w:afterAutospacing="0" w:line="360" w:lineRule="auto"/>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894"/>
        <w:jc w:val="both"/>
        <w:spacing w:before="120" w:beforeAutospacing="0" w:after="120" w:afterAutospacing="0" w:line="360" w:lineRule="auto"/>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4"/>
        <w:jc w:val="both"/>
        <w:spacing w:before="120" w:beforeAutospacing="0" w:after="120" w:afterAutospacing="0" w:line="360" w:lineRule="auto"/>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4"/>
        <w:jc w:val="both"/>
        <w:spacing w:before="120" w:beforeAutospacing="0" w:after="120" w:afterAutospacing="0" w:line="360" w:lineRule="auto"/>
      </w:pPr>
      <w:r>
        <w:rPr>
          <w:rFonts w:hint="eastAsia" w:ascii="宋体" w:hAnsi="宋体" w:eastAsia="宋体" w:cs="宋体"/>
          <w:b/>
          <w:color w:val="000000"/>
        </w:rPr>
        <w:t xml:space="preserve">十二、货物的包装、发运及运输</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rPr>
        <w:t xml:space="preserve">乙方对货物的包装应符合《商品包装政府采购需求标准（试行）》、《快递包装政府采购需求标准（试行）》的规定。</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12.2 使用说明书、质量检验证明书、随配附件和工具以及清单一并附于货物内。</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12.3 乙方在货物发运手续办理完毕后24小时内或货到甲方48小时前通知甲方，以准备接货。</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12.4 货物在交付甲方前发生的风险均由乙方负责。</w:t>
      </w:r>
      <w:r/>
    </w:p>
    <w:p>
      <w:pPr>
        <w:pStyle w:val="894"/>
        <w:ind w:left="480" w:right="26" w:hanging="480"/>
        <w:jc w:val="both"/>
        <w:spacing w:before="156" w:beforeAutospacing="0" w:after="156" w:afterAutospacing="0" w:line="360" w:lineRule="auto"/>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94"/>
        <w:jc w:val="both"/>
        <w:spacing w:before="120" w:beforeAutospacing="0" w:after="120" w:afterAutospacing="0" w:line="360" w:lineRule="auto"/>
      </w:pPr>
      <w:r>
        <w:rPr>
          <w:rFonts w:hint="eastAsia" w:ascii="宋体" w:hAnsi="宋体" w:eastAsia="宋体" w:cs="宋体"/>
          <w:b/>
          <w:color w:val="000000"/>
        </w:rPr>
        <w:t xml:space="preserve">十三、违约责任</w:t>
      </w:r>
      <w:r/>
    </w:p>
    <w:p>
      <w:pPr>
        <w:pStyle w:val="894"/>
        <w:ind w:left="410" w:hanging="410"/>
        <w:jc w:val="both"/>
        <w:spacing w:before="120" w:beforeAutospacing="0" w:after="120" w:afterAutospacing="0" w:line="360" w:lineRule="auto"/>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94"/>
        <w:ind w:left="410" w:hanging="410"/>
        <w:jc w:val="both"/>
        <w:spacing w:before="120" w:beforeAutospacing="0" w:after="120" w:afterAutospacing="0" w:line="360" w:lineRule="auto"/>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 xml:space="preserve">向乙方支付违约金。</w:t>
      </w:r>
      <w:r/>
    </w:p>
    <w:p>
      <w:pPr>
        <w:pStyle w:val="894"/>
        <w:ind w:left="410" w:hanging="410"/>
        <w:jc w:val="both"/>
        <w:spacing w:before="120" w:beforeAutospacing="0" w:after="120" w:afterAutospacing="0" w:line="360" w:lineRule="auto"/>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94"/>
        <w:ind w:left="410" w:hanging="410"/>
        <w:jc w:val="both"/>
        <w:spacing w:before="120" w:beforeAutospacing="0" w:after="120" w:afterAutospacing="0" w:line="360" w:lineRule="auto"/>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94"/>
        <w:jc w:val="both"/>
        <w:spacing w:before="120" w:beforeAutospacing="0" w:after="120" w:afterAutospacing="0" w:line="360" w:lineRule="auto"/>
      </w:pPr>
      <w:r>
        <w:rPr>
          <w:rFonts w:hint="eastAsia" w:ascii="宋体" w:hAnsi="宋体" w:eastAsia="宋体" w:cs="宋体"/>
          <w:b/>
          <w:color w:val="000000"/>
        </w:rPr>
        <w:t xml:space="preserve">十四、不可抗力事件处理</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94"/>
        <w:jc w:val="both"/>
        <w:spacing w:before="120" w:beforeAutospacing="0" w:after="120" w:afterAutospacing="0" w:line="360" w:lineRule="auto"/>
      </w:pPr>
      <w:r>
        <w:rPr>
          <w:rFonts w:hint="eastAsia" w:ascii="宋体" w:hAnsi="宋体" w:eastAsia="宋体" w:cs="宋体"/>
          <w:color w:val="000000"/>
        </w:rPr>
        <w:t xml:space="preserve">14.2 不可抗力事件发生后，应立即通知对方，并寄送有关权威机构出具的证明。</w:t>
      </w:r>
      <w:r/>
    </w:p>
    <w:p>
      <w:pPr>
        <w:pStyle w:val="894"/>
        <w:jc w:val="both"/>
        <w:spacing w:before="120" w:beforeAutospacing="0" w:after="120" w:afterAutospacing="0" w:line="360" w:lineRule="auto"/>
      </w:pPr>
      <w:r>
        <w:rPr>
          <w:rFonts w:hint="eastAsia" w:ascii="宋体" w:hAnsi="宋体" w:eastAsia="宋体" w:cs="宋体"/>
          <w:color w:val="000000"/>
        </w:rPr>
        <w:t xml:space="preserve">14.3 不可抗力事件延续120天以上，双方应通过友好协商，确定是否继续履行合同。</w:t>
      </w:r>
      <w:r/>
    </w:p>
    <w:p>
      <w:pPr>
        <w:pStyle w:val="894"/>
        <w:jc w:val="both"/>
        <w:spacing w:before="120" w:beforeAutospacing="0" w:after="120" w:afterAutospacing="0" w:line="360" w:lineRule="auto"/>
      </w:pPr>
      <w:r>
        <w:rPr>
          <w:rFonts w:hint="eastAsia" w:ascii="宋体" w:hAnsi="宋体" w:eastAsia="宋体" w:cs="宋体"/>
          <w:b/>
          <w:color w:val="000000"/>
        </w:rPr>
        <w:t xml:space="preserve">十五、解决争议的方法</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94"/>
        <w:jc w:val="both"/>
        <w:spacing w:before="120" w:beforeAutospacing="0" w:after="120" w:afterAutospacing="0" w:line="360" w:lineRule="auto"/>
      </w:pPr>
      <w:r>
        <w:rPr>
          <w:rFonts w:hint="eastAsia" w:ascii="宋体" w:hAnsi="宋体" w:eastAsia="宋体" w:cs="宋体"/>
          <w:b/>
          <w:color w:val="000000"/>
        </w:rPr>
        <w:t xml:space="preserve">十六、合同生效及其它</w:t>
      </w:r>
      <w:r/>
    </w:p>
    <w:p>
      <w:pPr>
        <w:pStyle w:val="894"/>
        <w:jc w:val="both"/>
        <w:spacing w:before="120" w:beforeAutospacing="0" w:after="120" w:afterAutospacing="0" w:line="360" w:lineRule="auto"/>
      </w:pPr>
      <w:r>
        <w:rPr>
          <w:rFonts w:hint="eastAsia" w:ascii="宋体" w:hAnsi="宋体" w:eastAsia="宋体" w:cs="宋体"/>
          <w:color w:val="000000"/>
        </w:rPr>
        <w:t xml:space="preserve">16.1 合同经双方法定代表人或授权委托代表人签字并加盖单位公章后生效。</w:t>
      </w:r>
      <w:r/>
    </w:p>
    <w:p>
      <w:pPr>
        <w:pStyle w:val="894"/>
        <w:jc w:val="both"/>
        <w:spacing w:before="120" w:beforeAutospacing="0" w:after="120" w:afterAutospacing="0" w:line="360" w:lineRule="auto"/>
      </w:pPr>
      <w:r>
        <w:rPr>
          <w:rFonts w:hint="eastAsia" w:ascii="宋体" w:hAnsi="宋体" w:eastAsia="宋体" w:cs="宋体"/>
          <w:color w:val="000000"/>
        </w:rPr>
        <w:t xml:space="preserve">16.2本合同未尽事宜，遵照《民法典》、《政府采购法》有关条文执行。</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16.3 本合同正本一式两份，具有同等法律效力，甲方、乙方各执一份。</w:t>
      </w:r>
      <w:r/>
    </w:p>
    <w:p>
      <w:pPr>
        <w:pStyle w:val="894"/>
        <w:ind w:left="480" w:hanging="480"/>
        <w:jc w:val="both"/>
        <w:spacing w:before="120" w:beforeAutospacing="0" w:after="120" w:afterAutospacing="0" w:line="360" w:lineRule="auto"/>
      </w:pPr>
      <w:r>
        <w:rPr>
          <w:rFonts w:hint="eastAsia" w:ascii="宋体" w:hAnsi="宋体" w:eastAsia="宋体" w:cs="宋体"/>
          <w:color w:val="000000"/>
        </w:rPr>
        <w:t xml:space="preserve">  甲方：                        乙方： </w:t>
      </w:r>
      <w:r/>
    </w:p>
    <w:p>
      <w:pPr>
        <w:pStyle w:val="894"/>
        <w:jc w:val="both"/>
        <w:spacing w:before="120" w:beforeAutospacing="0" w:after="120" w:afterAutospacing="0" w:line="360" w:lineRule="auto"/>
      </w:pPr>
      <w:r>
        <w:rPr>
          <w:rFonts w:hint="eastAsia" w:ascii="宋体" w:hAnsi="宋体" w:eastAsia="宋体" w:cs="宋体"/>
          <w:color w:val="000000"/>
        </w:rPr>
        <w:t xml:space="preserve">  地址：                        地址： </w:t>
      </w:r>
      <w:r/>
    </w:p>
    <w:p>
      <w:pPr>
        <w:pStyle w:val="894"/>
        <w:jc w:val="both"/>
        <w:spacing w:before="120" w:beforeAutospacing="0" w:after="120" w:afterAutospacing="0" w:line="360" w:lineRule="auto"/>
      </w:pPr>
      <w:r>
        <w:rPr>
          <w:rFonts w:hint="eastAsia" w:ascii="宋体" w:hAnsi="宋体" w:eastAsia="宋体" w:cs="宋体"/>
          <w:color w:val="000000"/>
        </w:rPr>
        <w:t xml:space="preserve">  法定代表人或授权代表：        法定代表人或授权代表：</w:t>
      </w:r>
      <w:r/>
    </w:p>
    <w:p>
      <w:pPr>
        <w:pStyle w:val="894"/>
        <w:ind w:firstLine="513"/>
        <w:jc w:val="both"/>
        <w:spacing w:before="120" w:beforeAutospacing="0" w:after="120" w:afterAutospacing="0" w:line="360" w:lineRule="auto"/>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联系电话：          </w:t>
      </w:r>
      <w:r/>
    </w:p>
    <w:p>
      <w:pPr>
        <w:pStyle w:val="894"/>
        <w:jc w:val="center"/>
        <w:spacing w:before="120" w:beforeAutospacing="0" w:after="120" w:afterAutospacing="0" w:line="360" w:lineRule="auto"/>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900"/>
        <w:jc w:val="center"/>
        <w:spacing w:before="120" w:beforeAutospacing="0" w:after="120" w:afterAutospacing="0" w:line="360" w:lineRule="auto"/>
        <w:rPr>
          <w:rFonts w:hint="eastAsia" w:ascii="黑体" w:hAnsi="宋体" w:eastAsia="黑体" w:cs="黑体"/>
          <w:color w:val="000000"/>
          <w:sz w:val="44"/>
          <w:szCs w:val="44"/>
          <w:highlight w:val="none"/>
        </w:rPr>
      </w:pPr>
      <w:r>
        <w:rPr>
          <w:rFonts w:hint="eastAsia" w:ascii="宋体" w:hAnsi="宋体" w:eastAsia="宋体" w:cs="宋体"/>
          <w:color w:val="000000"/>
        </w:rPr>
        <w:t xml:space="preserve">签订日期：      年    月   日</w:t>
      </w:r>
      <w:r>
        <w:rPr>
          <w:rFonts w:hint="eastAsia" w:ascii="黑体" w:hAnsi="宋体" w:eastAsia="黑体" w:cs="黑体"/>
          <w:color w:val="000000"/>
          <w:sz w:val="44"/>
          <w:szCs w:val="44"/>
        </w:rPr>
        <w:br w:type="page" w:clear="all"/>
      </w:r>
      <w:r/>
    </w:p>
    <w:p>
      <w:pPr>
        <w:pStyle w:val="900"/>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0" w:name="_Toc49090575"/>
      <w:r/>
      <w:bookmarkStart w:id="171" w:name="_Toc26554093"/>
      <w:r>
        <w:rPr>
          <w:rFonts w:hint="eastAsia" w:ascii="宋体" w:hAnsi="宋体" w:eastAsia="宋体" w:cs="Times New Roman"/>
          <w:i w:val="0"/>
          <w:iCs w:val="0"/>
          <w:color w:val="000000"/>
          <w:sz w:val="24"/>
          <w:szCs w:val="24"/>
          <w:u w:val="none"/>
          <w:lang w:val="en-US" w:eastAsia="zh-CN"/>
        </w:rPr>
        <w:t xml:space="preserve">项目属性:货物类项目。</w:t>
      </w:r>
      <w:bookmarkEnd w:id="170"/>
      <w:r/>
      <w:bookmarkEnd w:id="171"/>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bookmarkStart w:id="172" w:name="_Toc20825"/>
      <w:r>
        <w:rPr>
          <w:rFonts w:hint="eastAsia" w:ascii="宋体" w:hAnsi="宋体" w:eastAsia="宋体" w:cs="Times New Roman"/>
          <w:b/>
          <w:bCs/>
          <w:i w:val="0"/>
          <w:iCs w:val="0"/>
          <w:color w:val="000000"/>
          <w:sz w:val="24"/>
          <w:szCs w:val="24"/>
          <w:u w:val="none"/>
          <w:lang w:val="en-US" w:eastAsia="zh-CN"/>
        </w:rPr>
        <w:t xml:space="preserve">一、项目概述</w:t>
      </w:r>
      <w:bookmarkEnd w:id="172"/>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3" w:name="_Toc97295831"/>
      <w:r>
        <w:rPr>
          <w:rFonts w:hint="eastAsia" w:ascii="宋体" w:hAnsi="宋体" w:eastAsia="宋体" w:cs="Times New Roman"/>
          <w:i w:val="0"/>
          <w:iCs w:val="0"/>
          <w:color w:val="000000"/>
          <w:sz w:val="24"/>
          <w:szCs w:val="24"/>
          <w:u w:val="none"/>
          <w:lang w:val="en-US" w:eastAsia="zh-CN"/>
        </w:rPr>
        <w:t xml:space="preserve">1、项目名称</w:t>
      </w:r>
      <w:bookmarkEnd w:id="173"/>
      <w:r>
        <w:rPr>
          <w:rFonts w:hint="eastAsia" w:ascii="宋体" w:hAnsi="宋体" w:eastAsia="宋体" w:cs="Times New Roman"/>
          <w:i w:val="0"/>
          <w:iCs w:val="0"/>
          <w:color w:val="000000"/>
          <w:sz w:val="24"/>
          <w:szCs w:val="24"/>
          <w:u w:val="none"/>
          <w:lang w:val="en-US" w:eastAsia="zh-CN"/>
        </w:rPr>
        <w:t xml:space="preserve">：</w:t>
      </w:r>
      <w:r>
        <w:rPr>
          <w:rFonts w:hint="eastAsia" w:ascii="宋体" w:hAnsi="宋体" w:cs="Times New Roman"/>
          <w:i w:val="0"/>
          <w:iCs w:val="0"/>
          <w:color w:val="000000"/>
          <w:sz w:val="24"/>
          <w:szCs w:val="24"/>
          <w:u w:val="none"/>
          <w:lang w:val="en-US" w:eastAsia="zh-CN"/>
        </w:rPr>
        <w:t xml:space="preserve">江苏省射阳中学智慧校园采购项目（二次）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2、采购内容：本项目为</w:t>
      </w:r>
      <w:r>
        <w:rPr>
          <w:rFonts w:hint="eastAsia" w:ascii="宋体" w:hAnsi="宋体" w:cs="Times New Roman"/>
          <w:i w:val="0"/>
          <w:iCs w:val="0"/>
          <w:color w:val="000000"/>
          <w:sz w:val="24"/>
          <w:szCs w:val="24"/>
          <w:u w:val="none"/>
          <w:lang w:val="en-US" w:eastAsia="zh-CN"/>
        </w:rPr>
        <w:t xml:space="preserve">江苏省射阳中学智慧校园采购项目（二次）</w:t>
      </w:r>
      <w:r>
        <w:rPr>
          <w:rFonts w:hint="eastAsia" w:ascii="宋体" w:hAnsi="宋体" w:eastAsia="宋体" w:cs="Times New Roman"/>
          <w:i w:val="0"/>
          <w:iCs w:val="0"/>
          <w:color w:val="000000"/>
          <w:sz w:val="24"/>
          <w:szCs w:val="24"/>
          <w:u w:val="none"/>
          <w:lang w:val="en-US" w:eastAsia="zh-CN"/>
        </w:rPr>
        <w:t xml:space="preserve">，本项目为</w:t>
      </w:r>
      <w:r>
        <w:rPr>
          <w:rFonts w:hint="eastAsia" w:ascii="宋体" w:hAnsi="宋体" w:cs="Times New Roman"/>
          <w:i w:val="0"/>
          <w:iCs w:val="0"/>
          <w:color w:val="000000"/>
          <w:sz w:val="24"/>
          <w:szCs w:val="24"/>
          <w:u w:val="none"/>
          <w:lang w:val="en-US" w:eastAsia="zh-CN"/>
        </w:rPr>
        <w:t xml:space="preserve">江苏省射阳中学智慧校园采购项目（二次）</w:t>
      </w:r>
      <w:r>
        <w:rPr>
          <w:rFonts w:hint="eastAsia" w:ascii="宋体" w:hAnsi="宋体" w:eastAsia="宋体" w:cs="Times New Roman"/>
          <w:i w:val="0"/>
          <w:iCs w:val="0"/>
          <w:color w:val="000000"/>
          <w:sz w:val="24"/>
          <w:szCs w:val="24"/>
          <w:u w:val="none"/>
          <w:lang w:val="en-US" w:eastAsia="zh-CN"/>
        </w:rPr>
        <w:t xml:space="preserve">，本次招标范围包括：AI跑步运动专用检测相机、交换机、路由器、电子班牌等设备进行采购。</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3、质量要求：合格</w:t>
      </w:r>
      <w:r/>
    </w:p>
    <w:p>
      <w:pPr>
        <w:ind w:firstLine="482"/>
        <w:jc w:val="left"/>
        <w:spacing w:line="360" w:lineRule="auto"/>
        <w:rPr>
          <w:rFonts w:hint="eastAsia" w:ascii="宋体" w:hAnsi="宋体" w:eastAsia="宋体" w:cs="Times New Roman"/>
          <w:b/>
          <w:bCs/>
          <w:i w:val="0"/>
          <w:iCs w:val="0"/>
          <w:color w:val="000000"/>
          <w:sz w:val="24"/>
          <w:szCs w:val="24"/>
          <w:u w:val="none"/>
          <w:lang w:val="en-US" w:eastAsia="zh-CN"/>
        </w:rPr>
      </w:pPr>
      <w:r>
        <w:rPr>
          <w:rFonts w:hint="eastAsia" w:ascii="宋体" w:hAnsi="宋体" w:eastAsia="宋体" w:cs="Times New Roman"/>
          <w:b/>
          <w:bCs/>
          <w:i w:val="0"/>
          <w:iCs w:val="0"/>
          <w:color w:val="000000"/>
          <w:sz w:val="24"/>
          <w:szCs w:val="24"/>
          <w:u w:val="none"/>
          <w:lang w:val="en-US" w:eastAsia="zh-CN"/>
        </w:rPr>
        <w:t xml:space="preserve">二、参数要求</w:t>
      </w:r>
      <w:r/>
    </w:p>
    <w:tbl>
      <w:tblPr>
        <w:tblStyle w:val="888"/>
        <w:tblW w:w="9637" w:type="dxa"/>
        <w:tblInd w:w="-1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9"/>
        <w:gridCol w:w="682"/>
        <w:gridCol w:w="6768"/>
        <w:gridCol w:w="689"/>
        <w:gridCol w:w="859"/>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r>
      <w:tr>
        <w:trPr>
          <w:trHeight w:val="760"/>
        </w:trPr>
        <w:tc>
          <w:tcPr>
            <w:gridSpan w:val="5"/>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智慧操场</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室外趣味体锻屏</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1.屏幕尺寸≥65英寸；屏幕比例：16:9；</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.屏幕亮度≥2000nit，屏幕亮度随环境光照变化自动调节；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.分辨率≥4K；屏体支架：采用1.5MM及以上镀锌钢板焊接而成，表面采用烤漆工艺并且喷涂防腐蚀涂层；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.★设备</w:t>
            </w:r>
            <w:r>
              <w:rPr>
                <w:rFonts w:hint="eastAsia" w:ascii="宋体" w:hAnsi="宋体" w:cs="宋体"/>
                <w:i w:val="0"/>
                <w:iCs w:val="0"/>
                <w:color w:val="000000"/>
                <w:sz w:val="21"/>
                <w:szCs w:val="21"/>
                <w:u w:val="none"/>
                <w:lang w:val="en-US" w:eastAsia="zh-CN" w:bidi="ar"/>
              </w:rPr>
              <w:t xml:space="preserve">散热</w:t>
            </w:r>
            <w:r>
              <w:rPr>
                <w:rFonts w:hint="eastAsia" w:ascii="宋体" w:hAnsi="宋体" w:eastAsia="宋体" w:cs="宋体"/>
                <w:i w:val="0"/>
                <w:iCs w:val="0"/>
                <w:color w:val="000000"/>
                <w:sz w:val="21"/>
                <w:szCs w:val="21"/>
                <w:u w:val="none"/>
                <w:lang w:val="en-US" w:eastAsia="zh-CN" w:bidi="ar"/>
              </w:rPr>
              <w:t xml:space="preserve">：支持自动监测机器内温度，当温度达到设定阈值时，自动开启内循环风扇和排风扇进行散热处理；（提供具有检验检测资质的第三方检测机构出具的检测报告加盖投标人公章）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二、AI摄像机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1.分辨率≥2688*1520；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2.★像素≥800万，1/3”，焦距&amp;视场角参数不低于2.7~13.5 mm：水平视场角：104°~41.2°，垂直视场角：54.2°~23.1°，对角视场角：126.5°-47.3°；（提供具有检验检测资质的第三方检测机构出具的检测报告加盖投标人公章）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三、软件功能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1.AI视觉人机交互：通过AI视觉识别人员手势，实现功能卡片切换、菜单层级跳转等操作。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2.双模式身份认证：未注册人员可直接以游客身份参与训练，已注册人员通过人脸识别参与训练。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3.★跳绳：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定时跳：AI实时监测至少7人同时跳绳，有效动作自动计数，误差±1个,实时响应速度：≤1.5s，音乐+大屏画面动效营造紧张的比赛氛围实时响应，运动大屏实时显示有效动作计数运动结束后，展示本次运动成绩排行运动数据自动同步，管理后台、小程序及其他终端设备多端可查（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定速跳：AI实时监测至少7人同时跳绳，实时计算跳绳速率，误差±1个/分钟,实时响应速度：≤1.5s，音乐+大屏画面动效营造紧张的比赛氛围实时响应，运动大屏实时显示跳绳速率运动结束后，展示本次运动成绩排行运动数据自动同步，管理后台、小程序及其他终端设备多端可查（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3）.定时跳：AI实时监测至少7人同时跳绳，支持一分钟、三分钟</w:t>
            </w:r>
            <w:r>
              <w:rPr>
                <w:rFonts w:hint="eastAsia" w:ascii="宋体" w:hAnsi="宋体" w:cs="宋体"/>
                <w:i w:val="0"/>
                <w:iCs w:val="0"/>
                <w:color w:val="000000"/>
                <w:sz w:val="21"/>
                <w:szCs w:val="21"/>
                <w:u w:val="none"/>
                <w:lang w:val="en-US" w:eastAsia="zh-CN" w:bidi="ar"/>
              </w:rPr>
              <w:t xml:space="preserve">计时</w:t>
            </w:r>
            <w:r>
              <w:rPr>
                <w:rFonts w:hint="eastAsia" w:ascii="宋体" w:hAnsi="宋体" w:eastAsia="宋体" w:cs="宋体"/>
                <w:i w:val="0"/>
                <w:iCs w:val="0"/>
                <w:color w:val="000000"/>
                <w:sz w:val="21"/>
                <w:szCs w:val="21"/>
                <w:u w:val="none"/>
                <w:lang w:val="en-US" w:eastAsia="zh-CN" w:bidi="ar"/>
              </w:rPr>
              <w:t xml:space="preserve">跳绳，有效动作自动计数，误差±1个/分钟,实时响应速度：≤1.5s，音乐+大屏画面动效营造紧张的比赛氛围实时响应，运动大屏实时显示跳绳有效动作计数运动结束后，展示本次运动成绩排行运动数据自动同步，管理后台、小程序及其他终端设备多端可查（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跳绳1V1：AI实时监测2人跳绳，有效动作自动计数，误差±1个,实时响应速度：≤1.5s，音乐+大屏画面动效营造紧张的比赛氛围实时响应，运动大屏实时显示有效动作计数运动结束后，展示本次运动成绩排行运动数据自动同步，管理后台、小程序及其他终端设备多端可查（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挑战排行榜：AI识别人员手势，选择全校、全年级、全班排行榜第一名进行挑战实时响应，运动大屏实时显示有效动作计数运动数据自动同步，管理后台、小程序及其他终端设备多端可查（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4.仰卧起坐：AI实时监测至少3人上同时仰卧起坐，有效动作自动计数，误差±0个,实时响应速度：≤1.5s对测试学生的违规动作进行检测</w:t>
            </w:r>
            <w:r>
              <w:rPr>
                <w:rFonts w:hint="eastAsia" w:ascii="宋体" w:hAnsi="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t xml:space="preserve">学生违规动作进行播报提醒；实时响应，运动大屏实时显示有效动作计数运动结束后，展示本次运动成绩排行支持排行榜展示学生该项目测试成绩排行数据；运动数据自动同步，管理后台、小程序及其他终端设备多端可查实时监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双肘未触膝</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背部未触垫</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双手未抱头</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等违规动作，并实时给出错误提示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立定跳远：AI实时监测立定跳远，自动识别有效距离，误差±0.1cm,实时响应速度：≤1.5s，实时响应，运动大屏实时显示有效距离运动结束后，现场分析起跳角度，摆臂幅度、起跳高度等同时展示本次运动成绩排行运动数据自动同步，管理后台、小程序及其他终端设备多端可查实时监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踩线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、“跳远区域多人”、“冲刺跳”、“单脚跳”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“二段跳”等违规动作，并实时给出错误提示（提供具有检验检测资质的第三方检测机构出具的检测报告加盖投标人公章）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开合跳：AI实时监测至少7人同时开合跳，有效动作自动计数，误差±0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高抬腿：AI实时监测至少7人同时高抬腿，有效动作自动计数，误差±1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深蹲：AI实时监测至少7人同时深蹲，有效动作自动计数，误差±1个,实时响应速度：≤1.5s，实时响应，运动大屏实时显示有效动作计数，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9.川普变脸：AI实时监测至少7人同时开始川普变脸趣味运动，游戏开始前设备需要进行玩法教学、运动过程中根据屏幕上显示内容做出对应</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动作，运动中有效动作自动计数，并且自动给出相应</w:t>
            </w:r>
            <w:r>
              <w:rPr>
                <w:rFonts w:hint="eastAsia" w:ascii="宋体" w:hAnsi="宋体" w:cs="宋体"/>
                <w:i w:val="0"/>
                <w:iCs w:val="0"/>
                <w:color w:val="000000"/>
                <w:sz w:val="21"/>
                <w:szCs w:val="21"/>
                <w:u w:val="none"/>
                <w:lang w:val="en-US" w:eastAsia="zh-CN" w:bidi="ar"/>
              </w:rPr>
              <w:t xml:space="preserve">得</w:t>
            </w:r>
            <w:r>
              <w:rPr>
                <w:rFonts w:hint="eastAsia" w:ascii="宋体" w:hAnsi="宋体" w:eastAsia="宋体" w:cs="宋体"/>
                <w:i w:val="0"/>
                <w:iCs w:val="0"/>
                <w:color w:val="000000"/>
                <w:sz w:val="21"/>
                <w:szCs w:val="21"/>
                <w:u w:val="none"/>
                <w:lang w:val="en-US" w:eastAsia="zh-CN" w:bidi="ar"/>
              </w:rPr>
              <w:t xml:space="preserve">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10.七上八下：AI实时监测至少7人同时开始七上八下趣味运动，游戏开始前设备需要进行玩法教学、运动过程中根据屏幕上显示内容做出对应</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动作，运动中有效动作自动计数，并且自动给出相应</w:t>
            </w:r>
            <w:r>
              <w:rPr>
                <w:rFonts w:hint="eastAsia" w:ascii="宋体" w:hAnsi="宋体" w:cs="宋体"/>
                <w:i w:val="0"/>
                <w:iCs w:val="0"/>
                <w:color w:val="000000"/>
                <w:sz w:val="21"/>
                <w:szCs w:val="21"/>
                <w:u w:val="none"/>
                <w:lang w:val="en-US" w:eastAsia="zh-CN" w:bidi="ar"/>
              </w:rPr>
              <w:t xml:space="preserve">得</w:t>
            </w:r>
            <w:r>
              <w:rPr>
                <w:rFonts w:hint="eastAsia" w:ascii="宋体" w:hAnsi="宋体" w:eastAsia="宋体" w:cs="宋体"/>
                <w:i w:val="0"/>
                <w:iCs w:val="0"/>
                <w:color w:val="000000"/>
                <w:sz w:val="21"/>
                <w:szCs w:val="21"/>
                <w:u w:val="none"/>
                <w:lang w:val="en-US" w:eastAsia="zh-CN" w:bidi="ar"/>
              </w:rPr>
              <w:t xml:space="preserve">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11.打蚊子：AI实时监测至少7人同时开始打蚊子趣味运动，游戏开始前设备需要进行玩法教学、运动过程中根据屏幕上显示内容做出对应</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动作，运动中有效动作自动计数，并且自动给出相应</w:t>
            </w:r>
            <w:r>
              <w:rPr>
                <w:rFonts w:hint="eastAsia" w:ascii="宋体" w:hAnsi="宋体" w:cs="宋体"/>
                <w:i w:val="0"/>
                <w:iCs w:val="0"/>
                <w:color w:val="000000"/>
                <w:sz w:val="21"/>
                <w:szCs w:val="21"/>
                <w:u w:val="none"/>
                <w:lang w:val="en-US" w:eastAsia="zh-CN" w:bidi="ar"/>
              </w:rPr>
              <w:t xml:space="preserve">得</w:t>
            </w:r>
            <w:r>
              <w:rPr>
                <w:rFonts w:hint="eastAsia" w:ascii="宋体" w:hAnsi="宋体" w:eastAsia="宋体" w:cs="宋体"/>
                <w:i w:val="0"/>
                <w:iCs w:val="0"/>
                <w:color w:val="000000"/>
                <w:sz w:val="21"/>
                <w:szCs w:val="21"/>
                <w:u w:val="none"/>
                <w:lang w:val="en-US" w:eastAsia="zh-CN" w:bidi="ar"/>
              </w:rPr>
              <w:t xml:space="preserve">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打钉专家：AI实时监测至少7人同时开始打钉专家趣味运动，游戏开始前设备需要进行玩法教学、运动过程中根据屏幕上显示内容做出对应的动作，运动中有效动作自动计数，并且自动给出相应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石头剪刀布：AI实时监测至少7人同时开始石头剪刀布趣味运动，游戏开始前设备需要进行玩法教学、运动过程中根据屏幕上显示内容做出对应的动作，运动中有效动作自动计数，并且自动给出相应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痛击地鼠：AI实时监测至少7人同时开始痛击地鼠趣味运动，游戏开始前设备需要进行玩法教学、运动过程中根据屏幕上显示内容做出对应的动作，运动中有效动作自动计数，并且自动给出相应得分,实时响应速度：≤1.5s实时响应，运动大屏实时显示有效动作得分，运动结束后，展示本次运动成绩排行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趣味PK功能：学生进入检测区域，通过手势选择趣味PK功能，AI相机进行人脸识别。识别完成后系统根据PK人员的年级、性别、运动能力进行匹配实力相近的对手，匹配完成即可开始PK，PK运动中实时显示运动成绩，领先或者落后有对应</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反馈，运动结束后展示最后结果，运动数据自动同步，管理后台、小程序及其他终端设备多端可查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运动数据管理：成绩展示与同步：运动结束后展示成绩排行，数据自动同步至管理后台、小程序等多终端。排行榜功能：可查看个人与班级各项目训练排行。设备数据同步：设备端与服务器同步人员信息、人脸照片、组织信息、训练记录等数据。（提供具有检验检测资质的第三方检测机构出具的检测报告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室外运动地垫</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1.规格:30.48CM*30.48CM*1.45CM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2.产品颜色：红色、黄色、蓝色、绿色(颜色可任意定制)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3.产品特点：产品自己连接卡扣、面板采用圆层纹路，边缘处做了圆角防护。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4.适用场地：全天候室内外运动场地、幼儿园篮球场、羽毛球场、排球场等运动休闲场地。</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AI跑步运动专用检测相机</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1.像素≥400万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最大图像尺寸≥2560×1440</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.宽动态：支持真宽动态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焦距：4.8 mm~110 mm，≥23倍光学变倍</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供电方式：支持12V DC 和PoE两种供电方式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工作环境：-30℃至60℃，湿度小于95%</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跑步运动AI算法及服务</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1.成绩自动检测：具备计圈功能，能自动检测跑步圈数，精准记录跑步过程中的圈数信息，为成绩统计提供准确数据支持。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2.全视觉解决方案：采用全视觉技术，无需学生穿戴任何设备，即可完成跑步过程中的各项数据采集与分析，提升使用便捷性。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3.团队/个人跑圈支持：支持团队跑圈训练和个人跑圈训练两种模式，可根据实际需求灵活切换，满足不同训练场景的需求。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4.实时响应保障：实时响应速度快，≤1.5s，能快速处理跑步过程中的各类数据和指令，确保信息反馈及时。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5.★高密度测试能力：支持最多50人高密度方阵测试，可同时对上千学生进行跑步数据采集和分析，适用于集体测试场景。（提供具有检验检测资质的第三方检测机构出具的检测报告加盖投标人公章）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6.多场景适配：可直接应用于学生阳光晨跑、大课间跑操、可在后台直接设置定时开启跑操任务，学生随到随测。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7.智能自动识别：使用无感人脸识别技术，在学生跑步过程中自动完成身份认证，同步捕捉跑步信息，实时计算并生成总里程、耗时及配速等数据，实现运动数据全自动化采集与计算。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8.无感高效识别：学生跑步时无需停顿、刻意看摄像头或做其他无关动作，系统即可全程完成无感身份识别、数据采集与成绩实时上传，人脸识别准确率不低于98%。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9.全面作弊检测：操场布置多个识别区，通过多区联动识别判断学生是否完成完整跑步。只有在相邻无感识别区依次完成有效识别，相应里程才会被计入总里程，有效杜绝作弊。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抄近道精准识别：建立识别区顺序校验机制，若学生未按预设顺序经过识别区，其对应里程将不纳入总里程统计，保障跑步路径规范。（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11.★速度异常过滤：设置速度阈值判断机制，自动过滤速度过快或过慢的运动记录，相应里程不计入总里程，确保运动数据合理。（提供具有检验检测资质的第三方检测机构出具的检测报告加盖投标人公章）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12.违规区域监控：划定规范跑步区域，对超出该区域的运动记录进行识别并过滤，对应里程不计入总里程，保证跑步在指定区域内进行。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13.配速灵活管控：系统后台支持配速参数管理，可设置相邻识别区通过的最短时长、最长离线时间等，通过参数调控确保跑步配速合理。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14.里程限制设置：提供里程限制功能，可在后台设定单日、周最大里程，且能按性别分别设置男生、女生的最大里程，满足不同群体的运动管理需求。</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 采用国际标准低硅低碳高强度钢材，确保抗风、抗震性能。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壁厚范围：主杆壁厚4mm-12mm，底部法兰厚度≥14mm，增强结构稳定性。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防腐处理：表面经热浸锌处理，可选喷塑工艺（颜色定制），喷塑层厚度≥65μm。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尺寸规格  高度范围≥3.5米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杆体形状：八棱形横截面，可选等径、</w:t>
            </w:r>
            <w:r>
              <w:rPr>
                <w:rFonts w:hint="eastAsia" w:ascii="宋体" w:hAnsi="宋体" w:cs="宋体"/>
                <w:i w:val="0"/>
                <w:iCs w:val="0"/>
                <w:color w:val="000000"/>
                <w:sz w:val="21"/>
                <w:szCs w:val="21"/>
                <w:u w:val="none"/>
                <w:lang w:val="en-US" w:eastAsia="zh-CN" w:bidi="ar"/>
              </w:rPr>
              <w:t xml:space="preserve">锥形</w:t>
            </w:r>
            <w:r>
              <w:rPr>
                <w:rFonts w:hint="eastAsia" w:ascii="宋体" w:hAnsi="宋体" w:eastAsia="宋体" w:cs="宋体"/>
                <w:i w:val="0"/>
                <w:iCs w:val="0"/>
                <w:color w:val="000000"/>
                <w:sz w:val="21"/>
                <w:szCs w:val="21"/>
                <w:u w:val="none"/>
                <w:lang w:val="en-US" w:eastAsia="zh-CN" w:bidi="ar"/>
              </w:rPr>
              <w:t xml:space="preserve">或变径设计，造型流畅美观。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垂直度偏差：≤0.5%-1.0%，确保安装精度。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抗风抗震能力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抗风等级：设计风载23m/s²，可抵抗8级风力。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抗震等级：5级-6级抗震设防，适应复杂地质环境。</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查询发布设备</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1.尺寸：≥108寸；像素构成1R.1G.1B，封装方式SMD表贴三合一</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模组尺寸：320*160mm；屏体分辨率≥80*40，模组重量≥404g；配置校级智慧体育数据分析与查看功能，可查看校级整体数据情况，包含实时运动量、开课次数、开课人数、开课班级数等维度数据；支持校方各级人员查看各项目实时使用情况，可查看各运动项目实时排行榜单，并支持根据年级/性别等类别进行分类查看排行榜单，可在榜单中查看对应学生运动视频回放及动作关键帧；支持运动风云榜分周榜、月榜、学期榜进行查看；支持通知栏展示，并支持后台自定义设置通知栏内容；</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★阳光跑无人跑步的情况下，可自动轮播排行榜或者学校制定的其他画面（提供具有检验检测资质的第三方检测机构出具的检测报告加盖投标人公章）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若学校未制定展示画面，可展示阳光跑及各运动项目的个人排行和班级排行，支持按时间、性别、年级等多个维度查询，并同时统计运动时长和运动人次（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阳光跑开启后，可实时统计参与人数、学生参与率、平均跑步时长、平均跑步距离等，并可实时展示跑步距离-速度实况及跑步距离/速度排名（提供具有检验检测资质的第三方检测机构出具的检测报告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100米跑设备</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1.全视觉解决，无需穿戴设备；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2支持团队/个人跑圈训练；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3.实时响应速度：≤1.5s；</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24个10/100/1000Base-T以太网端口，4个1G/2.5G SFP光口；交换容量≥672Gbps/6.72Tbps，包转发率≥126Mpps/179Mpps，支持全端口线速转发；支持NMC/vNMC/NAC/SAC统一管理及自动生成智能拓扑、统一查看状态、VLAN等配置管理；</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箱</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RVV电线电缆 国标纯铜环保 RVV3*2.5</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智慧体育系统</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numPr>
                <w:ilvl w:val="0"/>
                <w:numId w:val="2"/>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管理：提供全面的学生信息管理功能，支持批量导入、导出学生信息与照片，能查看照片上传记录。具备批量转班、停用、数据同步（批量及全量）功能，还可对学生信息进行添加、编辑、删除人脸、停用、启用、权限查看、详情查看等操作。（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2.教师管理：实现教师信息的高效管理，可批量导入导出教师信息，进行批量</w:t>
            </w:r>
            <w:r>
              <w:rPr>
                <w:rFonts w:hint="eastAsia" w:ascii="宋体" w:hAnsi="宋体" w:cs="宋体"/>
                <w:i w:val="0"/>
                <w:iCs w:val="0"/>
                <w:color w:val="000000"/>
                <w:sz w:val="21"/>
                <w:szCs w:val="21"/>
                <w:u w:val="none"/>
                <w:lang w:val="en-US" w:eastAsia="zh-CN" w:bidi="ar"/>
              </w:rPr>
              <w:t xml:space="preserve">应用</w:t>
            </w:r>
            <w:r>
              <w:rPr>
                <w:rFonts w:hint="eastAsia" w:ascii="宋体" w:hAnsi="宋体" w:eastAsia="宋体" w:cs="宋体"/>
                <w:i w:val="0"/>
                <w:iCs w:val="0"/>
                <w:color w:val="000000"/>
                <w:sz w:val="21"/>
                <w:szCs w:val="21"/>
                <w:u w:val="none"/>
                <w:lang w:val="en-US" w:eastAsia="zh-CN" w:bidi="ar"/>
              </w:rPr>
              <w:t xml:space="preserve">与数据同步（批量及全量）。支持对教师信息进行添加、修改、删除人脸、重置密码、停用、启用、权限查看、详情查看等操作。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3.班级管理：班级管理模块涵盖添加年级与班级功能，可对班级信息进行停用/启用、编辑、查询等操作。以树形结构维护班级信息，包含班级名称、班级口令、上级组织、启用状态等内容。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4.学期管理：支持对学期信息进行增加、修改、停用、启用、查询等操作。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5.角色管理：对角色信息进行新增、停用/启用、编辑、查询、权限配置等管理。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6.评分规则：可针对各个运动项目进行评分规则的配置，包括新增、修改、查询、停用/启用等功能。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7.应用管理：对物联网终端应用程序进行新增、发布/取消发布、编辑、查询、详情查看等管理。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8.项目管理：可查询运动项目信息，并提供在线学习功能。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9.参数配置：对系统参数信息进行新增、删除、编辑、查询、详情查看等管理。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作业管理：支持对体育作业进行查询和详情查看。详情信息包含基础信息（作业名称、体育老师、年级和班级、发布时间、提交截止时间、提交和未提交人数、提交率、作业时长、平均运动时长、完成率等）和学生作业详情（学生提交信息、运动时长、老师点评、点赞和红花数量等），还可查看每个学生的作业运动详情。（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11.学生运动记录：支持查询和查看学生体育作业的运动记录，包括成绩、运动关键图片、运动视频等。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12.学生作业统计：支持对学生提交作业情况进行统计查询和查看，可查看每个学生作业详情信息，如学生提交信息、运动时长、老师点评、点赞和红花数量等。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个人档案：可查看学生的体育运动总览，包含学生基础信息、累计运动时长及排名（班级、年级、总排名）、累计运动次数及排名（班级、年级、总排名）、运动项目、运动天数、运动时长最长日期、单次运动最长时间、平均运动时长、运动次数最多与最少运动、运动时长最长与最短运动、排名最好运动等。还能查看各运动项目按时长和次数的排行、运动时长和次数趋势、各个运动项目的运动概况、运动时长和次数趋势、运动平均成绩趋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成绩查询：可查询各种运动项目每位学生的成绩情况，支持批量导出功能，能按多种条件组合查询。可查看所有运动人员详情，包括学生基础信息、成绩信息、得分、评级、运动关键图片、运动视频、主要活动肌群、运动评价和提升建议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创纪录</w:t>
            </w:r>
            <w:r>
              <w:rPr>
                <w:rFonts w:hint="eastAsia" w:ascii="宋体" w:hAnsi="宋体" w:eastAsia="宋体" w:cs="宋体"/>
                <w:i w:val="0"/>
                <w:iCs w:val="0"/>
                <w:color w:val="000000"/>
                <w:sz w:val="21"/>
                <w:szCs w:val="21"/>
                <w:u w:val="none"/>
                <w:lang w:val="en-US" w:eastAsia="zh-CN" w:bidi="ar"/>
              </w:rPr>
              <w:t xml:space="preserve">成绩：可查询查看各个体育项目的</w:t>
            </w:r>
            <w:r>
              <w:rPr>
                <w:rFonts w:hint="eastAsia" w:ascii="宋体" w:hAnsi="宋体" w:cs="宋体"/>
                <w:i w:val="0"/>
                <w:iCs w:val="0"/>
                <w:color w:val="000000"/>
                <w:sz w:val="21"/>
                <w:szCs w:val="21"/>
                <w:u w:val="none"/>
                <w:lang w:val="en-US" w:eastAsia="zh-CN" w:bidi="ar"/>
              </w:rPr>
              <w:t xml:space="preserve">创纪录</w:t>
            </w:r>
            <w:r>
              <w:rPr>
                <w:rFonts w:hint="eastAsia" w:ascii="宋体" w:hAnsi="宋体" w:eastAsia="宋体" w:cs="宋体"/>
                <w:i w:val="0"/>
                <w:iCs w:val="0"/>
                <w:color w:val="000000"/>
                <w:sz w:val="21"/>
                <w:szCs w:val="21"/>
                <w:u w:val="none"/>
                <w:lang w:val="en-US" w:eastAsia="zh-CN" w:bidi="ar"/>
              </w:rPr>
              <w:t xml:space="preserve">成绩，并支持导出功能。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驾驶舱：驾驶舱主要展示体育运动总览，支持按时间（本学年、本学期、本月、本周等）、班级、运动项目、运动模式等进行组合筛选。展示内容包括运动项目数、老师人数、学生人数、总运动时长、总运动人次等；统计全部运动项目的运动时长或次数随时间变化的趋势；各项目根据运动时长或次数统计运动排行榜；学生或班级根据运动时长或次数统计运动排行榜；统计各运动项目运动成绩随时间变化的趋势；统计各运动项目运动成绩分布；学生或班级成绩排行榜。（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17.成绩详情与报告：支持查看测试项目的成绩、分数、等级、姿态指标、肌群分析、运动点评及建议、视频回放、动作关键帧等内容，还能生成定制化运动处方报告。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18.★体质监测：支持按照年</w:t>
            </w:r>
            <w:r>
              <w:rPr>
                <w:rFonts w:hint="eastAsia" w:ascii="宋体" w:hAnsi="宋体" w:eastAsia="宋体" w:cs="宋体"/>
                <w:i w:val="0"/>
                <w:iCs w:val="0"/>
                <w:color w:val="000000"/>
                <w:sz w:val="21"/>
                <w:szCs w:val="21"/>
                <w:u w:val="none"/>
                <w:lang w:val="en-US" w:eastAsia="zh-CN" w:bidi="ar"/>
              </w:rPr>
              <w:t xml:space="preserve">级、班级、性别、等级、姓名、学生编号等进行学生信息查询；支持导入以及导出体测成绩。支持查看以及修改单个学生的体质健康测试成绩，包括身高、体重、肺活量、50米跑、 坐位体前屈、跳绳。支持按照班级查询体测成绩以及导出数据。包括但不限于以下模块：数据概览：查看每个年级所有班级体测完成情况、成绩等级分布情况等。数据明细：查看每个班级的体测完成情况、成绩等级分布情况等，支持按班 级导出数据。数据分析：以图表的形式呈现体测完成情况以及成绩等级分布情况。（提供具有检验检测资质的第三方检测机构出具的检测报告加盖投标人公章）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19.数据上传：支持身高体重、肺活量等数据测试完成后直接上传至学生档案中，无需人员逐个填写、</w:t>
            </w:r>
            <w:r>
              <w:rPr>
                <w:rFonts w:hint="eastAsia" w:ascii="宋体" w:hAnsi="宋体" w:cs="宋体"/>
                <w:i w:val="0"/>
                <w:iCs w:val="0"/>
                <w:color w:val="000000"/>
                <w:sz w:val="21"/>
                <w:szCs w:val="21"/>
                <w:u w:val="none"/>
                <w:lang w:val="en-US" w:eastAsia="zh-CN" w:bidi="ar"/>
              </w:rPr>
              <w:t xml:space="preserve">身高体重</w:t>
            </w:r>
            <w:r>
              <w:rPr>
                <w:rFonts w:hint="eastAsia" w:ascii="宋体" w:hAnsi="宋体" w:eastAsia="宋体" w:cs="宋体"/>
                <w:i w:val="0"/>
                <w:iCs w:val="0"/>
                <w:color w:val="000000"/>
                <w:sz w:val="21"/>
                <w:szCs w:val="21"/>
                <w:u w:val="none"/>
                <w:lang w:val="en-US" w:eastAsia="zh-CN" w:bidi="ar"/>
              </w:rPr>
              <w:t xml:space="preserve">、肺活量支持多台设备同时测试，数据可同时上传。</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20.教学管理：支持体育老师上传教学训练课程视频，学生可自主查看进行跟练，同时支持对体育老师进行考勤管理，响应国家每天一节体育课要求，让体育老师的教学有迹可循。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21.运动数据生成：支持将运动视频自动保存并按照周/月格生成，视频中可将运动情况进行总结，视频可展示各项运动</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优秀人员运动过程。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22.数据呈现：支持PC、手机、平板端查看学生运动成绩，家长端可查询孩子运动成绩以及老师布置</w:t>
            </w:r>
            <w:r>
              <w:rPr>
                <w:rFonts w:hint="eastAsia" w:ascii="宋体" w:hAnsi="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u w:val="none"/>
                <w:lang w:val="en-US" w:eastAsia="zh-CN" w:bidi="ar"/>
              </w:rPr>
              <w:t xml:space="preserve">作业。</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智慧操场系统调试服务</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包含技术人员现场指导产品调试、人员培训服务，软件维护等等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gridSpan w:val="5"/>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电子班牌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电子班牌（核心产品）</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1.★采用21.5英寸横屏式电容显示屏，支持10点触控，屏幕分辨率≥1920*1080，显示比例16:9；屏幕亮度≥500cd/㎡。系统运行内存不低于2GB，存储容量不低于16GB；操作系统版本不低于Android 9.0。（提供具有检验检测资质的第三方检测机构出具的检测报告加盖投标人公章）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屏体采用宽温液晶屏，屏体工作温度区间跨度不小于零下20°C-80°C。整机软硬件设计可兼容横竖屏壁挂，无需增加其它配件，适用于不同空间场景的需求。（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3.具备≥两条LED状态指示灯，支持通过状态指示灯不同颜色的变化，便于甄别场地的不同占用状态。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4.★整机采用防水防尘结构设计，适用于学校教室半户外环境，防护等级不低于IP65。（提供具有检验检测资质的第三方检测机构出具的检测报告加盖投标人公章）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5.整机背部与墙面微距全贴合，背面与平整墙面间隙最大处≤2.5mm，保障教学环境的安全性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整机最大厚度不大于33mm，正面覆盖钢化玻璃，正面不采用贴膜方式,具备防眩光功能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可拍摄不低于200W像素的照片，支持不少于10人同时进行人脸识别</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整机在逆光（人像处于背景照度≥80000Lux）环境下距离≤0.5m可正常进行人脸识别。</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.★整机内置红外补光灯和双目摄像头，能同时打开彩色和黑白照片，具备活体检测功能。（提供具有检验检测资质的第三方检测机构出具的检测报告加盖投标人公章）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.内置高灵敏度的全向麦克风，拾音半径不小于0.5m，内置2.0立体声道功放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刷卡器：具有内置IC卡刷卡器，支持14443协议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整机具备至少一路RJ45网络接口；具备不少于2路USB 2.0接口。整机采用内置天线设计，无任何天线外露。</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.★整机支持外接门禁控制，支持韦根协议、BLE、I/O接口。（提供具有检验检测资质的第三方检测机构出具的检测报告加盖投标人公章）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.整机电源采用插墙式电源适配器，适配器无需悬挂，线材上出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支持远程开关机功能，远程唤醒待机功耗≤2W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整机支持自动感光调节屏幕亮度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班牌支持巡课调用多媒体设备画面（非摄像头拍摄画面），满足管理者课堂外监管教学内容需求；</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AI课后学</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学校自主创建AI课后学，可以创建主题探究、人物对话、学科宝典三种不同类型，主题探究可以选择学段、学科、探究主题进行创建，人物对话可以选择学段、学科、对话人物进行创建，学科宝典可以选择学段、学科、学科内容进行创建，支持覆盖主要学科，支持覆盖高中等学段；可通过高级设置添加开场白、预设问题、背景图片等内容；（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学校统一进行AI课后学的可用时间设置，可以添加不少于20个可用时间段，限制学生仅在学校设置的可用时间段内使用AI课后学功能，其余时间不允许使用；学校可以控制每一个AI课后学模块的显示与隐藏；（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3.★系统内提供不少于15个AI课后学内容，包含但不限于建设虾稻共生生态系统、城市热岛效应探究等热门内容；（提供具有检验检测资质的第三方检测机构出具的检测报告加盖投标人公章）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AI课后学使用：学生可通过班牌人脸识别、刷卡验证进入AI课后学模块，支持通过键盘和语音输入与AI课后学进行对话生成内容，学生可以选择通过预设问题进行提问；AI课后学只生成相关主题内容，如提问无关内容，仅能回答相关问题；（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5.▲支持万能英语词典，提供英语音标、词性、教材例句、高考真题、词汇搭配、同义词 / 反义词等内容；支持古诗词大全，提供诗词解析、创作背景、考点聚焦、文化拓展、探究任务等内容；支持历史百科全书，提供时空定位、考点聚焦、中外对比、探究任务等内容；（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6.支持学校自主创建AI小应用，可以通过输入设定描述自主创建AI小应用；可通过高级设置添加开场白、预设问题、背景图片等内容；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AI小应用功能：支持学雷锋小课堂，提供认识雷锋、钉子精神、奉献精神、集体主义、勤俭节约等内容；支持环境保护小学堂，提供垃圾分类、节约资源、防治环境污染等内容；支持安全小卫士，提供校园安全、交通安全、居家安全、网络安全、水域安全、应急安全等内容；支持健康小博士，提供饮食健康、运动健康、心理阳光、睡眠健康、疾病预防等内容；</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智慧班牌系统</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套应用系统基于SaaS布局，应用界面采用B/S架构设计，支持学校管理者在Windows、Linux、Android、IOS等多种不同的操作系统上通过网页浏览器登录进行所有管理指令操作。家长通过常用移动通讯应用工具即可实现家校互通，通知消息接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2.系统可在后台发布班牌展示信息内容，支持照片、视频、新闻、公告、电子欢迎横幅、PDF、第三方链接等类型，内容支持图文混合排版。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3.信息发布具备定向发布功能，可按照全校、班级层级进行定向信息推送。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4.★联动校宣：发布的校级图片、视频、新闻、公告，可同时传到班牌和一体机（安装校园信息视窗软件）上展示。（提供具有检验检测资质的第三方检测机构出具的检测报告加盖投标人公章）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5.设置屏保模式后，班牌长时间处于无人操作状态下将自动切换至屏幕保护模式，屏保模式下可选择全校、班级相册轮播、置顶已发布公告等多种内容展示。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内置超过200张屏保云图，分属于不同的云图库（如：卫生健康、党建文化、科普知识等），用户可以选择需要的云图库作为班牌屏保。（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7.新闻公告、相册、视频、海报功能均支持霸屏发布，在指定时间段内霸屏内容全屏展示。（提供具有检验检测资质的第三方检测机构出具的检测报告加盖投标人公章）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公告发布支持家长提交回执设置，打开需要家长回执开关后，微信公众号会实时通知家长公告消息，老师可以在小程序实时查看家长提交回执明细。（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9.支持发布校级重要公告，新增公告内容同步在全校班牌置顶展示。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10.系统内置超过20套公告模板（如：家长会通知、寒暑假通知等），可供用户发布公告时套用。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11.系统内置50+海报模板（如，欢迎模式，卫生健康，校园风采，通知公告等），支持用户自定义修改背景及文案。同时可以自定义管理海报分类。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12.支持以校级或班级为单位发布事件倒计时，可编辑事件名称和倒计时截止时间，事件剩余时间在班牌实时显示，可同时发布不少于3个事件倒计时。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13.支持发布班级值日安排，可在班牌显示当日对应的值日生名单。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14.学生、教师可在班牌查看对应课程表；班牌智能高亮标记显示今日课程及当前进行的课程，便于学生教师查看。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提供学生日循环考勤、单次事件考勤、课程考勤等考勤规则模式，可设置考勤事件的名称、起始时间、考勤人员范围。考勤时间段内班牌显示内容自动切换为考勤模式，实时显示应到学生、已到学生的数量及名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人脸识别考勤功能支持离线识别，无网络环境下班牌仍可以进行人脸识别考勤，高级考勤模式支持考勤对象在多个场地中的任意一个场地考勤。（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17.班牌可显示对应场地的历史考勤记录，可按日查看考勤事件的名称、考勤时间、考勤结果，考勤结果按准点、迟到、缺勤、请假等状态分类展示考勤名单，突出标识迟到或缺勤人员。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学生考勤结果可自动推送至家长手机端，供家长查看学生考勤信息。支持考勤结束后自动推送考勤结果给管理员、班主任和任课老师，同时老师可设置关闭通知开关。（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支持教师授课考勤，教师通过人脸识别或手机扫描所在班级班牌的二维码完成授课考勤。考勤结果支持按日查询，可查看每名教师的打卡时间及考勤状态，总览教师授课出勤准点率等情况。针对指定课程，可设置教师与学生同时进行考勤，也可只对学生或教师单独进行考勤。</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1.系统提供基础信息库，包含教师、班级、学生、场地、一卡通等数据，支持电子表格批量导入或手工导入。提供考试信息库，包含考场号、场地、考试时间、科目等数据，支持电子表格批量导入或手工导入。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2.系统支持家长通过老师分享的班级号、微信邀请链接或者二维码三种方式加入孩子的班级。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3.支持管理员、年级级长和班主任多层级角色和权限管理，可以自定义年级级长和管理员权限，一个班级可以设置不少于3位班主任；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考场模式：班牌显示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该项为演示项，不作为技术参数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在云班后台将可用来预约的场地开启场地预约，然后老师即可在云班后台发起场地预约。同时班牌端会显示当前场地近两周的预约占用情况。（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自定义德育督导班级评分标准，按全校、年级或班级设置评价维度，老师可以通过后台导入、手机小程序或班牌端扫码对班级进行评分。同时支持学生在班牌端刷脸或刷卡进行评分。可按日、周、月查看班级总分，可以柱状图查看各评价维度的分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7.班级评分支持班牌展示过去一周、一月的本班评分名次，及全校前三名的光荣班级，激励学生自觉维护班级荣誉，提升学生综合素质。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8.支持批量为班级颁发具备有效期限的流动红旗，获奖班级班牌界面使用荣誉班级专用主题风格。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9.★班牌可连接对应场地内的网络摄像头和录播设备，在班牌即可</w:t>
            </w:r>
            <w:r>
              <w:rPr>
                <w:rFonts w:hint="eastAsia" w:ascii="宋体" w:hAnsi="宋体" w:cs="宋体"/>
                <w:i w:val="0"/>
                <w:iCs w:val="0"/>
                <w:color w:val="000000"/>
                <w:sz w:val="21"/>
                <w:szCs w:val="21"/>
                <w:u w:val="none"/>
                <w:lang w:val="en-US" w:eastAsia="zh-CN" w:bidi="ar"/>
              </w:rPr>
              <w:t xml:space="preserve">查</w:t>
            </w:r>
            <w:r>
              <w:rPr>
                <w:rFonts w:hint="eastAsia" w:ascii="宋体" w:hAnsi="宋体" w:eastAsia="宋体" w:cs="宋体"/>
                <w:i w:val="0"/>
                <w:iCs w:val="0"/>
                <w:color w:val="000000"/>
                <w:sz w:val="21"/>
                <w:szCs w:val="21"/>
                <w:u w:val="none"/>
                <w:lang w:val="en-US" w:eastAsia="zh-CN" w:bidi="ar"/>
              </w:rPr>
              <w:t xml:space="preserve">看教室内的上课画面，实现电子可视化巡课；可在单个班牌切换查看多个班级部署可视化巡课系统的课堂画面。（提供具有检验检测资质的第三方检测机构出具的检测报告加盖投标人公章）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10.支持管理系统与学生行为评价软件账号的单点登录、数据互通，教师对学生进行评价后，相应的分数会实时同步至班牌。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11.支持班级名称更新，学年结束后管理员可一键升级全校班牌的班级名称，如“一年级一班”自动升级为“二年级一班”，管理员也可一键将毕业年级升级为毕业班。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12.班牌投票：支持老师在手机端发布投票到班牌，然后学生可以在班牌端通过刷脸或刷卡进行投票表决。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13.支持学校管理员或班主任在微信端编辑并发起问卷，家长在微信端填写问卷（如：体温打卡）后，即可实现信息回传给学校，学校老师可以在云班后台或微信端实时查看家长提交的数据。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14.班牌端录入人脸识别照片：老师在班牌端扫码后，即可进入人脸照片录入界面，可依次让学生直接在班牌上拍照上传人脸识别照片。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15.系统支持设定班牌定时开关机管理策略，支持对班牌批量设置多组自动开关机时间策略，可实现班牌每天执行不同的开关机时间策略，满足学校灵活管理设备的需求。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16.针对周末临时调课和节假日情况，支持在班牌开机且联网状态下设置临时开关机计划以满足学校灵活管理设备的需求。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17.班牌处于预设关机状态时，因特殊情况开机后，系统自动提示用户是否保持班牌的开机状态，缓冲时间截止前无人操作，班牌自动恢复关机状态。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18.班牌内置不少于20套主题皮肤，可在班牌或手机端进行预览和设置，以满足班级个性化展示需求。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涉及解除触控锁定、绑定教室、系统设置（网络设置、解绑教室）、退出软件和重启设备的设置或操作时，均需进行用户身份二维码扫描认证。（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20.支持在后台查看班牌的开关机、联网情况等运行状态；支持远程对班牌进行场地解绑、场地更换、设备重启等操作。</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电子班牌安装调试</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包含技术人员现场指导产品调试、人员培训服务，软件维护等等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60"/>
        </w:trPr>
        <w:tc>
          <w:tcPr>
            <w:gridSpan w:val="5"/>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无线覆盖</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1、整机吞吐:1Gbps,最大并发数:50万,最大新建数:2万/秒；2、1U机架式，CPU：≥4核，内存：≥8GB，数据硬盘：≥64G SSD，系统存储：≥64GB EMMC，电源规格：单电源（额定功率≥40W），风扇数：≥1个。网络接口：千兆电口≥8个(含1组电口Bypass），千兆光口≥4个，不带光模块，接口扩展槽：无，Console接口（RJ45）≥1个，USB 2.0≥2个。</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二级等保测评</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二级等保测评</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55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8口POE千兆交换机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交换容量 交换容量≥432Gbps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包转发率 包转发率≥141Mpps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端口类型 千兆POE+以太电口≥8个；2.5GE POE++以太电口≥4个；万兆光接口≥2个</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POE POE供电能力≥125W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POE增强 支持永久POE功能，交换机重启时（如软件版本升级时重启），对下挂 PD 设备供电不会中断，保证交换机重启过程中 PD 不掉电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二层功能 支持MAC地址≥16K</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支持4K VLAN</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以太环网保护 支持 ERPS 以太环保护协议（G.8032）</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 STP（IEEE 802.1d），RSTP（IEEE 802.1w）协议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三层功能 支持静态路由，策略路由，FIBv4 条目≥256个</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组播 支持IGMP v1/v2/v3 Snooping。</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SC光模块</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汇聚交换机24光口管理型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1、交换容量 交换容量≥672Gbps。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2、包转发率 包转发率≥171Mpps。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3、业务端口类型 千兆光口≥24个，其中8个端口为千兆Combo端口；万兆光口（SFP+）≥4。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4、堆叠端口 支持堆叠功能，设备自身具备高速专用堆叠端口；专用堆叠端口≥2个；堆叠端口速率≥10Gbps；最大堆叠数量9台。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5、电源 设备支持可插拔双电源模块，支持 1+1 电源备份。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6、长期运行温度 设备能够长期在-5°C ~ +50°C温</w:t>
            </w:r>
            <w:r>
              <w:rPr>
                <w:rFonts w:hint="eastAsia" w:ascii="宋体" w:hAnsi="宋体" w:cs="宋体"/>
                <w:i w:val="0"/>
                <w:iCs w:val="0"/>
                <w:color w:val="000000"/>
                <w:sz w:val="21"/>
                <w:szCs w:val="21"/>
                <w:u w:val="none"/>
                <w:lang w:val="en-US" w:eastAsia="zh-CN" w:bidi="ar"/>
              </w:rPr>
              <w:t xml:space="preserve">度范</w:t>
            </w:r>
            <w:r>
              <w:rPr>
                <w:rFonts w:hint="eastAsia" w:ascii="宋体" w:hAnsi="宋体" w:eastAsia="宋体" w:cs="宋体"/>
                <w:i w:val="0"/>
                <w:iCs w:val="0"/>
                <w:color w:val="000000"/>
                <w:sz w:val="21"/>
                <w:szCs w:val="21"/>
                <w:u w:val="none"/>
                <w:lang w:val="en-US" w:eastAsia="zh-CN" w:bidi="ar"/>
              </w:rPr>
              <w:t xml:space="preserve">围内稳定运行。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7、散热 风冷散热，风扇支持智能调速。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8、二层功能 支持MAC地址≥32K。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 4K VLAN；支持 Voice VLAN；支持 MUX VLAN 功能；支持基于 MAC/协议/IP 子网/策略/端口的 VLAN；支持基本 QinQ 和灵活 QinQ。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10、以太环网保护 支持 ERPS 以太环网保护协议（G.8032）；支持 STP（IEEE 802.1D），RSTP（IEEE 802.1w）和 MSTP（IEEE 802.1s）协议。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11、三层功能 支持静态路由、策略路由；支持RIP、RIPng、OSPF、OSPFv3、IS-IS、IS-ISv6、BGP、BGP4+、VRRP、VRRP6、ECMP。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 ND（Neighbor Discovery）；支持 PMTU；支持 IPv6 Ping、IPv6 Tracert、IPv6 Telnet、DHCPv6 server。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13、组播 支持 PIM DM、PIM SM、PIM SSM； 支持MLDv1/v2，支持MLD Snooping；支持 IGMP v1/v2/v3、IGMP v1/v2/v3 Snooping和 IGMP fast-leave。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 QoS限速 支持对端口入方向、出方向进行速率限制；支持基于端口的流量监管，支持双速三色CAR功能；支持DRR、SP、DRR+SP队列调度算法；支持基于队列整形和端口限速的功能。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 CPU保护 支持对CPU的攻击防护，支持不同协议报文的策略控制和保护，支持CPU控制报文的优先级调度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16、认证 支持IEEE 802.1X接入层认证。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17、节能 支持 802.3az 能效以太网 EEE，节能环保。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18、管理维护 支持SNMP v1/v2/v3；支持RMON；支持 Web网管特性；支持本地EasyWeb管理；支持云平台管理。</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1、采用无阻塞交换架构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支持多核CPU</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超宽5G 可以扩展5G能力</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广域优化 支持多发选收，主动抗丢包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逐包负载分担，带宽利用率&gt;90%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安全防护 支持防火墙、IPS、AV等安全功能，支持IPSec VPN，多重边缘防护，保障分支安全互联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业务槽位数 模块插槽≥2个</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整机高度 Δ整机高度≤1U</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转发性能 包转发能力≥9Mpps。</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带机量 带机量不小于700台PC。</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固定接口 WAN：2*GE Combo LAN：8*GE电（可切换为WAN口）。</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内存≥4GB。</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所有业务板卡支持直接热插拔。</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IPv4单播路由 支持静态路由，路由策略，RIP，OSPF，BGP，IS-IS。</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IPv6单播路由 支持静态路由，路由策略，RIPng，OSPFv3，IS-ISv6，BGP4+。</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、MPLS 支持 LDP，MPLS L3 VPN，VLL，PWE3，静态LSP，动态LSP，MPLS TE，IP FRR，LDP FRR，TE FRR。</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、VPN 支持IPsec VPN，GRE VPN，DSVPN，L2TP VPN，L2TPv3 VPN。</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、QoS 支持Diffserv模式，MPLS QoS，优先级映射，流量监管（CAR），流量整形，拥塞避免，拥塞管理，HQoS，MQC（流分类，流行为，流策略），端口三级调度和三级整形（Hierarchical QoS），智能应用控制（SAC）。</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吸顶AP</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1、支持802.11ax标准。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2、2.4GHz和5GHz双频段支持MU-MIMO。</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3、支持整机速率≥2.975Gbps。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4、支持总空间流数≥4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5、支持WPA3新一代加密协议，进一步保护Wi-Fi网络安全。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6、支持DTLS加密，保证接入AP 的合法性，提高无线网络安全。（提供所投产品官方网站链接及产品功能参数截图，并加盖投标人公章）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7、内置智能天线。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8、最大功耗≤9.4W。</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1、最大管理AP数量≥128，默认支持128个AP授权管理许可。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2、最大接入用户数量≥2K。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3、支持直接转发、隧道转发。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4、转发性能≥10Gbps。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5、不少于2个10GE光口, 10个GE电口。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6、支持URL过滤，允许或禁止用户访问某些网页资源。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7、支持反病毒功能。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8、支持入侵防御，检测和中止入侵行为（包括缓冲区溢出攻击、木马、蠕虫等）。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9、支持设备冗余备份功能，可支持1+1或N+1备份，并支持主备AC间配置同步。</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12U设备箱挂墙或落地含漏保与插排</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12050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无线覆盖施工及辅材</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包含技术人员现场指导产品调试、人员培训服务等等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50M互联网专线，3年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760"/>
        </w:trPr>
        <w:tc>
          <w:tcPr>
            <w:gridSpan w:val="5"/>
            <w:shd w:val="clear" w:color="auto" w:fill="auto"/>
            <w:tcBorders>
              <w:top w:val="single" w:color="000000" w:sz="4" w:space="0"/>
              <w:left w:val="single" w:color="000000" w:sz="4" w:space="0"/>
              <w:bottom w:val="single" w:color="000000" w:sz="4" w:space="0"/>
              <w:right w:val="single" w:color="000000" w:sz="4" w:space="0"/>
            </w:tcBorders>
            <w:tcW w:w="96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会议室</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电子桌牌</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1.屏幕尺寸：≥7英寸；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2.高清液晶屏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3.续航时间：待机≥72 小时，正常使用≥8 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4.供电方式：Type</w:t>
            </w:r>
            <w:r>
              <w:rPr>
                <w:rFonts w:hint="eastAsia" w:ascii="宋体" w:hAnsi="宋体" w:eastAsia="宋体" w:cs="宋体"/>
                <w:i w:val="0"/>
                <w:iCs w:val="0"/>
                <w:color w:val="000000"/>
                <w:sz w:val="21"/>
                <w:szCs w:val="21"/>
                <w:u w:val="none"/>
                <w:lang w:val="en-US" w:eastAsia="zh-CN" w:bidi="ar"/>
              </w:rPr>
              <w:noBreakHyphen/>
            </w:r>
            <w:r>
              <w:rPr>
                <w:rFonts w:hint="eastAsia" w:ascii="宋体" w:hAnsi="宋体" w:eastAsia="宋体" w:cs="宋体"/>
                <w:i w:val="0"/>
                <w:iCs w:val="0"/>
                <w:color w:val="000000"/>
                <w:sz w:val="21"/>
                <w:szCs w:val="21"/>
                <w:u w:val="none"/>
                <w:lang w:val="en-US" w:eastAsia="zh-CN" w:bidi="ar"/>
              </w:rPr>
              <w:t xml:space="preserve">C 充电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5.管理方式：后台统一管理、批量下发、远程更新</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会议平板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1.尺寸:≥11.5英寸处理器: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2.分辨率:≥2800*1840像素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3.屏幕像素密度:≥291ppi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4.电池容量:≥8800mAh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5.超清护眼云晰柔光屏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6.莱茵低蓝光、无频闪认证呵护双眼</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电子笔记本</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1.硬件配置</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：设备采用</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≥8.2 英寸EInk墨水屏</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，分辨率为≥1920×1440（293 PPI），屏占比≥88.5%，机身厚度仅≤5mm</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，重量</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230g</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，配备 64GB 存储空间 。内置</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≥2600mAh电池</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 4G 网络（eSIM 卡）与双频 </w:t>
            </w:r>
            <w:r>
              <w:rPr>
                <w:rFonts w:hint="eastAsia" w:ascii="宋体" w:hAnsi="宋体" w:cs="宋体"/>
                <w:i w:val="0"/>
                <w:iCs w:val="0"/>
                <w:color w:val="000000"/>
                <w:sz w:val="21"/>
                <w:szCs w:val="21"/>
                <w:u w:val="none"/>
                <w:lang w:val="en-US" w:eastAsia="zh-CN" w:bidi="ar"/>
              </w:rPr>
              <w:t xml:space="preserve">Wi-Fi</w:t>
            </w:r>
            <w:r>
              <w:rPr>
                <w:rFonts w:hint="eastAsia" w:ascii="宋体" w:hAnsi="宋体" w:eastAsia="宋体" w:cs="宋体"/>
                <w:i w:val="0"/>
                <w:iCs w:val="0"/>
                <w:color w:val="000000"/>
                <w:sz w:val="21"/>
                <w:szCs w:val="21"/>
                <w:u w:val="none"/>
                <w:lang w:val="en-US" w:eastAsia="zh-CN" w:bidi="ar"/>
              </w:rPr>
              <w:t xml:space="preserve">，配备 电磁笔，支持 4096 级压感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2.AI与语音功能</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AI会议纪要生成</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、智能写作及多轮问答 。支持语音转文字</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，准确率高达 98%，支持</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≥12种方言</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和≥8种外语实时转写，具备离线转写能力及分角色转写功能，可自动区分不同发言人。</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3.办公与阅读</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 PDF、Word 等 23 种格式批注，具备</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OCR 手写识别</w:t>
            </w:r>
            <w:r>
              <w:rPr>
                <w:rFonts w:hint="default"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功能，可将手写笔记转为电子文本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1、不小于8个Midas PRO话放大器和输出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2、不小于24个100毫米电动推子，分为3个独立且完全可配置的区域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3、通道编辑区，不小于11个旋钮控制和专用彩色TFT显示屏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4、不小于3个AES50端口，支持通过SuperMac CAT5连接传输总共144路输入和输出信号，具备超低抖动和6采样延迟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5、不小于10.1英寸主显示屏，支持多点触控，并且可以调节旋转角度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6、不小于40个立体声输入通道，每个通道包含5个可变插件处理插槽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7、不小于8个立体声辅助输入通道，配有单一效果插入插槽、扩展器/限制器和4段均衡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8、不小于8个Mute组和8个DCA（数字控制放大器），用于轨道分组和整合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9、不小于2个以太网端口，带有集成交换机，用于网络远程控制，支持通过Waves SoundGrid和Dante进行可选的AoIP（音频网络协议）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10、后面板扩展插槽可支持选配的64通道音频接口和网络扩展卡，如Dante、WSG、MADI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DAW远程控制兼容Mackie Control Universal（MCU），并提供适用于Cubase、Ableton Live、Logic X、Nuendo、ProTools、Reaper、Studio One的预设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12、可通过软件进行离线编辑和远程控制</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真分集无线手持麦克风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1、射频载波范围（UHF）：不劣于602.8~699MHz；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2、工作距离：理想条件下不小于90m；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3、THD总谐波失真：不高于0.7@1kHz%；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4、信噪比：不小于98dB；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5.一台主机+两只手持</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天线分配器（含天线版）</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★1.主机不小于1.8寸TFT显示屏，显示天线信号状态，麦克风接收机在线状态，电源输出状态；（提供具有检验检测资质的第三方检测机构出具的检测报告加盖投标人公章）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★2.主机面板带GAIN增益按钮，GAIN可调增益:+3dB,+6dB,+9dB可调，屏幕显示增益设置；（提供具有检验检测资质的第三方检测机构出具的检测报告加盖投标人公章）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★3.共AB两组8个信号输出:麦克风主机天线接收；（提供具有检验检测资质的第三方检测机构出具的检测报告加盖投标人公章）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4.不低于1个直流DC12V 5A输入:天线放大器主机电源座；不低于2个级联输出接口:连接下一台天线放大器；不低于4个DC电源输出:直流输出DC12V-1A；不低于2个有源天线放大模块(或无源天线)；</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1、非成品音频信号线RVPE2×0.3</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公母卡侬头</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1、公母卡侬头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50Ω同轴天线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1、50米50Ω同轴天线，带BNC插头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管线等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操场无线收拾话筒</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1、接收灵敏度：-105dBM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2、信噪比：S/N：&gt;100dB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3、失真度THD：&lt;0.01%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4、咪芯类型:动圈式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5、咪芯指向性：心形指向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6、有效距离：无障碍直线300—500米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7、音频响应：30HZ—18KHZ</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模拟调音台</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★1、不小于14路输入通道，带4路话筒输入，4组立体声线路输入，2路MP3输入或6路话筒输入，2路立体声线路输入，2路MP3输入；（提供具有检验检测资质的第三方检测机构出具的检测报告加盖投标人公章）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★2、具有不小于2 路主输出通道，2组编组输出，2路AUX辅助输出(AUX+AUX/EFFECT效果输出)，1组立体声MONITOR监听输出，1组立体声REC录音输出，1路耳机监听输出、1个USB播放/录音接口；（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★3、具有mp3播放（带LED数码显示屏）、蓝牙播放、内置声卡、录音功能。（提供具有检验检测资质的第三方检测机构出具的检测报告加盖投标人公章）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4、每路话筒输入通道配单独控制+48V幻像供电、80Hz低切；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★5、输入通道具有增益控制、压缩器（1~4通道）、3段参量均衡器（1~8通道）、声像平衡、信号监听、静音</w:t>
            </w:r>
            <w:r>
              <w:rPr>
                <w:rFonts w:hint="eastAsia" w:ascii="宋体" w:hAnsi="宋体" w:cs="宋体"/>
                <w:i w:val="0"/>
                <w:iCs w:val="0"/>
                <w:color w:val="000000"/>
                <w:sz w:val="21"/>
                <w:szCs w:val="21"/>
                <w:u w:val="none"/>
                <w:lang w:val="en-US" w:eastAsia="zh-CN" w:bidi="ar"/>
              </w:rPr>
              <w:t xml:space="preserve">功能</w:t>
            </w:r>
            <w:r>
              <w:rPr>
                <w:rFonts w:hint="eastAsia" w:ascii="宋体" w:hAnsi="宋体" w:eastAsia="宋体" w:cs="宋体"/>
                <w:i w:val="0"/>
                <w:iCs w:val="0"/>
                <w:color w:val="000000"/>
                <w:sz w:val="21"/>
                <w:szCs w:val="21"/>
                <w:u w:val="none"/>
                <w:lang w:val="en-US" w:eastAsia="zh-CN" w:bidi="ar"/>
              </w:rPr>
              <w:t xml:space="preserve">； （提供具有检验检测资质的第三方检测机构出具的检测报告加盖投标人公章）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6、主输出通道带9段图示均衡；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7、内置不小于24种24BIT DSP参数可调音频效果器；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8、采用不小于60mm高精度电平衰减推子、双12段信号监视指示灯；</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LED显示屏</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1、像素点间距:≤1.53mm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2、单元板分辨率：≥21632Dots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3、刷新率：≥3840Hz，支持通过配套控制软件调节刷新率设置选项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4、像素构成：1R、1G、1B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5、封装方式：SMD表贴三合一，铜线封装，五面黑灯，表面不反光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6、驱动方式：恒流驱动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7、控制方式：同步控制系统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8、维护方式：前后双向维护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9、整屏平整度≤0.04mm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10、白平衡亮度：0-700cd/㎡可调；亮度调节：0-100%亮度可调，256级手动/自动调节，屏幕亮度具有随环境照度的变化任意调整功能；亮度均匀性：≥99%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11、色温800K-18000K可调；白平衡状态下色温在6500K±5%；色温为6500K时，100%75%50%25%档电平白场调节色温误差≤100K"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12、水平视角≥170°；垂直视角≥170°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13、对比度≥8500：1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15、峰值功耗≤300W/m²；平均功耗≤120W/m²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16、供电电源：在4.2*（1±10%）VDC～4.5*（1±10%）VDC范围内能正常工作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17、输入电压：支持宽压输入 在96-264VAC，支持窄压输入在200-240VAC，在该范围内能正常工作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18、防护性能：具有防静电、防电磁干扰、防腐蚀、防霉菌、防虫、防潮、抗震动、抗雷击等功能；具有电源过压、过流、断电保护、分布上电措施、防护等级达到IP60  显示尺寸4.16*1.6</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1.单卡最大带载 512×1024 像素，最多支持 24组 RGB 并行数据。采用8个标准的 HUB75 接口，具有高稳定性和高可靠性，适用于多种环境的搭建。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2.支持逐点亮色度校正：配合调试软件和校正软件，对每个灯点的亮度和色度进行校正。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3.快速亮暗线调节：在调试软件上进行快速亮暗线调节，用来消除灯板与灯板、箱体与箱体之间的缝隙。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4.3D 功能：配合支持 3D功能的控制器，在调试软件或控制器的操作面板上开启3D功能，并设置3D参数，使显示屏播放画面显示3D效果。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5.温度与电压检测：可监测自身的温度和电压，无需其他外设，在对应调试软件上可</w:t>
            </w:r>
            <w:r>
              <w:rPr>
                <w:rFonts w:hint="eastAsia" w:ascii="宋体" w:hAnsi="宋体" w:cs="宋体"/>
                <w:i w:val="0"/>
                <w:iCs w:val="0"/>
                <w:color w:val="000000"/>
                <w:sz w:val="21"/>
                <w:szCs w:val="21"/>
                <w:u w:val="none"/>
                <w:lang w:val="en-US" w:eastAsia="zh-CN" w:bidi="ar"/>
              </w:rPr>
              <w:t xml:space="preserve">查看</w:t>
            </w:r>
            <w:r>
              <w:rPr>
                <w:rFonts w:hint="eastAsia" w:ascii="宋体" w:hAnsi="宋体" w:eastAsia="宋体" w:cs="宋体"/>
                <w:i w:val="0"/>
                <w:iCs w:val="0"/>
                <w:color w:val="000000"/>
                <w:sz w:val="21"/>
                <w:szCs w:val="21"/>
                <w:u w:val="none"/>
                <w:lang w:val="en-US" w:eastAsia="zh-CN" w:bidi="ar"/>
              </w:rPr>
              <w:t xml:space="preserve">检测到的温度和电压。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6.液晶模块：支持与系统同一厂家通用5pin液晶模块，用于显示接收卡温度、电压、单次运行时间和总运行时间。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7.误码率检测：配合 对应版本的调试软件 ，接收卡之间通讯时，监测传输链路上的数据丢包情况。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8.固件程序回读：在对应版本调试软件上可以回读接收卡的固件程序并保存到本地。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9.配置参数回读：在 对应调试软件上可以回读接收卡配置参数并保存到本地。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10.Mapping 功能：在 调试软件上启用 Mapping 功能后，目标箱体上会显示接收卡编号和网口信息，可以清</w:t>
            </w:r>
            <w:r>
              <w:rPr>
                <w:rFonts w:hint="eastAsia" w:ascii="宋体" w:hAnsi="宋体" w:cs="宋体"/>
                <w:i w:val="0"/>
                <w:iCs w:val="0"/>
                <w:color w:val="000000"/>
                <w:sz w:val="21"/>
                <w:szCs w:val="21"/>
                <w:u w:val="none"/>
                <w:lang w:val="en-US" w:eastAsia="zh-CN" w:bidi="ar"/>
              </w:rPr>
              <w:t xml:space="preserve">晰地</w:t>
            </w:r>
            <w:r>
              <w:rPr>
                <w:rFonts w:hint="eastAsia" w:ascii="宋体" w:hAnsi="宋体" w:eastAsia="宋体" w:cs="宋体"/>
                <w:i w:val="0"/>
                <w:iCs w:val="0"/>
                <w:color w:val="000000"/>
                <w:sz w:val="21"/>
                <w:szCs w:val="21"/>
                <w:u w:val="none"/>
                <w:lang w:val="en-US" w:eastAsia="zh-CN" w:bidi="ar"/>
              </w:rPr>
              <w:t xml:space="preserve">获取接收卡的位置和走线方式。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11.环路备份：通过主备冗余机制增加接收卡串联的可靠性。主备串联线路中，当其中一条线路出现故障时，另一条线路会即时工作，保证显示屏正常工作。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12.配置参数双备份：通过 NovaLCT 在接收卡上保存两份接收卡配置参数，其中一份作为备份参数。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13.双程序备份：接收卡出厂时保存了两份应用程序，以防程序更新异常导致的升级卡死。</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1、支持多达 5 路输入接口，包括 1 路 DVI，1 路HDMI1.3，1 路 VGA，1 路 USB 播放，1 路CVBS，选配 1 路投屏输入子卡 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2、支持窗口位置、大小调整及窗口截取功能。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3、安装投屏输入子卡 1.0 后，在使用投屏输入子卡的播放源模式下，支持使用鼠标进行控制。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4、支持输入源一键切换。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5、支持外置独立音频。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支持输入分辨率预设及自定义调节。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w:t>
            </w:r>
            <w:r>
              <w:rPr>
                <w:rFonts w:hint="eastAsia" w:ascii="宋体" w:hAnsi="宋体" w:eastAsia="宋体" w:cs="宋体"/>
                <w:i w:val="0"/>
                <w:iCs w:val="0"/>
                <w:color w:val="000000"/>
                <w:sz w:val="21"/>
                <w:szCs w:val="21"/>
                <w:u w:val="none"/>
                <w:lang w:val="en-US" w:eastAsia="zh-CN" w:bidi="ar"/>
              </w:rPr>
              <w:t xml:space="preserve">持画面全屏缩放、点对点显示、自定义缩放三种缩放模式。                                                                                                                                                                                                                7、支持快捷点屏，简单操作即可完成屏体配置。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 2 个网口输出，最大带载 260 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9、支持创建 6 个用户场景作为模板保存，可直接调用，方便使用。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10、持屏体参数调整，例如亮度、Gamma 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11、安装投屏输入子卡 1.0 后，支持无线投屏，可投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12、放手机画面或 Pad 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13、支持通过中控操控。</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1、六类网线，VGA\HDMI，电源线等，磁柱、网线、排线、红黑线、三芯电缆线、主电缆由甲方布至大屏配电箱</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会议室音响调试</w:t>
            </w:r>
            <w:r/>
          </w:p>
        </w:tc>
        <w:tc>
          <w:tcPr>
            <w:shd w:val="clear" w:color="auto" w:fill="auto"/>
            <w:tcBorders>
              <w:top w:val="single" w:color="000000" w:sz="4" w:space="0"/>
              <w:left w:val="single" w:color="000000" w:sz="4" w:space="0"/>
              <w:bottom w:val="single" w:color="000000" w:sz="4" w:space="0"/>
              <w:right w:val="single" w:color="000000" w:sz="4" w:space="0"/>
            </w:tcBorders>
            <w:tcW w:w="67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包含技术人员现场指导产品调试、人员培训服务等等</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r>
    </w:tbl>
    <w:p>
      <w:pPr>
        <w:ind w:firstLine="482"/>
        <w:jc w:val="left"/>
        <w:spacing w:line="360" w:lineRule="auto"/>
        <w:rPr>
          <w:rFonts w:hint="eastAsia" w:ascii="宋体" w:hAnsi="宋体" w:eastAsia="宋体" w:cs="Times New Roman"/>
          <w:b/>
          <w:bCs/>
          <w:i/>
          <w:iCs/>
          <w:color w:val="0d0d0d" w:themeColor="text1" w:themeTint="F2"/>
          <w:sz w:val="24"/>
          <w:szCs w:val="24"/>
          <w:u w:val="single"/>
          <w:lang w:val="en-US" w:eastAsia="zh-CN" w:bidi="ar-SA"/>
          <w14:textFill>
            <w14:solidFill>
              <w14:schemeClr w14:val="tx1">
                <w14:lumMod w14:val="95000"/>
                <w14:lumOff w14:val="5000"/>
              </w14:schemeClr>
            </w14:solidFill>
          </w14:textFill>
        </w:rPr>
      </w:pPr>
      <w:r>
        <w:rPr>
          <w:rFonts w:hint="eastAsia" w:ascii="宋体" w:hAnsi="宋体" w:eastAsia="宋体" w:cs="Times New Roman"/>
          <w:b/>
          <w:bCs/>
          <w:i/>
          <w:iCs/>
          <w:color w:val="0d0d0d" w:themeColor="text1" w:themeTint="F2"/>
          <w:sz w:val="24"/>
          <w:szCs w:val="24"/>
          <w:u w:val="single"/>
          <w:lang w:val="en-US" w:eastAsia="zh-CN" w:bidi="ar-SA"/>
          <w14:textFill>
            <w14:solidFill>
              <w14:schemeClr w14:val="tx1">
                <w14:lumMod w14:val="95000"/>
                <w14:lumOff w14:val="5000"/>
              </w14:schemeClr>
            </w14:solidFill>
          </w14:textFill>
        </w:rPr>
        <w:t xml:space="preserve">三、质量要求：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iCs/>
          <w:color w:val="000000"/>
          <w:sz w:val="24"/>
          <w:szCs w:val="24"/>
          <w:u w:val="single"/>
          <w:lang w:val="en-US" w:eastAsia="zh-CN"/>
        </w:rPr>
        <w:outlineLvl w:val="9"/>
      </w:pPr>
      <w:r>
        <w:rPr>
          <w:rFonts w:hint="eastAsia" w:ascii="宋体" w:hAnsi="宋体" w:eastAsia="宋体" w:cs="Times New Roman"/>
          <w:b/>
          <w:bCs/>
          <w:i/>
          <w:iCs/>
          <w:color w:val="000000"/>
          <w:sz w:val="24"/>
          <w:szCs w:val="24"/>
          <w:u w:val="single"/>
          <w:lang w:val="en-US" w:eastAsia="zh-CN"/>
        </w:rPr>
        <w:t xml:space="preserve">四、售后服务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1、自项目验收交付之日起免费质保期为：3年（若国家和/或生产厂家对本项目所涉及货物的质量保证期的规定高于本项目的要求，应按国家和/或生产厂家的规定执行）。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iCs/>
          <w:color w:val="000000"/>
          <w:sz w:val="24"/>
          <w:szCs w:val="24"/>
          <w:u w:val="single"/>
          <w:lang w:val="en-US" w:eastAsia="zh-CN"/>
        </w:rPr>
        <w:t xml:space="preserve">软件</w:t>
      </w:r>
      <w:r>
        <w:rPr>
          <w:rFonts w:hint="eastAsia" w:ascii="宋体" w:hAnsi="宋体" w:eastAsia="宋体" w:cs="Times New Roman"/>
          <w:i/>
          <w:iCs/>
          <w:color w:val="000000"/>
          <w:sz w:val="24"/>
          <w:szCs w:val="24"/>
          <w:u w:val="singl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备注：投标单位应根据采购单位要求的售后服务服务内容，提供关于本项目售后服务方案内容，内容包括但不限于以下内容：服务保障体系、售后服务内容、售后服务响应时效等。</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iCs/>
          <w:color w:val="000000"/>
          <w:sz w:val="24"/>
          <w:szCs w:val="24"/>
          <w:u w:val="single"/>
          <w:lang w:val="en-US" w:eastAsia="zh-CN"/>
        </w:rPr>
        <w:outlineLvl w:val="9"/>
      </w:pPr>
      <w:r>
        <w:rPr>
          <w:rFonts w:hint="eastAsia" w:ascii="宋体" w:hAnsi="宋体" w:cs="Times New Roman"/>
          <w:b/>
          <w:bCs/>
          <w:i/>
          <w:iCs/>
          <w:color w:val="000000"/>
          <w:sz w:val="24"/>
          <w:szCs w:val="24"/>
          <w:u w:val="single"/>
          <w:lang w:val="en-US" w:eastAsia="zh-CN"/>
        </w:rPr>
        <w:t xml:space="preserve">五</w:t>
      </w:r>
      <w:r>
        <w:rPr>
          <w:rFonts w:hint="eastAsia" w:ascii="宋体" w:hAnsi="宋体" w:eastAsia="宋体" w:cs="Times New Roman"/>
          <w:b/>
          <w:bCs/>
          <w:i/>
          <w:iCs/>
          <w:color w:val="000000"/>
          <w:sz w:val="24"/>
          <w:szCs w:val="24"/>
          <w:u w:val="single"/>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2.中标人交货前应对产品做出全面检查和对验收文件进行整理，并列出清单，作为采购人收货验收和使用的技术条件依据，检验的结果应随货物交采购人。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备注：投标供应商项目实施后，须通过采购单位验收合格。投标供应商应为本项目配备相关专业项目实施人员（技术负责人和项目实施团队），实施人员应具备相关专业技术能力。</w:t>
      </w:r>
      <w:r/>
    </w:p>
    <w:p>
      <w:pPr>
        <w:numPr>
          <w:ilvl w:val="0"/>
          <w:numId w:val="0"/>
        </w:numPr>
        <w:ind w:firstLine="482"/>
        <w:keepLines w:val="0"/>
        <w:keepNext w:val="0"/>
        <w:pageBreakBefore w:val="0"/>
        <w:spacing w:line="360" w:lineRule="auto"/>
        <w:widowControl w:val="off"/>
        <w:rPr>
          <w:rFonts w:hint="eastAsia" w:ascii="宋体" w:hAnsi="宋体" w:cs="Times New Roman"/>
          <w:b/>
          <w:bCs/>
          <w:color w:val="000000"/>
          <w:sz w:val="24"/>
          <w:szCs w:val="24"/>
          <w:lang w:val="en-US" w:eastAsia="zh"/>
        </w:rPr>
        <w:outlineLvl w:val="9"/>
      </w:pPr>
      <w:r>
        <w:rPr>
          <w:rFonts w:hint="eastAsia" w:ascii="宋体" w:hAnsi="宋体" w:cs="Times New Roman"/>
          <w:b/>
          <w:bCs/>
          <w:color w:val="000000"/>
          <w:sz w:val="24"/>
          <w:szCs w:val="24"/>
          <w:lang w:val="en-US" w:eastAsia="zh-CN"/>
        </w:rPr>
        <w:t xml:space="preserve">投标单位应根据项目建设内容，提供关于本项目技术服务方案内容，内容包括但不限于以下内容：技术支撑保障；项目实施方案、风险管理等内容</w:t>
      </w:r>
      <w:r>
        <w:rPr>
          <w:rFonts w:hint="eastAsia" w:ascii="宋体" w:hAnsi="宋体" w:cs="Times New Roman"/>
          <w:b/>
          <w:bCs/>
          <w:color w:val="000000"/>
          <w:sz w:val="24"/>
          <w:szCs w:val="24"/>
          <w:lang w:val="en-US" w:eastAsia="zh"/>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iCs/>
          <w:color w:val="000000"/>
          <w:sz w:val="24"/>
          <w:szCs w:val="24"/>
          <w:u w:val="single"/>
          <w:lang w:val="en-US" w:eastAsia="zh-CN"/>
        </w:rPr>
        <w:outlineLvl w:val="9"/>
      </w:pPr>
      <w:r>
        <w:rPr>
          <w:rFonts w:hint="eastAsia" w:ascii="宋体" w:hAnsi="宋体" w:eastAsia="宋体" w:cs="Times New Roman"/>
          <w:b/>
          <w:bCs/>
          <w:i/>
          <w:iCs/>
          <w:color w:val="000000"/>
          <w:sz w:val="24"/>
          <w:szCs w:val="24"/>
          <w:u w:val="single"/>
          <w:lang w:val="en-US" w:eastAsia="zh-CN"/>
        </w:rPr>
        <w:t xml:space="preserve">六、合同履行期限和地点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1、合同履行期限：中标单位与采购方签订合同后30日内供货到采购人指定地点完成安装、调试工作，并经采购人验收合格。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2、履约地点：采购人指定地点。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七、付款方式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iCs/>
          <w:color w:val="000000"/>
          <w:sz w:val="24"/>
          <w:szCs w:val="24"/>
          <w:u w:val="single"/>
          <w:lang w:val="en-US" w:eastAsia="zh-CN"/>
        </w:rPr>
        <w:outlineLvl w:val="9"/>
      </w:pPr>
      <w:r>
        <w:rPr>
          <w:rFonts w:hint="eastAsia" w:ascii="宋体" w:hAnsi="宋体" w:eastAsia="宋体" w:cs="Times New Roman"/>
          <w:i/>
          <w:iCs/>
          <w:color w:val="000000"/>
          <w:sz w:val="24"/>
          <w:szCs w:val="24"/>
          <w:u w:val="single"/>
          <w:lang w:val="en-US" w:eastAsia="zh-CN"/>
        </w:rPr>
        <w:t xml:space="preserve">项目验收合格后付至合同总价款的70%；经审计结束（项目审计工作将在验收合格后90日内完成）、验收合格满一年后，付至项目审计总价款的90%;验收合格满三年后，无质量、服务问题一次性付清项目审计总价余款(无息)</w:t>
      </w:r>
      <w:r/>
    </w:p>
    <w:p>
      <w:pPr>
        <w:numPr>
          <w:ilvl w:val="0"/>
          <w:numId w:val="0"/>
        </w:numPr>
        <w:ind w:firstLine="482"/>
        <w:keepLines w:val="0"/>
        <w:keepNext w:val="0"/>
        <w:pageBreakBefore w:val="0"/>
        <w:spacing w:line="360" w:lineRule="auto"/>
        <w:widowControl w:val="off"/>
        <w:tabs>
          <w:tab w:val="left" w:pos="406" w:leader="none"/>
        </w:tabs>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lang w:val="en-US" w:eastAsia="zh-CN"/>
        </w:rPr>
        <w:t xml:space="preserve">、演示部分</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1.演示要求（演示时间为十五分钟）</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 1.1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1.2投标人需在“法人授权书”中注明进行现场演示的人员姓名及身份证号，不接受非注明的人员进入评审现场进行演示。投标人进入评审现场的人员应出示有效身份证件。</w:t>
      </w:r>
      <w:r/>
    </w:p>
    <w:p>
      <w:pPr>
        <w:numPr>
          <w:ilvl w:val="0"/>
          <w:numId w:val="3"/>
        </w:numPr>
        <w:ind w:firstLine="480"/>
        <w:keepLines w:val="0"/>
        <w:keepNext w:val="0"/>
        <w:pageBreakBefore w:val="0"/>
        <w:spacing w:line="360" w:lineRule="auto"/>
        <w:widowControl w:val="off"/>
        <w:tabs>
          <w:tab w:val="clear" w:pos="312" w:leader="none"/>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电子班牌功能演示内容如下（1</w:t>
      </w:r>
      <w:r>
        <w:rPr>
          <w:rFonts w:hint="eastAsia" w:ascii="宋体" w:hAnsi="宋体" w:cs="Times New Roman"/>
          <w:color w:val="000000"/>
          <w:sz w:val="24"/>
          <w:szCs w:val="24"/>
          <w:lang w:val="en-US" w:eastAsia="zh-CN"/>
        </w:rPr>
        <w:t xml:space="preserve">0</w:t>
      </w:r>
      <w:r>
        <w:rPr>
          <w:rFonts w:hint="eastAsia" w:ascii="宋体" w:hAnsi="宋体" w:eastAsia="宋体" w:cs="Times New Roman"/>
          <w:color w:val="000000"/>
          <w:sz w:val="24"/>
          <w:szCs w:val="24"/>
          <w:lang w:val="en-US" w:eastAsia="zh-CN"/>
        </w:rPr>
        <w:t xml:space="preserve">分）：</w:t>
      </w:r>
      <w:r/>
    </w:p>
    <w:p>
      <w:pPr>
        <w:numPr>
          <w:ilvl w:val="0"/>
          <w:numId w:val="0"/>
        </w:numPr>
        <w:ind w:firstLine="480"/>
        <w:keepLines w:val="0"/>
        <w:keepNext w:val="0"/>
        <w:pageBreakBefore w:val="0"/>
        <w:spacing w:line="360" w:lineRule="auto"/>
        <w:widowControl w:val="off"/>
        <w:tabs>
          <w:tab w:val="left" w:pos="406" w:leader="none"/>
        </w:tabs>
        <w:rPr>
          <w:rFonts w:hint="default"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2.1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2.2后台支持自主创建主题探究、人物对话、学科宝典三种不同类型，主题探究可以选择学段、学科、探究主题进行创建，人物对话可以选择学段、学科、对话人物进行创建，学科宝典可以选择学段、学科、学科内容进行创建，支持覆盖语文、数学、英语、物理、化学、生物、历史、地理、政治、科学等学科，支持覆盖高中学段；可通过高级设置添加开场白、预设问题、背景图片等内容。</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2.3后台支持统一进行AI课后学的可用时间设置，可以添加不少于20个可用时间段，后台可以控制每一个AI课后学模块的显示与隐藏。</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2.4学生可通过班牌人脸识别进入AI课后学模块，支持通过语音输入与AI课后学进行对话生成内容，学生可以选择通过预设问题进行提问；AI课后学只生成相关主题内容，如提问无关内容，仅能回答相关问题。</w:t>
      </w:r>
      <w:r/>
    </w:p>
    <w:p>
      <w:pPr>
        <w:numPr>
          <w:ilvl w:val="0"/>
          <w:numId w:val="0"/>
        </w:numPr>
        <w:ind w:firstLine="480"/>
        <w:keepLines w:val="0"/>
        <w:keepNext w:val="0"/>
        <w:pageBreakBefore w:val="0"/>
        <w:spacing w:line="360" w:lineRule="auto"/>
        <w:widowControl w:val="off"/>
        <w:tabs>
          <w:tab w:val="left" w:pos="406" w:leader="none"/>
        </w:tabs>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2.5班牌端万能英语词典，提供英语音标、词性、教材例句、高考真题、词汇搭配、同义词 / 反义词等内容；演示班牌端古诗词大全，提供诗词解析、创作背景、考点聚焦、文化拓展、探究任务等内容；演示班牌端历史百科全书，提供时空定位、考点聚焦、中外对比、探究任务等内容。</w:t>
      </w:r>
      <w:r/>
    </w:p>
    <w:p>
      <w:pPr>
        <w:ind w:firstLine="480"/>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采用真实设备及平台演示（投标人自行准备样机及平台演示端设备），</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得2</w:t>
      </w:r>
      <w:r>
        <w:rPr>
          <w:rFonts w:hint="eastAsia" w:ascii="宋体" w:hAnsi="宋体" w:eastAsia="宋体" w:cs="宋体"/>
          <w:i w:val="0"/>
          <w:iCs w:val="0"/>
          <w:color w:val="auto"/>
          <w:sz w:val="24"/>
          <w:szCs w:val="24"/>
          <w:highlight w:val="none"/>
          <w:u w:val="none"/>
          <w:lang w:val="en-US" w:eastAsia="zh-CN" w:bidi="ar"/>
        </w:rPr>
        <w:t xml:space="preserve">分；采用Demo或PPT模拟演示，</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得1分</w:t>
      </w:r>
      <w:r>
        <w:rPr>
          <w:rFonts w:hint="eastAsia" w:ascii="宋体" w:hAnsi="宋体" w:eastAsia="宋体" w:cs="宋体"/>
          <w:i w:val="0"/>
          <w:iCs w:val="0"/>
          <w:color w:val="auto"/>
          <w:sz w:val="24"/>
          <w:szCs w:val="24"/>
          <w:highlight w:val="none"/>
          <w:u w:val="none"/>
          <w:lang w:val="en-US" w:eastAsia="zh-CN" w:bidi="ar"/>
        </w:rPr>
        <w:t xml:space="preserve">。不符合演示</w:t>
      </w:r>
      <w:r>
        <w:rPr>
          <w:rFonts w:hint="eastAsia" w:ascii="宋体" w:hAnsi="宋体" w:cs="宋体"/>
          <w:i w:val="0"/>
          <w:iCs w:val="0"/>
          <w:color w:val="auto"/>
          <w:sz w:val="24"/>
          <w:szCs w:val="24"/>
          <w:highlight w:val="none"/>
          <w:u w:val="none"/>
          <w:lang w:val="en-US" w:eastAsia="zh-CN" w:bidi="ar"/>
        </w:rPr>
        <w:t xml:space="preserve">内容</w:t>
      </w:r>
      <w:r>
        <w:rPr>
          <w:rFonts w:hint="eastAsia" w:ascii="宋体" w:hAnsi="宋体" w:eastAsia="宋体" w:cs="宋体"/>
          <w:i w:val="0"/>
          <w:iCs w:val="0"/>
          <w:color w:val="auto"/>
          <w:sz w:val="24"/>
          <w:szCs w:val="24"/>
          <w:highlight w:val="none"/>
          <w:u w:val="none"/>
          <w:lang w:val="en-US" w:eastAsia="zh-CN" w:bidi="ar"/>
        </w:rPr>
        <w:t xml:space="preserve">要求或部分符合演示要求的</w:t>
      </w:r>
      <w:r>
        <w:rPr>
          <w:rFonts w:hint="eastAsia" w:ascii="宋体" w:hAnsi="宋体" w:cs="宋体"/>
          <w:i w:val="0"/>
          <w:iCs w:val="0"/>
          <w:color w:val="auto"/>
          <w:sz w:val="24"/>
          <w:szCs w:val="24"/>
          <w:highlight w:val="none"/>
          <w:u w:val="none"/>
          <w:lang w:val="en-US" w:eastAsia="zh-CN" w:bidi="ar"/>
        </w:rPr>
        <w:t xml:space="preserve">不得分</w:t>
      </w:r>
      <w:r>
        <w:rPr>
          <w:rFonts w:hint="eastAsia" w:ascii="宋体" w:hAnsi="宋体" w:eastAsia="宋体" w:cs="宋体"/>
          <w:i w:val="0"/>
          <w:iCs w:val="0"/>
          <w:color w:val="auto"/>
          <w:sz w:val="24"/>
          <w:szCs w:val="24"/>
          <w:highlight w:val="none"/>
          <w:u w:val="none"/>
          <w:lang w:val="en-US" w:eastAsia="zh-CN" w:bidi="ar"/>
        </w:rPr>
        <w:t xml:space="preserve">，本部分最多</w:t>
      </w:r>
      <w:r>
        <w:rPr>
          <w:rFonts w:hint="eastAsia" w:ascii="宋体" w:hAnsi="宋体" w:cs="宋体"/>
          <w:i w:val="0"/>
          <w:iCs w:val="0"/>
          <w:color w:val="auto"/>
          <w:sz w:val="24"/>
          <w:szCs w:val="24"/>
          <w:highlight w:val="none"/>
          <w:u w:val="none"/>
          <w:lang w:val="en-US" w:eastAsia="zh-CN" w:bidi="ar"/>
        </w:rPr>
        <w:t xml:space="preserve">得10</w:t>
      </w:r>
      <w:r>
        <w:rPr>
          <w:rFonts w:hint="eastAsia" w:ascii="宋体" w:hAnsi="宋体" w:eastAsia="宋体" w:cs="宋体"/>
          <w:i w:val="0"/>
          <w:iCs w:val="0"/>
          <w:color w:val="auto"/>
          <w:sz w:val="24"/>
          <w:szCs w:val="24"/>
          <w:highlight w:val="none"/>
          <w:u w:val="none"/>
          <w:lang w:val="en-US" w:eastAsia="zh-CN" w:bidi="ar"/>
        </w:rPr>
        <w:t xml:space="preserve">分，未演示不得分。</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九</w:t>
      </w:r>
      <w:r>
        <w:rPr>
          <w:rFonts w:hint="eastAsia" w:ascii="宋体" w:hAnsi="宋体" w:eastAsia="宋体" w:cs="Times New Roman"/>
          <w:b/>
          <w:bCs/>
          <w:color w:val="000000"/>
          <w:sz w:val="24"/>
          <w:szCs w:val="24"/>
          <w:lang w:val="en-US" w:eastAsia="zh-CN"/>
        </w:rPr>
        <w:t xml:space="preserve">、采购标的对应的中小企业划分标准所属行业一览表</w:t>
      </w:r>
      <w:r/>
    </w:p>
    <w:tbl>
      <w:tblPr>
        <w:tblStyle w:val="888"/>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cs="宋体"/>
                <w:color w:val="000000"/>
                <w:sz w:val="24"/>
                <w:szCs w:val="24"/>
                <w:lang w:val="en-US" w:eastAsia="zh-CN"/>
              </w:rPr>
              <w:t xml:space="preserve">工</w:t>
            </w:r>
            <w:r>
              <w:rPr>
                <w:rFonts w:hint="eastAsia" w:ascii="宋体" w:hAnsi="宋体" w:eastAsia="宋体" w:cs="宋体"/>
                <w:color w:val="000000"/>
                <w:sz w:val="24"/>
                <w:szCs w:val="24"/>
                <w:lang w:val="en-US" w:eastAsia="zh-CN"/>
              </w:rPr>
              <w:t xml:space="preserve">业</w:t>
            </w: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4"/>
              <w:jc w:val="both"/>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4"/>
              <w:jc w:val="center"/>
              <w:spacing w:beforeAutospacing="0" w:afterAutospacing="0" w:line="0" w:lineRule="atLeast"/>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4"/>
              <w:jc w:val="center"/>
              <w:spacing w:beforeAutospacing="0" w:afterAutospacing="0" w:line="0" w:lineRule="atLeast"/>
              <w:rPr>
                <w:rFonts w:hint="default" w:ascii="宋体" w:hAnsi="宋体" w:eastAsia="宋体" w:cs="宋体"/>
                <w:i w:val="0"/>
                <w:color w:val="000000"/>
                <w:sz w:val="20"/>
                <w:szCs w:val="20"/>
                <w:u w:val="none"/>
                <w:lang w:val="en-US" w:eastAsia="zh-CN" w:bidi="ar"/>
              </w:rPr>
            </w:pPr>
            <w:r>
              <w:rPr>
                <w:rFonts w:hint="default" w:ascii="宋体" w:hAnsi="宋体" w:eastAsia="宋体" w:cs="宋体"/>
                <w:i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4"/>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r>
    </w:tbl>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Times New Roman"/>
          <w:color w:val="0000ff"/>
          <w:sz w:val="24"/>
          <w:szCs w:val="24"/>
          <w:lang w:val="en-US" w:eastAsia="zh-CN"/>
        </w:rPr>
        <w:t xml:space="preserve">注：采购标的所属“</w:t>
      </w:r>
      <w:r>
        <w:rPr>
          <w:rFonts w:hint="eastAsia" w:ascii="宋体" w:hAnsi="宋体" w:cs="Times New Roman"/>
          <w:color w:val="0000ff"/>
          <w:sz w:val="24"/>
          <w:szCs w:val="24"/>
          <w:lang w:val="en-US" w:eastAsia="zh-CN"/>
        </w:rPr>
        <w:t xml:space="preserve">工</w:t>
      </w:r>
      <w:r>
        <w:rPr>
          <w:rFonts w:hint="eastAsia" w:ascii="宋体" w:hAnsi="宋体" w:eastAsia="宋体" w:cs="Times New Roman"/>
          <w:color w:val="0000ff"/>
          <w:sz w:val="24"/>
          <w:szCs w:val="24"/>
          <w:lang w:val="en-US" w:eastAsia="zh-CN"/>
        </w:rPr>
        <w:t xml:space="preserve">业”行业，根据《工业和信息化部、国家统计局、国家发展和改革委员会、财政部关于印发中小企业划型标准规定的通知》（工信部联企业[2011]300号）规定的划分标准填写。</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eastAsia="宋体" w:cs="Times New Roman"/>
          <w:b/>
          <w:bCs/>
          <w:color w:val="000000"/>
          <w:sz w:val="24"/>
          <w:szCs w:val="24"/>
          <w:lang w:val="en-US" w:eastAsia="zh-CN"/>
        </w:rPr>
        <w:t xml:space="preserve">十、特别说明：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1、报价含项目成果交付前一切费用。不接受选择性报价。</w:t>
      </w:r>
      <w:r/>
    </w:p>
    <w:p>
      <w:pPr>
        <w:ind w:firstLine="480"/>
        <w:jc w:val="left"/>
        <w:spacing w:line="360" w:lineRule="auto"/>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t xml:space="preserve">2、本项目：</w:t>
      </w:r>
      <w:r>
        <w:rPr>
          <w:rFonts w:hint="eastAsia" w:ascii="宋体" w:hAnsi="宋体" w:eastAsia="宋体" w:cs="Times New Roman"/>
          <w:color w:val="ff0000"/>
          <w:sz w:val="24"/>
          <w:szCs w:val="24"/>
          <w:u w:val="single"/>
          <w:lang w:val="en-US" w:eastAsia="zh-CN" w:bidi="ar-SA"/>
        </w:rPr>
        <w:t xml:space="preserve">电子班牌</w:t>
      </w:r>
      <w:r>
        <w:rPr>
          <w:rFonts w:hint="eastAsia" w:ascii="宋体" w:hAnsi="宋体" w:eastAsia="宋体" w:cs="Times New Roman"/>
          <w:color w:val="ff0000"/>
          <w:sz w:val="24"/>
          <w:szCs w:val="24"/>
          <w:lang w:val="en-US" w:eastAsia="zh-CN" w:bidi="ar-SA"/>
        </w:rPr>
        <w:t xml:space="preserve">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4、资格后审：项目开标结束后，采购人或采购代理机构应当依法对投标人的资格进行审查。资格审查材料的</w:t>
      </w:r>
      <w:r>
        <w:rPr>
          <w:rFonts w:hint="eastAsia" w:ascii="宋体" w:hAnsi="宋体" w:cs="Times New Roman"/>
          <w:color w:val="000000"/>
          <w:sz w:val="24"/>
          <w:szCs w:val="24"/>
          <w:lang w:val="en-US" w:eastAsia="zh-CN"/>
        </w:rPr>
        <w:t xml:space="preserve">原件彩色扫描件</w:t>
      </w:r>
      <w:r>
        <w:rPr>
          <w:rFonts w:hint="eastAsia" w:ascii="宋体" w:hAnsi="宋体" w:eastAsia="宋体" w:cs="Times New Roman"/>
          <w:color w:val="000000"/>
          <w:sz w:val="24"/>
          <w:szCs w:val="24"/>
          <w:lang w:val="en-US" w:eastAsia="zh-CN"/>
        </w:rPr>
        <w:t xml:space="preserve">须在投标文件中提供。</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5、对本项目投标人资格要求、项目需求、评分标准等的质疑由采购单位负责答复；采购单位具有项目的解释权，质疑函和答复须同时报采购中心备案管理。</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1320"/>
        <w:rPr>
          <w:rFonts w:hint="eastAsia" w:ascii="黑体" w:hAnsi="宋体" w:eastAsia="黑体" w:cs="黑体"/>
          <w:color w:val="000000"/>
          <w:sz w:val="44"/>
          <w:szCs w:val="44"/>
          <w:highlight w:val="none"/>
        </w:rPr>
      </w:pPr>
      <w:r/>
      <w:bookmarkStart w:id="174" w:name="_Toc120614281"/>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1320"/>
        <w:rPr>
          <w:highlight w:val="none"/>
        </w:rPr>
      </w:pPr>
      <w:r>
        <w:rPr>
          <w:rFonts w:hint="eastAsia" w:ascii="黑体" w:hAnsi="宋体" w:eastAsia="黑体" w:cs="黑体"/>
          <w:color w:val="000000"/>
          <w:sz w:val="44"/>
          <w:szCs w:val="44"/>
          <w:highlight w:val="none"/>
          <w:lang w:val="en-US" w:eastAsia="zh-CN"/>
        </w:rPr>
        <w:t xml:space="preserve">第</w:t>
      </w:r>
      <w:r>
        <w:rPr>
          <w:rFonts w:hint="eastAsia" w:ascii="黑体" w:hAnsi="宋体" w:eastAsia="黑体" w:cs="黑体"/>
          <w:color w:val="000000"/>
          <w:sz w:val="44"/>
          <w:szCs w:val="44"/>
          <w:highlight w:val="none"/>
        </w:rPr>
        <w:t xml:space="preserve">五章  </w:t>
      </w:r>
      <w:r>
        <w:rPr>
          <w:rFonts w:hint="eastAsia" w:ascii="黑体" w:hAnsi="宋体" w:eastAsia="黑体" w:cs="黑体"/>
          <w:b/>
          <w:color w:val="000000"/>
          <w:sz w:val="44"/>
          <w:szCs w:val="44"/>
          <w:highlight w:val="none"/>
        </w:rPr>
        <w:t xml:space="preserve">评标方法与评标标准</w:t>
      </w:r>
      <w:r/>
    </w:p>
    <w:p>
      <w:pPr>
        <w:pStyle w:val="900"/>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为排名第一的中标候选人，本项目选取1名中标候选人。</w:t>
      </w:r>
      <w:r/>
    </w:p>
    <w:p>
      <w:pPr>
        <w:pStyle w:val="900"/>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政府采购政策功能落实</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1、小微型企业价格扣除</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（1）本项目为非专门面向中小企业采购，采购标的所属行业为工业，对符合规定的小型和微型企业报价给予20%的扣除价格，用扣除后的价格参与评审。</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（2）供应商需按照采购文件的要求提供相应的《中小企业声明函》。</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2、残疾人福利单位价格扣除</w:t>
      </w:r>
      <w:r/>
    </w:p>
    <w:p>
      <w:pPr>
        <w:pStyle w:val="900"/>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（1）本项目对残疾人福利性单位视同小型、微型企业，给予20%的价格扣除。</w:t>
      </w:r>
      <w:r/>
    </w:p>
    <w:p>
      <w:pPr>
        <w:pStyle w:val="900"/>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（2）残疾人福利单位需按照采购文件的要求提供《残疾人福利性单位声明函》。</w:t>
      </w:r>
      <w:r/>
    </w:p>
    <w:p>
      <w:pPr>
        <w:pStyle w:val="900"/>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（3）残疾人福利单位标准请参照《关于促进残疾人就业政府采购政策的通知》（财库〔2017〕141号）。</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3、监狱和戒毒企业价格扣除</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（1）本项目对监狱和戒毒企业（简称监狱企业）视同小型、微型企业，给予20%的价格扣除。</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（3）监狱企业标准请参照《关于政府采购支持监狱企业发展有关问题的通知》（财库〔2014〕68号）。</w:t>
      </w:r>
      <w:r/>
    </w:p>
    <w:p>
      <w:pPr>
        <w:pStyle w:val="900"/>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4、残疾人福利单位、监狱企业属于小型、微型企业的，不重复享受政策。</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6、联合体各方均为小型、微型企业（残疾人福利单位、监狱企业）的，联合体享受20%的价格扣除。</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、严格执行政府采购关于支持</w:t>
      </w:r>
      <w:r>
        <w:rPr>
          <w:rFonts w:hint="eastAsia" w:ascii="宋体" w:hAnsi="宋体" w:eastAsia="宋体" w:cs="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评标方法与评标标准</w:t>
      </w:r>
      <w:r/>
    </w:p>
    <w:tbl>
      <w:tblPr>
        <w:tblStyle w:val="888"/>
        <w:tblW w:w="10272" w:type="dxa"/>
        <w:tblInd w:w="-6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6"/>
        <w:gridCol w:w="9056"/>
      </w:tblGrid>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pStyle w:val="894"/>
              <w:jc w:val="left"/>
              <w:spacing w:before="120" w:beforeAutospacing="0" w:after="120" w:afterAutospacing="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1.采用低价优先法，即满足</w:t>
            </w:r>
            <w:r>
              <w:rPr>
                <w:rFonts w:hint="eastAsia" w:ascii="宋体" w:hAnsi="宋体" w:cs="宋体"/>
                <w:i w:val="0"/>
                <w:iCs w:val="0"/>
                <w:color w:val="auto"/>
                <w:sz w:val="24"/>
                <w:szCs w:val="24"/>
                <w:highlight w:val="none"/>
                <w:u w:val="none"/>
                <w:lang w:val="en-US" w:eastAsia="zh-CN" w:bidi="ar"/>
              </w:rPr>
              <w:t xml:space="preserve">招标</w:t>
            </w:r>
            <w:r>
              <w:rPr>
                <w:rFonts w:hint="eastAsia" w:ascii="宋体" w:hAnsi="宋体" w:eastAsia="宋体" w:cs="宋体"/>
                <w:i w:val="0"/>
                <w:iCs w:val="0"/>
                <w:color w:val="auto"/>
                <w:sz w:val="24"/>
                <w:szCs w:val="24"/>
                <w:highlight w:val="none"/>
                <w:u w:val="none"/>
                <w:lang w:val="en-US" w:eastAsia="zh-CN" w:bidi="ar"/>
              </w:rPr>
              <w:t xml:space="preserve">文件要求且投标价格最低的投标总报价为评标基准价，其价格分为满分。</w:t>
            </w:r>
            <w:r/>
          </w:p>
          <w:p>
            <w:pPr>
              <w:pStyle w:val="894"/>
              <w:jc w:val="left"/>
              <w:spacing w:before="120" w:beforeAutospacing="0" w:after="120" w:afterAutospacing="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2.其他供应商的价格分统一按下列公式计算：投标报价得分＝（评标基准价/投标总报价）×</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0（按四舍五入取至小数点后两位）</w:t>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根据投标人投标文件响应招标文件中采购货物技术参数程度评定，全部满足或正偏离招标文件中采购货物“主要设备技术参数要求”的得满分3</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其中负偏离的扣分：带★项的参数全部满足要求的得18分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每负偏离一项扣0.5分；未带“★”、“▲”的技术参数，全部满足的得</w:t>
            </w:r>
            <w:r>
              <w:rPr>
                <w:rFonts w:hint="eastAsia" w:ascii="宋体" w:hAnsi="宋体" w:cs="宋体"/>
                <w:i w:val="0"/>
                <w:iCs w:val="0"/>
                <w:color w:val="auto"/>
                <w:sz w:val="24"/>
                <w:szCs w:val="24"/>
                <w:highlight w:val="none"/>
                <w:u w:val="none"/>
                <w:lang w:val="en-US" w:eastAsia="zh-CN" w:bidi="ar"/>
              </w:rPr>
              <w:t xml:space="preserve">20</w:t>
            </w:r>
            <w:r>
              <w:rPr>
                <w:rFonts w:hint="eastAsia" w:ascii="宋体" w:hAnsi="宋体" w:eastAsia="宋体" w:cs="宋体"/>
                <w:i w:val="0"/>
                <w:iCs w:val="0"/>
                <w:color w:val="auto"/>
                <w:sz w:val="24"/>
                <w:szCs w:val="24"/>
                <w:highlight w:val="none"/>
                <w:u w:val="none"/>
                <w:lang w:val="en-US" w:eastAsia="zh-CN"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每负偏离一项扣0.</w:t>
            </w:r>
            <w:r>
              <w:rPr>
                <w:rFonts w:hint="eastAsia" w:ascii="宋体" w:hAnsi="宋体" w:cs="宋体"/>
                <w:i w:val="0"/>
                <w:iCs w:val="0"/>
                <w:color w:val="auto"/>
                <w:sz w:val="24"/>
                <w:szCs w:val="24"/>
                <w:highlight w:val="none"/>
                <w:u w:val="none"/>
                <w:lang w:val="en-US" w:eastAsia="zh-CN" w:bidi="ar"/>
              </w:rPr>
              <w:t xml:space="preserve">08</w:t>
            </w:r>
            <w:r>
              <w:rPr>
                <w:rFonts w:hint="eastAsia" w:ascii="宋体" w:hAnsi="宋体" w:eastAsia="宋体" w:cs="宋体"/>
                <w:i w:val="0"/>
                <w:iCs w:val="0"/>
                <w:color w:val="auto"/>
                <w:sz w:val="24"/>
                <w:szCs w:val="24"/>
                <w:highlight w:val="none"/>
                <w:u w:val="none"/>
                <w:lang w:val="en-US" w:eastAsia="zh-CN" w:bidi="ar"/>
              </w:rPr>
              <w:t xml:space="preserve">分；</w:t>
            </w:r>
            <w:r/>
          </w:p>
          <w:p>
            <w:pPr>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注：“★”项参数要求提供检测报告或证明材料的，评标委员会必须根据投标人提供的检测报告或证明材料进行核对扣分（提供的检测报告或证明材料需满足招标文件的参数要求），未提供相关检测报告或证明材料或提供的检测报告或证明材料不符合招标文件要求的视为负偏离。未带“★”、“▲”的以技术参数响应对照表加盖投标人公章为准，其中“▲”为演示项，不作为技术参数评分项。</w:t>
            </w:r>
            <w:r/>
          </w:p>
        </w:tc>
      </w:tr>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技术团队</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zh-CN" w:eastAsia="zh-CN" w:bidi="ar"/>
              </w:rPr>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zh-CN" w:eastAsia="zh-CN" w:bidi="ar"/>
              </w:rPr>
              <w:t xml:space="preserve">投标人拟投入本项目的技术负责人具有电子信息类高级工程师</w:t>
            </w:r>
            <w:r>
              <w:rPr>
                <w:rFonts w:hint="eastAsia" w:ascii="宋体" w:hAnsi="宋体" w:cs="宋体"/>
                <w:i w:val="0"/>
                <w:iCs w:val="0"/>
                <w:color w:val="auto"/>
                <w:sz w:val="24"/>
                <w:szCs w:val="24"/>
                <w:highlight w:val="none"/>
                <w:u w:val="none"/>
                <w:lang w:val="en-US" w:eastAsia="zh-CN" w:bidi="ar"/>
              </w:rPr>
              <w:t xml:space="preserve">证书的得</w:t>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zh-CN" w:eastAsia="zh-CN" w:bidi="ar"/>
              </w:rPr>
              <w:t xml:space="preserve">分</w:t>
            </w:r>
            <w:r>
              <w:rPr>
                <w:rFonts w:hint="eastAsia" w:ascii="宋体" w:hAnsi="宋体" w:cs="宋体"/>
                <w:i w:val="0"/>
                <w:iCs w:val="0"/>
                <w:color w:val="auto"/>
                <w:sz w:val="24"/>
                <w:szCs w:val="24"/>
                <w:highlight w:val="none"/>
                <w:u w:val="none"/>
                <w:lang w:val="zh-CN" w:eastAsia="zh-CN" w:bidi="ar"/>
              </w:rPr>
              <w:t xml:space="preserve">；</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2、投标人拟投入本项目的项目团队成员具有电子信息类高级工程师、信息系统项目管理师、系统集成项目管理工程师，每提供一类证书人员的得2分，最高得6分。</w:t>
            </w:r>
            <w:r/>
          </w:p>
          <w:p>
            <w:pPr>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备注：以上人员为本单位正式在职员工（须提供相关证明材料），并</w:t>
            </w:r>
            <w:r>
              <w:rPr>
                <w:rFonts w:hint="eastAsia" w:ascii="宋体" w:hAnsi="宋体" w:eastAsia="宋体" w:cs="宋体"/>
                <w:i w:val="0"/>
                <w:iCs w:val="0"/>
                <w:color w:val="auto"/>
                <w:sz w:val="24"/>
                <w:szCs w:val="24"/>
                <w:highlight w:val="none"/>
                <w:u w:val="none"/>
                <w:lang w:val="zh-CN" w:eastAsia="zh-CN" w:bidi="ar"/>
              </w:rPr>
              <w:t xml:space="preserve">提供上述人员</w:t>
            </w:r>
            <w:r>
              <w:rPr>
                <w:rFonts w:hint="eastAsia" w:ascii="宋体" w:hAnsi="宋体" w:eastAsia="宋体" w:cs="宋体"/>
                <w:i w:val="0"/>
                <w:iCs w:val="0"/>
                <w:color w:val="auto"/>
                <w:sz w:val="24"/>
                <w:szCs w:val="24"/>
                <w:highlight w:val="none"/>
                <w:u w:val="none"/>
                <w:lang w:val="en-US" w:eastAsia="zh-CN" w:bidi="ar"/>
              </w:rPr>
              <w:t xml:space="preserve">相关证书原件彩色</w:t>
            </w:r>
            <w:r>
              <w:rPr>
                <w:rFonts w:hint="eastAsia" w:ascii="宋体" w:hAnsi="宋体" w:eastAsia="宋体" w:cs="宋体"/>
                <w:i w:val="0"/>
                <w:iCs w:val="0"/>
                <w:color w:val="auto"/>
                <w:sz w:val="24"/>
                <w:szCs w:val="24"/>
                <w:highlight w:val="none"/>
                <w:u w:val="none"/>
                <w:lang w:val="zh-CN" w:eastAsia="zh-CN" w:bidi="ar"/>
              </w:rPr>
              <w:t xml:space="preserve">扫描件加盖投标人公章，</w:t>
            </w:r>
            <w:r>
              <w:rPr>
                <w:rFonts w:hint="eastAsia" w:ascii="宋体" w:hAnsi="宋体" w:eastAsia="宋体" w:cs="宋体"/>
                <w:i w:val="0"/>
                <w:iCs w:val="0"/>
                <w:color w:val="auto"/>
                <w:sz w:val="24"/>
                <w:szCs w:val="24"/>
                <w:highlight w:val="none"/>
                <w:u w:val="none"/>
                <w:lang w:val="en-US" w:eastAsia="zh-CN" w:bidi="ar"/>
              </w:rPr>
              <w:t xml:space="preserve">否则不得分。</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现场功能演示（</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电子班牌功能演示</w:t>
            </w:r>
            <w:r/>
          </w:p>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后台支持自主创建主题探究、人物对话、学科宝典三种不同类型，主题探究可以选择学段、学科、探究主题进行创建，人物对话可以选择学段、学科、对话人物进行创建，学科宝典可以选择学段、学科、学科内容进行创建，支持覆盖语文、数学、英语、物理、化学、生物、历史、地理、政治、科学等学科，支持覆盖高中学段；可通过高级设置添加开场白、预设问题、背景图片等内容。</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后台支持统一进行AI课后学的可用时间设置，可以添加不少于20个可用时间段，后台可以控制每一个AI课后学模块的显示与隐藏。</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学生可通过班牌人脸识别进入AI课后学模块，支持通过语音输入与AI课后学进行对话生成内容，学生可以选择通过预设问题进行提问；AI课后学只生成相关主题内容，如提问无关内容，仅能回答相关问题。</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班牌端万能英语词典，提供英语音标、词性、教材例句、高考真题、词汇搭配、同义词 / 反义词等内容；演示班牌端古诗词大全，提供诗词解析、创作背景、考点聚焦、文化拓展、探究任务等内容；演示班牌端历史百科全书，提供时空定位、考点聚焦、中外对比、探究任务等内容。</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采用真实设备及平台演示（投标人自行准备样机及平台演示端设备），</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得2</w:t>
            </w:r>
            <w:r>
              <w:rPr>
                <w:rFonts w:hint="eastAsia" w:ascii="宋体" w:hAnsi="宋体" w:eastAsia="宋体" w:cs="宋体"/>
                <w:i w:val="0"/>
                <w:iCs w:val="0"/>
                <w:color w:val="auto"/>
                <w:sz w:val="24"/>
                <w:szCs w:val="24"/>
                <w:highlight w:val="none"/>
                <w:u w:val="none"/>
                <w:lang w:val="en-US" w:eastAsia="zh-CN" w:bidi="ar"/>
              </w:rPr>
              <w:t xml:space="preserve">分；采用Demo或PPT模拟演示，</w:t>
            </w:r>
            <w:r>
              <w:rPr>
                <w:rFonts w:hint="eastAsia" w:ascii="宋体" w:hAnsi="宋体" w:cs="宋体"/>
                <w:i w:val="0"/>
                <w:iCs w:val="0"/>
                <w:color w:val="auto"/>
                <w:sz w:val="24"/>
                <w:szCs w:val="24"/>
                <w:highlight w:val="none"/>
                <w:u w:val="none"/>
                <w:lang w:val="en-US" w:eastAsia="zh-CN" w:bidi="ar"/>
              </w:rPr>
              <w:t xml:space="preserve">演示内容符合</w:t>
            </w:r>
            <w:r>
              <w:rPr>
                <w:rFonts w:hint="eastAsia" w:ascii="宋体" w:hAnsi="宋体" w:eastAsia="宋体" w:cs="宋体"/>
                <w:i w:val="0"/>
                <w:iCs w:val="0"/>
                <w:color w:val="auto"/>
                <w:sz w:val="24"/>
                <w:szCs w:val="24"/>
                <w:highlight w:val="none"/>
                <w:u w:val="none"/>
                <w:lang w:val="en-US" w:eastAsia="zh-CN" w:bidi="ar"/>
              </w:rPr>
              <w:t xml:space="preserve">要求的每项</w:t>
            </w:r>
            <w:r>
              <w:rPr>
                <w:rFonts w:hint="eastAsia" w:ascii="宋体" w:hAnsi="宋体" w:cs="宋体"/>
                <w:i w:val="0"/>
                <w:iCs w:val="0"/>
                <w:color w:val="auto"/>
                <w:sz w:val="24"/>
                <w:szCs w:val="24"/>
                <w:highlight w:val="none"/>
                <w:u w:val="none"/>
                <w:lang w:val="en-US" w:eastAsia="zh-CN" w:bidi="ar"/>
              </w:rPr>
              <w:t xml:space="preserve">得1分</w:t>
            </w:r>
            <w:r>
              <w:rPr>
                <w:rFonts w:hint="eastAsia" w:ascii="宋体" w:hAnsi="宋体" w:eastAsia="宋体" w:cs="宋体"/>
                <w:i w:val="0"/>
                <w:iCs w:val="0"/>
                <w:color w:val="auto"/>
                <w:sz w:val="24"/>
                <w:szCs w:val="24"/>
                <w:highlight w:val="none"/>
                <w:u w:val="none"/>
                <w:lang w:val="en-US" w:eastAsia="zh-CN" w:bidi="ar"/>
              </w:rPr>
              <w:t xml:space="preserve">。不符合演示</w:t>
            </w:r>
            <w:r>
              <w:rPr>
                <w:rFonts w:hint="eastAsia" w:ascii="宋体" w:hAnsi="宋体" w:cs="宋体"/>
                <w:i w:val="0"/>
                <w:iCs w:val="0"/>
                <w:color w:val="auto"/>
                <w:sz w:val="24"/>
                <w:szCs w:val="24"/>
                <w:highlight w:val="none"/>
                <w:u w:val="none"/>
                <w:lang w:val="en-US" w:eastAsia="zh-CN" w:bidi="ar"/>
              </w:rPr>
              <w:t xml:space="preserve">内容</w:t>
            </w:r>
            <w:r>
              <w:rPr>
                <w:rFonts w:hint="eastAsia" w:ascii="宋体" w:hAnsi="宋体" w:eastAsia="宋体" w:cs="宋体"/>
                <w:i w:val="0"/>
                <w:iCs w:val="0"/>
                <w:color w:val="auto"/>
                <w:sz w:val="24"/>
                <w:szCs w:val="24"/>
                <w:highlight w:val="none"/>
                <w:u w:val="none"/>
                <w:lang w:val="en-US" w:eastAsia="zh-CN" w:bidi="ar"/>
              </w:rPr>
              <w:t xml:space="preserve">要求或部分符合演示要求的</w:t>
            </w:r>
            <w:r>
              <w:rPr>
                <w:rFonts w:hint="eastAsia" w:ascii="宋体" w:hAnsi="宋体" w:cs="宋体"/>
                <w:i w:val="0"/>
                <w:iCs w:val="0"/>
                <w:color w:val="auto"/>
                <w:sz w:val="24"/>
                <w:szCs w:val="24"/>
                <w:highlight w:val="none"/>
                <w:u w:val="none"/>
                <w:lang w:val="en-US" w:eastAsia="zh-CN" w:bidi="ar"/>
              </w:rPr>
              <w:t xml:space="preserve">不得分</w:t>
            </w:r>
            <w:r>
              <w:rPr>
                <w:rFonts w:hint="eastAsia" w:ascii="宋体" w:hAnsi="宋体" w:eastAsia="宋体" w:cs="宋体"/>
                <w:i w:val="0"/>
                <w:iCs w:val="0"/>
                <w:color w:val="auto"/>
                <w:sz w:val="24"/>
                <w:szCs w:val="24"/>
                <w:highlight w:val="none"/>
                <w:u w:val="none"/>
                <w:lang w:val="en-US" w:eastAsia="zh-CN" w:bidi="ar"/>
              </w:rPr>
              <w:t xml:space="preserve">，本部分最多</w:t>
            </w:r>
            <w:r>
              <w:rPr>
                <w:rFonts w:hint="eastAsia" w:ascii="宋体" w:hAnsi="宋体" w:cs="宋体"/>
                <w:i w:val="0"/>
                <w:iCs w:val="0"/>
                <w:color w:val="auto"/>
                <w:sz w:val="24"/>
                <w:szCs w:val="24"/>
                <w:highlight w:val="none"/>
                <w:u w:val="none"/>
                <w:lang w:val="en-US" w:eastAsia="zh-CN" w:bidi="ar"/>
              </w:rPr>
              <w:t xml:space="preserve">得10</w:t>
            </w:r>
            <w:r>
              <w:rPr>
                <w:rFonts w:hint="eastAsia" w:ascii="宋体" w:hAnsi="宋体" w:eastAsia="宋体" w:cs="宋体"/>
                <w:i w:val="0"/>
                <w:iCs w:val="0"/>
                <w:color w:val="auto"/>
                <w:sz w:val="24"/>
                <w:szCs w:val="24"/>
                <w:highlight w:val="none"/>
                <w:u w:val="none"/>
                <w:lang w:val="en-US" w:eastAsia="zh-CN" w:bidi="ar"/>
              </w:rPr>
              <w:t xml:space="preserve">分，未演示不得分。</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投标人演示人员和设备需在评标前到达射阳县公共资源交易中心八楼等候区。按照苏采云系统安排的顺序进行现场演示，演示需按照招标文件的规定和评标委员会的要求进行，时间不超过15分钟。采购中心提供投影机及幕布，其他所需设备由投标人自备。</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技术服务方案</w:t>
            </w:r>
            <w:r>
              <w:rPr>
                <w:rFonts w:hint="eastAsia" w:ascii="宋体" w:hAnsi="宋体" w:eastAsia="宋体" w:cs="宋体"/>
                <w:i w:val="0"/>
                <w:iCs w:val="0"/>
                <w:color w:val="auto"/>
                <w:sz w:val="24"/>
                <w:szCs w:val="24"/>
                <w:highlight w:val="none"/>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根据投标人提供的技术服务方案描述，方案内容包括但不限于：</w:t>
            </w:r>
            <w:r>
              <w:rPr>
                <w:rFonts w:hint="eastAsia" w:ascii="宋体" w:hAnsi="宋体" w:eastAsia="宋体" w:cs="宋体"/>
                <w:i w:val="0"/>
                <w:iCs w:val="0"/>
                <w:color w:val="auto"/>
                <w:sz w:val="24"/>
                <w:szCs w:val="24"/>
                <w:highlight w:val="none"/>
                <w:u w:val="none"/>
                <w:lang w:val="en-US" w:eastAsia="zh-CN" w:bidi="ar"/>
              </w:rPr>
              <w:t xml:space="preserve">①技术支撑保障；②项目实施方案、风险管理等内容</w:t>
            </w:r>
            <w:r>
              <w:rPr>
                <w:rFonts w:hint="eastAsia" w:ascii="宋体" w:hAnsi="宋体" w:eastAsia="宋体" w:cs="宋体"/>
                <w:i w:val="0"/>
                <w:iCs w:val="0"/>
                <w:color w:val="auto"/>
                <w:sz w:val="24"/>
                <w:szCs w:val="24"/>
                <w:highlight w:val="none"/>
                <w:u w:val="none"/>
                <w:lang w:val="en-US" w:eastAsia="zh" w:bidi="ar"/>
              </w:rPr>
              <w:t xml:space="preserve">。要求方案细致完整、针对性强、措施有力，方案的贯彻应能满足本项目各项服务要求。方案内容描述全面合理符合采购需求的得</w:t>
            </w: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每有一项内容缺失的扣</w:t>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 w:bidi="ar"/>
              </w:rPr>
              <w:t xml:space="preserve">分;每有一处内容存在缺陷或不满足要求的扣</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 w:bidi="ar"/>
              </w:rPr>
              <w:t xml:space="preserve">分，扣完为止</w:t>
            </w:r>
            <w:r>
              <w:rPr>
                <w:rFonts w:hint="eastAsia" w:ascii="宋体" w:hAnsi="宋体" w:eastAsia="宋体" w:cs="宋体"/>
                <w:i w:val="0"/>
                <w:iCs w:val="0"/>
                <w:color w:val="auto"/>
                <w:sz w:val="24"/>
                <w:szCs w:val="24"/>
                <w:highlight w:val="none"/>
                <w:u w:val="none"/>
                <w:lang w:val="en-US" w:eastAsia="zh" w:bidi="ar"/>
              </w:rPr>
              <w:t xml:space="preserve">。</w:t>
            </w:r>
            <w:r>
              <w:rPr>
                <w:rFonts w:hint="eastAsia" w:ascii="宋体" w:hAnsi="宋体" w:eastAsia="宋体" w:cs="宋体"/>
                <w:i w:val="0"/>
                <w:iCs w:val="0"/>
                <w:color w:val="auto"/>
                <w:sz w:val="24"/>
                <w:szCs w:val="24"/>
                <w:highlight w:val="none"/>
                <w:u w:val="none"/>
                <w:lang w:val="en-US" w:eastAsia="zh" w:bidi="ar"/>
              </w:rPr>
              <w:t xml:space="preserve"> (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3234"/>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p>
            <w:pPr>
              <w:jc w:val="left"/>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根据投标人提供的售后服务方案描述，方案内容包括但不限于：</w:t>
            </w:r>
            <w:r>
              <w:rPr>
                <w:rFonts w:hint="eastAsia" w:ascii="宋体" w:hAnsi="宋体" w:eastAsia="宋体" w:cs="宋体"/>
                <w:i w:val="0"/>
                <w:iCs w:val="0"/>
                <w:color w:val="auto"/>
                <w:sz w:val="24"/>
                <w:szCs w:val="24"/>
                <w:highlight w:val="none"/>
                <w:u w:val="none"/>
                <w:lang w:val="en-US" w:eastAsia="zh" w:bidi="ar"/>
              </w:rPr>
              <w:t xml:space="preserve">①服务保障体系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②售后服务内容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③售后服务响应时效</w:t>
            </w:r>
            <w:r>
              <w:rPr>
                <w:rFonts w:hint="eastAsia" w:ascii="宋体" w:hAnsi="宋体" w:cs="宋体"/>
                <w:i w:val="0"/>
                <w:iCs w:val="0"/>
                <w:color w:val="auto"/>
                <w:sz w:val="24"/>
                <w:szCs w:val="24"/>
                <w:highlight w:val="none"/>
                <w:u w:val="none"/>
                <w:lang w:val="en-US" w:eastAsia="zh-CN" w:bidi="ar"/>
              </w:rPr>
              <w:t xml:space="preserve">等内容</w:t>
            </w:r>
            <w:r>
              <w:rPr>
                <w:rFonts w:hint="eastAsia" w:ascii="宋体" w:hAnsi="宋体" w:eastAsia="宋体" w:cs="宋体"/>
                <w:i w:val="0"/>
                <w:iCs w:val="0"/>
                <w:color w:val="auto"/>
                <w:sz w:val="24"/>
                <w:szCs w:val="24"/>
                <w:highlight w:val="none"/>
                <w:u w:val="none"/>
                <w:lang w:val="en-US" w:eastAsia="zh" w:bidi="ar"/>
              </w:rPr>
              <w:t xml:space="preserve">。要求方案细致完整、针对性强、措施有力，方案的贯彻应能满足本项目各项服务要求。方案内容描述全面合理符合采购需求的得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每有一项内容缺失的扣</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 w:bidi="ar"/>
              </w:rPr>
              <w:t xml:space="preserve">每有一处内容存在缺陷或不满足要求的扣</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 w:bidi="ar"/>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节能环保</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05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2、投标产品属于财政部、生态环境部公布的“环境标志产品品目清单”范围内的，投标人提供国家确定的认证机构出具的、处于有效期内的该环保产品认证证书的，有1个得0.5分，最多得1分。</w:t>
            </w:r>
            <w:r/>
          </w:p>
        </w:tc>
      </w:tr>
    </w:tbl>
    <w:p>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90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90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90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90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900"/>
        <w:jc w:val="center"/>
        <w:keepNext/>
        <w:spacing w:beforeAutospacing="0" w:afterAutospacing="0"/>
        <w:rPr>
          <w:highlight w:val="none"/>
        </w:rPr>
      </w:pPr>
      <w:r>
        <w:rPr>
          <w:rFonts w:hint="eastAsia" w:ascii="黑体" w:hAnsi="宋体" w:eastAsia="黑体" w:cs="黑体"/>
          <w:color w:val="000000"/>
          <w:sz w:val="44"/>
          <w:szCs w:val="44"/>
          <w:highlight w:val="none"/>
        </w:rPr>
        <w:t xml:space="preserve"> </w:t>
      </w:r>
      <w:r/>
    </w:p>
    <w:p>
      <w:pPr>
        <w:pStyle w:val="900"/>
        <w:jc w:val="center"/>
        <w:spacing w:beforeAutospacing="0" w:afterAutospacing="0"/>
        <w:rPr>
          <w:highlight w:val="none"/>
        </w:rPr>
      </w:pPr>
      <w:r/>
      <w:bookmarkStart w:id="175" w:name="_Toc120614282"/>
      <w:r/>
      <w:bookmarkEnd w:id="175"/>
      <w:r/>
      <w:bookmarkStart w:id="176" w:name="_Toc49090576"/>
      <w:r/>
      <w:bookmarkEnd w:id="176"/>
      <w:r/>
      <w:bookmarkStart w:id="177" w:name="_Hlt26955039"/>
      <w:r/>
      <w:bookmarkStart w:id="178" w:name="_Hlt26671244"/>
      <w:r/>
      <w:bookmarkStart w:id="179" w:name="_Toc26554094"/>
      <w:r>
        <w:rPr>
          <w:rFonts w:hint="eastAsia" w:ascii="宋体" w:hAnsi="宋体" w:eastAsia="宋体" w:cs="宋体"/>
          <w:b/>
          <w:color w:val="000000"/>
          <w:sz w:val="72"/>
          <w:szCs w:val="72"/>
          <w:highlight w:val="none"/>
        </w:rPr>
        <w:t xml:space="preserve">投  标  文  件</w:t>
      </w:r>
      <w:r/>
    </w:p>
    <w:p>
      <w:pPr>
        <w:pStyle w:val="900"/>
        <w:jc w:val="center"/>
        <w:spacing w:beforeAutospacing="0" w:afterAutospacing="0"/>
        <w:rPr>
          <w:highlight w:val="none"/>
        </w:rPr>
      </w:pPr>
      <w:r>
        <w:rPr>
          <w:highlight w:val="none"/>
        </w:rPr>
        <w:t xml:space="preserve"> </w:t>
      </w:r>
      <w:r/>
    </w:p>
    <w:p>
      <w:pPr>
        <w:pStyle w:val="900"/>
        <w:jc w:val="center"/>
        <w:spacing w:beforeAutospacing="0" w:afterAutospacing="0"/>
        <w:rPr>
          <w:highlight w:val="none"/>
        </w:rPr>
      </w:pPr>
      <w:r>
        <w:rPr>
          <w:highlight w:val="none"/>
        </w:rPr>
        <w:t xml:space="preserve"> </w:t>
      </w:r>
      <w:r/>
    </w:p>
    <w:p>
      <w:pPr>
        <w:pStyle w:val="900"/>
        <w:jc w:val="center"/>
        <w:spacing w:beforeAutospacing="0" w:afterAutospacing="0"/>
        <w:rPr>
          <w:highlight w:val="none"/>
        </w:rPr>
      </w:pPr>
      <w:r>
        <w:rPr>
          <w:highlight w:val="none"/>
        </w:rPr>
        <w:t xml:space="preserve"> </w:t>
      </w:r>
      <w:r/>
    </w:p>
    <w:p>
      <w:pPr>
        <w:pStyle w:val="900"/>
        <w:jc w:val="center"/>
        <w:spacing w:beforeAutospacing="0" w:afterAutospacing="0"/>
        <w:rPr>
          <w:highlight w:val="none"/>
        </w:rPr>
      </w:pPr>
      <w:r>
        <w:rPr>
          <w:highlight w:val="none"/>
        </w:rPr>
        <w:t xml:space="preserve"> </w:t>
      </w:r>
      <w:r/>
    </w:p>
    <w:p>
      <w:pPr>
        <w:pStyle w:val="900"/>
        <w:jc w:val="center"/>
        <w:spacing w:beforeAutospacing="0" w:afterAutospacing="0"/>
        <w:rPr>
          <w:highlight w:val="none"/>
        </w:rPr>
      </w:pPr>
      <w:r>
        <w:rPr>
          <w:highlight w:val="none"/>
        </w:rPr>
        <w:t xml:space="preserve"> </w:t>
      </w:r>
      <w:r/>
    </w:p>
    <w:p>
      <w:pPr>
        <w:pStyle w:val="900"/>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900"/>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900"/>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w:t>
      </w:r>
      <w:r/>
    </w:p>
    <w:p>
      <w:pPr>
        <w:pStyle w:val="900"/>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both"/>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900"/>
        <w:jc w:val="center"/>
        <w:spacing w:beforeAutospacing="0" w:afterAutospacing="0" w:line="0" w:lineRule="atLeast"/>
        <w:rPr>
          <w:highlight w:val="none"/>
        </w:rPr>
      </w:pPr>
      <w:r>
        <w:rPr>
          <w:highlight w:val="none"/>
        </w:rPr>
        <w:t xml:space="preserve"> </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一、法人或者其他组织的营业执照等证明文件，自然人的身份证明</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lang w:val="en-US" w:eastAsia="zh-CN"/>
        </w:rPr>
        <w:t xml:space="preserve">二、上一年度的财务状况报表（至少提供资产负债表、利润表、现金流量表，投标人成立不满一年无需提供）</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、具备履行合同所必需的设备和专业技术能力的书面声明</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四</w:t>
      </w:r>
      <w:r>
        <w:rPr>
          <w:rFonts w:hint="eastAsia" w:ascii="宋体" w:hAnsi="宋体" w:eastAsia="宋体" w:cs="宋体"/>
          <w:i/>
          <w:iCs w:val="0"/>
          <w:color w:val="000000"/>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000000"/>
          <w:highlight w:val="none"/>
          <w:u w:val="single"/>
          <w:lang w:eastAsia="zh-CN"/>
        </w:rPr>
        <w:t xml:space="preserve">供应商</w:t>
      </w:r>
      <w:r>
        <w:rPr>
          <w:rFonts w:hint="eastAsia" w:ascii="宋体" w:hAnsi="宋体" w:eastAsia="宋体" w:cs="宋体"/>
          <w:i/>
          <w:iCs w:val="0"/>
          <w:color w:val="000000"/>
          <w:highlight w:val="none"/>
          <w:u w:val="single"/>
        </w:rPr>
        <w:t xml:space="preserve">依法享受缓缴、免缴税收、社会保障资金的提供证明材料。）</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五、参加政府采购活动前 3 年内在经营活动中没有重大违法记录的书面声明</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七、法人授权书</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八、投标函</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九、小微企业声明函</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十一、 关于符合本国产品标准的声明函</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十二、投标分项报价表</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w:t>
      </w: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w:t>
      </w:r>
      <w:r>
        <w:rPr>
          <w:rFonts w:hint="eastAsia" w:ascii="宋体" w:hAnsi="宋体" w:eastAsia="宋体" w:cs="宋体"/>
          <w:i/>
          <w:iCs w:val="0"/>
          <w:color w:val="000000"/>
          <w:highlight w:val="none"/>
          <w:u w:val="single"/>
          <w:lang w:val="en-US" w:eastAsia="zh-CN"/>
        </w:rPr>
        <w:t xml:space="preserve">资格性审查响应对照表</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十四、</w:t>
      </w:r>
      <w:r>
        <w:rPr>
          <w:rFonts w:hint="eastAsia" w:ascii="宋体" w:hAnsi="宋体" w:eastAsia="宋体" w:cs="宋体"/>
          <w:i/>
          <w:iCs w:val="0"/>
          <w:color w:val="000000"/>
          <w:highlight w:val="none"/>
          <w:u w:val="single"/>
        </w:rPr>
        <w:t xml:space="preserve">符合性检查响应对照表</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十六、开标一览表</w:t>
      </w:r>
      <w:r/>
    </w:p>
    <w:p>
      <w:pPr>
        <w:pStyle w:val="900"/>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十七、盐城市政府采购事前信用承诺书</w:t>
      </w:r>
      <w:r/>
    </w:p>
    <w:p>
      <w:pPr>
        <w:pStyle w:val="900"/>
        <w:jc w:val="both"/>
        <w:keepLines w:val="0"/>
        <w:keepNext w:val="0"/>
        <w:pageBreakBefore w:val="0"/>
        <w:spacing w:beforeAutospacing="0" w:afterAutospacing="0" w:line="420" w:lineRule="exact"/>
        <w:widowControl w:val="off"/>
        <w:rPr>
          <w:highlight w:val="none"/>
        </w:rPr>
      </w:pPr>
      <w:r>
        <w:rPr>
          <w:highlight w:val="none"/>
        </w:rPr>
      </w:r>
      <w:r/>
    </w:p>
    <w:p>
      <w:pPr>
        <w:pStyle w:val="900"/>
        <w:jc w:val="both"/>
        <w:keepLines w:val="0"/>
        <w:keepNext w:val="0"/>
        <w:pageBreakBefore w:val="0"/>
        <w:spacing w:beforeAutospacing="0" w:afterAutospacing="0" w:line="420" w:lineRule="exact"/>
        <w:widowControl w:val="off"/>
        <w:rPr>
          <w:highlight w:val="none"/>
        </w:rPr>
      </w:pPr>
      <w:r>
        <w:rPr>
          <w:highlight w:val="none"/>
        </w:rPr>
      </w:r>
      <w:r/>
    </w:p>
    <w:p>
      <w:pPr>
        <w:pStyle w:val="900"/>
        <w:ind w:firstLine="480"/>
        <w:jc w:val="both"/>
        <w:spacing w:beforeAutospacing="0" w:afterAutospacing="0" w:line="0" w:lineRule="atLeast"/>
        <w:rPr>
          <w:highlight w:val="none"/>
        </w:rPr>
      </w:pPr>
      <w:r>
        <w:rPr>
          <w:highlight w:val="none"/>
        </w:rPr>
        <w:t xml:space="preserve"> </w:t>
      </w:r>
      <w:r/>
    </w:p>
    <w:p>
      <w:pPr>
        <w:pStyle w:val="900"/>
        <w:ind w:firstLine="480"/>
        <w:jc w:val="both"/>
        <w:spacing w:beforeAutospacing="0" w:afterAutospacing="0" w:line="0" w:lineRule="atLeast"/>
        <w:rPr>
          <w:highlight w:val="none"/>
        </w:rPr>
      </w:pPr>
      <w:r>
        <w:rPr>
          <w:highlight w:val="none"/>
        </w:rPr>
        <w:t xml:space="preserve"> </w:t>
      </w:r>
      <w:r/>
    </w:p>
    <w:p>
      <w:pPr>
        <w:pStyle w:val="900"/>
        <w:ind w:firstLine="480"/>
        <w:jc w:val="both"/>
        <w:spacing w:beforeAutospacing="0" w:afterAutospacing="0" w:line="0" w:lineRule="atLeast"/>
        <w:rPr>
          <w:highlight w:val="none"/>
        </w:rPr>
      </w:pPr>
      <w:r>
        <w:rPr>
          <w:highlight w:val="none"/>
        </w:rPr>
        <w:t xml:space="preserve"> </w:t>
      </w:r>
      <w:r/>
    </w:p>
    <w:p>
      <w:pPr>
        <w:pStyle w:val="900"/>
        <w:ind w:firstLine="480"/>
        <w:jc w:val="both"/>
        <w:spacing w:beforeAutospacing="0" w:afterAutospacing="0" w:line="0" w:lineRule="atLeast"/>
        <w:rPr>
          <w:highlight w:val="none"/>
        </w:rPr>
      </w:pPr>
      <w:r>
        <w:rPr>
          <w:highlight w:val="none"/>
        </w:rPr>
        <w:t xml:space="preserve"> </w:t>
      </w:r>
      <w:r/>
    </w:p>
    <w:p>
      <w:pPr>
        <w:pStyle w:val="900"/>
        <w:jc w:val="center"/>
        <w:spacing w:beforeAutospacing="0" w:afterAutospacing="0"/>
        <w:rPr>
          <w:highlight w:val="none"/>
        </w:rPr>
      </w:pPr>
      <w:r>
        <w:rPr>
          <w:highlight w:val="none"/>
        </w:rPr>
      </w:r>
      <w:r/>
    </w:p>
    <w:p>
      <w:pPr>
        <w:pStyle w:val="900"/>
        <w:jc w:val="center"/>
        <w:spacing w:beforeAutospacing="0" w:afterAutospacing="0"/>
        <w:rPr>
          <w:highlight w:val="none"/>
        </w:rPr>
      </w:pPr>
      <w:r>
        <w:rPr>
          <w:highlight w:val="none"/>
        </w:rPr>
      </w:r>
      <w:r/>
    </w:p>
    <w:p>
      <w:pPr>
        <w:pStyle w:val="900"/>
        <w:jc w:val="center"/>
        <w:spacing w:beforeAutospacing="0" w:afterAutospacing="0"/>
        <w:rPr>
          <w:highlight w:val="none"/>
        </w:rPr>
      </w:pPr>
      <w:r>
        <w:rPr>
          <w:highlight w:val="none"/>
        </w:rPr>
      </w:r>
      <w:r/>
    </w:p>
    <w:p>
      <w:pPr>
        <w:pStyle w:val="900"/>
        <w:jc w:val="center"/>
        <w:spacing w:beforeAutospacing="0" w:afterAutospacing="0"/>
        <w:rPr>
          <w:highlight w:val="none"/>
        </w:rPr>
      </w:pPr>
      <w:r>
        <w:rPr>
          <w:highlight w:val="none"/>
        </w:rPr>
      </w:r>
      <w:r/>
    </w:p>
    <w:p>
      <w:pPr>
        <w:pStyle w:val="900"/>
        <w:jc w:val="center"/>
        <w:spacing w:beforeAutospacing="0" w:afterAutospacing="0"/>
        <w:rPr>
          <w:highlight w:val="none"/>
        </w:rPr>
      </w:pPr>
      <w:r>
        <w:rPr>
          <w:highlight w:val="none"/>
        </w:rPr>
      </w:r>
      <w:r/>
    </w:p>
    <w:p>
      <w:pPr>
        <w:pStyle w:val="900"/>
        <w:jc w:val="center"/>
        <w:spacing w:beforeAutospacing="0" w:afterAutospacing="0"/>
        <w:rPr>
          <w:highlight w:val="none"/>
        </w:rPr>
      </w:pPr>
      <w:r>
        <w:rPr>
          <w:highlight w:val="none"/>
        </w:rPr>
      </w:r>
      <w:r/>
    </w:p>
    <w:p>
      <w:pPr>
        <w:pStyle w:val="900"/>
        <w:jc w:val="center"/>
        <w:spacing w:beforeAutospacing="0" w:afterAutospacing="0"/>
        <w:rPr>
          <w:highlight w:val="none"/>
        </w:rPr>
      </w:pPr>
      <w:r>
        <w:rPr>
          <w:highlight w:val="none"/>
        </w:rPr>
      </w:r>
      <w:r/>
    </w:p>
    <w:p>
      <w:pPr>
        <w:pStyle w:val="894"/>
        <w:jc w:val="both"/>
        <w:spacing w:beforeAutospacing="0" w:afterAutospacing="0"/>
      </w:pPr>
      <w:r/>
      <w:bookmarkStart w:id="180" w:name="_Toc120614284"/>
      <w:r/>
      <w:bookmarkStart w:id="181" w:name="_格式3__银行出具的资信证明"/>
      <w:r/>
      <w:bookmarkStart w:id="182" w:name="_Hlt26955070"/>
      <w:r/>
      <w:bookmarkStart w:id="183" w:name="_Hlt26671380"/>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94"/>
        <w:ind w:firstLine="480"/>
        <w:jc w:val="both"/>
        <w:spacing w:beforeAutospacing="0" w:afterAutospacing="0" w:line="0" w:lineRule="atLeast"/>
      </w:pPr>
      <w:r>
        <w:t xml:space="preserve"> </w:t>
      </w:r>
      <w:r/>
    </w:p>
    <w:p>
      <w:pPr>
        <w:pStyle w:val="89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二、上一年度的财务状况报表</w:t>
      </w:r>
      <w:r/>
    </w:p>
    <w:p>
      <w:pPr>
        <w:pStyle w:val="894"/>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894"/>
        <w:jc w:val="both"/>
        <w:spacing w:beforeAutospacing="0" w:afterAutospacing="0"/>
      </w:pPr>
      <w:r>
        <w:t xml:space="preserve"> </w:t>
      </w:r>
      <w:r/>
    </w:p>
    <w:p>
      <w:pPr>
        <w:pStyle w:val="894"/>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9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9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94"/>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94"/>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94"/>
        <w:jc w:val="both"/>
        <w:spacing w:beforeAutospacing="0" w:afterAutospacing="0"/>
      </w:pPr>
      <w:r>
        <w:t xml:space="preserve"> </w:t>
      </w:r>
      <w:r/>
    </w:p>
    <w:p>
      <w:pPr>
        <w:pStyle w:val="89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94"/>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94"/>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9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94"/>
        <w:jc w:val="both"/>
        <w:spacing w:beforeAutospacing="0" w:afterAutospacing="0"/>
      </w:pPr>
      <w:r>
        <w:t xml:space="preserve"> </w:t>
      </w:r>
      <w:r/>
    </w:p>
    <w:p>
      <w:pPr>
        <w:pStyle w:val="89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9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9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94"/>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94"/>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94"/>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94"/>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94"/>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94"/>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94"/>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94"/>
        <w:ind w:firstLine="480"/>
        <w:jc w:val="both"/>
        <w:spacing w:beforeAutospacing="0" w:afterAutospacing="0"/>
        <w:tabs>
          <w:tab w:val="left" w:pos="360" w:leader="none"/>
        </w:tabs>
      </w:pPr>
      <w:r>
        <w:rPr>
          <w:rFonts w:ascii="Times New Roman" w:hAnsi="Times New Roman"/>
          <w:color w:val="000000"/>
        </w:rPr>
        <w:t xml:space="preserve">      日期：</w:t>
      </w:r>
      <w:r>
        <w:rPr>
          <w:rFonts w:ascii="Times New Roman" w:hAnsi="Times New Roman"/>
          <w:color w:val="000000"/>
          <w:u w:val="single"/>
        </w:rPr>
        <w:t xml:space="preserve">                                         </w:t>
      </w:r>
      <w:r/>
    </w:p>
    <w:p>
      <w:pPr>
        <w:pStyle w:val="894"/>
        <w:ind w:firstLine="360"/>
        <w:jc w:val="both"/>
        <w:spacing w:beforeAutospacing="0" w:afterAutospacing="0" w:line="0" w:lineRule="atLeast"/>
      </w:pPr>
      <w:r>
        <w:t xml:space="preserve"> </w:t>
      </w:r>
      <w:r>
        <w:rPr>
          <w:rFonts w:ascii="楷体" w:hAnsi="楷体" w:eastAsia="楷体" w:cs="楷体"/>
          <w:color w:val="000000"/>
          <w:shd w:val="clear" w:color="auto" w:fill="ffff00"/>
        </w:rPr>
        <w:t xml:space="preserve">备注 我公司（单位）委托进行现场演示的人员为</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（人员姓名），身份证号</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 xml:space="preserve">。</w:t>
      </w:r>
      <w:r/>
    </w:p>
    <w:p>
      <w:pPr>
        <w:pStyle w:val="894"/>
        <w:jc w:val="both"/>
        <w:spacing w:beforeAutospacing="0" w:afterAutospacing="0" w:line="0" w:lineRule="atLeast"/>
      </w:pPr>
      <w:r/>
      <w:r/>
    </w:p>
    <w:p>
      <w:pPr>
        <w:pStyle w:val="894"/>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4"/>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4"/>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894"/>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pt;mso-position-horizontal:absolute;mso-position-vertical-relative:text;margin-top:4.8pt;mso-position-vertical:absolute;width:451.2pt;height:140.0pt;mso-wrap-distance-left:9.0pt;mso-wrap-distance-top:0.0pt;mso-wrap-distance-right:9.0pt;mso-wrap-distance-bottom:0.0pt;" stroked="f">
                <v:path textboxrect="0,0,0,0"/>
                <v:imagedata r:id="rId13" o:title=""/>
              </v:shape>
            </w:pict>
          </mc:Fallback>
        </mc:AlternateContent>
      </w:r>
      <w:r/>
    </w:p>
    <w:p>
      <w:pPr>
        <w:pStyle w:val="894"/>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94"/>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94"/>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4"/>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4"/>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94"/>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94"/>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8.4pt;mso-position-horizontal:absolute;mso-position-vertical-relative:text;margin-top:30.5pt;mso-position-vertical:absolute;width:451.2pt;height:14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b/>
          <w:color w:val="000000"/>
        </w:rPr>
        <w:br w:type="page" w:clear="all"/>
      </w:r>
      <w:r/>
    </w:p>
    <w:p>
      <w:pPr>
        <w:pStyle w:val="900"/>
        <w:ind w:firstLine="3213"/>
        <w:jc w:val="both"/>
        <w:keepLines/>
        <w:keepNext/>
        <w:spacing w:before="260" w:beforeAutospacing="0" w:after="260" w:afterAutospacing="0" w:line="415" w:lineRule="auto"/>
        <w:rPr>
          <w:highlight w:val="none"/>
        </w:rPr>
      </w:pPr>
      <w:r>
        <w:rPr>
          <w:rFonts w:hint="eastAsia" w:ascii="黑体" w:eastAsia="黑体" w:cs="Times New Roman"/>
          <w:b/>
          <w:bCs/>
          <w:sz w:val="32"/>
          <w:szCs w:val="32"/>
          <w:highlight w:val="none"/>
          <w:lang w:val="en-US" w:eastAsia="zh-CN"/>
        </w:rPr>
        <w:t xml:space="preserve">     </w:t>
      </w:r>
      <w:r>
        <w:rPr>
          <w:rFonts w:hint="eastAsia" w:ascii="黑体" w:hAnsi="Calibri" w:eastAsia="黑体" w:cs="Times New Roman"/>
          <w:b/>
          <w:bCs/>
          <w:sz w:val="32"/>
          <w:szCs w:val="32"/>
          <w:highlight w:val="none"/>
          <w:lang w:val="en-US" w:eastAsia="zh-CN"/>
        </w:rPr>
        <w:t xml:space="preserve">八、投标函</w:t>
      </w:r>
      <w:r/>
    </w:p>
    <w:p>
      <w:pPr>
        <w:pStyle w:val="900"/>
        <w:spacing w:beforeAutospacing="0" w:afterAutospacing="0" w:line="0" w:lineRule="atLeast"/>
        <w:rPr>
          <w:rFonts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lang w:val="en-US" w:eastAsia="zh-CN"/>
        </w:rPr>
        <w:t xml:space="preserve">江苏省射阳中学</w:t>
      </w:r>
      <w:r/>
    </w:p>
    <w:p>
      <w:pPr>
        <w:pStyle w:val="900"/>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cs="宋体"/>
          <w:color w:val="000000"/>
          <w:highlight w:val="none"/>
          <w:lang w:val="en-US" w:eastAsia="zh-CN"/>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号招标文件，正式授权下述签字人_________(姓名)代表我方______________（</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的名称），全权处理本次项目投标的有关事宜。</w:t>
      </w:r>
      <w:r/>
    </w:p>
    <w:p>
      <w:pPr>
        <w:pStyle w:val="900"/>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900"/>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900"/>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w:t>
      </w:r>
      <w:r/>
    </w:p>
    <w:p>
      <w:pPr>
        <w:pStyle w:val="900"/>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00"/>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00"/>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00"/>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00"/>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90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90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90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90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900"/>
        <w:ind w:left="420" w:firstLine="480"/>
        <w:spacing w:beforeAutospacing="0" w:afterAutospacing="0" w:line="0" w:lineRule="atLeast"/>
        <w:rPr>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开户行：</w:t>
      </w:r>
      <w:r/>
    </w:p>
    <w:p>
      <w:pPr>
        <w:pStyle w:val="90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90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900"/>
        <w:ind w:firstLine="240"/>
        <w:jc w:val="center"/>
        <w:spacing w:beforeAutospacing="0" w:afterAutospacing="0" w:line="0" w:lineRule="atLeast"/>
        <w:rPr>
          <w:highlight w:val="none"/>
        </w:rPr>
      </w:pPr>
      <w:r>
        <w:rPr>
          <w:highlight w:val="none"/>
        </w:rPr>
        <w:t xml:space="preserve"> </w:t>
      </w:r>
      <w:r/>
    </w:p>
    <w:p>
      <w:pPr>
        <w:pStyle w:val="900"/>
        <w:ind w:firstLine="240"/>
        <w:jc w:val="center"/>
        <w:spacing w:beforeAutospacing="0" w:afterAutospacing="0" w:line="0" w:lineRule="atLeast"/>
        <w:rPr>
          <w:highlight w:val="none"/>
        </w:rPr>
      </w:pPr>
      <w:r>
        <w:rPr>
          <w:highlight w:val="none"/>
        </w:rPr>
        <w:t xml:space="preserve"> </w:t>
      </w:r>
      <w:r/>
    </w:p>
    <w:p>
      <w:pPr>
        <w:pStyle w:val="900"/>
        <w:ind w:firstLine="240"/>
        <w:jc w:val="center"/>
        <w:spacing w:beforeAutospacing="0" w:afterAutospacing="0" w:line="0" w:lineRule="atLeast"/>
        <w:rPr>
          <w:highlight w:val="none"/>
        </w:rPr>
      </w:pPr>
      <w:r>
        <w:rPr>
          <w:highlight w:val="none"/>
        </w:rPr>
        <w:t xml:space="preserve"> </w:t>
      </w:r>
      <w:r/>
    </w:p>
    <w:p>
      <w:pPr>
        <w:pStyle w:val="900"/>
        <w:ind w:firstLine="240"/>
        <w:jc w:val="center"/>
        <w:spacing w:beforeAutospacing="0" w:afterAutospacing="0" w:line="0" w:lineRule="atLeast"/>
        <w:rPr>
          <w:highlight w:val="none"/>
        </w:rPr>
      </w:pPr>
      <w:r>
        <w:rPr>
          <w:highlight w:val="none"/>
        </w:rPr>
        <w:t xml:space="preserve"> </w:t>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r>
      <w:r/>
    </w:p>
    <w:p>
      <w:pPr>
        <w:pStyle w:val="900"/>
        <w:ind w:firstLine="24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4"/>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九、小微企业声明函（货物）（分包号：**）</w:t>
      </w:r>
      <w:r/>
    </w:p>
    <w:p>
      <w:pPr>
        <w:pStyle w:val="894"/>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94"/>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94"/>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94"/>
        <w:ind w:firstLine="360"/>
        <w:jc w:val="both"/>
        <w:spacing w:beforeAutospacing="0" w:afterAutospacing="0" w:line="0" w:lineRule="atLeast"/>
      </w:pPr>
      <w:r>
        <w:rPr>
          <w:rFonts w:hint="eastAsia" w:ascii="宋体" w:hAnsi="宋体" w:eastAsia="宋体" w:cs="宋体"/>
          <w:color w:val="000000"/>
        </w:rPr>
        <w:t xml:space="preserve">……</w:t>
      </w:r>
      <w:r/>
    </w:p>
    <w:p>
      <w:pPr>
        <w:pStyle w:val="894"/>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94"/>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94"/>
        <w:ind w:right="720"/>
        <w:jc w:val="both"/>
        <w:spacing w:beforeAutospacing="0" w:afterAutospacing="0" w:line="0" w:lineRule="atLeast"/>
      </w:pPr>
      <w:r>
        <w:t xml:space="preserve"> </w:t>
      </w:r>
      <w:r/>
    </w:p>
    <w:p>
      <w:pPr>
        <w:pStyle w:val="894"/>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94"/>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94"/>
        <w:ind w:firstLine="360"/>
        <w:jc w:val="both"/>
        <w:spacing w:beforeAutospacing="0" w:afterAutospacing="0" w:line="0" w:lineRule="atLeast"/>
      </w:pPr>
      <w:r>
        <w:t xml:space="preserve"> </w:t>
      </w:r>
      <w:r/>
    </w:p>
    <w:p>
      <w:pPr>
        <w:pStyle w:val="894"/>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94"/>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90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rPr>
        <w:br w:type="page" w:clear="all"/>
      </w:r>
      <w:r/>
    </w:p>
    <w:p>
      <w:pPr>
        <w:pStyle w:val="90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00"/>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p>
    <w:p>
      <w:pPr>
        <w:pStyle w:val="900"/>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0"/>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cs="宋体"/>
          <w:color w:val="000000"/>
          <w:highlight w:val="none"/>
          <w:lang w:val="en-US" w:eastAsia="zh-CN"/>
        </w:rPr>
        <w:t xml:space="preserve">江苏省射阳中学</w:t>
      </w:r>
      <w:r>
        <w:rPr>
          <w:rFonts w:hint="eastAsia" w:ascii="宋体" w:hAnsi="宋体" w:eastAsia="宋体" w:cs="宋体"/>
          <w:color w:val="000000"/>
          <w:highlight w:val="none"/>
        </w:rPr>
        <w:t xml:space="preserve">的采购文件编号为</w:t>
      </w:r>
      <w:r>
        <w:rPr>
          <w:rFonts w:hint="eastAsia" w:ascii="宋体" w:hAnsi="宋体" w:eastAsia="宋体" w:cs="宋体"/>
          <w:color w:val="000000"/>
          <w:highlight w:val="none"/>
          <w:lang w:eastAsia="zh-CN"/>
        </w:rPr>
        <w:t xml:space="preserve">JSZC-320924-JZCG-G2026-0006</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江苏省射阳中学智慧校园采购项目（二次）</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p>
    <w:p>
      <w:pPr>
        <w:pStyle w:val="900"/>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00"/>
        <w:ind w:firstLine="480"/>
        <w:jc w:val="both"/>
        <w:spacing w:beforeAutospacing="0" w:afterAutospacing="0" w:line="0" w:lineRule="atLeast"/>
        <w:rPr>
          <w:highlight w:val="none"/>
        </w:rPr>
      </w:pPr>
      <w:r>
        <w:rPr>
          <w:highlight w:val="none"/>
        </w:rPr>
        <w:t xml:space="preserve"> </w:t>
      </w:r>
      <w:r/>
    </w:p>
    <w:p>
      <w:pPr>
        <w:pStyle w:val="90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900"/>
        <w:ind w:firstLine="624"/>
        <w:jc w:val="both"/>
        <w:spacing w:beforeAutospacing="0" w:afterAutospacing="0" w:line="0" w:lineRule="atLeast"/>
        <w:rPr>
          <w:highlight w:val="none"/>
        </w:rPr>
      </w:pPr>
      <w:r>
        <w:rPr>
          <w:highlight w:val="none"/>
        </w:rPr>
        <w:t xml:space="preserve"> </w:t>
      </w:r>
      <w:r/>
    </w:p>
    <w:p>
      <w:pPr>
        <w:pStyle w:val="900"/>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00"/>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t xml:space="preserve"> </w:t>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line="0" w:lineRule="atLeast"/>
        <w:rPr>
          <w:highlight w:val="none"/>
        </w:rPr>
      </w:pPr>
      <w:r>
        <w:rPr>
          <w:highlight w:val="none"/>
        </w:rPr>
      </w:r>
      <w:r/>
    </w:p>
    <w:p>
      <w:pPr>
        <w:pStyle w:val="90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00"/>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p>
    <w:p>
      <w:pPr>
        <w:pStyle w:val="900"/>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p>
    <w:p>
      <w:pPr>
        <w:pStyle w:val="900"/>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numPr>
          <w:ilvl w:val="0"/>
          <w:numId w:val="4"/>
        </w:numPr>
        <w:ind w:left="0" w:firstLine="420"/>
        <w:jc w:val="both"/>
        <w:keepLines w:val="0"/>
        <w:keepNext w:val="0"/>
        <w:spacing w:before="30" w:beforeAutospacing="0" w:after="30" w:afterAutospacing="0"/>
        <w:widowControl w:val="off"/>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900"/>
        <w:numPr>
          <w:ilvl w:val="0"/>
          <w:numId w:val="0"/>
        </w:numPr>
        <w:ind w:left="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900"/>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p>
    <w:p>
      <w:pPr>
        <w:pStyle w:val="900"/>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p>
    <w:p>
      <w:pPr>
        <w:pStyle w:val="90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p>
    <w:p>
      <w:pPr>
        <w:pStyle w:val="900"/>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p>
    <w:p>
      <w:pPr>
        <w:pStyle w:val="900"/>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p>
    <w:p>
      <w:pPr>
        <w:pStyle w:val="90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p>
    <w:p>
      <w:pPr>
        <w:pStyle w:val="90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p>
    <w:p>
      <w:pPr>
        <w:pStyle w:val="90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p>
    <w:p>
      <w:pPr>
        <w:numPr>
          <w:ilvl w:val="0"/>
          <w:numId w:val="0"/>
        </w:numPr>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r>
      <w:r/>
    </w:p>
    <w:p>
      <w:pPr>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投标产品配置及分项报价表</w:t>
      </w:r>
      <w:r/>
    </w:p>
    <w:tbl>
      <w:tblPr>
        <w:tblStyle w:val="88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产品</w:t>
            </w:r>
            <w:r/>
          </w:p>
          <w:p>
            <w:pPr>
              <w:pStyle w:val="894"/>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规格</w:t>
            </w:r>
            <w:r/>
          </w:p>
          <w:p>
            <w:pPr>
              <w:pStyle w:val="894"/>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4"/>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4"/>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4"/>
              <w:jc w:val="both"/>
              <w:spacing w:beforeAutospacing="0" w:afterAutospacing="0" w:line="0" w:lineRule="atLeast"/>
            </w:p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4"/>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4"/>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4"/>
              <w:jc w:val="both"/>
              <w:spacing w:beforeAutospacing="0" w:afterAutospacing="0" w:line="0" w:lineRule="atLeast"/>
            </w:p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ind w:firstLine="480"/>
      </w:pPr>
      <w:r>
        <w:t xml:space="preserve"> </w:t>
      </w:r>
      <w:r/>
    </w:p>
    <w:p>
      <w:pPr>
        <w:pStyle w:val="902"/>
        <w:ind w:firstLine="480"/>
      </w:pPr>
      <w:r/>
      <w:r/>
    </w:p>
    <w:p>
      <w:pPr>
        <w:ind w:firstLine="224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513"/>
      </w:pPr>
      <w:r>
        <w:rPr>
          <w:rFonts w:hint="eastAsia" w:ascii="宋体" w:hAnsi="宋体" w:eastAsia="宋体" w:cs="宋体"/>
          <w:color w:val="000000"/>
          <w:sz w:val="24"/>
          <w:szCs w:val="24"/>
          <w:highlight w:val="none"/>
          <w:lang w:val="en-US" w:eastAsia="zh-CN" w:bidi="ar-SA"/>
        </w:rPr>
        <w:t xml:space="preserve">企业名称（加盖CA电子公章）：</w:t>
      </w:r>
      <w:r>
        <w:rPr>
          <w:rFonts w:hint="eastAsia"/>
        </w:rPr>
        <w:t xml:space="preserve">      </w:t>
      </w:r>
      <w:r/>
    </w:p>
    <w:p>
      <w:pPr>
        <w:pStyle w:val="900"/>
        <w:jc w:val="both"/>
        <w:spacing w:beforeAutospacing="0" w:afterAutospacing="0"/>
        <w:rPr>
          <w:rFonts w:hint="eastAsia"/>
          <w:u w:val="single"/>
        </w:rPr>
      </w:pPr>
      <w:r>
        <w:rPr>
          <w:rFonts w:hint="eastAsia"/>
          <w:u w:val="single"/>
        </w:rPr>
      </w:r>
      <w:r/>
    </w:p>
    <w:p>
      <w:pPr>
        <w:pStyle w:val="900"/>
        <w:ind w:firstLine="5520"/>
        <w:jc w:val="both"/>
        <w:spacing w:beforeAutospacing="0" w:afterAutospacing="0"/>
        <w:rPr>
          <w:rFonts w:hint="eastAsia" w:ascii="黑体" w:hAnsi="宋体" w:eastAsia="黑体" w:cs="黑体"/>
          <w:b/>
          <w:color w:val="000000"/>
          <w:sz w:val="32"/>
          <w:szCs w:val="32"/>
          <w:highlight w:val="none"/>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90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0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rPr>
          <w:rFonts w:hAnsi="宋体"/>
          <w:b/>
          <w:bCs/>
          <w:sz w:val="32"/>
          <w:szCs w:val="32"/>
        </w:rPr>
        <w:outlineLvl w:val="1"/>
      </w:pPr>
      <w:r/>
      <w:bookmarkStart w:id="184" w:name="_格式2__法定代表人授权书"/>
      <w:r/>
      <w:bookmarkStart w:id="185" w:name="_Hlt26955054"/>
      <w:r/>
      <w:bookmarkStart w:id="186" w:name="_Hlt26955066"/>
      <w:r/>
      <w:bookmarkStart w:id="187" w:name="_Hlt26609389"/>
      <w:r/>
      <w:bookmarkStart w:id="188" w:name="_Toc462564146"/>
      <w:r/>
      <w:bookmarkStart w:id="189" w:name="_Hlt26671374"/>
      <w:r>
        <w:rPr>
          <w:rFonts w:hint="eastAsia" w:ascii="黑体" w:hAnsi="宋体" w:eastAsia="黑体" w:cs="黑体"/>
          <w:b/>
          <w:color w:val="000000"/>
          <w:sz w:val="32"/>
          <w:szCs w:val="32"/>
          <w:lang w:val="en-US" w:eastAsia="zh-CN" w:bidi="ar-SA"/>
        </w:rPr>
        <w:t xml:space="preserve">十二、资格性审查响应对照表</w:t>
      </w:r>
      <w:r/>
    </w:p>
    <w:tbl>
      <w:tblPr>
        <w:tblStyle w:val="888"/>
        <w:tblW w:w="9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900"/>
        <w:gridCol w:w="173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90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73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提供营业执照</w:t>
            </w:r>
            <w:r/>
          </w:p>
        </w:tc>
        <w:tc>
          <w:tcPr>
            <w:tcW w:w="173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年度财务状况报告</w:t>
            </w:r>
            <w:r/>
          </w:p>
        </w:tc>
        <w:tc>
          <w:tcPr>
            <w:tcW w:w="173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本年度近期依法缴纳税费凭证</w:t>
            </w:r>
            <w:r/>
          </w:p>
        </w:tc>
        <w:tc>
          <w:tcPr>
            <w:tcW w:w="1730"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6900" w:type="dxa"/>
            <w:vAlign w:val="center"/>
            <w:textDirection w:val="lrTb"/>
            <w:noWrap w:val="false"/>
          </w:tcPr>
          <w:p>
            <w:pPr>
              <w:rPr>
                <w:rFonts w:hAnsi="宋体"/>
                <w:iCs/>
                <w:sz w:val="24"/>
              </w:rPr>
            </w:pPr>
            <w:r>
              <w:rPr>
                <w:rFonts w:hint="eastAsia" w:hAnsi="宋体"/>
                <w:iCs/>
                <w:sz w:val="24"/>
              </w:rPr>
              <w:t xml:space="preserve">本年度近期依法缴纳社保费的凭证</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5</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rPr>
              <w:t xml:space="preserve">具备履行合同所必需的设备和专业技术能力的书面声明；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highlight w:val="yellow"/>
              </w:rPr>
            </w:pPr>
            <w:r>
              <w:rPr>
                <w:rFonts w:hint="eastAsia" w:hAnsi="宋体"/>
              </w:rPr>
              <w:t xml:space="preserve">6</w:t>
            </w:r>
            <w:r/>
          </w:p>
        </w:tc>
        <w:tc>
          <w:tcPr>
            <w:tcW w:w="6900" w:type="dxa"/>
            <w:vAlign w:val="center"/>
            <w:textDirection w:val="lrTb"/>
            <w:noWrap w:val="false"/>
          </w:tcPr>
          <w:p>
            <w:pPr>
              <w:spacing w:line="480" w:lineRule="exact"/>
              <w:rPr>
                <w:rFonts w:hint="eastAsia" w:hAnsi="宋体"/>
                <w:iCs/>
                <w:sz w:val="24"/>
              </w:rPr>
            </w:pPr>
            <w:r>
              <w:rPr>
                <w:rFonts w:hint="eastAsia" w:hAnsi="宋体"/>
                <w:iCs/>
                <w:sz w:val="24"/>
              </w:rPr>
              <w:t xml:space="preserve">参加政府采购活动前3年内在经营活动中没有重大违法记录的书面声明。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7</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lang w:val="en-US" w:eastAsia="zh-CN"/>
              </w:rPr>
              <w:t xml:space="preserve">信用中国查询材料</w:t>
            </w:r>
            <w:r/>
          </w:p>
        </w:tc>
        <w:tc>
          <w:tcPr>
            <w:tcW w:w="173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8</w:t>
            </w:r>
            <w:r/>
          </w:p>
        </w:tc>
        <w:tc>
          <w:tcPr>
            <w:tcW w:w="6900" w:type="dxa"/>
            <w:vAlign w:val="center"/>
            <w:textDirection w:val="lrTb"/>
            <w:noWrap w:val="false"/>
          </w:tcPr>
          <w:p>
            <w:pPr>
              <w:spacing w:line="480" w:lineRule="exact"/>
              <w:rPr>
                <w:rFonts w:hint="default" w:hAnsi="宋体"/>
                <w:iCs/>
                <w:sz w:val="24"/>
                <w:lang w:val="en-US" w:eastAsia="zh-CN"/>
              </w:rPr>
            </w:pPr>
            <w:r>
              <w:rPr>
                <w:rFonts w:hint="default" w:hAnsi="宋体"/>
                <w:iCs/>
                <w:sz w:val="24"/>
                <w:lang w:val="en-US" w:eastAsia="zh-CN"/>
              </w:rPr>
            </w:r>
            <w:r/>
          </w:p>
        </w:tc>
        <w:tc>
          <w:tcPr>
            <w:tcW w:w="1730" w:type="dxa"/>
            <w:vAlign w:val="center"/>
            <w:textDirection w:val="lrTb"/>
            <w:noWrap w:val="false"/>
          </w:tcPr>
          <w:p>
            <w:pPr>
              <w:rPr>
                <w:rFonts w:hAnsi="宋体"/>
              </w:rPr>
            </w:pPr>
            <w:r>
              <w:rPr>
                <w:rFonts w:hAnsi="宋体"/>
              </w:rPr>
            </w:r>
            <w:r/>
          </w:p>
        </w:tc>
      </w:tr>
      <w:tr>
        <w:trPr>
          <w:trHeight w:val="3068"/>
        </w:trPr>
        <w:tc>
          <w:tcPr>
            <w:tcW w:w="646" w:type="dxa"/>
            <w:vAlign w:val="center"/>
            <w:textDirection w:val="lrTb"/>
            <w:noWrap w:val="false"/>
          </w:tcPr>
          <w:p>
            <w:pPr>
              <w:rPr>
                <w:rFonts w:hAnsi="宋体"/>
              </w:rPr>
            </w:pPr>
            <w:r>
              <w:rPr>
                <w:rFonts w:hAnsi="宋体"/>
              </w:rPr>
            </w:r>
            <w:r/>
          </w:p>
        </w:tc>
        <w:tc>
          <w:tcPr>
            <w:tcW w:w="6900" w:type="dxa"/>
            <w:vAlign w:val="center"/>
            <w:textDirection w:val="lrTb"/>
            <w:noWrap w:val="false"/>
          </w:tcPr>
          <w:p>
            <w:pPr>
              <w:spacing w:line="590" w:lineRule="atLeast"/>
              <w:rPr>
                <w:rFonts w:hAnsi="宋体"/>
                <w:iCs/>
                <w:sz w:val="24"/>
              </w:rPr>
            </w:pPr>
            <w:r>
              <w:rPr>
                <w:rFonts w:hAnsi="宋体"/>
                <w:iCs/>
                <w:sz w:val="24"/>
              </w:rPr>
            </w:r>
            <w:r/>
          </w:p>
        </w:tc>
        <w:tc>
          <w:tcPr>
            <w:tcW w:w="173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int="eastAsia" w:hAnsi="宋体"/>
          <w:b/>
          <w:bCs/>
          <w:sz w:val="32"/>
          <w:szCs w:val="32"/>
          <w:lang w:val="en-US" w:eastAsia="zh-CN"/>
        </w:rPr>
        <w:t xml:space="preserve">十三、</w:t>
      </w:r>
      <w:r>
        <w:rPr>
          <w:rFonts w:hint="eastAsia" w:hAnsi="宋体"/>
          <w:b/>
          <w:bCs/>
          <w:sz w:val="32"/>
          <w:szCs w:val="32"/>
        </w:rPr>
        <w:t xml:space="preserve">符合性检查响应对照表</w:t>
      </w:r>
      <w:r/>
    </w:p>
    <w:tbl>
      <w:tblPr>
        <w:tblStyle w:val="888"/>
        <w:tblW w:w="8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70"/>
        <w:gridCol w:w="315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4770"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15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1</w:t>
            </w:r>
            <w:r/>
          </w:p>
        </w:tc>
        <w:tc>
          <w:tcPr>
            <w:tcW w:w="4770" w:type="dxa"/>
            <w:vAlign w:val="center"/>
            <w:textDirection w:val="lrTb"/>
            <w:noWrap w:val="false"/>
          </w:tcPr>
          <w:p>
            <w:pPr>
              <w:rPr>
                <w:rFonts w:hint="eastAsia" w:hAnsi="宋体" w:eastAsia="宋体"/>
                <w:iCs/>
                <w:sz w:val="24"/>
                <w:szCs w:val="22"/>
                <w:lang w:val="en-US" w:eastAsia="zh-CN"/>
              </w:rPr>
            </w:pPr>
            <w:r>
              <w:rPr>
                <w:rFonts w:hint="eastAsia" w:hAnsi="宋体"/>
                <w:iCs/>
                <w:sz w:val="24"/>
                <w:szCs w:val="22"/>
              </w:rPr>
              <w:t xml:space="preserve">质量要求</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2</w:t>
            </w:r>
            <w:r/>
          </w:p>
        </w:tc>
        <w:tc>
          <w:tcPr>
            <w:tcW w:w="4770" w:type="dxa"/>
            <w:vAlign w:val="center"/>
            <w:textDirection w:val="lrTb"/>
            <w:noWrap w:val="false"/>
          </w:tcPr>
          <w:p>
            <w:pPr>
              <w:rPr>
                <w:rFonts w:hAnsi="宋体"/>
                <w:iCs/>
                <w:sz w:val="24"/>
                <w:szCs w:val="22"/>
              </w:rPr>
            </w:pPr>
            <w:r>
              <w:rPr>
                <w:rFonts w:hint="eastAsia" w:hAnsi="宋体"/>
                <w:iCs/>
                <w:sz w:val="24"/>
                <w:szCs w:val="22"/>
              </w:rPr>
              <w:t xml:space="preserve">售后服务</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3</w:t>
            </w:r>
            <w:r/>
          </w:p>
        </w:tc>
        <w:tc>
          <w:tcPr>
            <w:tcW w:w="4770" w:type="dxa"/>
            <w:vAlign w:val="center"/>
            <w:textDirection w:val="lrTb"/>
            <w:noWrap w:val="false"/>
          </w:tcPr>
          <w:p>
            <w:pPr>
              <w:rPr>
                <w:rFonts w:hint="eastAsia" w:hAnsi="宋体" w:eastAsiaTheme="minorEastAsia"/>
                <w:iCs/>
                <w:sz w:val="24"/>
                <w:szCs w:val="22"/>
                <w:lang w:val="en-US" w:eastAsia="zh-CN"/>
              </w:rPr>
            </w:pPr>
            <w:r>
              <w:rPr>
                <w:rFonts w:hint="eastAsia" w:hAnsi="宋体" w:eastAsiaTheme="minorEastAsia"/>
                <w:iCs/>
                <w:sz w:val="24"/>
                <w:szCs w:val="22"/>
                <w:lang w:val="en-US" w:eastAsia="zh-CN"/>
              </w:rPr>
              <w:t xml:space="preserve">验收标准</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4</w:t>
            </w:r>
            <w:r/>
          </w:p>
        </w:tc>
        <w:tc>
          <w:tcPr>
            <w:tcW w:w="4770" w:type="dxa"/>
            <w:vAlign w:val="center"/>
            <w:textDirection w:val="lrTb"/>
            <w:noWrap w:val="false"/>
          </w:tcPr>
          <w:p>
            <w:pPr>
              <w:spacing w:line="590" w:lineRule="atLeast"/>
              <w:rPr>
                <w:rFonts w:hint="default" w:hAnsi="宋体" w:eastAsiaTheme="minorEastAsia"/>
                <w:iCs/>
                <w:sz w:val="24"/>
                <w:lang w:val="en-US" w:eastAsia="zh-CN"/>
              </w:rPr>
            </w:pPr>
            <w:r>
              <w:rPr>
                <w:rFonts w:hint="eastAsia" w:hAnsi="宋体"/>
                <w:iCs/>
                <w:sz w:val="24"/>
                <w:lang w:val="en-US" w:eastAsia="zh-CN"/>
              </w:rPr>
              <w:t xml:space="preserve">合同履行期限和地点</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eastAsia="宋体"/>
                <w:lang w:val="en-US" w:eastAsia="zh-CN"/>
              </w:rPr>
            </w:pPr>
            <w:r>
              <w:rPr>
                <w:rFonts w:hint="eastAsia" w:hAnsi="宋体"/>
                <w:lang w:val="en-US" w:eastAsia="zh-CN"/>
              </w:rPr>
              <w:t xml:space="preserve">5</w:t>
            </w:r>
            <w:r/>
          </w:p>
        </w:tc>
        <w:tc>
          <w:tcPr>
            <w:tcW w:w="4770" w:type="dxa"/>
            <w:vAlign w:val="center"/>
            <w:textDirection w:val="lrTb"/>
            <w:noWrap w:val="false"/>
          </w:tcPr>
          <w:p>
            <w:pPr>
              <w:spacing w:line="590" w:lineRule="atLeast"/>
              <w:rPr>
                <w:rFonts w:hAnsi="宋体"/>
                <w:iCs/>
                <w:sz w:val="24"/>
              </w:rPr>
            </w:pPr>
            <w:r>
              <w:rPr>
                <w:rFonts w:hint="eastAsia" w:hAnsi="宋体"/>
                <w:iCs/>
                <w:sz w:val="24"/>
              </w:rPr>
              <w:t xml:space="preserve">付款方式</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4770" w:type="dxa"/>
            <w:vAlign w:val="center"/>
            <w:textDirection w:val="lrTb"/>
            <w:noWrap w:val="false"/>
          </w:tcPr>
          <w:p>
            <w:pPr>
              <w:spacing w:line="590" w:lineRule="atLeast"/>
              <w:rPr>
                <w:rFonts w:hAnsi="宋体"/>
                <w:iCs/>
                <w:sz w:val="24"/>
              </w:rPr>
            </w:pPr>
            <w:r>
              <w:rPr>
                <w:rFonts w:hAnsi="宋体"/>
                <w:iCs/>
                <w:sz w:val="24"/>
              </w:rPr>
            </w:r>
            <w:r/>
          </w:p>
        </w:tc>
        <w:tc>
          <w:tcPr>
            <w:tcW w:w="315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4770" w:type="dxa"/>
            <w:vAlign w:val="center"/>
            <w:textDirection w:val="lrTb"/>
            <w:noWrap w:val="false"/>
          </w:tcPr>
          <w:p>
            <w:pPr>
              <w:spacing w:line="590" w:lineRule="atLeast"/>
              <w:rPr>
                <w:rFonts w:hAnsi="宋体"/>
                <w:iCs/>
                <w:sz w:val="24"/>
              </w:rPr>
            </w:pPr>
            <w:r>
              <w:rPr>
                <w:rFonts w:hAnsi="宋体"/>
                <w:iCs/>
                <w:sz w:val="24"/>
              </w:rPr>
            </w:r>
            <w:r/>
          </w:p>
        </w:tc>
        <w:tc>
          <w:tcPr>
            <w:tcW w:w="315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903"/>
        <w:ind w:firstLine="562"/>
        <w:rPr>
          <w:rFonts w:hAnsi="宋体" w:eastAsia="宋体" w:cs="Times New Roman"/>
          <w:b/>
          <w:color w:val="000000"/>
          <w:szCs w:val="28"/>
        </w:rPr>
      </w:pPr>
      <w:r>
        <w:rPr>
          <w:rFonts w:hAnsi="宋体" w:eastAsia="宋体" w:cs="Times New Roman"/>
          <w:b/>
          <w:color w:val="000000"/>
          <w:szCs w:val="28"/>
        </w:rPr>
      </w:r>
      <w:r/>
    </w:p>
    <w:p>
      <w:pPr>
        <w:pStyle w:val="886"/>
        <w:rPr>
          <w:rFonts w:hAnsi="宋体" w:eastAsia="宋体"/>
          <w:b/>
          <w:bCs/>
          <w:sz w:val="32"/>
          <w:szCs w:val="32"/>
        </w:rPr>
      </w:pPr>
      <w:r>
        <w:rPr>
          <w:rFonts w:hAnsi="宋体" w:eastAsia="宋体"/>
          <w:b/>
          <w:bCs/>
          <w:sz w:val="32"/>
          <w:szCs w:val="32"/>
        </w:rPr>
      </w:r>
      <w:r/>
    </w:p>
    <w:p>
      <w:r/>
      <w:r/>
    </w:p>
    <w:p>
      <w:pPr>
        <w:pStyle w:val="889"/>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pStyle w:val="886"/>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1</w:t>
      </w:r>
      <w:r>
        <w:rPr>
          <w:rFonts w:hint="eastAsia" w:hAnsi="宋体" w:eastAsia="宋体"/>
          <w:b/>
          <w:bCs/>
          <w:sz w:val="32"/>
          <w:szCs w:val="32"/>
        </w:rPr>
        <w:t xml:space="preserve">、         </w:t>
      </w:r>
      <w:r>
        <w:rPr>
          <w:rFonts w:hint="eastAsia" w:hAnsi="宋体" w:eastAsia="宋体"/>
          <w:b/>
          <w:bCs/>
          <w:sz w:val="32"/>
          <w:szCs w:val="32"/>
          <w:lang w:val="en-US" w:eastAsia="zh-CN"/>
        </w:rPr>
        <w:t xml:space="preserve">   </w:t>
      </w:r>
      <w:r>
        <w:rPr>
          <w:rFonts w:hint="eastAsia" w:hAnsi="宋体" w:eastAsia="宋体"/>
          <w:b/>
          <w:bCs/>
          <w:sz w:val="32"/>
          <w:szCs w:val="32"/>
        </w:rPr>
        <w:t xml:space="preserve">实质性响应内容</w:t>
      </w:r>
      <w:r/>
    </w:p>
    <w:p>
      <w:r/>
      <w:r/>
    </w:p>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一</w:t>
      </w: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二</w:t>
      </w:r>
      <w:r>
        <w:rPr>
          <w:rFonts w:hint="eastAsia" w:ascii="宋体" w:hAnsi="宋体" w:eastAsia="宋体" w:cs="Times New Roman"/>
          <w:b/>
          <w:bCs/>
          <w:color w:val="000000"/>
          <w:sz w:val="24"/>
          <w:szCs w:val="24"/>
          <w:lang w:val="en-US" w:eastAsia="zh-CN"/>
        </w:rPr>
        <w:t xml:space="preserve">、售后服务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1、自项目验收交付之日起免费质保期为：3年（若国家和/或生产厂家对本项目所涉及货物的质量保证期的规定高于本项目的要求，应按国家和/或生产厂家的规定执行）。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三</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w:t>
      </w:r>
      <w:r>
        <w:rPr>
          <w:rFonts w:hint="eastAsia" w:ascii="宋体" w:hAnsi="宋体" w:cs="Times New Roman"/>
          <w:i w:val="0"/>
          <w:iCs w:val="0"/>
          <w:color w:val="000000"/>
          <w:sz w:val="24"/>
          <w:szCs w:val="24"/>
          <w:u w:val="none"/>
          <w:lang w:val="en-US" w:eastAsia="zh-CN"/>
        </w:rPr>
        <w:t xml:space="preserve">做出</w:t>
      </w:r>
      <w:r>
        <w:rPr>
          <w:rFonts w:hint="eastAsia" w:ascii="宋体" w:hAnsi="宋体" w:eastAsia="宋体" w:cs="Times New Roman"/>
          <w:i w:val="0"/>
          <w:iCs w:val="0"/>
          <w:color w:val="000000"/>
          <w:sz w:val="24"/>
          <w:szCs w:val="24"/>
          <w:u w:val="none"/>
          <w:lang w:val="en-US" w:eastAsia="zh-CN"/>
        </w:rPr>
        <w:t xml:space="preserve">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四</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1、合同履行期限：中标单位与采购方签订合同后30日内供货到采购人指定地点完成安装、调试工作，并经采购人验收合格。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五</w:t>
      </w:r>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经审计结束（项目审计工作将在验收合格后90日内完成）、验收合格满一年后，付至项目审计总价款的90%;验收合格满三年后，无质量、服务问题一次性付清项目审计总价余款(无息)</w:t>
      </w:r>
      <w:r/>
    </w:p>
    <w:p>
      <w:pPr>
        <w:pStyle w:val="903"/>
        <w:ind w:firstLine="560"/>
        <w:rPr>
          <w:rFonts w:hint="eastAsia" w:hAnsi="宋体" w:asciiTheme="minorHAnsi" w:eastAsiaTheme="minorEastAsia" w:cstheme="minorBidi"/>
          <w:bCs/>
          <w:sz w:val="28"/>
          <w:szCs w:val="28"/>
          <w:lang w:val="en-US" w:eastAsia="zh-CN" w:bidi="ar-SA"/>
        </w:rPr>
      </w:pPr>
      <w:r>
        <w:rPr>
          <w:rFonts w:hint="eastAsia" w:hAnsi="宋体" w:asciiTheme="minorHAnsi" w:eastAsiaTheme="minorEastAsia" w:cstheme="minorBidi"/>
          <w:bCs/>
          <w:sz w:val="28"/>
          <w:szCs w:val="28"/>
          <w:lang w:val="en-US" w:eastAsia="zh-CN" w:bidi="ar-SA"/>
        </w:rPr>
        <w:t xml:space="preserve">我公司承诺响应上述项目需求内容。</w:t>
      </w:r>
      <w:r/>
    </w:p>
    <w:p>
      <w:pPr>
        <w:pStyle w:val="903"/>
        <w:ind w:firstLine="560"/>
        <w:rPr>
          <w:rFonts w:hint="eastAsia" w:ascii="宋体" w:hAnsi="宋体" w:eastAsia="宋体" w:cs="Times New Roman"/>
          <w:i/>
          <w:iCs/>
          <w:color w:val="000000"/>
          <w:sz w:val="24"/>
          <w:szCs w:val="24"/>
          <w:u w:val="single"/>
          <w:lang w:val="en-US" w:eastAsia="zh-CN" w:bidi="ar-SA"/>
        </w:rPr>
      </w:pPr>
      <w:r>
        <w:rPr>
          <w:rFonts w:hint="eastAsia" w:ascii="宋体" w:hAnsi="宋体" w:eastAsia="宋体" w:cs="Times New Roman"/>
          <w:i/>
          <w:iCs/>
          <w:color w:val="000000"/>
          <w:sz w:val="24"/>
          <w:szCs w:val="24"/>
          <w:u w:val="single"/>
          <w:lang w:val="en-US" w:eastAsia="zh-CN" w:bidi="ar-SA"/>
        </w:rPr>
      </w:r>
      <w:r/>
    </w:p>
    <w:p>
      <w:pPr>
        <w:pStyle w:val="903"/>
        <w:ind w:firstLine="560"/>
        <w:rPr>
          <w:rFonts w:hAnsi="宋体" w:eastAsia="宋体" w:cs="Times New Roman"/>
          <w:szCs w:val="28"/>
        </w:rPr>
      </w:pPr>
      <w:r>
        <w:rPr>
          <w:rFonts w:hAnsi="宋体" w:eastAsia="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890"/>
        <w:ind w:left="0" w:right="0" w:firstLine="4340"/>
        <w:spacing w:line="560" w:lineRule="exact"/>
        <w:rPr>
          <w:rFonts w:hAnsi="宋体"/>
          <w:bCs/>
          <w:sz w:val="28"/>
          <w:szCs w:val="28"/>
        </w:rPr>
      </w:pPr>
      <w:r>
        <w:rPr>
          <w:rFonts w:hint="eastAsia" w:hAnsi="宋体"/>
          <w:bCs/>
          <w:sz w:val="28"/>
          <w:szCs w:val="28"/>
        </w:rPr>
        <w:t xml:space="preserve">日期：</w:t>
      </w:r>
      <w:r>
        <w:rPr>
          <w:rFonts w:hAnsi="宋体"/>
          <w:bCs/>
          <w:sz w:val="28"/>
          <w:szCs w:val="28"/>
          <w:u w:val="single"/>
        </w:rPr>
        <w:t xml:space="preserve">      </w:t>
      </w:r>
      <w:r>
        <w:rPr>
          <w:rFonts w:hint="eastAsia" w:hAnsi="宋体"/>
          <w:bCs/>
          <w:sz w:val="28"/>
          <w:szCs w:val="28"/>
        </w:rPr>
        <w:t xml:space="preserve">年</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月</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日</w:t>
      </w:r>
      <w:r/>
    </w:p>
    <w:p>
      <w:pPr>
        <w:pStyle w:val="894"/>
        <w:jc w:val="center"/>
        <w:spacing w:beforeAutospacing="0" w:afterAutospacing="0"/>
      </w:pPr>
      <w:r>
        <w:t xml:space="preserve"> </w:t>
      </w:r>
      <w:r/>
    </w:p>
    <w:p>
      <w:pPr>
        <w:pStyle w:val="894"/>
        <w:jc w:val="center"/>
        <w:spacing w:beforeAutospacing="0" w:afterAutospacing="0"/>
      </w:pPr>
      <w:r>
        <w:t xml:space="preserve"> </w:t>
      </w:r>
      <w:r/>
    </w:p>
    <w:p>
      <w:pPr>
        <w:pStyle w:val="894"/>
        <w:jc w:val="center"/>
        <w:spacing w:beforeAutospacing="0" w:afterAutospacing="0"/>
      </w:pPr>
      <w:r>
        <w:t xml:space="preserve"> </w:t>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pStyle w:val="894"/>
        <w:jc w:val="center"/>
        <w:spacing w:beforeAutospacing="0" w:afterAutospacing="0"/>
      </w:pPr>
      <w:r/>
      <w:r/>
    </w:p>
    <w:p>
      <w:pPr>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十五、项目组成员、服务方案等材料</w:t>
      </w:r>
      <w:r/>
    </w:p>
    <w:p>
      <w:pPr>
        <w:pStyle w:val="90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t xml:space="preserve">十六、开标一览表</w:t>
      </w:r>
      <w:r/>
    </w:p>
    <w:p>
      <w:pPr>
        <w:pStyle w:val="900"/>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p>
    <w:p>
      <w:pPr>
        <w:pStyle w:val="900"/>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项目名称：</w:t>
      </w:r>
      <w:r/>
    </w:p>
    <w:p>
      <w:pPr>
        <w:pStyle w:val="900"/>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招标编号：  </w:t>
      </w:r>
      <w:r/>
    </w:p>
    <w:tbl>
      <w:tblPr>
        <w:tblStyle w:val="88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866"/>
        <w:gridCol w:w="5340"/>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0"/>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投标总价报价（大写）：                       </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0"/>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小写：（人民币：元）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900"/>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900"/>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 </w:t>
            </w:r>
            <w:r/>
          </w:p>
        </w:tc>
      </w:tr>
    </w:tbl>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ind w:firstLine="480"/>
        <w:jc w:val="both"/>
        <w:spacing w:beforeAutospacing="0" w:afterAutospacing="0"/>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p>
    <w:p>
      <w:pPr>
        <w:pStyle w:val="900"/>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90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0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0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0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0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ascii="宋体" w:hAnsi="宋体" w:eastAsia="宋体" w:cs="宋体"/>
          <w:sz w:val="24"/>
          <w:highlight w:val="none"/>
        </w:rPr>
      </w:pPr>
      <w:r>
        <w:rPr>
          <w:rFonts w:hint="eastAsia" w:ascii="黑体" w:hAnsi="宋体" w:eastAsia="黑体" w:cs="黑体"/>
          <w:b/>
          <w:color w:val="000000"/>
          <w:sz w:val="32"/>
          <w:szCs w:val="32"/>
          <w:highlight w:val="none"/>
          <w:lang w:val="en-US" w:eastAsia="zh-CN" w:bidi="ar-SA"/>
        </w:rPr>
        <w:t xml:space="preserve">十七、盐城市政府采购事前信用承诺书</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800"/>
        <w:jc w:val="left"/>
        <w:keepLines w:val="0"/>
        <w:keepNext w:val="0"/>
        <w:pageBreakBefore w:val="0"/>
        <w:spacing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  </w:t>
      </w:r>
      <w:r/>
    </w:p>
    <w:p>
      <w:pPr>
        <w:ind w:firstLine="480"/>
        <w:jc w:val="center"/>
        <w:keepLines w:val="0"/>
        <w:keepNext w:val="0"/>
        <w:pageBreakBefore w:val="0"/>
        <w:spacing w:line="54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pStyle w:val="900"/>
        <w:jc w:val="center"/>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pStyle w:val="9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166"/>
      <w:r/>
      <w:bookmarkEnd w:id="174"/>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900"/>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00"/>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00"/>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0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90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0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900"/>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90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90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0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0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90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keepLines w:val="0"/>
        <w:keepNext w:val="0"/>
        <w:spacing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887"/>
    <w:link w:val="886"/>
    <w:uiPriority w:val="9"/>
    <w:rPr>
      <w:rFonts w:ascii="Arial" w:hAnsi="Arial" w:eastAsia="Arial" w:cs="Arial"/>
      <w:sz w:val="40"/>
      <w:szCs w:val="40"/>
    </w:rPr>
  </w:style>
  <w:style w:type="paragraph" w:styleId="712">
    <w:name w:val="Heading 2"/>
    <w:basedOn w:val="885"/>
    <w:next w:val="885"/>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basedOn w:val="887"/>
    <w:link w:val="712"/>
    <w:uiPriority w:val="9"/>
    <w:rPr>
      <w:rFonts w:ascii="Arial" w:hAnsi="Arial" w:eastAsia="Arial" w:cs="Arial"/>
      <w:sz w:val="34"/>
    </w:rPr>
  </w:style>
  <w:style w:type="paragraph" w:styleId="714">
    <w:name w:val="Heading 3"/>
    <w:basedOn w:val="885"/>
    <w:next w:val="885"/>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basedOn w:val="887"/>
    <w:link w:val="714"/>
    <w:uiPriority w:val="9"/>
    <w:rPr>
      <w:rFonts w:ascii="Arial" w:hAnsi="Arial" w:eastAsia="Arial" w:cs="Arial"/>
      <w:sz w:val="30"/>
      <w:szCs w:val="30"/>
    </w:rPr>
  </w:style>
  <w:style w:type="paragraph" w:styleId="716">
    <w:name w:val="Heading 4"/>
    <w:basedOn w:val="885"/>
    <w:next w:val="885"/>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7"/>
    <w:link w:val="716"/>
    <w:uiPriority w:val="9"/>
    <w:rPr>
      <w:rFonts w:ascii="Arial" w:hAnsi="Arial" w:eastAsia="Arial" w:cs="Arial"/>
      <w:b/>
      <w:bCs/>
      <w:sz w:val="26"/>
      <w:szCs w:val="26"/>
    </w:rPr>
  </w:style>
  <w:style w:type="paragraph" w:styleId="718">
    <w:name w:val="Heading 5"/>
    <w:basedOn w:val="885"/>
    <w:next w:val="885"/>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7"/>
    <w:link w:val="718"/>
    <w:uiPriority w:val="9"/>
    <w:rPr>
      <w:rFonts w:ascii="Arial" w:hAnsi="Arial" w:eastAsia="Arial" w:cs="Arial"/>
      <w:b/>
      <w:bCs/>
      <w:sz w:val="24"/>
      <w:szCs w:val="24"/>
    </w:rPr>
  </w:style>
  <w:style w:type="paragraph" w:styleId="720">
    <w:name w:val="Heading 6"/>
    <w:basedOn w:val="885"/>
    <w:next w:val="885"/>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7"/>
    <w:link w:val="720"/>
    <w:uiPriority w:val="9"/>
    <w:rPr>
      <w:rFonts w:ascii="Arial" w:hAnsi="Arial" w:eastAsia="Arial" w:cs="Arial"/>
      <w:b/>
      <w:bCs/>
      <w:sz w:val="22"/>
      <w:szCs w:val="22"/>
    </w:rPr>
  </w:style>
  <w:style w:type="paragraph" w:styleId="722">
    <w:name w:val="Heading 7"/>
    <w:basedOn w:val="885"/>
    <w:next w:val="885"/>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7"/>
    <w:link w:val="722"/>
    <w:uiPriority w:val="9"/>
    <w:rPr>
      <w:rFonts w:ascii="Arial" w:hAnsi="Arial" w:eastAsia="Arial" w:cs="Arial"/>
      <w:b/>
      <w:bCs/>
      <w:i/>
      <w:iCs/>
      <w:sz w:val="22"/>
      <w:szCs w:val="22"/>
    </w:rPr>
  </w:style>
  <w:style w:type="paragraph" w:styleId="724">
    <w:name w:val="Heading 8"/>
    <w:basedOn w:val="885"/>
    <w:next w:val="885"/>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7"/>
    <w:link w:val="724"/>
    <w:uiPriority w:val="9"/>
    <w:rPr>
      <w:rFonts w:ascii="Arial" w:hAnsi="Arial" w:eastAsia="Arial" w:cs="Arial"/>
      <w:i/>
      <w:iCs/>
      <w:sz w:val="22"/>
      <w:szCs w:val="22"/>
    </w:rPr>
  </w:style>
  <w:style w:type="paragraph" w:styleId="726">
    <w:name w:val="Heading 9"/>
    <w:basedOn w:val="885"/>
    <w:next w:val="885"/>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7"/>
    <w:link w:val="726"/>
    <w:uiPriority w:val="9"/>
    <w:rPr>
      <w:rFonts w:ascii="Arial" w:hAnsi="Arial" w:eastAsia="Arial" w:cs="Arial"/>
      <w:i/>
      <w:iCs/>
      <w:sz w:val="21"/>
      <w:szCs w:val="21"/>
    </w:rPr>
  </w:style>
  <w:style w:type="paragraph" w:styleId="728">
    <w:name w:val="List Paragraph"/>
    <w:basedOn w:val="885"/>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5"/>
    <w:next w:val="885"/>
    <w:link w:val="731"/>
    <w:uiPriority w:val="10"/>
    <w:qFormat/>
    <w:pPr>
      <w:contextualSpacing/>
      <w:spacing w:before="300" w:after="200"/>
    </w:pPr>
    <w:rPr>
      <w:sz w:val="48"/>
      <w:szCs w:val="48"/>
    </w:rPr>
  </w:style>
  <w:style w:type="character" w:styleId="731">
    <w:name w:val="Title Char"/>
    <w:basedOn w:val="887"/>
    <w:link w:val="730"/>
    <w:uiPriority w:val="10"/>
    <w:rPr>
      <w:sz w:val="48"/>
      <w:szCs w:val="48"/>
    </w:rPr>
  </w:style>
  <w:style w:type="paragraph" w:styleId="732">
    <w:name w:val="Subtitle"/>
    <w:basedOn w:val="885"/>
    <w:next w:val="885"/>
    <w:link w:val="733"/>
    <w:uiPriority w:val="11"/>
    <w:qFormat/>
    <w:pPr>
      <w:spacing w:before="200" w:after="200"/>
    </w:pPr>
    <w:rPr>
      <w:sz w:val="24"/>
      <w:szCs w:val="24"/>
    </w:rPr>
  </w:style>
  <w:style w:type="character" w:styleId="733">
    <w:name w:val="Subtitle Char"/>
    <w:basedOn w:val="887"/>
    <w:link w:val="732"/>
    <w:uiPriority w:val="11"/>
    <w:rPr>
      <w:sz w:val="24"/>
      <w:szCs w:val="24"/>
    </w:rPr>
  </w:style>
  <w:style w:type="paragraph" w:styleId="734">
    <w:name w:val="Quote"/>
    <w:basedOn w:val="885"/>
    <w:next w:val="885"/>
    <w:link w:val="735"/>
    <w:uiPriority w:val="29"/>
    <w:qFormat/>
    <w:pPr>
      <w:ind w:left="720" w:right="720"/>
    </w:pPr>
    <w:rPr>
      <w:i/>
    </w:rPr>
  </w:style>
  <w:style w:type="character" w:styleId="735">
    <w:name w:val="Quote Char"/>
    <w:link w:val="734"/>
    <w:uiPriority w:val="29"/>
    <w:rPr>
      <w:i/>
    </w:rPr>
  </w:style>
  <w:style w:type="paragraph" w:styleId="736">
    <w:name w:val="Intense Quote"/>
    <w:basedOn w:val="885"/>
    <w:next w:val="885"/>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7"/>
    <w:link w:val="892"/>
    <w:uiPriority w:val="99"/>
  </w:style>
  <w:style w:type="character" w:styleId="739">
    <w:name w:val="Footer Char"/>
    <w:basedOn w:val="887"/>
    <w:link w:val="891"/>
    <w:uiPriority w:val="99"/>
  </w:style>
  <w:style w:type="paragraph" w:styleId="740">
    <w:name w:val="Caption"/>
    <w:basedOn w:val="885"/>
    <w:next w:val="885"/>
    <w:uiPriority w:val="35"/>
    <w:semiHidden/>
    <w:unhideWhenUsed/>
    <w:qFormat/>
    <w:pPr>
      <w:spacing w:line="276" w:lineRule="auto"/>
    </w:pPr>
    <w:rPr>
      <w:b/>
      <w:bCs/>
      <w:color w:val="4f81bd" w:themeColor="accent1"/>
      <w:sz w:val="18"/>
      <w:szCs w:val="18"/>
    </w:rPr>
  </w:style>
  <w:style w:type="character" w:styleId="741">
    <w:name w:val="Caption Char"/>
    <w:basedOn w:val="740"/>
    <w:link w:val="891"/>
    <w:uiPriority w:val="99"/>
  </w:style>
  <w:style w:type="table" w:styleId="742">
    <w:name w:val="Table Grid"/>
    <w:basedOn w:val="8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9">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0">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1">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2">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3">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4">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4">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5">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6">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7">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8">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9">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1">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2">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3">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4">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5">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6">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5">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6">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7">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8">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9">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0">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2">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3">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4">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5">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6">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7">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9">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0">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1">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2">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3">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4">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6">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7">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8">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9">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0">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1">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5"/>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87"/>
    <w:uiPriority w:val="99"/>
    <w:unhideWhenUsed/>
    <w:rPr>
      <w:vertAlign w:val="superscript"/>
    </w:rPr>
  </w:style>
  <w:style w:type="paragraph" w:styleId="872">
    <w:name w:val="endnote text"/>
    <w:basedOn w:val="885"/>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87"/>
    <w:uiPriority w:val="99"/>
    <w:semiHidden/>
    <w:unhideWhenUsed/>
    <w:rPr>
      <w:vertAlign w:val="superscript"/>
    </w:rPr>
  </w:style>
  <w:style w:type="paragraph" w:styleId="875">
    <w:name w:val="toc 1"/>
    <w:basedOn w:val="885"/>
    <w:next w:val="885"/>
    <w:uiPriority w:val="39"/>
    <w:unhideWhenUsed/>
    <w:pPr>
      <w:ind w:left="0" w:right="0" w:firstLine="0"/>
      <w:spacing w:after="57"/>
    </w:pPr>
  </w:style>
  <w:style w:type="paragraph" w:styleId="876">
    <w:name w:val="toc 2"/>
    <w:basedOn w:val="885"/>
    <w:next w:val="885"/>
    <w:uiPriority w:val="39"/>
    <w:unhideWhenUsed/>
    <w:pPr>
      <w:ind w:left="283" w:right="0" w:firstLine="0"/>
      <w:spacing w:after="57"/>
    </w:pPr>
  </w:style>
  <w:style w:type="paragraph" w:styleId="877">
    <w:name w:val="toc 3"/>
    <w:basedOn w:val="885"/>
    <w:next w:val="885"/>
    <w:uiPriority w:val="39"/>
    <w:unhideWhenUsed/>
    <w:pPr>
      <w:ind w:left="567" w:right="0" w:firstLine="0"/>
      <w:spacing w:after="57"/>
    </w:pPr>
  </w:style>
  <w:style w:type="paragraph" w:styleId="878">
    <w:name w:val="toc 4"/>
    <w:basedOn w:val="885"/>
    <w:next w:val="885"/>
    <w:uiPriority w:val="39"/>
    <w:unhideWhenUsed/>
    <w:pPr>
      <w:ind w:left="850" w:right="0" w:firstLine="0"/>
      <w:spacing w:after="57"/>
    </w:pPr>
  </w:style>
  <w:style w:type="paragraph" w:styleId="879">
    <w:name w:val="toc 5"/>
    <w:basedOn w:val="885"/>
    <w:next w:val="885"/>
    <w:uiPriority w:val="39"/>
    <w:unhideWhenUsed/>
    <w:pPr>
      <w:ind w:left="1134"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86">
    <w:name w:val="Heading 1"/>
    <w:basedOn w:val="885"/>
    <w:next w:val="885"/>
    <w:uiPriority w:val="9"/>
    <w:qFormat/>
    <w:pPr>
      <w:keepLines/>
      <w:keepNext/>
      <w:spacing w:before="480" w:after="200"/>
      <w:outlineLvl w:val="0"/>
    </w:pPr>
    <w:rPr>
      <w:rFonts w:ascii="Arial" w:hAnsi="Arial" w:eastAsia="Arial" w:cs="Arial"/>
      <w:sz w:val="40"/>
      <w:szCs w:val="40"/>
    </w:rPr>
  </w:style>
  <w:style w:type="character" w:styleId="887" w:default="1">
    <w:name w:val="Default Paragraph Font"/>
    <w:uiPriority w:val="0"/>
    <w:semiHidden/>
    <w:qFormat/>
  </w:style>
  <w:style w:type="table" w:styleId="888" w:default="1">
    <w:name w:val="Normal Table"/>
    <w:uiPriority w:val="0"/>
    <w:semiHidden/>
    <w:qFormat/>
    <w:tblPr>
      <w:tblCellMar>
        <w:left w:w="108" w:type="dxa"/>
        <w:top w:w="0" w:type="dxa"/>
        <w:right w:w="108" w:type="dxa"/>
        <w:bottom w:w="0" w:type="dxa"/>
      </w:tblCellMar>
    </w:tblPr>
  </w:style>
  <w:style w:type="paragraph" w:styleId="889">
    <w:name w:val="Body Text"/>
    <w:basedOn w:val="885"/>
    <w:next w:val="885"/>
    <w:uiPriority w:val="0"/>
    <w:qFormat/>
    <w:pPr>
      <w:spacing w:after="120"/>
    </w:pPr>
    <w:rPr>
      <w:szCs w:val="20"/>
    </w:rPr>
  </w:style>
  <w:style w:type="paragraph" w:styleId="890">
    <w:name w:val="Block Text"/>
    <w:basedOn w:val="885"/>
    <w:next w:val="885"/>
    <w:uiPriority w:val="0"/>
    <w:qFormat/>
    <w:pPr>
      <w:ind w:left="420" w:right="33"/>
      <w:jc w:val="left"/>
    </w:pPr>
    <w:rPr>
      <w:sz w:val="24"/>
    </w:rPr>
  </w:style>
  <w:style w:type="paragraph" w:styleId="891">
    <w:name w:val="Footer"/>
    <w:basedOn w:val="885"/>
    <w:next w:val="885"/>
    <w:uiPriority w:val="0"/>
    <w:qFormat/>
    <w:pPr>
      <w:jc w:val="left"/>
      <w:tabs>
        <w:tab w:val="center" w:pos="4153" w:leader="none"/>
        <w:tab w:val="right" w:pos="8306" w:leader="none"/>
      </w:tabs>
    </w:pPr>
    <w:rPr>
      <w:sz w:val="18"/>
    </w:rPr>
  </w:style>
  <w:style w:type="paragraph" w:styleId="892">
    <w:name w:val="Header"/>
    <w:basedOn w:val="88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toc 6"/>
    <w:basedOn w:val="885"/>
    <w:next w:val="885"/>
    <w:uiPriority w:val="0"/>
    <w:qFormat/>
    <w:pPr>
      <w:ind w:left="2100"/>
    </w:pPr>
  </w:style>
  <w:style w:type="paragraph" w:styleId="894">
    <w:name w:val="Normal (Web)"/>
    <w:basedOn w:val="885"/>
    <w:uiPriority w:val="0"/>
    <w:qFormat/>
    <w:pPr>
      <w:jc w:val="left"/>
      <w:spacing w:beforeAutospacing="1" w:afterAutospacing="1"/>
    </w:pPr>
    <w:rPr>
      <w:rFonts w:cs="Times New Roman"/>
      <w:sz w:val="24"/>
    </w:rPr>
  </w:style>
  <w:style w:type="paragraph" w:styleId="895">
    <w:name w:val="Body Text First Indent"/>
    <w:basedOn w:val="889"/>
    <w:next w:val="893"/>
    <w:uiPriority w:val="0"/>
    <w:qFormat/>
    <w:pPr>
      <w:ind w:firstLine="420"/>
    </w:pPr>
    <w:rPr>
      <w:sz w:val="24"/>
    </w:rPr>
  </w:style>
  <w:style w:type="character" w:styleId="896" w:customStyle="1">
    <w:name w:val="font11"/>
    <w:basedOn w:val="887"/>
    <w:uiPriority w:val="0"/>
    <w:qFormat/>
    <w:rPr>
      <w:rFonts w:hint="eastAsia" w:ascii="宋体" w:hAnsi="宋体" w:eastAsia="宋体" w:cs="宋体"/>
      <w:color w:val="000000"/>
      <w:sz w:val="28"/>
      <w:szCs w:val="28"/>
      <w:u w:val="none"/>
    </w:rPr>
  </w:style>
  <w:style w:type="character" w:styleId="897" w:customStyle="1">
    <w:name w:val="font91"/>
    <w:basedOn w:val="887"/>
    <w:uiPriority w:val="0"/>
    <w:qFormat/>
    <w:rPr>
      <w:rFonts w:hint="eastAsia" w:ascii="宋体" w:hAnsi="宋体" w:eastAsia="宋体" w:cs="宋体"/>
      <w:color w:val="000000"/>
      <w:sz w:val="28"/>
      <w:szCs w:val="28"/>
      <w:u w:val="none"/>
      <w:vertAlign w:val="superscript"/>
    </w:rPr>
  </w:style>
  <w:style w:type="character" w:styleId="898" w:customStyle="1">
    <w:name w:val="font41"/>
    <w:basedOn w:val="887"/>
    <w:uiPriority w:val="0"/>
    <w:qFormat/>
    <w:rPr>
      <w:rFonts w:hint="eastAsia" w:ascii="宋体" w:hAnsi="宋体" w:eastAsia="宋体" w:cs="宋体"/>
      <w:color w:val="000000"/>
      <w:sz w:val="28"/>
      <w:szCs w:val="28"/>
      <w:u w:val="none"/>
    </w:rPr>
  </w:style>
  <w:style w:type="character" w:styleId="899" w:customStyle="1">
    <w:name w:val="font101"/>
    <w:basedOn w:val="887"/>
    <w:uiPriority w:val="0"/>
    <w:qFormat/>
    <w:rPr>
      <w:rFonts w:hint="eastAsia" w:ascii="宋体" w:hAnsi="宋体" w:eastAsia="宋体" w:cs="宋体"/>
      <w:color w:val="000000"/>
      <w:sz w:val="28"/>
      <w:szCs w:val="28"/>
      <w:u w:val="none"/>
      <w:vertAlign w:val="superscript"/>
    </w:rPr>
  </w:style>
  <w:style w:type="paragraph" w:styleId="900" w:customStyle="1">
    <w:name w:val="普通(网站)1"/>
    <w:basedOn w:val="885"/>
    <w:uiPriority w:val="0"/>
    <w:qFormat/>
    <w:pPr>
      <w:jc w:val="left"/>
      <w:spacing w:beforeAutospacing="1" w:afterAutospacing="1"/>
    </w:pPr>
    <w:rPr>
      <w:rFonts w:cs="Times New Roman"/>
      <w:sz w:val="24"/>
    </w:rPr>
  </w:style>
  <w:style w:type="paragraph" w:styleId="901" w:customStyle="1">
    <w:name w:val="标题 21"/>
    <w:basedOn w:val="885"/>
    <w:next w:val="885"/>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02" w:customStyle="1">
    <w:name w:val="Default"/>
    <w:basedOn w:val="885"/>
    <w:uiPriority w:val="0"/>
    <w:semiHidden/>
    <w:qFormat/>
    <w:pPr>
      <w:jc w:val="left"/>
    </w:pPr>
    <w:rPr>
      <w:rFonts w:ascii="宋体" w:hAnsi="Calibri" w:cs="宋体"/>
      <w:color w:val="000000"/>
      <w:sz w:val="24"/>
    </w:rPr>
  </w:style>
  <w:style w:type="paragraph" w:styleId="903" w:customStyle="1">
    <w:name w:val="正文空2格  1."/>
    <w:basedOn w:val="885"/>
    <w:uiPriority w:val="0"/>
    <w:qFormat/>
    <w:pPr>
      <w:ind w:firstLine="480"/>
      <w:spacing w:line="360" w:lineRule="auto"/>
    </w:pPr>
    <w:rPr>
      <w:rFonts w:ascii="宋体" w:eastAsia="仿宋" w:cs="宋体"/>
    </w:rPr>
  </w:style>
  <w:style w:type="paragraph" w:styleId="904" w:customStyle="1">
    <w:name w:val="页脚1"/>
    <w:basedOn w:val="885"/>
    <w:uiPriority w:val="99"/>
    <w:unhideWhenUsed/>
    <w:qFormat/>
    <w:pPr>
      <w:jc w:val="left"/>
      <w:tabs>
        <w:tab w:val="center" w:pos="4153" w:leader="none"/>
        <w:tab w:val="right" w:pos="8306" w:leader="none"/>
      </w:tabs>
    </w:pPr>
    <w:rPr>
      <w:sz w:val="18"/>
      <w:szCs w:val="18"/>
    </w:rPr>
  </w:style>
  <w:style w:type="character" w:styleId="905" w:customStyle="1">
    <w:name w:val="font112"/>
    <w:basedOn w:val="887"/>
    <w:uiPriority w:val="0"/>
    <w:qFormat/>
    <w:rPr>
      <w:rFonts w:hint="eastAsia" w:ascii="宋体" w:hAnsi="宋体" w:eastAsia="宋体" w:cs="宋体"/>
      <w:color w:val="000000"/>
      <w:sz w:val="28"/>
      <w:szCs w:val="28"/>
      <w:u w:val="none"/>
      <w:vertAlign w:val="superscript"/>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3c4ff4e3-df4d-4de6-a03c-e1801d62a021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4C72301B</paraID>
      <start>238</start>
      <end>239</end>
      <status>ignored</status>
      <modifiedWord/>
      <trackRevisions>false</trackRevisions>
    </reviewItem>
    <reviewItem>
      <errorID>bb32f1df-56f9-48dc-831b-42697c77a4b6</errorID>
      <errorWord>.</errorWord>
      <group>L1_Format</group>
      <groupName>格式问题</groupName>
      <ability>L2_HalfPunc_CN</ability>
      <abilityName>全半角问题</abilityName>
      <candidateList>
        <item>。</item>
      </candidateList>
      <explain>文本全半角错误。</explain>
      <paraID>4C72301B</paraID>
      <start>457</start>
      <end>458</end>
      <status>unmodified</status>
      <modifiedWord/>
      <trackRevisions>false</trackRevisions>
    </reviewItem>
    <reviewItem>
      <errorID>6a964abe-67ca-4669-81f3-fa53ff83be14</errorID>
      <errorWord>.</errorWord>
      <group>L1_Format</group>
      <groupName>格式问题</groupName>
      <ability>L2_HalfPunc_CN</ability>
      <abilityName>全半角问题</abilityName>
      <candidateList>
        <item>。</item>
      </candidateList>
      <explain>文本全半角错误。</explain>
      <paraID>4C72301B</paraID>
      <start>623</start>
      <end>624</end>
      <status>unmodified</status>
      <modifiedWord/>
      <trackRevisions>false</trackRevisions>
    </reviewItem>
    <reviewItem>
      <errorID>a38d6adf-ed0c-4f5f-83be-7cb49cd0fc43</errorID>
      <errorWord>.</errorWord>
      <group>L1_Format</group>
      <groupName>格式问题</groupName>
      <ability>L2_HalfPunc_CN</ability>
      <abilityName>全半角问题</abilityName>
      <candidateList>
        <item>。</item>
      </candidateList>
      <explain>文本全半角错误。</explain>
      <paraID>4C72301B</paraID>
      <start>790</start>
      <end>791</end>
      <status>unmodified</status>
      <modifiedWord/>
      <trackRevisions>false</trackRevisions>
    </reviewItem>
    <reviewItem>
      <errorID>edd8fb91-232a-48a0-99e4-967227207e2f</errorID>
      <errorWord>.</errorWord>
      <group>L1_Format</group>
      <groupName>格式问题</groupName>
      <ability>L2_HalfPunc_CN</ability>
      <abilityName>全半角问题</abilityName>
      <candidateList>
        <item>。</item>
      </candidateList>
      <explain>文本全半角错误。</explain>
      <paraID>4C72301B</paraID>
      <start>975</start>
      <end>976</end>
      <status>unmodified</status>
      <modifiedWord/>
      <trackRevisions>false</trackRevisions>
    </reviewItem>
    <reviewItem>
      <errorID>1bf18d16-76bf-49c3-9f29-4439f5dccbbd</errorID>
      <errorWord>.</errorWord>
      <group>L1_Format</group>
      <groupName>格式问题</groupName>
      <ability>L2_HalfPunc_CN</ability>
      <abilityName>全半角问题</abilityName>
      <candidateList>
        <item>。</item>
      </candidateList>
      <explain>文本全半角错误。</explain>
      <paraID>4C72301B</paraID>
      <start>1139</start>
      <end>1140</end>
      <status>unmodified</status>
      <modifiedWord/>
      <trackRevisions>false</trackRevisions>
    </reviewItem>
    <reviewItem>
      <errorID>72365237-f928-4861-be61-9fa7e30fdfd2</errorID>
      <errorWord>人上</errorWord>
      <group>L1_Word</group>
      <groupName>字词问题</groupName>
      <ability>L2_Typo</ability>
      <abilityName>字词错误</abilityName>
      <candidateList>
        <item>人</item>
      </candidateList>
      <explain/>
      <paraID>4C72301B</paraID>
      <start>1274</start>
      <end>1276</end>
      <status>unmodified</status>
      <modifiedWord/>
      <trackRevisions>false</trackRevisions>
    </reviewItem>
    <reviewItem>
      <errorID>da5d820c-3edc-4798-ade6-6f34c6ca22cc</errorID>
      <errorWord>得</errorWord>
      <group>L1_Word</group>
      <groupName>字词问题</groupName>
      <ability>L2_DDD</ability>
      <abilityName>的地得用法</abilityName>
      <candidateList>
        <item>的</item>
      </candidateList>
      <explain/>
      <paraID>4C72301B</paraID>
      <start>3151</start>
      <end>3152</end>
      <status>modified</status>
      <modifiedWord>的</modifiedWord>
      <trackRevisions>false</trackRevisions>
    </reviewItem>
    <reviewItem>
      <errorID>48eeaad2-0f6e-4750-9990-337c7620c5b5</errorID>
      <errorWord>：&gt;</errorWord>
      <group>L1_Punc</group>
      <groupName>标点问题</groupName>
      <ability>L2_Punc_CN</ability>
      <abilityName>标点符号问题</abilityName>
      <candidateList>
        <item>：</item>
      </candidateList>
      <explain/>
      <paraID>26E2BD1A</paraID>
      <start>25</start>
      <end>27</end>
      <status>ignored</status>
      <modifiedWord/>
      <trackRevisions>false</trackRevisions>
    </reviewItem>
    <reviewItem>
      <errorID>41b65f2b-e843-40e9-867b-5ec4ef8e8ba0</errorID>
      <errorWord>：</errorWord>
      <group>L1_Format</group>
      <groupName>格式问题</groupName>
      <ability>L2_HalfPunc_CN</ability>
      <abilityName>全半角问题</abilityName>
      <candidateList>
        <item>:</item>
      </candidateList>
      <explain>文本全半角错误。</explain>
      <paraID>3DD1576B</paraID>
      <start>367</start>
      <end>368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B72BA4F-131D-4679-B74E-23F36D20D14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刘坚</dc:creator>
  <cp:lastModifiedBy>彭明静</cp:lastModifiedBy>
  <cp:revision>3</cp:revision>
  <dcterms:created xsi:type="dcterms:W3CDTF">2026-05-12T00:50:00Z</dcterms:created>
  <dcterms:modified xsi:type="dcterms:W3CDTF">2026-08-28T01:44:35Z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A38FD55DEC29473AB1166EB3CA3E5FC4_11</vt:lpwstr>
  </property>
  <property fmtid="{D5CDD505-2E9C-101B-9397-08002B2CF9AE}" pid="4" name="KSOTemplateDocerSaveRecord">
    <vt:lpwstr>eyJoZGlkIjoiOWM3ZjgyZWI3YTBmYjAwNGQwNDQzZDUyNDIzMzA0ZWYiLCJ1c2VySWQiOiIxNzM0NDIxMTMzIn0=</vt:lpwstr>
  </property>
</Properties>
</file>