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A95788">
      <w:pPr>
        <w:pStyle w:val="192"/>
        <w:ind w:firstLine="0"/>
        <w:jc w:val="both"/>
        <w:rPr>
          <w:rFonts w:ascii="宋体" w:hAnsi="宋体" w:cs="宋体"/>
          <w:b/>
          <w:bCs/>
          <w:sz w:val="44"/>
          <w:szCs w:val="44"/>
        </w:rPr>
      </w:pPr>
    </w:p>
    <w:p w14:paraId="6D1FEACD">
      <w:pPr>
        <w:pStyle w:val="192"/>
        <w:ind w:firstLine="0"/>
        <w:jc w:val="both"/>
        <w:rPr>
          <w:rFonts w:ascii="宋体" w:hAnsi="宋体" w:cs="宋体"/>
          <w:b/>
          <w:bCs/>
          <w:sz w:val="44"/>
          <w:szCs w:val="44"/>
        </w:rPr>
      </w:pPr>
    </w:p>
    <w:p w14:paraId="664BE69C">
      <w:pPr>
        <w:jc w:val="center"/>
        <w:rPr>
          <w:rFonts w:ascii="宋体" w:hAnsi="宋体" w:cs="宋体"/>
          <w:sz w:val="84"/>
        </w:rPr>
      </w:pPr>
      <w:r>
        <w:rPr>
          <w:rFonts w:hint="eastAsia" w:ascii="宋体" w:hAnsi="宋体" w:cs="宋体"/>
          <w:b/>
          <w:bCs/>
          <w:sz w:val="84"/>
        </w:rPr>
        <w:t>招 标 文 件</w:t>
      </w:r>
    </w:p>
    <w:p w14:paraId="7DE214F8">
      <w:pPr>
        <w:pStyle w:val="192"/>
        <w:ind w:firstLine="0"/>
        <w:jc w:val="both"/>
        <w:rPr>
          <w:rFonts w:ascii="宋体" w:hAnsi="宋体" w:cs="宋体"/>
          <w:b/>
          <w:bCs/>
          <w:sz w:val="30"/>
          <w:szCs w:val="30"/>
        </w:rPr>
      </w:pPr>
    </w:p>
    <w:p w14:paraId="3FB7AE4E">
      <w:pPr>
        <w:pStyle w:val="192"/>
        <w:ind w:firstLine="0"/>
        <w:jc w:val="both"/>
        <w:rPr>
          <w:rFonts w:ascii="宋体" w:hAnsi="宋体" w:cs="宋体"/>
          <w:b/>
          <w:bCs/>
          <w:sz w:val="30"/>
          <w:szCs w:val="30"/>
        </w:rPr>
      </w:pPr>
    </w:p>
    <w:p w14:paraId="02842DB5">
      <w:pPr>
        <w:pStyle w:val="192"/>
        <w:ind w:firstLine="0"/>
        <w:jc w:val="both"/>
        <w:rPr>
          <w:rFonts w:ascii="宋体" w:hAnsi="宋体" w:cs="宋体"/>
          <w:b/>
          <w:bCs/>
          <w:sz w:val="30"/>
          <w:szCs w:val="30"/>
        </w:rPr>
      </w:pPr>
    </w:p>
    <w:p w14:paraId="2434E66F">
      <w:pPr>
        <w:pStyle w:val="192"/>
        <w:ind w:firstLine="0"/>
        <w:jc w:val="both"/>
        <w:rPr>
          <w:rFonts w:ascii="宋体" w:hAnsi="宋体" w:cs="宋体"/>
          <w:b/>
          <w:bCs/>
          <w:sz w:val="30"/>
          <w:szCs w:val="30"/>
        </w:rPr>
      </w:pPr>
    </w:p>
    <w:p w14:paraId="6D32F760">
      <w:pPr>
        <w:pStyle w:val="192"/>
        <w:ind w:firstLine="0"/>
        <w:jc w:val="both"/>
        <w:rPr>
          <w:rFonts w:ascii="宋体" w:hAnsi="宋体" w:cs="宋体"/>
          <w:b/>
          <w:bCs/>
          <w:sz w:val="30"/>
          <w:szCs w:val="30"/>
        </w:rPr>
      </w:pPr>
    </w:p>
    <w:p w14:paraId="54135E33">
      <w:pPr>
        <w:pStyle w:val="192"/>
        <w:ind w:firstLine="0"/>
        <w:jc w:val="both"/>
        <w:rPr>
          <w:rFonts w:ascii="宋体" w:hAnsi="宋体" w:cs="宋体"/>
          <w:b/>
          <w:bCs/>
          <w:sz w:val="30"/>
          <w:szCs w:val="30"/>
        </w:rPr>
      </w:pPr>
    </w:p>
    <w:p w14:paraId="5C1A2258">
      <w:pPr>
        <w:pStyle w:val="192"/>
        <w:ind w:firstLine="0"/>
        <w:jc w:val="center"/>
        <w:rPr>
          <w:rFonts w:ascii="宋体" w:hAnsi="宋体" w:cs="宋体"/>
          <w:b/>
          <w:bCs/>
          <w:sz w:val="30"/>
          <w:szCs w:val="30"/>
        </w:rPr>
      </w:pPr>
    </w:p>
    <w:p w14:paraId="225DD3A3">
      <w:pPr>
        <w:pStyle w:val="192"/>
        <w:ind w:firstLine="1897" w:firstLineChars="630"/>
        <w:jc w:val="both"/>
        <w:rPr>
          <w:rFonts w:ascii="宋体" w:hAnsi="宋体" w:cs="宋体"/>
          <w:b/>
          <w:bCs/>
          <w:sz w:val="30"/>
          <w:szCs w:val="30"/>
        </w:rPr>
      </w:pPr>
      <w:r>
        <w:rPr>
          <w:rFonts w:hint="eastAsia" w:ascii="宋体" w:hAnsi="宋体" w:cs="宋体"/>
          <w:b/>
          <w:bCs/>
          <w:sz w:val="30"/>
          <w:szCs w:val="30"/>
        </w:rPr>
        <w:t>项目编号：JSZC-320902-JZCG-G2026-0045</w:t>
      </w:r>
    </w:p>
    <w:p w14:paraId="313A5548">
      <w:pPr>
        <w:pStyle w:val="192"/>
        <w:ind w:firstLine="1897" w:firstLineChars="630"/>
        <w:jc w:val="both"/>
        <w:rPr>
          <w:rFonts w:ascii="宋体" w:hAnsi="宋体" w:cs="宋体"/>
          <w:b/>
          <w:bCs/>
          <w:sz w:val="28"/>
          <w:szCs w:val="28"/>
        </w:rPr>
      </w:pPr>
      <w:r>
        <w:rPr>
          <w:rFonts w:hint="eastAsia" w:ascii="宋体" w:hAnsi="宋体" w:cs="宋体"/>
          <w:b/>
          <w:bCs/>
          <w:sz w:val="30"/>
          <w:szCs w:val="30"/>
        </w:rPr>
        <w:t>项目名称：</w:t>
      </w:r>
      <w:r>
        <w:rPr>
          <w:rFonts w:hint="eastAsia" w:ascii="宋体" w:hAnsi="宋体" w:cs="宋体"/>
          <w:b/>
          <w:bCs/>
          <w:sz w:val="30"/>
          <w:szCs w:val="30"/>
          <w:lang w:val="en-US" w:eastAsia="zh-CN"/>
        </w:rPr>
        <w:t>盐城市妇联实验幼儿园物业管理服务</w:t>
      </w:r>
    </w:p>
    <w:p w14:paraId="06A90B43">
      <w:pPr>
        <w:pStyle w:val="192"/>
        <w:ind w:firstLine="0"/>
        <w:rPr>
          <w:rFonts w:ascii="宋体" w:hAnsi="宋体" w:cs="宋体"/>
          <w:b/>
          <w:bCs/>
          <w:sz w:val="28"/>
          <w:szCs w:val="28"/>
        </w:rPr>
      </w:pPr>
    </w:p>
    <w:p w14:paraId="372A9047">
      <w:pPr>
        <w:pStyle w:val="192"/>
        <w:spacing w:before="0" w:after="0"/>
        <w:ind w:firstLine="0"/>
        <w:rPr>
          <w:rFonts w:ascii="宋体" w:hAnsi="宋体" w:cs="宋体"/>
          <w:sz w:val="28"/>
          <w:szCs w:val="28"/>
        </w:rPr>
      </w:pPr>
    </w:p>
    <w:p w14:paraId="4050C63D">
      <w:pPr>
        <w:rPr>
          <w:rFonts w:ascii="宋体" w:hAnsi="宋体" w:cs="宋体"/>
          <w:b/>
          <w:bCs/>
          <w:sz w:val="28"/>
          <w:szCs w:val="28"/>
        </w:rPr>
      </w:pPr>
    </w:p>
    <w:p w14:paraId="0B31A8A7">
      <w:pPr>
        <w:rPr>
          <w:rFonts w:ascii="宋体" w:hAnsi="宋体" w:cs="宋体"/>
          <w:b/>
          <w:bCs/>
          <w:sz w:val="28"/>
          <w:szCs w:val="28"/>
        </w:rPr>
      </w:pPr>
    </w:p>
    <w:p w14:paraId="2A773E4B">
      <w:pPr>
        <w:pStyle w:val="189"/>
        <w:spacing w:before="120" w:beforeAutospacing="0" w:after="120" w:afterAutospacing="0" w:line="400" w:lineRule="exact"/>
        <w:jc w:val="center"/>
        <w:outlineLvl w:val="0"/>
        <w:rPr>
          <w:rFonts w:hint="eastAsia" w:ascii="宋体" w:hAnsi="宋体" w:cs="宋体"/>
          <w:b/>
          <w:bCs/>
          <w:sz w:val="30"/>
          <w:szCs w:val="30"/>
          <w:lang w:val="en-US" w:eastAsia="zh-CN"/>
        </w:rPr>
      </w:pPr>
      <w:r>
        <w:rPr>
          <w:rFonts w:hint="eastAsia" w:ascii="宋体" w:hAnsi="宋体" w:cs="宋体"/>
          <w:b/>
          <w:bCs/>
          <w:sz w:val="30"/>
          <w:szCs w:val="30"/>
          <w:lang w:val="en-US" w:eastAsia="zh-CN"/>
        </w:rPr>
        <w:t>盐城市妇联实验幼儿园</w:t>
      </w:r>
    </w:p>
    <w:p w14:paraId="6468A467">
      <w:pPr>
        <w:pStyle w:val="189"/>
        <w:spacing w:before="120" w:beforeAutospacing="0" w:after="120" w:afterAutospacing="0" w:line="400" w:lineRule="exact"/>
        <w:jc w:val="center"/>
        <w:outlineLvl w:val="0"/>
        <w:rPr>
          <w:rFonts w:hint="eastAsia" w:ascii="黑体" w:hAnsi="黑体" w:eastAsia="黑体" w:cs="黑体"/>
          <w:bCs/>
          <w:sz w:val="32"/>
          <w:szCs w:val="32"/>
        </w:rPr>
      </w:pPr>
    </w:p>
    <w:p w14:paraId="14412AF6">
      <w:pPr>
        <w:pStyle w:val="189"/>
        <w:spacing w:before="120" w:beforeAutospacing="0" w:after="120" w:afterAutospacing="0" w:line="400" w:lineRule="exact"/>
        <w:jc w:val="center"/>
        <w:outlineLvl w:val="0"/>
        <w:rPr>
          <w:rFonts w:ascii="黑体" w:hAnsi="黑体" w:eastAsia="黑体" w:cs="黑体"/>
          <w:bCs/>
          <w:sz w:val="32"/>
          <w:szCs w:val="32"/>
        </w:rPr>
      </w:pPr>
      <w:r>
        <w:rPr>
          <w:rFonts w:hint="eastAsia" w:ascii="黑体" w:hAnsi="黑体" w:eastAsia="黑体" w:cs="黑体"/>
          <w:bCs/>
          <w:sz w:val="32"/>
          <w:szCs w:val="32"/>
        </w:rPr>
        <w:t>202</w:t>
      </w:r>
      <w:r>
        <w:rPr>
          <w:rFonts w:ascii="黑体" w:hAnsi="黑体" w:eastAsia="黑体" w:cs="黑体"/>
          <w:bCs/>
          <w:sz w:val="32"/>
          <w:szCs w:val="32"/>
        </w:rPr>
        <w:t>6</w:t>
      </w:r>
      <w:r>
        <w:rPr>
          <w:rFonts w:hint="eastAsia" w:ascii="黑体" w:hAnsi="黑体" w:eastAsia="黑体" w:cs="黑体"/>
          <w:bCs/>
          <w:sz w:val="32"/>
          <w:szCs w:val="32"/>
        </w:rPr>
        <w:t>年</w:t>
      </w:r>
      <w:r>
        <w:rPr>
          <w:rFonts w:hint="eastAsia" w:ascii="黑体" w:hAnsi="黑体" w:eastAsia="黑体" w:cs="黑体"/>
          <w:bCs/>
          <w:sz w:val="32"/>
          <w:szCs w:val="32"/>
          <w:lang w:val="en-US" w:eastAsia="zh-CN"/>
        </w:rPr>
        <w:t>7</w:t>
      </w:r>
      <w:r>
        <w:rPr>
          <w:rFonts w:hint="eastAsia" w:ascii="黑体" w:hAnsi="黑体" w:eastAsia="黑体" w:cs="黑体"/>
          <w:bCs/>
          <w:sz w:val="32"/>
          <w:szCs w:val="32"/>
        </w:rPr>
        <w:t>月</w:t>
      </w:r>
    </w:p>
    <w:p w14:paraId="28944D09">
      <w:pPr>
        <w:jc w:val="center"/>
        <w:rPr>
          <w:rFonts w:ascii="宋体" w:hAnsi="宋体" w:cs="宋体"/>
          <w:sz w:val="28"/>
          <w:szCs w:val="28"/>
        </w:rPr>
      </w:pPr>
    </w:p>
    <w:p w14:paraId="578BDF2A">
      <w:pPr>
        <w:pStyle w:val="193"/>
        <w:spacing w:line="360" w:lineRule="auto"/>
        <w:jc w:val="center"/>
        <w:rPr>
          <w:rFonts w:ascii="宋体" w:hAnsi="宋体" w:cs="宋体"/>
          <w:sz w:val="28"/>
          <w:szCs w:val="28"/>
        </w:rPr>
      </w:pPr>
    </w:p>
    <w:p w14:paraId="49502F95">
      <w:pPr>
        <w:rPr>
          <w:rFonts w:ascii="宋体" w:hAnsi="宋体" w:cs="宋体"/>
          <w:b/>
          <w:sz w:val="28"/>
          <w:szCs w:val="28"/>
        </w:rPr>
        <w:sectPr>
          <w:footerReference r:id="rId5" w:type="first"/>
          <w:footerReference r:id="rId3" w:type="default"/>
          <w:footerReference r:id="rId4" w:type="even"/>
          <w:pgSz w:w="11906" w:h="16838"/>
          <w:pgMar w:top="1417" w:right="1417" w:bottom="1417" w:left="1417" w:header="851" w:footer="907" w:gutter="0"/>
          <w:pgBorders>
            <w:top w:val="none" w:sz="0" w:space="0"/>
            <w:left w:val="none" w:sz="0" w:space="0"/>
            <w:bottom w:val="none" w:sz="0" w:space="0"/>
            <w:right w:val="none" w:sz="0" w:space="0"/>
          </w:pgBorders>
          <w:cols w:space="0" w:num="1"/>
          <w:titlePg/>
          <w:rtlGutter w:val="0"/>
          <w:docGrid w:linePitch="360" w:charSpace="0"/>
        </w:sectPr>
      </w:pPr>
    </w:p>
    <w:p w14:paraId="626EF8EC">
      <w:pPr>
        <w:spacing w:line="560" w:lineRule="exact"/>
        <w:jc w:val="center"/>
        <w:outlineLvl w:val="0"/>
        <w:rPr>
          <w:rFonts w:ascii="黑体" w:hAnsi="Showcard Gothic" w:eastAsia="黑体"/>
          <w:sz w:val="36"/>
        </w:rPr>
      </w:pPr>
    </w:p>
    <w:p w14:paraId="488C15B6">
      <w:pPr>
        <w:spacing w:line="560" w:lineRule="exact"/>
        <w:jc w:val="center"/>
        <w:outlineLvl w:val="0"/>
        <w:rPr>
          <w:rFonts w:ascii="黑体" w:hAnsi="Showcard Gothic" w:eastAsia="黑体"/>
          <w:sz w:val="40"/>
          <w:szCs w:val="28"/>
        </w:rPr>
      </w:pPr>
      <w:r>
        <w:rPr>
          <w:rFonts w:hint="eastAsia" w:ascii="黑体" w:hAnsi="Showcard Gothic" w:eastAsia="黑体"/>
          <w:sz w:val="40"/>
          <w:szCs w:val="28"/>
        </w:rPr>
        <w:t>总  目  录</w:t>
      </w:r>
    </w:p>
    <w:p w14:paraId="02A4BC72">
      <w:pPr>
        <w:rPr>
          <w:b/>
          <w:sz w:val="28"/>
        </w:rPr>
      </w:pPr>
    </w:p>
    <w:p w14:paraId="3A9AF4C5">
      <w:pPr>
        <w:spacing w:line="560" w:lineRule="exact"/>
        <w:jc w:val="center"/>
        <w:outlineLvl w:val="0"/>
        <w:rPr>
          <w:rFonts w:ascii="黑体" w:hAnsi="Showcard Gothic" w:eastAsia="黑体"/>
          <w:sz w:val="36"/>
        </w:rPr>
      </w:pPr>
      <w:r>
        <w:rPr>
          <w:rFonts w:hint="eastAsia" w:ascii="黑体" w:hAnsi="Showcard Gothic" w:eastAsia="黑体"/>
          <w:sz w:val="36"/>
        </w:rPr>
        <w:t>第一章  招标公告………………………………</w:t>
      </w:r>
      <w:r>
        <w:rPr>
          <w:rFonts w:ascii="黑体" w:hAnsi="Showcard Gothic" w:eastAsia="黑体"/>
          <w:sz w:val="36"/>
        </w:rPr>
        <w:t>2</w:t>
      </w:r>
    </w:p>
    <w:p w14:paraId="1CF277DF">
      <w:pPr>
        <w:spacing w:line="560" w:lineRule="exact"/>
        <w:jc w:val="center"/>
        <w:outlineLvl w:val="0"/>
        <w:rPr>
          <w:rFonts w:ascii="黑体" w:hAnsi="Showcard Gothic" w:eastAsia="黑体"/>
          <w:sz w:val="36"/>
        </w:rPr>
      </w:pPr>
      <w:r>
        <w:rPr>
          <w:rFonts w:hint="eastAsia" w:ascii="黑体" w:hAnsi="Showcard Gothic" w:eastAsia="黑体"/>
          <w:sz w:val="36"/>
        </w:rPr>
        <w:t>第二章  投标人须知……………………………</w:t>
      </w:r>
      <w:r>
        <w:rPr>
          <w:rFonts w:ascii="黑体" w:hAnsi="Showcard Gothic" w:eastAsia="黑体"/>
          <w:sz w:val="36"/>
        </w:rPr>
        <w:t>6</w:t>
      </w:r>
    </w:p>
    <w:p w14:paraId="7E0158B1">
      <w:pPr>
        <w:spacing w:line="560" w:lineRule="exact"/>
        <w:jc w:val="center"/>
        <w:outlineLvl w:val="0"/>
        <w:rPr>
          <w:rFonts w:ascii="黑体" w:hAnsi="Showcard Gothic" w:eastAsia="黑体"/>
          <w:sz w:val="36"/>
        </w:rPr>
      </w:pPr>
      <w:r>
        <w:rPr>
          <w:rFonts w:hint="eastAsia" w:ascii="黑体" w:hAnsi="Showcard Gothic" w:eastAsia="黑体"/>
          <w:sz w:val="36"/>
        </w:rPr>
        <w:t xml:space="preserve"> 第三章  合同文本………………………………25</w:t>
      </w:r>
    </w:p>
    <w:p w14:paraId="7B960DC2">
      <w:pPr>
        <w:spacing w:line="560" w:lineRule="exact"/>
        <w:jc w:val="center"/>
        <w:outlineLvl w:val="0"/>
        <w:rPr>
          <w:rFonts w:ascii="黑体" w:hAnsi="Showcard Gothic" w:eastAsia="黑体"/>
          <w:sz w:val="36"/>
        </w:rPr>
      </w:pPr>
      <w:r>
        <w:rPr>
          <w:rFonts w:hint="eastAsia" w:ascii="黑体" w:hAnsi="Showcard Gothic" w:eastAsia="黑体"/>
          <w:sz w:val="36"/>
        </w:rPr>
        <w:t xml:space="preserve"> 第四章  采购需求………………………………</w:t>
      </w:r>
      <w:r>
        <w:rPr>
          <w:rFonts w:ascii="黑体" w:hAnsi="Showcard Gothic" w:eastAsia="黑体"/>
          <w:sz w:val="36"/>
        </w:rPr>
        <w:t>4</w:t>
      </w:r>
      <w:r>
        <w:rPr>
          <w:rFonts w:hint="eastAsia" w:ascii="黑体" w:hAnsi="Showcard Gothic" w:eastAsia="黑体"/>
          <w:sz w:val="36"/>
        </w:rPr>
        <w:t>6</w:t>
      </w:r>
    </w:p>
    <w:p w14:paraId="622D24F3">
      <w:pPr>
        <w:spacing w:line="560" w:lineRule="exact"/>
        <w:jc w:val="center"/>
        <w:outlineLvl w:val="0"/>
        <w:rPr>
          <w:rFonts w:ascii="黑体" w:hAnsi="Showcard Gothic" w:eastAsia="黑体"/>
          <w:sz w:val="36"/>
        </w:rPr>
      </w:pPr>
      <w:r>
        <w:rPr>
          <w:rFonts w:hint="eastAsia" w:ascii="黑体" w:hAnsi="Showcard Gothic" w:eastAsia="黑体"/>
          <w:sz w:val="36"/>
        </w:rPr>
        <w:t xml:space="preserve"> 第五章  评标方法与评标标准…………………85</w:t>
      </w:r>
    </w:p>
    <w:p w14:paraId="2AA01EA0">
      <w:pPr>
        <w:spacing w:line="560" w:lineRule="exact"/>
        <w:jc w:val="center"/>
        <w:outlineLvl w:val="0"/>
        <w:rPr>
          <w:rFonts w:hint="eastAsia" w:ascii="黑体" w:hAnsi="Showcard Gothic" w:eastAsia="黑体"/>
          <w:sz w:val="36"/>
          <w:lang w:eastAsia="zh-CN"/>
        </w:rPr>
      </w:pPr>
      <w:r>
        <w:rPr>
          <w:rFonts w:hint="eastAsia" w:ascii="黑体" w:hAnsi="Showcard Gothic" w:eastAsia="黑体"/>
          <w:sz w:val="36"/>
        </w:rPr>
        <w:t xml:space="preserve"> 第六章  投标文件格式…………………………9</w:t>
      </w:r>
      <w:r>
        <w:rPr>
          <w:rFonts w:hint="eastAsia" w:ascii="黑体" w:hAnsi="Showcard Gothic" w:eastAsia="黑体"/>
          <w:sz w:val="36"/>
          <w:lang w:val="en-US" w:eastAsia="zh-CN"/>
        </w:rPr>
        <w:t>3</w:t>
      </w:r>
    </w:p>
    <w:p w14:paraId="5E4F5063">
      <w:pPr>
        <w:pStyle w:val="194"/>
        <w:spacing w:beforeAutospacing="0" w:afterAutospacing="0"/>
        <w:jc w:val="both"/>
        <w:rPr>
          <w:szCs w:val="44"/>
        </w:rPr>
      </w:pPr>
    </w:p>
    <w:p w14:paraId="1E7E3998">
      <w:pPr>
        <w:pStyle w:val="194"/>
        <w:spacing w:beforeAutospacing="0" w:afterAutospacing="0"/>
        <w:jc w:val="both"/>
        <w:rPr>
          <w:szCs w:val="44"/>
        </w:rPr>
        <w:sectPr>
          <w:footerReference r:id="rId6" w:type="default"/>
          <w:pgSz w:w="11906" w:h="16838"/>
          <w:pgMar w:top="1417" w:right="1417" w:bottom="1417" w:left="1417" w:header="851" w:footer="992" w:gutter="0"/>
          <w:pgBorders>
            <w:top w:val="none" w:sz="0" w:space="0"/>
            <w:left w:val="none" w:sz="0" w:space="0"/>
            <w:bottom w:val="none" w:sz="0" w:space="0"/>
            <w:right w:val="none" w:sz="0" w:space="0"/>
          </w:pgBorders>
          <w:pgNumType w:start="1"/>
          <w:cols w:space="0" w:num="1"/>
          <w:rtlGutter w:val="0"/>
          <w:docGrid w:linePitch="360" w:charSpace="0"/>
        </w:sectPr>
      </w:pPr>
    </w:p>
    <w:p w14:paraId="139E3A9B">
      <w:pPr>
        <w:pStyle w:val="194"/>
        <w:spacing w:beforeAutospacing="0" w:afterAutospacing="0"/>
        <w:jc w:val="center"/>
        <w:outlineLvl w:val="0"/>
        <w:rPr>
          <w:rFonts w:ascii="黑体" w:hAnsi="黑体" w:eastAsia="黑体" w:cs="黑体"/>
          <w:sz w:val="44"/>
          <w:szCs w:val="20"/>
        </w:rPr>
      </w:pPr>
      <w:bookmarkStart w:id="0" w:name="_Toc1413"/>
      <w:r>
        <w:rPr>
          <w:rFonts w:hint="eastAsia" w:ascii="黑体" w:hAnsi="黑体" w:eastAsia="黑体" w:cs="黑体"/>
          <w:sz w:val="44"/>
          <w:szCs w:val="20"/>
        </w:rPr>
        <w:t>第一章 招标公告</w:t>
      </w:r>
      <w:bookmarkEnd w:id="0"/>
    </w:p>
    <w:p w14:paraId="395F9F78">
      <w:pPr>
        <w:widowControl/>
        <w:pBdr>
          <w:top w:val="single" w:color="000000" w:sz="4" w:space="0"/>
          <w:left w:val="single" w:color="000000" w:sz="4" w:space="0"/>
          <w:bottom w:val="single" w:color="000000" w:sz="4" w:space="0"/>
          <w:right w:val="single" w:color="000000" w:sz="4" w:space="0"/>
        </w:pBdr>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项目概况</w:t>
      </w:r>
    </w:p>
    <w:p w14:paraId="7E8CBCC8">
      <w:pPr>
        <w:widowControl/>
        <w:pBdr>
          <w:top w:val="single" w:color="000000" w:sz="4" w:space="0"/>
          <w:left w:val="single" w:color="000000" w:sz="4" w:space="0"/>
          <w:bottom w:val="single" w:color="000000" w:sz="4" w:space="0"/>
          <w:right w:val="single" w:color="000000" w:sz="4" w:space="0"/>
        </w:pBdr>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eastAsia="zh-CN"/>
        </w:rPr>
        <w:t>盐城市妇联实验幼儿园物业管理服务</w:t>
      </w:r>
      <w:r>
        <w:rPr>
          <w:rFonts w:hint="eastAsia" w:ascii="宋体" w:hAnsi="宋体" w:eastAsia="宋体" w:cs="宋体"/>
          <w:color w:val="000000"/>
          <w:sz w:val="24"/>
          <w:szCs w:val="20"/>
        </w:rPr>
        <w:t>的潜在投标人应在“苏采云”系统内免费下载（投标人必须在苏采云系统中获取采购文件，方能参与政府采购项目），并于2026</w:t>
      </w:r>
      <w:r>
        <w:rPr>
          <w:rFonts w:hint="eastAsia" w:ascii="宋体" w:hAnsi="宋体" w:eastAsia="宋体" w:cs="宋体"/>
          <w:color w:val="000000"/>
          <w:sz w:val="24"/>
          <w:szCs w:val="20"/>
          <w:lang w:val="en-US" w:eastAsia="zh-CN"/>
        </w:rPr>
        <w:t>年</w:t>
      </w:r>
      <w:r>
        <w:rPr>
          <w:rFonts w:hint="eastAsia" w:ascii="宋体" w:hAnsi="宋体" w:cs="宋体"/>
          <w:color w:val="000000"/>
          <w:sz w:val="24"/>
          <w:szCs w:val="20"/>
          <w:lang w:val="en-US" w:eastAsia="zh-CN"/>
        </w:rPr>
        <w:t xml:space="preserve"> 9 </w:t>
      </w:r>
      <w:r>
        <w:rPr>
          <w:rFonts w:hint="eastAsia" w:ascii="宋体" w:hAnsi="宋体" w:eastAsia="宋体" w:cs="宋体"/>
          <w:color w:val="000000"/>
          <w:sz w:val="24"/>
          <w:szCs w:val="20"/>
          <w:lang w:val="en-US" w:eastAsia="zh-CN"/>
        </w:rPr>
        <w:t>月</w:t>
      </w:r>
      <w:r>
        <w:rPr>
          <w:rFonts w:hint="eastAsia" w:ascii="宋体" w:hAnsi="宋体" w:cs="宋体"/>
          <w:color w:val="000000"/>
          <w:sz w:val="24"/>
          <w:szCs w:val="20"/>
          <w:lang w:val="en-US" w:eastAsia="zh-CN"/>
        </w:rPr>
        <w:t xml:space="preserve"> 9 </w:t>
      </w:r>
      <w:r>
        <w:rPr>
          <w:rFonts w:hint="eastAsia" w:ascii="宋体" w:hAnsi="宋体" w:eastAsia="宋体" w:cs="宋体"/>
          <w:color w:val="000000"/>
          <w:sz w:val="24"/>
          <w:szCs w:val="20"/>
          <w:lang w:val="en-US" w:eastAsia="zh-CN"/>
        </w:rPr>
        <w:t>日</w:t>
      </w:r>
      <w:r>
        <w:rPr>
          <w:rFonts w:hint="eastAsia" w:ascii="宋体" w:hAnsi="宋体" w:cs="宋体"/>
          <w:color w:val="000000"/>
          <w:sz w:val="24"/>
          <w:szCs w:val="20"/>
          <w:lang w:val="en-US" w:eastAsia="zh-CN"/>
        </w:rPr>
        <w:t xml:space="preserve"> 上午9 </w:t>
      </w:r>
      <w:r>
        <w:rPr>
          <w:rFonts w:hint="eastAsia" w:ascii="宋体" w:hAnsi="宋体" w:eastAsia="宋体" w:cs="宋体"/>
          <w:color w:val="000000"/>
          <w:sz w:val="24"/>
          <w:szCs w:val="20"/>
          <w:lang w:val="en-US" w:eastAsia="zh-CN"/>
        </w:rPr>
        <w:t>点</w:t>
      </w:r>
      <w:r>
        <w:rPr>
          <w:rFonts w:hint="eastAsia" w:ascii="宋体" w:hAnsi="宋体" w:cs="宋体"/>
          <w:color w:val="000000"/>
          <w:sz w:val="24"/>
          <w:szCs w:val="20"/>
          <w:lang w:val="en-US" w:eastAsia="zh-CN"/>
        </w:rPr>
        <w:t>0</w:t>
      </w:r>
      <w:r>
        <w:rPr>
          <w:rFonts w:hint="eastAsia" w:ascii="宋体" w:hAnsi="宋体" w:eastAsia="宋体" w:cs="宋体"/>
          <w:color w:val="000000"/>
          <w:sz w:val="24"/>
          <w:szCs w:val="20"/>
          <w:lang w:val="en-US" w:eastAsia="zh-CN"/>
        </w:rPr>
        <w:t>0分（</w:t>
      </w:r>
      <w:r>
        <w:rPr>
          <w:rFonts w:hint="eastAsia" w:ascii="宋体" w:hAnsi="宋体" w:eastAsia="宋体" w:cs="宋体"/>
          <w:color w:val="000000"/>
          <w:sz w:val="24"/>
          <w:szCs w:val="20"/>
        </w:rPr>
        <w:t>北京时间）前递交投标文件。</w:t>
      </w:r>
    </w:p>
    <w:p w14:paraId="03CFDF01">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eastAsia="宋体" w:cs="宋体"/>
          <w:b/>
          <w:bCs/>
          <w:color w:val="000000"/>
          <w:sz w:val="24"/>
          <w:szCs w:val="20"/>
        </w:rPr>
      </w:pPr>
      <w:r>
        <w:rPr>
          <w:rFonts w:hint="eastAsia" w:ascii="宋体" w:hAnsi="宋体" w:eastAsia="宋体" w:cs="宋体"/>
          <w:b/>
          <w:bCs/>
          <w:color w:val="000000"/>
          <w:sz w:val="24"/>
          <w:szCs w:val="20"/>
        </w:rPr>
        <w:t>一、项目基本情况</w:t>
      </w:r>
    </w:p>
    <w:p w14:paraId="5596C694">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s="宋体"/>
          <w:color w:val="000000"/>
          <w:sz w:val="24"/>
          <w:szCs w:val="20"/>
          <w:lang w:eastAsia="zh-CN"/>
        </w:rPr>
      </w:pPr>
      <w:r>
        <w:rPr>
          <w:rFonts w:hint="eastAsia" w:ascii="宋体" w:hAnsi="宋体" w:eastAsia="宋体" w:cs="宋体"/>
          <w:color w:val="000000"/>
          <w:sz w:val="24"/>
          <w:szCs w:val="20"/>
        </w:rPr>
        <w:t>1.</w:t>
      </w:r>
      <w:r>
        <w:rPr>
          <w:rFonts w:hint="eastAsia" w:ascii="宋体" w:hAnsi="宋体" w:cs="宋体"/>
          <w:color w:val="000000"/>
          <w:sz w:val="24"/>
          <w:szCs w:val="20"/>
          <w:lang w:eastAsia="zh-CN"/>
        </w:rPr>
        <w:t>项目编号：JSZC-320902-JZCG-G2026-0045</w:t>
      </w:r>
    </w:p>
    <w:p w14:paraId="036284BB">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2.项目名称：</w:t>
      </w:r>
      <w:r>
        <w:rPr>
          <w:rFonts w:hint="eastAsia" w:ascii="宋体" w:hAnsi="宋体" w:cs="宋体"/>
          <w:color w:val="000000"/>
          <w:sz w:val="24"/>
          <w:szCs w:val="20"/>
          <w:lang w:eastAsia="zh-CN"/>
        </w:rPr>
        <w:t>盐城市妇联实验幼儿园物业管理服务</w:t>
      </w:r>
    </w:p>
    <w:p w14:paraId="150A7F35">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3.采购方式：公开招标</w:t>
      </w:r>
    </w:p>
    <w:p w14:paraId="0E071CAB">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4.预算金额：</w:t>
      </w:r>
      <w:r>
        <w:rPr>
          <w:rFonts w:hint="eastAsia" w:ascii="宋体" w:hAnsi="宋体" w:cs="宋体"/>
          <w:color w:val="000000"/>
          <w:sz w:val="24"/>
          <w:szCs w:val="20"/>
          <w:lang w:val="en-US" w:eastAsia="zh-CN"/>
        </w:rPr>
        <w:t>11.26</w:t>
      </w:r>
      <w:r>
        <w:rPr>
          <w:rFonts w:hint="eastAsia" w:ascii="宋体" w:hAnsi="宋体" w:eastAsia="宋体" w:cs="宋体"/>
          <w:color w:val="000000"/>
          <w:sz w:val="24"/>
          <w:szCs w:val="20"/>
        </w:rPr>
        <w:t>万元</w:t>
      </w:r>
    </w:p>
    <w:p w14:paraId="5EE62907">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5.最高限价：</w:t>
      </w:r>
      <w:r>
        <w:rPr>
          <w:rFonts w:hint="eastAsia" w:ascii="宋体" w:hAnsi="宋体" w:cs="宋体"/>
          <w:color w:val="000000"/>
          <w:sz w:val="24"/>
          <w:szCs w:val="20"/>
          <w:lang w:val="en-US" w:eastAsia="zh-CN"/>
        </w:rPr>
        <w:t>11.26</w:t>
      </w:r>
      <w:r>
        <w:rPr>
          <w:rFonts w:hint="eastAsia" w:ascii="宋体" w:hAnsi="宋体" w:eastAsia="宋体" w:cs="宋体"/>
          <w:color w:val="000000"/>
          <w:sz w:val="24"/>
          <w:szCs w:val="20"/>
        </w:rPr>
        <w:t>万元</w:t>
      </w:r>
    </w:p>
    <w:p w14:paraId="75518DF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firstLineChars="200"/>
        <w:textAlignment w:val="auto"/>
      </w:pPr>
      <w:r>
        <w:rPr>
          <w:rFonts w:hint="eastAsia" w:ascii="宋体" w:hAnsi="宋体" w:eastAsia="宋体" w:cs="宋体"/>
          <w:color w:val="000000"/>
          <w:sz w:val="24"/>
          <w:szCs w:val="20"/>
        </w:rPr>
        <w:t>6.采购需求：</w:t>
      </w:r>
      <w:r>
        <w:rPr>
          <w:rFonts w:hint="eastAsia" w:ascii="宋体" w:hAnsi="宋体" w:cs="宋体"/>
          <w:color w:val="000000"/>
          <w:sz w:val="24"/>
          <w:lang w:eastAsia="zh-CN"/>
        </w:rPr>
        <w:t>盐城市妇联实验幼儿园</w:t>
      </w:r>
      <w:r>
        <w:rPr>
          <w:rFonts w:ascii="宋体" w:hAnsi="宋体" w:eastAsia="宋体" w:cs="宋体"/>
          <w:color w:val="000000"/>
          <w:sz w:val="24"/>
        </w:rPr>
        <w:t>物业服务，服务主要内容及人员，包含保洁员1人、夜间值班巡逻人员1人</w:t>
      </w:r>
      <w:r>
        <w:rPr>
          <w:rFonts w:hint="eastAsia" w:ascii="宋体" w:hAnsi="宋体" w:cs="宋体"/>
          <w:color w:val="FF0000"/>
          <w:sz w:val="24"/>
          <w:szCs w:val="20"/>
          <w:lang w:val="en-US" w:eastAsia="zh-CN"/>
        </w:rPr>
        <w:t>（</w:t>
      </w:r>
      <w:r>
        <w:rPr>
          <w:rFonts w:hint="eastAsia" w:ascii="宋体" w:hAnsi="宋体" w:cs="宋体"/>
          <w:color w:val="FF0000"/>
          <w:sz w:val="24"/>
          <w:szCs w:val="20"/>
          <w:lang w:eastAsia="zh-CN"/>
        </w:rPr>
        <w:t>由安保服务单位派遣、采购单位统筹管理）</w:t>
      </w:r>
      <w:r>
        <w:rPr>
          <w:rFonts w:ascii="宋体" w:hAnsi="宋体" w:eastAsia="宋体" w:cs="宋体"/>
          <w:color w:val="000000"/>
          <w:sz w:val="24"/>
        </w:rPr>
        <w:t>及提供水电服务等，详见招标采购需求（详细内容见本招标文件第四章），招标人保留对服务内容进行适当调整的权利。</w:t>
      </w:r>
    </w:p>
    <w:p w14:paraId="2E83A8AC">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bCs/>
          <w:color w:val="000000"/>
          <w:sz w:val="24"/>
          <w:szCs w:val="20"/>
          <w:lang w:eastAsia="zh-CN"/>
        </w:rPr>
      </w:pPr>
      <w:r>
        <w:rPr>
          <w:rFonts w:hint="eastAsia" w:ascii="宋体" w:hAnsi="宋体" w:eastAsia="宋体" w:cs="宋体"/>
          <w:color w:val="000000"/>
          <w:sz w:val="24"/>
          <w:szCs w:val="20"/>
        </w:rPr>
        <w:t>7.合同履行期限：</w:t>
      </w:r>
      <w:r>
        <w:rPr>
          <w:rFonts w:hint="eastAsia" w:ascii="宋体" w:hAnsi="宋体" w:cs="宋体"/>
          <w:color w:val="000000"/>
          <w:sz w:val="24"/>
          <w:szCs w:val="20"/>
          <w:lang w:eastAsia="zh-CN"/>
        </w:rPr>
        <w:t>一年（试用期3个月）。</w:t>
      </w:r>
    </w:p>
    <w:p w14:paraId="4EB07E5C">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8.本项目（是/否）接受联合体投标：否。</w:t>
      </w:r>
    </w:p>
    <w:p w14:paraId="4364A8FE">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eastAsia="宋体" w:cs="宋体"/>
          <w:b/>
          <w:bCs/>
          <w:color w:val="000000"/>
          <w:sz w:val="24"/>
          <w:szCs w:val="20"/>
        </w:rPr>
      </w:pPr>
      <w:r>
        <w:rPr>
          <w:rFonts w:hint="eastAsia" w:ascii="宋体" w:hAnsi="宋体" w:eastAsia="宋体" w:cs="宋体"/>
          <w:b/>
          <w:bCs/>
          <w:color w:val="000000"/>
          <w:sz w:val="24"/>
          <w:szCs w:val="20"/>
        </w:rPr>
        <w:t>二、申请人的资格要求</w:t>
      </w:r>
    </w:p>
    <w:p w14:paraId="4418DE12">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1.满足《中华人民共和国政府采购法》第二十二条规定，并提供下列材料：</w:t>
      </w:r>
    </w:p>
    <w:p w14:paraId="2CDBB2F1">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1.1法人或者其他组织的营业执照等证明文件</w:t>
      </w:r>
      <w:r>
        <w:rPr>
          <w:rFonts w:hint="eastAsia" w:ascii="宋体" w:hAnsi="宋体" w:cs="宋体"/>
          <w:color w:val="000000"/>
          <w:sz w:val="24"/>
          <w:szCs w:val="20"/>
          <w:lang w:eastAsia="zh-CN"/>
        </w:rPr>
        <w:t>，</w:t>
      </w:r>
      <w:r>
        <w:rPr>
          <w:rFonts w:hint="eastAsia" w:ascii="宋体" w:hAnsi="宋体" w:cs="宋体"/>
          <w:color w:val="000000"/>
          <w:sz w:val="24"/>
          <w:szCs w:val="20"/>
          <w:lang w:val="en-US" w:eastAsia="zh-CN"/>
        </w:rPr>
        <w:t>或</w:t>
      </w:r>
      <w:r>
        <w:rPr>
          <w:rFonts w:hint="eastAsia" w:ascii="宋体" w:hAnsi="宋体" w:eastAsia="宋体" w:cs="宋体"/>
          <w:color w:val="000000"/>
          <w:sz w:val="24"/>
          <w:szCs w:val="20"/>
        </w:rPr>
        <w:t>自然人的身份证明。</w:t>
      </w:r>
    </w:p>
    <w:p w14:paraId="50D93F78">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1.2 </w:t>
      </w:r>
      <w:r>
        <w:rPr>
          <w:rFonts w:hint="eastAsia" w:ascii="宋体" w:hAnsi="宋体" w:cs="宋体"/>
          <w:sz w:val="24"/>
          <w:szCs w:val="20"/>
        </w:rPr>
        <w:t>上一年度的财务状况报表（</w:t>
      </w:r>
      <w:r>
        <w:rPr>
          <w:rFonts w:hint="eastAsia" w:ascii="宋体" w:hAnsi="宋体" w:eastAsia="宋体" w:cs="宋体"/>
          <w:color w:val="auto"/>
          <w:sz w:val="24"/>
          <w:szCs w:val="20"/>
          <w:highlight w:val="none"/>
        </w:rPr>
        <w:t>成立不满一年无需提供</w:t>
      </w:r>
      <w:r>
        <w:rPr>
          <w:rFonts w:hint="eastAsia" w:ascii="宋体" w:hAnsi="宋体" w:cs="宋体"/>
          <w:sz w:val="24"/>
          <w:szCs w:val="20"/>
        </w:rPr>
        <w:t>）</w:t>
      </w:r>
      <w:r>
        <w:rPr>
          <w:rFonts w:hint="eastAsia" w:ascii="宋体" w:hAnsi="宋体" w:cs="宋体"/>
          <w:sz w:val="24"/>
          <w:szCs w:val="20"/>
          <w:lang w:eastAsia="zh-CN"/>
        </w:rPr>
        <w:t>。</w:t>
      </w:r>
    </w:p>
    <w:p w14:paraId="109D034B">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1.3具备履行合同所必需的设备和专业技术能力的书面声明。</w:t>
      </w:r>
    </w:p>
    <w:p w14:paraId="2A44014E">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1.4依法缴纳税收和社会保障资金的相关材料（提供投标文件截止时间前一年内至少一个月依法缴纳税收及缴纳社会保障资金的证明材料。供应商依法享受缓缴、免缴税收、社会保障资金的提供证明材料。）。</w:t>
      </w:r>
    </w:p>
    <w:p w14:paraId="736D8BF1">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1.5参加政府采购活动前3年内在经营活动中没有重大违法记录的书面声明。</w:t>
      </w:r>
    </w:p>
    <w:p w14:paraId="6E68657A">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1.6法律、行政法规规定的其他条件。</w:t>
      </w:r>
    </w:p>
    <w:p w14:paraId="6A5AB301">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szCs w:val="20"/>
        </w:rPr>
      </w:pPr>
    </w:p>
    <w:p w14:paraId="33CE1486">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55B53D8A">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1.8单位负责人为同一人或者存在直接控股、管理关系的不同供应商，不得参加同一合同项下的政府采购活动。（投标文件中需提供声明）</w:t>
      </w:r>
    </w:p>
    <w:p w14:paraId="0003F881">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2.落实政府采购政策需满足的资格要求：</w:t>
      </w:r>
      <w:r>
        <w:rPr>
          <w:rFonts w:hint="eastAsia" w:ascii="宋体" w:hAnsi="宋体" w:eastAsia="宋体" w:cs="宋体"/>
          <w:b/>
          <w:bCs/>
          <w:color w:val="000000"/>
          <w:sz w:val="24"/>
          <w:szCs w:val="20"/>
        </w:rPr>
        <w:t>本项目专门面向中小企业采购。采购标的的所属行业为物业管理服务，投标人需按照采购文件的要求提供相应的《中小企业声明函》。企业标准请参照《关于印发中小企业划型标准规定的通知》（工信部联企业</w:t>
      </w:r>
      <w:r>
        <w:rPr>
          <w:rFonts w:hint="eastAsia" w:ascii="宋体" w:hAnsi="宋体" w:eastAsia="宋体" w:cs="宋体"/>
          <w:b/>
          <w:bCs/>
          <w:color w:val="auto"/>
          <w:sz w:val="24"/>
          <w:szCs w:val="20"/>
          <w:highlight w:val="none"/>
        </w:rPr>
        <w:t>〔2011〕</w:t>
      </w:r>
      <w:r>
        <w:rPr>
          <w:rFonts w:hint="eastAsia" w:ascii="宋体" w:hAnsi="宋体" w:eastAsia="宋体" w:cs="宋体"/>
          <w:b/>
          <w:bCs/>
          <w:color w:val="000000"/>
          <w:sz w:val="24"/>
          <w:szCs w:val="20"/>
        </w:rPr>
        <w:t>300号）文件规定自行填写。</w:t>
      </w:r>
    </w:p>
    <w:p w14:paraId="7DBD56BA">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3.本项目的特定资格要求：无</w:t>
      </w:r>
    </w:p>
    <w:p w14:paraId="3967B342">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eastAsia="宋体" w:cs="宋体"/>
          <w:b/>
          <w:bCs/>
          <w:color w:val="000000"/>
          <w:sz w:val="24"/>
          <w:szCs w:val="20"/>
        </w:rPr>
      </w:pPr>
      <w:r>
        <w:rPr>
          <w:rFonts w:hint="eastAsia" w:ascii="宋体" w:hAnsi="宋体" w:eastAsia="宋体" w:cs="宋体"/>
          <w:b/>
          <w:bCs/>
          <w:color w:val="000000"/>
          <w:sz w:val="24"/>
          <w:szCs w:val="20"/>
        </w:rPr>
        <w:t>三、获取招标文件</w:t>
      </w:r>
    </w:p>
    <w:p w14:paraId="762444A8">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1.时间：自招标文件公告发布之日起5个工作日。</w:t>
      </w:r>
    </w:p>
    <w:p w14:paraId="58DCA472">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2.地点：“苏采云”系统内免费下载（供应商必须在苏采云系统中获取采购文件，方能参与政府采购项目）。</w:t>
      </w:r>
    </w:p>
    <w:p w14:paraId="5C1739FB">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3.方式：本项目采用网上注册登记方式。</w:t>
      </w:r>
    </w:p>
    <w:p w14:paraId="03C08733">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4.售价：0元。</w:t>
      </w:r>
    </w:p>
    <w:p w14:paraId="638B69FE">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eastAsia="宋体" w:cs="宋体"/>
          <w:b/>
          <w:bCs/>
          <w:color w:val="000000"/>
          <w:sz w:val="24"/>
          <w:szCs w:val="20"/>
        </w:rPr>
      </w:pPr>
      <w:r>
        <w:rPr>
          <w:rFonts w:hint="eastAsia" w:ascii="宋体" w:hAnsi="宋体" w:eastAsia="宋体" w:cs="宋体"/>
          <w:b/>
          <w:bCs/>
          <w:color w:val="000000"/>
          <w:sz w:val="24"/>
          <w:szCs w:val="20"/>
        </w:rPr>
        <w:t>四、提交投标文件截止时间、开标时间和地点</w:t>
      </w:r>
    </w:p>
    <w:p w14:paraId="33280C90">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1.时间：2026年</w:t>
      </w:r>
      <w:r>
        <w:rPr>
          <w:rFonts w:hint="eastAsia" w:ascii="宋体" w:hAnsi="宋体" w:cs="宋体"/>
          <w:color w:val="000000"/>
          <w:sz w:val="24"/>
          <w:szCs w:val="20"/>
          <w:lang w:val="en-US" w:eastAsia="zh-CN"/>
        </w:rPr>
        <w:t xml:space="preserve"> 9 </w:t>
      </w:r>
      <w:r>
        <w:rPr>
          <w:rFonts w:hint="eastAsia" w:ascii="宋体" w:hAnsi="宋体" w:eastAsia="宋体" w:cs="宋体"/>
          <w:color w:val="000000"/>
          <w:sz w:val="24"/>
          <w:szCs w:val="20"/>
        </w:rPr>
        <w:t>月</w:t>
      </w:r>
      <w:r>
        <w:rPr>
          <w:rFonts w:hint="eastAsia" w:ascii="宋体" w:hAnsi="宋体" w:cs="宋体"/>
          <w:color w:val="000000"/>
          <w:sz w:val="24"/>
          <w:szCs w:val="20"/>
          <w:lang w:val="en-US" w:eastAsia="zh-CN"/>
        </w:rPr>
        <w:t xml:space="preserve"> 9 </w:t>
      </w:r>
      <w:r>
        <w:rPr>
          <w:rFonts w:hint="eastAsia" w:ascii="宋体" w:hAnsi="宋体" w:eastAsia="宋体" w:cs="宋体"/>
          <w:color w:val="000000"/>
          <w:sz w:val="24"/>
          <w:szCs w:val="20"/>
        </w:rPr>
        <w:t>日</w:t>
      </w:r>
      <w:r>
        <w:rPr>
          <w:rFonts w:hint="eastAsia" w:ascii="宋体" w:hAnsi="宋体" w:cs="宋体"/>
          <w:color w:val="000000"/>
          <w:sz w:val="24"/>
          <w:szCs w:val="20"/>
          <w:lang w:val="en-US" w:eastAsia="zh-CN"/>
        </w:rPr>
        <w:t xml:space="preserve"> 上午9 </w:t>
      </w:r>
      <w:r>
        <w:rPr>
          <w:rFonts w:hint="eastAsia" w:ascii="宋体" w:hAnsi="宋体" w:eastAsia="宋体" w:cs="宋体"/>
          <w:color w:val="000000"/>
          <w:sz w:val="24"/>
          <w:szCs w:val="20"/>
        </w:rPr>
        <w:t>点</w:t>
      </w:r>
      <w:r>
        <w:rPr>
          <w:rFonts w:hint="eastAsia" w:ascii="宋体" w:hAnsi="宋体" w:cs="宋体"/>
          <w:color w:val="000000"/>
          <w:sz w:val="24"/>
          <w:szCs w:val="20"/>
          <w:lang w:val="en-US" w:eastAsia="zh-CN"/>
        </w:rPr>
        <w:t>00</w:t>
      </w:r>
      <w:r>
        <w:rPr>
          <w:rFonts w:hint="eastAsia" w:ascii="宋体" w:hAnsi="宋体" w:eastAsia="宋体" w:cs="宋体"/>
          <w:color w:val="000000"/>
          <w:sz w:val="24"/>
          <w:szCs w:val="20"/>
        </w:rPr>
        <w:t>分（北京时间）</w:t>
      </w:r>
    </w:p>
    <w:p w14:paraId="35967773">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2.地点：苏采云“不见面”开标大厅。</w:t>
      </w:r>
    </w:p>
    <w:p w14:paraId="5E67874E">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eastAsia="宋体" w:cs="宋体"/>
          <w:b/>
          <w:bCs/>
          <w:color w:val="000000"/>
          <w:sz w:val="24"/>
          <w:szCs w:val="20"/>
        </w:rPr>
      </w:pPr>
      <w:r>
        <w:rPr>
          <w:rFonts w:hint="eastAsia" w:ascii="宋体" w:hAnsi="宋体" w:eastAsia="宋体" w:cs="宋体"/>
          <w:b/>
          <w:bCs/>
          <w:color w:val="000000"/>
          <w:sz w:val="24"/>
          <w:szCs w:val="20"/>
        </w:rPr>
        <w:t>五、公告期限</w:t>
      </w:r>
    </w:p>
    <w:p w14:paraId="166D22A4">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自本公告发布之日起5个工作日。</w:t>
      </w:r>
    </w:p>
    <w:p w14:paraId="16C9DFCB">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eastAsia="宋体" w:cs="宋体"/>
          <w:b/>
          <w:bCs/>
          <w:color w:val="000000"/>
          <w:sz w:val="24"/>
          <w:szCs w:val="20"/>
        </w:rPr>
      </w:pPr>
      <w:r>
        <w:rPr>
          <w:rFonts w:hint="eastAsia" w:ascii="宋体" w:hAnsi="宋体" w:eastAsia="宋体" w:cs="宋体"/>
          <w:b/>
          <w:bCs/>
          <w:color w:val="000000"/>
          <w:sz w:val="24"/>
          <w:szCs w:val="20"/>
        </w:rPr>
        <w:t>六、其他补充事宜</w:t>
      </w:r>
    </w:p>
    <w:p w14:paraId="2D0FC3AF">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0"/>
        </w:rPr>
      </w:pPr>
      <w:r>
        <w:rPr>
          <w:rFonts w:hint="eastAsia" w:ascii="宋体" w:hAnsi="宋体" w:eastAsia="宋体" w:cs="宋体"/>
          <w:sz w:val="24"/>
          <w:szCs w:val="20"/>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09AA565D">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0"/>
        </w:rPr>
      </w:pPr>
      <w:r>
        <w:rPr>
          <w:rFonts w:hint="eastAsia" w:ascii="宋体" w:hAnsi="宋体" w:eastAsia="宋体" w:cs="宋体"/>
          <w:sz w:val="24"/>
          <w:szCs w:val="20"/>
          <w:lang w:val="en-US" w:eastAsia="zh-CN"/>
        </w:rPr>
        <w:t>领取CA和办理</w:t>
      </w:r>
      <w:r>
        <w:rPr>
          <w:rFonts w:hint="eastAsia" w:ascii="宋体" w:hAnsi="宋体" w:eastAsia="宋体" w:cs="宋体"/>
          <w:color w:val="auto"/>
          <w:sz w:val="24"/>
          <w:szCs w:val="20"/>
          <w:lang w:val="en-US" w:eastAsia="zh-CN"/>
        </w:rPr>
        <w:t>电子签章（盐城市府西路1号盐城市公共资源交易中心四楼大厅10号，11号窗口办理，联系</w:t>
      </w:r>
      <w:r>
        <w:rPr>
          <w:rFonts w:hint="eastAsia" w:ascii="宋体" w:hAnsi="宋体" w:eastAsia="宋体" w:cs="宋体"/>
          <w:sz w:val="24"/>
          <w:szCs w:val="20"/>
          <w:lang w:val="en-US" w:eastAsia="zh-CN"/>
        </w:rPr>
        <w:t>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5935ACD3">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0"/>
        </w:rPr>
      </w:pPr>
      <w:r>
        <w:rPr>
          <w:rFonts w:hint="eastAsia" w:ascii="宋体" w:hAnsi="宋体" w:eastAsia="宋体" w:cs="宋体"/>
          <w:sz w:val="24"/>
          <w:szCs w:val="20"/>
          <w:lang w:val="en-US" w:eastAsia="zh-CN"/>
        </w:rPr>
        <w:t>2. 潜在供应商访问电子招标响应交易平台的网络地址和方法：</w:t>
      </w:r>
    </w:p>
    <w:p w14:paraId="485A8344">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0"/>
        </w:rPr>
      </w:pPr>
      <w:r>
        <w:rPr>
          <w:rFonts w:hint="eastAsia" w:ascii="宋体" w:hAnsi="宋体" w:eastAsia="宋体" w:cs="宋体"/>
          <w:sz w:val="24"/>
          <w:szCs w:val="20"/>
          <w:lang w:val="en-US" w:eastAsia="zh-CN"/>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12801C96">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0"/>
        </w:rPr>
      </w:pPr>
      <w:r>
        <w:rPr>
          <w:rFonts w:hint="eastAsia" w:ascii="宋体" w:hAnsi="宋体" w:eastAsia="宋体" w:cs="宋体"/>
          <w:sz w:val="24"/>
          <w:szCs w:val="20"/>
          <w:lang w:val="en-US" w:eastAsia="zh-CN"/>
        </w:rPr>
        <w:t>2.2 潜在投标人访问“苏采云”系统方法：江苏省政府采购网首页-“苏采云”链接。</w:t>
      </w:r>
    </w:p>
    <w:p w14:paraId="12F7A2EA">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0"/>
        </w:rPr>
      </w:pPr>
      <w:r>
        <w:rPr>
          <w:rFonts w:hint="eastAsia" w:ascii="宋体" w:hAnsi="宋体" w:eastAsia="宋体" w:cs="宋体"/>
          <w:sz w:val="24"/>
          <w:szCs w:val="20"/>
          <w:lang w:val="en-US" w:eastAsia="zh-CN"/>
        </w:rPr>
        <w:t>2.3 采购文件（后缀名为“.kedt”）、供应商操作手册及政府采购客户端 工具可通过“苏采云”系统相应链接进行下载。</w:t>
      </w:r>
    </w:p>
    <w:p w14:paraId="33B6EFF9">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0"/>
        </w:rPr>
      </w:pPr>
      <w:r>
        <w:rPr>
          <w:rFonts w:hint="eastAsia" w:ascii="宋体" w:hAnsi="宋体" w:eastAsia="宋体" w:cs="宋体"/>
          <w:sz w:val="24"/>
          <w:szCs w:val="20"/>
          <w:lang w:val="en-US" w:eastAsia="zh-CN"/>
        </w:rPr>
        <w:t>2.4 采购代理机构将数据电文形式的采购文件加载至“苏采云”系统，供潜在供应商下载或者查阅。</w:t>
      </w:r>
    </w:p>
    <w:p w14:paraId="2AC62C20">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0"/>
        </w:rPr>
      </w:pPr>
      <w:r>
        <w:rPr>
          <w:rFonts w:hint="eastAsia" w:ascii="宋体" w:hAnsi="宋体" w:eastAsia="宋体" w:cs="宋体"/>
          <w:sz w:val="24"/>
          <w:szCs w:val="20"/>
          <w:lang w:val="en-US" w:eastAsia="zh-CN"/>
        </w:rPr>
        <w:t>2.5 请潜在投标单位提前安装相应的控件（详见《“苏采云”系统供应商操作手册》）并使用谷歌浏览器登录“苏采云”系统参与不见面开评标。</w:t>
      </w:r>
    </w:p>
    <w:p w14:paraId="100A4914">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0"/>
        </w:rPr>
      </w:pPr>
      <w:r>
        <w:rPr>
          <w:rFonts w:hint="eastAsia" w:ascii="宋体" w:hAnsi="宋体" w:eastAsia="宋体" w:cs="宋体"/>
          <w:sz w:val="24"/>
          <w:szCs w:val="20"/>
          <w:lang w:val="en-US" w:eastAsia="zh-CN"/>
        </w:rPr>
        <w:t>如潜在投标人未按上述要求操作，将自行承担所产生的风险。</w:t>
      </w:r>
    </w:p>
    <w:p w14:paraId="5AE4DFA6">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0"/>
        </w:rPr>
      </w:pPr>
      <w:r>
        <w:rPr>
          <w:rFonts w:hint="eastAsia" w:ascii="宋体" w:hAnsi="宋体" w:eastAsia="宋体" w:cs="宋体"/>
          <w:sz w:val="24"/>
          <w:szCs w:val="20"/>
          <w:lang w:val="en-US" w:eastAsia="zh-CN"/>
        </w:rPr>
        <w:t>3.有关本次招标的事项若存在变动或修改，敬请及时关注采购代理机构在“中国政府采购网”“江苏政府采购网”“盐城市政府采购网”发布的更正公告。</w:t>
      </w:r>
    </w:p>
    <w:p w14:paraId="0C3E31B8">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0"/>
        </w:rPr>
      </w:pPr>
      <w:r>
        <w:rPr>
          <w:rFonts w:hint="eastAsia" w:ascii="宋体" w:hAnsi="宋体" w:eastAsia="宋体" w:cs="宋体"/>
          <w:sz w:val="24"/>
          <w:szCs w:val="20"/>
        </w:rPr>
        <w:t>4.本次招标不收取投标保证金，不收取质量保证金。</w:t>
      </w:r>
    </w:p>
    <w:p w14:paraId="1C570A74">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eastAsia="宋体" w:cs="宋体"/>
          <w:b/>
          <w:bCs/>
          <w:color w:val="000000"/>
          <w:sz w:val="24"/>
          <w:szCs w:val="20"/>
        </w:rPr>
      </w:pPr>
      <w:r>
        <w:rPr>
          <w:rFonts w:hint="eastAsia" w:ascii="宋体" w:hAnsi="宋体" w:eastAsia="宋体" w:cs="宋体"/>
          <w:b/>
          <w:bCs/>
          <w:color w:val="000000"/>
          <w:sz w:val="24"/>
          <w:szCs w:val="20"/>
        </w:rPr>
        <w:t>七、对本次招标提出询问，请按以下方式联系。</w:t>
      </w:r>
    </w:p>
    <w:p w14:paraId="03D80811">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eastAsia="宋体" w:cs="宋体"/>
          <w:b/>
          <w:bCs/>
          <w:color w:val="000000"/>
          <w:sz w:val="24"/>
          <w:szCs w:val="20"/>
        </w:rPr>
      </w:pPr>
      <w:r>
        <w:rPr>
          <w:rFonts w:hint="eastAsia" w:ascii="宋体" w:hAnsi="宋体" w:eastAsia="宋体" w:cs="宋体"/>
          <w:b/>
          <w:bCs/>
          <w:color w:val="000000"/>
          <w:sz w:val="24"/>
          <w:szCs w:val="20"/>
        </w:rPr>
        <w:t>1.采购人信息</w:t>
      </w:r>
    </w:p>
    <w:p w14:paraId="21E64230">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名    称：</w:t>
      </w:r>
      <w:r>
        <w:rPr>
          <w:rFonts w:hint="eastAsia" w:ascii="宋体" w:hAnsi="宋体" w:cs="宋体"/>
          <w:color w:val="000000"/>
          <w:sz w:val="24"/>
          <w:szCs w:val="20"/>
          <w:lang w:eastAsia="zh-CN"/>
        </w:rPr>
        <w:t>盐城市妇联实验幼儿园</w:t>
      </w:r>
    </w:p>
    <w:p w14:paraId="43D7A8B5">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s="宋体"/>
          <w:color w:val="000000"/>
          <w:sz w:val="24"/>
          <w:szCs w:val="20"/>
          <w:lang w:val="en-US" w:eastAsia="zh-CN"/>
        </w:rPr>
      </w:pPr>
      <w:r>
        <w:rPr>
          <w:rFonts w:hint="eastAsia" w:ascii="宋体" w:hAnsi="宋体" w:eastAsia="宋体" w:cs="宋体"/>
          <w:color w:val="000000"/>
          <w:sz w:val="24"/>
          <w:szCs w:val="20"/>
        </w:rPr>
        <w:t>地    址：</w:t>
      </w:r>
      <w:r>
        <w:rPr>
          <w:rFonts w:hint="eastAsia" w:ascii="宋体" w:hAnsi="宋体" w:cs="宋体"/>
          <w:color w:val="000000"/>
          <w:sz w:val="24"/>
          <w:szCs w:val="20"/>
          <w:lang w:eastAsia="zh-CN"/>
        </w:rPr>
        <w:t>江苏省盐城市亭湖区开放大道北路43号</w:t>
      </w:r>
    </w:p>
    <w:p w14:paraId="543C72CA">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联 系 人：</w:t>
      </w:r>
      <w:r>
        <w:rPr>
          <w:rFonts w:hint="eastAsia" w:ascii="宋体" w:hAnsi="宋体" w:cs="宋体"/>
          <w:color w:val="000000"/>
          <w:sz w:val="24"/>
          <w:szCs w:val="20"/>
          <w:lang w:val="en-US" w:eastAsia="zh-CN"/>
        </w:rPr>
        <w:t>王先生</w:t>
      </w:r>
      <w:r>
        <w:rPr>
          <w:rFonts w:hint="eastAsia" w:ascii="宋体" w:hAnsi="宋体" w:eastAsia="宋体" w:cs="宋体"/>
          <w:color w:val="000000"/>
          <w:sz w:val="24"/>
          <w:szCs w:val="20"/>
          <w:lang w:val="en-US" w:eastAsia="zh-CN"/>
        </w:rPr>
        <w:t xml:space="preserve"> </w:t>
      </w:r>
    </w:p>
    <w:p w14:paraId="4862E811">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联系方式：13770082329</w:t>
      </w:r>
    </w:p>
    <w:p w14:paraId="6CC8CA5B">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eastAsia="宋体" w:cs="宋体"/>
          <w:b/>
          <w:bCs/>
          <w:color w:val="000000"/>
          <w:sz w:val="24"/>
          <w:szCs w:val="20"/>
        </w:rPr>
      </w:pPr>
      <w:r>
        <w:rPr>
          <w:rFonts w:hint="eastAsia" w:ascii="宋体" w:hAnsi="宋体" w:eastAsia="宋体" w:cs="宋体"/>
          <w:b/>
          <w:bCs/>
          <w:color w:val="000000"/>
          <w:sz w:val="24"/>
          <w:szCs w:val="20"/>
        </w:rPr>
        <w:t>2.采购代理机构信息</w:t>
      </w:r>
    </w:p>
    <w:p w14:paraId="6BCF61C9">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名    称：盐城</w:t>
      </w:r>
      <w:r>
        <w:rPr>
          <w:rFonts w:hint="eastAsia" w:ascii="宋体" w:hAnsi="宋体" w:eastAsia="宋体" w:cs="宋体"/>
          <w:color w:val="000000"/>
          <w:sz w:val="24"/>
          <w:szCs w:val="20"/>
          <w:lang w:eastAsia="zh-CN"/>
        </w:rPr>
        <w:t>市亭湖区公共资源交易</w:t>
      </w:r>
      <w:r>
        <w:rPr>
          <w:rFonts w:hint="eastAsia" w:ascii="宋体" w:hAnsi="宋体" w:eastAsia="宋体" w:cs="宋体"/>
          <w:color w:val="000000"/>
          <w:sz w:val="24"/>
          <w:szCs w:val="20"/>
        </w:rPr>
        <w:t>中心</w:t>
      </w:r>
    </w:p>
    <w:p w14:paraId="7EB48368">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地    址：盐城市亭湖区希望大道中路18号</w:t>
      </w:r>
    </w:p>
    <w:p w14:paraId="23F1CBE9">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联 系 人：纪先生</w:t>
      </w:r>
      <w:r>
        <w:rPr>
          <w:rFonts w:hint="eastAsia" w:ascii="宋体" w:hAnsi="宋体" w:eastAsia="宋体" w:cs="宋体"/>
          <w:color w:val="000000"/>
          <w:sz w:val="24"/>
          <w:szCs w:val="20"/>
          <w:lang w:val="en-US" w:eastAsia="zh-CN"/>
        </w:rPr>
        <w:t xml:space="preserve">    </w:t>
      </w:r>
    </w:p>
    <w:p w14:paraId="11629CCB">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联系方式：0515-89802019</w:t>
      </w:r>
    </w:p>
    <w:p w14:paraId="6801F5F3">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eastAsia="宋体" w:cs="宋体"/>
          <w:b/>
          <w:bCs/>
          <w:color w:val="000000"/>
          <w:sz w:val="24"/>
          <w:szCs w:val="20"/>
        </w:rPr>
      </w:pPr>
      <w:r>
        <w:rPr>
          <w:rFonts w:hint="eastAsia" w:ascii="宋体" w:hAnsi="宋体" w:eastAsia="宋体" w:cs="宋体"/>
          <w:b/>
          <w:bCs/>
          <w:color w:val="000000"/>
          <w:sz w:val="24"/>
          <w:szCs w:val="20"/>
        </w:rPr>
        <w:t>3.项目联系方式</w:t>
      </w:r>
    </w:p>
    <w:p w14:paraId="7055E173">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项目联系人：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纪先生</w:t>
      </w:r>
      <w:r>
        <w:rPr>
          <w:rFonts w:hint="eastAsia" w:ascii="宋体" w:hAnsi="宋体" w:eastAsia="宋体" w:cs="宋体"/>
          <w:color w:val="000000"/>
          <w:sz w:val="24"/>
          <w:szCs w:val="20"/>
          <w:lang w:val="en-US" w:eastAsia="zh-CN"/>
        </w:rPr>
        <w:t xml:space="preserve">              </w:t>
      </w:r>
    </w:p>
    <w:p w14:paraId="4FFC233C">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电    话：0515-89802019</w:t>
      </w:r>
    </w:p>
    <w:p w14:paraId="3ABE5493">
      <w:pPr>
        <w:jc w:val="center"/>
        <w:rPr>
          <w:rFonts w:ascii="黑体" w:hAnsi="黑体" w:eastAsia="黑体" w:cs="黑体"/>
          <w:sz w:val="44"/>
          <w:szCs w:val="44"/>
        </w:rPr>
      </w:pPr>
      <w:r>
        <w:rPr>
          <w:rFonts w:hint="eastAsia" w:ascii="宋体" w:hAnsi="宋体" w:cs="宋体"/>
          <w:sz w:val="44"/>
          <w:szCs w:val="44"/>
        </w:rPr>
        <w:br w:type="page" w:clear="all"/>
      </w:r>
      <w:bookmarkStart w:id="1" w:name="_Toc23635"/>
      <w:r>
        <w:rPr>
          <w:rFonts w:hint="eastAsia" w:ascii="黑体" w:hAnsi="黑体" w:eastAsia="黑体" w:cs="黑体"/>
          <w:sz w:val="44"/>
          <w:szCs w:val="44"/>
        </w:rPr>
        <w:t>第二章 投标人须知</w:t>
      </w:r>
      <w:bookmarkEnd w:id="1"/>
    </w:p>
    <w:p w14:paraId="3077766B">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一、总则</w:t>
      </w:r>
    </w:p>
    <w:p w14:paraId="6399C0EE">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1、招标方式</w:t>
      </w:r>
    </w:p>
    <w:p w14:paraId="2F8C8C72">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1.1本次招标采取公开招标方式，本招标文件仅适用于招标公告中所述项目。</w:t>
      </w:r>
    </w:p>
    <w:p w14:paraId="0A74667E">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2、合格的投标人</w:t>
      </w:r>
    </w:p>
    <w:p w14:paraId="03F389E2">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2.1满足招标公告中供应商的资格要求的规定。</w:t>
      </w:r>
    </w:p>
    <w:p w14:paraId="03D51B81">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2.2满足本文件实质性要求和条件的规定。</w:t>
      </w:r>
    </w:p>
    <w:p w14:paraId="275E879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2" w:firstLineChars="200"/>
        <w:textAlignment w:val="auto"/>
      </w:pPr>
      <w:r>
        <w:rPr>
          <w:rFonts w:hint="eastAsia" w:ascii="宋体" w:hAnsi="宋体" w:cs="宋体"/>
          <w:b/>
          <w:bCs/>
          <w:sz w:val="24"/>
        </w:rPr>
        <w:t>3、</w:t>
      </w:r>
      <w:r>
        <w:rPr>
          <w:rFonts w:ascii="宋体" w:hAnsi="宋体" w:eastAsia="宋体" w:cs="宋体"/>
          <w:b/>
          <w:color w:val="000000"/>
          <w:sz w:val="24"/>
        </w:rPr>
        <w:t>适用法律和标准</w:t>
      </w:r>
    </w:p>
    <w:p w14:paraId="7CCE156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firstLineChars="200"/>
        <w:textAlignment w:val="auto"/>
      </w:pPr>
      <w:r>
        <w:rPr>
          <w:rFonts w:ascii="宋体" w:hAnsi="宋体" w:eastAsia="宋体" w:cs="宋体"/>
          <w:color w:val="000000"/>
          <w:sz w:val="24"/>
        </w:rPr>
        <w:t>3.1本次招标及由此产生的合同受中华人民共和国有关的法律法规制约和保护。</w:t>
      </w:r>
    </w:p>
    <w:p w14:paraId="187E01C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firstLineChars="200"/>
        <w:textAlignment w:val="auto"/>
      </w:pPr>
      <w:r>
        <w:rPr>
          <w:rFonts w:ascii="宋体" w:hAnsi="宋体" w:eastAsia="宋体" w:cs="宋体"/>
          <w:color w:val="000000"/>
          <w:sz w:val="24"/>
        </w:rPr>
        <w:t>3.2在本项目政府采购活动过程中，如果所执行的标准有更新的，按照最新标准执行。</w:t>
      </w:r>
    </w:p>
    <w:p w14:paraId="5E2D448F">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4、投标费用</w:t>
      </w:r>
    </w:p>
    <w:p w14:paraId="54F02CE2">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4.1投标人应自行承担所有与参加投标有关的费用，无论投标过程中的做法和结果如何，</w:t>
      </w:r>
      <w:r>
        <w:rPr>
          <w:rFonts w:hint="eastAsia" w:ascii="宋体" w:hAnsi="宋体" w:eastAsia="宋体" w:cs="宋体"/>
          <w:color w:val="000000"/>
          <w:sz w:val="24"/>
          <w:szCs w:val="20"/>
        </w:rPr>
        <w:t>盐城</w:t>
      </w:r>
      <w:r>
        <w:rPr>
          <w:rFonts w:hint="eastAsia" w:ascii="宋体" w:hAnsi="宋体" w:eastAsia="宋体" w:cs="宋体"/>
          <w:color w:val="000000"/>
          <w:sz w:val="24"/>
          <w:szCs w:val="20"/>
          <w:lang w:eastAsia="zh-CN"/>
        </w:rPr>
        <w:t>市亭湖区公共资源交易</w:t>
      </w:r>
      <w:r>
        <w:rPr>
          <w:rFonts w:hint="eastAsia" w:ascii="宋体" w:hAnsi="宋体" w:eastAsia="宋体" w:cs="宋体"/>
          <w:color w:val="000000"/>
          <w:sz w:val="24"/>
          <w:szCs w:val="20"/>
        </w:rPr>
        <w:t>中心</w:t>
      </w:r>
      <w:r>
        <w:rPr>
          <w:rFonts w:hint="eastAsia" w:ascii="宋体" w:hAnsi="宋体" w:cs="宋体"/>
          <w:sz w:val="24"/>
        </w:rPr>
        <w:t>（以下简称</w:t>
      </w:r>
      <w:r>
        <w:rPr>
          <w:rFonts w:hint="eastAsia" w:ascii="宋体" w:hAnsi="宋体" w:cs="宋体"/>
          <w:sz w:val="24"/>
          <w:lang w:val="en-US" w:eastAsia="zh-CN"/>
        </w:rPr>
        <w:t>交易</w:t>
      </w:r>
      <w:r>
        <w:rPr>
          <w:rFonts w:hint="eastAsia" w:ascii="宋体" w:hAnsi="宋体" w:cs="宋体"/>
          <w:sz w:val="24"/>
        </w:rPr>
        <w:t>中心）在任何情况下均无义务和责任承担这些费用。</w:t>
      </w:r>
    </w:p>
    <w:p w14:paraId="361DA15A">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4.2本次招标</w:t>
      </w:r>
      <w:r>
        <w:rPr>
          <w:rFonts w:hint="eastAsia" w:ascii="宋体" w:hAnsi="宋体" w:cs="宋体"/>
          <w:sz w:val="24"/>
          <w:lang w:eastAsia="zh-CN"/>
        </w:rPr>
        <w:t>交易中心</w:t>
      </w:r>
      <w:r>
        <w:rPr>
          <w:rFonts w:hint="eastAsia" w:ascii="宋体" w:hAnsi="宋体" w:cs="宋体"/>
          <w:sz w:val="24"/>
        </w:rPr>
        <w:t>和采购人不收取标书工本费与中标服务费。</w:t>
      </w:r>
    </w:p>
    <w:p w14:paraId="66D554B8">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5、招标文件的约束力</w:t>
      </w:r>
    </w:p>
    <w:p w14:paraId="053D09C3">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5.1投标人一旦参加本项目采购活动，即被认为接受了本招标文件的规定和约束。</w:t>
      </w:r>
    </w:p>
    <w:p w14:paraId="79C7BA41">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二、招标文件</w:t>
      </w:r>
    </w:p>
    <w:p w14:paraId="50E9BB28">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6、招标文件构成</w:t>
      </w:r>
    </w:p>
    <w:p w14:paraId="084C28ED">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6.1招标文件由以下部分组成：</w:t>
      </w:r>
    </w:p>
    <w:p w14:paraId="1A6136D5">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（1）招标公告</w:t>
      </w:r>
    </w:p>
    <w:p w14:paraId="17B51822">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（2）投标人须知</w:t>
      </w:r>
    </w:p>
    <w:p w14:paraId="2B527EF8">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（3）合同文本</w:t>
      </w:r>
    </w:p>
    <w:p w14:paraId="1970E353">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（4）采购需求</w:t>
      </w:r>
    </w:p>
    <w:p w14:paraId="48E5F0E6">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（5）评标方法与评标标准</w:t>
      </w:r>
    </w:p>
    <w:p w14:paraId="46F1D1B0">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（6）投标文件格式</w:t>
      </w:r>
    </w:p>
    <w:p w14:paraId="4EFFC0ED">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请仔细检查招标文件是否齐全，如有缺漏请立即与</w:t>
      </w:r>
      <w:r>
        <w:rPr>
          <w:rFonts w:hint="eastAsia" w:ascii="宋体" w:hAnsi="宋体" w:cs="宋体"/>
          <w:sz w:val="24"/>
          <w:lang w:eastAsia="zh-CN"/>
        </w:rPr>
        <w:t>交易中心</w:t>
      </w:r>
      <w:r>
        <w:rPr>
          <w:rFonts w:hint="eastAsia" w:ascii="宋体" w:hAnsi="宋体" w:cs="宋体"/>
          <w:sz w:val="24"/>
        </w:rPr>
        <w:t>联系解决。</w:t>
      </w:r>
    </w:p>
    <w:p w14:paraId="01B5A8F0">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18F7BFF">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7、招标文件的澄清</w:t>
      </w:r>
    </w:p>
    <w:p w14:paraId="2CE3F73D">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7.1任何要求对招标文件进行澄清的投标人，应在投标截止期</w:t>
      </w:r>
      <w:r>
        <w:rPr>
          <w:rFonts w:hint="eastAsia" w:ascii="宋体" w:hAnsi="宋体" w:cs="宋体"/>
          <w:b/>
          <w:bCs/>
          <w:sz w:val="24"/>
        </w:rPr>
        <w:t>十日</w:t>
      </w:r>
      <w:r>
        <w:rPr>
          <w:rFonts w:hint="eastAsia" w:ascii="宋体" w:hAnsi="宋体" w:cs="宋体"/>
          <w:sz w:val="24"/>
        </w:rPr>
        <w:t>前按招标公告中的通讯地址，以书面形式通知</w:t>
      </w:r>
      <w:r>
        <w:rPr>
          <w:rFonts w:hint="eastAsia" w:ascii="宋体" w:hAnsi="宋体" w:cs="宋体"/>
          <w:sz w:val="24"/>
          <w:lang w:eastAsia="zh-CN"/>
        </w:rPr>
        <w:t>交易中心</w:t>
      </w:r>
      <w:r>
        <w:rPr>
          <w:rFonts w:hint="eastAsia" w:ascii="宋体" w:hAnsi="宋体" w:cs="宋体"/>
          <w:sz w:val="24"/>
        </w:rPr>
        <w:t>。</w:t>
      </w:r>
    </w:p>
    <w:p w14:paraId="040FEA7C">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8、招标文件的修改</w:t>
      </w:r>
    </w:p>
    <w:p w14:paraId="1ED60CBD">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8.1在投标截止时间前，</w:t>
      </w:r>
      <w:r>
        <w:rPr>
          <w:rFonts w:hint="eastAsia" w:ascii="宋体" w:hAnsi="宋体" w:cs="宋体"/>
          <w:sz w:val="24"/>
          <w:lang w:eastAsia="zh-CN"/>
        </w:rPr>
        <w:t>交易中心</w:t>
      </w:r>
      <w:r>
        <w:rPr>
          <w:rFonts w:hint="eastAsia" w:ascii="宋体" w:hAnsi="宋体" w:cs="宋体"/>
          <w:sz w:val="24"/>
        </w:rPr>
        <w:t>可以对招标文件进行修改。</w:t>
      </w:r>
    </w:p>
    <w:p w14:paraId="604060EB">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8.2</w:t>
      </w:r>
      <w:r>
        <w:rPr>
          <w:rFonts w:hint="eastAsia" w:ascii="宋体" w:hAnsi="宋体" w:cs="宋体"/>
          <w:sz w:val="24"/>
          <w:lang w:eastAsia="zh-CN"/>
        </w:rPr>
        <w:t>交易中心</w:t>
      </w:r>
      <w:r>
        <w:rPr>
          <w:rFonts w:hint="eastAsia" w:ascii="宋体" w:hAnsi="宋体" w:cs="宋体"/>
          <w:sz w:val="24"/>
        </w:rPr>
        <w:t>有权按照法定的要求推迟投标截止日期和开标日期。</w:t>
      </w:r>
    </w:p>
    <w:p w14:paraId="3C851AF9">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8.3招标文件的修改将在“中国政府采购网”、“江苏政府采购网”、“盐城市政府采购网”公布，补充文件将作为招标文件的组成部分，并对供应商具有约束力。</w:t>
      </w:r>
    </w:p>
    <w:p w14:paraId="3F05CC9D">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三、投标文件的编制</w:t>
      </w:r>
    </w:p>
    <w:p w14:paraId="6C7653EC">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9、投标文件的语言及度量衡单位</w:t>
      </w:r>
    </w:p>
    <w:p w14:paraId="600DC096">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9.1投标人提交的投标文件以及投标人与</w:t>
      </w:r>
      <w:r>
        <w:rPr>
          <w:rFonts w:hint="eastAsia" w:ascii="宋体" w:hAnsi="宋体" w:cs="宋体"/>
          <w:sz w:val="24"/>
          <w:lang w:eastAsia="zh-CN"/>
        </w:rPr>
        <w:t>交易中心</w:t>
      </w:r>
      <w:r>
        <w:rPr>
          <w:rFonts w:hint="eastAsia" w:ascii="宋体" w:hAnsi="宋体" w:cs="宋体"/>
          <w:sz w:val="24"/>
        </w:rPr>
        <w:t>就有关投标的所有来往通知、函件和文件均应使用</w:t>
      </w:r>
      <w:r>
        <w:rPr>
          <w:rFonts w:hint="eastAsia" w:ascii="宋体" w:hAnsi="宋体" w:cs="宋体"/>
          <w:b/>
          <w:bCs/>
          <w:sz w:val="24"/>
        </w:rPr>
        <w:t>简体中文</w:t>
      </w:r>
      <w:r>
        <w:rPr>
          <w:rFonts w:hint="eastAsia" w:ascii="宋体" w:hAnsi="宋体" w:cs="宋体"/>
          <w:sz w:val="24"/>
        </w:rPr>
        <w:t>。</w:t>
      </w:r>
    </w:p>
    <w:p w14:paraId="20B2FA08">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9.2除技术性能另有规定外，投标文件所使用的度量衡单位，均须采用国家法定计量单位。</w:t>
      </w:r>
    </w:p>
    <w:p w14:paraId="05641A98">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10、投标文件构成</w:t>
      </w:r>
    </w:p>
    <w:p w14:paraId="57CAD821">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10.1投标人编写的投标文件应包括资格证明文件、符合性证明文件、投标分项报价表、技术要求响应及偏离表、商务要求响应及偏离表、其他证明文件、投标函、开标一览表等部分。</w:t>
      </w:r>
    </w:p>
    <w:p w14:paraId="6EE219ED">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10.2如标书制作工具中格式和内容与“中国政府采购网”、“江苏政府采购网”、“盐城市政府采购网”发布的招标文件不一致，请以“中国政府采购网”、“江苏政府采购网”、“盐城市政府采购网”发布的招标文件为准。</w:t>
      </w:r>
    </w:p>
    <w:p w14:paraId="06B9F4B2">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11、证明投标人及投标标的符合招标文件规定的文件</w:t>
      </w:r>
    </w:p>
    <w:p w14:paraId="5B5A5BDF">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11.1投标人应按照法律、法规、规章和规范性文件以及招标文件要求提交证明文件，证明其及投标标的符合招标文件规定。</w:t>
      </w:r>
    </w:p>
    <w:p w14:paraId="3B1F8520">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11.2招标文件对证明文件无明确形式要求的，证明文件可以以文字资料、图纸和数据等形式提交。</w:t>
      </w:r>
    </w:p>
    <w:p w14:paraId="4964CC69">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12、投标分项报价表</w:t>
      </w:r>
    </w:p>
    <w:p w14:paraId="5895187C">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12.1投标人应按照招标文件规定格式填报投标分项报价表。</w:t>
      </w:r>
    </w:p>
    <w:p w14:paraId="72E59157">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12.2投标货币。投标文件中的单价和总价无特殊规定的采用人民币报价，以元为单位标注。招标文件中另有规定的按规定执行。</w:t>
      </w:r>
    </w:p>
    <w:p w14:paraId="21357C3B">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12.3投标分项报价表，</w:t>
      </w:r>
      <w:r>
        <w:rPr>
          <w:rFonts w:hint="eastAsia"/>
          <w:sz w:val="24"/>
          <w:szCs w:val="20"/>
          <w:lang w:val="zh-CN"/>
        </w:rPr>
        <w:t>不仅应包括所有人员的工资、法定节假日加班费、社保、公积金、福利费及法定税费，还应包括为完成招标文件规定的物业服务工作所涉及的一切相关费用。</w:t>
      </w:r>
    </w:p>
    <w:p w14:paraId="764C818E">
      <w:pPr>
        <w:keepNext w:val="0"/>
        <w:keepLines w:val="0"/>
        <w:pageBreakBefore w:val="0"/>
        <w:tabs>
          <w:tab w:val="left" w:pos="3544"/>
        </w:tabs>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cs="宋体"/>
          <w:b/>
          <w:bCs/>
          <w:sz w:val="24"/>
          <w:szCs w:val="20"/>
          <w:lang w:val="zh-CN"/>
        </w:rPr>
      </w:pPr>
      <w:r>
        <w:rPr>
          <w:rFonts w:hint="eastAsia" w:ascii="宋体" w:hAnsi="宋体" w:cs="宋体"/>
          <w:b/>
          <w:bCs/>
          <w:sz w:val="24"/>
          <w:lang w:val="zh-CN"/>
        </w:rPr>
        <w:t>12.4人员</w:t>
      </w:r>
      <w:r>
        <w:rPr>
          <w:rFonts w:hint="eastAsia" w:ascii="宋体" w:hAnsi="宋体" w:cs="宋体"/>
          <w:b/>
          <w:bCs/>
          <w:sz w:val="24"/>
          <w:szCs w:val="20"/>
          <w:lang w:val="zh-CN"/>
        </w:rPr>
        <w:t>工资：</w:t>
      </w:r>
    </w:p>
    <w:p w14:paraId="68CF1233">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zh-CN" w:eastAsia="zh-CN"/>
        </w:rPr>
        <w:t>①</w:t>
      </w:r>
      <w:r>
        <w:rPr>
          <w:rFonts w:hint="eastAsia" w:ascii="宋体" w:hAnsi="宋体" w:eastAsia="宋体" w:cs="宋体"/>
          <w:color w:val="000000"/>
          <w:sz w:val="24"/>
          <w:highlight w:val="none"/>
          <w:lang w:val="zh-CN" w:eastAsia="zh-CN"/>
        </w:rPr>
        <w:t>保洁员每人</w:t>
      </w:r>
      <w:r>
        <w:rPr>
          <w:rFonts w:hint="eastAsia" w:ascii="宋体" w:hAnsi="宋体" w:eastAsia="宋体" w:cs="宋体"/>
          <w:color w:val="000000"/>
          <w:sz w:val="24"/>
          <w:highlight w:val="none"/>
          <w:lang w:val="en-US" w:eastAsia="zh-CN"/>
        </w:rPr>
        <w:t>工资不得低于</w:t>
      </w:r>
      <w:r>
        <w:rPr>
          <w:rFonts w:hint="eastAsia" w:ascii="宋体" w:hAnsi="宋体" w:eastAsia="宋体" w:cs="宋体"/>
          <w:color w:val="000000"/>
          <w:sz w:val="24"/>
          <w:highlight w:val="none"/>
          <w:lang w:val="zh-CN" w:eastAsia="zh-CN"/>
        </w:rPr>
        <w:t>2430元/月，福利</w:t>
      </w:r>
      <w:r>
        <w:rPr>
          <w:rFonts w:hint="eastAsia" w:ascii="宋体" w:hAnsi="宋体" w:eastAsia="宋体" w:cs="宋体"/>
          <w:color w:val="000000"/>
          <w:sz w:val="24"/>
          <w:highlight w:val="none"/>
          <w:lang w:val="en-US" w:eastAsia="zh-CN"/>
        </w:rPr>
        <w:t>费每人</w:t>
      </w:r>
      <w:r>
        <w:rPr>
          <w:rFonts w:hint="eastAsia" w:ascii="宋体" w:hAnsi="宋体" w:eastAsia="宋体" w:cs="宋体"/>
          <w:color w:val="000000"/>
          <w:sz w:val="24"/>
          <w:highlight w:val="none"/>
          <w:lang w:val="zh-CN" w:eastAsia="zh-CN"/>
        </w:rPr>
        <w:t>1000元/年，以上人员外</w:t>
      </w:r>
      <w:r>
        <w:rPr>
          <w:rFonts w:hint="eastAsia" w:ascii="宋体" w:hAnsi="宋体" w:eastAsia="宋体" w:cs="宋体"/>
          <w:color w:val="000000"/>
          <w:sz w:val="24"/>
          <w:highlight w:val="none"/>
          <w:lang w:val="en-US" w:eastAsia="zh-CN"/>
        </w:rPr>
        <w:t>加</w:t>
      </w:r>
      <w:r>
        <w:rPr>
          <w:rFonts w:hint="eastAsia" w:ascii="宋体" w:hAnsi="宋体" w:eastAsia="宋体" w:cs="宋体"/>
          <w:color w:val="000000"/>
          <w:sz w:val="24"/>
          <w:highlight w:val="none"/>
          <w:lang w:val="zh-CN" w:eastAsia="zh-CN"/>
        </w:rPr>
        <w:t>社保、公积金等。</w:t>
      </w:r>
    </w:p>
    <w:p w14:paraId="038C18A3">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zh-CN" w:eastAsia="zh-CN"/>
        </w:rPr>
        <w:t>②</w:t>
      </w:r>
      <w:r>
        <w:rPr>
          <w:rFonts w:hint="eastAsia" w:ascii="宋体" w:hAnsi="宋体" w:eastAsia="宋体" w:cs="宋体"/>
          <w:color w:val="000000"/>
          <w:sz w:val="24"/>
          <w:highlight w:val="none"/>
          <w:lang w:val="en-US" w:eastAsia="zh-CN"/>
        </w:rPr>
        <w:t>夜间值班巡逻人员由学校安保服务单位派遣的保安兼任，每人每月固定发放1500元工资补贴，不交社保、公积金等，福利和服装费每人2000元/年，工资补贴及福利服装费由本项目物业中标单位承担。工资补贴及福利服装费一并计税，税费由物业中标单位承担。</w:t>
      </w:r>
    </w:p>
    <w:p w14:paraId="6B86DAB0">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③</w:t>
      </w:r>
      <w:r>
        <w:rPr>
          <w:rFonts w:hint="eastAsia" w:ascii="宋体" w:hAnsi="宋体" w:eastAsia="宋体" w:cs="宋体"/>
          <w:color w:val="000000"/>
          <w:sz w:val="24"/>
          <w:highlight w:val="none"/>
          <w:lang w:val="en-US" w:eastAsia="zh-CN"/>
        </w:rPr>
        <w:t>中标的物业单位必须为本园提供水电服务</w:t>
      </w:r>
      <w:r>
        <w:rPr>
          <w:rFonts w:hint="eastAsia" w:ascii="宋体" w:hAnsi="宋体" w:cs="宋体"/>
          <w:b w:val="0"/>
          <w:bCs w:val="0"/>
          <w:color w:val="000000"/>
          <w:sz w:val="24"/>
          <w:highlight w:val="none"/>
          <w:lang w:val="en-US" w:eastAsia="zh-CN"/>
        </w:rPr>
        <w:t>，</w:t>
      </w:r>
      <w:r>
        <w:rPr>
          <w:rFonts w:hint="eastAsia" w:ascii="宋体" w:hAnsi="宋体" w:eastAsia="宋体" w:cs="宋体"/>
          <w:b w:val="0"/>
          <w:bCs w:val="0"/>
          <w:color w:val="000000"/>
          <w:sz w:val="24"/>
          <w:szCs w:val="20"/>
          <w:lang w:eastAsia="zh-CN"/>
        </w:rPr>
        <w:t>水</w:t>
      </w:r>
      <w:r>
        <w:rPr>
          <w:rFonts w:hint="eastAsia" w:ascii="宋体" w:hAnsi="宋体" w:eastAsia="宋体" w:cs="宋体"/>
          <w:b w:val="0"/>
          <w:bCs w:val="0"/>
          <w:color w:val="000000"/>
          <w:sz w:val="24"/>
          <w:szCs w:val="20"/>
        </w:rPr>
        <w:t>电工</w:t>
      </w:r>
      <w:r>
        <w:rPr>
          <w:rFonts w:hint="eastAsia" w:ascii="宋体" w:hAnsi="宋体" w:cs="宋体"/>
          <w:b w:val="0"/>
          <w:bCs w:val="0"/>
          <w:color w:val="000000"/>
          <w:sz w:val="24"/>
          <w:szCs w:val="20"/>
          <w:lang w:val="en-US" w:eastAsia="zh-CN"/>
        </w:rPr>
        <w:t>（1人）为兼职，按照核定工作量系数计算费用（核定费用=51394.89元*工作量系数0.35），即不低于17988.21元/年，此费用包含但不限于：人员工资、社保、公积金、福利等。</w:t>
      </w:r>
    </w:p>
    <w:p w14:paraId="136C83DD">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有</w:t>
      </w:r>
      <w:r>
        <w:rPr>
          <w:rFonts w:hint="eastAsia" w:ascii="宋体" w:hAnsi="宋体" w:eastAsia="宋体" w:cs="宋体"/>
          <w:color w:val="000000"/>
          <w:sz w:val="24"/>
          <w:highlight w:val="none"/>
          <w:lang w:val="zh-CN"/>
        </w:rPr>
        <w:t>缴纳社保费用、住房公积金的凭证，社保（企业部分）不得低于1292.47元/人/每月，住房公积金不得低于114元/人/每月，法定节假日加班不得低于</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lang w:val="zh-CN"/>
        </w:rPr>
        <w:t>人次，加班费不得低于4357.25元/人/每年，税金费率不得低于6.72%。</w:t>
      </w:r>
    </w:p>
    <w:p w14:paraId="693069CC">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ascii="宋体" w:hAnsi="宋体" w:cs="宋体"/>
          <w:sz w:val="24"/>
          <w:lang w:val="zh-CN"/>
        </w:rPr>
      </w:pPr>
      <w:r>
        <w:rPr>
          <w:rFonts w:hint="eastAsia" w:ascii="宋体" w:hAnsi="宋体" w:cs="宋体"/>
          <w:b/>
          <w:bCs/>
          <w:sz w:val="24"/>
          <w:lang w:val="zh-CN"/>
        </w:rPr>
        <w:t>投标人所提供人员的费用</w:t>
      </w:r>
      <w:r>
        <w:rPr>
          <w:rFonts w:hint="eastAsia" w:ascii="宋体" w:hAnsi="宋体" w:cs="宋体"/>
          <w:b/>
          <w:bCs/>
          <w:sz w:val="24"/>
        </w:rPr>
        <w:t>按</w:t>
      </w:r>
      <w:r>
        <w:rPr>
          <w:rFonts w:hint="eastAsia" w:ascii="宋体" w:hAnsi="宋体" w:cs="宋体"/>
          <w:b/>
          <w:bCs/>
          <w:sz w:val="24"/>
          <w:lang w:val="zh-CN"/>
        </w:rPr>
        <w:t>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370ED589">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12.5投标人根据招标内容的要求准确报价，一经报出，不得更改。</w:t>
      </w:r>
    </w:p>
    <w:p w14:paraId="10206DC4">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lang w:val="zh-CN"/>
        </w:rPr>
      </w:pPr>
      <w:r>
        <w:rPr>
          <w:rFonts w:hint="eastAsia" w:ascii="宋体" w:hAnsi="宋体" w:cs="宋体"/>
          <w:sz w:val="24"/>
        </w:rPr>
        <w:t>12.6</w:t>
      </w:r>
      <w:r>
        <w:rPr>
          <w:rFonts w:hint="eastAsia" w:ascii="宋体" w:hAnsi="宋体" w:cs="宋体"/>
          <w:sz w:val="24"/>
          <w:lang w:val="zh-CN"/>
        </w:rPr>
        <w:t>投标报价的单位为人民币(元)年。如果</w:t>
      </w:r>
      <w:r>
        <w:rPr>
          <w:rFonts w:hint="eastAsia" w:ascii="宋体" w:hAnsi="宋体" w:cs="宋体"/>
          <w:sz w:val="24"/>
        </w:rPr>
        <w:t>中标人</w:t>
      </w:r>
      <w:r>
        <w:rPr>
          <w:rFonts w:hint="eastAsia" w:ascii="宋体" w:hAnsi="宋体" w:cs="宋体"/>
          <w:sz w:val="24"/>
          <w:lang w:val="zh-CN"/>
        </w:rPr>
        <w:t>未能按合同、招标投标文件履约的，采购人</w:t>
      </w:r>
      <w:r>
        <w:rPr>
          <w:rFonts w:hint="eastAsia" w:ascii="宋体" w:hAnsi="宋体" w:cs="宋体"/>
          <w:sz w:val="24"/>
        </w:rPr>
        <w:t>有权</w:t>
      </w:r>
      <w:r>
        <w:rPr>
          <w:rFonts w:hint="eastAsia" w:ascii="宋体" w:hAnsi="宋体" w:cs="宋体"/>
          <w:sz w:val="24"/>
          <w:lang w:val="zh-CN"/>
        </w:rPr>
        <w:t>终止合同，履约保证金不予退还，并不支付服务期间的物业服务费用。采购人终止合同的，</w:t>
      </w:r>
      <w:r>
        <w:rPr>
          <w:rFonts w:hint="eastAsia" w:ascii="宋体" w:hAnsi="宋体" w:cs="宋体"/>
          <w:sz w:val="24"/>
        </w:rPr>
        <w:t>中标人</w:t>
      </w:r>
      <w:r>
        <w:rPr>
          <w:rFonts w:hint="eastAsia" w:ascii="宋体" w:hAnsi="宋体" w:cs="宋体"/>
          <w:sz w:val="24"/>
          <w:lang w:val="zh-CN"/>
        </w:rPr>
        <w:t>应承担相应的完全责任，包括赔偿因此而给采购人及第三人带来的相应损失。合同期满并完成与后续物业服务企业的衔接后，方可退出，</w:t>
      </w:r>
      <w:r>
        <w:rPr>
          <w:rFonts w:hint="eastAsia" w:ascii="宋体" w:hAnsi="宋体" w:cs="宋体"/>
          <w:sz w:val="24"/>
        </w:rPr>
        <w:t>中标人</w:t>
      </w:r>
      <w:r>
        <w:rPr>
          <w:rFonts w:hint="eastAsia" w:ascii="宋体" w:hAnsi="宋体" w:cs="宋体"/>
          <w:sz w:val="24"/>
          <w:lang w:val="zh-CN"/>
        </w:rPr>
        <w:t>退出本物业管理时必须向采购人移交全套档案等资料，经采购人验收合格</w:t>
      </w:r>
      <w:r>
        <w:rPr>
          <w:rFonts w:hint="eastAsia" w:ascii="宋体" w:hAnsi="宋体" w:cs="宋体"/>
          <w:sz w:val="24"/>
        </w:rPr>
        <w:t>后，采购人</w:t>
      </w:r>
      <w:r>
        <w:rPr>
          <w:rFonts w:hint="eastAsia" w:ascii="宋体" w:hAnsi="宋体" w:cs="宋体"/>
          <w:sz w:val="24"/>
          <w:lang w:val="zh-CN"/>
        </w:rPr>
        <w:t>退还履约保证金。</w:t>
      </w:r>
    </w:p>
    <w:p w14:paraId="21829FFB">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lang w:val="zh-CN"/>
        </w:rPr>
      </w:pPr>
      <w:r>
        <w:rPr>
          <w:rFonts w:hint="eastAsia" w:ascii="宋体" w:hAnsi="宋体" w:cs="宋体"/>
          <w:sz w:val="24"/>
          <w:lang w:val="zh-CN"/>
        </w:rPr>
        <w:t>12.7对于超出招标文件的其他临时性服务项目，由甲乙双方协商解决。</w:t>
      </w:r>
    </w:p>
    <w:p w14:paraId="095E895F">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13、技术要求响应及偏离表、商务要求响应及偏离表</w:t>
      </w:r>
    </w:p>
    <w:p w14:paraId="25B3D3A4">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13.1投标人需对招标文件中的技术要求与商务要求逐项作出响应或偏离，并说明原因。</w:t>
      </w:r>
    </w:p>
    <w:p w14:paraId="7D93FE03">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13.2投标人可在投标文件中提供认为需要的其他技术文件或说明。</w:t>
      </w:r>
    </w:p>
    <w:p w14:paraId="3BAEE171">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14、投标函和开标一览表</w:t>
      </w:r>
    </w:p>
    <w:p w14:paraId="18486FB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0"/>
          <w:lang w:eastAsia="zh-CN"/>
        </w:rPr>
      </w:pPr>
      <w:r>
        <w:rPr>
          <w:rFonts w:hint="eastAsia" w:ascii="宋体" w:hAnsi="宋体" w:cs="宋体"/>
          <w:sz w:val="24"/>
        </w:rPr>
        <w:t>14.1投标人应按照招标文件中提供的格式完整、正确填写投标函、开标一览表。</w:t>
      </w:r>
    </w:p>
    <w:p w14:paraId="65400131">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14.2对于采用货币报价的项目，开标一览表中的投标总报价应与投标分项报价表中的投标总报价一致，如不一致，不作为无效投标处理，但评标时按开标一览表中价格为准。</w:t>
      </w:r>
    </w:p>
    <w:p w14:paraId="7452C2F5">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15、投标有效期</w:t>
      </w:r>
    </w:p>
    <w:p w14:paraId="0C11C10E">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15.1投标有效期为</w:t>
      </w:r>
      <w:r>
        <w:rPr>
          <w:rFonts w:hint="eastAsia" w:ascii="宋体" w:hAnsi="宋体" w:cs="宋体"/>
          <w:sz w:val="24"/>
          <w:lang w:eastAsia="zh-CN"/>
        </w:rPr>
        <w:t>交易中心</w:t>
      </w:r>
      <w:r>
        <w:rPr>
          <w:rFonts w:hint="eastAsia" w:ascii="宋体" w:hAnsi="宋体" w:cs="宋体"/>
          <w:sz w:val="24"/>
        </w:rPr>
        <w:t>规定的开标之日后</w:t>
      </w:r>
      <w:r>
        <w:rPr>
          <w:rFonts w:hint="eastAsia" w:ascii="宋体" w:hAnsi="宋体" w:cs="宋体"/>
          <w:b/>
          <w:bCs/>
          <w:sz w:val="24"/>
          <w:u w:val="single"/>
        </w:rPr>
        <w:t>九十（90）天</w:t>
      </w:r>
      <w:r>
        <w:rPr>
          <w:rFonts w:hint="eastAsia" w:ascii="宋体" w:hAnsi="宋体" w:cs="宋体"/>
          <w:sz w:val="24"/>
        </w:rPr>
        <w:t>。投标有效期比规定短的将被视为未实质性响应招标文件而予以拒绝。</w:t>
      </w:r>
    </w:p>
    <w:p w14:paraId="18C926A5">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16、投标有效期的延长</w:t>
      </w:r>
    </w:p>
    <w:p w14:paraId="3E1949C8">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16.1在特殊情况下，</w:t>
      </w:r>
      <w:r>
        <w:rPr>
          <w:rFonts w:hint="eastAsia" w:ascii="宋体" w:hAnsi="宋体" w:cs="宋体"/>
          <w:sz w:val="24"/>
          <w:lang w:eastAsia="zh-CN"/>
        </w:rPr>
        <w:t>交易中心</w:t>
      </w:r>
      <w:r>
        <w:rPr>
          <w:rFonts w:hint="eastAsia" w:ascii="宋体" w:hAnsi="宋体" w:cs="宋体"/>
          <w:sz w:val="24"/>
        </w:rPr>
        <w:t>于原投标有效期满之前，可向投标人提出延长投标有效期的要求。这种要求与答复均应采用书面形式。投标人可以拒绝</w:t>
      </w:r>
      <w:r>
        <w:rPr>
          <w:rFonts w:hint="eastAsia" w:ascii="宋体" w:hAnsi="宋体" w:cs="宋体"/>
          <w:sz w:val="24"/>
          <w:lang w:eastAsia="zh-CN"/>
        </w:rPr>
        <w:t>交易中心</w:t>
      </w:r>
      <w:r>
        <w:rPr>
          <w:rFonts w:hint="eastAsia" w:ascii="宋体" w:hAnsi="宋体" w:cs="宋体"/>
          <w:sz w:val="24"/>
        </w:rPr>
        <w:t>的这一要求而放弃投标。同意延长投标有效期的投标人既不能要求也不允许修改其投标文件，同时受投标有效期约束的所有权利与义务均延长至新的有效期。</w:t>
      </w:r>
    </w:p>
    <w:p w14:paraId="37037738">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四、投标文件的递交</w:t>
      </w:r>
    </w:p>
    <w:p w14:paraId="619648DE">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17、投标文件的递交</w:t>
      </w:r>
    </w:p>
    <w:p w14:paraId="72447242">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17.1电子投标文件的递交</w:t>
      </w:r>
    </w:p>
    <w:p w14:paraId="2D0D58D6">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投标人应当按照《操作手册》规定，在投标截止时间前制作并上传电子投标文件。</w:t>
      </w:r>
    </w:p>
    <w:p w14:paraId="2648CB26">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hint="eastAsia"/>
          <w:b/>
          <w:bCs/>
          <w:i/>
          <w:iCs/>
          <w:color w:val="FF0000"/>
          <w:sz w:val="24"/>
          <w:szCs w:val="24"/>
          <w:highlight w:val="none"/>
          <w:u w:val="single"/>
        </w:rPr>
      </w:pPr>
      <w:r>
        <w:rPr>
          <w:rFonts w:hint="eastAsia"/>
          <w:b/>
          <w:bCs/>
          <w:i/>
          <w:iCs/>
          <w:color w:val="FF0000"/>
          <w:sz w:val="24"/>
          <w:szCs w:val="24"/>
          <w:highlight w:val="none"/>
          <w:u w:val="single"/>
        </w:rPr>
        <w:t>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p>
    <w:p w14:paraId="14D31C2A">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18、投标截止时间</w:t>
      </w:r>
    </w:p>
    <w:p w14:paraId="2C6A0468">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i/>
          <w:iCs/>
          <w:sz w:val="24"/>
        </w:rPr>
      </w:pPr>
      <w:r>
        <w:rPr>
          <w:rFonts w:hint="eastAsia" w:ascii="宋体" w:hAnsi="宋体" w:cs="宋体"/>
          <w:i/>
          <w:iCs/>
          <w:sz w:val="24"/>
          <w:u w:val="single"/>
        </w:rPr>
        <w:t>18.1投标人上传电子投标文件的时间不得迟于招标公告中规定的投标截止时间</w:t>
      </w:r>
      <w:r>
        <w:rPr>
          <w:rFonts w:hint="eastAsia" w:ascii="宋体" w:hAnsi="宋体" w:cs="宋体"/>
          <w:i/>
          <w:iCs/>
          <w:sz w:val="24"/>
        </w:rPr>
        <w:t>。</w:t>
      </w:r>
    </w:p>
    <w:p w14:paraId="7FC2B17D">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投标人应充分考虑到网络环境、网络带宽等风险因素，如因投标人自身原因造成的电子投标文件上传不成功的按照本招标文件第二章第26.1.2条规定做无效投标处理。</w:t>
      </w:r>
    </w:p>
    <w:p w14:paraId="37DCDA9D">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18.2</w:t>
      </w:r>
      <w:r>
        <w:rPr>
          <w:rFonts w:hint="eastAsia" w:ascii="宋体" w:hAnsi="宋体" w:cs="宋体"/>
          <w:sz w:val="24"/>
          <w:lang w:eastAsia="zh-CN"/>
        </w:rPr>
        <w:t>交易中心</w:t>
      </w:r>
      <w:r>
        <w:rPr>
          <w:rFonts w:hint="eastAsia" w:ascii="宋体" w:hAnsi="宋体" w:cs="宋体"/>
          <w:sz w:val="24"/>
        </w:rPr>
        <w:t>可以按照规定，通过修改招标文件酌情延长投标截止时间，在此情况下，投标人的所有权利和义务以及投标人受制的截止时间均应以延长后新的截止时间为准。</w:t>
      </w:r>
    </w:p>
    <w:p w14:paraId="1F2FAD32">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19、投标文件的拒收</w:t>
      </w:r>
    </w:p>
    <w:p w14:paraId="1D3E4985">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19.1</w:t>
      </w:r>
      <w:r>
        <w:rPr>
          <w:rFonts w:hint="eastAsia" w:ascii="宋体" w:hAnsi="宋体" w:cs="宋体"/>
          <w:sz w:val="24"/>
          <w:lang w:eastAsia="zh-CN"/>
        </w:rPr>
        <w:t>交易中心</w:t>
      </w:r>
      <w:r>
        <w:rPr>
          <w:rFonts w:hint="eastAsia" w:ascii="宋体" w:hAnsi="宋体" w:cs="宋体"/>
          <w:sz w:val="24"/>
        </w:rPr>
        <w:t>拒绝接收在其规定的投标截止时间后上传的任何投标文件。</w:t>
      </w:r>
    </w:p>
    <w:p w14:paraId="6A3D7A38">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20、投标文件的撤回和修改</w:t>
      </w:r>
    </w:p>
    <w:p w14:paraId="0D3109A8">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20.1投标文件的撤回</w:t>
      </w:r>
    </w:p>
    <w:p w14:paraId="73427F70">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20.1.1电子投标文件的撤回</w:t>
      </w:r>
    </w:p>
    <w:p w14:paraId="71F67E9E">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投标人可在投标截止时间前，撤回其电子投标文件，具体操作方法见《操作手册》。</w:t>
      </w:r>
    </w:p>
    <w:p w14:paraId="463AB63C">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20.1.2投标人撤回电子投标文件，则认为其不再参与本项目投标活动。</w:t>
      </w:r>
    </w:p>
    <w:p w14:paraId="5B834AC1">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20.2投标文件的修改</w:t>
      </w:r>
    </w:p>
    <w:p w14:paraId="011E3F3D">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20.2.1投标人可在投标截止时间前，对其电子投标文件进行修改，具体操作方法见《操作手册》。</w:t>
      </w:r>
    </w:p>
    <w:p w14:paraId="36F0EEAA">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20.2.2在投标截止时间之后，投标人不得对其电子投标文件作任何修改。</w:t>
      </w:r>
    </w:p>
    <w:p w14:paraId="055FA056">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20.3在投标截止时间至招标文件中规定的投标有效期满之间的这段时间内，投标人不得撤回其投标。</w:t>
      </w:r>
    </w:p>
    <w:p w14:paraId="50B6F051">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五、开标与评标</w:t>
      </w:r>
    </w:p>
    <w:p w14:paraId="034B33E8">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21、开标</w:t>
      </w:r>
    </w:p>
    <w:p w14:paraId="7AA0789E">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21.1</w:t>
      </w:r>
      <w:r>
        <w:rPr>
          <w:rFonts w:hint="eastAsia" w:ascii="宋体" w:hAnsi="宋体" w:cs="宋体"/>
          <w:sz w:val="24"/>
          <w:lang w:eastAsia="zh-CN"/>
        </w:rPr>
        <w:t>交易中心</w:t>
      </w:r>
      <w:r>
        <w:rPr>
          <w:rFonts w:hint="eastAsia" w:ascii="宋体" w:hAnsi="宋体" w:cs="宋体"/>
          <w:sz w:val="24"/>
        </w:rPr>
        <w:t>将在招标公告中规定的时间和地点组织公开开标。投标人应当按照《操作手册》规定，参加开标活动和在苏采云系统规定的时间内对投标文件进行解密。</w:t>
      </w:r>
    </w:p>
    <w:p w14:paraId="2105F5F2">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21.2开标仪式由</w:t>
      </w:r>
      <w:r>
        <w:rPr>
          <w:rFonts w:hint="eastAsia" w:ascii="宋体" w:hAnsi="宋体" w:cs="宋体"/>
          <w:sz w:val="24"/>
          <w:lang w:eastAsia="zh-CN"/>
        </w:rPr>
        <w:t>交易中心</w:t>
      </w:r>
      <w:r>
        <w:rPr>
          <w:rFonts w:hint="eastAsia" w:ascii="宋体" w:hAnsi="宋体" w:cs="宋体"/>
          <w:sz w:val="24"/>
        </w:rPr>
        <w:t>组织。苏采云系统将自动对项目进行开标，并宣布各投标人名称和投标价格。</w:t>
      </w:r>
    </w:p>
    <w:p w14:paraId="38AA3017">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21.3投标人在开标过程中涉及到的投标文件解密、开标结果确认等工作，应按照《操作手册》规定执行。</w:t>
      </w:r>
    </w:p>
    <w:p w14:paraId="05965232">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21.4投标人如果对开标过程和开标记录有疑义，应当根据《操作手册》规定提出，如苏采云系统中《开标记录表》宣布后5分钟内未提出的，视同认可开标结果。</w:t>
      </w:r>
    </w:p>
    <w:p w14:paraId="5A3B0D9F">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22、评标委员会</w:t>
      </w:r>
    </w:p>
    <w:p w14:paraId="546CEC5E">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22.1开标后，</w:t>
      </w:r>
      <w:r>
        <w:rPr>
          <w:rFonts w:hint="eastAsia" w:ascii="宋体" w:hAnsi="宋体" w:cs="宋体"/>
          <w:sz w:val="24"/>
          <w:lang w:eastAsia="zh-CN"/>
        </w:rPr>
        <w:t>交易中心</w:t>
      </w:r>
      <w:r>
        <w:rPr>
          <w:rFonts w:hint="eastAsia" w:ascii="宋体" w:hAnsi="宋体" w:cs="宋体"/>
          <w:sz w:val="24"/>
        </w:rPr>
        <w:t>将立即组织评标委员会（以下简称评委会）进行评标。</w:t>
      </w:r>
    </w:p>
    <w:p w14:paraId="41AE86C0">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22.2评委会由采购人代表和有关技术、经济等方面的专家组成，且人员构成符合政府采购有关规定。</w:t>
      </w:r>
    </w:p>
    <w:p w14:paraId="4F6C3326">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22.3评委会独立工作，负责评审所有投标文件并确定中标候选人。</w:t>
      </w:r>
    </w:p>
    <w:p w14:paraId="6B284AEF">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23、评标过程的保密与公正</w:t>
      </w:r>
    </w:p>
    <w:p w14:paraId="20144321">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23.1凡是与审查、澄清、评价和比较投标的有关资料以及授标建议等，采购人、评委、</w:t>
      </w:r>
      <w:r>
        <w:rPr>
          <w:rFonts w:hint="eastAsia" w:ascii="宋体" w:hAnsi="宋体" w:cs="宋体"/>
          <w:sz w:val="24"/>
          <w:lang w:eastAsia="zh-CN"/>
        </w:rPr>
        <w:t>交易中心</w:t>
      </w:r>
      <w:r>
        <w:rPr>
          <w:rFonts w:hint="eastAsia" w:ascii="宋体" w:hAnsi="宋体" w:cs="宋体"/>
          <w:sz w:val="24"/>
        </w:rPr>
        <w:t>均不得向投标人或与评标无关的其他人员透露。</w:t>
      </w:r>
    </w:p>
    <w:p w14:paraId="0C127832">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23.2在评标过程中，投标人不得以任何行为影响评标过程，否则其投标文件将被作为无效投标文件。</w:t>
      </w:r>
    </w:p>
    <w:p w14:paraId="512D25E0">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color w:val="000000"/>
          <w:sz w:val="24"/>
          <w:lang w:val="en-US" w:eastAsia="zh-CN"/>
        </w:rPr>
        <w:t>23.3</w:t>
      </w:r>
      <w:r>
        <w:rPr>
          <w:rFonts w:hint="eastAsia" w:ascii="宋体" w:hAnsi="宋体" w:cs="宋体"/>
          <w:sz w:val="24"/>
          <w:lang w:eastAsia="zh-CN"/>
        </w:rPr>
        <w:t>交易中心</w:t>
      </w:r>
      <w:r>
        <w:rPr>
          <w:rFonts w:hint="eastAsia" w:ascii="宋体" w:hAnsi="宋体" w:cs="宋体"/>
          <w:sz w:val="24"/>
        </w:rPr>
        <w:t>和评标委员会不向未中标的投标人解释未中标原因，也不公布评标过程中的相关细节。</w:t>
      </w:r>
    </w:p>
    <w:p w14:paraId="7AEA44EE">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23.4采用综合评分法的项目，未中标的投标人可于中标结果公告期限届满之日起通过苏采云系统查看自己的评审得分及排序情况。</w:t>
      </w:r>
    </w:p>
    <w:p w14:paraId="262D0206">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24、投标文件的澄清</w:t>
      </w:r>
    </w:p>
    <w:p w14:paraId="5CCC5E69">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24.1评标期间，评委会对投标文件中含义不明确、同类问题表述不一致或者有明显文字和计算错误的内容，有权要求投标人作出必要的澄清、说明或者补正。</w:t>
      </w:r>
    </w:p>
    <w:p w14:paraId="0FB387DF">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投标人的澄清、说明或者补正不得超出投标文件的范围或者改变投标文件的实质性内容。评标委员会并非对每个投标人都做澄清要求。</w:t>
      </w:r>
    </w:p>
    <w:p w14:paraId="069D5946">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DE3A16E">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24.3接到评委会澄清、说明和补正要求的投标人如未按规定做出澄清、说明和补正，其风险由投标人自行承担。</w:t>
      </w:r>
    </w:p>
    <w:p w14:paraId="029D7A9E">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25、对投标文件的初审</w:t>
      </w:r>
    </w:p>
    <w:p w14:paraId="163798F3">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25.1投标文件初审分为资格审查和符合性审查。</w:t>
      </w:r>
    </w:p>
    <w:p w14:paraId="359A5003">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25.1.1资格审查：依据法律法规和招标文件的规定，由采购人对投标文件中的资格证明文件进行审查。资格审查的结论，采购人以书面形式向评委会进行反馈。</w:t>
      </w:r>
    </w:p>
    <w:p w14:paraId="58DF4925">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采购人在进行资格性审查的同时，将在“信用中国”网站（www.creditchina.gov.cn）查询投标人的信用记录，以确定投标人是否具备投标资格，查询结果留存并归档。</w:t>
      </w:r>
    </w:p>
    <w:p w14:paraId="25814BEE">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接受联合体的项目，两个以上的自然人、法人或者其他组织组成一个联合体，以一个供应商的身份共同参加政府采购活动的，联合体成员存在不良信用记录的，视同联合体存在不良应用记录。</w:t>
      </w:r>
    </w:p>
    <w:p w14:paraId="327CC3C0">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25.1.2符合性审查：依据招标文件的规定，由评委会从投标文件的有效性、完整性和对招标文件的响应程度进行审查，以确定是否对招标文件的实质性要求作出响应。</w:t>
      </w:r>
    </w:p>
    <w:p w14:paraId="2DCA4793">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25.1.3未通过资格审查或符合性审查的投标人，</w:t>
      </w:r>
      <w:r>
        <w:rPr>
          <w:rFonts w:hint="eastAsia" w:ascii="宋体" w:hAnsi="宋体" w:cs="宋体"/>
          <w:sz w:val="24"/>
          <w:lang w:eastAsia="zh-CN"/>
        </w:rPr>
        <w:t>交易中心</w:t>
      </w:r>
      <w:r>
        <w:rPr>
          <w:rFonts w:hint="eastAsia" w:ascii="宋体" w:hAnsi="宋体" w:cs="宋体"/>
          <w:sz w:val="24"/>
        </w:rPr>
        <w:t>将在苏采云系统中告知未通过资格审查或符合性审查的原因，评标结束后，</w:t>
      </w:r>
      <w:r>
        <w:rPr>
          <w:rFonts w:hint="eastAsia" w:ascii="宋体" w:hAnsi="宋体" w:cs="宋体"/>
          <w:sz w:val="24"/>
          <w:lang w:eastAsia="zh-CN"/>
        </w:rPr>
        <w:t>交易中心</w:t>
      </w:r>
      <w:r>
        <w:rPr>
          <w:rFonts w:hint="eastAsia" w:ascii="宋体" w:hAnsi="宋体" w:cs="宋体"/>
          <w:sz w:val="24"/>
        </w:rPr>
        <w:t>将不再告知未通过资格审查和符合性审查的原因。</w:t>
      </w:r>
    </w:p>
    <w:p w14:paraId="5A4D9906">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25.2在详细评标之前，评委会将首先审查每份投标文件是否实质性响应了招标文件的要求。实质性响应的投标应该是与招标文件要求的全部条款、条件和规格相符，没有重大偏离或保留的投标。</w:t>
      </w:r>
    </w:p>
    <w:p w14:paraId="698DDA5B">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所谓重大偏离或保留是指与招标文件规定的实质性要求存在负偏离，或者在实质上与招标文件不一致，而且限制了合同中买方和</w:t>
      </w:r>
      <w:r>
        <w:rPr>
          <w:rFonts w:hint="eastAsia" w:ascii="宋体" w:hAnsi="宋体" w:cs="宋体"/>
          <w:sz w:val="24"/>
          <w:lang w:eastAsia="zh-CN"/>
        </w:rPr>
        <w:t>交易中心</w:t>
      </w:r>
      <w:r>
        <w:rPr>
          <w:rFonts w:hint="eastAsia" w:ascii="宋体" w:hAnsi="宋体" w:cs="宋体"/>
          <w:sz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6DA98A1">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25.3如果投标文件实质上没有响应招标文件的要求，评委会将予以拒绝，投标人不得通过修改或撤销不合要求的偏离或保留而使其投标成为实质性响应的投标。</w:t>
      </w:r>
    </w:p>
    <w:p w14:paraId="10FA0383">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25.4评委会将对确定为实质性响应的投标进行进一步审核，确定其是否有计算上或累加上的算术错误，修正错误的原则如下：</w:t>
      </w:r>
    </w:p>
    <w:p w14:paraId="4E61140A">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（1）投标文件中开标一览表内容与投标文件中相应内容不一致的，以开标一览表为准。</w:t>
      </w:r>
    </w:p>
    <w:p w14:paraId="66BA80BD">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（2）大写金额和小写金额不一致的，以大写金额为准。</w:t>
      </w:r>
    </w:p>
    <w:p w14:paraId="594AA254">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（3）单价金额小数点或者百分比有明显错位的，以开标一览表的总价为准，并修改单价。</w:t>
      </w:r>
    </w:p>
    <w:p w14:paraId="4413FE9F">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（4）总价金额与按单价汇总金额不一致的，以单价金额计算结果为准。</w:t>
      </w:r>
    </w:p>
    <w:p w14:paraId="6DD7FDC7">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同时出现两种以上错误的，按照前款规定的顺序修正。</w:t>
      </w:r>
    </w:p>
    <w:p w14:paraId="3982D260">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25.5评委会将按上述修正错误的方法调整投标文件中的投标报价，并通过苏采云系统告知投标人，调整后的价格应对投标人具有约束力。如果投标人不接受修正后的价格，则其投标将被拒绝。</w:t>
      </w:r>
    </w:p>
    <w:p w14:paraId="15050ED7">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25.6投标人在开、评标全过程中应保持通讯畅通，及时登录苏采云系统查阅、答复相关信息，并安排专人与</w:t>
      </w:r>
      <w:r>
        <w:rPr>
          <w:rFonts w:hint="eastAsia" w:ascii="宋体" w:hAnsi="宋体" w:cs="宋体"/>
          <w:sz w:val="24"/>
          <w:lang w:eastAsia="zh-CN"/>
        </w:rPr>
        <w:t>交易中心</w:t>
      </w:r>
      <w:r>
        <w:rPr>
          <w:rFonts w:hint="eastAsia" w:ascii="宋体" w:hAnsi="宋体" w:cs="宋体"/>
          <w:sz w:val="24"/>
        </w:rPr>
        <w:t>及评标委员会联系。</w:t>
      </w:r>
    </w:p>
    <w:p w14:paraId="4B706D8A">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26、无效投标条款和废标条款</w:t>
      </w:r>
    </w:p>
    <w:p w14:paraId="3E66C125">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26.1无效投标条款</w:t>
      </w:r>
    </w:p>
    <w:p w14:paraId="590D9AF3">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26.1.1投标人在苏采云系统规定的时间内未成功解密电子投标文件的。</w:t>
      </w:r>
    </w:p>
    <w:p w14:paraId="31E76EE9">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26.1.2投标人未按照招标文件要求上传电子投标文件的。</w:t>
      </w:r>
    </w:p>
    <w:p w14:paraId="55DE41D0">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26.1.3同一投标人提交两个（含两个）以上不同的投标报价的。</w:t>
      </w:r>
    </w:p>
    <w:p w14:paraId="16907269">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26.1.4投标人不具备招标文件中规定资格要求的。</w:t>
      </w:r>
    </w:p>
    <w:p w14:paraId="4D95C519">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26.1.5投标人的报价超过了采购预算或最高限价的。</w:t>
      </w:r>
    </w:p>
    <w:p w14:paraId="55CA242E">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26.1.6未通过符合性审查的。</w:t>
      </w:r>
    </w:p>
    <w:p w14:paraId="3CCDBE14">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26.1.7不符合招标文件中规定的实质性要求和条件的</w:t>
      </w:r>
      <w:r>
        <w:rPr>
          <w:rFonts w:hint="eastAsia" w:ascii="宋体" w:hAnsi="宋体" w:cs="宋体"/>
          <w:i/>
          <w:iCs/>
          <w:sz w:val="24"/>
          <w:u w:val="single"/>
        </w:rPr>
        <w:t>（本招标文件中斜体且有下划线部分为实质性要求和条件）</w:t>
      </w:r>
      <w:r>
        <w:rPr>
          <w:rFonts w:hint="eastAsia" w:ascii="宋体" w:hAnsi="宋体" w:cs="宋体"/>
          <w:i/>
          <w:iCs/>
          <w:sz w:val="24"/>
        </w:rPr>
        <w:t>。</w:t>
      </w:r>
    </w:p>
    <w:p w14:paraId="783069B6">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BD04D16">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26.1.9投标文件含有采购人不能接受的附加条件的。</w:t>
      </w:r>
    </w:p>
    <w:p w14:paraId="3F592865">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26.1.10投标人不能证明其报价合理性的，评标委员会应当将其作为无效投标处理。</w:t>
      </w:r>
    </w:p>
    <w:p w14:paraId="55FA172B">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（一）评审过程中出现下列情形之一的，评标委员会应当启动异常低价投标审查程序：</w:t>
      </w:r>
    </w:p>
    <w:p w14:paraId="777C9A87">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1.投标（响应）报价低于全部通过符合性审查供应商投标（响应）报价平均值50%的，即投标（响应）报价&lt;全部通过符合性审查供应商投标（响应）报价平均值×50%；</w:t>
      </w:r>
    </w:p>
    <w:p w14:paraId="3F78AE6B">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2.投标（响应）报价低于通过符合性审查的次低报价供应商投标（响应）报价50%的，即投标（响应）报价&lt;通过符合性审查的次低报价供应商投标（响应）报价×50%；</w:t>
      </w:r>
    </w:p>
    <w:p w14:paraId="1CB5B90C">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3.投标（响应）报价低于采购项目最高限价45%的，即投标（响应）报价&lt;采购项目最高限价×45%；</w:t>
      </w:r>
    </w:p>
    <w:p w14:paraId="40905D5C">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4.评审委员会基于专业判断，认为供应商报价过低，有可能影响产品质量或者不能诚信履约的其他情形。</w:t>
      </w:r>
    </w:p>
    <w:p w14:paraId="559997B4">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相关法律法规对供应商报价有规定的，从其规定。</w:t>
      </w:r>
    </w:p>
    <w:p w14:paraId="18086986">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outlineLvl w:val="4"/>
        <w:rPr>
          <w:rFonts w:hint="eastAsia" w:ascii="宋体" w:hAnsi="宋体" w:eastAsia="Arial" w:cs="宋体"/>
          <w:color w:val="000000"/>
          <w:sz w:val="24"/>
          <w:szCs w:val="20"/>
          <w:lang w:val="en-US" w:eastAsia="zh-CN"/>
        </w:rPr>
      </w:pPr>
    </w:p>
    <w:p w14:paraId="68607165">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outlineLvl w:val="4"/>
        <w:rPr>
          <w:rFonts w:hint="eastAsia" w:ascii="宋体" w:hAnsi="宋体" w:eastAsia="Arial" w:cs="宋体"/>
          <w:color w:val="000000"/>
          <w:sz w:val="24"/>
          <w:szCs w:val="20"/>
          <w:lang w:val="en-US" w:eastAsia="zh-CN"/>
        </w:rPr>
      </w:pPr>
    </w:p>
    <w:p w14:paraId="558EA8E7">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C5E3752">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568E0F6">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2F67423">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outlineLvl w:val="4"/>
        <w:rPr>
          <w:rFonts w:hint="eastAsia" w:ascii="宋体" w:hAnsi="宋体" w:eastAsia="Arial" w:cs="宋体"/>
          <w:color w:val="000000"/>
          <w:sz w:val="24"/>
          <w:szCs w:val="20"/>
        </w:rPr>
      </w:pPr>
      <w:r>
        <w:rPr>
          <w:rFonts w:hint="eastAsia" w:ascii="宋体" w:hAnsi="宋体" w:eastAsia="Arial" w:cs="宋体"/>
          <w:color w:val="000000"/>
          <w:sz w:val="24"/>
          <w:szCs w:val="20"/>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738522BC">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26.1.11投标文件未按照招标文件要求加盖CA电子公章的。</w:t>
      </w:r>
    </w:p>
    <w:p w14:paraId="764D53CE">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26.1.12其他法律、法规及本招标文件规定的属无效投标的情形。</w:t>
      </w:r>
    </w:p>
    <w:p w14:paraId="31EB5A78">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26.2废标条款</w:t>
      </w:r>
    </w:p>
    <w:p w14:paraId="0E97DED4">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26.2.1符合专业条件的供应商或者对招标文件作实质响应的供应商不足三家的。</w:t>
      </w:r>
    </w:p>
    <w:p w14:paraId="6D51F306">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26.2.2出现影响采购公正的违法、违规行为的。</w:t>
      </w:r>
    </w:p>
    <w:p w14:paraId="1C02C96A">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26.2.3因重大变故，采购任务取消的。</w:t>
      </w:r>
    </w:p>
    <w:p w14:paraId="57301F2F">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26.2.4评标委员会认定招标文件存在歧义、重大缺陷导致评审工作无法进行。</w:t>
      </w:r>
    </w:p>
    <w:p w14:paraId="4719D175">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26.2.5因苏采云系统系统故障原因造成开标不成功的。</w:t>
      </w:r>
    </w:p>
    <w:p w14:paraId="6EF469EB">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26.3投标截止时间结束后参加投标的供应商不足三家的处理：</w:t>
      </w:r>
    </w:p>
    <w:p w14:paraId="04467A4F">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26.3.1如出现投标截止时间结束后参加投标的供应商或者在评标期间对招标文件做出实质响应的供应商不足三家情况，按政府采购相关规定执行。</w:t>
      </w:r>
    </w:p>
    <w:p w14:paraId="4C90E447">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六、定标</w:t>
      </w:r>
    </w:p>
    <w:p w14:paraId="0E387DDD">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27、确定中标单位</w:t>
      </w:r>
    </w:p>
    <w:p w14:paraId="68C36FA7">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27.1中标候选人的选取原则和数量见招标文件第五章规定。</w:t>
      </w:r>
    </w:p>
    <w:p w14:paraId="10F1A9AF">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27.2采购人应根据评委会推荐的中标候选人确定中标人。</w:t>
      </w:r>
    </w:p>
    <w:p w14:paraId="32A38A98">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27.3</w:t>
      </w:r>
      <w:r>
        <w:rPr>
          <w:rFonts w:hint="eastAsia" w:ascii="宋体" w:hAnsi="宋体" w:cs="宋体"/>
          <w:sz w:val="24"/>
          <w:lang w:eastAsia="zh-CN"/>
        </w:rPr>
        <w:t>交易中心</w:t>
      </w:r>
      <w:r>
        <w:rPr>
          <w:rFonts w:hint="eastAsia" w:ascii="宋体" w:hAnsi="宋体" w:cs="宋体"/>
          <w:sz w:val="24"/>
        </w:rPr>
        <w:t>将在“中国政府采购网”、“江苏政府采购网”、“盐城市政府采购网”发布中标公告，公告期限为1个工作日。</w:t>
      </w:r>
    </w:p>
    <w:p w14:paraId="39753329">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27.4若有充分证据证明，中标人出现下列情况之一的，一经查实，将被取消中标资格：</w:t>
      </w:r>
    </w:p>
    <w:p w14:paraId="319555C4">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27.4.1提供虚假材料谋取中标的。</w:t>
      </w:r>
    </w:p>
    <w:p w14:paraId="77625B4F">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27.4.2向采购人、</w:t>
      </w:r>
      <w:r>
        <w:rPr>
          <w:rFonts w:hint="eastAsia" w:ascii="宋体" w:hAnsi="宋体" w:cs="宋体"/>
          <w:sz w:val="24"/>
          <w:lang w:eastAsia="zh-CN"/>
        </w:rPr>
        <w:t>交易中心</w:t>
      </w:r>
      <w:r>
        <w:rPr>
          <w:rFonts w:hint="eastAsia" w:ascii="宋体" w:hAnsi="宋体" w:cs="宋体"/>
          <w:sz w:val="24"/>
        </w:rPr>
        <w:t>行贿或者提供其他不正当利益的。</w:t>
      </w:r>
    </w:p>
    <w:p w14:paraId="440CCB15">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27.4.3属于本文件规定的无效条件，但在评标过程中又未被评委会发现的。</w:t>
      </w:r>
    </w:p>
    <w:p w14:paraId="7137F152">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27.4.4与采购人或者其他供应商恶意串通的。</w:t>
      </w:r>
    </w:p>
    <w:p w14:paraId="0EA8E4C1">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27.4.5采取不正当手段诋毁、排挤其他供应商的。</w:t>
      </w:r>
    </w:p>
    <w:p w14:paraId="4B2B6394">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27.5有下列情形之一的，视为投标人串通投标，投标无效：</w:t>
      </w:r>
    </w:p>
    <w:p w14:paraId="3D2B96D3">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27.5.1不同投标人的投标文件由同一单位或者个人编制。</w:t>
      </w:r>
    </w:p>
    <w:p w14:paraId="55BE5614">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27.5.2不同投标人委托同一单位或者个人办理投标事宜。</w:t>
      </w:r>
    </w:p>
    <w:p w14:paraId="0C82605C">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27.5.3不同投标人的投标文件载明的项目管理成员或者联系人员为同一人。</w:t>
      </w:r>
    </w:p>
    <w:p w14:paraId="2E297CDD">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27.5.4不同投标人的投标文件异常一致或者投标报价呈规律性差异。</w:t>
      </w:r>
    </w:p>
    <w:p w14:paraId="39E80E67">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28、质疑处理</w:t>
      </w:r>
    </w:p>
    <w:p w14:paraId="407EC0B1">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28.1提出质疑的供应商应当是参与所质疑项目采购活动的供应商。潜在供应商依法获取其可质疑的采购文件的，可以对采购文件提出质疑。</w:t>
      </w:r>
    </w:p>
    <w:p w14:paraId="431481C9">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sz w:val="24"/>
          <w:lang w:eastAsia="zh-CN"/>
        </w:rPr>
        <w:t>交易中心</w:t>
      </w:r>
      <w:r>
        <w:rPr>
          <w:rFonts w:hint="eastAsia" w:ascii="宋体" w:hAnsi="宋体" w:cs="宋体"/>
          <w:sz w:val="24"/>
        </w:rPr>
        <w:t>或采购人提出质疑。上述应知其权益受到损害之日，是指：</w:t>
      </w:r>
    </w:p>
    <w:p w14:paraId="78FAD9D6">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28.2.1对可以质疑的采购文件提出质疑的，为收到采购文件之日或者采购文件公告期限届满之日；</w:t>
      </w:r>
    </w:p>
    <w:p w14:paraId="0CC3CF66">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28.2.2对采购过程提出质疑的，为各采购程序环节结束之日；</w:t>
      </w:r>
    </w:p>
    <w:p w14:paraId="54D95BD6">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28.2.3对中标或者成交结果提出质疑的，为中标或者成交结果公告期限届满之日。</w:t>
      </w:r>
    </w:p>
    <w:p w14:paraId="7E4D8FB1">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供应商应当在法定质疑期内一次性提出针对同一采购程序环节的质疑。供应商如在法定期限内对同一采购程序环节提出多次质疑的，</w:t>
      </w:r>
      <w:r>
        <w:rPr>
          <w:rFonts w:hint="eastAsia" w:ascii="宋体" w:hAnsi="宋体" w:cs="宋体"/>
          <w:sz w:val="24"/>
          <w:lang w:eastAsia="zh-CN"/>
        </w:rPr>
        <w:t>交易中心</w:t>
      </w:r>
      <w:r>
        <w:rPr>
          <w:rFonts w:hint="eastAsia" w:ascii="宋体" w:hAnsi="宋体" w:cs="宋体"/>
          <w:sz w:val="24"/>
        </w:rPr>
        <w:t>、采购人将只对供应商第一次质疑作出答复。</w:t>
      </w:r>
    </w:p>
    <w:p w14:paraId="1EF53CB3">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28.3质疑函必须按照本招标文件中《质疑函范本》要求的格式和内容进行填写。供应商如组成联合体参加投标，则《质疑函范本》中要求签字、盖章、加盖公章之处，联合体各方均须按要求签字、盖章、加盖公章。</w:t>
      </w:r>
    </w:p>
    <w:p w14:paraId="26DBDAD9">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sz w:val="24"/>
          <w:lang w:eastAsia="zh-CN"/>
        </w:rPr>
        <w:t>交易中心</w:t>
      </w:r>
      <w:r>
        <w:rPr>
          <w:rFonts w:hint="eastAsia" w:ascii="宋体" w:hAnsi="宋体" w:cs="宋体"/>
          <w:b/>
          <w:bCs/>
          <w:sz w:val="24"/>
        </w:rPr>
        <w:t>提出，由</w:t>
      </w:r>
      <w:r>
        <w:rPr>
          <w:rFonts w:hint="eastAsia" w:ascii="宋体" w:hAnsi="宋体" w:cs="宋体"/>
          <w:b/>
          <w:bCs/>
          <w:sz w:val="24"/>
          <w:lang w:eastAsia="zh-CN"/>
        </w:rPr>
        <w:t>交易中心</w:t>
      </w:r>
      <w:r>
        <w:rPr>
          <w:rFonts w:hint="eastAsia" w:ascii="宋体" w:hAnsi="宋体" w:cs="宋体"/>
          <w:b/>
          <w:bCs/>
          <w:sz w:val="24"/>
        </w:rPr>
        <w:t>负责答复。</w:t>
      </w:r>
    </w:p>
    <w:p w14:paraId="295E2392">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color w:val="000000"/>
          <w:sz w:val="24"/>
        </w:rPr>
      </w:pPr>
      <w:r>
        <w:rPr>
          <w:rFonts w:hint="eastAsia" w:ascii="宋体" w:hAnsi="宋体" w:cs="宋体"/>
          <w:sz w:val="24"/>
          <w:lang w:eastAsia="zh-CN"/>
        </w:rPr>
        <w:t>交易中心</w:t>
      </w:r>
      <w:r>
        <w:rPr>
          <w:rFonts w:hint="eastAsia" w:ascii="宋体" w:hAnsi="宋体" w:cs="宋体"/>
          <w:sz w:val="24"/>
        </w:rPr>
        <w:t>及采购人只接收以纸质原件形式送达的质疑，采购人和</w:t>
      </w:r>
      <w:r>
        <w:rPr>
          <w:rFonts w:hint="eastAsia" w:ascii="宋体" w:hAnsi="宋体" w:cs="宋体"/>
          <w:sz w:val="24"/>
          <w:lang w:eastAsia="zh-CN"/>
        </w:rPr>
        <w:t>交易中心</w:t>
      </w:r>
      <w:r>
        <w:rPr>
          <w:rFonts w:hint="eastAsia" w:ascii="宋体" w:hAnsi="宋体" w:cs="宋体"/>
          <w:sz w:val="24"/>
        </w:rPr>
        <w:t>不接受未填写快递运单的快件。质疑接收部门为公共资源交易中心业务受理处，联</w:t>
      </w:r>
      <w:r>
        <w:rPr>
          <w:rFonts w:hint="eastAsia" w:ascii="宋体" w:hAnsi="宋体" w:cs="宋体"/>
          <w:color w:val="000000"/>
          <w:sz w:val="24"/>
        </w:rPr>
        <w:t>系地址：</w:t>
      </w:r>
      <w:r>
        <w:rPr>
          <w:rFonts w:hint="eastAsia" w:ascii="宋体" w:hAnsi="宋体" w:eastAsia="宋体" w:cs="宋体"/>
          <w:color w:val="000000"/>
          <w:sz w:val="24"/>
          <w:szCs w:val="20"/>
        </w:rPr>
        <w:t>盐城市亭湖区希望大道中路18号</w:t>
      </w:r>
      <w:r>
        <w:rPr>
          <w:rFonts w:hint="eastAsia" w:ascii="宋体" w:hAnsi="宋体" w:cs="宋体"/>
          <w:color w:val="000000"/>
          <w:sz w:val="24"/>
        </w:rPr>
        <w:t>，联系电话：</w:t>
      </w:r>
      <w:r>
        <w:rPr>
          <w:rFonts w:hint="eastAsia" w:ascii="宋体" w:hAnsi="宋体" w:eastAsia="宋体" w:cs="宋体"/>
          <w:color w:val="000000"/>
          <w:sz w:val="24"/>
          <w:szCs w:val="20"/>
        </w:rPr>
        <w:t>0515-89802019</w:t>
      </w:r>
      <w:r>
        <w:rPr>
          <w:rFonts w:hint="eastAsia" w:ascii="宋体" w:hAnsi="宋体" w:cs="宋体"/>
          <w:color w:val="000000"/>
          <w:sz w:val="24"/>
        </w:rPr>
        <w:t>。</w:t>
      </w:r>
    </w:p>
    <w:p w14:paraId="175AD9D8">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28.5以下情形的质疑不予受理</w:t>
      </w:r>
    </w:p>
    <w:p w14:paraId="279219BC">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28.5.1内容不符合《政府采购质疑和投诉办法》第十二条规定的质疑。</w:t>
      </w:r>
    </w:p>
    <w:p w14:paraId="08B51F72">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28.5.2超出政府采购法定期限的质疑。</w:t>
      </w:r>
    </w:p>
    <w:p w14:paraId="763C044A">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28.5.3以传真、电子邮件等方式递交的非原件形式的质疑。</w:t>
      </w:r>
    </w:p>
    <w:p w14:paraId="79224AAF">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28.5.4未参加投标活动的供应商或在投标活动中自身权益未受到损害的供应商所提出的质疑。</w:t>
      </w:r>
    </w:p>
    <w:p w14:paraId="3B15D905">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28.5.5供应商组成联合体参加投标，联合体中任何一方或多方未按要求签字、盖章、加盖公章的质疑。</w:t>
      </w:r>
    </w:p>
    <w:p w14:paraId="7C17848A">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28.6供应商提出书面质疑必须有理、有据，不得捏造事实、提供虚假材料进行恶意质疑。否则，一经查实，</w:t>
      </w:r>
      <w:r>
        <w:rPr>
          <w:rFonts w:hint="eastAsia" w:ascii="宋体" w:hAnsi="宋体" w:cs="宋体"/>
          <w:sz w:val="24"/>
          <w:lang w:eastAsia="zh-CN"/>
        </w:rPr>
        <w:t>交易中心</w:t>
      </w:r>
      <w:r>
        <w:rPr>
          <w:rFonts w:hint="eastAsia" w:ascii="宋体" w:hAnsi="宋体" w:cs="宋体"/>
          <w:sz w:val="24"/>
        </w:rPr>
        <w:t>有权依据政府采购的有关规定，报请政府采购监管部门对该供应商进行相应的行政处罚和记录该供应商的失信信息。</w:t>
      </w:r>
    </w:p>
    <w:p w14:paraId="66E89D1E">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29、中标通知书</w:t>
      </w:r>
    </w:p>
    <w:p w14:paraId="42ACC52A">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29.l中标结果确定后，</w:t>
      </w:r>
      <w:r>
        <w:rPr>
          <w:rFonts w:hint="eastAsia" w:ascii="宋体" w:hAnsi="宋体" w:cs="宋体"/>
          <w:sz w:val="24"/>
          <w:lang w:eastAsia="zh-CN"/>
        </w:rPr>
        <w:t>交易中心</w:t>
      </w:r>
      <w:r>
        <w:rPr>
          <w:rFonts w:hint="eastAsia" w:ascii="宋体" w:hAnsi="宋体" w:cs="宋体"/>
          <w:sz w:val="24"/>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1C4CFD5">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29.2中标通知书将是合同的一个组成部分。对采购人和中标人均具有法律效力。中标通知书发出后，采购人改变中标结果的，或者中标人放弃中标项目的，应当依法承担法律责任。</w:t>
      </w:r>
    </w:p>
    <w:p w14:paraId="15DD4CC9">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七、授予合同</w:t>
      </w:r>
    </w:p>
    <w:p w14:paraId="286D90BD">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30.签订合同</w:t>
      </w:r>
    </w:p>
    <w:p w14:paraId="452F7BC2">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30.l中标人应当在中标通知书发出之日起三十日内，按照招标文件确定的事项与采购人签订政府采购合同。</w:t>
      </w:r>
    </w:p>
    <w:p w14:paraId="28124EDC">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30.2招标文件、中标人的投标文件及招标过程中有关澄清、承诺文件均应作为合同附件。</w:t>
      </w:r>
    </w:p>
    <w:p w14:paraId="5EB38AA8">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30.3签订合同后，</w:t>
      </w:r>
      <w:r>
        <w:rPr>
          <w:rFonts w:hint="eastAsia" w:ascii="宋体" w:hAnsi="宋体" w:cs="宋体"/>
          <w:i/>
          <w:iCs/>
          <w:sz w:val="24"/>
          <w:u w:val="single"/>
        </w:rPr>
        <w:t>中标人不得将合同标的进行转包</w:t>
      </w:r>
      <w:r>
        <w:rPr>
          <w:rFonts w:hint="eastAsia" w:ascii="宋体" w:hAnsi="宋体" w:cs="宋体"/>
          <w:sz w:val="24"/>
        </w:rPr>
        <w:t>。未经采购人同意，中标人也不得采用分包的形式履行合同，否则采购人有权终止合同。转包或分包造成采购人损失的，中标人应承担相应赔偿责任。</w:t>
      </w:r>
    </w:p>
    <w:p w14:paraId="7357F852">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31、服务（包含与服务相关的货物）的追加</w:t>
      </w:r>
    </w:p>
    <w:p w14:paraId="7D94CCD4">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rPr>
      </w:pPr>
      <w:r>
        <w:rPr>
          <w:rFonts w:hint="eastAsia" w:ascii="宋体" w:hAnsi="宋体" w:cs="宋体"/>
          <w:sz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CD87B83">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rPr>
      </w:pPr>
      <w:r>
        <w:rPr>
          <w:rFonts w:hint="eastAsia" w:ascii="宋体" w:hAnsi="宋体" w:cs="宋体"/>
          <w:b/>
          <w:bCs/>
          <w:sz w:val="24"/>
        </w:rPr>
        <w:t>32、政府采购政策功能落实</w:t>
      </w:r>
    </w:p>
    <w:p w14:paraId="434E97D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rPr>
      </w:pPr>
      <w:r>
        <w:rPr>
          <w:rFonts w:hint="eastAsia" w:ascii="宋体" w:hAnsi="宋体" w:cs="宋体"/>
          <w:b/>
          <w:bCs/>
          <w:sz w:val="24"/>
        </w:rPr>
        <w:t>32.1政府采购线上合同信用融资政策</w:t>
      </w:r>
    </w:p>
    <w:p w14:paraId="5F95B90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36CDAB9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rPr>
      </w:pPr>
      <w:r>
        <w:rPr>
          <w:rFonts w:hint="eastAsia" w:ascii="宋体" w:hAnsi="宋体" w:cs="宋体"/>
          <w:b/>
          <w:bCs/>
          <w:sz w:val="24"/>
        </w:rPr>
        <w:t>32.2进口产品</w:t>
      </w:r>
    </w:p>
    <w:p w14:paraId="3D79D47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B4DAC9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rPr>
      </w:pPr>
      <w:r>
        <w:rPr>
          <w:rFonts w:hint="eastAsia" w:ascii="宋体" w:hAnsi="宋体" w:cs="宋体"/>
          <w:b/>
          <w:bCs/>
          <w:sz w:val="24"/>
        </w:rPr>
        <w:t>32.3中小企业、监狱企业及残疾人福利性单位</w:t>
      </w:r>
    </w:p>
    <w:p w14:paraId="5A8C9E3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32.3.1中小企业定义：</w:t>
      </w:r>
    </w:p>
    <w:p w14:paraId="793DF7D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2417FCD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32.3.2供应商提供的货物、工程或者服务符合下列情形的，享受中小企业扶持政策：</w:t>
      </w:r>
    </w:p>
    <w:p w14:paraId="766F76C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32.3.2.1在货物采购项目中，货物由中小企业制造，即货物由中小企业生产且使用该中小企业商号或者注册商标；</w:t>
      </w:r>
    </w:p>
    <w:p w14:paraId="16BBD79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32.3.2.2在工程采购项目中，工程由中小企业承建，即工程施工单位为中小企业；</w:t>
      </w:r>
    </w:p>
    <w:p w14:paraId="51874C1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32.3.2.3在服务采购项目中，服务由中小企业承接，即提供服务的人员为中小企业依照《中华人民共和国劳动合同法》订立劳动合同的从业人员。</w:t>
      </w:r>
    </w:p>
    <w:p w14:paraId="1372FF0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32.</w:t>
      </w:r>
      <w:r>
        <w:rPr>
          <w:rFonts w:hint="eastAsia" w:ascii="宋体" w:hAnsi="宋体" w:cs="宋体"/>
          <w:sz w:val="24"/>
          <w:lang w:val="en-US" w:eastAsia="zh-CN"/>
        </w:rPr>
        <w:t>3</w:t>
      </w:r>
      <w:r>
        <w:rPr>
          <w:rFonts w:hint="eastAsia" w:ascii="宋体" w:hAnsi="宋体" w:cs="宋体"/>
          <w:sz w:val="24"/>
          <w:lang w:eastAsia="zh-CN"/>
        </w:rPr>
        <w:t>.</w:t>
      </w:r>
      <w:r>
        <w:rPr>
          <w:rFonts w:hint="eastAsia" w:ascii="宋体" w:hAnsi="宋体" w:cs="宋体"/>
          <w:sz w:val="24"/>
          <w:lang w:val="en-US" w:eastAsia="zh-CN"/>
        </w:rPr>
        <w:t>3</w:t>
      </w:r>
      <w:r>
        <w:rPr>
          <w:rFonts w:hint="eastAsia" w:ascii="宋体" w:hAnsi="宋体" w:cs="宋体"/>
          <w:sz w:val="24"/>
        </w:rPr>
        <w:t>在货物采购项目中，供应商提供的货物既有中小企业制造货物，也有大型企业制造货物的，不享受中小企业扶持政策。</w:t>
      </w:r>
    </w:p>
    <w:p w14:paraId="2D98352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32.3.4以联合体形式参加政府采购活动，联合体各方均为中小企业的，联合体视同中小企业。其中，联合体各方均为小微企业的，联合体视同小微企业。</w:t>
      </w:r>
    </w:p>
    <w:p w14:paraId="51636EE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5D0B43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32.3.6残疾人福利单位定义：享受政府采购支持政策的残疾人福利性单位应当同时满足以下条件：</w:t>
      </w:r>
    </w:p>
    <w:p w14:paraId="4CE1660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32.3.6.1安置的残疾人占本单位在职职工人数的比例不低于25%（含25%），并且安置的残疾人人数不少于10人（含10人）；</w:t>
      </w:r>
    </w:p>
    <w:p w14:paraId="217264D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32.3.6.2依法与安置的每位残疾人签订了一年以上（含一年）的劳动合同或服务协议；</w:t>
      </w:r>
    </w:p>
    <w:p w14:paraId="2C02800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32.3.6.3为安置的每位残疾人按月足额缴纳了基本养老保险、基本医疗保险、失业保险、工伤保险和生育保险等社会保险费；</w:t>
      </w:r>
    </w:p>
    <w:p w14:paraId="4F15FD9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32.3.6.4通过银行等金融机构向安置的每位残疾人，按月支付了不低于单位所在区县适用的经省级人民政府批准的月最低工资标准的工资；</w:t>
      </w:r>
    </w:p>
    <w:p w14:paraId="4DA769D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32.3.6.5提供本单位制造的货物、承担的工程或者服务（以下简称产品），或者提供其他残疾人福利性单位制造的货物（不包括使用非残疾人福利性单位注册商标的货物）；</w:t>
      </w:r>
    </w:p>
    <w:p w14:paraId="3F2770A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32.3.6.6前款所称残疾人是指法定劳动年龄内，持有《中华人民共和国残疾人证》或者《中华人民共和国残疾军人证》</w:t>
      </w:r>
      <w:r>
        <w:rPr>
          <w:rFonts w:ascii="宋体" w:hAnsi="宋体" w:cs="宋体"/>
          <w:sz w:val="24"/>
        </w:rPr>
        <w:t>（1至8级）</w:t>
      </w:r>
      <w:r>
        <w:rPr>
          <w:rFonts w:hint="eastAsia" w:ascii="宋体" w:hAnsi="宋体" w:cs="宋体"/>
          <w:sz w:val="24"/>
        </w:rPr>
        <w:t>的自然人，包括具有劳动条件和劳动意愿的精神残疾人。在职职工人数是指与残疾人福利性单位建立劳动关系并依法签订劳动合同或服务协议的雇员人数。</w:t>
      </w:r>
    </w:p>
    <w:p w14:paraId="7991E6A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32.3.7本项目是否专门面向中小企业预留采购份额见第一章《招标公告》。</w:t>
      </w:r>
    </w:p>
    <w:p w14:paraId="3696777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32.3.8采购标的对应的中小企业划分标准所属行业见第四章《采购需求》。</w:t>
      </w:r>
    </w:p>
    <w:p w14:paraId="52CA67F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32.3.9小微企业价格评审优惠的政策：见第五章《评标方法和评标标准》。</w:t>
      </w:r>
    </w:p>
    <w:p w14:paraId="6678B35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rPr>
      </w:pPr>
      <w:r>
        <w:rPr>
          <w:rFonts w:hint="eastAsia" w:ascii="宋体" w:hAnsi="宋体" w:cs="宋体"/>
          <w:b/>
          <w:bCs/>
          <w:sz w:val="24"/>
        </w:rPr>
        <w:t>32.4政府采购节能产品、环境标志产品</w:t>
      </w:r>
    </w:p>
    <w:p w14:paraId="58EF5B4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如属政府强制采购产品未提供认证证书的或认证证书提供不全的将视为未实质性响应采购要求</w:t>
      </w:r>
      <w:r>
        <w:rPr>
          <w:rFonts w:hint="eastAsia" w:ascii="宋体" w:hAnsi="宋体" w:cs="宋体"/>
          <w:i/>
          <w:sz w:val="24"/>
        </w:rPr>
        <w:t>。</w:t>
      </w:r>
      <w:r>
        <w:rPr>
          <w:rFonts w:hint="eastAsia" w:ascii="宋体" w:hAnsi="宋体" w:cs="宋体"/>
          <w:sz w:val="24"/>
        </w:rPr>
        <w:t>其他条件相同情况下，应当优先采购节能产品、环境标志产品。</w:t>
      </w:r>
    </w:p>
    <w:p w14:paraId="39818B5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9A722F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rPr>
      </w:pPr>
      <w:r>
        <w:rPr>
          <w:rFonts w:hint="eastAsia" w:ascii="宋体" w:hAnsi="宋体" w:cs="宋体"/>
          <w:b/>
          <w:bCs/>
          <w:sz w:val="24"/>
        </w:rPr>
        <w:t>32.5绿色包装</w:t>
      </w:r>
    </w:p>
    <w:p w14:paraId="1204493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235DC2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2" w:firstLineChars="200"/>
        <w:textAlignment w:val="auto"/>
        <w:rPr>
          <w:rFonts w:ascii="宋体" w:hAnsi="宋体" w:cs="宋体"/>
          <w:sz w:val="24"/>
        </w:rPr>
      </w:pPr>
      <w:r>
        <w:rPr>
          <w:rFonts w:hint="eastAsia" w:ascii="宋体" w:hAnsi="宋体" w:cs="宋体"/>
          <w:b/>
          <w:bCs/>
          <w:sz w:val="24"/>
        </w:rPr>
        <w:t>32.6政府采购创新产品</w:t>
      </w:r>
    </w:p>
    <w:p w14:paraId="19CCC3C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采购人优先采购各级政府部门公开发布的有效期内的创新产品、创新服务、首台套、首购首用等《目录》的创新产品。</w:t>
      </w:r>
    </w:p>
    <w:p w14:paraId="243A920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rPr>
      </w:pPr>
      <w:r>
        <w:rPr>
          <w:rFonts w:hint="eastAsia" w:ascii="宋体" w:hAnsi="宋体" w:cs="宋体"/>
          <w:b/>
          <w:bCs/>
          <w:sz w:val="24"/>
        </w:rPr>
        <w:t>32.7绿色数据中心政策</w:t>
      </w:r>
    </w:p>
    <w:p w14:paraId="5A9A328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118222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2" w:firstLineChars="200"/>
        <w:jc w:val="both"/>
        <w:textAlignment w:val="auto"/>
      </w:pPr>
      <w:r>
        <w:rPr>
          <w:rFonts w:ascii="宋体" w:hAnsi="宋体" w:eastAsia="宋体" w:cs="宋体"/>
          <w:b/>
          <w:color w:val="000000"/>
          <w:sz w:val="24"/>
        </w:rPr>
        <w:t>32.8实施本国产品标准及相关政策</w:t>
      </w:r>
    </w:p>
    <w:p w14:paraId="122D1E33">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32.8.1本项目对采购本国产品给予政策支持。</w:t>
      </w:r>
    </w:p>
    <w:p w14:paraId="5F31DA69">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AA34896">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26D0F2C">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outlineLvl w:val="3"/>
        <w:rPr>
          <w:rFonts w:hint="eastAsia" w:ascii="宋体" w:hAnsi="宋体" w:eastAsia="Arial" w:cs="宋体"/>
          <w:b/>
          <w:bCs/>
          <w:color w:val="000000"/>
          <w:sz w:val="24"/>
          <w:szCs w:val="20"/>
        </w:rPr>
      </w:pPr>
      <w:r>
        <w:rPr>
          <w:rFonts w:hint="eastAsia" w:ascii="宋体" w:hAnsi="宋体" w:eastAsia="Arial" w:cs="宋体"/>
          <w:b/>
          <w:bCs/>
          <w:color w:val="000000"/>
          <w:sz w:val="24"/>
          <w:szCs w:val="20"/>
          <w:lang w:val="en-US" w:eastAsia="zh-CN"/>
        </w:rPr>
        <w:t>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000000"/>
          <w:sz w:val="24"/>
          <w:szCs w:val="20"/>
          <w:u w:val="single"/>
          <w:lang w:val="en-US" w:eastAsia="zh-CN"/>
        </w:rPr>
        <w:t>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000000"/>
          <w:sz w:val="24"/>
          <w:szCs w:val="20"/>
          <w:lang w:val="en-US" w:eastAsia="zh-CN"/>
        </w:rPr>
        <w:t>。</w:t>
      </w:r>
    </w:p>
    <w:p w14:paraId="53CCE51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rPr>
      </w:pPr>
      <w:r>
        <w:rPr>
          <w:rFonts w:hint="eastAsia" w:ascii="宋体" w:hAnsi="宋体" w:cs="宋体"/>
          <w:b/>
          <w:bCs/>
          <w:sz w:val="24"/>
        </w:rPr>
        <w:t>32.9履约保证金政策</w:t>
      </w:r>
    </w:p>
    <w:p w14:paraId="77C377F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确需收取履约保证金的，履约保证金的缴纳形式：</w:t>
      </w:r>
    </w:p>
    <w:p w14:paraId="32ECC7D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97B418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如以履约保函（保险）形式缴纳履约保证金，供应商可通过政府采购电子履约保函（保险）平台（www.jsdzbh.com）在线申请履约保函（保险）。</w:t>
      </w:r>
    </w:p>
    <w:p w14:paraId="2BB3FBD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降低履约保证金缴纳比例为</w:t>
      </w:r>
      <w:r>
        <w:rPr>
          <w:rFonts w:hint="eastAsia" w:ascii="宋体" w:hAnsi="宋体" w:cs="宋体"/>
          <w:b/>
          <w:bCs/>
          <w:sz w:val="24"/>
          <w:u w:val="single"/>
        </w:rPr>
        <w:t>5%</w:t>
      </w:r>
      <w:r>
        <w:rPr>
          <w:rFonts w:hint="eastAsia" w:ascii="宋体" w:hAnsi="宋体" w:cs="宋体"/>
          <w:sz w:val="24"/>
        </w:rPr>
        <w:t>。</w:t>
      </w:r>
    </w:p>
    <w:p w14:paraId="32BAC13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2" w:firstLineChars="200"/>
        <w:textAlignment w:val="auto"/>
        <w:rPr>
          <w:rFonts w:ascii="宋体" w:hAnsi="宋体" w:cs="宋体"/>
          <w:sz w:val="24"/>
        </w:rPr>
      </w:pPr>
      <w:r>
        <w:rPr>
          <w:rFonts w:hint="eastAsia" w:ascii="宋体" w:hAnsi="宋体" w:cs="宋体"/>
          <w:b/>
          <w:sz w:val="24"/>
        </w:rPr>
        <w:t>33.预付款制度</w:t>
      </w:r>
    </w:p>
    <w:p w14:paraId="14C1DCB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0" w:firstLineChars="200"/>
        <w:textAlignment w:val="auto"/>
        <w:rPr>
          <w:rFonts w:ascii="宋体" w:hAnsi="宋体" w:cs="宋体"/>
          <w:sz w:val="24"/>
        </w:rPr>
      </w:pPr>
      <w:r>
        <w:rPr>
          <w:rFonts w:hint="eastAsia" w:ascii="宋体" w:hAnsi="宋体" w:cs="宋体"/>
          <w:sz w:val="24"/>
        </w:rPr>
        <w:t>本项目落实预付款制度，预付款比例为</w:t>
      </w:r>
      <w:r>
        <w:rPr>
          <w:rFonts w:hint="eastAsia" w:ascii="宋体" w:hAnsi="宋体" w:cs="宋体"/>
          <w:sz w:val="24"/>
          <w:u w:val="single"/>
        </w:rPr>
        <w:t>30%</w:t>
      </w:r>
      <w:r>
        <w:rPr>
          <w:rFonts w:hint="eastAsia" w:ascii="宋体" w:hAnsi="宋体" w:cs="宋体"/>
          <w:sz w:val="24"/>
        </w:rPr>
        <w:t>。在签订合同时，中标、成交供应商明确书面表示无需预付款或者主动要求降低预付款比例的，采购人可就预付款比例作相应调整。</w:t>
      </w:r>
    </w:p>
    <w:p w14:paraId="70089DFC">
      <w:pPr>
        <w:spacing w:line="560" w:lineRule="exact"/>
        <w:rPr>
          <w:rFonts w:ascii="宋体" w:hAnsi="宋体" w:cs="宋体"/>
          <w:sz w:val="24"/>
        </w:rPr>
      </w:pPr>
      <w:r>
        <w:rPr>
          <w:rFonts w:hint="eastAsia" w:ascii="宋体" w:hAnsi="宋体" w:cs="宋体"/>
          <w:sz w:val="24"/>
        </w:rPr>
        <w:br w:type="page" w:clear="all"/>
      </w:r>
    </w:p>
    <w:p w14:paraId="70ACD051">
      <w:pPr>
        <w:widowControl/>
        <w:spacing w:line="560" w:lineRule="exact"/>
        <w:ind w:firstLine="480"/>
        <w:jc w:val="center"/>
        <w:outlineLvl w:val="0"/>
        <w:rPr>
          <w:rFonts w:ascii="黑体" w:hAnsi="黑体" w:eastAsia="黑体" w:cs="黑体"/>
          <w:sz w:val="44"/>
          <w:szCs w:val="44"/>
        </w:rPr>
      </w:pPr>
      <w:bookmarkStart w:id="2" w:name="_Toc31242"/>
      <w:r>
        <w:rPr>
          <w:rFonts w:hint="eastAsia" w:ascii="黑体" w:hAnsi="黑体" w:eastAsia="黑体" w:cs="黑体"/>
          <w:sz w:val="44"/>
          <w:szCs w:val="44"/>
        </w:rPr>
        <w:t>第三章 合同文本</w:t>
      </w:r>
      <w:bookmarkEnd w:id="2"/>
    </w:p>
    <w:p w14:paraId="332B1F54">
      <w:pPr>
        <w:pStyle w:val="195"/>
        <w:keepNext w:val="0"/>
        <w:keepLines w:val="0"/>
        <w:pageBreakBefore w:val="0"/>
        <w:kinsoku/>
        <w:wordWrap/>
        <w:overflowPunct/>
        <w:topLinePunct w:val="0"/>
        <w:autoSpaceDE/>
        <w:autoSpaceDN/>
        <w:bidi w:val="0"/>
        <w:adjustRightInd/>
        <w:snapToGrid/>
        <w:spacing w:line="440" w:lineRule="exact"/>
        <w:ind w:firstLine="480" w:firstLineChars="200"/>
        <w:jc w:val="center"/>
        <w:textAlignment w:val="auto"/>
        <w:rPr>
          <w:rFonts w:ascii="宋体" w:hAnsi="宋体" w:cs="宋体"/>
          <w:sz w:val="24"/>
          <w:szCs w:val="24"/>
        </w:rPr>
      </w:pPr>
      <w:r>
        <w:rPr>
          <w:rFonts w:hint="eastAsia" w:ascii="宋体" w:hAnsi="宋体" w:cs="宋体"/>
          <w:sz w:val="24"/>
          <w:szCs w:val="24"/>
        </w:rPr>
        <w:t>以下为中标后签</w:t>
      </w:r>
      <w:r>
        <w:rPr>
          <w:rFonts w:hint="eastAsia" w:ascii="宋体" w:hAnsi="宋体" w:cs="宋体"/>
          <w:sz w:val="24"/>
          <w:szCs w:val="24"/>
          <w:lang w:eastAsia="zh-CN"/>
        </w:rPr>
        <w:t>订</w:t>
      </w:r>
      <w:r>
        <w:rPr>
          <w:rFonts w:hint="eastAsia" w:ascii="宋体" w:hAnsi="宋体" w:cs="宋体"/>
          <w:sz w:val="24"/>
          <w:szCs w:val="24"/>
        </w:rPr>
        <w:t>本项目合同的通用条款，中标人不得提出实质性的修改。</w:t>
      </w:r>
    </w:p>
    <w:p w14:paraId="1B84617C">
      <w:pPr>
        <w:keepNext w:val="0"/>
        <w:keepLines w:val="0"/>
        <w:pageBreakBefore w:val="0"/>
        <w:widowControl/>
        <w:kinsoku/>
        <w:wordWrap/>
        <w:overflowPunct/>
        <w:topLinePunct w:val="0"/>
        <w:autoSpaceDE/>
        <w:autoSpaceDN/>
        <w:bidi w:val="0"/>
        <w:adjustRightInd/>
        <w:snapToGrid/>
        <w:spacing w:line="440" w:lineRule="exact"/>
        <w:ind w:firstLine="562" w:firstLineChars="200"/>
        <w:jc w:val="center"/>
        <w:textAlignment w:val="auto"/>
        <w:rPr>
          <w:b/>
          <w:bCs/>
          <w:sz w:val="28"/>
        </w:rPr>
      </w:pPr>
      <w:bookmarkStart w:id="3" w:name="_Toc18997"/>
      <w:r>
        <w:rPr>
          <w:rFonts w:hint="eastAsia"/>
          <w:b/>
          <w:bCs/>
          <w:sz w:val="28"/>
        </w:rPr>
        <w:t>政府采购合同</w:t>
      </w:r>
    </w:p>
    <w:p w14:paraId="7F340F2F">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lang w:val="zh-CN"/>
        </w:rPr>
      </w:pPr>
      <w:r>
        <w:rPr>
          <w:rFonts w:hint="eastAsia" w:ascii="宋体" w:hAnsi="宋体" w:eastAsia="宋体" w:cs="宋体"/>
          <w:color w:val="000000"/>
          <w:sz w:val="24"/>
          <w:szCs w:val="20"/>
          <w:lang w:val="zh-CN"/>
        </w:rPr>
        <w:t>项目名称：</w:t>
      </w:r>
      <w:r>
        <w:rPr>
          <w:rFonts w:hint="eastAsia" w:ascii="宋体" w:hAnsi="宋体" w:cs="宋体"/>
          <w:color w:val="000000"/>
          <w:sz w:val="24"/>
          <w:szCs w:val="20"/>
          <w:u w:val="single"/>
          <w:lang w:eastAsia="zh-CN"/>
        </w:rPr>
        <w:t>盐城市妇联实验幼儿园物业管理服务</w:t>
      </w:r>
    </w:p>
    <w:p w14:paraId="4118906F">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zh-CN"/>
        </w:rPr>
        <w:t>项目编号：</w:t>
      </w:r>
      <w:r>
        <w:rPr>
          <w:rFonts w:hint="eastAsia" w:ascii="宋体" w:hAnsi="宋体" w:eastAsia="宋体" w:cs="宋体"/>
          <w:color w:val="000000"/>
          <w:sz w:val="24"/>
          <w:szCs w:val="20"/>
          <w:u w:val="single"/>
          <w:lang w:val="en-US" w:eastAsia="zh-CN"/>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u w:val="single"/>
          <w:lang w:val="en-US" w:eastAsia="zh-CN"/>
        </w:rPr>
        <w:t xml:space="preserve">            </w:t>
      </w:r>
    </w:p>
    <w:p w14:paraId="223DA689">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甲方：（买方）</w:t>
      </w:r>
      <w:r>
        <w:rPr>
          <w:rFonts w:hint="eastAsia" w:ascii="宋体" w:hAnsi="宋体" w:cs="宋体"/>
          <w:color w:val="000000"/>
          <w:sz w:val="24"/>
          <w:szCs w:val="20"/>
          <w:u w:val="single"/>
          <w:lang w:eastAsia="zh-CN"/>
        </w:rPr>
        <w:t>盐城市妇联实验幼儿园</w:t>
      </w:r>
      <w:r>
        <w:rPr>
          <w:rFonts w:hint="eastAsia" w:ascii="宋体" w:hAnsi="宋体" w:eastAsia="宋体" w:cs="宋体"/>
          <w:color w:val="000000"/>
          <w:sz w:val="24"/>
          <w:szCs w:val="20"/>
        </w:rPr>
        <w:t>（简称甲方）</w:t>
      </w:r>
    </w:p>
    <w:p w14:paraId="3778CED1">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乙方：（卖方）</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（简称乙方）</w:t>
      </w:r>
    </w:p>
    <w:p w14:paraId="4C185CC1">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lang w:val="zh-CN"/>
        </w:rPr>
      </w:pPr>
      <w:r>
        <w:rPr>
          <w:rFonts w:hint="eastAsia" w:ascii="宋体" w:hAnsi="宋体" w:eastAsia="宋体" w:cs="宋体"/>
          <w:color w:val="000000"/>
          <w:sz w:val="24"/>
          <w:szCs w:val="20"/>
        </w:rPr>
        <w:t>甲、乙双方根据盐城市政府</w:t>
      </w:r>
      <w:r>
        <w:rPr>
          <w:rFonts w:hint="eastAsia" w:ascii="宋体" w:hAnsi="宋体" w:cs="宋体"/>
          <w:color w:val="000000"/>
          <w:sz w:val="24"/>
          <w:szCs w:val="20"/>
          <w:lang w:eastAsia="zh-CN"/>
        </w:rPr>
        <w:t>交易中心</w:t>
      </w:r>
      <w:r>
        <w:rPr>
          <w:rFonts w:hint="eastAsia" w:ascii="宋体" w:hAnsi="宋体" w:cs="宋体"/>
          <w:color w:val="000000"/>
          <w:sz w:val="24"/>
          <w:szCs w:val="20"/>
          <w:u w:val="single"/>
          <w:lang w:eastAsia="zh-CN"/>
        </w:rPr>
        <w:t>盐城市妇联实验幼儿园物业管理服务</w:t>
      </w:r>
      <w:r>
        <w:rPr>
          <w:rFonts w:hint="eastAsia" w:ascii="宋体" w:hAnsi="宋体" w:eastAsia="宋体" w:cs="宋体"/>
          <w:color w:val="000000"/>
          <w:sz w:val="24"/>
          <w:szCs w:val="20"/>
        </w:rPr>
        <w:t>公开</w:t>
      </w:r>
      <w:r>
        <w:rPr>
          <w:rFonts w:hint="eastAsia" w:ascii="宋体" w:hAnsi="宋体" w:eastAsia="宋体" w:cs="宋体"/>
          <w:color w:val="000000"/>
          <w:sz w:val="24"/>
          <w:szCs w:val="20"/>
          <w:lang w:val="zh-CN"/>
        </w:rPr>
        <w:t>招标的结果，签署本合同。</w:t>
      </w:r>
    </w:p>
    <w:p w14:paraId="55848647">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eastAsia="宋体" w:cs="宋体"/>
          <w:b/>
          <w:bCs/>
          <w:color w:val="000000"/>
          <w:sz w:val="24"/>
          <w:szCs w:val="20"/>
        </w:rPr>
      </w:pPr>
      <w:r>
        <w:rPr>
          <w:rFonts w:hint="eastAsia" w:ascii="宋体" w:hAnsi="宋体" w:eastAsia="宋体" w:cs="宋体"/>
          <w:b/>
          <w:bCs/>
          <w:color w:val="000000"/>
          <w:sz w:val="24"/>
          <w:szCs w:val="20"/>
        </w:rPr>
        <w:t>第一条 物业基本情况</w:t>
      </w:r>
    </w:p>
    <w:p w14:paraId="241940CF">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1、物业名称：</w:t>
      </w:r>
      <w:r>
        <w:rPr>
          <w:rFonts w:hint="eastAsia" w:ascii="宋体" w:hAnsi="宋体" w:cs="宋体"/>
          <w:color w:val="000000"/>
          <w:sz w:val="24"/>
          <w:szCs w:val="20"/>
          <w:u w:val="single"/>
          <w:lang w:eastAsia="zh-CN"/>
        </w:rPr>
        <w:t>盐城市妇联实验幼儿园物业管理服务</w:t>
      </w:r>
    </w:p>
    <w:p w14:paraId="53C56D9A">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lang w:val="en-US" w:eastAsia="zh-CN"/>
        </w:rPr>
      </w:pPr>
      <w:r>
        <w:rPr>
          <w:rFonts w:hint="eastAsia" w:ascii="宋体" w:hAnsi="宋体" w:eastAsia="宋体" w:cs="宋体"/>
          <w:color w:val="000000"/>
          <w:sz w:val="24"/>
          <w:szCs w:val="20"/>
        </w:rPr>
        <w:t>2、坐落位置：</w:t>
      </w:r>
      <w:r>
        <w:rPr>
          <w:rFonts w:hint="eastAsia" w:ascii="宋体" w:hAnsi="宋体" w:eastAsia="宋体" w:cs="宋体"/>
          <w:color w:val="000000"/>
          <w:sz w:val="24"/>
          <w:szCs w:val="20"/>
          <w:u w:val="single"/>
          <w:lang w:val="en-US" w:eastAsia="zh-CN"/>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u w:val="single"/>
          <w:lang w:val="en-US" w:eastAsia="zh-CN"/>
        </w:rPr>
        <w:t xml:space="preserve">    </w:t>
      </w:r>
    </w:p>
    <w:p w14:paraId="2F403E41">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color w:val="000000"/>
          <w:sz w:val="24"/>
          <w:szCs w:val="20"/>
        </w:rPr>
      </w:pPr>
      <w:r>
        <w:rPr>
          <w:rFonts w:hint="eastAsia" w:ascii="宋体" w:hAnsi="宋体" w:cs="宋体"/>
          <w:b/>
          <w:bCs/>
          <w:color w:val="000000"/>
          <w:sz w:val="24"/>
          <w:szCs w:val="20"/>
        </w:rPr>
        <w:t>第二条 委托管理事项</w:t>
      </w:r>
    </w:p>
    <w:p w14:paraId="214E3267">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color w:val="000000"/>
          <w:sz w:val="24"/>
          <w:szCs w:val="20"/>
        </w:rPr>
      </w:pPr>
      <w:r>
        <w:rPr>
          <w:rFonts w:hint="eastAsia" w:ascii="宋体" w:hAnsi="宋体" w:cs="宋体"/>
          <w:color w:val="000000"/>
          <w:sz w:val="24"/>
          <w:szCs w:val="20"/>
        </w:rPr>
        <w:t>服务项目包含卫生保洁、</w:t>
      </w:r>
      <w:r>
        <w:rPr>
          <w:rFonts w:hint="eastAsia" w:ascii="宋体" w:hAnsi="宋体" w:cs="宋体"/>
          <w:color w:val="000000"/>
          <w:sz w:val="24"/>
          <w:szCs w:val="20"/>
          <w:lang w:eastAsia="zh-CN"/>
        </w:rPr>
        <w:t>垃圾清运、绿化养护、水电</w:t>
      </w:r>
      <w:r>
        <w:rPr>
          <w:rFonts w:hint="eastAsia" w:ascii="宋体" w:hAnsi="宋体" w:cs="宋体"/>
          <w:color w:val="000000"/>
          <w:sz w:val="24"/>
          <w:szCs w:val="20"/>
          <w:lang w:val="en-US" w:eastAsia="zh-CN"/>
        </w:rPr>
        <w:t>服务</w:t>
      </w:r>
      <w:r>
        <w:rPr>
          <w:rFonts w:hint="eastAsia" w:ascii="宋体" w:hAnsi="宋体" w:cs="宋体"/>
          <w:color w:val="000000"/>
          <w:sz w:val="24"/>
          <w:szCs w:val="20"/>
        </w:rPr>
        <w:t>、</w:t>
      </w:r>
      <w:r>
        <w:rPr>
          <w:rFonts w:hint="eastAsia" w:ascii="宋体" w:hAnsi="宋体" w:cs="宋体"/>
          <w:color w:val="000000"/>
          <w:sz w:val="24"/>
          <w:szCs w:val="20"/>
          <w:lang w:eastAsia="zh-CN"/>
        </w:rPr>
        <w:t>夜间值班巡逻（由安保服务单位派遣、采购单位管理）</w:t>
      </w:r>
      <w:r>
        <w:rPr>
          <w:rFonts w:hint="eastAsia" w:ascii="宋体" w:hAnsi="宋体" w:cs="宋体"/>
          <w:color w:val="000000"/>
          <w:sz w:val="24"/>
          <w:szCs w:val="20"/>
        </w:rPr>
        <w:t>等内容。具体以现场实际情况为准，服务</w:t>
      </w:r>
      <w:r>
        <w:rPr>
          <w:rFonts w:hint="eastAsia" w:ascii="宋体" w:hAnsi="宋体" w:cs="宋体"/>
          <w:color w:val="000000"/>
          <w:sz w:val="24"/>
          <w:szCs w:val="20"/>
          <w:lang w:eastAsia="zh-CN"/>
        </w:rPr>
        <w:t>项目</w:t>
      </w:r>
      <w:r>
        <w:rPr>
          <w:rFonts w:hint="eastAsia" w:ascii="宋体" w:hAnsi="宋体" w:cs="宋体"/>
          <w:color w:val="000000"/>
          <w:sz w:val="24"/>
          <w:szCs w:val="20"/>
        </w:rPr>
        <w:t>总价包干。</w:t>
      </w:r>
    </w:p>
    <w:p w14:paraId="24A9919E">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szCs w:val="20"/>
        </w:rPr>
      </w:pPr>
      <w:r>
        <w:rPr>
          <w:rFonts w:hint="eastAsia" w:ascii="宋体" w:hAnsi="宋体" w:cs="宋体"/>
          <w:b/>
          <w:bCs/>
          <w:sz w:val="24"/>
          <w:szCs w:val="20"/>
        </w:rPr>
        <w:t>（</w:t>
      </w:r>
      <w:r>
        <w:rPr>
          <w:rFonts w:hint="eastAsia" w:ascii="宋体" w:hAnsi="宋体" w:cs="宋体"/>
          <w:b/>
          <w:bCs/>
          <w:sz w:val="24"/>
          <w:szCs w:val="20"/>
          <w:lang w:eastAsia="zh-CN"/>
        </w:rPr>
        <w:t>一</w:t>
      </w:r>
      <w:r>
        <w:rPr>
          <w:rFonts w:hint="eastAsia" w:ascii="宋体" w:hAnsi="宋体" w:cs="宋体"/>
          <w:b/>
          <w:bCs/>
          <w:sz w:val="24"/>
          <w:szCs w:val="20"/>
        </w:rPr>
        <w:t>）卫生保洁</w:t>
      </w:r>
    </w:p>
    <w:p w14:paraId="7E4F5F93">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宋体" w:hAnsi="宋体" w:cs="宋体"/>
          <w:b/>
          <w:sz w:val="24"/>
          <w:szCs w:val="20"/>
        </w:rPr>
      </w:pPr>
      <w:r>
        <w:rPr>
          <w:rFonts w:hint="eastAsia" w:ascii="宋体" w:hAnsi="宋体" w:cs="宋体"/>
          <w:b/>
          <w:sz w:val="24"/>
          <w:szCs w:val="20"/>
        </w:rPr>
        <w:t>①公共区域保洁：</w:t>
      </w:r>
    </w:p>
    <w:p w14:paraId="77CD48EC">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0"/>
        </w:rPr>
      </w:pPr>
      <w:r>
        <w:rPr>
          <w:rFonts w:hint="eastAsia" w:ascii="宋体" w:hAnsi="宋体" w:cs="宋体"/>
          <w:sz w:val="24"/>
          <w:szCs w:val="20"/>
        </w:rPr>
        <w:t>每日打扫1次各楼层通道和楼梯台阶，并拖洗干净；水磨石或水泥地面每半月至少刷洗1次，大理石地面</w:t>
      </w:r>
      <w:r>
        <w:rPr>
          <w:rFonts w:hint="eastAsia" w:ascii="宋体" w:hAnsi="宋体" w:cs="宋体"/>
          <w:color w:val="000000"/>
          <w:sz w:val="24"/>
          <w:szCs w:val="20"/>
        </w:rPr>
        <w:t>每2月至少做晶面1次（结</w:t>
      </w:r>
      <w:r>
        <w:rPr>
          <w:rFonts w:hint="eastAsia" w:ascii="宋体" w:hAnsi="宋体" w:cs="宋体"/>
          <w:sz w:val="24"/>
          <w:szCs w:val="20"/>
        </w:rPr>
        <w:t>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p>
    <w:p w14:paraId="7D7963E5">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ascii="宋体" w:hAnsi="宋体" w:cs="宋体"/>
          <w:sz w:val="24"/>
          <w:szCs w:val="20"/>
        </w:rPr>
      </w:pPr>
      <w:r>
        <w:rPr>
          <w:rFonts w:hint="eastAsia" w:ascii="宋体" w:hAnsi="宋体" w:cs="宋体"/>
          <w:b/>
          <w:sz w:val="24"/>
          <w:szCs w:val="20"/>
        </w:rPr>
        <w:t>②公用卫生间保洁：</w:t>
      </w:r>
      <w:r>
        <w:rPr>
          <w:rFonts w:hint="eastAsia" w:ascii="宋体" w:hAnsi="宋体" w:cs="宋体"/>
          <w:sz w:val="24"/>
          <w:szCs w:val="20"/>
        </w:rPr>
        <w:t>配备自动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p>
    <w:p w14:paraId="24148622">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宋体" w:hAnsi="宋体" w:cs="宋体"/>
          <w:b/>
          <w:sz w:val="24"/>
          <w:szCs w:val="20"/>
        </w:rPr>
      </w:pPr>
      <w:r>
        <w:rPr>
          <w:rFonts w:hint="eastAsia" w:ascii="宋体" w:hAnsi="宋体" w:cs="宋体"/>
          <w:b/>
          <w:sz w:val="24"/>
          <w:szCs w:val="20"/>
        </w:rPr>
        <w:t>③垃圾箱、垃圾池日产日清。</w:t>
      </w:r>
    </w:p>
    <w:p w14:paraId="32C152AD">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ascii="宋体" w:hAnsi="宋体" w:cs="宋体"/>
          <w:b/>
          <w:sz w:val="24"/>
          <w:szCs w:val="20"/>
        </w:rPr>
      </w:pPr>
      <w:r>
        <w:rPr>
          <w:rFonts w:hint="eastAsia" w:ascii="宋体" w:hAnsi="宋体" w:cs="宋体"/>
          <w:b/>
          <w:sz w:val="24"/>
          <w:szCs w:val="20"/>
        </w:rPr>
        <w:t>④</w:t>
      </w:r>
      <w:r>
        <w:rPr>
          <w:rFonts w:hint="eastAsia" w:ascii="宋体" w:hAnsi="宋体" w:eastAsia="宋体" w:cs="宋体"/>
          <w:b/>
          <w:sz w:val="24"/>
          <w:szCs w:val="20"/>
        </w:rPr>
        <w:t>校园</w:t>
      </w:r>
      <w:r>
        <w:rPr>
          <w:rFonts w:hint="eastAsia" w:ascii="宋体" w:hAnsi="宋体" w:cs="宋体"/>
          <w:b/>
          <w:sz w:val="24"/>
          <w:szCs w:val="20"/>
        </w:rPr>
        <w:t>道路、广场：</w:t>
      </w:r>
      <w:r>
        <w:rPr>
          <w:rFonts w:hint="eastAsia" w:ascii="宋体" w:hAnsi="宋体" w:cs="宋体"/>
          <w:sz w:val="24"/>
          <w:szCs w:val="20"/>
        </w:rPr>
        <w:t>每日清扫一次，每2小时巡查一次，发现有零星的杂物及时清理。</w:t>
      </w:r>
    </w:p>
    <w:p w14:paraId="16C3EDDD">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color w:val="000000"/>
          <w:sz w:val="24"/>
          <w:szCs w:val="20"/>
          <w:lang w:eastAsia="zh-CN"/>
        </w:rPr>
      </w:pPr>
      <w:r>
        <w:rPr>
          <w:rFonts w:hint="eastAsia" w:ascii="宋体" w:hAnsi="宋体" w:eastAsia="宋体" w:cs="宋体"/>
          <w:b/>
          <w:sz w:val="24"/>
          <w:szCs w:val="20"/>
        </w:rPr>
        <w:fldChar w:fldCharType="begin"/>
      </w:r>
      <w:r>
        <w:rPr>
          <w:rFonts w:hint="eastAsia" w:ascii="宋体" w:hAnsi="宋体" w:eastAsia="宋体" w:cs="宋体"/>
          <w:b/>
          <w:sz w:val="24"/>
          <w:szCs w:val="20"/>
        </w:rPr>
        <w:instrText xml:space="preserve"> = 5 \* GB3 \* MERGEFORMAT </w:instrText>
      </w:r>
      <w:r>
        <w:rPr>
          <w:rFonts w:hint="eastAsia" w:ascii="宋体" w:hAnsi="宋体" w:eastAsia="宋体" w:cs="宋体"/>
          <w:b/>
          <w:sz w:val="24"/>
          <w:szCs w:val="20"/>
        </w:rPr>
        <w:fldChar w:fldCharType="separate"/>
      </w:r>
      <w:r>
        <w:rPr>
          <w:rFonts w:hint="eastAsia" w:ascii="宋体" w:hAnsi="宋体" w:eastAsia="宋体" w:cs="宋体"/>
          <w:b/>
          <w:sz w:val="24"/>
          <w:szCs w:val="20"/>
        </w:rPr>
        <w:t>⑤</w:t>
      </w:r>
      <w:r>
        <w:rPr>
          <w:rFonts w:hint="eastAsia" w:ascii="宋体" w:hAnsi="宋体" w:eastAsia="宋体" w:cs="宋体"/>
          <w:b/>
          <w:sz w:val="24"/>
          <w:szCs w:val="20"/>
        </w:rPr>
        <w:fldChar w:fldCharType="end"/>
      </w:r>
      <w:r>
        <w:rPr>
          <w:rFonts w:hint="eastAsia" w:ascii="宋体" w:hAnsi="宋体" w:cs="宋体"/>
          <w:b/>
          <w:sz w:val="24"/>
          <w:szCs w:val="20"/>
          <w:lang w:eastAsia="zh-CN"/>
        </w:rPr>
        <w:t>绿化养护：</w:t>
      </w:r>
      <w:r>
        <w:rPr>
          <w:rFonts w:hint="eastAsia" w:ascii="宋体" w:hAnsi="宋体" w:eastAsia="宋体" w:cs="宋体"/>
          <w:color w:val="000000"/>
          <w:sz w:val="24"/>
          <w:szCs w:val="20"/>
          <w:lang w:eastAsia="zh-CN"/>
        </w:rPr>
        <w:t>负责绿化的修剪、施肥、喷药、保温、浇水等日常养护工作（肥料、农药购置费由中标服务单位负责），负责新增绿化的养护（苗木购置、栽植费用由学校负责）。</w:t>
      </w:r>
    </w:p>
    <w:p w14:paraId="0571C166">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ascii="宋体" w:hAnsi="宋体" w:eastAsia="宋体" w:cs="宋体"/>
          <w:b/>
          <w:sz w:val="24"/>
          <w:lang w:val="en-US" w:eastAsia="zh-CN"/>
        </w:rPr>
      </w:pPr>
      <w:r>
        <w:rPr>
          <w:rFonts w:hint="eastAsia" w:ascii="宋体" w:hAnsi="宋体" w:cs="宋体"/>
          <w:b/>
          <w:sz w:val="24"/>
        </w:rPr>
        <w:t>（</w:t>
      </w:r>
      <w:r>
        <w:rPr>
          <w:rFonts w:hint="eastAsia" w:ascii="宋体" w:hAnsi="宋体" w:cs="宋体"/>
          <w:b/>
          <w:sz w:val="24"/>
          <w:lang w:val="en-US" w:eastAsia="zh-CN"/>
        </w:rPr>
        <w:t>二</w:t>
      </w:r>
      <w:r>
        <w:rPr>
          <w:rFonts w:hint="eastAsia" w:ascii="宋体" w:hAnsi="宋体" w:cs="宋体"/>
          <w:b/>
          <w:sz w:val="24"/>
        </w:rPr>
        <w:t>）</w:t>
      </w:r>
      <w:r>
        <w:rPr>
          <w:rFonts w:hint="eastAsia" w:ascii="宋体" w:hAnsi="宋体" w:cs="宋体"/>
          <w:b/>
          <w:sz w:val="24"/>
          <w:lang w:val="en-US" w:eastAsia="zh-CN"/>
        </w:rPr>
        <w:t>水电服务</w:t>
      </w:r>
    </w:p>
    <w:p w14:paraId="6AD64538">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bCs/>
          <w:sz w:val="24"/>
          <w:szCs w:val="20"/>
        </w:rPr>
      </w:pPr>
      <w:r>
        <w:rPr>
          <w:rFonts w:hint="eastAsia" w:ascii="宋体" w:hAnsi="宋体" w:cs="宋体"/>
          <w:bCs/>
          <w:sz w:val="24"/>
          <w:szCs w:val="20"/>
        </w:rPr>
        <w:t>1、</w:t>
      </w:r>
      <w:r>
        <w:rPr>
          <w:rFonts w:hint="eastAsia" w:ascii="宋体" w:hAnsi="宋体" w:cs="宋体"/>
          <w:bCs/>
          <w:sz w:val="24"/>
          <w:szCs w:val="20"/>
          <w:lang w:val="en-US" w:eastAsia="zh-CN"/>
        </w:rPr>
        <w:t>水电服务人员须</w:t>
      </w:r>
      <w:r>
        <w:rPr>
          <w:rFonts w:hint="eastAsia" w:ascii="宋体" w:hAnsi="宋体" w:cs="宋体"/>
          <w:bCs/>
          <w:sz w:val="24"/>
          <w:szCs w:val="20"/>
        </w:rPr>
        <w:t>严格遵守操作规程,做好巡查记录。</w:t>
      </w:r>
    </w:p>
    <w:p w14:paraId="1B24662F">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2、严格操作规程和安全生产规则，杜绝违章操作和不安全行为。</w:t>
      </w:r>
    </w:p>
    <w:p w14:paraId="2C48D131">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3、对设备和安全设施要勤查,发现隐患及时报告。精心维护和保养好设备,确保学校正常安全供电。</w:t>
      </w:r>
    </w:p>
    <w:p w14:paraId="00604400">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0"/>
          <w:lang w:eastAsia="zh-CN"/>
        </w:rPr>
      </w:pPr>
      <w:r>
        <w:rPr>
          <w:rFonts w:hint="eastAsia" w:ascii="宋体" w:hAnsi="宋体" w:cs="宋体"/>
          <w:sz w:val="24"/>
          <w:szCs w:val="20"/>
        </w:rPr>
        <w:t>4、做好配电房的防水、防潮工作,注意随手关闭好门窗,经常查看防护网、密封条防护情况,谨防小动物窜入配电间而发生意外</w:t>
      </w:r>
      <w:r>
        <w:rPr>
          <w:rFonts w:hint="eastAsia" w:ascii="宋体" w:hAnsi="宋体" w:cs="宋体"/>
          <w:sz w:val="24"/>
          <w:szCs w:val="20"/>
          <w:lang w:eastAsia="zh-CN"/>
        </w:rPr>
        <w:t>。</w:t>
      </w:r>
    </w:p>
    <w:p w14:paraId="726C042C">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5、严格禁火制度。严禁将易燃易爆危险物品带进配电间</w:t>
      </w:r>
      <w:r>
        <w:rPr>
          <w:rFonts w:hint="eastAsia" w:ascii="宋体" w:hAnsi="宋体" w:cs="宋体"/>
          <w:sz w:val="24"/>
          <w:szCs w:val="20"/>
          <w:lang w:eastAsia="zh-CN"/>
        </w:rPr>
        <w:t>，</w:t>
      </w:r>
      <w:r>
        <w:rPr>
          <w:rFonts w:hint="eastAsia" w:ascii="宋体" w:hAnsi="宋体" w:cs="宋体"/>
          <w:sz w:val="24"/>
          <w:szCs w:val="20"/>
        </w:rPr>
        <w:t>配电间内严禁吸烟。工作人员须能熟练使用消防器材。</w:t>
      </w:r>
    </w:p>
    <w:p w14:paraId="4D6681A9">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6、严禁无关人员进出。未经培训,不得随便开关操作室内设施、设备。</w:t>
      </w:r>
    </w:p>
    <w:p w14:paraId="6B5B6333">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7、</w:t>
      </w:r>
      <w:r>
        <w:rPr>
          <w:rFonts w:hint="eastAsia" w:ascii="宋体" w:hAnsi="宋体" w:cs="宋体"/>
          <w:sz w:val="24"/>
          <w:szCs w:val="20"/>
          <w:lang w:val="en-US" w:eastAsia="zh-CN"/>
        </w:rPr>
        <w:t>水电服务人</w:t>
      </w:r>
      <w:r>
        <w:rPr>
          <w:rFonts w:hint="eastAsia" w:ascii="宋体" w:hAnsi="宋体" w:cs="宋体"/>
          <w:sz w:val="24"/>
          <w:szCs w:val="20"/>
        </w:rPr>
        <w:t>员应经常检查设施、设备运作情况发现隐患,及时处理。</w:t>
      </w:r>
    </w:p>
    <w:p w14:paraId="1036DCB3">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8、增强保密观念</w:t>
      </w:r>
      <w:r>
        <w:rPr>
          <w:rFonts w:hint="eastAsia" w:ascii="宋体" w:hAnsi="宋体" w:cs="宋体"/>
          <w:sz w:val="24"/>
          <w:szCs w:val="20"/>
          <w:lang w:eastAsia="zh-CN"/>
        </w:rPr>
        <w:t>，</w:t>
      </w:r>
      <w:r>
        <w:rPr>
          <w:rFonts w:hint="eastAsia" w:ascii="宋体" w:hAnsi="宋体" w:cs="宋体"/>
          <w:sz w:val="24"/>
          <w:szCs w:val="20"/>
        </w:rPr>
        <w:t>不得向无关人员泄露配电房设备情况。</w:t>
      </w:r>
    </w:p>
    <w:p w14:paraId="24D7B6CA">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9、做好对电器设备的日常维护工作</w:t>
      </w:r>
      <w:r>
        <w:rPr>
          <w:rFonts w:hint="eastAsia" w:ascii="宋体" w:hAnsi="宋体" w:cs="宋体"/>
          <w:sz w:val="24"/>
          <w:szCs w:val="20"/>
          <w:lang w:eastAsia="zh-CN"/>
        </w:rPr>
        <w:t>，</w:t>
      </w:r>
      <w:r>
        <w:rPr>
          <w:rFonts w:hint="eastAsia" w:ascii="宋体" w:hAnsi="宋体" w:cs="宋体"/>
          <w:sz w:val="24"/>
          <w:szCs w:val="20"/>
        </w:rPr>
        <w:t>注意电压表、电流表、功率因数表的指示情况</w:t>
      </w:r>
      <w:r>
        <w:rPr>
          <w:rFonts w:hint="eastAsia" w:ascii="宋体" w:hAnsi="宋体" w:cs="宋体"/>
          <w:sz w:val="24"/>
          <w:szCs w:val="20"/>
          <w:lang w:eastAsia="zh-CN"/>
        </w:rPr>
        <w:t>，</w:t>
      </w:r>
      <w:r>
        <w:rPr>
          <w:rFonts w:hint="eastAsia" w:ascii="宋体" w:hAnsi="宋体" w:cs="宋体"/>
          <w:sz w:val="24"/>
          <w:szCs w:val="20"/>
        </w:rPr>
        <w:t>禁止让电器设备超负荷使用和带病运转。</w:t>
      </w:r>
    </w:p>
    <w:p w14:paraId="7B079FFF">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000000"/>
          <w:sz w:val="24"/>
          <w:szCs w:val="20"/>
        </w:rPr>
      </w:pPr>
      <w:r>
        <w:rPr>
          <w:rFonts w:hint="eastAsia" w:ascii="宋体" w:hAnsi="宋体" w:cs="宋体"/>
          <w:color w:val="000000"/>
          <w:sz w:val="24"/>
          <w:szCs w:val="20"/>
          <w:lang w:val="en-US" w:eastAsia="zh-CN"/>
        </w:rPr>
        <w:t>10、</w:t>
      </w:r>
      <w:r>
        <w:rPr>
          <w:rFonts w:hint="eastAsia" w:ascii="宋体" w:hAnsi="宋体" w:cs="宋体"/>
          <w:color w:val="000000"/>
          <w:sz w:val="24"/>
          <w:szCs w:val="20"/>
        </w:rPr>
        <w:t>做好给排水、</w:t>
      </w:r>
      <w:r>
        <w:rPr>
          <w:rFonts w:hint="eastAsia" w:ascii="宋体" w:hAnsi="宋体" w:cs="宋体"/>
          <w:color w:val="000000"/>
          <w:sz w:val="24"/>
          <w:szCs w:val="20"/>
          <w:lang w:eastAsia="zh-CN"/>
        </w:rPr>
        <w:t>水电设备维修</w:t>
      </w:r>
      <w:r>
        <w:rPr>
          <w:rFonts w:hint="eastAsia" w:ascii="宋体" w:hAnsi="宋体" w:cs="宋体"/>
          <w:color w:val="000000"/>
          <w:sz w:val="24"/>
          <w:szCs w:val="20"/>
        </w:rPr>
        <w:t>维护保养工作，及时清理</w:t>
      </w:r>
      <w:r>
        <w:rPr>
          <w:rFonts w:hint="eastAsia" w:ascii="宋体" w:hAnsi="宋体" w:cs="宋体"/>
          <w:color w:val="000000"/>
          <w:sz w:val="24"/>
          <w:szCs w:val="20"/>
          <w:lang w:eastAsia="zh-CN"/>
        </w:rPr>
        <w:t>涉水电</w:t>
      </w:r>
      <w:r>
        <w:rPr>
          <w:rFonts w:hint="eastAsia" w:ascii="宋体" w:hAnsi="宋体" w:cs="宋体"/>
          <w:color w:val="000000"/>
          <w:sz w:val="24"/>
          <w:szCs w:val="20"/>
        </w:rPr>
        <w:t>垃圾</w:t>
      </w:r>
      <w:r>
        <w:rPr>
          <w:rFonts w:hint="eastAsia" w:ascii="宋体" w:hAnsi="宋体" w:cs="宋体"/>
          <w:color w:val="000000"/>
          <w:sz w:val="24"/>
          <w:szCs w:val="20"/>
          <w:lang w:eastAsia="zh-CN"/>
        </w:rPr>
        <w:t>清理、机房</w:t>
      </w:r>
      <w:r>
        <w:rPr>
          <w:rFonts w:hint="eastAsia" w:ascii="宋体" w:hAnsi="宋体" w:cs="宋体"/>
          <w:color w:val="000000"/>
          <w:sz w:val="24"/>
          <w:szCs w:val="20"/>
        </w:rPr>
        <w:t>清洁工程，确保校内给排水、</w:t>
      </w:r>
      <w:r>
        <w:rPr>
          <w:rFonts w:hint="eastAsia" w:ascii="宋体" w:hAnsi="宋体" w:cs="宋体"/>
          <w:color w:val="000000"/>
          <w:sz w:val="24"/>
          <w:szCs w:val="20"/>
          <w:lang w:eastAsia="zh-CN"/>
        </w:rPr>
        <w:t>水电设备</w:t>
      </w:r>
      <w:r>
        <w:rPr>
          <w:rFonts w:hint="eastAsia" w:ascii="宋体" w:hAnsi="宋体" w:cs="宋体"/>
          <w:color w:val="000000"/>
          <w:sz w:val="24"/>
          <w:szCs w:val="20"/>
        </w:rPr>
        <w:t>正常运行。</w:t>
      </w:r>
    </w:p>
    <w:p w14:paraId="30333D59">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szCs w:val="20"/>
        </w:rPr>
      </w:pPr>
      <w:r>
        <w:rPr>
          <w:rFonts w:hint="eastAsia" w:ascii="宋体" w:hAnsi="宋体" w:cs="宋体"/>
          <w:b/>
          <w:bCs/>
          <w:sz w:val="24"/>
          <w:szCs w:val="20"/>
        </w:rPr>
        <w:t>（</w:t>
      </w:r>
      <w:r>
        <w:rPr>
          <w:rFonts w:hint="eastAsia" w:ascii="宋体" w:hAnsi="宋体" w:cs="宋体"/>
          <w:b/>
          <w:bCs/>
          <w:sz w:val="24"/>
          <w:szCs w:val="20"/>
          <w:lang w:val="en-US" w:eastAsia="zh-CN"/>
        </w:rPr>
        <w:t>三</w:t>
      </w:r>
      <w:r>
        <w:rPr>
          <w:rFonts w:hint="eastAsia" w:ascii="宋体" w:hAnsi="宋体" w:cs="宋体"/>
          <w:b/>
          <w:bCs/>
          <w:sz w:val="24"/>
          <w:szCs w:val="20"/>
        </w:rPr>
        <w:t>）日常会务和大型活动服务</w:t>
      </w:r>
    </w:p>
    <w:p w14:paraId="3787EB98">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日常会务和大型活动，乙方须无条件提供卫生保洁、会务服务等工作。</w:t>
      </w:r>
    </w:p>
    <w:p w14:paraId="199BAA01">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①服务人员上岗前要按规定着装，认真整理工装、工牌、仪容仪表端庄、整洁、精神饱满。</w:t>
      </w:r>
    </w:p>
    <w:p w14:paraId="5304A1A9">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②帮助布置会场，卫生工作。</w:t>
      </w:r>
    </w:p>
    <w:p w14:paraId="2EF7613D">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szCs w:val="20"/>
        </w:rPr>
      </w:pPr>
      <w:r>
        <w:rPr>
          <w:rFonts w:hint="eastAsia" w:ascii="宋体" w:hAnsi="宋体" w:cs="宋体"/>
          <w:b/>
          <w:bCs/>
          <w:sz w:val="24"/>
          <w:szCs w:val="20"/>
          <w:lang w:eastAsia="zh-CN"/>
        </w:rPr>
        <w:t>（</w:t>
      </w:r>
      <w:r>
        <w:rPr>
          <w:rFonts w:hint="eastAsia" w:ascii="宋体" w:hAnsi="宋体" w:cs="宋体"/>
          <w:b/>
          <w:bCs/>
          <w:sz w:val="24"/>
          <w:szCs w:val="20"/>
          <w:lang w:val="en-US" w:eastAsia="zh-CN"/>
        </w:rPr>
        <w:t>四</w:t>
      </w:r>
      <w:r>
        <w:rPr>
          <w:rFonts w:hint="eastAsia" w:ascii="宋体" w:hAnsi="宋体" w:cs="宋体"/>
          <w:b/>
          <w:bCs/>
          <w:sz w:val="24"/>
          <w:szCs w:val="20"/>
          <w:lang w:eastAsia="zh-CN"/>
        </w:rPr>
        <w:t>）</w:t>
      </w:r>
      <w:r>
        <w:rPr>
          <w:rFonts w:hint="eastAsia" w:ascii="宋体" w:hAnsi="宋体" w:cs="宋体"/>
          <w:b/>
          <w:bCs/>
          <w:sz w:val="24"/>
          <w:szCs w:val="20"/>
        </w:rPr>
        <w:t>档案、资料管理</w:t>
      </w:r>
    </w:p>
    <w:p w14:paraId="135675CD">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p>
    <w:p w14:paraId="7F2E7763">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szCs w:val="20"/>
        </w:rPr>
      </w:pPr>
      <w:r>
        <w:rPr>
          <w:rFonts w:hint="eastAsia" w:ascii="宋体" w:hAnsi="宋体" w:cs="宋体"/>
          <w:b/>
          <w:bCs/>
          <w:sz w:val="24"/>
          <w:szCs w:val="20"/>
        </w:rPr>
        <w:t>（</w:t>
      </w:r>
      <w:r>
        <w:rPr>
          <w:rFonts w:hint="eastAsia" w:ascii="宋体" w:hAnsi="宋体" w:cs="宋体"/>
          <w:b/>
          <w:bCs/>
          <w:sz w:val="24"/>
          <w:szCs w:val="20"/>
          <w:lang w:val="en-US" w:eastAsia="zh-CN"/>
        </w:rPr>
        <w:t>五</w:t>
      </w:r>
      <w:r>
        <w:rPr>
          <w:rFonts w:hint="eastAsia" w:ascii="宋体" w:hAnsi="宋体" w:cs="宋体"/>
          <w:b/>
          <w:bCs/>
          <w:sz w:val="24"/>
          <w:szCs w:val="20"/>
        </w:rPr>
        <w:t>）建立健全物业管理制度</w:t>
      </w:r>
    </w:p>
    <w:p w14:paraId="6FEBB867">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根据</w:t>
      </w:r>
      <w:r>
        <w:rPr>
          <w:rFonts w:hint="eastAsia" w:ascii="宋体" w:hAnsi="宋体" w:cs="宋体"/>
          <w:sz w:val="24"/>
          <w:szCs w:val="20"/>
          <w:lang w:eastAsia="zh-CN"/>
        </w:rPr>
        <w:t>盐城市妇联实验幼儿园</w:t>
      </w:r>
      <w:r>
        <w:rPr>
          <w:rFonts w:hint="eastAsia" w:ascii="宋体" w:hAnsi="宋体" w:cs="宋体"/>
          <w:sz w:val="24"/>
          <w:szCs w:val="20"/>
        </w:rPr>
        <w:t>的具体情况，乙方应制定详细的内部管理制度、日常服务的运作管理制度等相关制度。</w:t>
      </w:r>
    </w:p>
    <w:p w14:paraId="00A02B95">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szCs w:val="20"/>
        </w:rPr>
      </w:pPr>
      <w:r>
        <w:rPr>
          <w:rFonts w:hint="eastAsia" w:ascii="宋体" w:hAnsi="宋体" w:cs="宋体"/>
          <w:b/>
          <w:bCs/>
          <w:sz w:val="24"/>
          <w:szCs w:val="20"/>
        </w:rPr>
        <w:t>第三条 合同期限</w:t>
      </w:r>
    </w:p>
    <w:p w14:paraId="589C5D5C">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cs="宋体"/>
          <w:color w:val="000000"/>
          <w:sz w:val="24"/>
          <w:szCs w:val="20"/>
        </w:rPr>
        <w:t>服务管理时间：</w:t>
      </w:r>
      <w:r>
        <w:rPr>
          <w:rFonts w:hint="eastAsia" w:ascii="宋体" w:hAnsi="宋体" w:cs="宋体"/>
          <w:color w:val="000000"/>
          <w:sz w:val="24"/>
          <w:szCs w:val="20"/>
          <w:lang w:val="en-US" w:eastAsia="zh-CN"/>
        </w:rPr>
        <w:t>1</w:t>
      </w:r>
      <w:r>
        <w:rPr>
          <w:rFonts w:hint="eastAsia" w:ascii="宋体" w:hAnsi="宋体" w:cs="宋体"/>
          <w:color w:val="000000"/>
          <w:sz w:val="24"/>
          <w:szCs w:val="20"/>
        </w:rPr>
        <w:t>年（含3个月试用期）。本合同有效期为自</w:t>
      </w:r>
      <w:r>
        <w:rPr>
          <w:rFonts w:hint="eastAsia" w:ascii="宋体" w:hAnsi="宋体" w:cs="宋体"/>
          <w:color w:val="000000"/>
          <w:sz w:val="24"/>
          <w:szCs w:val="20"/>
          <w:u w:val="single"/>
        </w:rPr>
        <w:t xml:space="preserve">    </w:t>
      </w:r>
      <w:r>
        <w:rPr>
          <w:rFonts w:hint="eastAsia" w:ascii="宋体" w:hAnsi="宋体" w:cs="宋体"/>
          <w:color w:val="000000"/>
          <w:sz w:val="24"/>
          <w:szCs w:val="20"/>
        </w:rPr>
        <w:t>年</w:t>
      </w:r>
      <w:r>
        <w:rPr>
          <w:rFonts w:hint="eastAsia" w:ascii="宋体" w:hAnsi="宋体" w:cs="宋体"/>
          <w:color w:val="000000"/>
          <w:sz w:val="24"/>
          <w:szCs w:val="20"/>
          <w:u w:val="single"/>
        </w:rPr>
        <w:t xml:space="preserve">   </w:t>
      </w:r>
      <w:r>
        <w:rPr>
          <w:rFonts w:hint="eastAsia" w:ascii="宋体" w:hAnsi="宋体" w:cs="宋体"/>
          <w:color w:val="000000"/>
          <w:sz w:val="24"/>
          <w:szCs w:val="20"/>
        </w:rPr>
        <w:t>月</w:t>
      </w:r>
      <w:r>
        <w:rPr>
          <w:rFonts w:hint="eastAsia" w:ascii="宋体" w:hAnsi="宋体" w:cs="宋体"/>
          <w:color w:val="000000"/>
          <w:sz w:val="24"/>
          <w:szCs w:val="20"/>
          <w:u w:val="single"/>
        </w:rPr>
        <w:t xml:space="preserve">   </w:t>
      </w:r>
      <w:r>
        <w:rPr>
          <w:rFonts w:hint="eastAsia" w:ascii="宋体" w:hAnsi="宋体" w:cs="宋体"/>
          <w:color w:val="000000"/>
          <w:sz w:val="24"/>
          <w:szCs w:val="20"/>
        </w:rPr>
        <w:t>日至</w:t>
      </w:r>
      <w:r>
        <w:rPr>
          <w:rFonts w:hint="eastAsia" w:ascii="宋体" w:hAnsi="宋体" w:cs="宋体"/>
          <w:color w:val="000000"/>
          <w:sz w:val="24"/>
          <w:szCs w:val="20"/>
          <w:u w:val="single"/>
        </w:rPr>
        <w:t xml:space="preserve">    </w:t>
      </w:r>
      <w:r>
        <w:rPr>
          <w:rFonts w:hint="eastAsia" w:ascii="宋体" w:hAnsi="宋体" w:cs="宋体"/>
          <w:color w:val="000000"/>
          <w:sz w:val="24"/>
          <w:szCs w:val="20"/>
        </w:rPr>
        <w:t>年</w:t>
      </w:r>
      <w:r>
        <w:rPr>
          <w:rFonts w:hint="eastAsia" w:ascii="宋体" w:hAnsi="宋体" w:cs="宋体"/>
          <w:color w:val="000000"/>
          <w:sz w:val="24"/>
          <w:szCs w:val="20"/>
          <w:u w:val="single"/>
        </w:rPr>
        <w:t xml:space="preserve">   </w:t>
      </w:r>
      <w:r>
        <w:rPr>
          <w:rFonts w:hint="eastAsia" w:ascii="宋体" w:hAnsi="宋体" w:cs="宋体"/>
          <w:color w:val="000000"/>
          <w:sz w:val="24"/>
          <w:szCs w:val="20"/>
        </w:rPr>
        <w:t>月</w:t>
      </w:r>
      <w:r>
        <w:rPr>
          <w:rFonts w:hint="eastAsia" w:ascii="宋体" w:hAnsi="宋体" w:cs="宋体"/>
          <w:color w:val="000000"/>
          <w:sz w:val="24"/>
          <w:szCs w:val="20"/>
          <w:u w:val="single"/>
        </w:rPr>
        <w:t xml:space="preserve">   </w:t>
      </w:r>
      <w:r>
        <w:rPr>
          <w:rFonts w:hint="eastAsia" w:ascii="宋体" w:hAnsi="宋体" w:cs="宋体"/>
          <w:color w:val="000000"/>
          <w:sz w:val="24"/>
          <w:szCs w:val="20"/>
        </w:rPr>
        <w:t>日止。</w:t>
      </w:r>
    </w:p>
    <w:p w14:paraId="4B4A4E12">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ascii="宋体" w:hAnsi="宋体" w:cs="宋体"/>
          <w:b/>
          <w:bCs/>
          <w:color w:val="000000"/>
          <w:sz w:val="24"/>
          <w:szCs w:val="20"/>
        </w:rPr>
      </w:pPr>
      <w:r>
        <w:rPr>
          <w:rFonts w:hint="eastAsia" w:ascii="宋体" w:hAnsi="宋体" w:cs="宋体"/>
          <w:b/>
          <w:bCs/>
          <w:color w:val="000000"/>
          <w:sz w:val="24"/>
          <w:szCs w:val="20"/>
        </w:rPr>
        <w:t>第四条 甲方的权利和义务</w:t>
      </w:r>
    </w:p>
    <w:p w14:paraId="319B293B">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color w:val="000000"/>
          <w:sz w:val="24"/>
          <w:szCs w:val="20"/>
        </w:rPr>
        <w:t>1、乙方招录员工须进行政审，</w:t>
      </w:r>
      <w:r>
        <w:rPr>
          <w:rFonts w:hint="eastAsia" w:ascii="宋体" w:hAnsi="宋体" w:cs="宋体"/>
          <w:color w:val="000000"/>
          <w:sz w:val="24"/>
          <w:szCs w:val="20"/>
          <w:lang w:eastAsia="zh-CN"/>
        </w:rPr>
        <w:t>心理健康筛查、</w:t>
      </w:r>
      <w:r>
        <w:rPr>
          <w:rFonts w:hint="eastAsia" w:ascii="宋体" w:hAnsi="宋体" w:cs="宋体"/>
          <w:color w:val="000000"/>
          <w:sz w:val="24"/>
          <w:szCs w:val="20"/>
        </w:rPr>
        <w:t>经培训合格并报甲方备案后</w:t>
      </w:r>
      <w:r>
        <w:rPr>
          <w:rFonts w:hint="eastAsia" w:ascii="宋体" w:hAnsi="宋体" w:cs="宋体"/>
          <w:sz w:val="24"/>
          <w:szCs w:val="20"/>
        </w:rPr>
        <w:t>上岗。甲方有权根据本单位服务工作实际需要，有权要求调整物业服务岗位，乙方应予执行。</w:t>
      </w:r>
    </w:p>
    <w:p w14:paraId="2933A73E">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2、对乙方管理服务情况实施监督检查，每月审议一次乙方物业管理工作。如乙方因管理不善，造成甲方重大经济损失或管理水平下降的，甲方有权终止合同。</w:t>
      </w:r>
    </w:p>
    <w:p w14:paraId="2A916227">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3、积极配合乙方依法和依照本合同规定开展管理活动。</w:t>
      </w:r>
    </w:p>
    <w:p w14:paraId="5D0A5DED">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4、法律法规规定的应由甲方承担的其他责任。</w:t>
      </w:r>
    </w:p>
    <w:p w14:paraId="480C8E65">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szCs w:val="20"/>
        </w:rPr>
      </w:pPr>
      <w:r>
        <w:rPr>
          <w:rFonts w:hint="eastAsia" w:ascii="宋体" w:hAnsi="宋体" w:cs="宋体"/>
          <w:b/>
          <w:bCs/>
          <w:sz w:val="24"/>
          <w:szCs w:val="20"/>
        </w:rPr>
        <w:t>第五条 乙方的权利和义务</w:t>
      </w:r>
    </w:p>
    <w:p w14:paraId="74FCB366">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1、依照有关法律、法规及本合同的规定，对本物业实行统一管理，综合服务，开展各项管理服务活动。每月一次向甲方报告本物业管理服务工作情况，并根据甲方的审议要求做好相应整改、完善工作。</w:t>
      </w:r>
    </w:p>
    <w:p w14:paraId="7826DBD3">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2、遵照有关法律、法规及物业管理有关规定，拟定本物业的管理规定、规章制度，实施方案和考核办法，提交甲方审议后执行。</w:t>
      </w:r>
    </w:p>
    <w:p w14:paraId="3B417444">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3、加强员工职业道德教育和业务培训，爱岗敬业，确保各项管理服务规范有序进行。</w:t>
      </w:r>
    </w:p>
    <w:p w14:paraId="1B89B724">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4、对本物业公共设施不得擅自占用和改变使用功能，如需改变用途，须报甲方批准。</w:t>
      </w:r>
    </w:p>
    <w:p w14:paraId="4A3E6BA6">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p>
    <w:p w14:paraId="68F92737">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6、不得将本物业的管理责任转让给第三方，不得与任何一家物业管理公司进行合作管理本物业。</w:t>
      </w:r>
    </w:p>
    <w:p w14:paraId="5FC84D20">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7、乙方应加强对员工的教育管理，员工如出现违规、违纪行为，造成纠纷、财产损失、人员伤亡的，乙方负全部责任。</w:t>
      </w:r>
    </w:p>
    <w:p w14:paraId="09C530B6">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8、协助处理非乙方原因产生的各种纠纷。</w:t>
      </w:r>
    </w:p>
    <w:p w14:paraId="33EE9EB1">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9、乙方必须按《中华人民共和国民法典》和政府有关部门规定按时足额发放物业公司员工的工资，并为全体物业服务人员交纳所有相关的社会保险及其他相关费用，并在投标文件中作出明确承诺。</w:t>
      </w:r>
    </w:p>
    <w:p w14:paraId="1B1589F8">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10、乙方所有服务人员上班时均统一着装并挂牌上岗。</w:t>
      </w:r>
    </w:p>
    <w:p w14:paraId="58C6B804">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1</w:t>
      </w:r>
      <w:r>
        <w:rPr>
          <w:rFonts w:hint="eastAsia" w:ascii="宋体" w:hAnsi="宋体" w:cs="宋体"/>
          <w:sz w:val="24"/>
          <w:szCs w:val="20"/>
          <w:lang w:val="en-US" w:eastAsia="zh-CN"/>
        </w:rPr>
        <w:t>1</w:t>
      </w:r>
      <w:r>
        <w:rPr>
          <w:rFonts w:hint="eastAsia" w:ascii="宋体" w:hAnsi="宋体" w:cs="宋体"/>
          <w:sz w:val="24"/>
          <w:szCs w:val="20"/>
        </w:rPr>
        <w:t>、法律法规规定的应由乙方承担的其他责任。</w:t>
      </w:r>
    </w:p>
    <w:p w14:paraId="6AB36B6E">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1</w:t>
      </w:r>
      <w:r>
        <w:rPr>
          <w:rFonts w:hint="eastAsia" w:ascii="宋体" w:hAnsi="宋体" w:cs="宋体"/>
          <w:sz w:val="24"/>
          <w:szCs w:val="20"/>
          <w:lang w:val="en-US" w:eastAsia="zh-CN"/>
        </w:rPr>
        <w:t>2</w:t>
      </w:r>
      <w:r>
        <w:rPr>
          <w:rFonts w:hint="eastAsia" w:ascii="宋体" w:hAnsi="宋体" w:cs="宋体"/>
          <w:sz w:val="24"/>
          <w:szCs w:val="20"/>
        </w:rPr>
        <w:t>、本合同终止后，乙方必须向甲方移交全部管理用房及物业管理的全部档案资料，甲方不负责乙方招聘人员的安排。</w:t>
      </w:r>
    </w:p>
    <w:p w14:paraId="5FB5D3D4">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szCs w:val="20"/>
        </w:rPr>
      </w:pPr>
      <w:r>
        <w:rPr>
          <w:rFonts w:hint="eastAsia" w:ascii="宋体" w:hAnsi="宋体" w:cs="宋体"/>
          <w:b/>
          <w:bCs/>
          <w:sz w:val="24"/>
          <w:szCs w:val="20"/>
        </w:rPr>
        <w:t>第六条 管理目标</w:t>
      </w:r>
    </w:p>
    <w:p w14:paraId="029474D3">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总体要求：乙方根据甲方的委托管理事项制定出本物业“管理分项标准”(各项管理服务的工作标准和考核办法),与甲方协商同意后作为本合同的必备附件。</w:t>
      </w:r>
    </w:p>
    <w:p w14:paraId="11DA5B00">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b/>
          <w:bCs/>
          <w:sz w:val="24"/>
          <w:szCs w:val="20"/>
        </w:rPr>
      </w:pPr>
      <w:r>
        <w:rPr>
          <w:rFonts w:hint="eastAsia"/>
          <w:b/>
          <w:bCs/>
          <w:sz w:val="24"/>
          <w:szCs w:val="20"/>
        </w:rPr>
        <w:t>第七条 履约保证金、管理服务费用</w:t>
      </w:r>
    </w:p>
    <w:p w14:paraId="027CE41B">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1.乙方交纳人民币_________元作为本合同的履约保证金。</w:t>
      </w:r>
    </w:p>
    <w:p w14:paraId="355A56ED">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b w:val="0"/>
          <w:bCs w:val="0"/>
          <w:sz w:val="24"/>
          <w:szCs w:val="20"/>
        </w:rPr>
      </w:pPr>
      <w:r>
        <w:rPr>
          <w:rFonts w:hint="eastAsia" w:ascii="宋体" w:hAnsi="宋体" w:cs="宋体"/>
          <w:sz w:val="24"/>
          <w:szCs w:val="20"/>
        </w:rPr>
        <w:t>（备注：履约保证金金额为合同金额的10%，乙方如为AA评级及以上政府采购供应商（需提供信用管理部门备案的第三方信用报告），</w:t>
      </w:r>
      <w:r>
        <w:rPr>
          <w:rFonts w:hint="eastAsia" w:ascii="宋体" w:hAnsi="宋体" w:cs="宋体"/>
          <w:b w:val="0"/>
          <w:bCs w:val="0"/>
          <w:sz w:val="24"/>
          <w:szCs w:val="20"/>
        </w:rPr>
        <w:t>履约保证金缴纳金额为合同金额的5%。）</w:t>
      </w:r>
    </w:p>
    <w:p w14:paraId="12E71808">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2.确需收取履约保证金的，履约保证金的缴纳形式：</w:t>
      </w:r>
    </w:p>
    <w:p w14:paraId="45340597">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3F94C63">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2.2 如以履约保函（保险）形式缴纳履约保证金，供应商可通过政府采购电子履约保函（保险）平台（www.jsdzbh.com）在线申请履约保函（保险）。</w:t>
      </w:r>
    </w:p>
    <w:p w14:paraId="078EC1B2">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2.3合同履行结束后，甲方应在30日内无息退还乙方交纳的履约保证金。验收标准以甲方书面确认为准，若存在质量争议，保证金退还期限自动顺延至争议解决之日。</w:t>
      </w:r>
    </w:p>
    <w:p w14:paraId="3A938ACD">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2.4履约保证金的退还：</w:t>
      </w:r>
    </w:p>
    <w:p w14:paraId="04297A06">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2.4.1方式：无息退还至乙方缴纳履约保证金的账户。如为保函，在到期时自行失效。</w:t>
      </w:r>
    </w:p>
    <w:p w14:paraId="66D68FD9">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2.4.2时间：如为支票、汇票、本票，在服务期满后30日内退还。</w:t>
      </w:r>
    </w:p>
    <w:p w14:paraId="410C98EB">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2.4.3条件：按合同要求全部履约完成并经甲方验收合格。</w:t>
      </w:r>
    </w:p>
    <w:p w14:paraId="3BE10062">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2.4.4不予退还情形：</w:t>
      </w:r>
    </w:p>
    <w:p w14:paraId="6796B0A0">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除不可抗力情况外，乙方出现下列情形之一的，其履约保证金，甲方将视情节决定不予退还或部分不予退还。</w:t>
      </w:r>
    </w:p>
    <w:p w14:paraId="31332406">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（1）乙方无正当理由拒绝签订合同的，或者在签订合同时向甲方提出附加条件或者更改合同实质性内容要求的；</w:t>
      </w:r>
    </w:p>
    <w:p w14:paraId="27084373">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（2）乙方不履行与甲方订立的合同的；</w:t>
      </w:r>
    </w:p>
    <w:p w14:paraId="46EBF13F">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（3）乙方所供服务不符合招标文件规定要求的；</w:t>
      </w:r>
    </w:p>
    <w:p w14:paraId="32FB54C3">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（4）乙方采取欺骗、弄虚作假方式投标的或与其它投标人串通投标的；</w:t>
      </w:r>
    </w:p>
    <w:p w14:paraId="1B709E80">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（5）乙方将合同内容转包、违法分包的；</w:t>
      </w:r>
    </w:p>
    <w:p w14:paraId="6F01EE7F">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（6）乙方故意捏造事实或伪造证明材料，进行虚假恶意投诉或反映的。</w:t>
      </w:r>
    </w:p>
    <w:p w14:paraId="2610E857">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2.4.5逾期退还的违约责任：甲方逾期无故未退还履约保证金的，按中国人民银行同期贷款基准利率上浮20%后的利率支付超期资金占用费，但因供应商自身原因导致无法及时退还的除外。</w:t>
      </w:r>
    </w:p>
    <w:p w14:paraId="22B49163">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3.本合同履约期间的物业服务费为人民币(大写):</w:t>
      </w:r>
      <w:r>
        <w:rPr>
          <w:rFonts w:hint="eastAsia" w:ascii="宋体" w:hAnsi="宋体" w:cs="宋体"/>
          <w:sz w:val="24"/>
          <w:szCs w:val="20"/>
          <w:u w:val="single"/>
        </w:rPr>
        <w:t xml:space="preserve">          </w:t>
      </w:r>
      <w:r>
        <w:rPr>
          <w:rFonts w:hint="eastAsia" w:ascii="宋体" w:hAnsi="宋体" w:cs="宋体"/>
          <w:sz w:val="24"/>
          <w:szCs w:val="20"/>
        </w:rPr>
        <w:t xml:space="preserve"> ，小写：¥ </w:t>
      </w:r>
      <w:r>
        <w:rPr>
          <w:rFonts w:hint="eastAsia" w:ascii="宋体" w:hAnsi="宋体" w:cs="宋体"/>
          <w:sz w:val="24"/>
          <w:szCs w:val="20"/>
          <w:u w:val="single"/>
        </w:rPr>
        <w:t xml:space="preserve">     </w:t>
      </w:r>
      <w:r>
        <w:rPr>
          <w:rFonts w:hint="eastAsia" w:ascii="宋体" w:hAnsi="宋体" w:cs="宋体"/>
          <w:sz w:val="24"/>
          <w:szCs w:val="20"/>
          <w:u w:val="single"/>
          <w:lang w:val="en-US" w:eastAsia="zh-CN"/>
        </w:rPr>
        <w:t xml:space="preserve">     </w:t>
      </w:r>
      <w:r>
        <w:rPr>
          <w:rFonts w:hint="eastAsia" w:ascii="宋体" w:hAnsi="宋体" w:cs="宋体"/>
          <w:sz w:val="24"/>
          <w:szCs w:val="20"/>
          <w:u w:val="single"/>
        </w:rPr>
        <w:t xml:space="preserve">    </w:t>
      </w:r>
      <w:r>
        <w:rPr>
          <w:rFonts w:hint="eastAsia" w:ascii="宋体" w:hAnsi="宋体" w:cs="宋体"/>
          <w:sz w:val="24"/>
          <w:szCs w:val="20"/>
        </w:rPr>
        <w:t>元。</w:t>
      </w:r>
    </w:p>
    <w:p w14:paraId="5B167D5A">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b w:val="0"/>
          <w:bCs w:val="0"/>
          <w:sz w:val="24"/>
          <w:szCs w:val="20"/>
        </w:rPr>
      </w:pPr>
      <w:r>
        <w:rPr>
          <w:rFonts w:hint="eastAsia" w:ascii="宋体" w:hAnsi="宋体" w:cs="宋体"/>
          <w:b w:val="0"/>
          <w:bCs w:val="0"/>
          <w:sz w:val="24"/>
          <w:szCs w:val="20"/>
        </w:rPr>
        <w:t>4.支付方式：</w:t>
      </w:r>
    </w:p>
    <w:p w14:paraId="60D7F077">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lang w:val="zh-CN"/>
        </w:rPr>
      </w:pPr>
      <w:r>
        <w:rPr>
          <w:rFonts w:hint="eastAsia" w:ascii="宋体" w:hAnsi="宋体" w:cs="宋体"/>
          <w:sz w:val="24"/>
          <w:szCs w:val="20"/>
        </w:rPr>
        <w:t>4.1预付款支付时间：合同签订后，甲方收到发票后10个工作日，</w:t>
      </w:r>
      <w:r>
        <w:rPr>
          <w:rFonts w:hint="eastAsia" w:ascii="宋体" w:hAnsi="宋体" w:cs="宋体"/>
          <w:sz w:val="24"/>
          <w:szCs w:val="20"/>
          <w:lang w:val="zh-CN"/>
        </w:rPr>
        <w:t>预付款支付比例：合同金额的30%。（乙方需提供等额税票。在签订合同时，乙方明确表示无需预付款的，可不执行）。</w:t>
      </w:r>
    </w:p>
    <w:p w14:paraId="50C3BC8F">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color w:val="000000"/>
          <w:sz w:val="24"/>
          <w:szCs w:val="20"/>
          <w:highlight w:val="white"/>
        </w:rPr>
      </w:pPr>
      <w:r>
        <w:rPr>
          <w:rFonts w:hint="eastAsia" w:ascii="宋体" w:hAnsi="宋体" w:cs="宋体"/>
          <w:sz w:val="24"/>
          <w:szCs w:val="20"/>
        </w:rPr>
        <w:t>4.2试用期（3个月）期满，考核合格后</w:t>
      </w:r>
      <w:r>
        <w:rPr>
          <w:rFonts w:hint="eastAsia" w:ascii="宋体" w:hAnsi="宋体" w:cs="宋体"/>
          <w:sz w:val="24"/>
          <w:szCs w:val="20"/>
          <w:lang w:val="en-US" w:eastAsia="zh-CN"/>
        </w:rPr>
        <w:t>,</w:t>
      </w:r>
      <w:r>
        <w:rPr>
          <w:rFonts w:hint="eastAsia" w:ascii="宋体" w:hAnsi="宋体" w:cs="宋体"/>
          <w:sz w:val="24"/>
          <w:szCs w:val="20"/>
        </w:rPr>
        <w:t>付试用期期间的管理费用。如果未能按合同、招标投标文件履约的，试用期结束后，并不支付试用期间的物业服务费用。试用期满后，</w:t>
      </w:r>
      <w:r>
        <w:rPr>
          <w:rFonts w:hint="eastAsia" w:ascii="宋体" w:hAnsi="宋体" w:cs="宋体"/>
          <w:sz w:val="24"/>
          <w:szCs w:val="20"/>
          <w:highlight w:val="white"/>
        </w:rPr>
        <w:t>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hint="eastAsia" w:ascii="宋体" w:hAnsi="宋体" w:cs="宋体"/>
          <w:sz w:val="24"/>
          <w:szCs w:val="20"/>
          <w:highlight w:val="white"/>
          <w:lang w:eastAsia="zh-CN"/>
        </w:rPr>
        <w:t>，</w:t>
      </w:r>
      <w:r>
        <w:rPr>
          <w:rFonts w:hint="eastAsia" w:ascii="宋体" w:hAnsi="宋体" w:cs="宋体"/>
          <w:sz w:val="24"/>
          <w:szCs w:val="20"/>
          <w:highlight w:val="white"/>
          <w:lang w:val="en-US" w:eastAsia="zh-CN"/>
        </w:rPr>
        <w:t>其中</w:t>
      </w:r>
      <w:r>
        <w:rPr>
          <w:rFonts w:hint="eastAsia" w:ascii="宋体" w:hAnsi="宋体" w:cs="宋体"/>
          <w:color w:val="000000"/>
          <w:sz w:val="24"/>
          <w:szCs w:val="20"/>
          <w:highlight w:val="white"/>
          <w:lang w:val="en-US" w:eastAsia="zh-CN"/>
        </w:rPr>
        <w:t>税金按实结算</w:t>
      </w:r>
      <w:r>
        <w:rPr>
          <w:rFonts w:hint="eastAsia" w:ascii="宋体" w:hAnsi="宋体" w:cs="宋体"/>
          <w:color w:val="000000"/>
          <w:sz w:val="24"/>
          <w:szCs w:val="20"/>
          <w:highlight w:val="white"/>
        </w:rPr>
        <w:t>。</w:t>
      </w:r>
    </w:p>
    <w:p w14:paraId="2F6DCE2B">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color w:val="000000"/>
          <w:sz w:val="24"/>
          <w:szCs w:val="20"/>
        </w:rPr>
      </w:pPr>
      <w:r>
        <w:rPr>
          <w:rFonts w:hint="eastAsia" w:ascii="宋体" w:hAnsi="宋体" w:cs="宋体"/>
          <w:color w:val="000000"/>
          <w:sz w:val="24"/>
          <w:szCs w:val="20"/>
        </w:rPr>
        <w:t>5.本物业的管理服务费至少应包括但不限于：</w:t>
      </w:r>
    </w:p>
    <w:p w14:paraId="7F0707E0">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highlight w:val="none"/>
          <w:lang w:val="en-US" w:eastAsia="zh-CN"/>
        </w:rPr>
      </w:pPr>
      <w:r>
        <w:rPr>
          <w:rFonts w:hint="eastAsia" w:ascii="宋体" w:hAnsi="宋体" w:cs="宋体"/>
          <w:color w:val="000000"/>
          <w:sz w:val="24"/>
          <w:szCs w:val="20"/>
          <w:highlight w:val="none"/>
        </w:rPr>
        <w:t>5.1</w:t>
      </w:r>
      <w:r>
        <w:rPr>
          <w:rFonts w:hint="eastAsia" w:ascii="宋体" w:hAnsi="宋体" w:eastAsia="宋体" w:cs="宋体"/>
          <w:color w:val="000000"/>
          <w:sz w:val="24"/>
          <w:highlight w:val="none"/>
          <w:lang w:val="zh-CN"/>
        </w:rPr>
        <w:t>保洁员每人</w:t>
      </w:r>
      <w:r>
        <w:rPr>
          <w:rFonts w:hint="eastAsia" w:ascii="宋体" w:hAnsi="宋体" w:eastAsia="宋体" w:cs="宋体"/>
          <w:color w:val="000000"/>
          <w:sz w:val="24"/>
          <w:highlight w:val="none"/>
          <w:lang w:val="en-US" w:eastAsia="zh-CN"/>
        </w:rPr>
        <w:t>工资不得低于</w:t>
      </w:r>
      <w:r>
        <w:rPr>
          <w:rFonts w:hint="eastAsia" w:ascii="宋体" w:hAnsi="宋体" w:eastAsia="宋体" w:cs="宋体"/>
          <w:color w:val="000000"/>
          <w:sz w:val="24"/>
          <w:highlight w:val="none"/>
          <w:lang w:val="zh-CN"/>
        </w:rPr>
        <w:t>2430元/月，福利</w:t>
      </w:r>
      <w:r>
        <w:rPr>
          <w:rFonts w:hint="eastAsia" w:ascii="宋体" w:hAnsi="宋体" w:eastAsia="宋体" w:cs="宋体"/>
          <w:color w:val="000000"/>
          <w:sz w:val="24"/>
          <w:highlight w:val="none"/>
          <w:lang w:val="en-US" w:eastAsia="zh-CN"/>
        </w:rPr>
        <w:t>费每人</w:t>
      </w:r>
      <w:r>
        <w:rPr>
          <w:rFonts w:hint="eastAsia" w:ascii="宋体" w:hAnsi="宋体" w:eastAsia="宋体" w:cs="宋体"/>
          <w:color w:val="000000"/>
          <w:sz w:val="24"/>
          <w:highlight w:val="none"/>
          <w:lang w:val="zh-CN"/>
        </w:rPr>
        <w:t>1000元/年，以上人员外</w:t>
      </w:r>
      <w:r>
        <w:rPr>
          <w:rFonts w:hint="eastAsia" w:ascii="宋体" w:hAnsi="宋体" w:eastAsia="宋体" w:cs="宋体"/>
          <w:color w:val="000000"/>
          <w:sz w:val="24"/>
          <w:highlight w:val="none"/>
          <w:lang w:val="en-US" w:eastAsia="zh-CN"/>
        </w:rPr>
        <w:t>加</w:t>
      </w:r>
      <w:r>
        <w:rPr>
          <w:rFonts w:hint="eastAsia" w:ascii="宋体" w:hAnsi="宋体" w:eastAsia="宋体" w:cs="宋体"/>
          <w:color w:val="000000"/>
          <w:sz w:val="24"/>
          <w:highlight w:val="none"/>
          <w:lang w:val="zh-CN"/>
        </w:rPr>
        <w:t>社保、公积金等。</w:t>
      </w:r>
    </w:p>
    <w:p w14:paraId="4D46BA0B">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夜间值班巡逻人员由学校安保服务单位派遣的保安兼任，每人每月固定发放1500元工资补贴，不交社保、公积金等，福利和服装费每人2000元/年，工资补贴及福利服装费由本项目物业中标单位承担。工资补贴及福利服装费一并计税，税费由物业中标单位承担。</w:t>
      </w:r>
    </w:p>
    <w:p w14:paraId="0E9F14F0">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val="0"/>
          <w:bCs w:val="0"/>
          <w:color w:val="000000"/>
          <w:sz w:val="24"/>
          <w:highlight w:val="none"/>
          <w:lang w:val="en-US" w:eastAsia="zh-CN"/>
        </w:rPr>
      </w:pPr>
      <w:r>
        <w:rPr>
          <w:rFonts w:hint="eastAsia" w:ascii="宋体" w:hAnsi="宋体" w:eastAsia="宋体" w:cs="宋体"/>
          <w:color w:val="000000"/>
          <w:sz w:val="24"/>
          <w:highlight w:val="none"/>
          <w:lang w:val="en-US" w:eastAsia="zh-CN"/>
        </w:rPr>
        <w:t>中标的物业单位必须为本园提供水电服</w:t>
      </w:r>
      <w:r>
        <w:rPr>
          <w:rFonts w:hint="eastAsia" w:ascii="宋体" w:hAnsi="宋体" w:eastAsia="宋体" w:cs="宋体"/>
          <w:b w:val="0"/>
          <w:bCs w:val="0"/>
          <w:color w:val="000000"/>
          <w:sz w:val="24"/>
          <w:highlight w:val="none"/>
          <w:lang w:val="en-US" w:eastAsia="zh-CN"/>
        </w:rPr>
        <w:t>务，</w:t>
      </w:r>
      <w:r>
        <w:rPr>
          <w:rFonts w:hint="eastAsia" w:ascii="宋体" w:hAnsi="宋体" w:eastAsia="宋体" w:cs="宋体"/>
          <w:b w:val="0"/>
          <w:bCs w:val="0"/>
          <w:color w:val="000000"/>
          <w:sz w:val="24"/>
          <w:szCs w:val="20"/>
          <w:lang w:eastAsia="zh-CN"/>
        </w:rPr>
        <w:t>水</w:t>
      </w:r>
      <w:r>
        <w:rPr>
          <w:rFonts w:hint="eastAsia" w:ascii="宋体" w:hAnsi="宋体" w:eastAsia="宋体" w:cs="宋体"/>
          <w:b w:val="0"/>
          <w:bCs w:val="0"/>
          <w:color w:val="000000"/>
          <w:sz w:val="24"/>
          <w:szCs w:val="20"/>
        </w:rPr>
        <w:t>电工</w:t>
      </w:r>
      <w:r>
        <w:rPr>
          <w:rFonts w:hint="eastAsia" w:ascii="宋体" w:hAnsi="宋体" w:cs="宋体"/>
          <w:b w:val="0"/>
          <w:bCs w:val="0"/>
          <w:color w:val="000000"/>
          <w:sz w:val="24"/>
          <w:szCs w:val="20"/>
          <w:lang w:val="en-US" w:eastAsia="zh-CN"/>
        </w:rPr>
        <w:t>（1人）为兼职，按照核定工作量系数计算费用（核定费用=51394.89元*工作量系数0.35），即不低于17988.21元/年，此费用包含但不限于：人员工资、社保、公积金、福利等。</w:t>
      </w:r>
    </w:p>
    <w:p w14:paraId="0E88DE5C">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有</w:t>
      </w:r>
      <w:r>
        <w:rPr>
          <w:rFonts w:hint="eastAsia" w:ascii="宋体" w:hAnsi="宋体" w:eastAsia="宋体" w:cs="宋体"/>
          <w:color w:val="000000"/>
          <w:sz w:val="24"/>
          <w:highlight w:val="none"/>
          <w:lang w:val="zh-CN"/>
        </w:rPr>
        <w:t>缴纳社保费用、住房公积金的凭证，社保（企业部分）不得低于1292.47元/人/每月，住房公积金不得低于114元/人/每月，法定节假日加班不得低于</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lang w:val="zh-CN"/>
        </w:rPr>
        <w:t>人次，加班费不得低于4357.25元/人/每年，税金费率不得低于6.72%。</w:t>
      </w:r>
    </w:p>
    <w:p w14:paraId="0B0F8040">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5.2</w:t>
      </w:r>
      <w:r>
        <w:rPr>
          <w:rFonts w:hint="eastAsia" w:ascii="宋体" w:hAnsi="宋体" w:eastAsia="宋体" w:cs="宋体"/>
          <w:color w:val="000000"/>
          <w:sz w:val="24"/>
          <w:highlight w:val="none"/>
          <w:lang w:val="zh-CN"/>
        </w:rPr>
        <w:t>为完成招标文件规定的物业服务工作所涉及的一切相关费用。</w:t>
      </w:r>
    </w:p>
    <w:p w14:paraId="415D817F">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szCs w:val="20"/>
        </w:rPr>
      </w:pPr>
      <w:r>
        <w:rPr>
          <w:rFonts w:hint="eastAsia" w:ascii="宋体" w:hAnsi="宋体" w:cs="宋体"/>
          <w:b/>
          <w:bCs/>
          <w:sz w:val="24"/>
          <w:szCs w:val="20"/>
        </w:rPr>
        <w:t>注：1.物业服务合同期限内，如遇招标人重大活动，物业服务单位提供增值服务，可通过提请甲方“一事一议”方式予以费用支出。</w:t>
      </w:r>
    </w:p>
    <w:p w14:paraId="297A7DF6">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szCs w:val="20"/>
        </w:rPr>
      </w:pPr>
      <w:r>
        <w:rPr>
          <w:rFonts w:hint="eastAsia" w:ascii="宋体" w:hAnsi="宋体" w:cs="宋体"/>
          <w:b/>
          <w:bCs/>
          <w:sz w:val="24"/>
          <w:szCs w:val="20"/>
        </w:rPr>
        <w:t>2. 乙方承诺固定总价已包含所有可能因政策变动、市场波动等因素导致的成本增加风险，包括但不限于最低工资标准调整、社保基数上调、原材料价格上涨等情形。</w:t>
      </w:r>
    </w:p>
    <w:p w14:paraId="004596D8">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szCs w:val="20"/>
        </w:rPr>
      </w:pPr>
      <w:r>
        <w:rPr>
          <w:rFonts w:hint="eastAsia" w:ascii="宋体" w:hAnsi="宋体" w:cs="宋体"/>
          <w:b/>
          <w:bCs/>
          <w:sz w:val="24"/>
          <w:szCs w:val="20"/>
        </w:rPr>
        <w:t>第八条 合同的构成</w:t>
      </w:r>
    </w:p>
    <w:p w14:paraId="124B9837">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1、本合同书；</w:t>
      </w:r>
    </w:p>
    <w:p w14:paraId="220B1A45">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2、本招标文件；</w:t>
      </w:r>
    </w:p>
    <w:p w14:paraId="75A305C0">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3、中标人投标文件；</w:t>
      </w:r>
    </w:p>
    <w:p w14:paraId="5C371F69">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4、</w:t>
      </w:r>
      <w:r>
        <w:rPr>
          <w:rFonts w:hint="eastAsia" w:ascii="宋体" w:hAnsi="宋体" w:cs="宋体"/>
          <w:sz w:val="24"/>
          <w:szCs w:val="20"/>
          <w:lang w:eastAsia="zh-CN"/>
        </w:rPr>
        <w:t>盐城市妇联实验幼儿园</w:t>
      </w:r>
      <w:r>
        <w:rPr>
          <w:rFonts w:hint="eastAsia" w:ascii="宋体" w:hAnsi="宋体" w:cs="宋体"/>
          <w:sz w:val="24"/>
          <w:szCs w:val="20"/>
        </w:rPr>
        <w:t>物业考核办法；</w:t>
      </w:r>
    </w:p>
    <w:p w14:paraId="1D8EF386">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5、国家相关法律法规。</w:t>
      </w:r>
    </w:p>
    <w:p w14:paraId="0E3433D8">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szCs w:val="20"/>
        </w:rPr>
      </w:pPr>
      <w:r>
        <w:rPr>
          <w:rFonts w:hint="eastAsia" w:ascii="宋体" w:hAnsi="宋体" w:cs="宋体"/>
          <w:b/>
          <w:bCs/>
          <w:sz w:val="24"/>
          <w:szCs w:val="20"/>
        </w:rPr>
        <w:t>第九条 物业服务主要要求</w:t>
      </w:r>
    </w:p>
    <w:p w14:paraId="1A8B386E">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1、物业服务主要要求详见采购需求。</w:t>
      </w:r>
    </w:p>
    <w:p w14:paraId="0DD74466">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2、物业服务合同终止时，乙方应当将物业管理用房和所有物管资料、档案完整地移交给业主。</w:t>
      </w:r>
    </w:p>
    <w:p w14:paraId="025E36B3">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3、物业服务合同终止时，业主选聘了新的物业管理企业的，物业管理企业之间应当做好交接工作。</w:t>
      </w:r>
    </w:p>
    <w:p w14:paraId="5B7D1B6F">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4、乙方可以将物业管理区域内的专项服务业务委托给专业性服务企业，但不得将该区域内的全部物业管理一并委托给他人。</w:t>
      </w:r>
    </w:p>
    <w:p w14:paraId="115AFE34">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5、未尽事宜，按国家和地方最新《物业管理条例》执行，有冲突处，按高标准执行。</w:t>
      </w:r>
    </w:p>
    <w:p w14:paraId="61DD88F1">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szCs w:val="20"/>
        </w:rPr>
      </w:pPr>
      <w:r>
        <w:rPr>
          <w:rFonts w:hint="eastAsia" w:ascii="宋体" w:hAnsi="宋体" w:cs="宋体"/>
          <w:b/>
          <w:bCs/>
          <w:sz w:val="24"/>
          <w:szCs w:val="20"/>
        </w:rPr>
        <w:t>第十条 违约责任</w:t>
      </w:r>
    </w:p>
    <w:p w14:paraId="26832E79">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1、如因乙方原因，造成不能完成管理目标或直接造成甲方经济损失的，乙方应给予甲方相应赔偿。甲方有权要求乙方限期整改，在整改后仍不能完成管理目标的，甲方有权终止合同。</w:t>
      </w:r>
    </w:p>
    <w:p w14:paraId="1D77B12D">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2、甲、乙双方如有采取不正当竞争手段而取得管理权或致使对方失去管理权，或造成对方经济损失的，应当承担全部责任。</w:t>
      </w:r>
    </w:p>
    <w:p w14:paraId="55CE3C8B">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3、乙方违反收费标准，甲方有权终止合同，并要求乙方退还多出的收费金额，并按多收费用的双倍支付甲方违约金。</w:t>
      </w:r>
    </w:p>
    <w:p w14:paraId="5AFE2339">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4、投标项目经理原则上中标后不得更换，如确需更换须提前一个月书面申请报甲方审核并经同意，更换后的项目经理年龄、资历、业绩等不得低于原项目经理。</w:t>
      </w:r>
    </w:p>
    <w:p w14:paraId="568F342C">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5、如甲方发现乙方存在挂靠、转包、分包行为，甲方可立即单方终止合同，并扣除履约保证金。</w:t>
      </w:r>
    </w:p>
    <w:p w14:paraId="64270750">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6、本合同期满或解除（终止）之日内，乙方须向甲方移交所有的资料，台账等，否则应向甲方支付违约金为全年物业费的5%。</w:t>
      </w:r>
    </w:p>
    <w:p w14:paraId="1DB4FB4E">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szCs w:val="20"/>
        </w:rPr>
      </w:pPr>
      <w:r>
        <w:rPr>
          <w:rFonts w:hint="eastAsia" w:ascii="宋体" w:hAnsi="宋体" w:cs="宋体"/>
          <w:b/>
          <w:bCs/>
          <w:sz w:val="24"/>
          <w:szCs w:val="20"/>
        </w:rPr>
        <w:t>第十一条 其他事项</w:t>
      </w:r>
    </w:p>
    <w:p w14:paraId="051F1310">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1、甲方将每个季度对乙方进行考核统计，考核的依据为“物业管理项目规范服务考核评分细则”。</w:t>
      </w:r>
    </w:p>
    <w:p w14:paraId="31F1D402">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2、如因乙方管理不善导致甲方解除合同，则乙方将被列入黑名单。</w:t>
      </w:r>
    </w:p>
    <w:p w14:paraId="52A51463">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3、双方可对本合同的条款进行修订更改或补充，以书面签订补充协议，补充协议与本合同具有同等效力。</w:t>
      </w:r>
    </w:p>
    <w:p w14:paraId="60EAFB49">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0"/>
        </w:rPr>
      </w:pPr>
      <w:r>
        <w:rPr>
          <w:rFonts w:hint="eastAsia" w:ascii="宋体" w:hAnsi="宋体" w:cs="宋体"/>
          <w:sz w:val="24"/>
          <w:szCs w:val="20"/>
        </w:rPr>
        <w:t>4、合同规定的管理期满，本合同自然</w:t>
      </w:r>
      <w:r>
        <w:rPr>
          <w:rFonts w:hint="eastAsia" w:ascii="宋体" w:hAnsi="宋体" w:eastAsia="宋体" w:cs="宋体"/>
          <w:sz w:val="24"/>
          <w:szCs w:val="20"/>
        </w:rPr>
        <w:t>终止。</w:t>
      </w:r>
    </w:p>
    <w:p w14:paraId="69628A83">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5、本合同执行期间，如遇不可抗力，致使合同无法履行时，双方均不承担违约责任并按有关法规政策规定及时协商处理。</w:t>
      </w:r>
    </w:p>
    <w:p w14:paraId="1DF6BE8B">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6、本合同在履行中如发生争议，双方应协商解决，协商不成时，提请物业管理主管部门调解，调解不成的，提交</w:t>
      </w:r>
      <w:r>
        <w:rPr>
          <w:rFonts w:hint="eastAsia" w:ascii="宋体" w:hAnsi="宋体" w:cs="宋体"/>
          <w:sz w:val="24"/>
          <w:szCs w:val="20"/>
          <w:lang w:eastAsia="zh-CN"/>
        </w:rPr>
        <w:t>亭湖</w:t>
      </w:r>
      <w:r>
        <w:rPr>
          <w:rFonts w:hint="eastAsia" w:ascii="宋体" w:hAnsi="宋体" w:cs="宋体"/>
          <w:sz w:val="24"/>
          <w:szCs w:val="20"/>
        </w:rPr>
        <w:t>区人民法院管辖。</w:t>
      </w:r>
    </w:p>
    <w:p w14:paraId="449EE7D0">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7、本合同之附件均为合同有效组成部分；本合同及其附件内，空格部分填写的文字与印刷文字具有同等效力。本合同及其附件和补充协议中未规定的事项，均遵照中华人民共和国有关法律法规和政策执行。</w:t>
      </w:r>
    </w:p>
    <w:p w14:paraId="3E467561">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8、双方约定合同份数：壹式</w:t>
      </w:r>
      <w:r>
        <w:rPr>
          <w:rFonts w:hint="eastAsia" w:ascii="宋体" w:hAnsi="宋体" w:cs="宋体"/>
          <w:sz w:val="24"/>
          <w:szCs w:val="20"/>
          <w:u w:val="single"/>
        </w:rPr>
        <w:t xml:space="preserve"> 肆</w:t>
      </w:r>
      <w:r>
        <w:rPr>
          <w:rFonts w:hint="eastAsia" w:ascii="宋体" w:hAnsi="宋体" w:cs="宋体"/>
          <w:sz w:val="24"/>
          <w:szCs w:val="20"/>
        </w:rPr>
        <w:t xml:space="preserve"> 份，甲方 </w:t>
      </w:r>
      <w:r>
        <w:rPr>
          <w:rFonts w:hint="eastAsia" w:ascii="宋体" w:hAnsi="宋体" w:cs="宋体"/>
          <w:sz w:val="24"/>
          <w:szCs w:val="20"/>
          <w:u w:val="single"/>
        </w:rPr>
        <w:t xml:space="preserve">贰 </w:t>
      </w:r>
      <w:r>
        <w:rPr>
          <w:rFonts w:hint="eastAsia" w:ascii="宋体" w:hAnsi="宋体" w:cs="宋体"/>
          <w:sz w:val="24"/>
          <w:szCs w:val="20"/>
        </w:rPr>
        <w:t>份，乙方</w:t>
      </w:r>
      <w:r>
        <w:rPr>
          <w:rFonts w:hint="eastAsia" w:ascii="宋体" w:hAnsi="宋体" w:cs="宋体"/>
          <w:sz w:val="24"/>
          <w:szCs w:val="20"/>
          <w:u w:val="single"/>
        </w:rPr>
        <w:t xml:space="preserve"> 贰 </w:t>
      </w:r>
      <w:r>
        <w:rPr>
          <w:rFonts w:hint="eastAsia" w:ascii="宋体" w:hAnsi="宋体" w:cs="宋体"/>
          <w:sz w:val="24"/>
          <w:szCs w:val="20"/>
        </w:rPr>
        <w:t>份。</w:t>
      </w:r>
    </w:p>
    <w:p w14:paraId="7FA3FA2C">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9、本合同自双方签订之日起生效。</w:t>
      </w:r>
    </w:p>
    <w:p w14:paraId="742F0BE5">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p>
    <w:p w14:paraId="02E35766">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r>
        <w:rPr>
          <w:rFonts w:hint="eastAsia" w:ascii="宋体" w:hAnsi="宋体" w:cs="宋体"/>
          <w:sz w:val="24"/>
          <w:szCs w:val="20"/>
        </w:rPr>
        <w:t>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p>
    <w:p w14:paraId="643355B7">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sz w:val="24"/>
          <w:szCs w:val="20"/>
        </w:rPr>
      </w:pPr>
    </w:p>
    <w:p w14:paraId="636F88F9">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sz w:val="24"/>
          <w:szCs w:val="20"/>
        </w:rPr>
      </w:pPr>
      <w:r>
        <w:rPr>
          <w:rFonts w:hint="eastAsia"/>
          <w:sz w:val="24"/>
          <w:szCs w:val="20"/>
        </w:rPr>
        <w:t>甲方（盖章）：                 乙方（盖章）：</w:t>
      </w:r>
    </w:p>
    <w:p w14:paraId="720378ED">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sz w:val="24"/>
          <w:szCs w:val="20"/>
        </w:rPr>
      </w:pPr>
      <w:r>
        <w:rPr>
          <w:rFonts w:hint="eastAsia"/>
          <w:sz w:val="24"/>
          <w:szCs w:val="20"/>
        </w:rPr>
        <w:t>法定代表人                     法定代表人</w:t>
      </w:r>
    </w:p>
    <w:p w14:paraId="20691865">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sz w:val="24"/>
          <w:szCs w:val="20"/>
        </w:rPr>
      </w:pPr>
      <w:r>
        <w:rPr>
          <w:rFonts w:hint="eastAsia"/>
          <w:sz w:val="24"/>
          <w:szCs w:val="20"/>
        </w:rPr>
        <w:t>或授权委托人（签字）：         或授权委托人（签字）：</w:t>
      </w:r>
    </w:p>
    <w:p w14:paraId="1A65474E">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sz w:val="24"/>
          <w:szCs w:val="20"/>
        </w:rPr>
      </w:pPr>
    </w:p>
    <w:p w14:paraId="36D35724">
      <w:pPr>
        <w:keepNext w:val="0"/>
        <w:keepLines w:val="0"/>
        <w:pageBreakBefore w:val="0"/>
        <w:widowControl/>
        <w:kinsoku/>
        <w:wordWrap/>
        <w:overflowPunct/>
        <w:topLinePunct w:val="0"/>
        <w:autoSpaceDE/>
        <w:autoSpaceDN/>
        <w:bidi w:val="0"/>
        <w:adjustRightInd/>
        <w:snapToGrid/>
        <w:spacing w:line="440" w:lineRule="exact"/>
        <w:ind w:firstLine="480" w:firstLineChars="200"/>
        <w:jc w:val="right"/>
        <w:textAlignment w:val="auto"/>
        <w:rPr>
          <w:sz w:val="24"/>
          <w:szCs w:val="20"/>
        </w:rPr>
      </w:pPr>
      <w:r>
        <w:rPr>
          <w:rFonts w:hint="eastAsia"/>
          <w:sz w:val="24"/>
          <w:szCs w:val="20"/>
        </w:rPr>
        <w:t>时间：  年  月  日</w:t>
      </w:r>
    </w:p>
    <w:p w14:paraId="48D4C4BF">
      <w:pPr>
        <w:widowControl/>
        <w:spacing w:line="560" w:lineRule="exact"/>
        <w:ind w:firstLine="480"/>
        <w:rPr>
          <w:sz w:val="24"/>
          <w:szCs w:val="20"/>
        </w:rPr>
      </w:pPr>
      <w:r>
        <w:rPr>
          <w:rFonts w:hint="eastAsia"/>
          <w:sz w:val="24"/>
          <w:szCs w:val="20"/>
        </w:rPr>
        <w:br w:type="page" w:clear="all"/>
      </w:r>
    </w:p>
    <w:p w14:paraId="3C67442A">
      <w:pPr>
        <w:keepNext w:val="0"/>
        <w:keepLines w:val="0"/>
        <w:pageBreakBefore w:val="0"/>
        <w:widowControl/>
        <w:kinsoku/>
        <w:wordWrap/>
        <w:overflowPunct/>
        <w:topLinePunct w:val="0"/>
        <w:autoSpaceDE/>
        <w:autoSpaceDN/>
        <w:bidi w:val="0"/>
        <w:adjustRightInd/>
        <w:snapToGrid/>
        <w:spacing w:line="440" w:lineRule="exact"/>
        <w:ind w:left="0" w:firstLine="482" w:firstLineChars="200"/>
        <w:textAlignment w:val="auto"/>
        <w:outlineLvl w:val="1"/>
        <w:rPr>
          <w:b/>
          <w:bCs/>
          <w:sz w:val="24"/>
        </w:rPr>
      </w:pPr>
      <w:r>
        <w:rPr>
          <w:rFonts w:hint="eastAsia"/>
          <w:b/>
          <w:bCs/>
          <w:sz w:val="24"/>
        </w:rPr>
        <w:t>附表：</w:t>
      </w:r>
      <w:r>
        <w:rPr>
          <w:rFonts w:hint="eastAsia"/>
          <w:b/>
          <w:bCs/>
          <w:sz w:val="24"/>
          <w:lang w:eastAsia="zh-CN"/>
        </w:rPr>
        <w:t>盐城市妇联实验幼儿园</w:t>
      </w:r>
      <w:r>
        <w:rPr>
          <w:rFonts w:hint="eastAsia"/>
          <w:b/>
          <w:bCs/>
          <w:sz w:val="24"/>
        </w:rPr>
        <w:t>物业考核办法</w:t>
      </w:r>
    </w:p>
    <w:p w14:paraId="5063A734">
      <w:pPr>
        <w:keepNext w:val="0"/>
        <w:keepLines w:val="0"/>
        <w:pageBreakBefore w:val="0"/>
        <w:widowControl/>
        <w:kinsoku/>
        <w:wordWrap/>
        <w:overflowPunct/>
        <w:topLinePunct w:val="0"/>
        <w:autoSpaceDE/>
        <w:autoSpaceDN/>
        <w:bidi w:val="0"/>
        <w:adjustRightInd/>
        <w:snapToGrid/>
        <w:spacing w:line="440" w:lineRule="exact"/>
        <w:ind w:left="0" w:firstLine="562" w:firstLineChars="200"/>
        <w:jc w:val="center"/>
        <w:textAlignment w:val="auto"/>
        <w:rPr>
          <w:rFonts w:hint="eastAsia" w:ascii="宋体" w:hAnsi="宋体" w:eastAsia="宋体" w:cs="宋体"/>
          <w:b/>
          <w:bCs/>
          <w:color w:val="FF0000"/>
          <w:sz w:val="28"/>
          <w:szCs w:val="28"/>
          <w:lang w:eastAsia="zh-CN"/>
        </w:rPr>
      </w:pPr>
      <w:r>
        <w:rPr>
          <w:rFonts w:hint="eastAsia" w:ascii="宋体" w:hAnsi="宋体" w:cs="宋体"/>
          <w:b/>
          <w:bCs/>
          <w:sz w:val="28"/>
          <w:szCs w:val="28"/>
          <w:lang w:eastAsia="zh-CN"/>
        </w:rPr>
        <w:t>盐城市妇联实验幼儿园</w:t>
      </w:r>
      <w:r>
        <w:rPr>
          <w:rFonts w:hint="eastAsia" w:ascii="宋体" w:hAnsi="宋体" w:cs="宋体"/>
          <w:b/>
          <w:bCs/>
          <w:sz w:val="28"/>
          <w:szCs w:val="28"/>
        </w:rPr>
        <w:t>物业考核办法</w:t>
      </w:r>
    </w:p>
    <w:p w14:paraId="42EDD873">
      <w:pPr>
        <w:keepNext w:val="0"/>
        <w:keepLines w:val="0"/>
        <w:pageBreakBefore w:val="0"/>
        <w:widowControl/>
        <w:kinsoku/>
        <w:wordWrap/>
        <w:overflowPunct/>
        <w:topLinePunct w:val="0"/>
        <w:autoSpaceDE/>
        <w:autoSpaceDN/>
        <w:bidi w:val="0"/>
        <w:adjustRightInd/>
        <w:snapToGrid/>
        <w:spacing w:line="440" w:lineRule="exact"/>
        <w:ind w:left="0" w:firstLine="482" w:firstLineChars="200"/>
        <w:textAlignment w:val="auto"/>
        <w:rPr>
          <w:rFonts w:ascii="宋体" w:hAnsi="宋体" w:cs="宋体"/>
          <w:b/>
          <w:bCs/>
          <w:sz w:val="24"/>
        </w:rPr>
      </w:pPr>
      <w:r>
        <w:rPr>
          <w:rFonts w:hint="eastAsia" w:ascii="宋体" w:hAnsi="宋体" w:cs="宋体"/>
          <w:b/>
          <w:bCs/>
          <w:sz w:val="24"/>
        </w:rPr>
        <w:t>一、考核办法的实施原则与目的</w:t>
      </w:r>
    </w:p>
    <w:p w14:paraId="08179181">
      <w:pPr>
        <w:keepNext w:val="0"/>
        <w:keepLines w:val="0"/>
        <w:pageBreakBefore w:val="0"/>
        <w:widowControl/>
        <w:kinsoku/>
        <w:wordWrap/>
        <w:overflowPunct/>
        <w:topLinePunct w:val="0"/>
        <w:autoSpaceDE/>
        <w:autoSpaceDN/>
        <w:bidi w:val="0"/>
        <w:adjustRightInd/>
        <w:snapToGrid/>
        <w:spacing w:line="440" w:lineRule="exact"/>
        <w:ind w:left="0" w:firstLine="480" w:firstLineChars="200"/>
        <w:textAlignment w:val="auto"/>
        <w:rPr>
          <w:rFonts w:ascii="宋体" w:hAnsi="宋体" w:cs="宋体"/>
          <w:sz w:val="24"/>
        </w:rPr>
      </w:pPr>
      <w:r>
        <w:rPr>
          <w:rFonts w:hint="eastAsia" w:ascii="宋体" w:hAnsi="宋体" w:cs="宋体"/>
          <w:sz w:val="24"/>
        </w:rPr>
        <w:t>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我</w:t>
      </w:r>
      <w:r>
        <w:rPr>
          <w:rFonts w:hint="eastAsia" w:ascii="宋体" w:hAnsi="宋体" w:cs="宋体"/>
          <w:sz w:val="24"/>
          <w:lang w:val="en-US" w:eastAsia="zh-CN"/>
        </w:rPr>
        <w:t>园</w:t>
      </w:r>
      <w:r>
        <w:rPr>
          <w:rFonts w:hint="eastAsia" w:ascii="宋体" w:hAnsi="宋体" w:cs="宋体"/>
          <w:sz w:val="24"/>
        </w:rPr>
        <w:t>物业管理考核办法。</w:t>
      </w:r>
    </w:p>
    <w:p w14:paraId="22792938">
      <w:pPr>
        <w:keepNext w:val="0"/>
        <w:keepLines w:val="0"/>
        <w:pageBreakBefore w:val="0"/>
        <w:kinsoku/>
        <w:wordWrap/>
        <w:overflowPunct/>
        <w:topLinePunct w:val="0"/>
        <w:autoSpaceDE/>
        <w:autoSpaceDN/>
        <w:bidi w:val="0"/>
        <w:adjustRightInd/>
        <w:snapToGrid/>
        <w:spacing w:line="440" w:lineRule="exact"/>
        <w:ind w:left="0" w:firstLine="482" w:firstLineChars="200"/>
        <w:textAlignment w:val="auto"/>
        <w:rPr>
          <w:rFonts w:ascii="宋体" w:hAnsi="宋体" w:cs="宋体"/>
          <w:b/>
          <w:sz w:val="24"/>
        </w:rPr>
      </w:pPr>
      <w:r>
        <w:rPr>
          <w:rFonts w:hint="eastAsia" w:ascii="宋体" w:hAnsi="宋体" w:cs="宋体"/>
          <w:b/>
          <w:sz w:val="24"/>
        </w:rPr>
        <w:t>二、考核内容与评分标准</w:t>
      </w:r>
    </w:p>
    <w:p w14:paraId="0B05561B">
      <w:pPr>
        <w:keepNext w:val="0"/>
        <w:keepLines w:val="0"/>
        <w:pageBreakBefore w:val="0"/>
        <w:kinsoku/>
        <w:wordWrap/>
        <w:overflowPunct/>
        <w:topLinePunct w:val="0"/>
        <w:autoSpaceDE/>
        <w:autoSpaceDN/>
        <w:bidi w:val="0"/>
        <w:adjustRightInd/>
        <w:snapToGrid/>
        <w:spacing w:line="440" w:lineRule="exact"/>
        <w:ind w:left="0" w:firstLine="482" w:firstLineChars="200"/>
        <w:textAlignment w:val="auto"/>
        <w:rPr>
          <w:rFonts w:hint="eastAsia" w:ascii="宋体" w:hAnsi="宋体" w:cs="宋体"/>
          <w:b/>
          <w:bCs/>
          <w:sz w:val="24"/>
        </w:rPr>
      </w:pPr>
      <w:r>
        <w:rPr>
          <w:rFonts w:hint="eastAsia" w:ascii="宋体" w:hAnsi="宋体" w:cs="宋体"/>
          <w:b/>
          <w:bCs/>
          <w:sz w:val="24"/>
        </w:rPr>
        <w:t xml:space="preserve">日常管理百分考核（总分：100分）     </w:t>
      </w:r>
    </w:p>
    <w:tbl>
      <w:tblPr>
        <w:tblStyle w:val="29"/>
        <w:tblW w:w="58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
        <w:gridCol w:w="5680"/>
        <w:gridCol w:w="1403"/>
        <w:gridCol w:w="474"/>
        <w:gridCol w:w="572"/>
        <w:gridCol w:w="688"/>
        <w:gridCol w:w="1135"/>
      </w:tblGrid>
      <w:tr w14:paraId="0A1E4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394" w:type="dxa"/>
            <w:vMerge w:val="restart"/>
            <w:noWrap w:val="0"/>
            <w:vAlign w:val="center"/>
          </w:tcPr>
          <w:p w14:paraId="595C2C32">
            <w:pPr>
              <w:rPr>
                <w:rFonts w:hint="eastAsia" w:ascii="宋体" w:hAnsi="宋体" w:eastAsia="宋体" w:cs="宋体"/>
                <w:b/>
                <w:sz w:val="21"/>
                <w:szCs w:val="21"/>
              </w:rPr>
            </w:pPr>
            <w:r>
              <w:rPr>
                <w:rFonts w:hint="eastAsia"/>
              </w:rPr>
              <w:br w:type="page" w:clear="all"/>
            </w:r>
            <w:r>
              <w:rPr>
                <w:rFonts w:hint="eastAsia" w:ascii="宋体" w:hAnsi="宋体" w:eastAsia="宋体" w:cs="宋体"/>
                <w:b/>
                <w:sz w:val="21"/>
                <w:szCs w:val="21"/>
              </w:rPr>
              <w:t>序号</w:t>
            </w:r>
          </w:p>
        </w:tc>
        <w:tc>
          <w:tcPr>
            <w:tcW w:w="2628" w:type="dxa"/>
            <w:vMerge w:val="restart"/>
            <w:noWrap w:val="0"/>
            <w:vAlign w:val="center"/>
          </w:tcPr>
          <w:p w14:paraId="383670E4">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人员考核细则</w:t>
            </w:r>
          </w:p>
        </w:tc>
        <w:tc>
          <w:tcPr>
            <w:tcW w:w="649" w:type="dxa"/>
            <w:vMerge w:val="restart"/>
            <w:noWrap w:val="0"/>
            <w:vAlign w:val="center"/>
          </w:tcPr>
          <w:p w14:paraId="4B9B6585">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考核满分（分）</w:t>
            </w:r>
          </w:p>
        </w:tc>
        <w:tc>
          <w:tcPr>
            <w:tcW w:w="1591" w:type="dxa"/>
            <w:gridSpan w:val="3"/>
            <w:noWrap w:val="0"/>
            <w:vAlign w:val="center"/>
          </w:tcPr>
          <w:p w14:paraId="2A79F39D">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考核得分（分）</w:t>
            </w:r>
          </w:p>
        </w:tc>
        <w:tc>
          <w:tcPr>
            <w:tcW w:w="524" w:type="dxa"/>
            <w:vMerge w:val="restart"/>
            <w:noWrap w:val="0"/>
            <w:vAlign w:val="center"/>
          </w:tcPr>
          <w:p w14:paraId="4FEF58E2">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备  注</w:t>
            </w:r>
          </w:p>
        </w:tc>
      </w:tr>
      <w:tr w14:paraId="5B757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394" w:type="dxa"/>
            <w:vMerge w:val="continue"/>
            <w:noWrap w:val="0"/>
            <w:vAlign w:val="center"/>
          </w:tcPr>
          <w:p w14:paraId="67028EF2">
            <w:pPr>
              <w:spacing w:line="360" w:lineRule="exact"/>
              <w:jc w:val="center"/>
              <w:rPr>
                <w:rFonts w:hint="eastAsia" w:ascii="宋体" w:hAnsi="宋体" w:eastAsia="宋体" w:cs="宋体"/>
                <w:b/>
                <w:sz w:val="21"/>
                <w:szCs w:val="21"/>
              </w:rPr>
            </w:pPr>
          </w:p>
        </w:tc>
        <w:tc>
          <w:tcPr>
            <w:tcW w:w="2628" w:type="dxa"/>
            <w:vMerge w:val="continue"/>
            <w:noWrap w:val="0"/>
            <w:vAlign w:val="center"/>
          </w:tcPr>
          <w:p w14:paraId="2A155ED1">
            <w:pPr>
              <w:spacing w:line="360" w:lineRule="exact"/>
              <w:jc w:val="center"/>
              <w:rPr>
                <w:rFonts w:hint="eastAsia" w:ascii="宋体" w:hAnsi="宋体" w:eastAsia="宋体" w:cs="宋体"/>
                <w:b/>
                <w:sz w:val="21"/>
                <w:szCs w:val="21"/>
              </w:rPr>
            </w:pPr>
          </w:p>
        </w:tc>
        <w:tc>
          <w:tcPr>
            <w:tcW w:w="649" w:type="dxa"/>
            <w:vMerge w:val="continue"/>
            <w:noWrap w:val="0"/>
            <w:vAlign w:val="center"/>
          </w:tcPr>
          <w:p w14:paraId="71125F92">
            <w:pPr>
              <w:spacing w:line="360" w:lineRule="exact"/>
              <w:jc w:val="center"/>
              <w:rPr>
                <w:rFonts w:hint="eastAsia" w:ascii="宋体" w:hAnsi="宋体" w:eastAsia="宋体" w:cs="宋体"/>
                <w:b/>
                <w:sz w:val="21"/>
                <w:szCs w:val="21"/>
              </w:rPr>
            </w:pPr>
          </w:p>
        </w:tc>
        <w:tc>
          <w:tcPr>
            <w:tcW w:w="219" w:type="dxa"/>
            <w:noWrap w:val="0"/>
            <w:vAlign w:val="center"/>
          </w:tcPr>
          <w:p w14:paraId="2604177A">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月</w:t>
            </w:r>
          </w:p>
        </w:tc>
        <w:tc>
          <w:tcPr>
            <w:tcW w:w="265" w:type="dxa"/>
            <w:noWrap w:val="0"/>
            <w:vAlign w:val="center"/>
          </w:tcPr>
          <w:p w14:paraId="0371DC58">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月</w:t>
            </w:r>
          </w:p>
        </w:tc>
        <w:tc>
          <w:tcPr>
            <w:tcW w:w="318" w:type="dxa"/>
            <w:noWrap w:val="0"/>
            <w:vAlign w:val="center"/>
          </w:tcPr>
          <w:p w14:paraId="1476FE90">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月</w:t>
            </w:r>
          </w:p>
        </w:tc>
        <w:tc>
          <w:tcPr>
            <w:tcW w:w="524" w:type="dxa"/>
            <w:vMerge w:val="continue"/>
            <w:noWrap w:val="0"/>
            <w:vAlign w:val="center"/>
          </w:tcPr>
          <w:p w14:paraId="38C52028">
            <w:pPr>
              <w:spacing w:line="360" w:lineRule="exact"/>
              <w:jc w:val="center"/>
              <w:rPr>
                <w:rFonts w:hint="eastAsia" w:ascii="宋体" w:hAnsi="宋体" w:eastAsia="宋体" w:cs="宋体"/>
                <w:b/>
                <w:sz w:val="21"/>
                <w:szCs w:val="21"/>
              </w:rPr>
            </w:pPr>
          </w:p>
        </w:tc>
      </w:tr>
      <w:tr w14:paraId="1E85C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5D24D62B">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1</w:t>
            </w:r>
          </w:p>
        </w:tc>
        <w:tc>
          <w:tcPr>
            <w:tcW w:w="2628" w:type="dxa"/>
            <w:noWrap w:val="0"/>
            <w:vAlign w:val="center"/>
          </w:tcPr>
          <w:p w14:paraId="39932820">
            <w:pPr>
              <w:spacing w:line="360" w:lineRule="exact"/>
              <w:rPr>
                <w:rFonts w:hint="eastAsia" w:ascii="宋体" w:hAnsi="宋体" w:eastAsia="宋体" w:cs="宋体"/>
                <w:sz w:val="21"/>
                <w:szCs w:val="21"/>
              </w:rPr>
            </w:pPr>
            <w:r>
              <w:rPr>
                <w:rFonts w:hint="eastAsia" w:ascii="宋体" w:hAnsi="宋体" w:eastAsia="宋体" w:cs="宋体"/>
                <w:sz w:val="21"/>
                <w:szCs w:val="21"/>
              </w:rPr>
              <w:t>着装统一，保持良好的精神面貌。</w:t>
            </w:r>
          </w:p>
        </w:tc>
        <w:tc>
          <w:tcPr>
            <w:tcW w:w="649" w:type="dxa"/>
            <w:noWrap w:val="0"/>
            <w:vAlign w:val="center"/>
          </w:tcPr>
          <w:p w14:paraId="63E250CF">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4617F82E">
            <w:pPr>
              <w:spacing w:line="360" w:lineRule="exact"/>
              <w:jc w:val="center"/>
              <w:rPr>
                <w:rFonts w:hint="eastAsia" w:ascii="宋体" w:hAnsi="宋体" w:eastAsia="宋体" w:cs="宋体"/>
                <w:sz w:val="21"/>
                <w:szCs w:val="21"/>
              </w:rPr>
            </w:pPr>
          </w:p>
        </w:tc>
        <w:tc>
          <w:tcPr>
            <w:tcW w:w="265" w:type="dxa"/>
            <w:noWrap w:val="0"/>
            <w:vAlign w:val="center"/>
          </w:tcPr>
          <w:p w14:paraId="56092E86">
            <w:pPr>
              <w:spacing w:line="360" w:lineRule="exact"/>
              <w:jc w:val="center"/>
              <w:rPr>
                <w:rFonts w:hint="eastAsia" w:ascii="宋体" w:hAnsi="宋体" w:eastAsia="宋体" w:cs="宋体"/>
                <w:sz w:val="21"/>
                <w:szCs w:val="21"/>
              </w:rPr>
            </w:pPr>
          </w:p>
        </w:tc>
        <w:tc>
          <w:tcPr>
            <w:tcW w:w="318" w:type="dxa"/>
            <w:noWrap w:val="0"/>
            <w:vAlign w:val="center"/>
          </w:tcPr>
          <w:p w14:paraId="78E90624">
            <w:pPr>
              <w:spacing w:line="360" w:lineRule="exact"/>
              <w:jc w:val="center"/>
              <w:rPr>
                <w:rFonts w:hint="eastAsia" w:ascii="宋体" w:hAnsi="宋体" w:eastAsia="宋体" w:cs="宋体"/>
                <w:sz w:val="21"/>
                <w:szCs w:val="21"/>
              </w:rPr>
            </w:pPr>
          </w:p>
        </w:tc>
        <w:tc>
          <w:tcPr>
            <w:tcW w:w="524" w:type="dxa"/>
            <w:noWrap w:val="0"/>
            <w:vAlign w:val="center"/>
          </w:tcPr>
          <w:p w14:paraId="38EEFD6E">
            <w:pPr>
              <w:spacing w:line="360" w:lineRule="exact"/>
              <w:jc w:val="center"/>
              <w:rPr>
                <w:rFonts w:hint="eastAsia" w:ascii="宋体" w:hAnsi="宋体" w:eastAsia="宋体" w:cs="宋体"/>
                <w:sz w:val="21"/>
                <w:szCs w:val="21"/>
              </w:rPr>
            </w:pPr>
          </w:p>
        </w:tc>
      </w:tr>
      <w:tr w14:paraId="2291F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1C70043D">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2</w:t>
            </w:r>
          </w:p>
        </w:tc>
        <w:tc>
          <w:tcPr>
            <w:tcW w:w="2628" w:type="dxa"/>
            <w:noWrap w:val="0"/>
            <w:vAlign w:val="center"/>
          </w:tcPr>
          <w:p w14:paraId="2A40D61C">
            <w:pPr>
              <w:spacing w:line="360" w:lineRule="exact"/>
              <w:rPr>
                <w:rFonts w:hint="eastAsia" w:ascii="宋体" w:hAnsi="宋体" w:eastAsia="宋体" w:cs="宋体"/>
                <w:sz w:val="21"/>
                <w:szCs w:val="21"/>
              </w:rPr>
            </w:pPr>
            <w:r>
              <w:rPr>
                <w:rFonts w:hint="eastAsia" w:ascii="宋体" w:hAnsi="宋体" w:eastAsia="宋体" w:cs="宋体"/>
                <w:color w:val="000000"/>
                <w:sz w:val="21"/>
                <w:szCs w:val="21"/>
              </w:rPr>
              <w:t>制度公示上墙，持证上岗并公示上墙。</w:t>
            </w:r>
          </w:p>
        </w:tc>
        <w:tc>
          <w:tcPr>
            <w:tcW w:w="649" w:type="dxa"/>
            <w:noWrap w:val="0"/>
            <w:vAlign w:val="center"/>
          </w:tcPr>
          <w:p w14:paraId="19C8788E">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6BA81452">
            <w:pPr>
              <w:spacing w:line="360" w:lineRule="exact"/>
              <w:jc w:val="center"/>
              <w:rPr>
                <w:rFonts w:hint="eastAsia" w:ascii="宋体" w:hAnsi="宋体" w:eastAsia="宋体" w:cs="宋体"/>
                <w:sz w:val="21"/>
                <w:szCs w:val="21"/>
              </w:rPr>
            </w:pPr>
          </w:p>
        </w:tc>
        <w:tc>
          <w:tcPr>
            <w:tcW w:w="265" w:type="dxa"/>
            <w:noWrap w:val="0"/>
            <w:vAlign w:val="center"/>
          </w:tcPr>
          <w:p w14:paraId="0A529620">
            <w:pPr>
              <w:spacing w:line="360" w:lineRule="exact"/>
              <w:jc w:val="center"/>
              <w:rPr>
                <w:rFonts w:hint="eastAsia" w:ascii="宋体" w:hAnsi="宋体" w:eastAsia="宋体" w:cs="宋体"/>
                <w:sz w:val="21"/>
                <w:szCs w:val="21"/>
              </w:rPr>
            </w:pPr>
          </w:p>
        </w:tc>
        <w:tc>
          <w:tcPr>
            <w:tcW w:w="318" w:type="dxa"/>
            <w:noWrap w:val="0"/>
            <w:vAlign w:val="center"/>
          </w:tcPr>
          <w:p w14:paraId="306C1AF4">
            <w:pPr>
              <w:spacing w:line="360" w:lineRule="exact"/>
              <w:jc w:val="center"/>
              <w:rPr>
                <w:rFonts w:hint="eastAsia" w:ascii="宋体" w:hAnsi="宋体" w:eastAsia="宋体" w:cs="宋体"/>
                <w:sz w:val="21"/>
                <w:szCs w:val="21"/>
              </w:rPr>
            </w:pPr>
          </w:p>
        </w:tc>
        <w:tc>
          <w:tcPr>
            <w:tcW w:w="524" w:type="dxa"/>
            <w:noWrap w:val="0"/>
            <w:vAlign w:val="center"/>
          </w:tcPr>
          <w:p w14:paraId="0DC18101">
            <w:pPr>
              <w:spacing w:line="360" w:lineRule="exact"/>
              <w:jc w:val="center"/>
              <w:rPr>
                <w:rFonts w:hint="eastAsia" w:ascii="宋体" w:hAnsi="宋体" w:eastAsia="宋体" w:cs="宋体"/>
                <w:sz w:val="21"/>
                <w:szCs w:val="21"/>
              </w:rPr>
            </w:pPr>
          </w:p>
        </w:tc>
      </w:tr>
      <w:tr w14:paraId="68A30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69A49968">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3</w:t>
            </w:r>
          </w:p>
        </w:tc>
        <w:tc>
          <w:tcPr>
            <w:tcW w:w="2628" w:type="dxa"/>
            <w:noWrap w:val="0"/>
            <w:vAlign w:val="center"/>
          </w:tcPr>
          <w:p w14:paraId="0C09EC12">
            <w:pPr>
              <w:spacing w:line="360" w:lineRule="exact"/>
              <w:rPr>
                <w:rFonts w:hint="eastAsia" w:ascii="宋体" w:hAnsi="宋体" w:eastAsia="宋体" w:cs="宋体"/>
                <w:sz w:val="21"/>
                <w:szCs w:val="21"/>
              </w:rPr>
            </w:pPr>
            <w:r>
              <w:rPr>
                <w:rFonts w:hint="eastAsia" w:ascii="宋体" w:hAnsi="宋体" w:eastAsia="宋体" w:cs="宋体"/>
                <w:sz w:val="21"/>
                <w:szCs w:val="21"/>
              </w:rPr>
              <w:t>上班时间段内，当班人员按要求规范上岗，正确使用文明用语。</w:t>
            </w:r>
          </w:p>
        </w:tc>
        <w:tc>
          <w:tcPr>
            <w:tcW w:w="649" w:type="dxa"/>
            <w:noWrap w:val="0"/>
            <w:vAlign w:val="center"/>
          </w:tcPr>
          <w:p w14:paraId="12556356">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10</w:t>
            </w:r>
          </w:p>
        </w:tc>
        <w:tc>
          <w:tcPr>
            <w:tcW w:w="219" w:type="dxa"/>
            <w:noWrap w:val="0"/>
            <w:vAlign w:val="center"/>
          </w:tcPr>
          <w:p w14:paraId="51203A8D">
            <w:pPr>
              <w:spacing w:line="360" w:lineRule="exact"/>
              <w:jc w:val="center"/>
              <w:rPr>
                <w:rFonts w:hint="eastAsia" w:ascii="宋体" w:hAnsi="宋体" w:eastAsia="宋体" w:cs="宋体"/>
                <w:sz w:val="21"/>
                <w:szCs w:val="21"/>
              </w:rPr>
            </w:pPr>
          </w:p>
        </w:tc>
        <w:tc>
          <w:tcPr>
            <w:tcW w:w="265" w:type="dxa"/>
            <w:noWrap w:val="0"/>
            <w:vAlign w:val="center"/>
          </w:tcPr>
          <w:p w14:paraId="4BDE7B07">
            <w:pPr>
              <w:spacing w:line="360" w:lineRule="exact"/>
              <w:jc w:val="center"/>
              <w:rPr>
                <w:rFonts w:hint="eastAsia" w:ascii="宋体" w:hAnsi="宋体" w:eastAsia="宋体" w:cs="宋体"/>
                <w:sz w:val="21"/>
                <w:szCs w:val="21"/>
              </w:rPr>
            </w:pPr>
          </w:p>
        </w:tc>
        <w:tc>
          <w:tcPr>
            <w:tcW w:w="318" w:type="dxa"/>
            <w:noWrap w:val="0"/>
            <w:vAlign w:val="center"/>
          </w:tcPr>
          <w:p w14:paraId="0B14B635">
            <w:pPr>
              <w:spacing w:line="360" w:lineRule="exact"/>
              <w:jc w:val="center"/>
              <w:rPr>
                <w:rFonts w:hint="eastAsia" w:ascii="宋体" w:hAnsi="宋体" w:eastAsia="宋体" w:cs="宋体"/>
                <w:sz w:val="21"/>
                <w:szCs w:val="21"/>
              </w:rPr>
            </w:pPr>
          </w:p>
        </w:tc>
        <w:tc>
          <w:tcPr>
            <w:tcW w:w="524" w:type="dxa"/>
            <w:noWrap w:val="0"/>
            <w:vAlign w:val="center"/>
          </w:tcPr>
          <w:p w14:paraId="0BB8357B">
            <w:pPr>
              <w:spacing w:line="360" w:lineRule="exact"/>
              <w:jc w:val="center"/>
              <w:rPr>
                <w:rFonts w:hint="eastAsia" w:ascii="宋体" w:hAnsi="宋体" w:eastAsia="宋体" w:cs="宋体"/>
                <w:sz w:val="21"/>
                <w:szCs w:val="21"/>
              </w:rPr>
            </w:pPr>
          </w:p>
        </w:tc>
      </w:tr>
      <w:tr w14:paraId="53050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6B4B0F7C">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4</w:t>
            </w:r>
          </w:p>
        </w:tc>
        <w:tc>
          <w:tcPr>
            <w:tcW w:w="2628" w:type="dxa"/>
            <w:noWrap w:val="0"/>
            <w:vAlign w:val="center"/>
          </w:tcPr>
          <w:p w14:paraId="5497A429">
            <w:pPr>
              <w:spacing w:line="360" w:lineRule="exact"/>
              <w:rPr>
                <w:rFonts w:hint="eastAsia" w:ascii="宋体" w:hAnsi="宋体" w:eastAsia="宋体" w:cs="宋体"/>
                <w:sz w:val="21"/>
                <w:szCs w:val="21"/>
              </w:rPr>
            </w:pPr>
            <w:r>
              <w:rPr>
                <w:rFonts w:hint="eastAsia" w:ascii="宋体" w:hAnsi="宋体" w:eastAsia="宋体" w:cs="宋体"/>
                <w:sz w:val="21"/>
                <w:szCs w:val="21"/>
              </w:rPr>
              <w:t>保持值班室的卫生，物品装备摆放整齐。</w:t>
            </w:r>
          </w:p>
        </w:tc>
        <w:tc>
          <w:tcPr>
            <w:tcW w:w="649" w:type="dxa"/>
            <w:noWrap w:val="0"/>
            <w:vAlign w:val="center"/>
          </w:tcPr>
          <w:p w14:paraId="3BA03CE5">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36F85D1B">
            <w:pPr>
              <w:spacing w:line="360" w:lineRule="exact"/>
              <w:jc w:val="center"/>
              <w:rPr>
                <w:rFonts w:hint="eastAsia" w:ascii="宋体" w:hAnsi="宋体" w:eastAsia="宋体" w:cs="宋体"/>
                <w:sz w:val="21"/>
                <w:szCs w:val="21"/>
              </w:rPr>
            </w:pPr>
          </w:p>
        </w:tc>
        <w:tc>
          <w:tcPr>
            <w:tcW w:w="265" w:type="dxa"/>
            <w:noWrap w:val="0"/>
            <w:vAlign w:val="center"/>
          </w:tcPr>
          <w:p w14:paraId="0EC27A7F">
            <w:pPr>
              <w:spacing w:line="360" w:lineRule="exact"/>
              <w:jc w:val="center"/>
              <w:rPr>
                <w:rFonts w:hint="eastAsia" w:ascii="宋体" w:hAnsi="宋体" w:eastAsia="宋体" w:cs="宋体"/>
                <w:sz w:val="21"/>
                <w:szCs w:val="21"/>
              </w:rPr>
            </w:pPr>
          </w:p>
        </w:tc>
        <w:tc>
          <w:tcPr>
            <w:tcW w:w="318" w:type="dxa"/>
            <w:noWrap w:val="0"/>
            <w:vAlign w:val="center"/>
          </w:tcPr>
          <w:p w14:paraId="76A09CA3">
            <w:pPr>
              <w:spacing w:line="360" w:lineRule="exact"/>
              <w:jc w:val="center"/>
              <w:rPr>
                <w:rFonts w:hint="eastAsia" w:ascii="宋体" w:hAnsi="宋体" w:eastAsia="宋体" w:cs="宋体"/>
                <w:sz w:val="21"/>
                <w:szCs w:val="21"/>
              </w:rPr>
            </w:pPr>
          </w:p>
        </w:tc>
        <w:tc>
          <w:tcPr>
            <w:tcW w:w="524" w:type="dxa"/>
            <w:noWrap w:val="0"/>
            <w:vAlign w:val="center"/>
          </w:tcPr>
          <w:p w14:paraId="2BB2C36A">
            <w:pPr>
              <w:spacing w:line="360" w:lineRule="exact"/>
              <w:jc w:val="center"/>
              <w:rPr>
                <w:rFonts w:hint="eastAsia" w:ascii="宋体" w:hAnsi="宋体" w:eastAsia="宋体" w:cs="宋体"/>
                <w:sz w:val="21"/>
                <w:szCs w:val="21"/>
              </w:rPr>
            </w:pPr>
          </w:p>
        </w:tc>
      </w:tr>
      <w:tr w14:paraId="42B51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031B7DCD">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628" w:type="dxa"/>
            <w:noWrap w:val="0"/>
            <w:vAlign w:val="center"/>
          </w:tcPr>
          <w:p w14:paraId="41156887">
            <w:pPr>
              <w:spacing w:line="360" w:lineRule="exact"/>
              <w:rPr>
                <w:rFonts w:hint="eastAsia" w:ascii="宋体" w:hAnsi="宋体" w:eastAsia="宋体" w:cs="宋体"/>
                <w:sz w:val="21"/>
                <w:szCs w:val="21"/>
              </w:rPr>
            </w:pPr>
            <w:r>
              <w:rPr>
                <w:rFonts w:hint="eastAsia" w:ascii="宋体" w:hAnsi="宋体" w:eastAsia="宋体" w:cs="宋体"/>
                <w:sz w:val="21"/>
                <w:szCs w:val="21"/>
              </w:rPr>
              <w:t>保洁台账、交接班台账、巡查台账、绿化台账、维修台账等规范填写。</w:t>
            </w:r>
          </w:p>
        </w:tc>
        <w:tc>
          <w:tcPr>
            <w:tcW w:w="649" w:type="dxa"/>
            <w:noWrap w:val="0"/>
            <w:vAlign w:val="center"/>
          </w:tcPr>
          <w:p w14:paraId="77F5501B">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2ADBD61C">
            <w:pPr>
              <w:spacing w:line="360" w:lineRule="exact"/>
              <w:jc w:val="center"/>
              <w:rPr>
                <w:rFonts w:hint="eastAsia" w:ascii="宋体" w:hAnsi="宋体" w:eastAsia="宋体" w:cs="宋体"/>
                <w:sz w:val="21"/>
                <w:szCs w:val="21"/>
              </w:rPr>
            </w:pPr>
          </w:p>
        </w:tc>
        <w:tc>
          <w:tcPr>
            <w:tcW w:w="265" w:type="dxa"/>
            <w:noWrap w:val="0"/>
            <w:vAlign w:val="center"/>
          </w:tcPr>
          <w:p w14:paraId="7B431ECD">
            <w:pPr>
              <w:spacing w:line="360" w:lineRule="exact"/>
              <w:jc w:val="center"/>
              <w:rPr>
                <w:rFonts w:hint="eastAsia" w:ascii="宋体" w:hAnsi="宋体" w:eastAsia="宋体" w:cs="宋体"/>
                <w:sz w:val="21"/>
                <w:szCs w:val="21"/>
              </w:rPr>
            </w:pPr>
          </w:p>
        </w:tc>
        <w:tc>
          <w:tcPr>
            <w:tcW w:w="318" w:type="dxa"/>
            <w:noWrap w:val="0"/>
            <w:vAlign w:val="center"/>
          </w:tcPr>
          <w:p w14:paraId="67C920F5">
            <w:pPr>
              <w:spacing w:line="360" w:lineRule="exact"/>
              <w:jc w:val="center"/>
              <w:rPr>
                <w:rFonts w:hint="eastAsia" w:ascii="宋体" w:hAnsi="宋体" w:eastAsia="宋体" w:cs="宋体"/>
                <w:sz w:val="21"/>
                <w:szCs w:val="21"/>
              </w:rPr>
            </w:pPr>
          </w:p>
        </w:tc>
        <w:tc>
          <w:tcPr>
            <w:tcW w:w="524" w:type="dxa"/>
            <w:noWrap w:val="0"/>
            <w:vAlign w:val="center"/>
          </w:tcPr>
          <w:p w14:paraId="615AF918">
            <w:pPr>
              <w:spacing w:line="360" w:lineRule="exact"/>
              <w:jc w:val="center"/>
              <w:rPr>
                <w:rFonts w:hint="eastAsia" w:ascii="宋体" w:hAnsi="宋体" w:eastAsia="宋体" w:cs="宋体"/>
                <w:sz w:val="21"/>
                <w:szCs w:val="21"/>
              </w:rPr>
            </w:pPr>
          </w:p>
        </w:tc>
      </w:tr>
      <w:tr w14:paraId="5B599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0F1A5819">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6</w:t>
            </w:r>
          </w:p>
        </w:tc>
        <w:tc>
          <w:tcPr>
            <w:tcW w:w="2628" w:type="dxa"/>
            <w:noWrap w:val="0"/>
            <w:vAlign w:val="center"/>
          </w:tcPr>
          <w:p w14:paraId="110E627A">
            <w:pPr>
              <w:spacing w:line="360" w:lineRule="exact"/>
              <w:rPr>
                <w:rFonts w:hint="eastAsia" w:ascii="宋体" w:hAnsi="宋体" w:eastAsia="宋体" w:cs="宋体"/>
                <w:sz w:val="21"/>
                <w:szCs w:val="21"/>
              </w:rPr>
            </w:pPr>
            <w:r>
              <w:rPr>
                <w:rFonts w:hint="eastAsia" w:ascii="宋体" w:hAnsi="宋体" w:eastAsia="宋体" w:cs="宋体"/>
                <w:sz w:val="21"/>
                <w:szCs w:val="21"/>
              </w:rPr>
              <w:t>学校整体环境良好，无保洁死角；道路整洁无垃圾、落叶，室外构筑物走道、栏杆、顶棚整洁卫生，地下车库整洁无垃圾。</w:t>
            </w:r>
          </w:p>
        </w:tc>
        <w:tc>
          <w:tcPr>
            <w:tcW w:w="649" w:type="dxa"/>
            <w:noWrap w:val="0"/>
            <w:vAlign w:val="center"/>
          </w:tcPr>
          <w:p w14:paraId="61837C3E">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10</w:t>
            </w:r>
          </w:p>
        </w:tc>
        <w:tc>
          <w:tcPr>
            <w:tcW w:w="219" w:type="dxa"/>
            <w:noWrap w:val="0"/>
            <w:vAlign w:val="center"/>
          </w:tcPr>
          <w:p w14:paraId="47769B6D">
            <w:pPr>
              <w:spacing w:line="360" w:lineRule="exact"/>
              <w:jc w:val="center"/>
              <w:rPr>
                <w:rFonts w:hint="eastAsia" w:ascii="宋体" w:hAnsi="宋体" w:eastAsia="宋体" w:cs="宋体"/>
                <w:sz w:val="21"/>
                <w:szCs w:val="21"/>
              </w:rPr>
            </w:pPr>
          </w:p>
        </w:tc>
        <w:tc>
          <w:tcPr>
            <w:tcW w:w="265" w:type="dxa"/>
            <w:noWrap w:val="0"/>
            <w:vAlign w:val="center"/>
          </w:tcPr>
          <w:p w14:paraId="2B56BB55">
            <w:pPr>
              <w:spacing w:line="360" w:lineRule="exact"/>
              <w:jc w:val="center"/>
              <w:rPr>
                <w:rFonts w:hint="eastAsia" w:ascii="宋体" w:hAnsi="宋体" w:eastAsia="宋体" w:cs="宋体"/>
                <w:sz w:val="21"/>
                <w:szCs w:val="21"/>
              </w:rPr>
            </w:pPr>
          </w:p>
        </w:tc>
        <w:tc>
          <w:tcPr>
            <w:tcW w:w="318" w:type="dxa"/>
            <w:noWrap w:val="0"/>
            <w:vAlign w:val="center"/>
          </w:tcPr>
          <w:p w14:paraId="0C183366">
            <w:pPr>
              <w:spacing w:line="360" w:lineRule="exact"/>
              <w:jc w:val="center"/>
              <w:rPr>
                <w:rFonts w:hint="eastAsia" w:ascii="宋体" w:hAnsi="宋体" w:eastAsia="宋体" w:cs="宋体"/>
                <w:sz w:val="21"/>
                <w:szCs w:val="21"/>
              </w:rPr>
            </w:pPr>
          </w:p>
        </w:tc>
        <w:tc>
          <w:tcPr>
            <w:tcW w:w="524" w:type="dxa"/>
            <w:noWrap w:val="0"/>
            <w:vAlign w:val="center"/>
          </w:tcPr>
          <w:p w14:paraId="386FCED0">
            <w:pPr>
              <w:spacing w:line="360" w:lineRule="exact"/>
              <w:jc w:val="center"/>
              <w:rPr>
                <w:rFonts w:hint="eastAsia" w:ascii="宋体" w:hAnsi="宋体" w:eastAsia="宋体" w:cs="宋体"/>
                <w:sz w:val="21"/>
                <w:szCs w:val="21"/>
              </w:rPr>
            </w:pPr>
          </w:p>
        </w:tc>
      </w:tr>
      <w:tr w14:paraId="42524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31270421">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7</w:t>
            </w:r>
          </w:p>
        </w:tc>
        <w:tc>
          <w:tcPr>
            <w:tcW w:w="2628" w:type="dxa"/>
            <w:noWrap w:val="0"/>
            <w:vAlign w:val="center"/>
          </w:tcPr>
          <w:p w14:paraId="3FFBECF1">
            <w:pPr>
              <w:spacing w:line="360" w:lineRule="exact"/>
              <w:rPr>
                <w:rFonts w:hint="eastAsia" w:ascii="宋体" w:hAnsi="宋体" w:eastAsia="宋体" w:cs="宋体"/>
                <w:sz w:val="21"/>
                <w:szCs w:val="21"/>
              </w:rPr>
            </w:pPr>
            <w:r>
              <w:rPr>
                <w:rFonts w:hint="eastAsia" w:ascii="宋体" w:hAnsi="宋体" w:eastAsia="宋体" w:cs="宋体"/>
                <w:sz w:val="21"/>
                <w:szCs w:val="21"/>
              </w:rPr>
              <w:t>按甲方要求做好常态化工作。</w:t>
            </w:r>
          </w:p>
        </w:tc>
        <w:tc>
          <w:tcPr>
            <w:tcW w:w="649" w:type="dxa"/>
            <w:noWrap w:val="0"/>
            <w:vAlign w:val="center"/>
          </w:tcPr>
          <w:p w14:paraId="30115CF7">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7EA02558">
            <w:pPr>
              <w:spacing w:line="360" w:lineRule="exact"/>
              <w:jc w:val="center"/>
              <w:rPr>
                <w:rFonts w:hint="eastAsia" w:ascii="宋体" w:hAnsi="宋体" w:eastAsia="宋体" w:cs="宋体"/>
                <w:sz w:val="21"/>
                <w:szCs w:val="21"/>
              </w:rPr>
            </w:pPr>
          </w:p>
        </w:tc>
        <w:tc>
          <w:tcPr>
            <w:tcW w:w="265" w:type="dxa"/>
            <w:noWrap w:val="0"/>
            <w:vAlign w:val="center"/>
          </w:tcPr>
          <w:p w14:paraId="4546D00A">
            <w:pPr>
              <w:spacing w:line="360" w:lineRule="exact"/>
              <w:jc w:val="center"/>
              <w:rPr>
                <w:rFonts w:hint="eastAsia" w:ascii="宋体" w:hAnsi="宋体" w:eastAsia="宋体" w:cs="宋体"/>
                <w:sz w:val="21"/>
                <w:szCs w:val="21"/>
              </w:rPr>
            </w:pPr>
          </w:p>
        </w:tc>
        <w:tc>
          <w:tcPr>
            <w:tcW w:w="318" w:type="dxa"/>
            <w:noWrap w:val="0"/>
            <w:vAlign w:val="center"/>
          </w:tcPr>
          <w:p w14:paraId="3AA07264">
            <w:pPr>
              <w:spacing w:line="360" w:lineRule="exact"/>
              <w:jc w:val="center"/>
              <w:rPr>
                <w:rFonts w:hint="eastAsia" w:ascii="宋体" w:hAnsi="宋体" w:eastAsia="宋体" w:cs="宋体"/>
                <w:sz w:val="21"/>
                <w:szCs w:val="21"/>
              </w:rPr>
            </w:pPr>
          </w:p>
        </w:tc>
        <w:tc>
          <w:tcPr>
            <w:tcW w:w="524" w:type="dxa"/>
            <w:noWrap w:val="0"/>
            <w:vAlign w:val="center"/>
          </w:tcPr>
          <w:p w14:paraId="7C2A1A30">
            <w:pPr>
              <w:spacing w:line="360" w:lineRule="exact"/>
              <w:jc w:val="center"/>
              <w:rPr>
                <w:rFonts w:hint="eastAsia" w:ascii="宋体" w:hAnsi="宋体" w:eastAsia="宋体" w:cs="宋体"/>
                <w:sz w:val="21"/>
                <w:szCs w:val="21"/>
              </w:rPr>
            </w:pPr>
          </w:p>
        </w:tc>
      </w:tr>
      <w:tr w14:paraId="49363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533F99A9">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8</w:t>
            </w:r>
          </w:p>
        </w:tc>
        <w:tc>
          <w:tcPr>
            <w:tcW w:w="2628" w:type="dxa"/>
            <w:noWrap w:val="0"/>
            <w:vAlign w:val="center"/>
          </w:tcPr>
          <w:p w14:paraId="342800CA">
            <w:pPr>
              <w:spacing w:line="360" w:lineRule="exact"/>
              <w:rPr>
                <w:rFonts w:hint="eastAsia" w:ascii="宋体" w:hAnsi="宋体" w:eastAsia="宋体" w:cs="宋体"/>
                <w:sz w:val="21"/>
                <w:szCs w:val="21"/>
              </w:rPr>
            </w:pPr>
            <w:r>
              <w:rPr>
                <w:rFonts w:hint="eastAsia" w:ascii="宋体" w:hAnsi="宋体" w:eastAsia="宋体" w:cs="宋体"/>
                <w:sz w:val="21"/>
                <w:szCs w:val="21"/>
              </w:rPr>
              <w:t>垃圾每日收集1次，作到日产日清，无垃圾桶、果壳箱满溢现象，定期对垃圾桶进行冲洗，冲洗后无异味。</w:t>
            </w:r>
          </w:p>
        </w:tc>
        <w:tc>
          <w:tcPr>
            <w:tcW w:w="649" w:type="dxa"/>
            <w:noWrap w:val="0"/>
            <w:vAlign w:val="center"/>
          </w:tcPr>
          <w:p w14:paraId="15E1FCCB">
            <w:pPr>
              <w:spacing w:line="360" w:lineRule="exact"/>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219" w:type="dxa"/>
            <w:noWrap w:val="0"/>
            <w:vAlign w:val="center"/>
          </w:tcPr>
          <w:p w14:paraId="05EE3E86">
            <w:pPr>
              <w:spacing w:line="360" w:lineRule="exact"/>
              <w:jc w:val="center"/>
              <w:rPr>
                <w:rFonts w:hint="eastAsia" w:ascii="宋体" w:hAnsi="宋体" w:eastAsia="宋体" w:cs="宋体"/>
                <w:sz w:val="21"/>
                <w:szCs w:val="21"/>
              </w:rPr>
            </w:pPr>
          </w:p>
        </w:tc>
        <w:tc>
          <w:tcPr>
            <w:tcW w:w="265" w:type="dxa"/>
            <w:noWrap w:val="0"/>
            <w:vAlign w:val="center"/>
          </w:tcPr>
          <w:p w14:paraId="29590053">
            <w:pPr>
              <w:spacing w:line="360" w:lineRule="exact"/>
              <w:jc w:val="center"/>
              <w:rPr>
                <w:rFonts w:hint="eastAsia" w:ascii="宋体" w:hAnsi="宋体" w:eastAsia="宋体" w:cs="宋体"/>
                <w:sz w:val="21"/>
                <w:szCs w:val="21"/>
              </w:rPr>
            </w:pPr>
          </w:p>
        </w:tc>
        <w:tc>
          <w:tcPr>
            <w:tcW w:w="318" w:type="dxa"/>
            <w:noWrap w:val="0"/>
            <w:vAlign w:val="center"/>
          </w:tcPr>
          <w:p w14:paraId="31E4E7D9">
            <w:pPr>
              <w:spacing w:line="360" w:lineRule="exact"/>
              <w:jc w:val="center"/>
              <w:rPr>
                <w:rFonts w:hint="eastAsia" w:ascii="宋体" w:hAnsi="宋体" w:eastAsia="宋体" w:cs="宋体"/>
                <w:sz w:val="21"/>
                <w:szCs w:val="21"/>
              </w:rPr>
            </w:pPr>
          </w:p>
        </w:tc>
        <w:tc>
          <w:tcPr>
            <w:tcW w:w="524" w:type="dxa"/>
            <w:noWrap w:val="0"/>
            <w:vAlign w:val="center"/>
          </w:tcPr>
          <w:p w14:paraId="6EA66CE5">
            <w:pPr>
              <w:spacing w:line="360" w:lineRule="exact"/>
              <w:jc w:val="center"/>
              <w:rPr>
                <w:rFonts w:hint="eastAsia" w:ascii="宋体" w:hAnsi="宋体" w:eastAsia="宋体" w:cs="宋体"/>
                <w:sz w:val="21"/>
                <w:szCs w:val="21"/>
              </w:rPr>
            </w:pPr>
          </w:p>
        </w:tc>
      </w:tr>
      <w:tr w14:paraId="67D23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13A90539">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9</w:t>
            </w:r>
          </w:p>
        </w:tc>
        <w:tc>
          <w:tcPr>
            <w:tcW w:w="2628" w:type="dxa"/>
            <w:noWrap w:val="0"/>
            <w:vAlign w:val="center"/>
          </w:tcPr>
          <w:p w14:paraId="34BF3BE8">
            <w:pPr>
              <w:spacing w:line="360" w:lineRule="exact"/>
              <w:rPr>
                <w:rFonts w:hint="eastAsia" w:ascii="宋体" w:hAnsi="宋体" w:eastAsia="宋体" w:cs="宋体"/>
                <w:sz w:val="21"/>
                <w:szCs w:val="21"/>
              </w:rPr>
            </w:pPr>
            <w:r>
              <w:rPr>
                <w:rFonts w:hint="eastAsia" w:ascii="宋体" w:hAnsi="宋体" w:eastAsia="宋体" w:cs="宋体"/>
                <w:sz w:val="21"/>
                <w:szCs w:val="21"/>
              </w:rPr>
              <w:t>保证在环境卫生品质不降低的前提下，严格合理的控制物料消耗，对物料及机械管理，及时规范详实的做好盘点、发放登记、日常维护及使用情况。</w:t>
            </w:r>
          </w:p>
        </w:tc>
        <w:tc>
          <w:tcPr>
            <w:tcW w:w="649" w:type="dxa"/>
            <w:noWrap w:val="0"/>
            <w:vAlign w:val="center"/>
          </w:tcPr>
          <w:p w14:paraId="68DC9AB0">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2843C9BA">
            <w:pPr>
              <w:spacing w:line="360" w:lineRule="exact"/>
              <w:jc w:val="center"/>
              <w:rPr>
                <w:rFonts w:hint="eastAsia" w:ascii="宋体" w:hAnsi="宋体" w:eastAsia="宋体" w:cs="宋体"/>
                <w:sz w:val="21"/>
                <w:szCs w:val="21"/>
              </w:rPr>
            </w:pPr>
          </w:p>
        </w:tc>
        <w:tc>
          <w:tcPr>
            <w:tcW w:w="265" w:type="dxa"/>
            <w:noWrap w:val="0"/>
            <w:vAlign w:val="center"/>
          </w:tcPr>
          <w:p w14:paraId="70C43AD4">
            <w:pPr>
              <w:spacing w:line="360" w:lineRule="exact"/>
              <w:jc w:val="center"/>
              <w:rPr>
                <w:rFonts w:hint="eastAsia" w:ascii="宋体" w:hAnsi="宋体" w:eastAsia="宋体" w:cs="宋体"/>
                <w:sz w:val="21"/>
                <w:szCs w:val="21"/>
              </w:rPr>
            </w:pPr>
          </w:p>
        </w:tc>
        <w:tc>
          <w:tcPr>
            <w:tcW w:w="318" w:type="dxa"/>
            <w:noWrap w:val="0"/>
            <w:vAlign w:val="center"/>
          </w:tcPr>
          <w:p w14:paraId="556A175E">
            <w:pPr>
              <w:spacing w:line="360" w:lineRule="exact"/>
              <w:jc w:val="center"/>
              <w:rPr>
                <w:rFonts w:hint="eastAsia" w:ascii="宋体" w:hAnsi="宋体" w:eastAsia="宋体" w:cs="宋体"/>
                <w:sz w:val="21"/>
                <w:szCs w:val="21"/>
              </w:rPr>
            </w:pPr>
          </w:p>
        </w:tc>
        <w:tc>
          <w:tcPr>
            <w:tcW w:w="524" w:type="dxa"/>
            <w:noWrap w:val="0"/>
            <w:vAlign w:val="center"/>
          </w:tcPr>
          <w:p w14:paraId="7F924327">
            <w:pPr>
              <w:spacing w:line="360" w:lineRule="exact"/>
              <w:jc w:val="center"/>
              <w:rPr>
                <w:rFonts w:hint="eastAsia" w:ascii="宋体" w:hAnsi="宋体" w:eastAsia="宋体" w:cs="宋体"/>
                <w:sz w:val="21"/>
                <w:szCs w:val="21"/>
              </w:rPr>
            </w:pPr>
          </w:p>
        </w:tc>
      </w:tr>
      <w:tr w14:paraId="31FA5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241A9C00">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0</w:t>
            </w:r>
          </w:p>
        </w:tc>
        <w:tc>
          <w:tcPr>
            <w:tcW w:w="2628" w:type="dxa"/>
            <w:noWrap w:val="0"/>
            <w:vAlign w:val="center"/>
          </w:tcPr>
          <w:p w14:paraId="3CA362C3">
            <w:pPr>
              <w:spacing w:line="360" w:lineRule="exact"/>
              <w:rPr>
                <w:rFonts w:ascii="宋体" w:hAnsi="宋体" w:eastAsia="宋体" w:cs="宋体"/>
                <w:sz w:val="21"/>
                <w:szCs w:val="21"/>
                <w:lang w:val="en-US" w:eastAsia="zh-CN"/>
              </w:rPr>
            </w:pPr>
            <w:r>
              <w:rPr>
                <w:rFonts w:hint="eastAsia" w:ascii="宋体" w:hAnsi="宋体" w:eastAsia="宋体" w:cs="宋体"/>
                <w:sz w:val="21"/>
                <w:szCs w:val="21"/>
              </w:rPr>
              <w:t>每天做好值班室及公共区域的卫生</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定期对绿化进行养护。</w:t>
            </w:r>
          </w:p>
        </w:tc>
        <w:tc>
          <w:tcPr>
            <w:tcW w:w="649" w:type="dxa"/>
            <w:noWrap w:val="0"/>
            <w:vAlign w:val="center"/>
          </w:tcPr>
          <w:p w14:paraId="4C015E7D">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6911B192">
            <w:pPr>
              <w:spacing w:line="360" w:lineRule="exact"/>
              <w:jc w:val="center"/>
              <w:rPr>
                <w:rFonts w:hint="eastAsia" w:ascii="宋体" w:hAnsi="宋体" w:eastAsia="宋体" w:cs="宋体"/>
                <w:sz w:val="21"/>
                <w:szCs w:val="21"/>
              </w:rPr>
            </w:pPr>
          </w:p>
        </w:tc>
        <w:tc>
          <w:tcPr>
            <w:tcW w:w="265" w:type="dxa"/>
            <w:noWrap w:val="0"/>
            <w:vAlign w:val="center"/>
          </w:tcPr>
          <w:p w14:paraId="5C6A258D">
            <w:pPr>
              <w:spacing w:line="360" w:lineRule="exact"/>
              <w:jc w:val="center"/>
              <w:rPr>
                <w:rFonts w:hint="eastAsia" w:ascii="宋体" w:hAnsi="宋体" w:eastAsia="宋体" w:cs="宋体"/>
                <w:sz w:val="21"/>
                <w:szCs w:val="21"/>
              </w:rPr>
            </w:pPr>
          </w:p>
        </w:tc>
        <w:tc>
          <w:tcPr>
            <w:tcW w:w="318" w:type="dxa"/>
            <w:noWrap w:val="0"/>
            <w:vAlign w:val="center"/>
          </w:tcPr>
          <w:p w14:paraId="10514412">
            <w:pPr>
              <w:spacing w:line="360" w:lineRule="exact"/>
              <w:jc w:val="center"/>
              <w:rPr>
                <w:rFonts w:hint="eastAsia" w:ascii="宋体" w:hAnsi="宋体" w:eastAsia="宋体" w:cs="宋体"/>
                <w:sz w:val="21"/>
                <w:szCs w:val="21"/>
              </w:rPr>
            </w:pPr>
          </w:p>
        </w:tc>
        <w:tc>
          <w:tcPr>
            <w:tcW w:w="524" w:type="dxa"/>
            <w:noWrap w:val="0"/>
            <w:vAlign w:val="center"/>
          </w:tcPr>
          <w:p w14:paraId="4D8D6454">
            <w:pPr>
              <w:spacing w:line="360" w:lineRule="exact"/>
              <w:jc w:val="center"/>
              <w:rPr>
                <w:rFonts w:hint="eastAsia" w:ascii="宋体" w:hAnsi="宋体" w:eastAsia="宋体" w:cs="宋体"/>
                <w:sz w:val="21"/>
                <w:szCs w:val="21"/>
              </w:rPr>
            </w:pPr>
          </w:p>
        </w:tc>
      </w:tr>
      <w:tr w14:paraId="1F3EB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44CA3240">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1</w:t>
            </w:r>
          </w:p>
        </w:tc>
        <w:tc>
          <w:tcPr>
            <w:tcW w:w="2628" w:type="dxa"/>
            <w:noWrap w:val="0"/>
            <w:vAlign w:val="center"/>
          </w:tcPr>
          <w:p w14:paraId="5AEA3598">
            <w:pPr>
              <w:spacing w:line="360" w:lineRule="exact"/>
              <w:rPr>
                <w:rFonts w:hint="eastAsia" w:ascii="宋体" w:hAnsi="宋体" w:eastAsia="宋体" w:cs="宋体"/>
                <w:sz w:val="21"/>
                <w:szCs w:val="21"/>
              </w:rPr>
            </w:pPr>
            <w:r>
              <w:rPr>
                <w:rFonts w:hint="eastAsia" w:ascii="宋体" w:hAnsi="宋体" w:eastAsia="宋体" w:cs="宋体"/>
                <w:sz w:val="21"/>
                <w:szCs w:val="21"/>
              </w:rPr>
              <w:t>维修及时高效，发生突发事件（如停电、停水等）要及时赶到现场处理，并及时向有关领导报告</w:t>
            </w:r>
          </w:p>
        </w:tc>
        <w:tc>
          <w:tcPr>
            <w:tcW w:w="649" w:type="dxa"/>
            <w:noWrap w:val="0"/>
            <w:vAlign w:val="center"/>
          </w:tcPr>
          <w:p w14:paraId="7A50A6A3">
            <w:pPr>
              <w:spacing w:line="360" w:lineRule="exact"/>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219" w:type="dxa"/>
            <w:noWrap w:val="0"/>
            <w:vAlign w:val="center"/>
          </w:tcPr>
          <w:p w14:paraId="62797BC3">
            <w:pPr>
              <w:spacing w:line="360" w:lineRule="exact"/>
              <w:jc w:val="center"/>
              <w:rPr>
                <w:rFonts w:hint="eastAsia" w:ascii="宋体" w:hAnsi="宋体" w:eastAsia="宋体" w:cs="宋体"/>
                <w:sz w:val="21"/>
                <w:szCs w:val="21"/>
              </w:rPr>
            </w:pPr>
          </w:p>
        </w:tc>
        <w:tc>
          <w:tcPr>
            <w:tcW w:w="265" w:type="dxa"/>
            <w:noWrap w:val="0"/>
            <w:vAlign w:val="center"/>
          </w:tcPr>
          <w:p w14:paraId="5F70057F">
            <w:pPr>
              <w:spacing w:line="360" w:lineRule="exact"/>
              <w:jc w:val="center"/>
              <w:rPr>
                <w:rFonts w:hint="eastAsia" w:ascii="宋体" w:hAnsi="宋体" w:eastAsia="宋体" w:cs="宋体"/>
                <w:sz w:val="21"/>
                <w:szCs w:val="21"/>
              </w:rPr>
            </w:pPr>
          </w:p>
        </w:tc>
        <w:tc>
          <w:tcPr>
            <w:tcW w:w="318" w:type="dxa"/>
            <w:noWrap w:val="0"/>
            <w:vAlign w:val="center"/>
          </w:tcPr>
          <w:p w14:paraId="34A51FF7">
            <w:pPr>
              <w:spacing w:line="360" w:lineRule="exact"/>
              <w:jc w:val="center"/>
              <w:rPr>
                <w:rFonts w:hint="eastAsia" w:ascii="宋体" w:hAnsi="宋体" w:eastAsia="宋体" w:cs="宋体"/>
                <w:sz w:val="21"/>
                <w:szCs w:val="21"/>
              </w:rPr>
            </w:pPr>
          </w:p>
        </w:tc>
        <w:tc>
          <w:tcPr>
            <w:tcW w:w="524" w:type="dxa"/>
            <w:noWrap w:val="0"/>
            <w:vAlign w:val="center"/>
          </w:tcPr>
          <w:p w14:paraId="6B5AF7E2">
            <w:pPr>
              <w:spacing w:line="360" w:lineRule="exact"/>
              <w:jc w:val="center"/>
              <w:rPr>
                <w:rFonts w:hint="eastAsia" w:ascii="宋体" w:hAnsi="宋体" w:eastAsia="宋体" w:cs="宋体"/>
                <w:sz w:val="21"/>
                <w:szCs w:val="21"/>
              </w:rPr>
            </w:pPr>
          </w:p>
        </w:tc>
      </w:tr>
      <w:tr w14:paraId="34E85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0C3FB024">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2</w:t>
            </w:r>
          </w:p>
        </w:tc>
        <w:tc>
          <w:tcPr>
            <w:tcW w:w="2628" w:type="dxa"/>
            <w:noWrap w:val="0"/>
            <w:vAlign w:val="center"/>
          </w:tcPr>
          <w:p w14:paraId="231813E3">
            <w:pPr>
              <w:spacing w:line="360" w:lineRule="exact"/>
              <w:rPr>
                <w:rFonts w:hint="eastAsia" w:ascii="宋体" w:hAnsi="宋体" w:eastAsia="宋体" w:cs="宋体"/>
                <w:sz w:val="21"/>
                <w:szCs w:val="21"/>
              </w:rPr>
            </w:pPr>
            <w:r>
              <w:rPr>
                <w:rFonts w:hint="eastAsia" w:ascii="宋体" w:hAnsi="宋体" w:eastAsia="宋体" w:cs="宋体"/>
                <w:sz w:val="21"/>
                <w:szCs w:val="21"/>
              </w:rPr>
              <w:t>人员要认真学习消防、防恐防暴知识，熟知使用消防、防暴器材的方法。发现消防隐患，及时上报，提出整改意见，避免事故。</w:t>
            </w:r>
          </w:p>
        </w:tc>
        <w:tc>
          <w:tcPr>
            <w:tcW w:w="649" w:type="dxa"/>
            <w:noWrap w:val="0"/>
            <w:vAlign w:val="center"/>
          </w:tcPr>
          <w:p w14:paraId="6D9E49F0">
            <w:pPr>
              <w:spacing w:line="360" w:lineRule="exact"/>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219" w:type="dxa"/>
            <w:noWrap w:val="0"/>
            <w:vAlign w:val="center"/>
          </w:tcPr>
          <w:p w14:paraId="303B3729">
            <w:pPr>
              <w:spacing w:line="360" w:lineRule="exact"/>
              <w:jc w:val="center"/>
              <w:rPr>
                <w:rFonts w:hint="eastAsia" w:ascii="宋体" w:hAnsi="宋体" w:eastAsia="宋体" w:cs="宋体"/>
                <w:sz w:val="21"/>
                <w:szCs w:val="21"/>
              </w:rPr>
            </w:pPr>
          </w:p>
        </w:tc>
        <w:tc>
          <w:tcPr>
            <w:tcW w:w="265" w:type="dxa"/>
            <w:noWrap w:val="0"/>
            <w:vAlign w:val="center"/>
          </w:tcPr>
          <w:p w14:paraId="015C54F4">
            <w:pPr>
              <w:spacing w:line="360" w:lineRule="exact"/>
              <w:jc w:val="center"/>
              <w:rPr>
                <w:rFonts w:hint="eastAsia" w:ascii="宋体" w:hAnsi="宋体" w:eastAsia="宋体" w:cs="宋体"/>
                <w:sz w:val="21"/>
                <w:szCs w:val="21"/>
              </w:rPr>
            </w:pPr>
          </w:p>
        </w:tc>
        <w:tc>
          <w:tcPr>
            <w:tcW w:w="318" w:type="dxa"/>
            <w:noWrap w:val="0"/>
            <w:vAlign w:val="center"/>
          </w:tcPr>
          <w:p w14:paraId="28AD42C1">
            <w:pPr>
              <w:spacing w:line="360" w:lineRule="exact"/>
              <w:jc w:val="center"/>
              <w:rPr>
                <w:rFonts w:hint="eastAsia" w:ascii="宋体" w:hAnsi="宋体" w:eastAsia="宋体" w:cs="宋体"/>
                <w:sz w:val="21"/>
                <w:szCs w:val="21"/>
              </w:rPr>
            </w:pPr>
          </w:p>
        </w:tc>
        <w:tc>
          <w:tcPr>
            <w:tcW w:w="524" w:type="dxa"/>
            <w:noWrap w:val="0"/>
            <w:vAlign w:val="center"/>
          </w:tcPr>
          <w:p w14:paraId="39FA2A3F">
            <w:pPr>
              <w:spacing w:line="360" w:lineRule="exact"/>
              <w:jc w:val="center"/>
              <w:rPr>
                <w:rFonts w:hint="eastAsia" w:ascii="宋体" w:hAnsi="宋体" w:eastAsia="宋体" w:cs="宋体"/>
                <w:sz w:val="21"/>
                <w:szCs w:val="21"/>
              </w:rPr>
            </w:pPr>
          </w:p>
        </w:tc>
      </w:tr>
      <w:tr w14:paraId="3672E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25B4DF39">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3</w:t>
            </w:r>
          </w:p>
        </w:tc>
        <w:tc>
          <w:tcPr>
            <w:tcW w:w="2628" w:type="dxa"/>
            <w:noWrap w:val="0"/>
            <w:vAlign w:val="center"/>
          </w:tcPr>
          <w:p w14:paraId="33B2C9BC">
            <w:pPr>
              <w:spacing w:line="360" w:lineRule="exact"/>
              <w:rPr>
                <w:rFonts w:hint="eastAsia" w:ascii="宋体" w:hAnsi="宋体" w:eastAsia="宋体" w:cs="宋体"/>
                <w:sz w:val="21"/>
                <w:szCs w:val="21"/>
              </w:rPr>
            </w:pPr>
            <w:r>
              <w:rPr>
                <w:rFonts w:hint="eastAsia" w:ascii="宋体" w:hAnsi="宋体" w:eastAsia="宋体" w:cs="宋体"/>
                <w:sz w:val="21"/>
                <w:szCs w:val="21"/>
              </w:rPr>
              <w:t>发生突发事件（如停电、停水等）要及时赶到现场处理，并及时向有关领导报告。</w:t>
            </w:r>
          </w:p>
        </w:tc>
        <w:tc>
          <w:tcPr>
            <w:tcW w:w="649" w:type="dxa"/>
            <w:noWrap w:val="0"/>
            <w:vAlign w:val="center"/>
          </w:tcPr>
          <w:p w14:paraId="19E60083">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3D12C96C">
            <w:pPr>
              <w:spacing w:line="360" w:lineRule="exact"/>
              <w:jc w:val="center"/>
              <w:rPr>
                <w:rFonts w:hint="eastAsia" w:ascii="宋体" w:hAnsi="宋体" w:eastAsia="宋体" w:cs="宋体"/>
                <w:sz w:val="21"/>
                <w:szCs w:val="21"/>
              </w:rPr>
            </w:pPr>
          </w:p>
        </w:tc>
        <w:tc>
          <w:tcPr>
            <w:tcW w:w="265" w:type="dxa"/>
            <w:noWrap w:val="0"/>
            <w:vAlign w:val="center"/>
          </w:tcPr>
          <w:p w14:paraId="2175BCB4">
            <w:pPr>
              <w:spacing w:line="360" w:lineRule="exact"/>
              <w:jc w:val="center"/>
              <w:rPr>
                <w:rFonts w:hint="eastAsia" w:ascii="宋体" w:hAnsi="宋体" w:eastAsia="宋体" w:cs="宋体"/>
                <w:sz w:val="21"/>
                <w:szCs w:val="21"/>
              </w:rPr>
            </w:pPr>
          </w:p>
        </w:tc>
        <w:tc>
          <w:tcPr>
            <w:tcW w:w="318" w:type="dxa"/>
            <w:noWrap w:val="0"/>
            <w:vAlign w:val="center"/>
          </w:tcPr>
          <w:p w14:paraId="41671533">
            <w:pPr>
              <w:spacing w:line="360" w:lineRule="exact"/>
              <w:jc w:val="center"/>
              <w:rPr>
                <w:rFonts w:hint="eastAsia" w:ascii="宋体" w:hAnsi="宋体" w:eastAsia="宋体" w:cs="宋体"/>
                <w:sz w:val="21"/>
                <w:szCs w:val="21"/>
              </w:rPr>
            </w:pPr>
          </w:p>
        </w:tc>
        <w:tc>
          <w:tcPr>
            <w:tcW w:w="524" w:type="dxa"/>
            <w:noWrap w:val="0"/>
            <w:vAlign w:val="center"/>
          </w:tcPr>
          <w:p w14:paraId="517C763F">
            <w:pPr>
              <w:spacing w:line="360" w:lineRule="exact"/>
              <w:jc w:val="center"/>
              <w:rPr>
                <w:rFonts w:hint="eastAsia" w:ascii="宋体" w:hAnsi="宋体" w:eastAsia="宋体" w:cs="宋体"/>
                <w:sz w:val="21"/>
                <w:szCs w:val="21"/>
              </w:rPr>
            </w:pPr>
          </w:p>
        </w:tc>
      </w:tr>
      <w:tr w14:paraId="73A81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4ED693CD">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4</w:t>
            </w:r>
          </w:p>
        </w:tc>
        <w:tc>
          <w:tcPr>
            <w:tcW w:w="2628" w:type="dxa"/>
            <w:noWrap w:val="0"/>
            <w:vAlign w:val="center"/>
          </w:tcPr>
          <w:p w14:paraId="456F4F28">
            <w:pPr>
              <w:spacing w:line="360" w:lineRule="exact"/>
              <w:rPr>
                <w:rFonts w:hint="eastAsia" w:ascii="宋体" w:hAnsi="宋体" w:eastAsia="宋体" w:cs="宋体"/>
                <w:sz w:val="21"/>
                <w:szCs w:val="21"/>
              </w:rPr>
            </w:pPr>
            <w:r>
              <w:rPr>
                <w:rFonts w:hint="eastAsia" w:ascii="宋体" w:hAnsi="宋体" w:eastAsia="宋体" w:cs="宋体"/>
                <w:sz w:val="21"/>
                <w:szCs w:val="21"/>
              </w:rPr>
              <w:t>确保项目内的治安安全，按上级要求，及时纠正和处理治安安全事件。</w:t>
            </w:r>
          </w:p>
        </w:tc>
        <w:tc>
          <w:tcPr>
            <w:tcW w:w="649" w:type="dxa"/>
            <w:noWrap w:val="0"/>
            <w:vAlign w:val="center"/>
          </w:tcPr>
          <w:p w14:paraId="029D057D">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4819A87D">
            <w:pPr>
              <w:spacing w:line="360" w:lineRule="exact"/>
              <w:jc w:val="center"/>
              <w:rPr>
                <w:rFonts w:hint="eastAsia" w:ascii="宋体" w:hAnsi="宋体" w:eastAsia="宋体" w:cs="宋体"/>
                <w:sz w:val="21"/>
                <w:szCs w:val="21"/>
              </w:rPr>
            </w:pPr>
          </w:p>
        </w:tc>
        <w:tc>
          <w:tcPr>
            <w:tcW w:w="265" w:type="dxa"/>
            <w:noWrap w:val="0"/>
            <w:vAlign w:val="center"/>
          </w:tcPr>
          <w:p w14:paraId="2AC4E3E5">
            <w:pPr>
              <w:spacing w:line="360" w:lineRule="exact"/>
              <w:jc w:val="center"/>
              <w:rPr>
                <w:rFonts w:hint="eastAsia" w:ascii="宋体" w:hAnsi="宋体" w:eastAsia="宋体" w:cs="宋体"/>
                <w:sz w:val="21"/>
                <w:szCs w:val="21"/>
              </w:rPr>
            </w:pPr>
          </w:p>
        </w:tc>
        <w:tc>
          <w:tcPr>
            <w:tcW w:w="318" w:type="dxa"/>
            <w:noWrap w:val="0"/>
            <w:vAlign w:val="center"/>
          </w:tcPr>
          <w:p w14:paraId="29AD5D21">
            <w:pPr>
              <w:spacing w:line="360" w:lineRule="exact"/>
              <w:jc w:val="center"/>
              <w:rPr>
                <w:rFonts w:hint="eastAsia" w:ascii="宋体" w:hAnsi="宋体" w:eastAsia="宋体" w:cs="宋体"/>
                <w:sz w:val="21"/>
                <w:szCs w:val="21"/>
              </w:rPr>
            </w:pPr>
          </w:p>
        </w:tc>
        <w:tc>
          <w:tcPr>
            <w:tcW w:w="524" w:type="dxa"/>
            <w:noWrap w:val="0"/>
            <w:vAlign w:val="center"/>
          </w:tcPr>
          <w:p w14:paraId="40491CC6">
            <w:pPr>
              <w:spacing w:line="360" w:lineRule="exact"/>
              <w:jc w:val="center"/>
              <w:rPr>
                <w:rFonts w:hint="eastAsia" w:ascii="宋体" w:hAnsi="宋体" w:eastAsia="宋体" w:cs="宋体"/>
                <w:sz w:val="21"/>
                <w:szCs w:val="21"/>
              </w:rPr>
            </w:pPr>
          </w:p>
        </w:tc>
      </w:tr>
      <w:tr w14:paraId="1DFC1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67CDB986">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5</w:t>
            </w:r>
          </w:p>
        </w:tc>
        <w:tc>
          <w:tcPr>
            <w:tcW w:w="2628" w:type="dxa"/>
            <w:noWrap w:val="0"/>
            <w:vAlign w:val="center"/>
          </w:tcPr>
          <w:p w14:paraId="0FCF4AE6">
            <w:pPr>
              <w:spacing w:line="360" w:lineRule="exact"/>
              <w:rPr>
                <w:rFonts w:hint="eastAsia" w:ascii="宋体" w:hAnsi="宋体" w:eastAsia="宋体" w:cs="宋体"/>
                <w:sz w:val="21"/>
                <w:szCs w:val="21"/>
              </w:rPr>
            </w:pPr>
            <w:r>
              <w:rPr>
                <w:rFonts w:hint="eastAsia" w:ascii="宋体" w:hAnsi="宋体" w:eastAsia="宋体" w:cs="宋体"/>
                <w:sz w:val="21"/>
                <w:szCs w:val="21"/>
              </w:rPr>
              <w:t>上下团结，齐心协力，为整体物业工作出力献策。</w:t>
            </w:r>
          </w:p>
        </w:tc>
        <w:tc>
          <w:tcPr>
            <w:tcW w:w="649" w:type="dxa"/>
            <w:noWrap w:val="0"/>
            <w:vAlign w:val="center"/>
          </w:tcPr>
          <w:p w14:paraId="25C2F4E6">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0DD43AC7">
            <w:pPr>
              <w:spacing w:line="360" w:lineRule="exact"/>
              <w:jc w:val="center"/>
              <w:rPr>
                <w:rFonts w:hint="eastAsia" w:ascii="宋体" w:hAnsi="宋体" w:eastAsia="宋体" w:cs="宋体"/>
                <w:sz w:val="21"/>
                <w:szCs w:val="21"/>
              </w:rPr>
            </w:pPr>
          </w:p>
        </w:tc>
        <w:tc>
          <w:tcPr>
            <w:tcW w:w="265" w:type="dxa"/>
            <w:noWrap w:val="0"/>
            <w:vAlign w:val="center"/>
          </w:tcPr>
          <w:p w14:paraId="202958A7">
            <w:pPr>
              <w:spacing w:line="360" w:lineRule="exact"/>
              <w:jc w:val="center"/>
              <w:rPr>
                <w:rFonts w:hint="eastAsia" w:ascii="宋体" w:hAnsi="宋体" w:eastAsia="宋体" w:cs="宋体"/>
                <w:sz w:val="21"/>
                <w:szCs w:val="21"/>
              </w:rPr>
            </w:pPr>
          </w:p>
        </w:tc>
        <w:tc>
          <w:tcPr>
            <w:tcW w:w="318" w:type="dxa"/>
            <w:noWrap w:val="0"/>
            <w:vAlign w:val="center"/>
          </w:tcPr>
          <w:p w14:paraId="29034ECC">
            <w:pPr>
              <w:spacing w:line="360" w:lineRule="exact"/>
              <w:jc w:val="center"/>
              <w:rPr>
                <w:rFonts w:hint="eastAsia" w:ascii="宋体" w:hAnsi="宋体" w:eastAsia="宋体" w:cs="宋体"/>
                <w:sz w:val="21"/>
                <w:szCs w:val="21"/>
              </w:rPr>
            </w:pPr>
          </w:p>
        </w:tc>
        <w:tc>
          <w:tcPr>
            <w:tcW w:w="524" w:type="dxa"/>
            <w:noWrap w:val="0"/>
            <w:vAlign w:val="center"/>
          </w:tcPr>
          <w:p w14:paraId="3F728497">
            <w:pPr>
              <w:spacing w:line="360" w:lineRule="exact"/>
              <w:jc w:val="center"/>
              <w:rPr>
                <w:rFonts w:hint="eastAsia" w:ascii="宋体" w:hAnsi="宋体" w:eastAsia="宋体" w:cs="宋体"/>
                <w:sz w:val="21"/>
                <w:szCs w:val="21"/>
              </w:rPr>
            </w:pPr>
          </w:p>
        </w:tc>
      </w:tr>
      <w:tr w14:paraId="3C538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994" w:type="dxa"/>
            <w:gridSpan w:val="2"/>
            <w:noWrap w:val="0"/>
            <w:vAlign w:val="center"/>
          </w:tcPr>
          <w:p w14:paraId="1FB2601A">
            <w:pPr>
              <w:spacing w:line="360" w:lineRule="exact"/>
              <w:jc w:val="center"/>
              <w:rPr>
                <w:rFonts w:hint="eastAsia" w:ascii="宋体" w:hAnsi="宋体" w:eastAsia="宋体" w:cs="宋体"/>
                <w:sz w:val="21"/>
                <w:szCs w:val="21"/>
              </w:rPr>
            </w:pPr>
            <w:r>
              <w:rPr>
                <w:rFonts w:hint="eastAsia" w:ascii="宋体" w:hAnsi="宋体" w:eastAsia="宋体" w:cs="宋体"/>
                <w:b/>
                <w:sz w:val="21"/>
                <w:szCs w:val="21"/>
              </w:rPr>
              <w:t>小  计</w:t>
            </w:r>
          </w:p>
        </w:tc>
        <w:tc>
          <w:tcPr>
            <w:tcW w:w="649" w:type="dxa"/>
            <w:noWrap w:val="0"/>
            <w:vAlign w:val="center"/>
          </w:tcPr>
          <w:p w14:paraId="37F60399">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100</w:t>
            </w:r>
          </w:p>
        </w:tc>
        <w:tc>
          <w:tcPr>
            <w:tcW w:w="219" w:type="dxa"/>
            <w:noWrap w:val="0"/>
            <w:vAlign w:val="center"/>
          </w:tcPr>
          <w:p w14:paraId="1EDD89B6">
            <w:pPr>
              <w:spacing w:line="360" w:lineRule="exact"/>
              <w:jc w:val="center"/>
              <w:rPr>
                <w:rFonts w:hint="eastAsia" w:ascii="宋体" w:hAnsi="宋体" w:eastAsia="宋体" w:cs="宋体"/>
                <w:sz w:val="21"/>
                <w:szCs w:val="21"/>
              </w:rPr>
            </w:pPr>
          </w:p>
        </w:tc>
        <w:tc>
          <w:tcPr>
            <w:tcW w:w="265" w:type="dxa"/>
            <w:noWrap w:val="0"/>
            <w:vAlign w:val="center"/>
          </w:tcPr>
          <w:p w14:paraId="1E7D2E21">
            <w:pPr>
              <w:spacing w:line="360" w:lineRule="exact"/>
              <w:jc w:val="center"/>
              <w:rPr>
                <w:rFonts w:hint="eastAsia" w:ascii="宋体" w:hAnsi="宋体" w:eastAsia="宋体" w:cs="宋体"/>
                <w:sz w:val="21"/>
                <w:szCs w:val="21"/>
              </w:rPr>
            </w:pPr>
          </w:p>
        </w:tc>
        <w:tc>
          <w:tcPr>
            <w:tcW w:w="318" w:type="dxa"/>
            <w:noWrap w:val="0"/>
            <w:vAlign w:val="center"/>
          </w:tcPr>
          <w:p w14:paraId="3BEB2A0D">
            <w:pPr>
              <w:spacing w:line="360" w:lineRule="exact"/>
              <w:jc w:val="center"/>
              <w:rPr>
                <w:rFonts w:hint="eastAsia" w:ascii="宋体" w:hAnsi="宋体" w:eastAsia="宋体" w:cs="宋体"/>
                <w:sz w:val="21"/>
                <w:szCs w:val="21"/>
              </w:rPr>
            </w:pPr>
          </w:p>
        </w:tc>
        <w:tc>
          <w:tcPr>
            <w:tcW w:w="524" w:type="dxa"/>
            <w:noWrap w:val="0"/>
            <w:vAlign w:val="center"/>
          </w:tcPr>
          <w:p w14:paraId="68CF1A83">
            <w:pPr>
              <w:spacing w:line="360" w:lineRule="exact"/>
              <w:jc w:val="center"/>
              <w:rPr>
                <w:rFonts w:hint="eastAsia" w:ascii="宋体" w:hAnsi="宋体" w:eastAsia="宋体" w:cs="宋体"/>
                <w:sz w:val="21"/>
                <w:szCs w:val="21"/>
              </w:rPr>
            </w:pPr>
          </w:p>
        </w:tc>
      </w:tr>
      <w:tr w14:paraId="50830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4" w:hRule="exact"/>
          <w:jc w:val="center"/>
        </w:trPr>
        <w:tc>
          <w:tcPr>
            <w:tcW w:w="9913" w:type="dxa"/>
            <w:gridSpan w:val="7"/>
            <w:noWrap w:val="0"/>
            <w:vAlign w:val="center"/>
          </w:tcPr>
          <w:p w14:paraId="57F750B8">
            <w:pPr>
              <w:spacing w:line="360" w:lineRule="exact"/>
              <w:ind w:left="27" w:hanging="27"/>
              <w:jc w:val="left"/>
              <w:rPr>
                <w:rFonts w:hint="eastAsia" w:ascii="宋体" w:hAnsi="宋体" w:eastAsia="宋体" w:cs="宋体"/>
                <w:sz w:val="21"/>
                <w:szCs w:val="21"/>
              </w:rPr>
            </w:pPr>
            <w:r>
              <w:rPr>
                <w:rFonts w:hint="eastAsia" w:ascii="宋体" w:hAnsi="宋体" w:eastAsia="宋体" w:cs="宋体"/>
                <w:sz w:val="21"/>
                <w:szCs w:val="21"/>
              </w:rPr>
              <w:t>备注：1、甲方将对物业服务情况每月进行一次专项考核，每季度进行一次全面考核。2、物业人员表现突出者，可适当给于相应加分。3、在备注栏里对加分、扣分情况进行说明。</w:t>
            </w:r>
          </w:p>
        </w:tc>
      </w:tr>
    </w:tbl>
    <w:p w14:paraId="436A2295">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rPr>
      </w:pPr>
      <w:r>
        <w:rPr>
          <w:rFonts w:hint="eastAsia" w:ascii="宋体" w:hAnsi="宋体" w:cs="宋体"/>
          <w:b/>
          <w:bCs/>
          <w:sz w:val="24"/>
        </w:rPr>
        <w:t>三、考核的组织人员与实施</w:t>
      </w:r>
    </w:p>
    <w:p w14:paraId="3CA40B6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bCs/>
          <w:sz w:val="24"/>
        </w:rPr>
      </w:pPr>
      <w:r>
        <w:rPr>
          <w:rFonts w:hint="eastAsia" w:ascii="宋体" w:hAnsi="宋体" w:cs="宋体"/>
          <w:bCs/>
          <w:sz w:val="24"/>
        </w:rPr>
        <w:t>1、校方成立由物业管理考核小组，具体工作由总务处牵头，具体负责相关考核工作。考核小组依据百分考核情况（满分为100分）。</w:t>
      </w:r>
    </w:p>
    <w:p w14:paraId="7210AB2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bCs/>
          <w:sz w:val="24"/>
        </w:rPr>
      </w:pPr>
      <w:r>
        <w:rPr>
          <w:rFonts w:hint="eastAsia" w:ascii="宋体" w:hAnsi="宋体" w:cs="宋体"/>
          <w:bCs/>
          <w:sz w:val="24"/>
        </w:rPr>
        <w:t xml:space="preserve">2、考核小组定期对物管服务进行考核，编制物业管理工作考核表。  </w:t>
      </w:r>
    </w:p>
    <w:p w14:paraId="18A3AB60">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rPr>
      </w:pPr>
      <w:r>
        <w:rPr>
          <w:rFonts w:hint="eastAsia" w:ascii="宋体" w:hAnsi="宋体" w:cs="宋体"/>
          <w:b/>
          <w:bCs/>
          <w:sz w:val="24"/>
        </w:rPr>
        <w:t>四、考核的认定与评判</w:t>
      </w:r>
    </w:p>
    <w:p w14:paraId="06D28B2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bCs/>
          <w:sz w:val="24"/>
        </w:rPr>
      </w:pPr>
      <w:r>
        <w:rPr>
          <w:rFonts w:hint="eastAsia" w:ascii="宋体" w:hAnsi="宋体" w:cs="宋体"/>
          <w:bCs/>
          <w:sz w:val="24"/>
        </w:rPr>
        <w:t>1、考核标准：综合得分90分以上为优秀；80至90分为良好；70至80分为合格；70分以下为不合格。</w:t>
      </w:r>
    </w:p>
    <w:p w14:paraId="43157BA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bCs/>
          <w:sz w:val="24"/>
        </w:rPr>
      </w:pPr>
      <w:r>
        <w:rPr>
          <w:rFonts w:hint="eastAsia" w:ascii="宋体" w:hAnsi="宋体" w:cs="宋体"/>
          <w:bCs/>
          <w:sz w:val="24"/>
        </w:rPr>
        <w:t>2、意见反馈：校方将考核结果三日内反馈物业公司，物业公司必须在一周内整改到位，考核不合格将按照合同约定中的条款进行处理，直至解除合同。 同时考核结果作为物业公司下次在我校投标、中标的参考依据。</w:t>
      </w:r>
    </w:p>
    <w:p w14:paraId="64FFF48E">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ascii="宋体" w:hAnsi="宋体" w:cs="宋体"/>
          <w:b/>
          <w:bCs/>
          <w:sz w:val="24"/>
        </w:rPr>
      </w:pPr>
      <w:r>
        <w:rPr>
          <w:rFonts w:hint="eastAsia" w:ascii="宋体" w:hAnsi="宋体" w:cs="宋体"/>
          <w:b/>
          <w:bCs/>
          <w:sz w:val="24"/>
        </w:rPr>
        <w:t>五、考核奖惩</w:t>
      </w:r>
    </w:p>
    <w:p w14:paraId="587C77EF">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cs="宋体"/>
          <w:b/>
          <w:bCs/>
          <w:sz w:val="24"/>
        </w:rPr>
      </w:pPr>
      <w:r>
        <w:rPr>
          <w:rFonts w:hint="eastAsia" w:ascii="宋体" w:hAnsi="宋体" w:cs="宋体"/>
          <w:b/>
          <w:bCs/>
          <w:sz w:val="24"/>
        </w:rPr>
        <w:t>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p>
    <w:p w14:paraId="4DE9F7EB">
      <w:pPr>
        <w:spacing w:line="560" w:lineRule="exact"/>
        <w:ind w:firstLine="482"/>
        <w:jc w:val="center"/>
        <w:rPr>
          <w:rFonts w:ascii="黑体" w:hAnsi="黑体" w:eastAsia="黑体" w:cs="黑体"/>
          <w:sz w:val="44"/>
          <w:szCs w:val="44"/>
        </w:rPr>
      </w:pPr>
      <w:r>
        <w:rPr>
          <w:rFonts w:hint="eastAsia" w:ascii="宋体" w:hAnsi="宋体" w:cs="宋体"/>
          <w:bCs/>
          <w:sz w:val="24"/>
        </w:rPr>
        <w:br w:type="page" w:clear="all"/>
      </w:r>
      <w:r>
        <w:rPr>
          <w:rFonts w:hint="eastAsia" w:ascii="黑体" w:hAnsi="黑体" w:eastAsia="黑体" w:cs="黑体"/>
          <w:sz w:val="44"/>
          <w:szCs w:val="44"/>
        </w:rPr>
        <w:t>第四章 采购需求</w:t>
      </w:r>
      <w:bookmarkEnd w:id="3"/>
    </w:p>
    <w:p w14:paraId="57B5BB63">
      <w:pPr>
        <w:widowControl/>
        <w:spacing w:line="560" w:lineRule="exact"/>
        <w:ind w:firstLine="480"/>
        <w:rPr>
          <w:rFonts w:ascii="宋体" w:hAnsi="宋体" w:cs="宋体"/>
          <w:b/>
          <w:bCs/>
          <w:sz w:val="24"/>
          <w:szCs w:val="20"/>
          <w:lang w:val="zh-CN"/>
        </w:rPr>
      </w:pPr>
      <w:bookmarkStart w:id="4" w:name="_Toc49090575"/>
      <w:bookmarkStart w:id="5" w:name="_Toc26554093"/>
      <w:bookmarkStart w:id="6" w:name="_Toc20321"/>
      <w:r>
        <w:rPr>
          <w:rFonts w:hint="eastAsia" w:ascii="宋体" w:hAnsi="宋体" w:cs="宋体"/>
          <w:b/>
          <w:bCs/>
          <w:sz w:val="24"/>
          <w:szCs w:val="20"/>
          <w:lang w:val="zh-CN"/>
        </w:rPr>
        <w:t>项目属性:服务类项目。</w:t>
      </w:r>
    </w:p>
    <w:p w14:paraId="671F8B82">
      <w:pPr>
        <w:widowControl/>
        <w:spacing w:line="560" w:lineRule="exact"/>
        <w:ind w:firstLine="480"/>
        <w:rPr>
          <w:rFonts w:ascii="宋体" w:hAnsi="宋体" w:cs="宋体"/>
          <w:b/>
          <w:bCs/>
          <w:sz w:val="24"/>
          <w:szCs w:val="20"/>
        </w:rPr>
      </w:pPr>
      <w:r>
        <w:rPr>
          <w:rFonts w:hint="eastAsia" w:ascii="宋体" w:hAnsi="宋体" w:cs="宋体"/>
          <w:b/>
          <w:bCs/>
          <w:sz w:val="24"/>
          <w:szCs w:val="20"/>
        </w:rPr>
        <w:t>一、项目基本概况</w:t>
      </w:r>
    </w:p>
    <w:tbl>
      <w:tblPr>
        <w:tblStyle w:val="29"/>
        <w:tblW w:w="91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23"/>
        <w:gridCol w:w="4436"/>
      </w:tblGrid>
      <w:tr w14:paraId="04554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4723" w:type="dxa"/>
            <w:noWrap w:val="0"/>
            <w:vAlign w:val="top"/>
          </w:tcPr>
          <w:p w14:paraId="09F6ED76">
            <w:pPr>
              <w:spacing w:line="560" w:lineRule="exact"/>
              <w:jc w:val="center"/>
              <w:rPr>
                <w:rFonts w:ascii="宋体" w:hAnsi="宋体" w:cs="宋体"/>
                <w:sz w:val="24"/>
                <w:lang w:bidi="ar"/>
              </w:rPr>
            </w:pPr>
            <w:r>
              <w:rPr>
                <w:rFonts w:hint="eastAsia" w:ascii="宋体" w:hAnsi="宋体" w:cs="宋体"/>
                <w:sz w:val="24"/>
                <w:lang w:bidi="ar"/>
              </w:rPr>
              <w:t>物业名称</w:t>
            </w:r>
          </w:p>
        </w:tc>
        <w:tc>
          <w:tcPr>
            <w:tcW w:w="4436" w:type="dxa"/>
            <w:noWrap w:val="0"/>
            <w:vAlign w:val="top"/>
          </w:tcPr>
          <w:p w14:paraId="1184786A">
            <w:pPr>
              <w:spacing w:line="560" w:lineRule="exact"/>
              <w:jc w:val="center"/>
              <w:rPr>
                <w:rFonts w:ascii="宋体" w:hAnsi="宋体" w:cs="宋体"/>
                <w:sz w:val="24"/>
                <w:lang w:bidi="ar"/>
              </w:rPr>
            </w:pPr>
            <w:r>
              <w:rPr>
                <w:rFonts w:hint="eastAsia" w:ascii="宋体" w:hAnsi="宋体" w:cs="宋体"/>
                <w:sz w:val="24"/>
                <w:lang w:bidi="ar"/>
              </w:rPr>
              <w:t>物业地址</w:t>
            </w:r>
          </w:p>
        </w:tc>
      </w:tr>
      <w:tr w14:paraId="01DC8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jc w:val="center"/>
        </w:trPr>
        <w:tc>
          <w:tcPr>
            <w:tcW w:w="4723" w:type="dxa"/>
            <w:noWrap w:val="0"/>
            <w:vAlign w:val="top"/>
          </w:tcPr>
          <w:p w14:paraId="108D15D8">
            <w:pPr>
              <w:spacing w:line="560" w:lineRule="exact"/>
              <w:jc w:val="center"/>
              <w:rPr>
                <w:rFonts w:ascii="宋体" w:hAnsi="宋体" w:cs="宋体"/>
                <w:sz w:val="24"/>
                <w:lang w:bidi="ar"/>
              </w:rPr>
            </w:pPr>
            <w:r>
              <w:rPr>
                <w:rFonts w:hint="eastAsia" w:ascii="宋体" w:hAnsi="宋体" w:cs="宋体"/>
                <w:color w:val="000000"/>
                <w:sz w:val="24"/>
                <w:szCs w:val="20"/>
                <w:lang w:val="en-US" w:eastAsia="zh-CN"/>
              </w:rPr>
              <w:t>盐城市妇联实验幼儿园</w:t>
            </w:r>
            <w:r>
              <w:rPr>
                <w:rFonts w:hint="eastAsia" w:ascii="宋体" w:hAnsi="宋体" w:eastAsia="宋体" w:cs="宋体"/>
                <w:color w:val="000000"/>
                <w:sz w:val="24"/>
                <w:szCs w:val="20"/>
                <w:lang w:val="en-US" w:eastAsia="zh-CN"/>
              </w:rPr>
              <w:t>物业服务</w:t>
            </w:r>
          </w:p>
        </w:tc>
        <w:tc>
          <w:tcPr>
            <w:tcW w:w="4436" w:type="dxa"/>
            <w:noWrap w:val="0"/>
            <w:vAlign w:val="top"/>
          </w:tcPr>
          <w:p w14:paraId="1678D874">
            <w:pPr>
              <w:widowControl/>
              <w:spacing w:line="560" w:lineRule="exact"/>
              <w:jc w:val="center"/>
              <w:rPr>
                <w:rFonts w:ascii="宋体" w:hAnsi="宋体" w:cs="宋体"/>
                <w:sz w:val="24"/>
                <w:lang w:bidi="ar"/>
              </w:rPr>
            </w:pPr>
            <w:r>
              <w:rPr>
                <w:rFonts w:hint="eastAsia" w:ascii="宋体" w:hAnsi="宋体" w:cs="宋体"/>
                <w:color w:val="000000"/>
                <w:sz w:val="24"/>
                <w:szCs w:val="20"/>
                <w:lang w:val="en-US" w:eastAsia="zh-CN"/>
              </w:rPr>
              <w:t>江苏省盐城市亭湖区开放大道北路43号</w:t>
            </w:r>
          </w:p>
        </w:tc>
      </w:tr>
    </w:tbl>
    <w:p w14:paraId="3F347D6E">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服务</w:t>
      </w:r>
      <w:r>
        <w:rPr>
          <w:rFonts w:hint="eastAsia" w:ascii="宋体" w:hAnsi="宋体" w:eastAsia="宋体" w:cs="宋体"/>
          <w:color w:val="000000"/>
          <w:sz w:val="24"/>
          <w:szCs w:val="20"/>
          <w:lang w:val="en-US" w:eastAsia="zh-CN"/>
        </w:rPr>
        <w:t>内容</w:t>
      </w:r>
      <w:r>
        <w:rPr>
          <w:rFonts w:hint="eastAsia" w:ascii="宋体" w:hAnsi="宋体" w:eastAsia="宋体" w:cs="宋体"/>
          <w:color w:val="000000"/>
          <w:sz w:val="24"/>
          <w:szCs w:val="20"/>
        </w:rPr>
        <w:t>：包括学校区域</w:t>
      </w:r>
      <w:r>
        <w:rPr>
          <w:rFonts w:hint="eastAsia" w:ascii="宋体" w:hAnsi="宋体" w:eastAsia="宋体" w:cs="宋体"/>
          <w:color w:val="000000"/>
          <w:sz w:val="24"/>
          <w:szCs w:val="20"/>
          <w:lang w:val="en-US" w:eastAsia="zh-CN"/>
        </w:rPr>
        <w:t>内</w:t>
      </w:r>
      <w:r>
        <w:rPr>
          <w:rFonts w:hint="eastAsia" w:ascii="宋体" w:hAnsi="宋体" w:eastAsia="宋体" w:cs="宋体"/>
          <w:color w:val="000000"/>
          <w:sz w:val="24"/>
          <w:szCs w:val="20"/>
        </w:rPr>
        <w:t>但不限于</w:t>
      </w:r>
      <w:r>
        <w:rPr>
          <w:rFonts w:hint="eastAsia" w:ascii="宋体" w:hAnsi="宋体" w:eastAsia="宋体" w:cs="宋体"/>
          <w:color w:val="000000"/>
          <w:sz w:val="24"/>
          <w:szCs w:val="20"/>
          <w:lang w:val="en-US" w:eastAsia="zh-CN"/>
        </w:rPr>
        <w:t>校门口、</w:t>
      </w:r>
      <w:r>
        <w:rPr>
          <w:rFonts w:hint="eastAsia" w:ascii="宋体" w:hAnsi="宋体" w:eastAsia="宋体" w:cs="宋体"/>
          <w:color w:val="000000"/>
          <w:sz w:val="24"/>
          <w:szCs w:val="20"/>
        </w:rPr>
        <w:t>大厅、操场、公共区域、公共厕所、会议室、园长室等</w:t>
      </w:r>
      <w:r>
        <w:rPr>
          <w:rFonts w:hint="eastAsia" w:ascii="宋体" w:hAnsi="宋体" w:eastAsia="宋体" w:cs="宋体"/>
          <w:color w:val="000000"/>
          <w:sz w:val="24"/>
          <w:szCs w:val="20"/>
          <w:lang w:val="en-US" w:eastAsia="zh-CN"/>
        </w:rPr>
        <w:t>区域</w:t>
      </w:r>
      <w:r>
        <w:rPr>
          <w:rFonts w:hint="eastAsia" w:ascii="宋体" w:hAnsi="宋体" w:eastAsia="宋体" w:cs="宋体"/>
          <w:color w:val="000000"/>
          <w:sz w:val="24"/>
          <w:szCs w:val="20"/>
        </w:rPr>
        <w:t>，</w:t>
      </w:r>
      <w:r>
        <w:rPr>
          <w:rFonts w:hint="eastAsia" w:ascii="宋体" w:hAnsi="宋体" w:cs="宋体"/>
          <w:sz w:val="24"/>
          <w:szCs w:val="20"/>
        </w:rPr>
        <w:t>服务项目包含安全保卫、卫生保洁及部分设备维护等内容。</w:t>
      </w:r>
      <w:r>
        <w:rPr>
          <w:rFonts w:hint="eastAsia" w:ascii="宋体" w:hAnsi="宋体" w:eastAsia="宋体" w:cs="宋体"/>
          <w:color w:val="000000"/>
          <w:sz w:val="24"/>
          <w:szCs w:val="20"/>
        </w:rPr>
        <w:t>具体以现场实际情况为准。</w:t>
      </w:r>
    </w:p>
    <w:p w14:paraId="5666DEE6">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宋体" w:hAnsi="宋体" w:cs="宋体"/>
          <w:b/>
          <w:bCs/>
          <w:sz w:val="24"/>
          <w:szCs w:val="20"/>
        </w:rPr>
      </w:pPr>
      <w:r>
        <w:rPr>
          <w:rFonts w:hint="eastAsia" w:ascii="宋体" w:hAnsi="宋体" w:cs="宋体"/>
          <w:b/>
          <w:bCs/>
          <w:sz w:val="24"/>
          <w:szCs w:val="20"/>
        </w:rPr>
        <w:t>二、物业服务范围</w:t>
      </w:r>
    </w:p>
    <w:p w14:paraId="3A33C054">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包括学校区域内的安全保卫（包含但不限于安全防卫、巡查、秩序维护</w:t>
      </w:r>
      <w:r>
        <w:rPr>
          <w:rFonts w:hint="eastAsia" w:ascii="宋体" w:hAnsi="宋体" w:eastAsia="宋体" w:cs="宋体"/>
          <w:color w:val="000000"/>
          <w:sz w:val="24"/>
          <w:szCs w:val="20"/>
          <w:lang w:eastAsia="zh-CN"/>
        </w:rPr>
        <w:t>、</w:t>
      </w:r>
      <w:r>
        <w:rPr>
          <w:rFonts w:hint="eastAsia" w:ascii="宋体" w:hAnsi="宋体" w:eastAsia="宋体" w:cs="宋体"/>
          <w:color w:val="000000"/>
          <w:sz w:val="24"/>
          <w:szCs w:val="20"/>
        </w:rPr>
        <w:t>门口及校内车辆秩序管理</w:t>
      </w:r>
      <w:r>
        <w:rPr>
          <w:rFonts w:hint="eastAsia" w:ascii="宋体" w:hAnsi="宋体" w:eastAsia="宋体" w:cs="宋体"/>
          <w:color w:val="000000"/>
          <w:sz w:val="24"/>
          <w:szCs w:val="20"/>
          <w:lang w:val="en-US" w:eastAsia="zh-CN"/>
        </w:rPr>
        <w:t>等</w:t>
      </w:r>
      <w:r>
        <w:rPr>
          <w:rFonts w:hint="eastAsia" w:ascii="宋体" w:hAnsi="宋体" w:eastAsia="宋体" w:cs="宋体"/>
          <w:color w:val="000000"/>
          <w:sz w:val="24"/>
          <w:szCs w:val="20"/>
        </w:rPr>
        <w:t>）、卫生保洁（包括但不限于大厅、操场、公共区域、一楼公共厕所、会议室、园长室等卫生保洁</w:t>
      </w:r>
      <w:r>
        <w:rPr>
          <w:rFonts w:hint="eastAsia" w:ascii="宋体" w:hAnsi="宋体" w:eastAsia="宋体" w:cs="宋体"/>
          <w:color w:val="000000"/>
          <w:sz w:val="24"/>
          <w:szCs w:val="20"/>
          <w:lang w:eastAsia="zh-CN"/>
        </w:rPr>
        <w:t>，</w:t>
      </w:r>
      <w:r>
        <w:rPr>
          <w:rFonts w:hint="eastAsia" w:ascii="宋体" w:hAnsi="宋体" w:eastAsia="宋体" w:cs="宋体"/>
          <w:color w:val="000000"/>
          <w:sz w:val="24"/>
          <w:szCs w:val="20"/>
        </w:rPr>
        <w:t>垃圾的收集、清运，垃圾桶的清洁</w:t>
      </w:r>
      <w:r>
        <w:rPr>
          <w:rFonts w:hint="eastAsia" w:ascii="宋体" w:hAnsi="宋体" w:eastAsia="宋体" w:cs="宋体"/>
          <w:color w:val="000000"/>
          <w:sz w:val="24"/>
          <w:szCs w:val="20"/>
          <w:lang w:val="en-US" w:eastAsia="zh-CN"/>
        </w:rPr>
        <w:t>及学校区域内的绿化养维护</w:t>
      </w:r>
      <w:r>
        <w:rPr>
          <w:rFonts w:hint="eastAsia" w:ascii="宋体" w:hAnsi="宋体" w:eastAsia="宋体" w:cs="宋体"/>
          <w:color w:val="000000"/>
          <w:sz w:val="24"/>
          <w:szCs w:val="20"/>
        </w:rPr>
        <w:t>）和</w:t>
      </w:r>
      <w:r>
        <w:rPr>
          <w:rFonts w:hint="eastAsia" w:ascii="宋体" w:hAnsi="宋体" w:cs="宋体"/>
          <w:color w:val="000000"/>
          <w:sz w:val="24"/>
          <w:szCs w:val="20"/>
        </w:rPr>
        <w:t>做好给排水、</w:t>
      </w:r>
      <w:r>
        <w:rPr>
          <w:rFonts w:hint="eastAsia" w:ascii="宋体" w:hAnsi="宋体" w:cs="宋体"/>
          <w:color w:val="000000"/>
          <w:sz w:val="24"/>
          <w:szCs w:val="20"/>
          <w:lang w:eastAsia="zh-CN"/>
        </w:rPr>
        <w:t>水电设备维修</w:t>
      </w:r>
      <w:r>
        <w:rPr>
          <w:rFonts w:hint="eastAsia" w:ascii="宋体" w:hAnsi="宋体" w:cs="宋体"/>
          <w:color w:val="000000"/>
          <w:sz w:val="24"/>
          <w:szCs w:val="20"/>
        </w:rPr>
        <w:t>维护保养工作，及时清理</w:t>
      </w:r>
      <w:r>
        <w:rPr>
          <w:rFonts w:hint="eastAsia" w:ascii="宋体" w:hAnsi="宋体" w:cs="宋体"/>
          <w:color w:val="000000"/>
          <w:sz w:val="24"/>
          <w:szCs w:val="20"/>
          <w:lang w:eastAsia="zh-CN"/>
        </w:rPr>
        <w:t>涉水电</w:t>
      </w:r>
      <w:r>
        <w:rPr>
          <w:rFonts w:hint="eastAsia" w:ascii="宋体" w:hAnsi="宋体" w:cs="宋体"/>
          <w:color w:val="000000"/>
          <w:sz w:val="24"/>
          <w:szCs w:val="20"/>
        </w:rPr>
        <w:t>垃圾</w:t>
      </w:r>
      <w:r>
        <w:rPr>
          <w:rFonts w:hint="eastAsia" w:ascii="宋体" w:hAnsi="宋体" w:cs="宋体"/>
          <w:color w:val="000000"/>
          <w:sz w:val="24"/>
          <w:szCs w:val="20"/>
          <w:lang w:eastAsia="zh-CN"/>
        </w:rPr>
        <w:t>清理</w:t>
      </w:r>
      <w:r>
        <w:rPr>
          <w:rFonts w:hint="eastAsia" w:ascii="宋体" w:hAnsi="宋体" w:cs="宋体"/>
          <w:color w:val="000000"/>
          <w:sz w:val="24"/>
          <w:szCs w:val="20"/>
        </w:rPr>
        <w:t>，确保校内给排水、</w:t>
      </w:r>
      <w:r>
        <w:rPr>
          <w:rFonts w:hint="eastAsia" w:ascii="宋体" w:hAnsi="宋体" w:cs="宋体"/>
          <w:color w:val="000000"/>
          <w:sz w:val="24"/>
          <w:szCs w:val="20"/>
          <w:lang w:eastAsia="zh-CN"/>
        </w:rPr>
        <w:t>水电设备</w:t>
      </w:r>
      <w:r>
        <w:rPr>
          <w:rFonts w:hint="eastAsia" w:ascii="宋体" w:hAnsi="宋体" w:cs="宋体"/>
          <w:color w:val="000000"/>
          <w:sz w:val="24"/>
          <w:szCs w:val="20"/>
        </w:rPr>
        <w:t>正常运</w:t>
      </w:r>
      <w:r>
        <w:rPr>
          <w:rFonts w:hint="eastAsia" w:ascii="宋体" w:hAnsi="宋体" w:cs="宋体"/>
          <w:sz w:val="24"/>
          <w:szCs w:val="20"/>
        </w:rPr>
        <w:t>行</w:t>
      </w:r>
      <w:r>
        <w:rPr>
          <w:rFonts w:hint="eastAsia" w:ascii="宋体" w:hAnsi="宋体" w:cs="宋体"/>
          <w:sz w:val="24"/>
          <w:szCs w:val="20"/>
          <w:lang w:eastAsia="zh-CN"/>
        </w:rPr>
        <w:t>。</w:t>
      </w:r>
      <w:r>
        <w:rPr>
          <w:rFonts w:hint="eastAsia" w:ascii="宋体" w:hAnsi="宋体" w:eastAsia="宋体" w:cs="宋体"/>
          <w:color w:val="000000"/>
          <w:sz w:val="24"/>
          <w:szCs w:val="20"/>
        </w:rPr>
        <w:t>具体以现场实际情况为准。</w:t>
      </w:r>
    </w:p>
    <w:bookmarkEnd w:id="4"/>
    <w:bookmarkEnd w:id="5"/>
    <w:p w14:paraId="509DC2BC">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eastAsia="宋体" w:cs="宋体"/>
          <w:b/>
          <w:bCs/>
          <w:color w:val="000000"/>
          <w:sz w:val="24"/>
          <w:szCs w:val="20"/>
        </w:rPr>
      </w:pPr>
      <w:r>
        <w:rPr>
          <w:rFonts w:hint="eastAsia" w:ascii="宋体" w:hAnsi="宋体" w:cs="宋体"/>
          <w:b/>
          <w:bCs/>
          <w:color w:val="000000"/>
          <w:sz w:val="24"/>
          <w:szCs w:val="20"/>
          <w:lang w:eastAsia="zh-CN"/>
        </w:rPr>
        <w:t>三</w:t>
      </w:r>
      <w:r>
        <w:rPr>
          <w:rFonts w:hint="eastAsia" w:ascii="宋体" w:hAnsi="宋体" w:eastAsia="宋体" w:cs="宋体"/>
          <w:b/>
          <w:bCs/>
          <w:color w:val="000000"/>
          <w:sz w:val="24"/>
          <w:szCs w:val="20"/>
        </w:rPr>
        <w:t>、项目总体要求</w:t>
      </w:r>
    </w:p>
    <w:p w14:paraId="33D5F3C2">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1、物业公司在学校独立进行内部管理的同时，还必须服从学校相关职能部门的监督和领导。</w:t>
      </w:r>
    </w:p>
    <w:p w14:paraId="37A8C21E">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2、投标单位必须全面认真了解学校的全天候管理内容及要求，能够确保按时保质保量完成管理任务。</w:t>
      </w:r>
    </w:p>
    <w:p w14:paraId="26A1F8F2">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cs="宋体"/>
          <w:color w:val="000000"/>
          <w:sz w:val="24"/>
          <w:szCs w:val="20"/>
          <w:lang w:val="en-US" w:eastAsia="zh-CN"/>
        </w:rPr>
        <w:t>3</w:t>
      </w:r>
      <w:r>
        <w:rPr>
          <w:rFonts w:hint="eastAsia" w:ascii="宋体" w:hAnsi="宋体" w:eastAsia="宋体" w:cs="宋体"/>
          <w:color w:val="000000"/>
          <w:sz w:val="24"/>
          <w:szCs w:val="20"/>
        </w:rPr>
        <w:t>、物业公司招聘的工作的人员，需满足采购人需求。</w:t>
      </w:r>
    </w:p>
    <w:p w14:paraId="69077314">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cs="宋体"/>
          <w:color w:val="000000"/>
          <w:sz w:val="24"/>
          <w:szCs w:val="20"/>
          <w:lang w:val="en-US" w:eastAsia="zh-CN"/>
        </w:rPr>
        <w:t>4</w:t>
      </w:r>
      <w:r>
        <w:rPr>
          <w:rFonts w:hint="eastAsia" w:ascii="宋体" w:hAnsi="宋体" w:eastAsia="宋体" w:cs="宋体"/>
          <w:color w:val="000000"/>
          <w:sz w:val="24"/>
          <w:szCs w:val="20"/>
        </w:rPr>
        <w:t>、物业公司安排到</w:t>
      </w:r>
      <w:r>
        <w:rPr>
          <w:rFonts w:hint="eastAsia" w:ascii="宋体" w:hAnsi="宋体" w:cs="宋体"/>
          <w:sz w:val="24"/>
          <w:lang w:val="en-US" w:eastAsia="zh-CN"/>
        </w:rPr>
        <w:t>本园</w:t>
      </w:r>
      <w:r>
        <w:rPr>
          <w:rFonts w:hint="eastAsia" w:ascii="宋体" w:hAnsi="宋体" w:eastAsia="宋体" w:cs="宋体"/>
          <w:color w:val="000000"/>
          <w:sz w:val="24"/>
          <w:szCs w:val="20"/>
        </w:rPr>
        <w:t>工作的人员，必须服从采购人的工作安排，遵守学校的相关纪律要求，品德高尚，作风正派，关心热爱学生，身体、心理健康（不能有肝炎、肺结核、肺炎等传染病，不能有精神病），吃苦耐劳；无犯罪记录。</w:t>
      </w:r>
    </w:p>
    <w:p w14:paraId="0C1B355A">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cs="宋体"/>
          <w:color w:val="000000"/>
          <w:sz w:val="24"/>
          <w:szCs w:val="20"/>
          <w:lang w:val="en-US" w:eastAsia="zh-CN"/>
        </w:rPr>
        <w:t>5</w:t>
      </w:r>
      <w:r>
        <w:rPr>
          <w:rFonts w:hint="eastAsia" w:ascii="宋体" w:hAnsi="宋体" w:eastAsia="宋体" w:cs="宋体"/>
          <w:color w:val="000000"/>
          <w:sz w:val="24"/>
          <w:szCs w:val="20"/>
        </w:rPr>
        <w:t>、对因工作不到位而引起学校、师生财产损失的，将追究当事人责任并根据情况予以赔偿。</w:t>
      </w:r>
    </w:p>
    <w:p w14:paraId="7DDF49EF">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cs="宋体"/>
          <w:color w:val="000000"/>
          <w:sz w:val="24"/>
          <w:szCs w:val="20"/>
          <w:lang w:val="en-US" w:eastAsia="zh-CN"/>
        </w:rPr>
        <w:t>6</w:t>
      </w:r>
      <w:r>
        <w:rPr>
          <w:rFonts w:hint="eastAsia" w:ascii="宋体" w:hAnsi="宋体" w:eastAsia="宋体" w:cs="宋体"/>
          <w:color w:val="000000"/>
          <w:sz w:val="24"/>
          <w:szCs w:val="20"/>
        </w:rPr>
        <w:t>、物业管理费用由甲方经考评后按月度发放。中标人领取费用时必须出具税务机关开出的正式发票。甲方按月度付清中标人物业费用，不再负责中标人因此产生的债务或其他经济问题。</w:t>
      </w:r>
    </w:p>
    <w:p w14:paraId="2902169D">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cs="宋体"/>
          <w:color w:val="000000"/>
          <w:sz w:val="24"/>
          <w:szCs w:val="20"/>
          <w:lang w:val="en-US" w:eastAsia="zh-CN"/>
        </w:rPr>
        <w:t>7</w:t>
      </w:r>
      <w:r>
        <w:rPr>
          <w:rFonts w:hint="eastAsia" w:ascii="宋体" w:hAnsi="宋体" w:eastAsia="宋体" w:cs="宋体"/>
          <w:color w:val="000000"/>
          <w:sz w:val="24"/>
          <w:szCs w:val="20"/>
        </w:rPr>
        <w:t>、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p>
    <w:p w14:paraId="73A7D5BD">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cs="宋体"/>
          <w:color w:val="000000"/>
          <w:sz w:val="24"/>
          <w:szCs w:val="20"/>
          <w:lang w:val="en-US" w:eastAsia="zh-CN"/>
        </w:rPr>
        <w:t>8</w:t>
      </w:r>
      <w:r>
        <w:rPr>
          <w:rFonts w:hint="eastAsia" w:ascii="宋体" w:hAnsi="宋体" w:eastAsia="宋体" w:cs="宋体"/>
          <w:color w:val="000000"/>
          <w:sz w:val="24"/>
          <w:szCs w:val="20"/>
        </w:rPr>
        <w:t>、采购人考核时如发现现场人数与投标人数不符的，采购人付款时将按投标工资双倍扣款。</w:t>
      </w:r>
    </w:p>
    <w:p w14:paraId="214D22F5">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s="宋体"/>
          <w:color w:val="000000"/>
          <w:sz w:val="24"/>
          <w:szCs w:val="20"/>
          <w:lang w:eastAsia="zh-CN"/>
        </w:rPr>
      </w:pPr>
      <w:r>
        <w:rPr>
          <w:rFonts w:hint="eastAsia" w:ascii="宋体" w:hAnsi="宋体" w:cs="宋体"/>
          <w:color w:val="000000"/>
          <w:sz w:val="24"/>
          <w:szCs w:val="20"/>
          <w:lang w:val="en-US" w:eastAsia="zh-CN"/>
        </w:rPr>
        <w:t>9</w:t>
      </w:r>
      <w:r>
        <w:rPr>
          <w:rFonts w:hint="eastAsia" w:ascii="宋体" w:hAnsi="宋体" w:eastAsia="宋体" w:cs="宋体"/>
          <w:color w:val="000000"/>
          <w:sz w:val="24"/>
          <w:szCs w:val="20"/>
        </w:rPr>
        <w:t>、中标人为所聘用的人员的社会保险均须按相关规定缴纳到位</w:t>
      </w:r>
      <w:r>
        <w:rPr>
          <w:rFonts w:hint="eastAsia" w:ascii="宋体" w:hAnsi="宋体" w:cs="宋体"/>
          <w:color w:val="000000"/>
          <w:sz w:val="24"/>
          <w:szCs w:val="20"/>
          <w:lang w:eastAsia="zh-CN"/>
        </w:rPr>
        <w:t>。</w:t>
      </w:r>
    </w:p>
    <w:p w14:paraId="0CFB9472">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1</w:t>
      </w:r>
      <w:r>
        <w:rPr>
          <w:rFonts w:hint="eastAsia" w:ascii="宋体" w:hAnsi="宋体" w:cs="宋体"/>
          <w:color w:val="000000"/>
          <w:sz w:val="24"/>
          <w:szCs w:val="20"/>
          <w:lang w:val="en-US" w:eastAsia="zh-CN"/>
        </w:rPr>
        <w:t>0</w:t>
      </w:r>
      <w:r>
        <w:rPr>
          <w:rFonts w:hint="eastAsia" w:ascii="宋体" w:hAnsi="宋体" w:eastAsia="宋体" w:cs="宋体"/>
          <w:color w:val="000000"/>
          <w:sz w:val="24"/>
          <w:szCs w:val="20"/>
        </w:rPr>
        <w:t>、中标人要按时足额发放所有人员工资。</w:t>
      </w:r>
    </w:p>
    <w:p w14:paraId="342C5B54">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1</w:t>
      </w:r>
      <w:r>
        <w:rPr>
          <w:rFonts w:hint="eastAsia" w:ascii="宋体" w:hAnsi="宋体" w:cs="宋体"/>
          <w:color w:val="000000"/>
          <w:sz w:val="24"/>
          <w:szCs w:val="20"/>
          <w:lang w:val="en-US" w:eastAsia="zh-CN"/>
        </w:rPr>
        <w:t>1</w:t>
      </w:r>
      <w:r>
        <w:rPr>
          <w:rFonts w:hint="eastAsia" w:ascii="宋体" w:hAnsi="宋体" w:eastAsia="宋体" w:cs="宋体"/>
          <w:color w:val="000000"/>
          <w:sz w:val="24"/>
          <w:szCs w:val="20"/>
        </w:rPr>
        <w:t>、</w:t>
      </w:r>
      <w:bookmarkStart w:id="7" w:name="OLE_LINK41"/>
      <w:bookmarkStart w:id="8" w:name="OLE_LINK42"/>
      <w:r>
        <w:rPr>
          <w:rFonts w:hint="eastAsia" w:ascii="宋体" w:hAnsi="宋体" w:eastAsia="宋体" w:cs="宋体"/>
          <w:color w:val="000000"/>
          <w:sz w:val="24"/>
          <w:szCs w:val="20"/>
        </w:rPr>
        <w:t>用工人数参见本章《人员配置要求表》，实际用工人数不得小于表内配置人数。</w:t>
      </w:r>
      <w:bookmarkEnd w:id="7"/>
      <w:bookmarkEnd w:id="8"/>
    </w:p>
    <w:p w14:paraId="5172882C">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eastAsia="宋体" w:cs="宋体"/>
          <w:b/>
          <w:bCs/>
          <w:color w:val="000000"/>
          <w:sz w:val="24"/>
          <w:szCs w:val="20"/>
        </w:rPr>
      </w:pPr>
      <w:r>
        <w:rPr>
          <w:rFonts w:hint="eastAsia" w:ascii="宋体" w:hAnsi="宋体" w:cs="宋体"/>
          <w:b/>
          <w:bCs/>
          <w:color w:val="000000"/>
          <w:sz w:val="24"/>
          <w:szCs w:val="20"/>
          <w:lang w:val="en-US" w:eastAsia="zh-CN"/>
        </w:rPr>
        <w:t>四</w:t>
      </w:r>
      <w:r>
        <w:rPr>
          <w:rFonts w:hint="eastAsia" w:ascii="宋体" w:hAnsi="宋体" w:eastAsia="宋体" w:cs="宋体"/>
          <w:b/>
          <w:bCs/>
          <w:color w:val="000000"/>
          <w:sz w:val="24"/>
          <w:szCs w:val="20"/>
        </w:rPr>
        <w:t>、物业管理范围及具体服务项目</w:t>
      </w:r>
    </w:p>
    <w:p w14:paraId="0DE65E8C">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color w:val="FF0000"/>
          <w:sz w:val="24"/>
          <w:szCs w:val="20"/>
        </w:rPr>
      </w:pPr>
      <w:r>
        <w:rPr>
          <w:rFonts w:hint="eastAsia" w:ascii="宋体" w:hAnsi="宋体" w:cs="宋体"/>
          <w:color w:val="000000"/>
          <w:sz w:val="24"/>
          <w:lang w:val="en-US" w:eastAsia="zh-CN"/>
        </w:rPr>
        <w:t>盐城市妇联实验幼儿园</w:t>
      </w:r>
      <w:r>
        <w:rPr>
          <w:rFonts w:hint="eastAsia" w:ascii="宋体" w:hAnsi="宋体" w:eastAsia="宋体" w:cs="宋体"/>
          <w:color w:val="000000"/>
          <w:sz w:val="24"/>
          <w:szCs w:val="20"/>
        </w:rPr>
        <w:t>内范围</w:t>
      </w:r>
      <w:r>
        <w:rPr>
          <w:rFonts w:hint="eastAsia" w:ascii="宋体" w:hAnsi="宋体" w:eastAsia="宋体" w:cs="宋体"/>
          <w:color w:val="000000"/>
          <w:sz w:val="24"/>
          <w:szCs w:val="20"/>
          <w:lang w:eastAsia="zh-CN"/>
        </w:rPr>
        <w:t>物业</w:t>
      </w:r>
      <w:r>
        <w:rPr>
          <w:rFonts w:hint="eastAsia" w:ascii="宋体" w:hAnsi="宋体" w:cs="宋体"/>
          <w:color w:val="000000"/>
          <w:sz w:val="24"/>
          <w:szCs w:val="20"/>
        </w:rPr>
        <w:t>服务项目包含卫生保洁、</w:t>
      </w:r>
      <w:r>
        <w:rPr>
          <w:rFonts w:hint="eastAsia" w:ascii="宋体" w:hAnsi="宋体" w:cs="宋体"/>
          <w:color w:val="000000"/>
          <w:sz w:val="24"/>
          <w:szCs w:val="20"/>
          <w:lang w:eastAsia="zh-CN"/>
        </w:rPr>
        <w:t>消毒消杀、垃圾清运、绿化养护、水电服务</w:t>
      </w:r>
      <w:r>
        <w:rPr>
          <w:rFonts w:hint="eastAsia" w:ascii="宋体" w:hAnsi="宋体" w:eastAsia="宋体" w:cs="宋体"/>
          <w:color w:val="000000"/>
          <w:sz w:val="24"/>
          <w:szCs w:val="20"/>
        </w:rPr>
        <w:t>以及学校安排的其他有关物业管理事项。</w:t>
      </w:r>
    </w:p>
    <w:p w14:paraId="7F3F60E0">
      <w:pPr>
        <w:keepNext w:val="0"/>
        <w:keepLines w:val="0"/>
        <w:pageBreakBefore w:val="0"/>
        <w:numPr>
          <w:ilvl w:val="0"/>
          <w:numId w:val="0"/>
        </w:numPr>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color w:val="000000"/>
          <w:sz w:val="24"/>
          <w:szCs w:val="20"/>
          <w:lang w:val="en-US" w:eastAsia="zh-CN"/>
        </w:rPr>
      </w:pPr>
      <w:r>
        <w:rPr>
          <w:rFonts w:hint="eastAsia" w:ascii="宋体" w:hAnsi="宋体" w:cs="宋体"/>
          <w:b/>
          <w:bCs/>
          <w:color w:val="000000"/>
          <w:sz w:val="24"/>
          <w:szCs w:val="20"/>
          <w:lang w:val="en-US" w:eastAsia="zh-CN"/>
        </w:rPr>
        <w:t>具体要求如下：</w:t>
      </w:r>
    </w:p>
    <w:p w14:paraId="33344CF1">
      <w:pPr>
        <w:keepNext w:val="0"/>
        <w:keepLines w:val="0"/>
        <w:pageBreakBefore w:val="0"/>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1</w:t>
      </w:r>
      <w:r>
        <w:rPr>
          <w:rFonts w:hint="eastAsia" w:ascii="宋体" w:hAnsi="宋体" w:cs="宋体"/>
          <w:b/>
          <w:bCs/>
          <w:color w:val="000000"/>
          <w:sz w:val="24"/>
          <w:lang w:val="en-US" w:eastAsia="zh-CN"/>
        </w:rPr>
        <w:t>、</w:t>
      </w:r>
      <w:r>
        <w:rPr>
          <w:rFonts w:hint="eastAsia" w:ascii="宋体" w:hAnsi="宋体" w:eastAsia="宋体" w:cs="宋体"/>
          <w:b/>
          <w:bCs/>
          <w:color w:val="000000"/>
          <w:sz w:val="24"/>
        </w:rPr>
        <w:t>保洁服务</w:t>
      </w:r>
    </w:p>
    <w:tbl>
      <w:tblPr>
        <w:tblStyle w:val="29"/>
        <w:tblW w:w="5048"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2"/>
        <w:gridCol w:w="1575"/>
        <w:gridCol w:w="6880"/>
      </w:tblGrid>
      <w:tr w14:paraId="0025A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846" w:type="dxa"/>
            <w:noWrap/>
            <w:vAlign w:val="center"/>
          </w:tcPr>
          <w:p w14:paraId="73052F06">
            <w:pPr>
              <w:keepNext w:val="0"/>
              <w:keepLines w:val="0"/>
              <w:pageBreakBefore w:val="0"/>
              <w:widowControl/>
              <w:kinsoku/>
              <w:wordWrap/>
              <w:overflowPunct/>
              <w:topLinePunct w:val="0"/>
              <w:autoSpaceDE/>
              <w:autoSpaceDN/>
              <w:bidi w:val="0"/>
              <w:adjustRightInd/>
              <w:snapToGrid/>
              <w:spacing w:line="360" w:lineRule="exact"/>
              <w:ind w:firstLine="0"/>
              <w:jc w:val="center"/>
              <w:textAlignment w:val="auto"/>
              <w:rPr>
                <w:rFonts w:ascii="Calibri" w:hAnsi="Calibri" w:cs="Calibri"/>
                <w:b/>
                <w:bCs/>
                <w:sz w:val="24"/>
                <w:szCs w:val="32"/>
              </w:rPr>
            </w:pPr>
            <w:r>
              <w:rPr>
                <w:rFonts w:hint="eastAsia" w:cs="Calibri"/>
                <w:b/>
                <w:bCs/>
                <w:sz w:val="24"/>
                <w:szCs w:val="32"/>
              </w:rPr>
              <w:t>序号</w:t>
            </w:r>
          </w:p>
        </w:tc>
        <w:tc>
          <w:tcPr>
            <w:tcW w:w="1445" w:type="dxa"/>
            <w:noWrap/>
            <w:vAlign w:val="center"/>
          </w:tcPr>
          <w:p w14:paraId="4680867F">
            <w:pPr>
              <w:keepNext w:val="0"/>
              <w:keepLines w:val="0"/>
              <w:pageBreakBefore w:val="0"/>
              <w:widowControl/>
              <w:kinsoku/>
              <w:wordWrap/>
              <w:overflowPunct/>
              <w:topLinePunct w:val="0"/>
              <w:autoSpaceDE/>
              <w:autoSpaceDN/>
              <w:bidi w:val="0"/>
              <w:adjustRightInd/>
              <w:snapToGrid/>
              <w:spacing w:line="360" w:lineRule="exact"/>
              <w:ind w:firstLine="0"/>
              <w:jc w:val="center"/>
              <w:textAlignment w:val="auto"/>
              <w:rPr>
                <w:rFonts w:ascii="Calibri" w:hAnsi="Calibri" w:cs="Calibri"/>
                <w:b/>
                <w:bCs/>
                <w:sz w:val="24"/>
                <w:szCs w:val="32"/>
              </w:rPr>
            </w:pPr>
            <w:r>
              <w:rPr>
                <w:rFonts w:ascii="Calibri" w:hAnsi="Calibri" w:cs="Calibri"/>
                <w:b/>
                <w:bCs/>
                <w:sz w:val="24"/>
                <w:szCs w:val="32"/>
              </w:rPr>
              <w:t>服务内容</w:t>
            </w:r>
          </w:p>
        </w:tc>
        <w:tc>
          <w:tcPr>
            <w:tcW w:w="6314" w:type="dxa"/>
            <w:noWrap/>
            <w:vAlign w:val="center"/>
          </w:tcPr>
          <w:p w14:paraId="22D204E8">
            <w:pPr>
              <w:keepNext w:val="0"/>
              <w:keepLines w:val="0"/>
              <w:pageBreakBefore w:val="0"/>
              <w:widowControl/>
              <w:kinsoku/>
              <w:wordWrap/>
              <w:overflowPunct/>
              <w:topLinePunct w:val="0"/>
              <w:autoSpaceDE/>
              <w:autoSpaceDN/>
              <w:bidi w:val="0"/>
              <w:adjustRightInd/>
              <w:snapToGrid/>
              <w:spacing w:line="360" w:lineRule="exact"/>
              <w:ind w:firstLine="0"/>
              <w:jc w:val="center"/>
              <w:textAlignment w:val="auto"/>
              <w:rPr>
                <w:rFonts w:ascii="Calibri" w:hAnsi="Calibri" w:cs="Calibri"/>
                <w:b/>
                <w:bCs/>
                <w:sz w:val="24"/>
                <w:szCs w:val="32"/>
              </w:rPr>
            </w:pPr>
            <w:r>
              <w:rPr>
                <w:rFonts w:hint="eastAsia" w:cs="Calibri"/>
                <w:b/>
                <w:bCs/>
                <w:sz w:val="24"/>
                <w:szCs w:val="32"/>
              </w:rPr>
              <w:t>服务标准</w:t>
            </w:r>
          </w:p>
        </w:tc>
      </w:tr>
      <w:tr w14:paraId="43D90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8" w:hRule="atLeast"/>
        </w:trPr>
        <w:tc>
          <w:tcPr>
            <w:tcW w:w="846" w:type="dxa"/>
            <w:noWrap/>
            <w:vAlign w:val="center"/>
          </w:tcPr>
          <w:p w14:paraId="6C3EAEBC">
            <w:pPr>
              <w:keepNext w:val="0"/>
              <w:keepLines w:val="0"/>
              <w:pageBreakBefore w:val="0"/>
              <w:kinsoku/>
              <w:wordWrap/>
              <w:overflowPunct/>
              <w:topLinePunct w:val="0"/>
              <w:autoSpaceDE/>
              <w:autoSpaceDN/>
              <w:bidi w:val="0"/>
              <w:adjustRightInd/>
              <w:snapToGrid/>
              <w:spacing w:line="360" w:lineRule="exact"/>
              <w:ind w:firstLine="0"/>
              <w:jc w:val="center"/>
              <w:textAlignment w:val="auto"/>
              <w:rPr>
                <w:rFonts w:ascii="宋体" w:hAnsi="宋体" w:cs="宋体"/>
                <w:sz w:val="24"/>
                <w:lang w:bidi="ar"/>
              </w:rPr>
            </w:pPr>
            <w:r>
              <w:rPr>
                <w:rFonts w:hint="eastAsia" w:ascii="宋体" w:hAnsi="宋体" w:cs="宋体"/>
                <w:sz w:val="24"/>
                <w:lang w:bidi="ar"/>
              </w:rPr>
              <w:t>1</w:t>
            </w:r>
          </w:p>
        </w:tc>
        <w:tc>
          <w:tcPr>
            <w:tcW w:w="1445" w:type="dxa"/>
            <w:noWrap/>
            <w:vAlign w:val="center"/>
          </w:tcPr>
          <w:p w14:paraId="6D485916">
            <w:pPr>
              <w:keepNext w:val="0"/>
              <w:keepLines w:val="0"/>
              <w:pageBreakBefore w:val="0"/>
              <w:kinsoku/>
              <w:wordWrap/>
              <w:overflowPunct/>
              <w:topLinePunct w:val="0"/>
              <w:autoSpaceDE/>
              <w:autoSpaceDN/>
              <w:bidi w:val="0"/>
              <w:adjustRightInd/>
              <w:snapToGrid/>
              <w:spacing w:line="360" w:lineRule="exact"/>
              <w:ind w:firstLine="0"/>
              <w:jc w:val="center"/>
              <w:textAlignment w:val="auto"/>
              <w:rPr>
                <w:rFonts w:ascii="宋体" w:hAnsi="宋体" w:cs="宋体"/>
                <w:sz w:val="24"/>
                <w:lang w:bidi="ar"/>
              </w:rPr>
            </w:pPr>
            <w:r>
              <w:rPr>
                <w:rFonts w:hint="eastAsia" w:ascii="宋体" w:hAnsi="宋体" w:cs="宋体"/>
                <w:sz w:val="24"/>
                <w:lang w:bidi="ar"/>
              </w:rPr>
              <w:t>基本要求</w:t>
            </w:r>
          </w:p>
        </w:tc>
        <w:tc>
          <w:tcPr>
            <w:tcW w:w="6314" w:type="dxa"/>
            <w:noWrap/>
            <w:vAlign w:val="center"/>
          </w:tcPr>
          <w:p w14:paraId="49BEB72B">
            <w:pPr>
              <w:keepNext w:val="0"/>
              <w:keepLines w:val="0"/>
              <w:pageBreakBefore w:val="0"/>
              <w:kinsoku/>
              <w:wordWrap/>
              <w:overflowPunct/>
              <w:topLinePunct w:val="0"/>
              <w:autoSpaceDE/>
              <w:autoSpaceDN/>
              <w:bidi w:val="0"/>
              <w:adjustRightInd/>
              <w:snapToGrid/>
              <w:spacing w:line="360" w:lineRule="exact"/>
              <w:ind w:firstLine="0"/>
              <w:jc w:val="left"/>
              <w:textAlignment w:val="auto"/>
              <w:rPr>
                <w:rFonts w:ascii="宋体" w:hAnsi="宋体" w:cs="宋体"/>
                <w:color w:val="000000"/>
                <w:sz w:val="24"/>
              </w:rPr>
            </w:pPr>
            <w:r>
              <w:rPr>
                <w:rFonts w:hint="eastAsia" w:ascii="宋体" w:hAnsi="宋体" w:cs="宋体"/>
                <w:color w:val="000000"/>
                <w:sz w:val="24"/>
              </w:rPr>
              <w:t>（1）建立保洁服务的工作制度及工作计划，并按照执行。</w:t>
            </w:r>
          </w:p>
          <w:p w14:paraId="03BFEA76">
            <w:pPr>
              <w:keepNext w:val="0"/>
              <w:keepLines w:val="0"/>
              <w:pageBreakBefore w:val="0"/>
              <w:kinsoku/>
              <w:wordWrap/>
              <w:overflowPunct/>
              <w:topLinePunct w:val="0"/>
              <w:autoSpaceDE/>
              <w:autoSpaceDN/>
              <w:bidi w:val="0"/>
              <w:adjustRightInd/>
              <w:snapToGrid/>
              <w:spacing w:line="360" w:lineRule="exact"/>
              <w:ind w:firstLine="0"/>
              <w:jc w:val="left"/>
              <w:textAlignment w:val="auto"/>
              <w:rPr>
                <w:rFonts w:ascii="宋体" w:hAnsi="宋体" w:cs="宋体"/>
                <w:color w:val="000000"/>
                <w:sz w:val="24"/>
              </w:rPr>
            </w:pPr>
            <w:r>
              <w:rPr>
                <w:rFonts w:hint="eastAsia" w:ascii="宋体" w:hAnsi="宋体" w:cs="宋体"/>
                <w:color w:val="000000"/>
                <w:sz w:val="24"/>
              </w:rPr>
              <w:t>（2）做好保洁服务工作记录，记录填写规范、保存完好。</w:t>
            </w:r>
          </w:p>
          <w:p w14:paraId="72285912">
            <w:pPr>
              <w:keepNext w:val="0"/>
              <w:keepLines w:val="0"/>
              <w:pageBreakBefore w:val="0"/>
              <w:kinsoku/>
              <w:wordWrap/>
              <w:overflowPunct/>
              <w:topLinePunct w:val="0"/>
              <w:autoSpaceDE/>
              <w:autoSpaceDN/>
              <w:bidi w:val="0"/>
              <w:adjustRightInd/>
              <w:snapToGrid/>
              <w:spacing w:line="360" w:lineRule="exact"/>
              <w:ind w:firstLine="0"/>
              <w:jc w:val="left"/>
              <w:textAlignment w:val="auto"/>
              <w:rPr>
                <w:rFonts w:ascii="宋体" w:hAnsi="宋体" w:cs="宋体"/>
                <w:color w:val="000000"/>
                <w:sz w:val="24"/>
              </w:rPr>
            </w:pPr>
            <w:r>
              <w:rPr>
                <w:rFonts w:hint="eastAsia" w:ascii="宋体" w:hAnsi="宋体" w:cs="宋体"/>
                <w:color w:val="000000"/>
                <w:sz w:val="24"/>
              </w:rPr>
              <w:t>（3）作业时采取安全防护措施，防止对作业人员或他人造成伤害。相关耗材的环保、安全性等应当符合国家相关规定要求。</w:t>
            </w:r>
          </w:p>
        </w:tc>
      </w:tr>
      <w:tr w14:paraId="43C2A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846" w:type="dxa"/>
            <w:noWrap/>
            <w:vAlign w:val="center"/>
          </w:tcPr>
          <w:p w14:paraId="23D66EAA">
            <w:pPr>
              <w:keepNext w:val="0"/>
              <w:keepLines w:val="0"/>
              <w:pageBreakBefore w:val="0"/>
              <w:kinsoku/>
              <w:wordWrap/>
              <w:overflowPunct/>
              <w:topLinePunct w:val="0"/>
              <w:autoSpaceDE/>
              <w:autoSpaceDN/>
              <w:bidi w:val="0"/>
              <w:adjustRightInd/>
              <w:snapToGrid/>
              <w:spacing w:line="360" w:lineRule="exact"/>
              <w:ind w:firstLine="0"/>
              <w:jc w:val="center"/>
              <w:textAlignment w:val="auto"/>
              <w:rPr>
                <w:rFonts w:ascii="宋体" w:hAnsi="宋体" w:cs="宋体"/>
                <w:sz w:val="24"/>
                <w:lang w:bidi="ar"/>
              </w:rPr>
            </w:pPr>
            <w:r>
              <w:rPr>
                <w:rFonts w:hint="eastAsia" w:ascii="宋体" w:hAnsi="宋体" w:cs="宋体"/>
                <w:sz w:val="24"/>
                <w:lang w:bidi="ar"/>
              </w:rPr>
              <w:t>2</w:t>
            </w:r>
          </w:p>
        </w:tc>
        <w:tc>
          <w:tcPr>
            <w:tcW w:w="1445" w:type="dxa"/>
            <w:noWrap/>
            <w:vAlign w:val="center"/>
          </w:tcPr>
          <w:p w14:paraId="3AA76903">
            <w:pPr>
              <w:keepNext w:val="0"/>
              <w:keepLines w:val="0"/>
              <w:pageBreakBefore w:val="0"/>
              <w:kinsoku/>
              <w:wordWrap/>
              <w:overflowPunct/>
              <w:topLinePunct w:val="0"/>
              <w:autoSpaceDE/>
              <w:autoSpaceDN/>
              <w:bidi w:val="0"/>
              <w:adjustRightInd/>
              <w:snapToGrid/>
              <w:spacing w:line="360" w:lineRule="exact"/>
              <w:ind w:firstLine="0"/>
              <w:jc w:val="center"/>
              <w:textAlignment w:val="auto"/>
              <w:rPr>
                <w:rFonts w:ascii="宋体" w:hAnsi="宋体" w:cs="宋体"/>
                <w:sz w:val="24"/>
                <w:lang w:bidi="ar"/>
              </w:rPr>
            </w:pPr>
            <w:r>
              <w:rPr>
                <w:rFonts w:hint="eastAsia" w:ascii="宋体" w:hAnsi="宋体" w:cs="宋体"/>
                <w:sz w:val="24"/>
                <w:lang w:bidi="ar"/>
              </w:rPr>
              <w:t>公共场地区域保洁</w:t>
            </w:r>
          </w:p>
        </w:tc>
        <w:tc>
          <w:tcPr>
            <w:tcW w:w="6314" w:type="dxa"/>
            <w:noWrap/>
            <w:vAlign w:val="center"/>
          </w:tcPr>
          <w:p w14:paraId="15BC2254">
            <w:pPr>
              <w:keepNext w:val="0"/>
              <w:keepLines w:val="0"/>
              <w:pageBreakBefore w:val="0"/>
              <w:widowControl/>
              <w:kinsoku/>
              <w:wordWrap/>
              <w:overflowPunct/>
              <w:topLinePunct w:val="0"/>
              <w:autoSpaceDE/>
              <w:autoSpaceDN/>
              <w:bidi w:val="0"/>
              <w:adjustRightInd/>
              <w:snapToGrid/>
              <w:spacing w:line="360" w:lineRule="exact"/>
              <w:ind w:firstLine="0"/>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负责办公区域、室外路面卫生保洁及绿化带内白色垃圾等杂物的清理。责任区域无瓜果皮壳、纸屑、烟头等杂物,无积水、污迹:外部垃圾及时处理,内部如有堵塞及时反映、疏通。</w:t>
            </w:r>
          </w:p>
          <w:p w14:paraId="07F23596">
            <w:pPr>
              <w:keepNext w:val="0"/>
              <w:keepLines w:val="0"/>
              <w:pageBreakBefore w:val="0"/>
              <w:widowControl/>
              <w:kinsoku/>
              <w:wordWrap/>
              <w:overflowPunct/>
              <w:topLinePunct w:val="0"/>
              <w:autoSpaceDE/>
              <w:autoSpaceDN/>
              <w:bidi w:val="0"/>
              <w:adjustRightInd/>
              <w:snapToGrid/>
              <w:spacing w:line="360" w:lineRule="exact"/>
              <w:ind w:firstLine="0"/>
              <w:jc w:val="left"/>
              <w:textAlignment w:val="auto"/>
              <w:rPr>
                <w:rFonts w:ascii="宋体" w:hAnsi="宋体" w:cs="宋体"/>
                <w:color w:val="000000"/>
                <w:sz w:val="24"/>
              </w:rPr>
            </w:pPr>
            <w:r>
              <w:rPr>
                <w:rFonts w:hint="eastAsia" w:ascii="宋体" w:hAnsi="宋体" w:eastAsia="宋体" w:cs="宋体"/>
                <w:color w:val="000000"/>
                <w:sz w:val="24"/>
                <w:szCs w:val="20"/>
              </w:rPr>
              <w:t>每天巡查1~3次区域内的卫生状况,清除卫生包干区的废纸、污物,保持责任区域的卫生整洁。拖擦楼层面每日一次,擦洗门窗及楼道附属物每周至少一次清扫墙壁每月至少一次,全日保洁。</w:t>
            </w:r>
            <w:r>
              <w:rPr>
                <w:rFonts w:hint="eastAsia" w:ascii="宋体" w:hAnsi="宋体" w:cs="宋体"/>
                <w:color w:val="000000"/>
                <w:sz w:val="24"/>
              </w:rPr>
              <w:t>每日打扫1次各楼层通道和楼梯台阶，并拖洗干净；水磨石或水泥地面每半月至少刷洗1次，大理石地面每2月至少做晶面1次（结合实际情况确定）、巡回抛光保养；每间隔２小时巡回清理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p>
        </w:tc>
      </w:tr>
      <w:tr w14:paraId="212DA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846" w:type="dxa"/>
            <w:noWrap/>
            <w:vAlign w:val="center"/>
          </w:tcPr>
          <w:p w14:paraId="45EBE6CA">
            <w:pPr>
              <w:keepNext w:val="0"/>
              <w:keepLines w:val="0"/>
              <w:pageBreakBefore w:val="0"/>
              <w:kinsoku/>
              <w:wordWrap/>
              <w:overflowPunct/>
              <w:topLinePunct w:val="0"/>
              <w:autoSpaceDE/>
              <w:autoSpaceDN/>
              <w:bidi w:val="0"/>
              <w:adjustRightInd/>
              <w:snapToGrid/>
              <w:spacing w:line="360" w:lineRule="exact"/>
              <w:ind w:firstLine="0"/>
              <w:jc w:val="center"/>
              <w:textAlignment w:val="auto"/>
              <w:rPr>
                <w:rFonts w:ascii="宋体" w:hAnsi="宋体" w:cs="宋体"/>
                <w:sz w:val="24"/>
                <w:lang w:bidi="ar"/>
              </w:rPr>
            </w:pPr>
            <w:r>
              <w:rPr>
                <w:rFonts w:hint="eastAsia" w:ascii="宋体" w:hAnsi="宋体" w:cs="宋体"/>
                <w:sz w:val="24"/>
                <w:lang w:bidi="ar"/>
              </w:rPr>
              <w:t>3</w:t>
            </w:r>
          </w:p>
        </w:tc>
        <w:tc>
          <w:tcPr>
            <w:tcW w:w="1445" w:type="dxa"/>
            <w:noWrap/>
            <w:vAlign w:val="center"/>
          </w:tcPr>
          <w:p w14:paraId="2115477F">
            <w:pPr>
              <w:keepNext w:val="0"/>
              <w:keepLines w:val="0"/>
              <w:pageBreakBefore w:val="0"/>
              <w:kinsoku/>
              <w:wordWrap/>
              <w:overflowPunct/>
              <w:topLinePunct w:val="0"/>
              <w:autoSpaceDE/>
              <w:autoSpaceDN/>
              <w:bidi w:val="0"/>
              <w:adjustRightInd/>
              <w:snapToGrid/>
              <w:spacing w:line="360" w:lineRule="exact"/>
              <w:ind w:firstLine="0"/>
              <w:jc w:val="center"/>
              <w:textAlignment w:val="auto"/>
              <w:rPr>
                <w:rFonts w:ascii="宋体" w:hAnsi="宋体" w:cs="宋体"/>
                <w:sz w:val="24"/>
                <w:lang w:bidi="ar"/>
              </w:rPr>
            </w:pPr>
            <w:r>
              <w:rPr>
                <w:rFonts w:hint="eastAsia" w:ascii="宋体" w:hAnsi="宋体" w:cs="宋体"/>
                <w:sz w:val="24"/>
                <w:lang w:bidi="ar"/>
              </w:rPr>
              <w:t>公用卫生间保洁</w:t>
            </w:r>
          </w:p>
        </w:tc>
        <w:tc>
          <w:tcPr>
            <w:tcW w:w="6314" w:type="dxa"/>
            <w:noWrap/>
            <w:vAlign w:val="center"/>
          </w:tcPr>
          <w:p w14:paraId="5D26C345">
            <w:pPr>
              <w:keepNext w:val="0"/>
              <w:keepLines w:val="0"/>
              <w:pageBreakBefore w:val="0"/>
              <w:widowControl/>
              <w:kinsoku/>
              <w:wordWrap/>
              <w:overflowPunct/>
              <w:topLinePunct w:val="0"/>
              <w:autoSpaceDE/>
              <w:autoSpaceDN/>
              <w:bidi w:val="0"/>
              <w:adjustRightInd/>
              <w:snapToGrid/>
              <w:spacing w:line="360" w:lineRule="exact"/>
              <w:ind w:firstLine="0"/>
              <w:jc w:val="left"/>
              <w:textAlignment w:val="auto"/>
              <w:rPr>
                <w:rFonts w:ascii="宋体" w:hAnsi="宋体" w:cs="宋体"/>
                <w:color w:val="000000"/>
                <w:sz w:val="24"/>
              </w:rPr>
            </w:pPr>
            <w:r>
              <w:rPr>
                <w:rFonts w:hint="eastAsia" w:ascii="宋体" w:hAnsi="宋体" w:eastAsia="宋体" w:cs="宋体"/>
                <w:color w:val="000000"/>
                <w:sz w:val="24"/>
                <w:szCs w:val="20"/>
              </w:rPr>
              <w:t>厕所每日要保洁1~2次,要做到无积便、无污垢。夏季无蚊蝇。</w:t>
            </w:r>
            <w:r>
              <w:rPr>
                <w:rFonts w:hint="eastAsia" w:ascii="宋体" w:hAnsi="宋体" w:cs="宋体"/>
                <w:color w:val="000000"/>
                <w:sz w:val="24"/>
              </w:rPr>
              <w:t>配备自动喷香剂、卫生球（用于小便斗）；白天保持一次对共用卫生间清洁，清洁内容包括：通风换气；洁具；用消毒液清洗坐便器；清扫地面垃圾；清抹洗手台水迹；清洁其它严重污渍、积水、杂物等；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p>
        </w:tc>
      </w:tr>
      <w:tr w14:paraId="043DE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846" w:type="dxa"/>
            <w:noWrap/>
            <w:vAlign w:val="center"/>
          </w:tcPr>
          <w:p w14:paraId="0BE8E75B">
            <w:pPr>
              <w:keepNext w:val="0"/>
              <w:keepLines w:val="0"/>
              <w:pageBreakBefore w:val="0"/>
              <w:kinsoku/>
              <w:wordWrap/>
              <w:overflowPunct/>
              <w:topLinePunct w:val="0"/>
              <w:autoSpaceDE/>
              <w:autoSpaceDN/>
              <w:bidi w:val="0"/>
              <w:adjustRightInd/>
              <w:snapToGrid/>
              <w:spacing w:line="360" w:lineRule="exact"/>
              <w:ind w:firstLine="0"/>
              <w:jc w:val="center"/>
              <w:textAlignment w:val="auto"/>
              <w:rPr>
                <w:rFonts w:ascii="宋体" w:hAnsi="宋体" w:cs="宋体"/>
                <w:sz w:val="24"/>
                <w:lang w:bidi="ar"/>
              </w:rPr>
            </w:pPr>
            <w:r>
              <w:rPr>
                <w:rFonts w:hint="eastAsia" w:ascii="宋体" w:hAnsi="宋体" w:cs="宋体"/>
                <w:sz w:val="24"/>
                <w:lang w:bidi="ar"/>
              </w:rPr>
              <w:t>4</w:t>
            </w:r>
          </w:p>
        </w:tc>
        <w:tc>
          <w:tcPr>
            <w:tcW w:w="1445" w:type="dxa"/>
            <w:noWrap/>
            <w:vAlign w:val="center"/>
          </w:tcPr>
          <w:p w14:paraId="136A2FE2">
            <w:pPr>
              <w:keepNext w:val="0"/>
              <w:keepLines w:val="0"/>
              <w:pageBreakBefore w:val="0"/>
              <w:kinsoku/>
              <w:wordWrap/>
              <w:overflowPunct/>
              <w:topLinePunct w:val="0"/>
              <w:autoSpaceDE/>
              <w:autoSpaceDN/>
              <w:bidi w:val="0"/>
              <w:adjustRightInd/>
              <w:snapToGrid/>
              <w:spacing w:line="360" w:lineRule="exact"/>
              <w:ind w:firstLine="0"/>
              <w:jc w:val="center"/>
              <w:textAlignment w:val="auto"/>
              <w:rPr>
                <w:rFonts w:ascii="宋体" w:hAnsi="宋体" w:cs="宋体"/>
                <w:sz w:val="24"/>
                <w:lang w:bidi="ar"/>
              </w:rPr>
            </w:pPr>
            <w:r>
              <w:rPr>
                <w:rFonts w:hint="eastAsia" w:ascii="宋体" w:hAnsi="宋体" w:cs="宋体"/>
                <w:sz w:val="24"/>
                <w:lang w:bidi="ar"/>
              </w:rPr>
              <w:t>垃圾箱、垃圾池日产 日清</w:t>
            </w:r>
          </w:p>
        </w:tc>
        <w:tc>
          <w:tcPr>
            <w:tcW w:w="6314" w:type="dxa"/>
            <w:noWrap/>
            <w:vAlign w:val="center"/>
          </w:tcPr>
          <w:p w14:paraId="38EDFA82">
            <w:pPr>
              <w:keepNext w:val="0"/>
              <w:keepLines w:val="0"/>
              <w:pageBreakBefore w:val="0"/>
              <w:widowControl/>
              <w:kinsoku/>
              <w:wordWrap/>
              <w:overflowPunct/>
              <w:topLinePunct w:val="0"/>
              <w:autoSpaceDE/>
              <w:autoSpaceDN/>
              <w:bidi w:val="0"/>
              <w:adjustRightInd/>
              <w:snapToGrid/>
              <w:spacing w:line="360" w:lineRule="exact"/>
              <w:ind w:firstLine="0"/>
              <w:jc w:val="left"/>
              <w:textAlignment w:val="auto"/>
              <w:rPr>
                <w:rFonts w:ascii="宋体" w:hAnsi="宋体" w:cs="宋体"/>
                <w:color w:val="000000"/>
                <w:sz w:val="24"/>
              </w:rPr>
            </w:pPr>
            <w:r>
              <w:rPr>
                <w:rFonts w:hint="eastAsia" w:ascii="宋体" w:hAnsi="宋体" w:cs="宋体"/>
                <w:color w:val="000000"/>
                <w:sz w:val="24"/>
              </w:rPr>
              <w:t>（1）</w:t>
            </w:r>
            <w:r>
              <w:rPr>
                <w:rFonts w:hint="eastAsia" w:ascii="宋体" w:hAnsi="宋体" w:eastAsia="宋体" w:cs="宋体"/>
                <w:color w:val="000000"/>
                <w:sz w:val="24"/>
                <w:szCs w:val="20"/>
              </w:rPr>
              <w:t>每天清理设置在责任区的垃圾箱,不定期清除大道两旁垃圾箱内的垃圾。</w:t>
            </w:r>
            <w:r>
              <w:rPr>
                <w:rFonts w:hint="eastAsia" w:ascii="宋体" w:hAnsi="宋体" w:cs="宋体"/>
                <w:color w:val="000000"/>
                <w:sz w:val="24"/>
              </w:rPr>
              <w:t>每日要对楼层产生的垃圾，进行清理分类，垃圾装袋，日产日清，并运至垃圾集中存放点。</w:t>
            </w:r>
          </w:p>
          <w:p w14:paraId="7C5FF86A">
            <w:pPr>
              <w:keepNext w:val="0"/>
              <w:keepLines w:val="0"/>
              <w:pageBreakBefore w:val="0"/>
              <w:kinsoku/>
              <w:wordWrap/>
              <w:overflowPunct/>
              <w:topLinePunct w:val="0"/>
              <w:autoSpaceDE/>
              <w:autoSpaceDN/>
              <w:bidi w:val="0"/>
              <w:adjustRightInd/>
              <w:snapToGrid/>
              <w:spacing w:line="360" w:lineRule="exact"/>
              <w:ind w:firstLine="0"/>
              <w:jc w:val="left"/>
              <w:textAlignment w:val="auto"/>
              <w:rPr>
                <w:rFonts w:ascii="宋体" w:hAnsi="宋体" w:cs="宋体"/>
                <w:color w:val="000000"/>
                <w:sz w:val="24"/>
              </w:rPr>
            </w:pPr>
            <w:r>
              <w:rPr>
                <w:rFonts w:hint="eastAsia" w:ascii="宋体" w:hAnsi="宋体" w:cs="宋体"/>
                <w:color w:val="000000"/>
                <w:sz w:val="24"/>
              </w:rPr>
              <w:t>（2）桶身表面干净无污渍，每日开展至少1次清洁作业。</w:t>
            </w:r>
          </w:p>
          <w:p w14:paraId="6CEB56B3">
            <w:pPr>
              <w:keepNext w:val="0"/>
              <w:keepLines w:val="0"/>
              <w:pageBreakBefore w:val="0"/>
              <w:kinsoku/>
              <w:wordWrap/>
              <w:overflowPunct/>
              <w:topLinePunct w:val="0"/>
              <w:autoSpaceDE/>
              <w:autoSpaceDN/>
              <w:bidi w:val="0"/>
              <w:adjustRightInd/>
              <w:snapToGrid/>
              <w:spacing w:line="360" w:lineRule="exact"/>
              <w:ind w:firstLine="0"/>
              <w:jc w:val="left"/>
              <w:textAlignment w:val="auto"/>
              <w:rPr>
                <w:rFonts w:ascii="宋体" w:hAnsi="宋体" w:cs="宋体"/>
                <w:color w:val="000000"/>
                <w:sz w:val="24"/>
              </w:rPr>
            </w:pPr>
            <w:r>
              <w:rPr>
                <w:rFonts w:hint="eastAsia" w:ascii="宋体" w:hAnsi="宋体" w:cs="宋体"/>
                <w:color w:val="000000"/>
                <w:sz w:val="24"/>
              </w:rPr>
              <w:t>（3）垃圾中转池保持整洁，无明显异味，每周至少开展1次清洁作业。</w:t>
            </w:r>
          </w:p>
        </w:tc>
      </w:tr>
      <w:tr w14:paraId="5AE9A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7" w:hRule="atLeast"/>
        </w:trPr>
        <w:tc>
          <w:tcPr>
            <w:tcW w:w="846" w:type="dxa"/>
            <w:noWrap/>
            <w:vAlign w:val="center"/>
          </w:tcPr>
          <w:p w14:paraId="0D5221D0">
            <w:pPr>
              <w:keepNext w:val="0"/>
              <w:keepLines w:val="0"/>
              <w:pageBreakBefore w:val="0"/>
              <w:kinsoku/>
              <w:wordWrap/>
              <w:overflowPunct/>
              <w:topLinePunct w:val="0"/>
              <w:autoSpaceDE/>
              <w:autoSpaceDN/>
              <w:bidi w:val="0"/>
              <w:adjustRightInd/>
              <w:snapToGrid/>
              <w:spacing w:line="360" w:lineRule="exact"/>
              <w:ind w:firstLine="0"/>
              <w:jc w:val="center"/>
              <w:textAlignment w:val="auto"/>
              <w:rPr>
                <w:rFonts w:ascii="宋体" w:hAnsi="宋体" w:cs="宋体"/>
                <w:sz w:val="24"/>
                <w:lang w:bidi="ar"/>
              </w:rPr>
            </w:pPr>
            <w:r>
              <w:rPr>
                <w:rFonts w:hint="eastAsia" w:ascii="宋体" w:hAnsi="宋体" w:cs="宋体"/>
                <w:sz w:val="24"/>
                <w:lang w:bidi="ar"/>
              </w:rPr>
              <w:t>5</w:t>
            </w:r>
          </w:p>
        </w:tc>
        <w:tc>
          <w:tcPr>
            <w:tcW w:w="1445" w:type="dxa"/>
            <w:noWrap/>
            <w:vAlign w:val="center"/>
          </w:tcPr>
          <w:p w14:paraId="266AF575">
            <w:pPr>
              <w:keepNext w:val="0"/>
              <w:keepLines w:val="0"/>
              <w:pageBreakBefore w:val="0"/>
              <w:kinsoku/>
              <w:wordWrap/>
              <w:overflowPunct/>
              <w:topLinePunct w:val="0"/>
              <w:autoSpaceDE/>
              <w:autoSpaceDN/>
              <w:bidi w:val="0"/>
              <w:adjustRightInd/>
              <w:snapToGrid/>
              <w:spacing w:line="360" w:lineRule="exact"/>
              <w:ind w:firstLine="0"/>
              <w:jc w:val="center"/>
              <w:textAlignment w:val="auto"/>
              <w:rPr>
                <w:rFonts w:ascii="宋体" w:hAnsi="宋体" w:cs="宋体"/>
                <w:sz w:val="24"/>
                <w:lang w:bidi="ar"/>
              </w:rPr>
            </w:pPr>
            <w:r>
              <w:rPr>
                <w:rFonts w:hint="eastAsia" w:ascii="宋体" w:hAnsi="宋体" w:cs="宋体"/>
                <w:sz w:val="24"/>
                <w:lang w:bidi="ar"/>
              </w:rPr>
              <w:t>校园道路、广场</w:t>
            </w:r>
          </w:p>
        </w:tc>
        <w:tc>
          <w:tcPr>
            <w:tcW w:w="6314" w:type="dxa"/>
            <w:noWrap/>
            <w:vAlign w:val="top"/>
          </w:tcPr>
          <w:p w14:paraId="44C4D4F1">
            <w:pPr>
              <w:keepNext w:val="0"/>
              <w:keepLines w:val="0"/>
              <w:pageBreakBefore w:val="0"/>
              <w:kinsoku/>
              <w:wordWrap/>
              <w:overflowPunct/>
              <w:topLinePunct w:val="0"/>
              <w:autoSpaceDE/>
              <w:autoSpaceDN/>
              <w:bidi w:val="0"/>
              <w:adjustRightInd/>
              <w:snapToGrid/>
              <w:spacing w:line="360" w:lineRule="exact"/>
              <w:ind w:firstLine="0"/>
              <w:jc w:val="left"/>
              <w:textAlignment w:val="auto"/>
              <w:rPr>
                <w:rFonts w:ascii="宋体" w:hAnsi="宋体" w:cs="宋体"/>
                <w:color w:val="000000"/>
                <w:sz w:val="24"/>
              </w:rPr>
            </w:pPr>
            <w:r>
              <w:rPr>
                <w:rFonts w:hint="eastAsia" w:ascii="宋体" w:hAnsi="宋体" w:eastAsia="宋体" w:cs="宋体"/>
                <w:color w:val="000000"/>
                <w:sz w:val="24"/>
                <w:szCs w:val="20"/>
              </w:rPr>
              <w:t>每日清扫路面1~2次,</w:t>
            </w:r>
            <w:r>
              <w:rPr>
                <w:rFonts w:hint="eastAsia" w:ascii="宋体" w:hAnsi="宋体" w:cs="宋体"/>
                <w:color w:val="000000"/>
                <w:sz w:val="24"/>
              </w:rPr>
              <w:t>每2小时巡查一次，发现有零星的杂物及时清理。</w:t>
            </w:r>
          </w:p>
        </w:tc>
      </w:tr>
      <w:tr w14:paraId="781D3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4" w:hRule="atLeast"/>
        </w:trPr>
        <w:tc>
          <w:tcPr>
            <w:tcW w:w="846" w:type="dxa"/>
            <w:noWrap/>
            <w:vAlign w:val="center"/>
          </w:tcPr>
          <w:p w14:paraId="75ACB731">
            <w:pPr>
              <w:keepNext w:val="0"/>
              <w:keepLines w:val="0"/>
              <w:pageBreakBefore w:val="0"/>
              <w:kinsoku/>
              <w:wordWrap/>
              <w:overflowPunct/>
              <w:topLinePunct w:val="0"/>
              <w:autoSpaceDE/>
              <w:autoSpaceDN/>
              <w:bidi w:val="0"/>
              <w:adjustRightInd/>
              <w:snapToGrid/>
              <w:spacing w:line="360" w:lineRule="exact"/>
              <w:ind w:firstLine="0"/>
              <w:jc w:val="center"/>
              <w:textAlignment w:val="auto"/>
              <w:rPr>
                <w:rFonts w:ascii="宋体" w:hAnsi="宋体" w:cs="宋体"/>
                <w:sz w:val="24"/>
                <w:lang w:bidi="ar"/>
              </w:rPr>
            </w:pPr>
            <w:r>
              <w:rPr>
                <w:rFonts w:hint="eastAsia" w:ascii="宋体" w:hAnsi="宋体" w:cs="宋体"/>
                <w:sz w:val="24"/>
                <w:lang w:bidi="ar"/>
              </w:rPr>
              <w:t>6</w:t>
            </w:r>
          </w:p>
        </w:tc>
        <w:tc>
          <w:tcPr>
            <w:tcW w:w="1445" w:type="dxa"/>
            <w:noWrap/>
            <w:vAlign w:val="center"/>
          </w:tcPr>
          <w:p w14:paraId="5BD8312C">
            <w:pPr>
              <w:keepNext w:val="0"/>
              <w:keepLines w:val="0"/>
              <w:pageBreakBefore w:val="0"/>
              <w:kinsoku/>
              <w:wordWrap/>
              <w:overflowPunct/>
              <w:topLinePunct w:val="0"/>
              <w:autoSpaceDE/>
              <w:autoSpaceDN/>
              <w:bidi w:val="0"/>
              <w:adjustRightInd/>
              <w:snapToGrid/>
              <w:spacing w:line="360" w:lineRule="exact"/>
              <w:ind w:firstLine="0"/>
              <w:jc w:val="center"/>
              <w:textAlignment w:val="auto"/>
              <w:rPr>
                <w:rFonts w:ascii="宋体" w:hAnsi="宋体" w:cs="宋体"/>
                <w:sz w:val="24"/>
                <w:lang w:bidi="ar"/>
              </w:rPr>
            </w:pPr>
            <w:r>
              <w:rPr>
                <w:rFonts w:hint="eastAsia" w:ascii="宋体" w:hAnsi="宋体" w:cs="宋体"/>
                <w:sz w:val="24"/>
                <w:lang w:bidi="ar"/>
              </w:rPr>
              <w:t>会议要求</w:t>
            </w:r>
          </w:p>
        </w:tc>
        <w:tc>
          <w:tcPr>
            <w:tcW w:w="6314" w:type="dxa"/>
            <w:noWrap/>
            <w:vAlign w:val="center"/>
          </w:tcPr>
          <w:p w14:paraId="0FB05FA7">
            <w:pPr>
              <w:keepNext w:val="0"/>
              <w:keepLines w:val="0"/>
              <w:pageBreakBefore w:val="0"/>
              <w:kinsoku/>
              <w:wordWrap/>
              <w:overflowPunct/>
              <w:topLinePunct w:val="0"/>
              <w:autoSpaceDE/>
              <w:autoSpaceDN/>
              <w:bidi w:val="0"/>
              <w:adjustRightInd/>
              <w:snapToGrid/>
              <w:spacing w:line="360" w:lineRule="exact"/>
              <w:ind w:firstLine="0"/>
              <w:jc w:val="left"/>
              <w:textAlignment w:val="auto"/>
              <w:rPr>
                <w:rFonts w:ascii="宋体" w:hAnsi="宋体" w:cs="宋体"/>
                <w:color w:val="000000"/>
                <w:sz w:val="24"/>
              </w:rPr>
            </w:pPr>
            <w:r>
              <w:rPr>
                <w:rFonts w:hint="eastAsia" w:ascii="宋体" w:hAnsi="宋体" w:cs="宋体"/>
                <w:color w:val="000000"/>
                <w:sz w:val="24"/>
              </w:rPr>
              <w:t>会议茶杯清洗以及桌椅整理、场地保洁服务等。</w:t>
            </w:r>
          </w:p>
        </w:tc>
      </w:tr>
    </w:tbl>
    <w:p w14:paraId="51EFA40B">
      <w:pPr>
        <w:spacing w:line="500" w:lineRule="exact"/>
        <w:ind w:firstLine="480"/>
        <w:jc w:val="left"/>
        <w:rPr>
          <w:rFonts w:ascii="宋体" w:hAnsi="宋体" w:cs="宋体"/>
          <w:b/>
          <w:bCs/>
          <w:color w:val="000000"/>
          <w:sz w:val="24"/>
        </w:rPr>
      </w:pPr>
      <w:r>
        <w:rPr>
          <w:rFonts w:hint="eastAsia" w:ascii="宋体" w:hAnsi="宋体" w:cs="宋体"/>
          <w:b/>
          <w:bCs/>
          <w:color w:val="000000"/>
          <w:sz w:val="24"/>
          <w:lang w:val="en-US" w:eastAsia="zh-CN"/>
        </w:rPr>
        <w:t>2、</w:t>
      </w:r>
      <w:r>
        <w:rPr>
          <w:rFonts w:hint="eastAsia" w:ascii="宋体" w:hAnsi="宋体" w:cs="宋体"/>
          <w:b/>
          <w:bCs/>
          <w:color w:val="000000"/>
          <w:sz w:val="24"/>
          <w:lang w:eastAsia="zh-CN"/>
        </w:rPr>
        <w:t>地面和墙面</w:t>
      </w:r>
      <w:r>
        <w:rPr>
          <w:rFonts w:hint="eastAsia" w:ascii="宋体" w:hAnsi="宋体" w:cs="宋体"/>
          <w:b/>
          <w:bCs/>
          <w:color w:val="000000"/>
          <w:sz w:val="24"/>
        </w:rPr>
        <w:t>清洁具体要求</w:t>
      </w:r>
    </w:p>
    <w:tbl>
      <w:tblPr>
        <w:tblStyle w:val="29"/>
        <w:tblW w:w="4865"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516"/>
        <w:gridCol w:w="6663"/>
      </w:tblGrid>
      <w:tr w14:paraId="73E17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818" w:type="dxa"/>
            <w:noWrap/>
            <w:vAlign w:val="center"/>
          </w:tcPr>
          <w:p w14:paraId="21B7979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b/>
                <w:bCs/>
                <w:sz w:val="24"/>
              </w:rPr>
            </w:pPr>
            <w:r>
              <w:rPr>
                <w:rFonts w:hint="eastAsia"/>
                <w:b/>
                <w:bCs/>
                <w:sz w:val="24"/>
              </w:rPr>
              <w:t>序号</w:t>
            </w:r>
          </w:p>
        </w:tc>
        <w:tc>
          <w:tcPr>
            <w:tcW w:w="1446" w:type="dxa"/>
            <w:noWrap/>
            <w:vAlign w:val="center"/>
          </w:tcPr>
          <w:p w14:paraId="650D181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b/>
                <w:bCs/>
                <w:sz w:val="24"/>
              </w:rPr>
            </w:pPr>
            <w:r>
              <w:rPr>
                <w:rFonts w:hint="eastAsia"/>
                <w:b/>
                <w:bCs/>
                <w:sz w:val="24"/>
              </w:rPr>
              <w:t>材质</w:t>
            </w:r>
          </w:p>
        </w:tc>
        <w:tc>
          <w:tcPr>
            <w:tcW w:w="6354" w:type="dxa"/>
            <w:noWrap/>
            <w:vAlign w:val="center"/>
          </w:tcPr>
          <w:p w14:paraId="6208AE0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b/>
                <w:bCs/>
                <w:sz w:val="24"/>
              </w:rPr>
            </w:pPr>
            <w:r>
              <w:rPr>
                <w:rFonts w:hint="eastAsia"/>
                <w:b/>
                <w:bCs/>
                <w:sz w:val="24"/>
              </w:rPr>
              <w:t>清洁要求</w:t>
            </w:r>
          </w:p>
        </w:tc>
      </w:tr>
      <w:tr w14:paraId="6F41E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trPr>
        <w:tc>
          <w:tcPr>
            <w:tcW w:w="818" w:type="dxa"/>
            <w:vMerge w:val="restart"/>
            <w:noWrap/>
            <w:vAlign w:val="center"/>
          </w:tcPr>
          <w:p w14:paraId="2D580A3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1</w:t>
            </w:r>
          </w:p>
        </w:tc>
        <w:tc>
          <w:tcPr>
            <w:tcW w:w="1446" w:type="dxa"/>
            <w:vMerge w:val="restart"/>
            <w:noWrap/>
            <w:vAlign w:val="center"/>
          </w:tcPr>
          <w:p w14:paraId="2D3C244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环氧地坪地面</w:t>
            </w:r>
          </w:p>
        </w:tc>
        <w:tc>
          <w:tcPr>
            <w:tcW w:w="6354" w:type="dxa"/>
            <w:noWrap/>
            <w:vAlign w:val="center"/>
          </w:tcPr>
          <w:p w14:paraId="615D147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000000"/>
                <w:sz w:val="24"/>
              </w:rPr>
            </w:pPr>
            <w:r>
              <w:rPr>
                <w:rFonts w:hint="eastAsia" w:ascii="宋体" w:hAnsi="宋体" w:cs="宋体"/>
                <w:color w:val="000000"/>
                <w:sz w:val="24"/>
              </w:rPr>
              <w:t>（1）清理垃圾：清理地面上的垃圾和杂物。</w:t>
            </w:r>
          </w:p>
        </w:tc>
      </w:tr>
      <w:tr w14:paraId="3A6A5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7F81369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p>
        </w:tc>
        <w:tc>
          <w:tcPr>
            <w:tcW w:w="1446" w:type="dxa"/>
            <w:vMerge w:val="continue"/>
            <w:noWrap/>
            <w:vAlign w:val="center"/>
          </w:tcPr>
          <w:p w14:paraId="4906E28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p>
        </w:tc>
        <w:tc>
          <w:tcPr>
            <w:tcW w:w="6354" w:type="dxa"/>
            <w:noWrap/>
            <w:vAlign w:val="center"/>
          </w:tcPr>
          <w:p w14:paraId="6F24E63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000000"/>
                <w:sz w:val="24"/>
              </w:rPr>
            </w:pPr>
            <w:r>
              <w:rPr>
                <w:rFonts w:hint="eastAsia" w:ascii="宋体" w:hAnsi="宋体" w:cs="宋体"/>
                <w:color w:val="000000"/>
                <w:sz w:val="24"/>
              </w:rPr>
              <w:t>（2）清洗地面：用专业的清洁剂或去污剂清洗地面。清洁剂和去污剂的选取要根据污垢的性质而定。环氧地坪一般使用弱酸性或弱碱性的清洁剂，避免使用酸性或碱性强的清洁剂。</w:t>
            </w:r>
          </w:p>
        </w:tc>
      </w:tr>
      <w:tr w14:paraId="7CBBC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334C254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p>
        </w:tc>
        <w:tc>
          <w:tcPr>
            <w:tcW w:w="1446" w:type="dxa"/>
            <w:vMerge w:val="continue"/>
            <w:noWrap/>
            <w:vAlign w:val="center"/>
          </w:tcPr>
          <w:p w14:paraId="31B19F3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p>
        </w:tc>
        <w:tc>
          <w:tcPr>
            <w:tcW w:w="6354" w:type="dxa"/>
            <w:noWrap/>
            <w:vAlign w:val="center"/>
          </w:tcPr>
          <w:p w14:paraId="29544DE5">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000000"/>
                <w:sz w:val="24"/>
              </w:rPr>
            </w:pPr>
            <w:r>
              <w:rPr>
                <w:rFonts w:hint="eastAsia" w:ascii="宋体" w:hAnsi="宋体" w:cs="宋体"/>
                <w:color w:val="000000"/>
                <w:sz w:val="24"/>
              </w:rPr>
              <w:t>（3）浸泡：将清洁剂或去污剂浸泡在环氧地坪上，加强去除污渍的效果。</w:t>
            </w:r>
          </w:p>
        </w:tc>
      </w:tr>
      <w:tr w14:paraId="1ED90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799F727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p>
        </w:tc>
        <w:tc>
          <w:tcPr>
            <w:tcW w:w="1446" w:type="dxa"/>
            <w:vMerge w:val="continue"/>
            <w:noWrap/>
            <w:vAlign w:val="center"/>
          </w:tcPr>
          <w:p w14:paraId="7996D32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p>
        </w:tc>
        <w:tc>
          <w:tcPr>
            <w:tcW w:w="6354" w:type="dxa"/>
            <w:noWrap/>
            <w:vAlign w:val="center"/>
          </w:tcPr>
          <w:p w14:paraId="4222DC75">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000000"/>
                <w:sz w:val="24"/>
              </w:rPr>
            </w:pPr>
            <w:r>
              <w:rPr>
                <w:rFonts w:hint="eastAsia" w:ascii="宋体" w:hAnsi="宋体" w:cs="宋体"/>
                <w:color w:val="000000"/>
                <w:sz w:val="24"/>
              </w:rPr>
              <w:t>（4）冲洗：用清水将地面冲洗干净，以去除残留的清洁剂或去污剂。</w:t>
            </w:r>
          </w:p>
        </w:tc>
      </w:tr>
      <w:tr w14:paraId="19D21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restart"/>
            <w:noWrap/>
            <w:vAlign w:val="center"/>
          </w:tcPr>
          <w:p w14:paraId="60B8DB4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2</w:t>
            </w:r>
          </w:p>
        </w:tc>
        <w:tc>
          <w:tcPr>
            <w:tcW w:w="1446" w:type="dxa"/>
            <w:vMerge w:val="restart"/>
            <w:noWrap/>
            <w:vAlign w:val="center"/>
          </w:tcPr>
          <w:p w14:paraId="3C0F364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瓷砖地面</w:t>
            </w:r>
          </w:p>
        </w:tc>
        <w:tc>
          <w:tcPr>
            <w:tcW w:w="6354" w:type="dxa"/>
            <w:noWrap/>
            <w:vAlign w:val="center"/>
          </w:tcPr>
          <w:p w14:paraId="1AA942D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000000"/>
                <w:sz w:val="24"/>
              </w:rPr>
            </w:pPr>
            <w:r>
              <w:rPr>
                <w:rFonts w:hint="eastAsia" w:ascii="宋体" w:hAnsi="宋体" w:cs="宋体"/>
                <w:color w:val="000000"/>
                <w:sz w:val="24"/>
              </w:rPr>
              <w:t>（1）日常清洁：推尘，保持地面干净无杂物。</w:t>
            </w:r>
          </w:p>
        </w:tc>
      </w:tr>
      <w:tr w14:paraId="50AAB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441718D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p>
        </w:tc>
        <w:tc>
          <w:tcPr>
            <w:tcW w:w="1446" w:type="dxa"/>
            <w:vMerge w:val="continue"/>
            <w:noWrap/>
            <w:vAlign w:val="center"/>
          </w:tcPr>
          <w:p w14:paraId="568A8C4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p>
        </w:tc>
        <w:tc>
          <w:tcPr>
            <w:tcW w:w="6354" w:type="dxa"/>
            <w:noWrap/>
            <w:vAlign w:val="center"/>
          </w:tcPr>
          <w:p w14:paraId="16A73D9F">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000000"/>
                <w:sz w:val="24"/>
              </w:rPr>
            </w:pPr>
            <w:r>
              <w:rPr>
                <w:rFonts w:hint="eastAsia" w:ascii="宋体" w:hAnsi="宋体" w:cs="宋体"/>
                <w:color w:val="000000"/>
                <w:sz w:val="24"/>
              </w:rPr>
              <w:t>（2）深度清洁：使用洗洁精或肥皂水清理。</w:t>
            </w:r>
          </w:p>
        </w:tc>
      </w:tr>
      <w:tr w14:paraId="32A89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07B7B78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3</w:t>
            </w:r>
          </w:p>
        </w:tc>
        <w:tc>
          <w:tcPr>
            <w:tcW w:w="1446" w:type="dxa"/>
            <w:noWrap/>
            <w:vAlign w:val="center"/>
          </w:tcPr>
          <w:p w14:paraId="7D91D9E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石材地面</w:t>
            </w:r>
          </w:p>
        </w:tc>
        <w:tc>
          <w:tcPr>
            <w:tcW w:w="6354" w:type="dxa"/>
            <w:noWrap/>
            <w:vAlign w:val="center"/>
          </w:tcPr>
          <w:p w14:paraId="5BE84E44">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000000"/>
                <w:sz w:val="24"/>
              </w:rPr>
            </w:pPr>
            <w:r>
              <w:rPr>
                <w:rFonts w:hint="eastAsia" w:ascii="宋体" w:hAnsi="宋体" w:cs="宋体"/>
                <w:color w:val="000000"/>
                <w:sz w:val="24"/>
              </w:rPr>
              <w:t>定期使用中性清洁剂清洁，避免使用强酸或强碱清洁剂。</w:t>
            </w:r>
          </w:p>
        </w:tc>
      </w:tr>
      <w:tr w14:paraId="6FAF2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restart"/>
            <w:noWrap/>
            <w:vAlign w:val="center"/>
          </w:tcPr>
          <w:p w14:paraId="38DD37D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5</w:t>
            </w:r>
          </w:p>
        </w:tc>
        <w:tc>
          <w:tcPr>
            <w:tcW w:w="1446" w:type="dxa"/>
            <w:vMerge w:val="restart"/>
            <w:noWrap/>
            <w:vAlign w:val="center"/>
          </w:tcPr>
          <w:p w14:paraId="5D9F3CC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水磨石地面</w:t>
            </w:r>
          </w:p>
        </w:tc>
        <w:tc>
          <w:tcPr>
            <w:tcW w:w="6354" w:type="dxa"/>
            <w:noWrap/>
            <w:vAlign w:val="center"/>
          </w:tcPr>
          <w:p w14:paraId="6B6CDE7A">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000000"/>
                <w:sz w:val="24"/>
              </w:rPr>
            </w:pPr>
            <w:r>
              <w:rPr>
                <w:rFonts w:hint="eastAsia" w:ascii="宋体" w:hAnsi="宋体" w:cs="宋体"/>
                <w:color w:val="000000"/>
                <w:sz w:val="24"/>
              </w:rPr>
              <w:t>（1）日常清洁：推尘，保持地面干净无杂物。</w:t>
            </w:r>
          </w:p>
        </w:tc>
      </w:tr>
      <w:tr w14:paraId="1070B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39B0D22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p>
        </w:tc>
        <w:tc>
          <w:tcPr>
            <w:tcW w:w="1446" w:type="dxa"/>
            <w:vMerge w:val="continue"/>
            <w:noWrap/>
            <w:vAlign w:val="center"/>
          </w:tcPr>
          <w:p w14:paraId="08AC282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p>
        </w:tc>
        <w:tc>
          <w:tcPr>
            <w:tcW w:w="6354" w:type="dxa"/>
            <w:noWrap/>
            <w:vAlign w:val="center"/>
          </w:tcPr>
          <w:p w14:paraId="25599F3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000000"/>
                <w:sz w:val="24"/>
              </w:rPr>
            </w:pPr>
            <w:r>
              <w:rPr>
                <w:rFonts w:hint="eastAsia" w:ascii="宋体" w:hAnsi="宋体" w:cs="宋体"/>
                <w:color w:val="000000"/>
                <w:sz w:val="24"/>
              </w:rPr>
              <w:t>（2）深度清洁：使用洗洁精或肥皂水清理。</w:t>
            </w:r>
          </w:p>
        </w:tc>
      </w:tr>
      <w:tr w14:paraId="7F64D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4AE9E10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6</w:t>
            </w:r>
          </w:p>
        </w:tc>
        <w:tc>
          <w:tcPr>
            <w:tcW w:w="1446" w:type="dxa"/>
            <w:noWrap/>
            <w:vAlign w:val="center"/>
          </w:tcPr>
          <w:p w14:paraId="5432859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地毯地面</w:t>
            </w:r>
          </w:p>
        </w:tc>
        <w:tc>
          <w:tcPr>
            <w:tcW w:w="6354" w:type="dxa"/>
            <w:noWrap/>
            <w:vAlign w:val="center"/>
          </w:tcPr>
          <w:p w14:paraId="338B2FA6">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000000"/>
                <w:sz w:val="24"/>
              </w:rPr>
            </w:pPr>
            <w:r>
              <w:rPr>
                <w:rFonts w:hint="eastAsia" w:ascii="宋体" w:hAnsi="宋体" w:cs="宋体"/>
                <w:color w:val="000000"/>
                <w:sz w:val="24"/>
              </w:rPr>
              <w:t>日常用吸尘机除尘，局部脏污用湿布配中性清洁液重点清洁。</w:t>
            </w:r>
          </w:p>
        </w:tc>
      </w:tr>
      <w:tr w14:paraId="6BBEC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trPr>
        <w:tc>
          <w:tcPr>
            <w:tcW w:w="818" w:type="dxa"/>
            <w:noWrap/>
            <w:vAlign w:val="center"/>
          </w:tcPr>
          <w:p w14:paraId="6C1DA31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7</w:t>
            </w:r>
          </w:p>
        </w:tc>
        <w:tc>
          <w:tcPr>
            <w:tcW w:w="1446" w:type="dxa"/>
            <w:noWrap/>
            <w:vAlign w:val="center"/>
          </w:tcPr>
          <w:p w14:paraId="2B1ED63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乳胶漆内墙</w:t>
            </w:r>
          </w:p>
        </w:tc>
        <w:tc>
          <w:tcPr>
            <w:tcW w:w="6354" w:type="dxa"/>
            <w:noWrap/>
            <w:vAlign w:val="center"/>
          </w:tcPr>
          <w:p w14:paraId="62204A5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000000"/>
                <w:sz w:val="24"/>
              </w:rPr>
            </w:pPr>
            <w:r>
              <w:rPr>
                <w:rFonts w:hint="eastAsia" w:ascii="宋体" w:hAnsi="宋体" w:cs="宋体"/>
                <w:color w:val="000000"/>
                <w:sz w:val="24"/>
              </w:rPr>
              <w:t>有污渍时用半干布擦拭。</w:t>
            </w:r>
          </w:p>
        </w:tc>
      </w:tr>
      <w:tr w14:paraId="27018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818" w:type="dxa"/>
            <w:noWrap/>
            <w:vAlign w:val="center"/>
          </w:tcPr>
          <w:p w14:paraId="190A637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8</w:t>
            </w:r>
          </w:p>
        </w:tc>
        <w:tc>
          <w:tcPr>
            <w:tcW w:w="1446" w:type="dxa"/>
            <w:noWrap/>
            <w:vAlign w:val="center"/>
          </w:tcPr>
          <w:p w14:paraId="70967E3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木饰面内墙</w:t>
            </w:r>
          </w:p>
        </w:tc>
        <w:tc>
          <w:tcPr>
            <w:tcW w:w="6354" w:type="dxa"/>
            <w:noWrap/>
            <w:vAlign w:val="center"/>
          </w:tcPr>
          <w:p w14:paraId="27E3342F">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000000"/>
                <w:sz w:val="24"/>
              </w:rPr>
            </w:pPr>
            <w:r>
              <w:rPr>
                <w:rFonts w:hint="eastAsia" w:ascii="宋体" w:hAnsi="宋体" w:cs="宋体"/>
                <w:color w:val="000000"/>
                <w:sz w:val="24"/>
              </w:rPr>
              <w:t>有污渍时用中性清洁剂、半干布擦拭。</w:t>
            </w:r>
          </w:p>
        </w:tc>
      </w:tr>
      <w:tr w14:paraId="68AA0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trPr>
        <w:tc>
          <w:tcPr>
            <w:tcW w:w="818" w:type="dxa"/>
            <w:noWrap/>
            <w:vAlign w:val="center"/>
          </w:tcPr>
          <w:p w14:paraId="32A816D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9</w:t>
            </w:r>
          </w:p>
        </w:tc>
        <w:tc>
          <w:tcPr>
            <w:tcW w:w="1446" w:type="dxa"/>
            <w:noWrap/>
            <w:vAlign w:val="center"/>
          </w:tcPr>
          <w:p w14:paraId="02F9543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真石漆外墙</w:t>
            </w:r>
          </w:p>
        </w:tc>
        <w:tc>
          <w:tcPr>
            <w:tcW w:w="6354" w:type="dxa"/>
            <w:noWrap/>
            <w:vAlign w:val="center"/>
          </w:tcPr>
          <w:p w14:paraId="6CD98A2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000000"/>
                <w:sz w:val="24"/>
              </w:rPr>
            </w:pPr>
            <w:r>
              <w:rPr>
                <w:rFonts w:hint="eastAsia" w:ascii="宋体" w:hAnsi="宋体" w:cs="宋体"/>
                <w:color w:val="000000"/>
                <w:sz w:val="24"/>
              </w:rPr>
              <w:t>定期专业清洗。</w:t>
            </w:r>
          </w:p>
        </w:tc>
      </w:tr>
      <w:tr w14:paraId="26C0E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1663DCA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10</w:t>
            </w:r>
          </w:p>
        </w:tc>
        <w:tc>
          <w:tcPr>
            <w:tcW w:w="1446" w:type="dxa"/>
            <w:noWrap/>
            <w:vAlign w:val="center"/>
          </w:tcPr>
          <w:p w14:paraId="51ECA8C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干挂石材</w:t>
            </w:r>
          </w:p>
          <w:p w14:paraId="3B402D9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外墙</w:t>
            </w:r>
          </w:p>
        </w:tc>
        <w:tc>
          <w:tcPr>
            <w:tcW w:w="6354" w:type="dxa"/>
            <w:noWrap/>
            <w:vAlign w:val="center"/>
          </w:tcPr>
          <w:p w14:paraId="6A4D0A3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000000"/>
                <w:sz w:val="24"/>
              </w:rPr>
            </w:pPr>
            <w:r>
              <w:rPr>
                <w:rFonts w:hint="eastAsia" w:ascii="宋体" w:hAnsi="宋体" w:cs="宋体"/>
                <w:color w:val="000000"/>
                <w:sz w:val="24"/>
              </w:rPr>
              <w:t>定期专业清洗。</w:t>
            </w:r>
          </w:p>
        </w:tc>
      </w:tr>
      <w:tr w14:paraId="38691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290DC32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11</w:t>
            </w:r>
          </w:p>
        </w:tc>
        <w:tc>
          <w:tcPr>
            <w:tcW w:w="1446" w:type="dxa"/>
            <w:noWrap/>
            <w:vAlign w:val="center"/>
          </w:tcPr>
          <w:p w14:paraId="46249EF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玻璃幕墙</w:t>
            </w:r>
          </w:p>
          <w:p w14:paraId="13DC057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外墙</w:t>
            </w:r>
          </w:p>
        </w:tc>
        <w:tc>
          <w:tcPr>
            <w:tcW w:w="6354" w:type="dxa"/>
            <w:noWrap/>
            <w:vAlign w:val="center"/>
          </w:tcPr>
          <w:p w14:paraId="699A394A">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宋体" w:hAnsi="宋体" w:cs="宋体"/>
                <w:color w:val="000000"/>
                <w:sz w:val="24"/>
              </w:rPr>
            </w:pPr>
            <w:r>
              <w:rPr>
                <w:rFonts w:hint="eastAsia" w:ascii="宋体" w:hAnsi="宋体" w:cs="宋体"/>
                <w:color w:val="000000"/>
                <w:sz w:val="24"/>
              </w:rPr>
              <w:t>定期专业清洗。</w:t>
            </w:r>
          </w:p>
        </w:tc>
      </w:tr>
    </w:tbl>
    <w:p w14:paraId="5517A427">
      <w:pPr>
        <w:spacing w:line="500" w:lineRule="exact"/>
        <w:ind w:firstLine="480"/>
        <w:jc w:val="lef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3、</w:t>
      </w:r>
      <w:r>
        <w:rPr>
          <w:rFonts w:hint="eastAsia" w:ascii="宋体" w:hAnsi="宋体" w:cs="宋体"/>
          <w:b/>
          <w:bCs/>
          <w:color w:val="000000"/>
          <w:sz w:val="24"/>
          <w:lang w:eastAsia="zh-CN"/>
        </w:rPr>
        <w:t>水电</w:t>
      </w:r>
      <w:r>
        <w:rPr>
          <w:rFonts w:hint="eastAsia" w:ascii="宋体" w:hAnsi="宋体" w:cs="宋体"/>
          <w:b/>
          <w:bCs/>
          <w:color w:val="000000"/>
          <w:sz w:val="24"/>
          <w:lang w:val="en-US" w:eastAsia="zh-CN"/>
        </w:rPr>
        <w:t>服务</w:t>
      </w:r>
    </w:p>
    <w:tbl>
      <w:tblPr>
        <w:tblStyle w:val="29"/>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1"/>
        <w:gridCol w:w="1576"/>
        <w:gridCol w:w="6895"/>
      </w:tblGrid>
      <w:tr w14:paraId="0A713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6E38BBCD">
            <w:pPr>
              <w:keepNext w:val="0"/>
              <w:keepLines w:val="0"/>
              <w:pageBreakBefore w:val="0"/>
              <w:kinsoku/>
              <w:wordWrap/>
              <w:overflowPunct/>
              <w:topLinePunct w:val="0"/>
              <w:autoSpaceDE/>
              <w:autoSpaceDN/>
              <w:bidi w:val="0"/>
              <w:adjustRightInd/>
              <w:snapToGrid/>
              <w:spacing w:line="360" w:lineRule="exact"/>
              <w:jc w:val="center"/>
              <w:textAlignment w:val="auto"/>
              <w:rPr>
                <w:rFonts w:ascii="宋体" w:hAnsi="宋体" w:cs="宋体"/>
                <w:b/>
                <w:bCs/>
                <w:sz w:val="24"/>
                <w:lang w:bidi="ar"/>
              </w:rPr>
            </w:pPr>
            <w:r>
              <w:rPr>
                <w:rFonts w:hint="eastAsia" w:ascii="宋体" w:hAnsi="宋体" w:cs="宋体"/>
                <w:b/>
                <w:bCs/>
                <w:sz w:val="24"/>
                <w:lang w:bidi="ar"/>
              </w:rPr>
              <w:t>序号</w:t>
            </w:r>
          </w:p>
        </w:tc>
        <w:tc>
          <w:tcPr>
            <w:tcW w:w="1446" w:type="dxa"/>
            <w:noWrap/>
            <w:vAlign w:val="center"/>
          </w:tcPr>
          <w:p w14:paraId="335FE34E">
            <w:pPr>
              <w:keepNext w:val="0"/>
              <w:keepLines w:val="0"/>
              <w:pageBreakBefore w:val="0"/>
              <w:kinsoku/>
              <w:wordWrap/>
              <w:overflowPunct/>
              <w:topLinePunct w:val="0"/>
              <w:autoSpaceDE/>
              <w:autoSpaceDN/>
              <w:bidi w:val="0"/>
              <w:adjustRightInd/>
              <w:snapToGrid/>
              <w:spacing w:line="360" w:lineRule="exact"/>
              <w:jc w:val="center"/>
              <w:textAlignment w:val="auto"/>
              <w:rPr>
                <w:rFonts w:ascii="宋体" w:hAnsi="宋体" w:cs="宋体"/>
                <w:b/>
                <w:bCs/>
                <w:sz w:val="24"/>
                <w:lang w:bidi="ar"/>
              </w:rPr>
            </w:pPr>
            <w:r>
              <w:rPr>
                <w:rFonts w:hint="eastAsia" w:ascii="宋体" w:hAnsi="宋体" w:cs="宋体"/>
                <w:b/>
                <w:bCs/>
                <w:sz w:val="24"/>
                <w:lang w:bidi="ar"/>
              </w:rPr>
              <w:t>服务内容</w:t>
            </w:r>
          </w:p>
        </w:tc>
        <w:tc>
          <w:tcPr>
            <w:tcW w:w="6327" w:type="dxa"/>
            <w:noWrap/>
            <w:vAlign w:val="center"/>
          </w:tcPr>
          <w:p w14:paraId="1C92E7DA">
            <w:pPr>
              <w:keepNext w:val="0"/>
              <w:keepLines w:val="0"/>
              <w:pageBreakBefore w:val="0"/>
              <w:kinsoku/>
              <w:wordWrap/>
              <w:overflowPunct/>
              <w:topLinePunct w:val="0"/>
              <w:autoSpaceDE/>
              <w:autoSpaceDN/>
              <w:bidi w:val="0"/>
              <w:adjustRightInd/>
              <w:snapToGrid/>
              <w:spacing w:line="360" w:lineRule="exact"/>
              <w:jc w:val="center"/>
              <w:textAlignment w:val="auto"/>
              <w:rPr>
                <w:rFonts w:ascii="宋体" w:hAnsi="宋体" w:cs="宋体"/>
                <w:b/>
                <w:bCs/>
                <w:sz w:val="24"/>
                <w:lang w:bidi="ar"/>
              </w:rPr>
            </w:pPr>
            <w:r>
              <w:rPr>
                <w:rFonts w:hint="eastAsia" w:ascii="宋体" w:hAnsi="宋体" w:cs="宋体"/>
                <w:b/>
                <w:bCs/>
                <w:sz w:val="24"/>
                <w:lang w:bidi="ar"/>
              </w:rPr>
              <w:t>服务标准</w:t>
            </w:r>
          </w:p>
        </w:tc>
      </w:tr>
      <w:tr w14:paraId="36B0D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4CB8E7AE">
            <w:pPr>
              <w:keepNext w:val="0"/>
              <w:keepLines w:val="0"/>
              <w:pageBreakBefore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1</w:t>
            </w:r>
          </w:p>
        </w:tc>
        <w:tc>
          <w:tcPr>
            <w:tcW w:w="1446" w:type="dxa"/>
            <w:noWrap/>
            <w:vAlign w:val="center"/>
          </w:tcPr>
          <w:p w14:paraId="568439EF">
            <w:pPr>
              <w:keepNext w:val="0"/>
              <w:keepLines w:val="0"/>
              <w:pageBreakBefore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基本要求</w:t>
            </w:r>
          </w:p>
        </w:tc>
        <w:tc>
          <w:tcPr>
            <w:tcW w:w="6327" w:type="dxa"/>
            <w:noWrap/>
            <w:vAlign w:val="center"/>
          </w:tcPr>
          <w:p w14:paraId="4830960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配电房：</w:t>
            </w:r>
          </w:p>
          <w:p w14:paraId="19CDC24E">
            <w:pPr>
              <w:keepNext w:val="0"/>
              <w:keepLines w:val="0"/>
              <w:pageBreakBefore w:val="0"/>
              <w:widowControl/>
              <w:numPr>
                <w:ilvl w:val="0"/>
                <w:numId w:val="1"/>
              </w:numPr>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val="en-US" w:eastAsia="zh-CN"/>
              </w:rPr>
              <w:t>水电服务人员须</w:t>
            </w:r>
            <w:r>
              <w:rPr>
                <w:rFonts w:hint="eastAsia" w:ascii="宋体" w:hAnsi="宋体" w:eastAsia="宋体" w:cs="宋体"/>
                <w:color w:val="000000"/>
                <w:sz w:val="24"/>
                <w:szCs w:val="20"/>
              </w:rPr>
              <w:t>严格遵守操作规程,</w:t>
            </w:r>
            <w:r>
              <w:rPr>
                <w:rFonts w:hint="eastAsia" w:ascii="宋体" w:hAnsi="宋体" w:eastAsia="宋体" w:cs="宋体"/>
                <w:color w:val="000000"/>
                <w:sz w:val="24"/>
                <w:szCs w:val="20"/>
                <w:lang w:val="en-US" w:eastAsia="zh-CN"/>
              </w:rPr>
              <w:t>做好</w:t>
            </w:r>
            <w:r>
              <w:rPr>
                <w:rFonts w:hint="eastAsia" w:ascii="宋体" w:hAnsi="宋体" w:eastAsia="宋体" w:cs="宋体"/>
                <w:color w:val="000000"/>
                <w:sz w:val="24"/>
                <w:szCs w:val="20"/>
              </w:rPr>
              <w:t>巡查记录</w:t>
            </w:r>
            <w:r>
              <w:rPr>
                <w:rFonts w:hint="eastAsia" w:ascii="宋体" w:hAnsi="宋体" w:eastAsia="宋体" w:cs="宋体"/>
                <w:color w:val="000000"/>
                <w:sz w:val="24"/>
                <w:szCs w:val="20"/>
                <w:lang w:eastAsia="zh-CN"/>
              </w:rPr>
              <w:t>。</w:t>
            </w:r>
          </w:p>
          <w:p w14:paraId="22EB5B1C">
            <w:pPr>
              <w:keepNext w:val="0"/>
              <w:keepLines w:val="0"/>
              <w:pageBreakBefore w:val="0"/>
              <w:widowControl/>
              <w:numPr>
                <w:ilvl w:val="0"/>
                <w:numId w:val="1"/>
              </w:numPr>
              <w:kinsoku/>
              <w:wordWrap/>
              <w:overflowPunct/>
              <w:topLinePunct w:val="0"/>
              <w:autoSpaceDE/>
              <w:autoSpaceDN/>
              <w:bidi w:val="0"/>
              <w:adjustRightInd/>
              <w:snapToGrid/>
              <w:spacing w:line="360" w:lineRule="exact"/>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严格操作规程和安全生产规则,杜绝违章操作和不安全行为</w:t>
            </w:r>
            <w:r>
              <w:rPr>
                <w:rFonts w:hint="eastAsia" w:ascii="宋体" w:hAnsi="宋体" w:eastAsia="宋体" w:cs="宋体"/>
                <w:color w:val="000000"/>
                <w:sz w:val="24"/>
                <w:szCs w:val="20"/>
                <w:lang w:eastAsia="zh-CN"/>
              </w:rPr>
              <w:t>。</w:t>
            </w:r>
          </w:p>
          <w:p w14:paraId="3B27138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3、对设备和安全设施要勤查,发现隐患及时报告。精心维护和保养好设备,确保学校正常安全供电。</w:t>
            </w:r>
          </w:p>
          <w:p w14:paraId="1C544F7D">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4、做好配电房的防水、防潮工作,注意随手关闭好门窗,经常查看防护网、密封条防护情况,谨防小动物窜入配电间而发生意外</w:t>
            </w:r>
            <w:r>
              <w:rPr>
                <w:rFonts w:hint="eastAsia" w:ascii="宋体" w:hAnsi="宋体" w:eastAsia="宋体" w:cs="宋体"/>
                <w:color w:val="000000"/>
                <w:sz w:val="24"/>
                <w:szCs w:val="20"/>
                <w:lang w:eastAsia="zh-CN"/>
              </w:rPr>
              <w:t>。</w:t>
            </w:r>
          </w:p>
          <w:p w14:paraId="1D9CD6FE">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5、严格禁火制度。严禁将易燃易爆危险物品带进配电间:配电间内严禁吸烟。工作人员须能熟练使用消防器材。</w:t>
            </w:r>
          </w:p>
          <w:p w14:paraId="2BC2819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6、严禁无关人员进出。未经培训,不得随便开关操作室内设施、设备。</w:t>
            </w:r>
          </w:p>
          <w:p w14:paraId="397465E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7、</w:t>
            </w:r>
            <w:r>
              <w:rPr>
                <w:rFonts w:hint="eastAsia" w:ascii="宋体" w:hAnsi="宋体" w:eastAsia="宋体" w:cs="宋体"/>
                <w:color w:val="000000"/>
                <w:sz w:val="24"/>
                <w:szCs w:val="20"/>
                <w:lang w:val="en-US" w:eastAsia="zh-CN"/>
              </w:rPr>
              <w:t>水电服务人员</w:t>
            </w:r>
            <w:r>
              <w:rPr>
                <w:rFonts w:hint="eastAsia" w:ascii="宋体" w:hAnsi="宋体" w:eastAsia="宋体" w:cs="宋体"/>
                <w:color w:val="000000"/>
                <w:sz w:val="24"/>
                <w:szCs w:val="20"/>
              </w:rPr>
              <w:t>应经常检查设施、设备运作情况发现隐患,及时处理。</w:t>
            </w:r>
          </w:p>
          <w:p w14:paraId="693DB53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eastAsia="宋体" w:cs="宋体"/>
                <w:color w:val="000000"/>
                <w:sz w:val="24"/>
                <w:szCs w:val="20"/>
              </w:rPr>
            </w:pPr>
            <w:r>
              <w:rPr>
                <w:rFonts w:hint="eastAsia" w:ascii="宋体" w:hAnsi="宋体" w:eastAsia="宋体" w:cs="宋体"/>
                <w:color w:val="000000"/>
                <w:sz w:val="24"/>
                <w:szCs w:val="20"/>
              </w:rPr>
              <w:t>8、增强保密观念,不得向无关人员泄露配电房设备情况。</w:t>
            </w:r>
          </w:p>
          <w:p w14:paraId="366EBF1C">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9、做好对电器设备的日常维护工作,注意电压表、电流表、功率因数表的指示情况</w:t>
            </w:r>
            <w:r>
              <w:rPr>
                <w:rFonts w:hint="eastAsia" w:ascii="宋体" w:hAnsi="宋体" w:eastAsia="宋体" w:cs="宋体"/>
                <w:color w:val="000000"/>
                <w:sz w:val="24"/>
                <w:szCs w:val="20"/>
                <w:lang w:eastAsia="zh-CN"/>
              </w:rPr>
              <w:t>，</w:t>
            </w:r>
            <w:r>
              <w:rPr>
                <w:rFonts w:hint="eastAsia" w:ascii="宋体" w:hAnsi="宋体" w:eastAsia="宋体" w:cs="宋体"/>
                <w:color w:val="000000"/>
                <w:sz w:val="24"/>
                <w:szCs w:val="20"/>
              </w:rPr>
              <w:t>禁止让电器设备超负荷使用和带病运转。</w:t>
            </w:r>
          </w:p>
          <w:p w14:paraId="2A938D3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10、</w:t>
            </w:r>
            <w:r>
              <w:rPr>
                <w:rFonts w:hint="eastAsia" w:ascii="宋体" w:hAnsi="宋体" w:eastAsia="宋体" w:cs="宋体"/>
                <w:color w:val="000000"/>
                <w:sz w:val="24"/>
                <w:szCs w:val="20"/>
              </w:rPr>
              <w:t>做好给排水、</w:t>
            </w:r>
            <w:r>
              <w:rPr>
                <w:rFonts w:hint="eastAsia" w:ascii="宋体" w:hAnsi="宋体" w:eastAsia="宋体" w:cs="宋体"/>
                <w:color w:val="000000"/>
                <w:sz w:val="24"/>
                <w:szCs w:val="20"/>
                <w:lang w:eastAsia="zh-CN"/>
              </w:rPr>
              <w:t>水电设备维修</w:t>
            </w:r>
            <w:r>
              <w:rPr>
                <w:rFonts w:hint="eastAsia" w:ascii="宋体" w:hAnsi="宋体" w:eastAsia="宋体" w:cs="宋体"/>
                <w:color w:val="000000"/>
                <w:sz w:val="24"/>
                <w:szCs w:val="20"/>
              </w:rPr>
              <w:t>维护保养工作，及时清理</w:t>
            </w:r>
            <w:r>
              <w:rPr>
                <w:rFonts w:hint="eastAsia" w:ascii="宋体" w:hAnsi="宋体" w:cs="宋体"/>
                <w:color w:val="000000"/>
                <w:sz w:val="24"/>
                <w:szCs w:val="20"/>
                <w:lang w:eastAsia="zh-CN"/>
              </w:rPr>
              <w:t>有关水电用房的</w:t>
            </w:r>
            <w:r>
              <w:rPr>
                <w:rFonts w:hint="eastAsia" w:ascii="宋体" w:hAnsi="宋体" w:eastAsia="宋体" w:cs="宋体"/>
                <w:color w:val="000000"/>
                <w:sz w:val="24"/>
                <w:szCs w:val="20"/>
              </w:rPr>
              <w:t>垃圾</w:t>
            </w:r>
            <w:r>
              <w:rPr>
                <w:rFonts w:hint="eastAsia" w:ascii="宋体" w:hAnsi="宋体" w:cs="宋体"/>
                <w:color w:val="000000"/>
                <w:sz w:val="24"/>
                <w:szCs w:val="20"/>
                <w:lang w:eastAsia="zh-CN"/>
              </w:rPr>
              <w:t>，</w:t>
            </w:r>
            <w:r>
              <w:rPr>
                <w:rFonts w:hint="eastAsia" w:ascii="宋体" w:hAnsi="宋体" w:eastAsia="宋体" w:cs="宋体"/>
                <w:color w:val="000000"/>
                <w:sz w:val="24"/>
                <w:szCs w:val="20"/>
              </w:rPr>
              <w:t>定期做好空调室内外机组的清洁工程，确保校内给排水、</w:t>
            </w:r>
            <w:r>
              <w:rPr>
                <w:rFonts w:hint="eastAsia" w:ascii="宋体" w:hAnsi="宋体" w:cs="宋体"/>
                <w:color w:val="000000"/>
                <w:sz w:val="24"/>
                <w:szCs w:val="20"/>
                <w:lang w:eastAsia="zh-CN"/>
              </w:rPr>
              <w:t>水电设备</w:t>
            </w:r>
            <w:r>
              <w:rPr>
                <w:rFonts w:hint="eastAsia" w:ascii="宋体" w:hAnsi="宋体" w:eastAsia="宋体" w:cs="宋体"/>
                <w:color w:val="000000"/>
                <w:sz w:val="24"/>
                <w:szCs w:val="20"/>
              </w:rPr>
              <w:t>正常运行。</w:t>
            </w:r>
          </w:p>
        </w:tc>
      </w:tr>
    </w:tbl>
    <w:p w14:paraId="77462E7A">
      <w:pPr>
        <w:spacing w:line="500" w:lineRule="exact"/>
        <w:ind w:firstLine="480"/>
        <w:jc w:val="lef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4、</w:t>
      </w:r>
      <w:r>
        <w:rPr>
          <w:rFonts w:hint="eastAsia" w:ascii="宋体" w:hAnsi="宋体" w:cs="宋体"/>
          <w:b/>
          <w:bCs/>
          <w:color w:val="000000"/>
          <w:sz w:val="24"/>
          <w:lang w:eastAsia="zh-CN"/>
        </w:rPr>
        <w:t>绿化养护</w:t>
      </w:r>
    </w:p>
    <w:tbl>
      <w:tblPr>
        <w:tblStyle w:val="29"/>
        <w:tblW w:w="5046"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516"/>
        <w:gridCol w:w="7001"/>
      </w:tblGrid>
      <w:tr w14:paraId="52B81D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58" w:type="dxa"/>
            <w:noWrap/>
            <w:vAlign w:val="center"/>
          </w:tcPr>
          <w:p w14:paraId="19537E0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b/>
                <w:bCs/>
                <w:sz w:val="24"/>
                <w:lang w:bidi="ar"/>
              </w:rPr>
            </w:pPr>
            <w:r>
              <w:rPr>
                <w:rFonts w:hint="eastAsia" w:ascii="宋体" w:hAnsi="宋体" w:cs="宋体"/>
                <w:b/>
                <w:bCs/>
                <w:sz w:val="24"/>
                <w:lang w:bidi="ar"/>
              </w:rPr>
              <w:t>序号</w:t>
            </w:r>
          </w:p>
        </w:tc>
        <w:tc>
          <w:tcPr>
            <w:tcW w:w="1516" w:type="dxa"/>
            <w:noWrap/>
            <w:vAlign w:val="center"/>
          </w:tcPr>
          <w:p w14:paraId="494959A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b/>
                <w:bCs/>
                <w:sz w:val="24"/>
                <w:lang w:bidi="ar"/>
              </w:rPr>
            </w:pPr>
            <w:r>
              <w:rPr>
                <w:rFonts w:hint="eastAsia" w:ascii="宋体" w:hAnsi="宋体" w:cs="宋体"/>
                <w:b/>
                <w:bCs/>
                <w:sz w:val="24"/>
                <w:lang w:bidi="ar"/>
              </w:rPr>
              <w:t>服务内容</w:t>
            </w:r>
          </w:p>
        </w:tc>
        <w:tc>
          <w:tcPr>
            <w:tcW w:w="7001" w:type="dxa"/>
            <w:noWrap/>
            <w:vAlign w:val="center"/>
          </w:tcPr>
          <w:p w14:paraId="7A740F3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b/>
                <w:bCs/>
                <w:sz w:val="24"/>
                <w:lang w:bidi="ar"/>
              </w:rPr>
            </w:pPr>
            <w:r>
              <w:rPr>
                <w:rFonts w:hint="eastAsia" w:ascii="宋体" w:hAnsi="宋体" w:cs="宋体"/>
                <w:b/>
                <w:bCs/>
                <w:sz w:val="24"/>
                <w:lang w:bidi="ar"/>
              </w:rPr>
              <w:t>服务标准</w:t>
            </w:r>
          </w:p>
        </w:tc>
      </w:tr>
      <w:tr w14:paraId="77F32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58" w:type="dxa"/>
            <w:noWrap/>
            <w:vAlign w:val="center"/>
          </w:tcPr>
          <w:p w14:paraId="452F51A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1</w:t>
            </w:r>
          </w:p>
        </w:tc>
        <w:tc>
          <w:tcPr>
            <w:tcW w:w="1516" w:type="dxa"/>
            <w:noWrap/>
            <w:vAlign w:val="center"/>
          </w:tcPr>
          <w:p w14:paraId="0247E2D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基本要求</w:t>
            </w:r>
          </w:p>
        </w:tc>
        <w:tc>
          <w:tcPr>
            <w:tcW w:w="7001" w:type="dxa"/>
            <w:noWrap/>
            <w:vAlign w:val="center"/>
          </w:tcPr>
          <w:p w14:paraId="2420DD8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1、养护范围：招标人所属绿地。负责所需必要的养护工具及农药化肥的购买，招标人不另行支付相关任何费用。</w:t>
            </w:r>
          </w:p>
          <w:p w14:paraId="3E84B99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2、养护标准：</w:t>
            </w:r>
          </w:p>
          <w:p w14:paraId="09F1C535">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（1）乔木</w:t>
            </w:r>
          </w:p>
          <w:p w14:paraId="23F0E64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整枝剪去枯枝和病枝，修剪每半年不少于一次；适时浇水、施肥；及时防治虫害、病害，打药不少于2次/半年，确保树木花草无病虫症状，病虫害危害率控制在2%以内。</w:t>
            </w:r>
          </w:p>
          <w:p w14:paraId="18A1738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（2）色块</w:t>
            </w:r>
          </w:p>
          <w:p w14:paraId="1BCDA9B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整形修剪使轮廓清楚，修剪每半年不少于一次；适时浇水、施肥；及时防治虫害，打药不少于2次/半年，确保树木花草无病虫症状，病虫害危害率控制在2%以内。</w:t>
            </w:r>
          </w:p>
          <w:p w14:paraId="745F34F8">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（3）草坪</w:t>
            </w:r>
          </w:p>
          <w:p w14:paraId="7C4455A7">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草坪生长旺盛，覆盖率大于90%，杂草率小于5%；适时浇水、施肥；适时修剪，修剪不少于2次/半年；及时防治虫害；草坪补种。草坪无成片枯黄，枯黄面不得超过总面积的2%。</w:t>
            </w:r>
          </w:p>
          <w:p w14:paraId="695001FF">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（4）适时清除杂草，不少于6次，大树冬天刷白。</w:t>
            </w:r>
          </w:p>
          <w:p w14:paraId="2871FF1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（5）防风。遇暴风雨、大风天气，容易发生树木倒伏等情况，须提前或及时对树林进行支架固定。支架固定要注重美观。</w:t>
            </w:r>
          </w:p>
          <w:p w14:paraId="48EBDFF2">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（6）防冻、防晒。冬季和高温季节来临时，怕冻、怕曝晒的植物要提前做好防护。防护要注重美观。</w:t>
            </w:r>
          </w:p>
          <w:p w14:paraId="1B39192C">
            <w:pPr>
              <w:keepNext w:val="0"/>
              <w:keepLines w:val="0"/>
              <w:pageBreakBefore w:val="0"/>
              <w:widowControl w:val="0"/>
              <w:kinsoku/>
              <w:wordWrap/>
              <w:overflowPunct/>
              <w:topLinePunct w:val="0"/>
              <w:autoSpaceDE/>
              <w:autoSpaceDN/>
              <w:bidi w:val="0"/>
              <w:adjustRightInd/>
              <w:snapToGrid/>
              <w:spacing w:line="360" w:lineRule="exact"/>
              <w:textAlignment w:val="auto"/>
              <w:rPr>
                <w:rFonts w:ascii="Calibri" w:hAnsi="Calibri" w:cs="Calibri"/>
              </w:rPr>
            </w:pPr>
            <w:r>
              <w:rPr>
                <w:rFonts w:hint="eastAsia" w:ascii="宋体" w:hAnsi="宋体" w:eastAsia="宋体" w:cs="宋体"/>
                <w:color w:val="000000"/>
                <w:sz w:val="24"/>
                <w:lang w:val="en-US" w:eastAsia="zh-CN"/>
              </w:rPr>
              <w:t>（7）遇招标人重大活动时，中标单位应无偿另行增派专业绿化养护人员对绿化强化养护及应急保障工作，配合招标人活动的进行。</w:t>
            </w:r>
          </w:p>
        </w:tc>
      </w:tr>
    </w:tbl>
    <w:p w14:paraId="7ACF2F91">
      <w:pPr>
        <w:spacing w:line="500" w:lineRule="exact"/>
        <w:ind w:firstLine="480"/>
        <w:jc w:val="left"/>
        <w:rPr>
          <w:rFonts w:ascii="宋体" w:hAnsi="宋体" w:cs="宋体"/>
          <w:b/>
          <w:bCs/>
          <w:color w:val="000000"/>
          <w:sz w:val="24"/>
        </w:rPr>
      </w:pPr>
      <w:r>
        <w:rPr>
          <w:rFonts w:hint="eastAsia" w:ascii="宋体" w:hAnsi="宋体" w:cs="宋体"/>
          <w:b/>
          <w:bCs/>
          <w:color w:val="000000"/>
          <w:sz w:val="24"/>
          <w:lang w:val="en-US" w:eastAsia="zh-CN"/>
        </w:rPr>
        <w:t>5、</w:t>
      </w:r>
      <w:r>
        <w:rPr>
          <w:rFonts w:hint="eastAsia" w:ascii="宋体" w:hAnsi="宋体" w:cs="宋体"/>
          <w:b/>
          <w:bCs/>
          <w:color w:val="000000"/>
          <w:sz w:val="24"/>
        </w:rPr>
        <w:t>大型活动服务</w:t>
      </w:r>
    </w:p>
    <w:tbl>
      <w:tblPr>
        <w:tblStyle w:val="29"/>
        <w:tblW w:w="5062"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3"/>
        <w:gridCol w:w="1502"/>
        <w:gridCol w:w="7029"/>
      </w:tblGrid>
      <w:tr w14:paraId="496EA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873" w:type="dxa"/>
            <w:noWrap/>
            <w:vAlign w:val="center"/>
          </w:tcPr>
          <w:p w14:paraId="03C2004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b/>
                <w:bCs/>
                <w:sz w:val="24"/>
                <w:lang w:bidi="ar"/>
              </w:rPr>
            </w:pPr>
            <w:r>
              <w:rPr>
                <w:rFonts w:hint="eastAsia" w:ascii="宋体" w:hAnsi="宋体" w:cs="宋体"/>
                <w:b/>
                <w:bCs/>
                <w:sz w:val="24"/>
                <w:lang w:bidi="ar"/>
              </w:rPr>
              <w:t>序号</w:t>
            </w:r>
          </w:p>
        </w:tc>
        <w:tc>
          <w:tcPr>
            <w:tcW w:w="1502" w:type="dxa"/>
            <w:noWrap/>
            <w:vAlign w:val="center"/>
          </w:tcPr>
          <w:p w14:paraId="08BC465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b/>
                <w:bCs/>
                <w:sz w:val="24"/>
                <w:lang w:bidi="ar"/>
              </w:rPr>
            </w:pPr>
            <w:r>
              <w:rPr>
                <w:rFonts w:hint="eastAsia" w:ascii="宋体" w:hAnsi="宋体" w:cs="宋体"/>
                <w:b/>
                <w:bCs/>
                <w:sz w:val="24"/>
                <w:lang w:bidi="ar"/>
              </w:rPr>
              <w:t>服务内容</w:t>
            </w:r>
          </w:p>
        </w:tc>
        <w:tc>
          <w:tcPr>
            <w:tcW w:w="7029" w:type="dxa"/>
            <w:noWrap/>
            <w:vAlign w:val="center"/>
          </w:tcPr>
          <w:p w14:paraId="7B73471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b/>
                <w:bCs/>
                <w:sz w:val="24"/>
                <w:lang w:bidi="ar"/>
              </w:rPr>
            </w:pPr>
            <w:r>
              <w:rPr>
                <w:rFonts w:hint="eastAsia" w:ascii="宋体" w:hAnsi="宋体" w:cs="宋体"/>
                <w:b/>
                <w:bCs/>
                <w:sz w:val="24"/>
                <w:lang w:bidi="ar"/>
              </w:rPr>
              <w:t>服务标准</w:t>
            </w:r>
          </w:p>
        </w:tc>
      </w:tr>
      <w:tr w14:paraId="01F47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73" w:type="dxa"/>
            <w:noWrap/>
            <w:vAlign w:val="center"/>
          </w:tcPr>
          <w:p w14:paraId="44B1751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1</w:t>
            </w:r>
          </w:p>
        </w:tc>
        <w:tc>
          <w:tcPr>
            <w:tcW w:w="1502" w:type="dxa"/>
            <w:noWrap/>
            <w:vAlign w:val="center"/>
          </w:tcPr>
          <w:p w14:paraId="54585BF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基本要求</w:t>
            </w:r>
          </w:p>
        </w:tc>
        <w:tc>
          <w:tcPr>
            <w:tcW w:w="7029" w:type="dxa"/>
            <w:noWrap/>
            <w:vAlign w:val="center"/>
          </w:tcPr>
          <w:p w14:paraId="37632C84">
            <w:pPr>
              <w:keepNext w:val="0"/>
              <w:keepLines w:val="0"/>
              <w:pageBreakBefore w:val="0"/>
              <w:widowControl w:val="0"/>
              <w:kinsoku/>
              <w:wordWrap/>
              <w:overflowPunct/>
              <w:topLinePunct w:val="0"/>
              <w:autoSpaceDE/>
              <w:autoSpaceDN/>
              <w:bidi w:val="0"/>
              <w:adjustRightInd/>
              <w:snapToGrid/>
              <w:spacing w:line="360" w:lineRule="exact"/>
              <w:textAlignment w:val="auto"/>
              <w:rPr>
                <w:rFonts w:ascii="Calibri" w:hAnsi="Calibri" w:cs="Calibri"/>
              </w:rPr>
            </w:pPr>
            <w:r>
              <w:rPr>
                <w:rFonts w:hint="eastAsia" w:ascii="宋体" w:hAnsi="宋体" w:cs="宋体"/>
                <w:color w:val="000000"/>
                <w:sz w:val="24"/>
              </w:rPr>
              <w:t>服务人员上岗前要按规定着装，认真整理工装、工牌、仪容仪表端庄、整洁、精神饱满。帮助布置会场，现场卫生</w:t>
            </w:r>
            <w:r>
              <w:rPr>
                <w:rFonts w:hint="eastAsia" w:ascii="宋体" w:hAnsi="宋体" w:cs="宋体"/>
                <w:color w:val="000000"/>
                <w:sz w:val="24"/>
                <w:lang w:eastAsia="zh-CN"/>
              </w:rPr>
              <w:t>保洁</w:t>
            </w:r>
            <w:r>
              <w:rPr>
                <w:rFonts w:hint="eastAsia" w:ascii="宋体" w:hAnsi="宋体" w:cs="宋体"/>
                <w:color w:val="000000"/>
                <w:sz w:val="24"/>
              </w:rPr>
              <w:t>工作。</w:t>
            </w:r>
          </w:p>
        </w:tc>
      </w:tr>
    </w:tbl>
    <w:p w14:paraId="61F692D1">
      <w:pPr>
        <w:spacing w:line="500" w:lineRule="exact"/>
        <w:ind w:firstLine="480"/>
        <w:jc w:val="left"/>
        <w:rPr>
          <w:rFonts w:ascii="宋体" w:hAnsi="宋体" w:cs="宋体"/>
          <w:b/>
          <w:bCs/>
          <w:color w:val="000000"/>
          <w:sz w:val="24"/>
        </w:rPr>
      </w:pPr>
      <w:r>
        <w:rPr>
          <w:rFonts w:hint="eastAsia" w:ascii="宋体" w:hAnsi="宋体" w:cs="宋体"/>
          <w:b/>
          <w:bCs/>
          <w:color w:val="000000"/>
          <w:sz w:val="24"/>
          <w:lang w:val="en-US" w:eastAsia="zh-CN"/>
        </w:rPr>
        <w:t>6、</w:t>
      </w:r>
      <w:r>
        <w:rPr>
          <w:rFonts w:hint="eastAsia" w:ascii="宋体" w:hAnsi="宋体" w:cs="宋体"/>
          <w:b/>
          <w:bCs/>
          <w:color w:val="000000"/>
          <w:sz w:val="24"/>
        </w:rPr>
        <w:t>档案、资料管理</w:t>
      </w:r>
    </w:p>
    <w:tbl>
      <w:tblPr>
        <w:tblStyle w:val="29"/>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516"/>
        <w:gridCol w:w="6635"/>
      </w:tblGrid>
      <w:tr w14:paraId="31705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6441FF1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b/>
                <w:bCs/>
                <w:sz w:val="24"/>
                <w:lang w:bidi="ar"/>
              </w:rPr>
            </w:pPr>
            <w:r>
              <w:rPr>
                <w:rFonts w:hint="eastAsia" w:ascii="宋体" w:hAnsi="宋体" w:cs="宋体"/>
                <w:b/>
                <w:bCs/>
                <w:sz w:val="24"/>
                <w:lang w:bidi="ar"/>
              </w:rPr>
              <w:t>序号</w:t>
            </w:r>
          </w:p>
        </w:tc>
        <w:tc>
          <w:tcPr>
            <w:tcW w:w="1446" w:type="dxa"/>
            <w:noWrap/>
            <w:vAlign w:val="center"/>
          </w:tcPr>
          <w:p w14:paraId="0153189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b/>
                <w:bCs/>
                <w:sz w:val="24"/>
                <w:lang w:bidi="ar"/>
              </w:rPr>
            </w:pPr>
            <w:r>
              <w:rPr>
                <w:rFonts w:hint="eastAsia" w:ascii="宋体" w:hAnsi="宋体" w:cs="宋体"/>
                <w:b/>
                <w:bCs/>
                <w:sz w:val="24"/>
                <w:lang w:bidi="ar"/>
              </w:rPr>
              <w:t>服务内容</w:t>
            </w:r>
          </w:p>
        </w:tc>
        <w:tc>
          <w:tcPr>
            <w:tcW w:w="6327" w:type="dxa"/>
            <w:noWrap/>
            <w:vAlign w:val="center"/>
          </w:tcPr>
          <w:p w14:paraId="6A15DAB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b/>
                <w:bCs/>
                <w:sz w:val="24"/>
                <w:lang w:bidi="ar"/>
              </w:rPr>
            </w:pPr>
            <w:r>
              <w:rPr>
                <w:rFonts w:hint="eastAsia" w:ascii="宋体" w:hAnsi="宋体" w:cs="宋体"/>
                <w:b/>
                <w:bCs/>
                <w:sz w:val="24"/>
                <w:lang w:bidi="ar"/>
              </w:rPr>
              <w:t>服务标准</w:t>
            </w:r>
          </w:p>
        </w:tc>
      </w:tr>
      <w:tr w14:paraId="1AB3F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2E59768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1</w:t>
            </w:r>
          </w:p>
        </w:tc>
        <w:tc>
          <w:tcPr>
            <w:tcW w:w="1446" w:type="dxa"/>
            <w:noWrap/>
            <w:vAlign w:val="center"/>
          </w:tcPr>
          <w:p w14:paraId="4971E60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s="宋体"/>
                <w:sz w:val="24"/>
                <w:lang w:bidi="ar"/>
              </w:rPr>
            </w:pPr>
            <w:r>
              <w:rPr>
                <w:rFonts w:hint="eastAsia" w:ascii="宋体" w:hAnsi="宋体" w:cs="宋体"/>
                <w:sz w:val="24"/>
                <w:lang w:bidi="ar"/>
              </w:rPr>
              <w:t>基本要求</w:t>
            </w:r>
          </w:p>
        </w:tc>
        <w:tc>
          <w:tcPr>
            <w:tcW w:w="6327" w:type="dxa"/>
            <w:noWrap/>
            <w:vAlign w:val="center"/>
          </w:tcPr>
          <w:p w14:paraId="3622A9CF">
            <w:pPr>
              <w:keepNext w:val="0"/>
              <w:keepLines w:val="0"/>
              <w:pageBreakBefore w:val="0"/>
              <w:widowControl w:val="0"/>
              <w:kinsoku/>
              <w:wordWrap/>
              <w:overflowPunct/>
              <w:topLinePunct w:val="0"/>
              <w:autoSpaceDE/>
              <w:autoSpaceDN/>
              <w:bidi w:val="0"/>
              <w:adjustRightInd/>
              <w:snapToGrid/>
              <w:spacing w:line="360" w:lineRule="exact"/>
              <w:textAlignment w:val="auto"/>
              <w:rPr>
                <w:rFonts w:ascii="Calibri" w:hAnsi="Calibri" w:cs="Calibri"/>
              </w:rPr>
            </w:pPr>
            <w:r>
              <w:rPr>
                <w:rFonts w:hint="eastAsia" w:ascii="宋体" w:hAnsi="宋体" w:cs="宋体"/>
                <w:color w:val="000000"/>
                <w:sz w:val="24"/>
              </w:rPr>
              <w:t>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p>
        </w:tc>
      </w:tr>
    </w:tbl>
    <w:p w14:paraId="74870A68">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7、</w:t>
      </w:r>
      <w:r>
        <w:rPr>
          <w:rFonts w:hint="eastAsia" w:ascii="宋体" w:hAnsi="宋体" w:eastAsia="Arial" w:cs="宋体"/>
          <w:b/>
          <w:bCs/>
          <w:color w:val="000000"/>
          <w:sz w:val="24"/>
          <w:szCs w:val="20"/>
        </w:rPr>
        <w:t>建立健全物业管理制度</w:t>
      </w:r>
    </w:p>
    <w:p w14:paraId="7F15AFAA">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Arial" w:cs="宋体"/>
          <w:color w:val="000000"/>
          <w:sz w:val="24"/>
          <w:szCs w:val="20"/>
        </w:rPr>
      </w:pPr>
      <w:r>
        <w:rPr>
          <w:rFonts w:hint="eastAsia" w:ascii="宋体" w:hAnsi="宋体" w:eastAsia="Arial" w:cs="宋体"/>
          <w:color w:val="000000"/>
          <w:sz w:val="24"/>
          <w:szCs w:val="20"/>
        </w:rPr>
        <w:t>根据</w:t>
      </w:r>
      <w:r>
        <w:rPr>
          <w:rFonts w:hint="eastAsia" w:ascii="宋体" w:hAnsi="宋体" w:eastAsia="Arial" w:cs="宋体"/>
          <w:color w:val="000000"/>
          <w:sz w:val="24"/>
          <w:szCs w:val="20"/>
          <w:lang w:val="en-US" w:eastAsia="zh-CN"/>
        </w:rPr>
        <w:t>本园</w:t>
      </w:r>
      <w:r>
        <w:rPr>
          <w:rFonts w:hint="eastAsia" w:ascii="宋体" w:hAnsi="宋体" w:eastAsia="Arial" w:cs="宋体"/>
          <w:color w:val="000000"/>
          <w:sz w:val="24"/>
          <w:szCs w:val="20"/>
        </w:rPr>
        <w:t>的具体情况，中标单位应制定详细的内部管理制度、日常服务的运作管理制度等相关制度。</w:t>
      </w:r>
    </w:p>
    <w:p w14:paraId="153BDB42">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五</w:t>
      </w:r>
      <w:r>
        <w:rPr>
          <w:rFonts w:hint="eastAsia" w:ascii="宋体" w:hAnsi="宋体" w:eastAsia="Arial" w:cs="宋体"/>
          <w:b/>
          <w:bCs/>
          <w:color w:val="000000"/>
          <w:sz w:val="24"/>
          <w:szCs w:val="20"/>
        </w:rPr>
        <w:t>、供应商履行合同所需的设备</w:t>
      </w:r>
    </w:p>
    <w:tbl>
      <w:tblPr>
        <w:tblStyle w:val="29"/>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1"/>
        <w:gridCol w:w="2466"/>
        <w:gridCol w:w="3760"/>
        <w:gridCol w:w="1130"/>
        <w:gridCol w:w="1158"/>
      </w:tblGrid>
      <w:tr w14:paraId="0323C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790" w:type="dxa"/>
            <w:noWrap/>
            <w:vAlign w:val="center"/>
          </w:tcPr>
          <w:p w14:paraId="5FACF20B">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bCs/>
                <w:sz w:val="24"/>
              </w:rPr>
            </w:pPr>
            <w:r>
              <w:rPr>
                <w:rFonts w:hint="eastAsia" w:ascii="宋体" w:hAnsi="宋体" w:cs="宋体"/>
                <w:b/>
                <w:bCs/>
                <w:sz w:val="24"/>
              </w:rPr>
              <w:t>序号</w:t>
            </w:r>
          </w:p>
        </w:tc>
        <w:tc>
          <w:tcPr>
            <w:tcW w:w="2263" w:type="dxa"/>
            <w:noWrap/>
            <w:vAlign w:val="center"/>
          </w:tcPr>
          <w:p w14:paraId="4507C25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bCs/>
                <w:sz w:val="24"/>
              </w:rPr>
            </w:pPr>
            <w:r>
              <w:rPr>
                <w:rFonts w:hint="eastAsia" w:ascii="宋体" w:hAnsi="宋体" w:cs="宋体"/>
                <w:b/>
                <w:bCs/>
                <w:sz w:val="24"/>
              </w:rPr>
              <w:t>用途</w:t>
            </w:r>
          </w:p>
        </w:tc>
        <w:tc>
          <w:tcPr>
            <w:tcW w:w="3450" w:type="dxa"/>
            <w:noWrap/>
            <w:vAlign w:val="center"/>
          </w:tcPr>
          <w:p w14:paraId="74DF16FC">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bCs/>
                <w:sz w:val="24"/>
              </w:rPr>
            </w:pPr>
            <w:r>
              <w:rPr>
                <w:rFonts w:hint="eastAsia" w:ascii="宋体" w:hAnsi="宋体" w:cs="宋体"/>
                <w:b/>
                <w:bCs/>
                <w:sz w:val="24"/>
              </w:rPr>
              <w:t>作业设备名称</w:t>
            </w:r>
          </w:p>
        </w:tc>
        <w:tc>
          <w:tcPr>
            <w:tcW w:w="1037" w:type="dxa"/>
            <w:noWrap/>
            <w:vAlign w:val="center"/>
          </w:tcPr>
          <w:p w14:paraId="21D44102">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bCs/>
                <w:sz w:val="24"/>
              </w:rPr>
            </w:pPr>
            <w:r>
              <w:rPr>
                <w:rFonts w:hint="eastAsia" w:ascii="宋体" w:hAnsi="宋体" w:cs="宋体"/>
                <w:b/>
                <w:bCs/>
                <w:sz w:val="24"/>
              </w:rPr>
              <w:t>数量</w:t>
            </w:r>
          </w:p>
        </w:tc>
        <w:tc>
          <w:tcPr>
            <w:tcW w:w="1063" w:type="dxa"/>
            <w:noWrap/>
            <w:vAlign w:val="center"/>
          </w:tcPr>
          <w:p w14:paraId="1B0E045B">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bCs/>
                <w:sz w:val="24"/>
              </w:rPr>
            </w:pPr>
            <w:r>
              <w:rPr>
                <w:rFonts w:hint="eastAsia" w:ascii="宋体" w:hAnsi="宋体" w:cs="宋体"/>
                <w:b/>
                <w:bCs/>
                <w:sz w:val="24"/>
              </w:rPr>
              <w:t>单位</w:t>
            </w:r>
          </w:p>
        </w:tc>
      </w:tr>
      <w:tr w14:paraId="2BEF0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rPr>
        <w:tc>
          <w:tcPr>
            <w:tcW w:w="790" w:type="dxa"/>
            <w:noWrap/>
            <w:vAlign w:val="center"/>
          </w:tcPr>
          <w:p w14:paraId="3B84E70E">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000000"/>
                <w:sz w:val="24"/>
              </w:rPr>
            </w:pPr>
            <w:r>
              <w:rPr>
                <w:rFonts w:hint="eastAsia" w:ascii="宋体" w:hAnsi="宋体" w:cs="宋体"/>
                <w:color w:val="000000"/>
                <w:sz w:val="24"/>
              </w:rPr>
              <w:t>1</w:t>
            </w:r>
          </w:p>
        </w:tc>
        <w:tc>
          <w:tcPr>
            <w:tcW w:w="2263" w:type="dxa"/>
            <w:noWrap/>
            <w:vAlign w:val="center"/>
          </w:tcPr>
          <w:p w14:paraId="49EE16F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eastAsia="宋体" w:cs="宋体"/>
                <w:color w:val="000000"/>
                <w:sz w:val="24"/>
                <w:szCs w:val="24"/>
              </w:rPr>
            </w:pPr>
            <w:r>
              <w:rPr>
                <w:rFonts w:hint="eastAsia" w:ascii="宋体" w:hAnsi="宋体" w:cs="宋体"/>
                <w:color w:val="000000"/>
                <w:sz w:val="24"/>
              </w:rPr>
              <w:t>保洁服务</w:t>
            </w:r>
          </w:p>
        </w:tc>
        <w:tc>
          <w:tcPr>
            <w:tcW w:w="3450" w:type="dxa"/>
            <w:noWrap/>
            <w:vAlign w:val="center"/>
          </w:tcPr>
          <w:p w14:paraId="6852EFC1">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sz w:val="24"/>
                <w:szCs w:val="24"/>
                <w:lang w:eastAsia="zh-CN"/>
              </w:rPr>
            </w:pPr>
            <w:r>
              <w:rPr>
                <w:rFonts w:hint="eastAsia" w:ascii="宋体" w:hAnsi="宋体" w:cs="宋体"/>
                <w:color w:val="000000"/>
                <w:sz w:val="24"/>
              </w:rPr>
              <w:t>扫帚、抹布、垃圾袋、专用清洁剂、平拖、软布拖把等</w:t>
            </w:r>
            <w:r>
              <w:rPr>
                <w:rFonts w:hint="eastAsia" w:ascii="宋体" w:hAnsi="宋体" w:cs="宋体"/>
                <w:color w:val="000000"/>
                <w:sz w:val="24"/>
                <w:lang w:eastAsia="zh-CN"/>
              </w:rPr>
              <w:t>，公共区域（不含室内）消毒消杀剂</w:t>
            </w:r>
          </w:p>
        </w:tc>
        <w:tc>
          <w:tcPr>
            <w:tcW w:w="1037" w:type="dxa"/>
            <w:noWrap/>
            <w:vAlign w:val="center"/>
          </w:tcPr>
          <w:p w14:paraId="7C57E7A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eastAsia="宋体" w:cs="宋体"/>
                <w:color w:val="000000"/>
                <w:sz w:val="24"/>
                <w:szCs w:val="24"/>
              </w:rPr>
            </w:pPr>
            <w:r>
              <w:rPr>
                <w:rFonts w:hint="eastAsia" w:ascii="宋体" w:hAnsi="宋体" w:cs="宋体"/>
                <w:color w:val="000000"/>
                <w:sz w:val="24"/>
              </w:rPr>
              <w:t>1</w:t>
            </w:r>
          </w:p>
        </w:tc>
        <w:tc>
          <w:tcPr>
            <w:tcW w:w="1063" w:type="dxa"/>
            <w:noWrap/>
            <w:vAlign w:val="center"/>
          </w:tcPr>
          <w:p w14:paraId="1667FB93">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eastAsia="宋体" w:cs="宋体"/>
                <w:color w:val="000000"/>
                <w:sz w:val="24"/>
                <w:szCs w:val="24"/>
              </w:rPr>
            </w:pPr>
            <w:r>
              <w:rPr>
                <w:rFonts w:hint="eastAsia" w:ascii="宋体" w:hAnsi="宋体" w:cs="宋体"/>
                <w:color w:val="000000"/>
                <w:sz w:val="24"/>
              </w:rPr>
              <w:t>批</w:t>
            </w:r>
          </w:p>
        </w:tc>
      </w:tr>
      <w:tr w14:paraId="08A5F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0" w:type="dxa"/>
            <w:noWrap/>
            <w:vAlign w:val="center"/>
          </w:tcPr>
          <w:p w14:paraId="6D2259C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000000"/>
                <w:sz w:val="24"/>
              </w:rPr>
            </w:pPr>
            <w:r>
              <w:rPr>
                <w:rFonts w:hint="eastAsia" w:ascii="宋体" w:hAnsi="宋体" w:cs="宋体"/>
                <w:color w:val="000000"/>
                <w:sz w:val="24"/>
              </w:rPr>
              <w:t>2</w:t>
            </w:r>
          </w:p>
        </w:tc>
        <w:tc>
          <w:tcPr>
            <w:tcW w:w="2263" w:type="dxa"/>
            <w:noWrap/>
            <w:vAlign w:val="center"/>
          </w:tcPr>
          <w:p w14:paraId="57C562B2">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水电服务</w:t>
            </w:r>
          </w:p>
        </w:tc>
        <w:tc>
          <w:tcPr>
            <w:tcW w:w="3450" w:type="dxa"/>
            <w:noWrap/>
            <w:vAlign w:val="center"/>
          </w:tcPr>
          <w:p w14:paraId="0AFD450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常用的仪器、工具等</w:t>
            </w:r>
          </w:p>
        </w:tc>
        <w:tc>
          <w:tcPr>
            <w:tcW w:w="1037" w:type="dxa"/>
            <w:noWrap/>
            <w:vAlign w:val="center"/>
          </w:tcPr>
          <w:p w14:paraId="3849C6A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w:t>
            </w:r>
          </w:p>
        </w:tc>
        <w:tc>
          <w:tcPr>
            <w:tcW w:w="1063" w:type="dxa"/>
            <w:noWrap/>
            <w:vAlign w:val="center"/>
          </w:tcPr>
          <w:p w14:paraId="11A5B313">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套</w:t>
            </w:r>
          </w:p>
        </w:tc>
      </w:tr>
      <w:tr w14:paraId="4E0F6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6C7E412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000000"/>
                <w:sz w:val="24"/>
              </w:rPr>
            </w:pPr>
            <w:r>
              <w:rPr>
                <w:rFonts w:hint="eastAsia" w:ascii="宋体" w:hAnsi="宋体" w:cs="宋体"/>
                <w:color w:val="000000"/>
                <w:sz w:val="24"/>
              </w:rPr>
              <w:t>3</w:t>
            </w:r>
          </w:p>
        </w:tc>
        <w:tc>
          <w:tcPr>
            <w:tcW w:w="2263" w:type="dxa"/>
            <w:noWrap/>
            <w:vAlign w:val="center"/>
          </w:tcPr>
          <w:p w14:paraId="309934A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eastAsia="宋体" w:cs="宋体"/>
                <w:color w:val="000000"/>
                <w:sz w:val="24"/>
                <w:szCs w:val="24"/>
                <w:lang w:val="en-US" w:eastAsia="zh-CN" w:bidi="ar-SA"/>
              </w:rPr>
            </w:pPr>
            <w:r>
              <w:rPr>
                <w:rFonts w:hint="eastAsia" w:ascii="宋体" w:hAnsi="宋体" w:cs="宋体"/>
                <w:color w:val="000000"/>
                <w:sz w:val="24"/>
                <w:lang w:eastAsia="zh-CN"/>
              </w:rPr>
              <w:t>绿化养护</w:t>
            </w:r>
          </w:p>
        </w:tc>
        <w:tc>
          <w:tcPr>
            <w:tcW w:w="3450" w:type="dxa"/>
            <w:noWrap/>
            <w:vAlign w:val="center"/>
          </w:tcPr>
          <w:p w14:paraId="180DB818">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eastAsia="宋体" w:cs="宋体"/>
                <w:color w:val="000000"/>
                <w:sz w:val="24"/>
                <w:szCs w:val="24"/>
                <w:lang w:val="en-US" w:eastAsia="zh-CN" w:bidi="ar-SA"/>
              </w:rPr>
            </w:pPr>
            <w:r>
              <w:rPr>
                <w:rFonts w:hint="eastAsia" w:ascii="宋体" w:hAnsi="宋体" w:cs="宋体"/>
                <w:color w:val="000000"/>
                <w:sz w:val="24"/>
                <w:lang w:eastAsia="zh-CN"/>
              </w:rPr>
              <w:t>肥料、农药</w:t>
            </w:r>
            <w:r>
              <w:rPr>
                <w:rFonts w:hint="eastAsia" w:ascii="宋体" w:hAnsi="宋体" w:cs="宋体"/>
                <w:color w:val="000000"/>
                <w:sz w:val="24"/>
                <w:lang w:val="en-US" w:eastAsia="zh-CN"/>
              </w:rPr>
              <w:t>等</w:t>
            </w:r>
          </w:p>
        </w:tc>
        <w:tc>
          <w:tcPr>
            <w:tcW w:w="1037" w:type="dxa"/>
            <w:noWrap/>
            <w:vAlign w:val="center"/>
          </w:tcPr>
          <w:p w14:paraId="42F29B2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eastAsia="宋体" w:cs="宋体"/>
                <w:color w:val="000000"/>
                <w:sz w:val="24"/>
                <w:szCs w:val="24"/>
                <w:lang w:val="en-US" w:eastAsia="zh-CN" w:bidi="ar-SA"/>
              </w:rPr>
            </w:pPr>
            <w:r>
              <w:rPr>
                <w:rFonts w:hint="eastAsia" w:ascii="宋体" w:hAnsi="宋体" w:cs="宋体"/>
                <w:color w:val="000000"/>
                <w:sz w:val="24"/>
              </w:rPr>
              <w:t>1</w:t>
            </w:r>
          </w:p>
        </w:tc>
        <w:tc>
          <w:tcPr>
            <w:tcW w:w="1063" w:type="dxa"/>
            <w:noWrap/>
            <w:vAlign w:val="center"/>
          </w:tcPr>
          <w:p w14:paraId="41C5BC3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eastAsia="宋体" w:cs="宋体"/>
                <w:color w:val="000000"/>
                <w:sz w:val="24"/>
                <w:szCs w:val="24"/>
                <w:lang w:val="en-US" w:eastAsia="zh-CN" w:bidi="ar-SA"/>
              </w:rPr>
            </w:pPr>
            <w:r>
              <w:rPr>
                <w:rFonts w:hint="eastAsia" w:ascii="宋体" w:hAnsi="宋体" w:cs="宋体"/>
                <w:color w:val="000000"/>
                <w:sz w:val="24"/>
              </w:rPr>
              <w:t>批</w:t>
            </w:r>
          </w:p>
        </w:tc>
      </w:tr>
      <w:tr w14:paraId="6AD31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7E02D30C">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eastAsia="宋体" w:cs="宋体"/>
                <w:sz w:val="24"/>
                <w:lang w:val="en-US" w:eastAsia="zh-CN"/>
              </w:rPr>
            </w:pPr>
            <w:r>
              <w:rPr>
                <w:rFonts w:hint="eastAsia" w:ascii="宋体" w:hAnsi="宋体" w:cs="宋体"/>
                <w:sz w:val="24"/>
                <w:lang w:val="en-US" w:eastAsia="zh-CN"/>
              </w:rPr>
              <w:t>4</w:t>
            </w:r>
          </w:p>
        </w:tc>
        <w:tc>
          <w:tcPr>
            <w:tcW w:w="2263" w:type="dxa"/>
            <w:noWrap/>
            <w:vAlign w:val="center"/>
          </w:tcPr>
          <w:p w14:paraId="43E8CC22">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夜间值班、巡逻</w:t>
            </w:r>
          </w:p>
        </w:tc>
        <w:tc>
          <w:tcPr>
            <w:tcW w:w="3450" w:type="dxa"/>
            <w:noWrap/>
            <w:vAlign w:val="center"/>
          </w:tcPr>
          <w:p w14:paraId="681BD643">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sz w:val="24"/>
                <w:szCs w:val="24"/>
                <w:lang w:val="en-US" w:eastAsia="zh-CN"/>
              </w:rPr>
            </w:pPr>
            <w:r>
              <w:rPr>
                <w:rFonts w:hint="eastAsia" w:ascii="宋体" w:hAnsi="宋体" w:cs="宋体"/>
                <w:color w:val="000000"/>
                <w:sz w:val="24"/>
              </w:rPr>
              <w:t>服装、器械等</w:t>
            </w:r>
          </w:p>
        </w:tc>
        <w:tc>
          <w:tcPr>
            <w:tcW w:w="1037" w:type="dxa"/>
            <w:noWrap/>
            <w:vAlign w:val="center"/>
          </w:tcPr>
          <w:p w14:paraId="5C3FC12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sz w:val="24"/>
                <w:szCs w:val="24"/>
                <w:lang w:val="en-US" w:eastAsia="zh-CN"/>
              </w:rPr>
            </w:pPr>
            <w:r>
              <w:rPr>
                <w:rFonts w:hint="eastAsia" w:ascii="宋体" w:hAnsi="宋体" w:cs="宋体"/>
                <w:sz w:val="24"/>
              </w:rPr>
              <w:t>1</w:t>
            </w:r>
          </w:p>
        </w:tc>
        <w:tc>
          <w:tcPr>
            <w:tcW w:w="1063" w:type="dxa"/>
            <w:noWrap/>
            <w:vAlign w:val="center"/>
          </w:tcPr>
          <w:p w14:paraId="479F5B6B">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sz w:val="24"/>
                <w:szCs w:val="24"/>
                <w:lang w:val="en-US" w:eastAsia="zh-CN"/>
              </w:rPr>
            </w:pPr>
            <w:r>
              <w:rPr>
                <w:rFonts w:hint="eastAsia" w:ascii="宋体" w:hAnsi="宋体" w:cs="宋体"/>
                <w:sz w:val="24"/>
              </w:rPr>
              <w:t>批</w:t>
            </w:r>
          </w:p>
        </w:tc>
      </w:tr>
      <w:tr w14:paraId="31AD4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22E88F6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lang w:val="en-US" w:eastAsia="zh-CN"/>
              </w:rPr>
            </w:pPr>
            <w:r>
              <w:rPr>
                <w:rFonts w:hint="eastAsia" w:ascii="宋体" w:hAnsi="宋体" w:cs="宋体"/>
                <w:sz w:val="24"/>
                <w:lang w:val="en-US" w:eastAsia="zh-CN"/>
              </w:rPr>
              <w:t>5</w:t>
            </w:r>
          </w:p>
        </w:tc>
        <w:tc>
          <w:tcPr>
            <w:tcW w:w="2263" w:type="dxa"/>
            <w:noWrap/>
            <w:vAlign w:val="center"/>
          </w:tcPr>
          <w:p w14:paraId="095E7CD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FF0000"/>
                <w:sz w:val="24"/>
                <w:szCs w:val="24"/>
                <w:lang w:val="en-US" w:eastAsia="zh-CN"/>
              </w:rPr>
            </w:pPr>
            <w:r>
              <w:rPr>
                <w:rFonts w:hint="eastAsia" w:ascii="宋体" w:hAnsi="宋体" w:cs="宋体"/>
                <w:sz w:val="24"/>
              </w:rPr>
              <w:t>大型活动服务</w:t>
            </w:r>
          </w:p>
        </w:tc>
        <w:tc>
          <w:tcPr>
            <w:tcW w:w="3450" w:type="dxa"/>
            <w:noWrap/>
            <w:vAlign w:val="center"/>
          </w:tcPr>
          <w:p w14:paraId="17DD9A1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FF0000"/>
                <w:sz w:val="24"/>
                <w:szCs w:val="24"/>
                <w:lang w:val="en-US" w:eastAsia="zh-CN"/>
              </w:rPr>
            </w:pPr>
            <w:r>
              <w:rPr>
                <w:rFonts w:hint="eastAsia" w:ascii="宋体" w:hAnsi="宋体" w:cs="宋体"/>
                <w:sz w:val="24"/>
              </w:rPr>
              <w:t>工装、工牌等</w:t>
            </w:r>
          </w:p>
        </w:tc>
        <w:tc>
          <w:tcPr>
            <w:tcW w:w="1037" w:type="dxa"/>
            <w:noWrap/>
            <w:vAlign w:val="center"/>
          </w:tcPr>
          <w:p w14:paraId="06F5004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sz w:val="24"/>
                <w:szCs w:val="24"/>
                <w:lang w:val="en-US" w:eastAsia="zh-CN"/>
              </w:rPr>
            </w:pPr>
            <w:r>
              <w:rPr>
                <w:rFonts w:hint="eastAsia" w:ascii="宋体" w:hAnsi="宋体" w:cs="宋体"/>
                <w:color w:val="000000"/>
                <w:sz w:val="24"/>
                <w:lang w:val="en-US" w:eastAsia="zh-CN"/>
              </w:rPr>
              <w:t>1</w:t>
            </w:r>
          </w:p>
        </w:tc>
        <w:tc>
          <w:tcPr>
            <w:tcW w:w="1063" w:type="dxa"/>
            <w:noWrap/>
            <w:vAlign w:val="center"/>
          </w:tcPr>
          <w:p w14:paraId="7C014682">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批</w:t>
            </w:r>
          </w:p>
        </w:tc>
      </w:tr>
    </w:tbl>
    <w:p w14:paraId="068AFFDF">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六</w:t>
      </w:r>
      <w:r>
        <w:rPr>
          <w:rFonts w:hint="eastAsia" w:ascii="宋体" w:hAnsi="宋体" w:eastAsia="Arial" w:cs="宋体"/>
          <w:b/>
          <w:bCs/>
          <w:color w:val="000000"/>
          <w:sz w:val="24"/>
          <w:szCs w:val="20"/>
        </w:rPr>
        <w:t>、人员要求：</w:t>
      </w:r>
    </w:p>
    <w:p w14:paraId="6E0E3D2C">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eastAsia="Arial" w:cs="宋体"/>
          <w:color w:val="000000"/>
          <w:sz w:val="24"/>
          <w:szCs w:val="20"/>
        </w:rPr>
      </w:pPr>
      <w:r>
        <w:rPr>
          <w:rFonts w:hint="eastAsia" w:ascii="宋体" w:hAnsi="宋体" w:eastAsia="Arial" w:cs="宋体"/>
          <w:color w:val="000000"/>
          <w:sz w:val="24"/>
          <w:szCs w:val="20"/>
        </w:rPr>
        <w:t>1、人员基本原则：精干 高效 专业 敬业 健康。</w:t>
      </w:r>
    </w:p>
    <w:p w14:paraId="680105E1">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eastAsia="Arial" w:cs="宋体"/>
          <w:color w:val="FF0000"/>
          <w:sz w:val="24"/>
          <w:szCs w:val="20"/>
          <w:highlight w:val="none"/>
        </w:rPr>
      </w:pPr>
      <w:r>
        <w:rPr>
          <w:rFonts w:hint="eastAsia" w:ascii="宋体" w:hAnsi="宋体" w:eastAsia="Arial" w:cs="宋体"/>
          <w:color w:val="000000"/>
          <w:sz w:val="24"/>
          <w:szCs w:val="20"/>
        </w:rPr>
        <w:t>2、人员数量要求：</w:t>
      </w:r>
      <w:r>
        <w:rPr>
          <w:rFonts w:hint="eastAsia" w:ascii="宋体" w:hAnsi="宋体" w:cs="宋体"/>
          <w:b/>
          <w:bCs/>
          <w:color w:val="000000"/>
          <w:sz w:val="24"/>
          <w:szCs w:val="20"/>
          <w:highlight w:val="none"/>
        </w:rPr>
        <w:t>投标人投入本项目的各类人员不得低于以下标准，数量不得低于以下总人数。本项目要求国假加班人员数不得少于</w:t>
      </w:r>
      <w:r>
        <w:rPr>
          <w:rFonts w:hint="eastAsia" w:ascii="宋体" w:hAnsi="宋体" w:cs="宋体"/>
          <w:b/>
          <w:bCs/>
          <w:color w:val="000000"/>
          <w:sz w:val="24"/>
          <w:szCs w:val="20"/>
          <w:highlight w:val="none"/>
          <w:lang w:val="en-US" w:eastAsia="zh-CN"/>
        </w:rPr>
        <w:t>1</w:t>
      </w:r>
      <w:r>
        <w:rPr>
          <w:rFonts w:hint="eastAsia" w:ascii="宋体" w:hAnsi="宋体" w:cs="宋体"/>
          <w:b/>
          <w:bCs/>
          <w:color w:val="000000"/>
          <w:sz w:val="24"/>
          <w:szCs w:val="20"/>
          <w:highlight w:val="none"/>
        </w:rPr>
        <w:t>人，人员必须用足，中标方需统筹安排满足甲方工作要求，具体要求及范围按项目需求实施。</w:t>
      </w:r>
    </w:p>
    <w:tbl>
      <w:tblPr>
        <w:tblStyle w:val="29"/>
        <w:tblW w:w="87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6"/>
        <w:gridCol w:w="4341"/>
        <w:gridCol w:w="3224"/>
      </w:tblGrid>
      <w:tr w14:paraId="4A500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1136" w:type="dxa"/>
            <w:noWrap w:val="0"/>
            <w:vAlign w:val="center"/>
          </w:tcPr>
          <w:p w14:paraId="39F17CF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bCs/>
                <w:color w:val="000000"/>
                <w:sz w:val="24"/>
                <w:highlight w:val="none"/>
              </w:rPr>
            </w:pPr>
            <w:r>
              <w:rPr>
                <w:rFonts w:hint="eastAsia" w:ascii="宋体" w:hAnsi="宋体" w:cs="宋体"/>
                <w:b/>
                <w:bCs/>
                <w:color w:val="000000"/>
                <w:sz w:val="24"/>
                <w:highlight w:val="none"/>
              </w:rPr>
              <w:t>序号</w:t>
            </w:r>
          </w:p>
        </w:tc>
        <w:tc>
          <w:tcPr>
            <w:tcW w:w="4341" w:type="dxa"/>
            <w:noWrap w:val="0"/>
            <w:vAlign w:val="center"/>
          </w:tcPr>
          <w:p w14:paraId="73A32373">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bCs/>
                <w:color w:val="000000"/>
                <w:sz w:val="24"/>
                <w:highlight w:val="none"/>
              </w:rPr>
            </w:pPr>
            <w:r>
              <w:rPr>
                <w:rFonts w:hint="eastAsia" w:ascii="宋体" w:hAnsi="宋体" w:cs="宋体"/>
                <w:b/>
                <w:bCs/>
                <w:color w:val="000000"/>
                <w:sz w:val="24"/>
                <w:highlight w:val="none"/>
              </w:rPr>
              <w:t>项目职务</w:t>
            </w:r>
          </w:p>
        </w:tc>
        <w:tc>
          <w:tcPr>
            <w:tcW w:w="3224" w:type="dxa"/>
            <w:noWrap w:val="0"/>
            <w:vAlign w:val="center"/>
          </w:tcPr>
          <w:p w14:paraId="73B814C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bCs/>
                <w:color w:val="000000"/>
                <w:sz w:val="24"/>
                <w:highlight w:val="none"/>
              </w:rPr>
            </w:pPr>
            <w:r>
              <w:rPr>
                <w:rFonts w:hint="eastAsia" w:ascii="宋体" w:hAnsi="宋体" w:cs="宋体"/>
                <w:b/>
                <w:bCs/>
                <w:color w:val="000000"/>
                <w:sz w:val="24"/>
                <w:highlight w:val="none"/>
              </w:rPr>
              <w:t>人员数量要求</w:t>
            </w:r>
          </w:p>
        </w:tc>
      </w:tr>
      <w:tr w14:paraId="79D35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1136" w:type="dxa"/>
            <w:noWrap w:val="0"/>
            <w:vAlign w:val="center"/>
          </w:tcPr>
          <w:p w14:paraId="1E02C3F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1</w:t>
            </w:r>
          </w:p>
        </w:tc>
        <w:tc>
          <w:tcPr>
            <w:tcW w:w="4341" w:type="dxa"/>
            <w:noWrap w:val="0"/>
            <w:vAlign w:val="center"/>
          </w:tcPr>
          <w:p w14:paraId="3496FC3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保洁</w:t>
            </w:r>
            <w:r>
              <w:rPr>
                <w:rFonts w:hint="eastAsia" w:ascii="宋体" w:hAnsi="宋体" w:cs="宋体"/>
                <w:color w:val="000000"/>
                <w:sz w:val="24"/>
                <w:highlight w:val="none"/>
                <w:lang w:eastAsia="zh-CN"/>
              </w:rPr>
              <w:t>员（</w:t>
            </w:r>
            <w:r>
              <w:rPr>
                <w:rFonts w:hint="eastAsia" w:ascii="宋体" w:hAnsi="宋体" w:cs="宋体"/>
                <w:color w:val="000000"/>
                <w:sz w:val="24"/>
                <w:highlight w:val="none"/>
                <w:lang w:val="en-US" w:eastAsia="zh-CN"/>
              </w:rPr>
              <w:t>兼绿化养护</w:t>
            </w:r>
            <w:r>
              <w:rPr>
                <w:rFonts w:hint="eastAsia" w:ascii="宋体" w:hAnsi="宋体" w:cs="宋体"/>
                <w:color w:val="000000"/>
                <w:sz w:val="24"/>
                <w:highlight w:val="none"/>
                <w:lang w:eastAsia="zh-CN"/>
              </w:rPr>
              <w:t>）</w:t>
            </w:r>
          </w:p>
        </w:tc>
        <w:tc>
          <w:tcPr>
            <w:tcW w:w="3224" w:type="dxa"/>
            <w:noWrap w:val="0"/>
            <w:vAlign w:val="center"/>
          </w:tcPr>
          <w:p w14:paraId="246382FC">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1</w:t>
            </w:r>
          </w:p>
        </w:tc>
      </w:tr>
      <w:tr w14:paraId="5DAF7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1136" w:type="dxa"/>
            <w:noWrap w:val="0"/>
            <w:vAlign w:val="center"/>
          </w:tcPr>
          <w:p w14:paraId="01AE6A3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2</w:t>
            </w:r>
          </w:p>
        </w:tc>
        <w:tc>
          <w:tcPr>
            <w:tcW w:w="4341" w:type="dxa"/>
            <w:noWrap w:val="0"/>
            <w:vAlign w:val="center"/>
          </w:tcPr>
          <w:p w14:paraId="1AA1168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夜间值班巡逻人员（保安兼，</w:t>
            </w:r>
            <w:r>
              <w:rPr>
                <w:rFonts w:hint="eastAsia" w:ascii="宋体" w:hAnsi="宋体" w:cs="宋体"/>
                <w:color w:val="000000"/>
                <w:sz w:val="24"/>
                <w:highlight w:val="none"/>
                <w:lang w:val="en-US" w:eastAsia="zh-CN"/>
              </w:rPr>
              <w:t>人员由安保单位提供</w:t>
            </w:r>
            <w:r>
              <w:rPr>
                <w:rFonts w:hint="eastAsia" w:ascii="宋体" w:hAnsi="宋体" w:cs="宋体"/>
                <w:color w:val="000000"/>
                <w:sz w:val="24"/>
                <w:highlight w:val="none"/>
                <w:lang w:eastAsia="zh-CN"/>
              </w:rPr>
              <w:t>）</w:t>
            </w:r>
          </w:p>
        </w:tc>
        <w:tc>
          <w:tcPr>
            <w:tcW w:w="3224" w:type="dxa"/>
            <w:noWrap w:val="0"/>
            <w:vAlign w:val="center"/>
          </w:tcPr>
          <w:p w14:paraId="330F7F7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000000"/>
                <w:sz w:val="24"/>
                <w:highlight w:val="none"/>
              </w:rPr>
            </w:pPr>
            <w:r>
              <w:rPr>
                <w:rFonts w:hint="eastAsia" w:ascii="宋体" w:hAnsi="宋体" w:cs="宋体"/>
                <w:color w:val="000000"/>
                <w:sz w:val="24"/>
                <w:highlight w:val="none"/>
                <w:lang w:val="en-US" w:eastAsia="zh-CN"/>
              </w:rPr>
              <w:t>1</w:t>
            </w:r>
          </w:p>
        </w:tc>
      </w:tr>
      <w:tr w14:paraId="7CCBD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5477" w:type="dxa"/>
            <w:gridSpan w:val="2"/>
            <w:noWrap w:val="0"/>
            <w:vAlign w:val="center"/>
          </w:tcPr>
          <w:p w14:paraId="4CBC14E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000000"/>
                <w:sz w:val="24"/>
                <w:highlight w:val="none"/>
              </w:rPr>
            </w:pPr>
            <w:r>
              <w:rPr>
                <w:rFonts w:hint="eastAsia" w:ascii="宋体" w:hAnsi="宋体" w:cs="宋体"/>
                <w:color w:val="000000"/>
                <w:sz w:val="24"/>
                <w:highlight w:val="none"/>
              </w:rPr>
              <w:t>合   计</w:t>
            </w:r>
          </w:p>
        </w:tc>
        <w:tc>
          <w:tcPr>
            <w:tcW w:w="3224" w:type="dxa"/>
            <w:noWrap w:val="0"/>
            <w:vAlign w:val="center"/>
          </w:tcPr>
          <w:p w14:paraId="3083EC51">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000000"/>
                <w:sz w:val="24"/>
                <w:highlight w:val="none"/>
              </w:rPr>
            </w:pPr>
            <w:r>
              <w:rPr>
                <w:rFonts w:hint="eastAsia" w:ascii="宋体" w:hAnsi="宋体" w:cs="宋体"/>
                <w:color w:val="000000"/>
                <w:sz w:val="24"/>
                <w:highlight w:val="none"/>
                <w:lang w:val="en-US" w:eastAsia="zh-CN"/>
              </w:rPr>
              <w:t>2</w:t>
            </w:r>
          </w:p>
        </w:tc>
      </w:tr>
    </w:tbl>
    <w:p w14:paraId="17DEBF2D">
      <w:pPr>
        <w:widowControl/>
        <w:spacing w:line="560" w:lineRule="exact"/>
        <w:ind w:firstLine="480"/>
        <w:rPr>
          <w:rFonts w:ascii="宋体" w:hAnsi="宋体" w:eastAsia="Arial" w:cs="宋体"/>
          <w:color w:val="000000"/>
          <w:sz w:val="24"/>
          <w:szCs w:val="20"/>
        </w:rPr>
      </w:pPr>
      <w:r>
        <w:rPr>
          <w:rFonts w:hint="eastAsia"/>
          <w:sz w:val="24"/>
          <w:szCs w:val="20"/>
        </w:rPr>
        <w:t>3、</w:t>
      </w:r>
      <w:r>
        <w:rPr>
          <w:rFonts w:hint="eastAsia" w:ascii="宋体" w:hAnsi="宋体" w:eastAsia="Arial" w:cs="宋体"/>
          <w:color w:val="000000"/>
          <w:sz w:val="24"/>
          <w:szCs w:val="20"/>
        </w:rPr>
        <w:t>人员综合素质要求（投入本项目的人员综合素质不低于以下要求）：</w:t>
      </w:r>
    </w:p>
    <w:tbl>
      <w:tblPr>
        <w:tblStyle w:val="29"/>
        <w:tblW w:w="86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7"/>
        <w:gridCol w:w="1841"/>
        <w:gridCol w:w="5868"/>
      </w:tblGrid>
      <w:tr w14:paraId="53575F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87" w:type="dxa"/>
            <w:noWrap w:val="0"/>
            <w:vAlign w:val="center"/>
          </w:tcPr>
          <w:p w14:paraId="34BA0C1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bCs/>
                <w:sz w:val="24"/>
              </w:rPr>
            </w:pPr>
            <w:r>
              <w:rPr>
                <w:rFonts w:hint="eastAsia" w:ascii="宋体" w:hAnsi="宋体" w:cs="宋体"/>
                <w:b/>
                <w:bCs/>
                <w:sz w:val="24"/>
              </w:rPr>
              <w:t>序号</w:t>
            </w:r>
          </w:p>
        </w:tc>
        <w:tc>
          <w:tcPr>
            <w:tcW w:w="1841" w:type="dxa"/>
            <w:noWrap w:val="0"/>
            <w:vAlign w:val="center"/>
          </w:tcPr>
          <w:p w14:paraId="6B07A7C2">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bCs/>
                <w:sz w:val="24"/>
              </w:rPr>
            </w:pPr>
            <w:r>
              <w:rPr>
                <w:rFonts w:hint="eastAsia" w:ascii="宋体" w:hAnsi="宋体" w:cs="宋体"/>
                <w:b/>
                <w:bCs/>
                <w:sz w:val="24"/>
              </w:rPr>
              <w:t>项目职务</w:t>
            </w:r>
          </w:p>
        </w:tc>
        <w:tc>
          <w:tcPr>
            <w:tcW w:w="5868" w:type="dxa"/>
            <w:noWrap w:val="0"/>
            <w:vAlign w:val="center"/>
          </w:tcPr>
          <w:p w14:paraId="762AE7A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bCs/>
                <w:sz w:val="24"/>
              </w:rPr>
            </w:pPr>
            <w:r>
              <w:rPr>
                <w:rFonts w:hint="eastAsia" w:ascii="宋体" w:hAnsi="宋体" w:cs="宋体"/>
                <w:b/>
                <w:bCs/>
                <w:sz w:val="24"/>
              </w:rPr>
              <w:t>人员综合素质要求</w:t>
            </w:r>
          </w:p>
        </w:tc>
      </w:tr>
      <w:tr w14:paraId="28769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7" w:hRule="atLeast"/>
          <w:jc w:val="center"/>
        </w:trPr>
        <w:tc>
          <w:tcPr>
            <w:tcW w:w="987" w:type="dxa"/>
            <w:noWrap w:val="0"/>
            <w:vAlign w:val="center"/>
          </w:tcPr>
          <w:p w14:paraId="1D0DE53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highlight w:val="none"/>
                <w:lang w:eastAsia="zh-CN" w:bidi="ar"/>
              </w:rPr>
            </w:pPr>
            <w:r>
              <w:rPr>
                <w:rFonts w:hint="eastAsia" w:ascii="宋体" w:hAnsi="宋体" w:cs="宋体"/>
                <w:sz w:val="24"/>
                <w:highlight w:val="none"/>
                <w:lang w:val="en-US" w:eastAsia="zh-CN" w:bidi="ar"/>
              </w:rPr>
              <w:t>1</w:t>
            </w:r>
          </w:p>
        </w:tc>
        <w:tc>
          <w:tcPr>
            <w:tcW w:w="1841" w:type="dxa"/>
            <w:noWrap w:val="0"/>
            <w:vAlign w:val="center"/>
          </w:tcPr>
          <w:p w14:paraId="2E8B214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eastAsia="宋体" w:cs="宋体"/>
                <w:sz w:val="24"/>
                <w:szCs w:val="24"/>
                <w:highlight w:val="none"/>
                <w:lang w:val="en-US" w:eastAsia="zh-CN" w:bidi="ar"/>
              </w:rPr>
            </w:pPr>
            <w:r>
              <w:rPr>
                <w:rFonts w:hint="eastAsia" w:ascii="宋体" w:hAnsi="宋体" w:cs="宋体"/>
                <w:sz w:val="24"/>
                <w:highlight w:val="none"/>
                <w:lang w:bidi="ar"/>
              </w:rPr>
              <w:t>卫生保洁员</w:t>
            </w:r>
          </w:p>
        </w:tc>
        <w:tc>
          <w:tcPr>
            <w:tcW w:w="5868" w:type="dxa"/>
            <w:noWrap w:val="0"/>
            <w:vAlign w:val="center"/>
          </w:tcPr>
          <w:p w14:paraId="66080709">
            <w:pPr>
              <w:keepNext w:val="0"/>
              <w:keepLines w:val="0"/>
              <w:pageBreakBefore w:val="0"/>
              <w:widowControl/>
              <w:kinsoku/>
              <w:wordWrap/>
              <w:overflowPunct/>
              <w:topLinePunct w:val="0"/>
              <w:autoSpaceDE/>
              <w:autoSpaceDN/>
              <w:bidi w:val="0"/>
              <w:adjustRightInd/>
              <w:snapToGrid/>
              <w:spacing w:line="360" w:lineRule="exact"/>
              <w:textAlignment w:val="auto"/>
              <w:rPr>
                <w:rFonts w:ascii="宋体" w:hAnsi="宋体" w:eastAsia="宋体" w:cs="宋体"/>
                <w:sz w:val="24"/>
                <w:szCs w:val="24"/>
                <w:highlight w:val="none"/>
                <w:lang w:val="en-US" w:eastAsia="zh-CN" w:bidi="ar-SA"/>
              </w:rPr>
            </w:pPr>
            <w:r>
              <w:rPr>
                <w:rFonts w:hint="eastAsia" w:ascii="宋体" w:hAnsi="宋体" w:cs="宋体"/>
                <w:sz w:val="24"/>
                <w:highlight w:val="none"/>
              </w:rPr>
              <w:t>女性，50周岁以下，初中以上文化，有吃苦耐劳精神，责任心强，有一定的物业保洁服务工作经历，经培训，采购人与中标人共同考核合格后上岗。持有健康证。</w:t>
            </w:r>
          </w:p>
        </w:tc>
      </w:tr>
    </w:tbl>
    <w:p w14:paraId="1AF9FD49">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color w:val="000000"/>
          <w:sz w:val="24"/>
          <w:szCs w:val="20"/>
        </w:rPr>
      </w:pPr>
      <w:r>
        <w:rPr>
          <w:rFonts w:hint="eastAsia" w:ascii="宋体" w:hAnsi="宋体" w:cs="宋体"/>
          <w:color w:val="000000"/>
          <w:sz w:val="24"/>
          <w:szCs w:val="20"/>
        </w:rPr>
        <w:t>注：1、以上所有人员无重大疾病和传染病，诚实守信，责任心强并是在岗职工</w:t>
      </w:r>
      <w:r>
        <w:rPr>
          <w:rFonts w:hint="eastAsia" w:ascii="宋体" w:hAnsi="宋体" w:cs="宋体"/>
          <w:color w:val="000000"/>
          <w:sz w:val="24"/>
          <w:szCs w:val="20"/>
          <w:lang w:eastAsia="zh-CN"/>
        </w:rPr>
        <w:t>，</w:t>
      </w:r>
      <w:r>
        <w:rPr>
          <w:rFonts w:hint="eastAsia" w:ascii="宋体" w:hAnsi="宋体" w:cs="宋体"/>
          <w:color w:val="000000"/>
          <w:sz w:val="24"/>
          <w:szCs w:val="20"/>
        </w:rPr>
        <w:t xml:space="preserve">与招标人签订物业合同上岗前须持有健康体检证明。 </w:t>
      </w:r>
    </w:p>
    <w:p w14:paraId="6C36E7B5">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color w:val="000000"/>
          <w:sz w:val="24"/>
          <w:szCs w:val="20"/>
        </w:rPr>
      </w:pPr>
      <w:r>
        <w:rPr>
          <w:rFonts w:hint="eastAsia" w:ascii="宋体" w:hAnsi="宋体" w:cs="宋体"/>
          <w:color w:val="000000"/>
          <w:sz w:val="24"/>
          <w:szCs w:val="20"/>
        </w:rPr>
        <w:t>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p>
    <w:p w14:paraId="7AF6B354">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color w:val="000000"/>
          <w:sz w:val="24"/>
          <w:szCs w:val="20"/>
        </w:rPr>
      </w:pPr>
      <w:r>
        <w:rPr>
          <w:rFonts w:hint="eastAsia" w:ascii="宋体" w:hAnsi="宋体" w:cs="宋体"/>
          <w:color w:val="000000"/>
          <w:sz w:val="24"/>
          <w:szCs w:val="20"/>
        </w:rPr>
        <w:t>3、由于各类活动、突击迎检、节假日期间等因素导致的费用，不论这些因素是可预测或不可预测的，均已包含在投标报价中。除甲方要求外，不作调整。</w:t>
      </w:r>
    </w:p>
    <w:p w14:paraId="1C2066C9">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color w:val="000000"/>
          <w:sz w:val="24"/>
          <w:szCs w:val="20"/>
        </w:rPr>
      </w:pPr>
      <w:r>
        <w:rPr>
          <w:rFonts w:hint="eastAsia" w:ascii="宋体" w:hAnsi="宋体" w:cs="宋体"/>
          <w:color w:val="000000"/>
          <w:sz w:val="24"/>
          <w:szCs w:val="20"/>
        </w:rPr>
        <w:t>4、中标人必须做到：（1）垃圾日产日清，垃圾清运后散落地面的垃圾要清扫干净，做好垃圾分类及常规消毒工作。（2）垃圾桶每日须及时清理，垃圾桶外表保证清洁，每周垃圾桶要冲洗一遍，保证无异味。</w:t>
      </w:r>
    </w:p>
    <w:p w14:paraId="4CB8AD08">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b/>
          <w:bCs/>
          <w:color w:val="000000"/>
          <w:sz w:val="24"/>
          <w:szCs w:val="20"/>
        </w:rPr>
      </w:pPr>
      <w:r>
        <w:rPr>
          <w:rFonts w:hint="eastAsia" w:ascii="宋体" w:hAnsi="宋体" w:cs="宋体"/>
          <w:b/>
          <w:bCs/>
          <w:color w:val="000000"/>
          <w:sz w:val="24"/>
          <w:szCs w:val="20"/>
        </w:rPr>
        <w:t>注：投标时无须提供以上人员其他相关证书及证明，中标人必须按岗位定员数量和素质要求配备人员，否则视为违约。</w:t>
      </w:r>
    </w:p>
    <w:p w14:paraId="520CFCFF">
      <w:pPr>
        <w:keepNext w:val="0"/>
        <w:keepLines w:val="0"/>
        <w:pageBreakBefore w:val="0"/>
        <w:widowControl/>
        <w:kinsoku/>
        <w:wordWrap/>
        <w:overflowPunct/>
        <w:topLinePunct w:val="0"/>
        <w:autoSpaceDE/>
        <w:autoSpaceDN/>
        <w:bidi w:val="0"/>
        <w:adjustRightInd/>
        <w:snapToGrid/>
        <w:spacing w:line="440" w:lineRule="exact"/>
        <w:ind w:firstLine="482"/>
        <w:textAlignment w:val="auto"/>
        <w:rPr>
          <w:b/>
          <w:bCs/>
          <w:sz w:val="24"/>
          <w:szCs w:val="20"/>
        </w:rPr>
      </w:pPr>
      <w:r>
        <w:rPr>
          <w:rFonts w:hint="eastAsia"/>
          <w:b/>
          <w:bCs/>
          <w:sz w:val="24"/>
          <w:szCs w:val="20"/>
          <w:lang w:val="en-US" w:eastAsia="zh-CN"/>
        </w:rPr>
        <w:t>七</w:t>
      </w:r>
      <w:r>
        <w:rPr>
          <w:rFonts w:hint="eastAsia"/>
          <w:b/>
          <w:bCs/>
          <w:sz w:val="24"/>
          <w:szCs w:val="20"/>
        </w:rPr>
        <w:t>、项目管理服务方案</w:t>
      </w:r>
    </w:p>
    <w:p w14:paraId="2F4F052E">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lang w:val="zh-CN"/>
        </w:rPr>
      </w:pPr>
      <w:r>
        <w:rPr>
          <w:rFonts w:hint="eastAsia" w:ascii="宋体" w:hAnsi="宋体" w:cs="宋体"/>
          <w:sz w:val="24"/>
          <w:szCs w:val="20"/>
          <w:lang w:val="zh-CN"/>
        </w:rPr>
        <w:t>投标人应根据采购需求和本项目实际，制订相应的服务方案至少包括以下内容：</w:t>
      </w:r>
    </w:p>
    <w:p w14:paraId="62423730">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b/>
          <w:bCs/>
          <w:sz w:val="24"/>
          <w:szCs w:val="20"/>
          <w:lang w:val="zh-CN"/>
        </w:rPr>
      </w:pPr>
      <w:r>
        <w:rPr>
          <w:rFonts w:hint="eastAsia" w:ascii="宋体" w:hAnsi="宋体" w:cs="宋体"/>
          <w:b/>
          <w:bCs/>
          <w:sz w:val="24"/>
          <w:szCs w:val="20"/>
          <w:lang w:val="zh-CN"/>
        </w:rPr>
        <w:t>1.</w:t>
      </w:r>
      <w:bookmarkStart w:id="9" w:name="OLE_LINK3"/>
      <w:r>
        <w:rPr>
          <w:rFonts w:hint="eastAsia" w:ascii="宋体" w:hAnsi="宋体" w:cs="宋体"/>
          <w:b/>
          <w:bCs/>
          <w:sz w:val="24"/>
          <w:szCs w:val="20"/>
          <w:lang w:val="zh-CN"/>
        </w:rPr>
        <w:t>符合政策法规的整体设想及策划</w:t>
      </w:r>
      <w:bookmarkEnd w:id="9"/>
      <w:bookmarkStart w:id="10" w:name="OLE_LINK1"/>
      <w:r>
        <w:rPr>
          <w:rFonts w:hint="eastAsia" w:ascii="宋体" w:hAnsi="宋体" w:cs="宋体"/>
          <w:b/>
          <w:bCs/>
          <w:sz w:val="24"/>
          <w:szCs w:val="20"/>
          <w:lang w:val="zh-CN"/>
        </w:rPr>
        <w:t>至少包括以下内容</w:t>
      </w:r>
      <w:bookmarkEnd w:id="10"/>
      <w:r>
        <w:rPr>
          <w:rFonts w:hint="eastAsia" w:ascii="宋体" w:hAnsi="宋体" w:cs="宋体"/>
          <w:b/>
          <w:bCs/>
          <w:sz w:val="24"/>
          <w:szCs w:val="20"/>
          <w:lang w:val="zh-CN"/>
        </w:rPr>
        <w:t>：</w:t>
      </w:r>
    </w:p>
    <w:p w14:paraId="583C0485">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color w:val="000000"/>
          <w:sz w:val="24"/>
          <w:szCs w:val="20"/>
        </w:rPr>
      </w:pPr>
      <w:r>
        <w:rPr>
          <w:rFonts w:hint="eastAsia" w:ascii="宋体" w:hAnsi="宋体" w:cs="宋体"/>
          <w:color w:val="000000"/>
          <w:sz w:val="24"/>
          <w:szCs w:val="20"/>
        </w:rPr>
        <w:t>（1）环境卫生管理：教学区深度保洁、公共区域精细化保洁、绿化美化、设施设备运行维护、功能室管理等，做到</w:t>
      </w:r>
      <w:r>
        <w:rPr>
          <w:rFonts w:hint="eastAsia" w:ascii="宋体" w:hAnsi="宋体" w:cs="宋体"/>
          <w:color w:val="000000"/>
          <w:sz w:val="24"/>
          <w:szCs w:val="20"/>
          <w:lang w:val="zh-CN"/>
        </w:rPr>
        <w:t>打扫和保洁,及时、彻底、到位，做好室外绿化养护及管理工作，</w:t>
      </w:r>
      <w:r>
        <w:rPr>
          <w:rFonts w:hint="eastAsia" w:ascii="宋体" w:hAnsi="宋体" w:cs="宋体"/>
          <w:color w:val="000000"/>
          <w:sz w:val="24"/>
          <w:szCs w:val="20"/>
        </w:rPr>
        <w:t>定期对</w:t>
      </w:r>
      <w:r>
        <w:rPr>
          <w:rFonts w:hint="eastAsia" w:ascii="宋体" w:hAnsi="宋体" w:cs="宋体"/>
          <w:color w:val="000000"/>
          <w:sz w:val="24"/>
          <w:szCs w:val="20"/>
          <w:lang w:val="zh-CN"/>
        </w:rPr>
        <w:t>功能室进行卫生保洁、设备设施的检测维护与保养、水电设施的检查、门窗关锁的检查等。</w:t>
      </w:r>
    </w:p>
    <w:p w14:paraId="0F0113AA">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color w:val="000000"/>
          <w:sz w:val="24"/>
          <w:szCs w:val="20"/>
          <w:lang w:val="zh-CN"/>
        </w:rPr>
      </w:pPr>
      <w:r>
        <w:rPr>
          <w:rFonts w:hint="eastAsia" w:ascii="宋体" w:hAnsi="宋体" w:cs="宋体"/>
          <w:color w:val="000000"/>
          <w:sz w:val="24"/>
          <w:szCs w:val="20"/>
        </w:rPr>
        <w:t>（2）会议活动保障：环境深度清洁、运动会、艺术节、家长会、开学/毕业典礼的场地布置、保洁支持等</w:t>
      </w:r>
      <w:r>
        <w:rPr>
          <w:rFonts w:hint="eastAsia" w:ascii="宋体" w:hAnsi="宋体" w:cs="宋体"/>
          <w:color w:val="000000"/>
          <w:sz w:val="24"/>
          <w:szCs w:val="20"/>
          <w:lang w:val="zh-CN"/>
        </w:rPr>
        <w:t>，</w:t>
      </w:r>
      <w:r>
        <w:rPr>
          <w:rFonts w:hint="eastAsia" w:ascii="宋体" w:hAnsi="宋体" w:cs="宋体"/>
          <w:color w:val="000000"/>
          <w:sz w:val="24"/>
          <w:szCs w:val="20"/>
        </w:rPr>
        <w:t>做到</w:t>
      </w:r>
      <w:r>
        <w:rPr>
          <w:rFonts w:hint="eastAsia" w:ascii="宋体" w:hAnsi="宋体" w:cs="宋体"/>
          <w:color w:val="000000"/>
          <w:sz w:val="24"/>
          <w:szCs w:val="20"/>
          <w:lang w:val="zh-CN"/>
        </w:rPr>
        <w:t>各类设备的开启、物品有序摆放、灯光开启、桌椅摆放整齐、卫生整洁等达到预期的使用和展示效果。</w:t>
      </w:r>
    </w:p>
    <w:p w14:paraId="02C23819">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color w:val="000000"/>
          <w:sz w:val="24"/>
          <w:szCs w:val="20"/>
          <w:lang w:val="zh-CN"/>
        </w:rPr>
      </w:pPr>
      <w:r>
        <w:rPr>
          <w:rFonts w:hint="eastAsia" w:ascii="宋体" w:hAnsi="宋体" w:cs="宋体"/>
          <w:color w:val="000000"/>
          <w:sz w:val="24"/>
          <w:szCs w:val="20"/>
        </w:rPr>
        <w:t>（3）</w:t>
      </w:r>
      <w:r>
        <w:rPr>
          <w:rFonts w:hint="eastAsia" w:ascii="宋体" w:hAnsi="宋体" w:cs="宋体"/>
          <w:color w:val="000000"/>
          <w:sz w:val="24"/>
          <w:szCs w:val="20"/>
          <w:lang w:val="zh-CN"/>
        </w:rPr>
        <w:t>会务服务管理：核心防 “准备漏项、服务失标”，重点考核 “会前准备完整性、会中服务响应速度、会后收尾及时性、设备保障率”，需杜绝 “音响故障、茶水短缺、会场遗留垃圾”等。</w:t>
      </w:r>
    </w:p>
    <w:p w14:paraId="7CBF0577">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b/>
          <w:bCs/>
          <w:sz w:val="24"/>
          <w:szCs w:val="20"/>
          <w:lang w:val="zh-CN"/>
        </w:rPr>
      </w:pPr>
      <w:r>
        <w:rPr>
          <w:rFonts w:hint="eastAsia" w:ascii="宋体" w:hAnsi="宋体" w:cs="宋体"/>
          <w:b/>
          <w:bCs/>
          <w:sz w:val="24"/>
          <w:szCs w:val="20"/>
          <w:lang w:val="zh-CN"/>
        </w:rPr>
        <w:t>2.人员配备、培训与管理方案至少包括以下内容：</w:t>
      </w:r>
    </w:p>
    <w:p w14:paraId="0C79273A">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rPr>
      </w:pPr>
      <w:r>
        <w:rPr>
          <w:rFonts w:hint="eastAsia" w:ascii="宋体" w:hAnsi="宋体" w:cs="宋体"/>
          <w:sz w:val="24"/>
          <w:szCs w:val="20"/>
          <w:lang w:val="zh-CN"/>
        </w:rPr>
        <w:t>（1）</w:t>
      </w:r>
      <w:r>
        <w:rPr>
          <w:rFonts w:hint="eastAsia" w:ascii="宋体" w:hAnsi="宋体" w:cs="宋体"/>
          <w:sz w:val="24"/>
          <w:szCs w:val="20"/>
        </w:rPr>
        <w:t>员工配备：</w:t>
      </w:r>
      <w:r>
        <w:rPr>
          <w:rFonts w:hint="eastAsia" w:ascii="宋体" w:hAnsi="宋体" w:cs="宋体"/>
          <w:sz w:val="24"/>
          <w:szCs w:val="20"/>
          <w:lang w:val="zh-CN"/>
        </w:rPr>
        <w:t>投标方应针对本项目实际运行状况及服务要求，拟定配备员工人数,投标方负责提供岗位人员配备清单及排班表等。</w:t>
      </w:r>
    </w:p>
    <w:p w14:paraId="5445F2E9">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rPr>
      </w:pPr>
      <w:r>
        <w:rPr>
          <w:rFonts w:hint="eastAsia" w:ascii="宋体" w:hAnsi="宋体" w:cs="宋体"/>
          <w:sz w:val="24"/>
          <w:szCs w:val="20"/>
          <w:lang w:val="zh-CN"/>
        </w:rPr>
        <w:t>（</w:t>
      </w:r>
      <w:r>
        <w:rPr>
          <w:rFonts w:hint="eastAsia" w:ascii="宋体" w:hAnsi="宋体" w:cs="宋体"/>
          <w:sz w:val="24"/>
          <w:szCs w:val="20"/>
          <w:lang w:val="en-US" w:eastAsia="zh-CN"/>
        </w:rPr>
        <w:t>2</w:t>
      </w:r>
      <w:r>
        <w:rPr>
          <w:rFonts w:hint="eastAsia" w:ascii="宋体" w:hAnsi="宋体" w:cs="宋体"/>
          <w:sz w:val="24"/>
          <w:szCs w:val="20"/>
          <w:lang w:val="zh-CN"/>
        </w:rPr>
        <w:t>）</w:t>
      </w:r>
      <w:r>
        <w:rPr>
          <w:rFonts w:hint="eastAsia" w:ascii="宋体" w:hAnsi="宋体" w:cs="宋体"/>
          <w:sz w:val="24"/>
          <w:szCs w:val="20"/>
        </w:rPr>
        <w:t>培训与管理：</w:t>
      </w:r>
    </w:p>
    <w:p w14:paraId="3936BF82">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sz w:val="24"/>
          <w:szCs w:val="20"/>
          <w:lang w:val="zh-CN"/>
        </w:rPr>
      </w:pPr>
      <w:r>
        <w:rPr>
          <w:rFonts w:hint="eastAsia" w:ascii="宋体" w:hAnsi="宋体" w:cs="宋体"/>
          <w:sz w:val="24"/>
          <w:szCs w:val="20"/>
        </w:rPr>
        <w:t>1）</w:t>
      </w:r>
      <w:r>
        <w:rPr>
          <w:rFonts w:hint="eastAsia" w:ascii="宋体" w:hAnsi="宋体" w:cs="宋体"/>
          <w:sz w:val="24"/>
          <w:szCs w:val="20"/>
          <w:lang w:val="zh-CN"/>
        </w:rPr>
        <w:t>所有员工必须经过政审、岗前培训</w:t>
      </w:r>
      <w:r>
        <w:rPr>
          <w:rFonts w:hint="eastAsia" w:ascii="宋体" w:hAnsi="宋体" w:cs="宋体"/>
          <w:sz w:val="24"/>
          <w:szCs w:val="20"/>
        </w:rPr>
        <w:t>同时提供健康证明</w:t>
      </w:r>
      <w:r>
        <w:rPr>
          <w:rFonts w:hint="eastAsia" w:ascii="宋体" w:hAnsi="宋体" w:eastAsia="宋体" w:cs="宋体"/>
          <w:sz w:val="24"/>
          <w:szCs w:val="20"/>
          <w:lang w:val="zh-CN" w:eastAsia="zh-CN"/>
        </w:rPr>
        <w:t>、心理健康筛查结论</w:t>
      </w:r>
      <w:r>
        <w:rPr>
          <w:rFonts w:hint="eastAsia" w:ascii="宋体" w:hAnsi="宋体" w:eastAsia="宋体" w:cs="宋体"/>
          <w:sz w:val="24"/>
          <w:szCs w:val="20"/>
          <w:lang w:val="zh-CN"/>
        </w:rPr>
        <w:t>，培训合格方能入职，物业员工需具有垃圾分类、节能环保等意识。</w:t>
      </w:r>
    </w:p>
    <w:p w14:paraId="1FAB910B">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lang w:val="zh-CN"/>
        </w:rPr>
      </w:pPr>
      <w:r>
        <w:rPr>
          <w:rFonts w:hint="eastAsia" w:ascii="宋体" w:hAnsi="宋体" w:cs="宋体"/>
          <w:sz w:val="24"/>
          <w:szCs w:val="20"/>
        </w:rPr>
        <w:t>2）</w:t>
      </w:r>
      <w:r>
        <w:rPr>
          <w:rFonts w:hint="eastAsia" w:ascii="宋体" w:hAnsi="宋体" w:cs="宋体"/>
          <w:sz w:val="24"/>
          <w:szCs w:val="20"/>
          <w:lang w:val="zh-CN"/>
        </w:rPr>
        <w:t>投标人</w:t>
      </w:r>
      <w:r>
        <w:rPr>
          <w:rFonts w:hint="eastAsia" w:ascii="宋体" w:hAnsi="宋体" w:cs="宋体"/>
          <w:sz w:val="24"/>
          <w:szCs w:val="20"/>
        </w:rPr>
        <w:t>须有</w:t>
      </w:r>
      <w:r>
        <w:rPr>
          <w:rFonts w:hint="eastAsia" w:ascii="宋体" w:hAnsi="宋体" w:cs="宋体"/>
          <w:sz w:val="24"/>
          <w:szCs w:val="20"/>
          <w:lang w:val="zh-CN"/>
        </w:rPr>
        <w:t>岗前培训，服务人员100%经过岗前或在岗培训，员工上岗培训必须有案可查、资料完备，同时每季度至少开展1次法律法规、岗位技能、职业素质、服务知识、应急处置、客户文化、绿色节能环保等教育培训，并进行 适当形式的考核。 </w:t>
      </w:r>
    </w:p>
    <w:p w14:paraId="18959DFA">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lang w:val="zh-CN"/>
        </w:rPr>
      </w:pPr>
      <w:r>
        <w:rPr>
          <w:rFonts w:hint="eastAsia" w:ascii="宋体" w:hAnsi="宋体" w:cs="宋体"/>
          <w:sz w:val="24"/>
          <w:szCs w:val="20"/>
        </w:rPr>
        <w:t>3）</w:t>
      </w:r>
      <w:r>
        <w:rPr>
          <w:rFonts w:hint="eastAsia" w:ascii="宋体" w:hAnsi="宋体" w:cs="宋体"/>
          <w:sz w:val="24"/>
          <w:szCs w:val="20"/>
          <w:lang w:val="zh-CN"/>
        </w:rPr>
        <w:t>岗位制度通用要求</w:t>
      </w:r>
    </w:p>
    <w:p w14:paraId="01B486E6">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lang w:val="zh-CN"/>
        </w:rPr>
      </w:pPr>
      <w:r>
        <w:rPr>
          <w:rFonts w:hint="eastAsia" w:ascii="宋体" w:hAnsi="宋体" w:cs="宋体"/>
          <w:sz w:val="24"/>
          <w:szCs w:val="20"/>
          <w:lang w:val="zh-CN"/>
        </w:rPr>
        <w:t>岗前培训：新员工需完成岗位制度专项培训（不少于 4 小时），考核合格（如模拟访客登记、学生出入核验）方可上岗；</w:t>
      </w:r>
    </w:p>
    <w:p w14:paraId="0659F532">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lang w:val="zh-CN"/>
        </w:rPr>
      </w:pPr>
      <w:r>
        <w:rPr>
          <w:rFonts w:hint="eastAsia" w:ascii="宋体" w:hAnsi="宋体" w:cs="宋体"/>
          <w:sz w:val="24"/>
          <w:szCs w:val="20"/>
          <w:lang w:val="zh-CN"/>
        </w:rPr>
        <w:t>每日晨会：各岗位每日上岗前开 10 分钟晨会，重申制度重点（如 “今日需重点核查校外施工人员证件”），通报前日违规案例；</w:t>
      </w:r>
    </w:p>
    <w:p w14:paraId="02181EFC">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lang w:val="zh-CN"/>
        </w:rPr>
      </w:pPr>
      <w:r>
        <w:rPr>
          <w:rFonts w:hint="eastAsia" w:ascii="宋体" w:hAnsi="宋体" w:cs="宋体"/>
          <w:sz w:val="24"/>
          <w:szCs w:val="20"/>
          <w:lang w:val="zh-CN"/>
        </w:rPr>
        <w:t>离岗交接：岗位人员换班需填写《岗位交接记录表》，注明 “未处理事项”（如 “某访客等待对接人确认”），避免工作断档。</w:t>
      </w:r>
    </w:p>
    <w:p w14:paraId="58AA29AA">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b/>
          <w:bCs/>
          <w:sz w:val="24"/>
          <w:szCs w:val="20"/>
          <w:lang w:val="zh-CN"/>
        </w:rPr>
      </w:pPr>
      <w:r>
        <w:rPr>
          <w:rFonts w:hint="eastAsia" w:ascii="宋体" w:hAnsi="宋体" w:cs="宋体"/>
          <w:b/>
          <w:bCs/>
          <w:sz w:val="24"/>
          <w:szCs w:val="20"/>
          <w:lang w:val="zh-CN"/>
        </w:rPr>
        <w:t>3.制度的建立方案至少包括以下内容：</w:t>
      </w:r>
    </w:p>
    <w:p w14:paraId="6B8097A8">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lang w:val="zh-CN"/>
        </w:rPr>
      </w:pPr>
      <w:r>
        <w:rPr>
          <w:rFonts w:hint="eastAsia" w:ascii="宋体" w:hAnsi="宋体" w:cs="宋体"/>
          <w:sz w:val="24"/>
          <w:szCs w:val="20"/>
          <w:lang w:val="zh-CN"/>
        </w:rPr>
        <w:t>（1）</w:t>
      </w:r>
      <w:r>
        <w:rPr>
          <w:rFonts w:hint="eastAsia" w:ascii="宋体" w:hAnsi="宋体" w:cs="宋体"/>
          <w:sz w:val="24"/>
          <w:szCs w:val="20"/>
        </w:rPr>
        <w:t>管理制度：</w:t>
      </w:r>
      <w:r>
        <w:rPr>
          <w:rFonts w:hint="eastAsia" w:ascii="宋体" w:hAnsi="宋体" w:cs="宋体"/>
          <w:sz w:val="24"/>
          <w:szCs w:val="20"/>
          <w:lang w:val="zh-CN"/>
        </w:rPr>
        <w:t>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 w:val="24"/>
          <w:szCs w:val="20"/>
        </w:rPr>
        <w:t>物业</w:t>
      </w:r>
      <w:r>
        <w:rPr>
          <w:rFonts w:hint="eastAsia" w:ascii="宋体" w:hAnsi="宋体" w:cs="宋体"/>
          <w:sz w:val="24"/>
          <w:szCs w:val="20"/>
          <w:lang w:val="zh-CN"/>
        </w:rPr>
        <w:t>管理动作有章可循、有据可查。</w:t>
      </w:r>
    </w:p>
    <w:p w14:paraId="7CC2E35F">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lang w:val="zh-CN"/>
        </w:rPr>
      </w:pPr>
      <w:r>
        <w:rPr>
          <w:rFonts w:hint="eastAsia" w:ascii="宋体" w:hAnsi="宋体" w:cs="宋体"/>
          <w:sz w:val="24"/>
          <w:szCs w:val="20"/>
          <w:lang w:val="zh-CN"/>
        </w:rPr>
        <w:t>（2）</w:t>
      </w:r>
      <w:r>
        <w:rPr>
          <w:rFonts w:hint="eastAsia" w:ascii="宋体" w:hAnsi="宋体" w:cs="宋体"/>
          <w:sz w:val="24"/>
          <w:szCs w:val="20"/>
        </w:rPr>
        <w:t>岗位管理制度：</w:t>
      </w:r>
      <w:r>
        <w:rPr>
          <w:rFonts w:hint="eastAsia" w:ascii="宋体" w:hAnsi="宋体" w:cs="宋体"/>
          <w:sz w:val="24"/>
          <w:szCs w:val="20"/>
          <w:lang w:val="zh-CN"/>
        </w:rPr>
        <w:t>建立健全各项岗位管理制度，要实现 “岗位有规范”，需以 “岗位定责明权” 为核心，搭建覆盖全岗位的管理制度体系，确保制度落地、管控见效。</w:t>
      </w:r>
    </w:p>
    <w:p w14:paraId="078815E1">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lang w:val="zh-CN"/>
        </w:rPr>
      </w:pPr>
      <w:r>
        <w:rPr>
          <w:rFonts w:hint="eastAsia" w:ascii="宋体" w:hAnsi="宋体" w:cs="宋体"/>
          <w:sz w:val="24"/>
          <w:szCs w:val="20"/>
          <w:lang w:val="zh-CN"/>
        </w:rPr>
        <w:t>（</w:t>
      </w:r>
      <w:r>
        <w:rPr>
          <w:rFonts w:hint="eastAsia" w:ascii="宋体" w:hAnsi="宋体" w:cs="宋体"/>
          <w:sz w:val="24"/>
          <w:szCs w:val="20"/>
        </w:rPr>
        <w:t>3</w:t>
      </w:r>
      <w:r>
        <w:rPr>
          <w:rFonts w:hint="eastAsia" w:ascii="宋体" w:hAnsi="宋体" w:cs="宋体"/>
          <w:sz w:val="24"/>
          <w:szCs w:val="20"/>
          <w:lang w:val="zh-CN"/>
        </w:rPr>
        <w:t>）</w:t>
      </w:r>
      <w:r>
        <w:rPr>
          <w:rFonts w:hint="eastAsia" w:ascii="宋体" w:hAnsi="宋体" w:cs="宋体"/>
          <w:sz w:val="24"/>
          <w:szCs w:val="20"/>
        </w:rPr>
        <w:t>人员使用制度：</w:t>
      </w:r>
      <w:r>
        <w:rPr>
          <w:rFonts w:hint="eastAsia" w:ascii="宋体" w:hAnsi="宋体" w:cs="宋体"/>
          <w:sz w:val="24"/>
          <w:szCs w:val="20"/>
          <w:lang w:val="zh-CN"/>
        </w:rPr>
        <w:t>建立健全人员使用政审和报告制度。</w:t>
      </w:r>
      <w:r>
        <w:rPr>
          <w:rFonts w:hint="eastAsia" w:ascii="宋体" w:hAnsi="宋体" w:cs="宋体"/>
          <w:sz w:val="24"/>
          <w:szCs w:val="20"/>
        </w:rPr>
        <w:t>至少包含</w:t>
      </w:r>
      <w:r>
        <w:rPr>
          <w:rFonts w:hint="eastAsia" w:ascii="宋体" w:hAnsi="宋体" w:cs="宋体"/>
          <w:sz w:val="24"/>
          <w:szCs w:val="20"/>
          <w:lang w:val="zh-CN"/>
        </w:rPr>
        <w:t>员工招聘审查、培训办法，岗位职责、人员分工任务表等内部管理考核台账，资料健全</w:t>
      </w:r>
      <w:r>
        <w:rPr>
          <w:rFonts w:hint="eastAsia" w:ascii="宋体" w:hAnsi="宋体" w:cs="宋体"/>
          <w:sz w:val="24"/>
          <w:szCs w:val="20"/>
        </w:rPr>
        <w:t>等</w:t>
      </w:r>
      <w:r>
        <w:rPr>
          <w:rFonts w:hint="eastAsia" w:ascii="宋体" w:hAnsi="宋体" w:cs="宋体"/>
          <w:sz w:val="24"/>
          <w:szCs w:val="20"/>
          <w:lang w:val="zh-CN"/>
        </w:rPr>
        <w:t>。</w:t>
      </w:r>
    </w:p>
    <w:p w14:paraId="72A69A93">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lang w:val="zh-CN"/>
        </w:rPr>
      </w:pPr>
      <w:r>
        <w:rPr>
          <w:rFonts w:hint="eastAsia" w:ascii="宋体" w:hAnsi="宋体" w:cs="宋体"/>
          <w:sz w:val="24"/>
          <w:szCs w:val="20"/>
          <w:lang w:val="zh-CN"/>
        </w:rPr>
        <w:t>按照 “谁用工、谁负责” 原则，物业企业作为政审责任主体，设立由人力资源部、安全管理部组成的政审工作组；校园甲方（学校）安全管理部门对政审过程进行监督复核，核查政审结果。</w:t>
      </w:r>
    </w:p>
    <w:p w14:paraId="6C1C057F">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lang w:val="zh-CN"/>
        </w:rPr>
      </w:pPr>
      <w:r>
        <w:rPr>
          <w:rFonts w:hint="eastAsia" w:ascii="宋体" w:hAnsi="宋体" w:cs="宋体"/>
          <w:sz w:val="24"/>
          <w:szCs w:val="20"/>
          <w:lang w:val="en-US" w:eastAsia="zh-CN"/>
        </w:rPr>
        <w:t>1）</w:t>
      </w:r>
      <w:r>
        <w:rPr>
          <w:rFonts w:hint="eastAsia" w:ascii="宋体" w:hAnsi="宋体" w:cs="宋体"/>
          <w:sz w:val="24"/>
          <w:szCs w:val="20"/>
          <w:lang w:val="zh-CN"/>
        </w:rPr>
        <w:t>政审内容与标准</w:t>
      </w:r>
    </w:p>
    <w:p w14:paraId="6CA92168">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lang w:val="zh-CN"/>
        </w:rPr>
      </w:pPr>
      <w:r>
        <w:rPr>
          <w:rFonts w:hint="eastAsia" w:ascii="宋体" w:hAnsi="宋体" w:eastAsia="宋体" w:cs="宋体"/>
          <w:sz w:val="24"/>
          <w:szCs w:val="20"/>
          <w:lang w:val="zh-CN"/>
        </w:rPr>
        <w:t>①</w:t>
      </w:r>
      <w:r>
        <w:rPr>
          <w:rFonts w:hint="eastAsia" w:ascii="宋体" w:hAnsi="宋体" w:cs="宋体"/>
          <w:sz w:val="24"/>
          <w:szCs w:val="20"/>
          <w:lang w:val="zh-CN"/>
        </w:rPr>
        <w:t>. 通用审查内容（所有岗位）</w:t>
      </w:r>
    </w:p>
    <w:p w14:paraId="0BD8EB13">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lang w:val="zh-CN"/>
        </w:rPr>
      </w:pPr>
      <w:r>
        <w:rPr>
          <w:rFonts w:hint="eastAsia" w:ascii="宋体" w:hAnsi="宋体" w:cs="宋体"/>
          <w:sz w:val="24"/>
          <w:szCs w:val="20"/>
          <w:lang w:val="zh-CN"/>
        </w:rPr>
        <w:t>身份资质核查：确认年满 18 周岁、中国公民身份真实有效，学历、职业资格证书真实合规，无伪造或隐瞒情况。</w:t>
      </w:r>
    </w:p>
    <w:p w14:paraId="25BFDFEC">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lang w:val="zh-CN"/>
        </w:rPr>
      </w:pPr>
      <w:r>
        <w:rPr>
          <w:rFonts w:hint="eastAsia" w:ascii="宋体" w:hAnsi="宋体" w:cs="宋体"/>
          <w:sz w:val="24"/>
          <w:szCs w:val="20"/>
          <w:lang w:val="zh-CN"/>
        </w:rPr>
        <w:t>违法犯罪记录审查：通过公安机关查询，确认无故意犯罪记录，无收容教育、强制隔离戒毒、行政拘留等情形。</w:t>
      </w:r>
    </w:p>
    <w:p w14:paraId="3248AD02">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lang w:val="zh-CN"/>
        </w:rPr>
      </w:pPr>
      <w:r>
        <w:rPr>
          <w:rFonts w:hint="eastAsia" w:ascii="宋体" w:hAnsi="宋体" w:cs="宋体"/>
          <w:sz w:val="24"/>
          <w:szCs w:val="20"/>
          <w:lang w:val="zh-CN"/>
        </w:rPr>
        <w:t>道德品行审查：通过原工作单位、社区居委会核实，无盗窃、诈骗、虐待等不良行为记录，无严重违反职业道德被辞退情况。</w:t>
      </w:r>
    </w:p>
    <w:p w14:paraId="0702FE0E">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sz w:val="24"/>
          <w:szCs w:val="20"/>
          <w:lang w:val="zh-CN"/>
        </w:rPr>
      </w:pPr>
      <w:r>
        <w:rPr>
          <w:rFonts w:hint="eastAsia" w:ascii="宋体" w:hAnsi="宋体" w:cs="宋体"/>
          <w:sz w:val="24"/>
          <w:szCs w:val="20"/>
          <w:lang w:val="zh-CN"/>
        </w:rPr>
        <w:t>健康状况审查：提供有效期内健康证明，无影响岗位履职的传染病或精神疾病史</w:t>
      </w:r>
      <w:r>
        <w:rPr>
          <w:rFonts w:hint="eastAsia" w:ascii="宋体" w:hAnsi="宋体" w:eastAsia="宋体" w:cs="宋体"/>
          <w:sz w:val="24"/>
          <w:szCs w:val="20"/>
          <w:lang w:val="zh-CN"/>
        </w:rPr>
        <w:t>，进行心理健康排查。</w:t>
      </w:r>
    </w:p>
    <w:p w14:paraId="033E344D">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sz w:val="24"/>
          <w:szCs w:val="20"/>
          <w:lang w:val="zh-CN"/>
        </w:rPr>
      </w:pPr>
      <w:r>
        <w:rPr>
          <w:rFonts w:hint="eastAsia" w:ascii="宋体" w:hAnsi="宋体" w:eastAsia="宋体" w:cs="宋体"/>
          <w:sz w:val="24"/>
          <w:szCs w:val="20"/>
          <w:lang w:val="zh-CN"/>
        </w:rPr>
        <w:t>②核心岗位专项审查内容</w:t>
      </w:r>
    </w:p>
    <w:p w14:paraId="1B3E6E58">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lang w:val="zh-CN"/>
        </w:rPr>
      </w:pPr>
      <w:r>
        <w:rPr>
          <w:rFonts w:hint="eastAsia" w:ascii="宋体" w:hAnsi="宋体" w:cs="宋体"/>
          <w:sz w:val="24"/>
          <w:szCs w:val="20"/>
          <w:lang w:val="zh-CN"/>
        </w:rPr>
        <w:t>在通用审查基础上，增加以下内容：</w:t>
      </w:r>
    </w:p>
    <w:p w14:paraId="6F8FE2B5">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lang w:val="zh-CN"/>
        </w:rPr>
      </w:pPr>
      <w:r>
        <w:rPr>
          <w:rFonts w:hint="eastAsia" w:ascii="宋体" w:hAnsi="宋体" w:cs="宋体"/>
          <w:sz w:val="24"/>
          <w:szCs w:val="20"/>
          <w:lang w:val="zh-CN"/>
        </w:rPr>
        <w:t>政治素质审查：核查是否拥护中国共产党领导、遵守国家法律法规，无涉恐、涉邪教等不良关联记录。</w:t>
      </w:r>
    </w:p>
    <w:p w14:paraId="1C43CC59">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lang w:val="zh-CN"/>
        </w:rPr>
      </w:pPr>
      <w:r>
        <w:rPr>
          <w:rFonts w:hint="eastAsia" w:ascii="宋体" w:hAnsi="宋体" w:cs="宋体"/>
          <w:sz w:val="24"/>
          <w:szCs w:val="20"/>
          <w:lang w:val="zh-CN"/>
        </w:rPr>
        <w:t>社会关系审查：主要社会关系成员无危害国家安全或严重违法犯罪行为。</w:t>
      </w:r>
    </w:p>
    <w:p w14:paraId="445F97BD">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lang w:val="zh-CN"/>
        </w:rPr>
      </w:pPr>
      <w:r>
        <w:rPr>
          <w:rFonts w:hint="eastAsia" w:ascii="宋体" w:hAnsi="宋体" w:cs="宋体"/>
          <w:sz w:val="24"/>
          <w:szCs w:val="20"/>
          <w:lang w:val="zh-CN"/>
        </w:rPr>
        <w:t>职业背景深度核查：近 3 年工作经历逐一核实，重点排查安全失职、信息泄露等职业污点。</w:t>
      </w:r>
    </w:p>
    <w:p w14:paraId="4880E4FB">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ascii="宋体" w:hAnsi="宋体" w:cs="宋体"/>
          <w:sz w:val="24"/>
          <w:szCs w:val="20"/>
          <w:lang w:val="zh-CN"/>
        </w:rPr>
      </w:pPr>
      <w:r>
        <w:rPr>
          <w:rFonts w:hint="eastAsia" w:ascii="宋体" w:hAnsi="宋体" w:eastAsia="宋体" w:cs="宋体"/>
          <w:sz w:val="24"/>
          <w:szCs w:val="20"/>
          <w:lang w:val="zh-CN"/>
        </w:rPr>
        <w:t>③</w:t>
      </w:r>
      <w:r>
        <w:rPr>
          <w:rFonts w:hint="eastAsia" w:ascii="宋体" w:hAnsi="宋体" w:cs="宋体"/>
          <w:sz w:val="24"/>
          <w:szCs w:val="20"/>
          <w:lang w:val="zh-CN"/>
        </w:rPr>
        <w:t>政审结果判定标准</w:t>
      </w:r>
    </w:p>
    <w:tbl>
      <w:tblPr>
        <w:tblStyle w:val="29"/>
        <w:tblW w:w="9178" w:type="dxa"/>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top w:w="90" w:type="dxa"/>
          <w:left w:w="135" w:type="dxa"/>
          <w:bottom w:w="90" w:type="dxa"/>
          <w:right w:w="135" w:type="dxa"/>
        </w:tblCellMar>
      </w:tblPr>
      <w:tblGrid>
        <w:gridCol w:w="1498"/>
        <w:gridCol w:w="4480"/>
        <w:gridCol w:w="3200"/>
      </w:tblGrid>
      <w:tr w14:paraId="44C652BA">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rPr>
          <w:trHeight w:val="669" w:hRule="atLeast"/>
          <w:tblHeader/>
        </w:trPr>
        <w:tc>
          <w:tcPr>
            <w:tcW w:w="1498" w:type="dxa"/>
            <w:tcBorders>
              <w:top w:val="single" w:color="000000" w:sz="2" w:space="0"/>
              <w:bottom w:val="single" w:color="000000" w:sz="2" w:space="0"/>
              <w:right w:val="single" w:color="000000" w:sz="2" w:space="0"/>
            </w:tcBorders>
            <w:shd w:val="clear" w:color="auto" w:fill="F2F2F2"/>
            <w:noWrap w:val="0"/>
            <w:tcMar>
              <w:top w:w="90" w:type="dxa"/>
              <w:left w:w="135" w:type="dxa"/>
              <w:bottom w:w="90" w:type="dxa"/>
              <w:right w:w="135" w:type="dxa"/>
            </w:tcMar>
            <w:vAlign w:val="center"/>
          </w:tcPr>
          <w:p w14:paraId="40094C16">
            <w:pPr>
              <w:keepNext w:val="0"/>
              <w:keepLines w:val="0"/>
              <w:pageBreakBefore w:val="0"/>
              <w:widowControl/>
              <w:kinsoku/>
              <w:wordWrap/>
              <w:overflowPunct/>
              <w:topLinePunct w:val="0"/>
              <w:autoSpaceDE/>
              <w:autoSpaceDN/>
              <w:bidi w:val="0"/>
              <w:adjustRightInd/>
              <w:snapToGrid/>
              <w:spacing w:line="360" w:lineRule="exact"/>
              <w:ind w:firstLine="0"/>
              <w:jc w:val="center"/>
              <w:textAlignment w:val="auto"/>
              <w:rPr>
                <w:rFonts w:ascii="宋体" w:hAnsi="宋体" w:cs="宋体"/>
                <w:sz w:val="24"/>
                <w:szCs w:val="20"/>
              </w:rPr>
            </w:pPr>
            <w:r>
              <w:rPr>
                <w:rFonts w:hint="eastAsia" w:ascii="宋体" w:hAnsi="宋体" w:cs="宋体"/>
                <w:sz w:val="24"/>
                <w:szCs w:val="20"/>
              </w:rPr>
              <w:t>等 级</w:t>
            </w:r>
          </w:p>
        </w:tc>
        <w:tc>
          <w:tcPr>
            <w:tcW w:w="4480" w:type="dxa"/>
            <w:tcBorders>
              <w:top w:val="single" w:color="000000" w:sz="2" w:space="0"/>
              <w:left w:val="single" w:color="000000" w:sz="2" w:space="0"/>
              <w:bottom w:val="single" w:color="000000" w:sz="2" w:space="0"/>
              <w:right w:val="single" w:color="000000" w:sz="2" w:space="0"/>
            </w:tcBorders>
            <w:shd w:val="clear" w:color="auto" w:fill="F2F2F2"/>
            <w:noWrap w:val="0"/>
            <w:tcMar>
              <w:top w:w="90" w:type="dxa"/>
              <w:left w:w="135" w:type="dxa"/>
              <w:bottom w:w="90" w:type="dxa"/>
              <w:right w:w="135" w:type="dxa"/>
            </w:tcMar>
            <w:vAlign w:val="center"/>
          </w:tcPr>
          <w:p w14:paraId="2DBDC07D">
            <w:pPr>
              <w:keepNext w:val="0"/>
              <w:keepLines w:val="0"/>
              <w:pageBreakBefore w:val="0"/>
              <w:widowControl/>
              <w:kinsoku/>
              <w:wordWrap/>
              <w:overflowPunct/>
              <w:topLinePunct w:val="0"/>
              <w:autoSpaceDE/>
              <w:autoSpaceDN/>
              <w:bidi w:val="0"/>
              <w:adjustRightInd/>
              <w:snapToGrid/>
              <w:spacing w:line="360" w:lineRule="exact"/>
              <w:ind w:firstLine="0"/>
              <w:jc w:val="center"/>
              <w:textAlignment w:val="auto"/>
              <w:rPr>
                <w:rFonts w:ascii="宋体" w:hAnsi="宋体" w:cs="宋体"/>
                <w:sz w:val="24"/>
                <w:szCs w:val="20"/>
                <w:lang w:val="zh-CN"/>
              </w:rPr>
            </w:pPr>
            <w:r>
              <w:rPr>
                <w:rFonts w:hint="eastAsia" w:ascii="宋体" w:hAnsi="宋体" w:cs="宋体"/>
                <w:sz w:val="24"/>
                <w:szCs w:val="20"/>
                <w:lang w:val="zh-CN"/>
              </w:rPr>
              <w:t>适用情形</w:t>
            </w:r>
          </w:p>
        </w:tc>
        <w:tc>
          <w:tcPr>
            <w:tcW w:w="3200" w:type="dxa"/>
            <w:tcBorders>
              <w:top w:val="single" w:color="000000" w:sz="2" w:space="0"/>
              <w:left w:val="single" w:color="000000" w:sz="2" w:space="0"/>
              <w:bottom w:val="single" w:color="000000" w:sz="2" w:space="0"/>
            </w:tcBorders>
            <w:shd w:val="clear" w:color="auto" w:fill="F2F2F2"/>
            <w:noWrap w:val="0"/>
            <w:tcMar>
              <w:top w:w="90" w:type="dxa"/>
              <w:left w:w="135" w:type="dxa"/>
              <w:bottom w:w="90" w:type="dxa"/>
              <w:right w:w="135" w:type="dxa"/>
            </w:tcMar>
            <w:vAlign w:val="center"/>
          </w:tcPr>
          <w:p w14:paraId="3DAC2E2E">
            <w:pPr>
              <w:keepNext w:val="0"/>
              <w:keepLines w:val="0"/>
              <w:pageBreakBefore w:val="0"/>
              <w:widowControl/>
              <w:kinsoku/>
              <w:wordWrap/>
              <w:overflowPunct/>
              <w:topLinePunct w:val="0"/>
              <w:autoSpaceDE/>
              <w:autoSpaceDN/>
              <w:bidi w:val="0"/>
              <w:adjustRightInd/>
              <w:snapToGrid/>
              <w:spacing w:line="360" w:lineRule="exact"/>
              <w:ind w:firstLine="0"/>
              <w:jc w:val="center"/>
              <w:textAlignment w:val="auto"/>
              <w:rPr>
                <w:rFonts w:ascii="宋体" w:hAnsi="宋体" w:cs="宋体"/>
                <w:sz w:val="24"/>
                <w:szCs w:val="20"/>
                <w:lang w:val="zh-CN"/>
              </w:rPr>
            </w:pPr>
            <w:r>
              <w:rPr>
                <w:rFonts w:hint="eastAsia" w:ascii="宋体" w:hAnsi="宋体" w:cs="宋体"/>
                <w:sz w:val="24"/>
                <w:szCs w:val="20"/>
                <w:lang w:val="zh-CN"/>
              </w:rPr>
              <w:t>处理方式</w:t>
            </w:r>
          </w:p>
        </w:tc>
      </w:tr>
      <w:tr w14:paraId="097210AB">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rPr>
          <w:trHeight w:val="1002" w:hRule="atLeast"/>
        </w:trPr>
        <w:tc>
          <w:tcPr>
            <w:tcW w:w="1498" w:type="dxa"/>
            <w:tcBorders>
              <w:top w:val="single" w:color="000000" w:sz="2" w:space="0"/>
              <w:bottom w:val="single" w:color="000000" w:sz="2" w:space="0"/>
              <w:right w:val="single" w:color="000000" w:sz="2" w:space="0"/>
            </w:tcBorders>
            <w:noWrap w:val="0"/>
            <w:tcMar>
              <w:top w:w="90" w:type="dxa"/>
              <w:left w:w="135" w:type="dxa"/>
              <w:bottom w:w="90" w:type="dxa"/>
              <w:right w:w="135" w:type="dxa"/>
            </w:tcMar>
            <w:vAlign w:val="center"/>
          </w:tcPr>
          <w:p w14:paraId="1A8FB100">
            <w:pPr>
              <w:keepNext w:val="0"/>
              <w:keepLines w:val="0"/>
              <w:pageBreakBefore w:val="0"/>
              <w:widowControl/>
              <w:kinsoku/>
              <w:wordWrap/>
              <w:overflowPunct/>
              <w:topLinePunct w:val="0"/>
              <w:autoSpaceDE/>
              <w:autoSpaceDN/>
              <w:bidi w:val="0"/>
              <w:adjustRightInd/>
              <w:snapToGrid/>
              <w:spacing w:line="360" w:lineRule="exact"/>
              <w:ind w:firstLine="0"/>
              <w:jc w:val="center"/>
              <w:textAlignment w:val="auto"/>
              <w:rPr>
                <w:rFonts w:ascii="宋体" w:hAnsi="宋体" w:cs="宋体"/>
                <w:sz w:val="24"/>
                <w:szCs w:val="20"/>
                <w:lang w:val="zh-CN"/>
              </w:rPr>
            </w:pPr>
            <w:r>
              <w:rPr>
                <w:rFonts w:hint="eastAsia" w:ascii="宋体" w:hAnsi="宋体" w:cs="宋体"/>
                <w:sz w:val="24"/>
                <w:szCs w:val="20"/>
                <w:lang w:val="zh-CN"/>
              </w:rPr>
              <w:t>合格</w:t>
            </w:r>
          </w:p>
        </w:tc>
        <w:tc>
          <w:tcPr>
            <w:tcW w:w="4480" w:type="dxa"/>
            <w:tcBorders>
              <w:top w:val="single" w:color="000000" w:sz="2" w:space="0"/>
              <w:left w:val="single" w:color="000000" w:sz="2" w:space="0"/>
              <w:bottom w:val="single" w:color="000000" w:sz="2" w:space="0"/>
              <w:right w:val="single" w:color="000000" w:sz="2" w:space="0"/>
            </w:tcBorders>
            <w:noWrap w:val="0"/>
            <w:tcMar>
              <w:top w:w="90" w:type="dxa"/>
              <w:left w:w="135" w:type="dxa"/>
              <w:bottom w:w="90" w:type="dxa"/>
              <w:right w:w="135" w:type="dxa"/>
            </w:tcMar>
            <w:vAlign w:val="center"/>
          </w:tcPr>
          <w:p w14:paraId="122007F8">
            <w:pPr>
              <w:keepNext w:val="0"/>
              <w:keepLines w:val="0"/>
              <w:pageBreakBefore w:val="0"/>
              <w:widowControl/>
              <w:kinsoku/>
              <w:wordWrap/>
              <w:overflowPunct/>
              <w:topLinePunct w:val="0"/>
              <w:autoSpaceDE/>
              <w:autoSpaceDN/>
              <w:bidi w:val="0"/>
              <w:adjustRightInd/>
              <w:snapToGrid/>
              <w:spacing w:line="360" w:lineRule="exact"/>
              <w:ind w:firstLine="0"/>
              <w:jc w:val="left"/>
              <w:textAlignment w:val="auto"/>
              <w:rPr>
                <w:rFonts w:ascii="宋体" w:hAnsi="宋体" w:cs="宋体"/>
                <w:color w:val="000000"/>
                <w:sz w:val="24"/>
                <w:szCs w:val="20"/>
                <w:lang w:val="zh-CN"/>
              </w:rPr>
            </w:pPr>
            <w:r>
              <w:rPr>
                <w:rFonts w:hint="eastAsia" w:ascii="宋体" w:hAnsi="宋体" w:cs="宋体"/>
                <w:color w:val="000000"/>
                <w:sz w:val="24"/>
                <w:szCs w:val="20"/>
                <w:lang w:val="zh-CN"/>
              </w:rPr>
              <w:t>符合通用审查全部要求，核心岗位同时满足专项审查标准，无任何负面记录。</w:t>
            </w:r>
          </w:p>
        </w:tc>
        <w:tc>
          <w:tcPr>
            <w:tcW w:w="3200" w:type="dxa"/>
            <w:tcBorders>
              <w:top w:val="single" w:color="000000" w:sz="2" w:space="0"/>
              <w:left w:val="single" w:color="000000" w:sz="2" w:space="0"/>
              <w:bottom w:val="single" w:color="000000" w:sz="2" w:space="0"/>
            </w:tcBorders>
            <w:noWrap w:val="0"/>
            <w:tcMar>
              <w:top w:w="90" w:type="dxa"/>
              <w:left w:w="135" w:type="dxa"/>
              <w:bottom w:w="90" w:type="dxa"/>
              <w:right w:w="135" w:type="dxa"/>
            </w:tcMar>
            <w:vAlign w:val="center"/>
          </w:tcPr>
          <w:p w14:paraId="6D528FCA">
            <w:pPr>
              <w:keepNext w:val="0"/>
              <w:keepLines w:val="0"/>
              <w:pageBreakBefore w:val="0"/>
              <w:widowControl/>
              <w:kinsoku/>
              <w:wordWrap/>
              <w:overflowPunct/>
              <w:topLinePunct w:val="0"/>
              <w:autoSpaceDE/>
              <w:autoSpaceDN/>
              <w:bidi w:val="0"/>
              <w:adjustRightInd/>
              <w:snapToGrid/>
              <w:spacing w:line="360" w:lineRule="exact"/>
              <w:ind w:firstLine="0"/>
              <w:jc w:val="left"/>
              <w:textAlignment w:val="auto"/>
              <w:rPr>
                <w:rFonts w:ascii="宋体" w:hAnsi="宋体" w:cs="宋体"/>
                <w:color w:val="000000"/>
                <w:sz w:val="24"/>
                <w:szCs w:val="20"/>
                <w:lang w:val="zh-CN"/>
              </w:rPr>
            </w:pPr>
            <w:r>
              <w:rPr>
                <w:rFonts w:hint="eastAsia" w:ascii="宋体" w:hAnsi="宋体" w:cs="宋体"/>
                <w:color w:val="000000"/>
                <w:sz w:val="24"/>
                <w:szCs w:val="20"/>
                <w:lang w:val="zh-CN"/>
              </w:rPr>
              <w:t>准予录用，政审材料存档。</w:t>
            </w:r>
          </w:p>
        </w:tc>
      </w:tr>
      <w:tr w14:paraId="1630F75E">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rPr>
          <w:trHeight w:val="1002" w:hRule="atLeast"/>
        </w:trPr>
        <w:tc>
          <w:tcPr>
            <w:tcW w:w="1498" w:type="dxa"/>
            <w:tcBorders>
              <w:top w:val="single" w:color="000000" w:sz="2" w:space="0"/>
              <w:bottom w:val="single" w:color="000000" w:sz="2" w:space="0"/>
              <w:right w:val="single" w:color="000000" w:sz="2" w:space="0"/>
            </w:tcBorders>
            <w:noWrap w:val="0"/>
            <w:tcMar>
              <w:top w:w="90" w:type="dxa"/>
              <w:left w:w="135" w:type="dxa"/>
              <w:bottom w:w="90" w:type="dxa"/>
              <w:right w:w="135" w:type="dxa"/>
            </w:tcMar>
            <w:vAlign w:val="center"/>
          </w:tcPr>
          <w:p w14:paraId="03BCF47E">
            <w:pPr>
              <w:keepNext w:val="0"/>
              <w:keepLines w:val="0"/>
              <w:pageBreakBefore w:val="0"/>
              <w:widowControl/>
              <w:kinsoku/>
              <w:wordWrap/>
              <w:overflowPunct/>
              <w:topLinePunct w:val="0"/>
              <w:autoSpaceDE/>
              <w:autoSpaceDN/>
              <w:bidi w:val="0"/>
              <w:adjustRightInd/>
              <w:snapToGrid/>
              <w:spacing w:line="360" w:lineRule="exact"/>
              <w:ind w:firstLine="0"/>
              <w:jc w:val="center"/>
              <w:textAlignment w:val="auto"/>
              <w:rPr>
                <w:rFonts w:ascii="宋体" w:hAnsi="宋体" w:cs="宋体"/>
                <w:sz w:val="24"/>
                <w:szCs w:val="20"/>
                <w:lang w:val="zh-CN"/>
              </w:rPr>
            </w:pPr>
            <w:r>
              <w:rPr>
                <w:rFonts w:hint="eastAsia" w:ascii="宋体" w:hAnsi="宋体" w:cs="宋体"/>
                <w:sz w:val="24"/>
                <w:szCs w:val="20"/>
                <w:lang w:val="zh-CN"/>
              </w:rPr>
              <w:t>暂缓录用</w:t>
            </w:r>
          </w:p>
        </w:tc>
        <w:tc>
          <w:tcPr>
            <w:tcW w:w="4480" w:type="dxa"/>
            <w:tcBorders>
              <w:top w:val="single" w:color="000000" w:sz="2" w:space="0"/>
              <w:left w:val="single" w:color="000000" w:sz="2" w:space="0"/>
              <w:bottom w:val="single" w:color="000000" w:sz="2" w:space="0"/>
              <w:right w:val="single" w:color="000000" w:sz="2" w:space="0"/>
            </w:tcBorders>
            <w:noWrap w:val="0"/>
            <w:tcMar>
              <w:top w:w="90" w:type="dxa"/>
              <w:left w:w="135" w:type="dxa"/>
              <w:bottom w:w="90" w:type="dxa"/>
              <w:right w:w="135" w:type="dxa"/>
            </w:tcMar>
            <w:vAlign w:val="center"/>
          </w:tcPr>
          <w:p w14:paraId="5A82DBBD">
            <w:pPr>
              <w:keepNext w:val="0"/>
              <w:keepLines w:val="0"/>
              <w:pageBreakBefore w:val="0"/>
              <w:widowControl/>
              <w:kinsoku/>
              <w:wordWrap/>
              <w:overflowPunct/>
              <w:topLinePunct w:val="0"/>
              <w:autoSpaceDE/>
              <w:autoSpaceDN/>
              <w:bidi w:val="0"/>
              <w:adjustRightInd/>
              <w:snapToGrid/>
              <w:spacing w:line="360" w:lineRule="exact"/>
              <w:ind w:firstLine="0"/>
              <w:jc w:val="left"/>
              <w:textAlignment w:val="auto"/>
              <w:rPr>
                <w:rFonts w:ascii="宋体" w:hAnsi="宋体" w:cs="宋体"/>
                <w:color w:val="000000"/>
                <w:sz w:val="24"/>
                <w:szCs w:val="20"/>
                <w:lang w:val="zh-CN"/>
              </w:rPr>
            </w:pPr>
            <w:r>
              <w:rPr>
                <w:rFonts w:hint="eastAsia" w:ascii="宋体" w:hAnsi="宋体" w:cs="宋体"/>
                <w:color w:val="000000"/>
                <w:sz w:val="24"/>
                <w:szCs w:val="20"/>
                <w:lang w:val="zh-CN"/>
              </w:rPr>
              <w:t>存在轻微瑕疵（如非故意的行政处罚记录），经甲方同意且承诺整改。</w:t>
            </w:r>
          </w:p>
        </w:tc>
        <w:tc>
          <w:tcPr>
            <w:tcW w:w="3200" w:type="dxa"/>
            <w:tcBorders>
              <w:top w:val="single" w:color="000000" w:sz="2" w:space="0"/>
              <w:left w:val="single" w:color="000000" w:sz="2" w:space="0"/>
              <w:bottom w:val="single" w:color="000000" w:sz="2" w:space="0"/>
            </w:tcBorders>
            <w:noWrap w:val="0"/>
            <w:tcMar>
              <w:top w:w="90" w:type="dxa"/>
              <w:left w:w="135" w:type="dxa"/>
              <w:bottom w:w="90" w:type="dxa"/>
              <w:right w:w="135" w:type="dxa"/>
            </w:tcMar>
            <w:vAlign w:val="center"/>
          </w:tcPr>
          <w:p w14:paraId="36E45CD0">
            <w:pPr>
              <w:keepNext w:val="0"/>
              <w:keepLines w:val="0"/>
              <w:pageBreakBefore w:val="0"/>
              <w:widowControl/>
              <w:kinsoku/>
              <w:wordWrap/>
              <w:overflowPunct/>
              <w:topLinePunct w:val="0"/>
              <w:autoSpaceDE/>
              <w:autoSpaceDN/>
              <w:bidi w:val="0"/>
              <w:adjustRightInd/>
              <w:snapToGrid/>
              <w:spacing w:line="360" w:lineRule="exact"/>
              <w:ind w:firstLine="0"/>
              <w:jc w:val="left"/>
              <w:textAlignment w:val="auto"/>
              <w:rPr>
                <w:rFonts w:ascii="宋体" w:hAnsi="宋体" w:cs="宋体"/>
                <w:color w:val="000000"/>
                <w:sz w:val="24"/>
                <w:szCs w:val="20"/>
                <w:lang w:val="zh-CN"/>
              </w:rPr>
            </w:pPr>
            <w:r>
              <w:rPr>
                <w:rFonts w:hint="eastAsia" w:ascii="宋体" w:hAnsi="宋体" w:cs="宋体"/>
                <w:color w:val="000000"/>
                <w:sz w:val="24"/>
                <w:szCs w:val="20"/>
                <w:lang w:val="zh-CN"/>
              </w:rPr>
              <w:t>签订《安全履职承诺书》，试用期内跟踪考察。</w:t>
            </w:r>
          </w:p>
        </w:tc>
      </w:tr>
      <w:tr w14:paraId="266E2D34">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rPr>
          <w:trHeight w:val="1006" w:hRule="atLeast"/>
        </w:trPr>
        <w:tc>
          <w:tcPr>
            <w:tcW w:w="1498" w:type="dxa"/>
            <w:tcBorders>
              <w:top w:val="single" w:color="000000" w:sz="2" w:space="0"/>
              <w:right w:val="single" w:color="000000" w:sz="2" w:space="0"/>
            </w:tcBorders>
            <w:noWrap w:val="0"/>
            <w:tcMar>
              <w:top w:w="90" w:type="dxa"/>
              <w:left w:w="135" w:type="dxa"/>
              <w:bottom w:w="90" w:type="dxa"/>
              <w:right w:w="135" w:type="dxa"/>
            </w:tcMar>
            <w:vAlign w:val="center"/>
          </w:tcPr>
          <w:p w14:paraId="0283DC5E">
            <w:pPr>
              <w:keepNext w:val="0"/>
              <w:keepLines w:val="0"/>
              <w:pageBreakBefore w:val="0"/>
              <w:widowControl/>
              <w:kinsoku/>
              <w:wordWrap/>
              <w:overflowPunct/>
              <w:topLinePunct w:val="0"/>
              <w:autoSpaceDE/>
              <w:autoSpaceDN/>
              <w:bidi w:val="0"/>
              <w:adjustRightInd/>
              <w:snapToGrid/>
              <w:spacing w:line="360" w:lineRule="exact"/>
              <w:ind w:firstLine="0"/>
              <w:jc w:val="center"/>
              <w:textAlignment w:val="auto"/>
              <w:rPr>
                <w:rFonts w:ascii="宋体" w:hAnsi="宋体" w:cs="宋体"/>
                <w:sz w:val="24"/>
                <w:szCs w:val="20"/>
                <w:lang w:val="zh-CN"/>
              </w:rPr>
            </w:pPr>
            <w:r>
              <w:rPr>
                <w:rFonts w:hint="eastAsia" w:ascii="宋体" w:hAnsi="宋体" w:cs="宋体"/>
                <w:sz w:val="24"/>
                <w:szCs w:val="20"/>
                <w:lang w:val="zh-CN"/>
              </w:rPr>
              <w:t>一票否决</w:t>
            </w:r>
          </w:p>
        </w:tc>
        <w:tc>
          <w:tcPr>
            <w:tcW w:w="4480" w:type="dxa"/>
            <w:tcBorders>
              <w:top w:val="single" w:color="000000" w:sz="2" w:space="0"/>
              <w:left w:val="single" w:color="000000" w:sz="2" w:space="0"/>
              <w:right w:val="single" w:color="000000" w:sz="2" w:space="0"/>
            </w:tcBorders>
            <w:noWrap w:val="0"/>
            <w:tcMar>
              <w:top w:w="90" w:type="dxa"/>
              <w:left w:w="135" w:type="dxa"/>
              <w:bottom w:w="90" w:type="dxa"/>
              <w:right w:w="135" w:type="dxa"/>
            </w:tcMar>
            <w:vAlign w:val="center"/>
          </w:tcPr>
          <w:p w14:paraId="1EDD0EDE">
            <w:pPr>
              <w:keepNext w:val="0"/>
              <w:keepLines w:val="0"/>
              <w:pageBreakBefore w:val="0"/>
              <w:widowControl/>
              <w:kinsoku/>
              <w:wordWrap/>
              <w:overflowPunct/>
              <w:topLinePunct w:val="0"/>
              <w:autoSpaceDE/>
              <w:autoSpaceDN/>
              <w:bidi w:val="0"/>
              <w:adjustRightInd/>
              <w:snapToGrid/>
              <w:spacing w:line="360" w:lineRule="exact"/>
              <w:ind w:firstLine="0"/>
              <w:jc w:val="left"/>
              <w:textAlignment w:val="auto"/>
              <w:rPr>
                <w:rFonts w:ascii="宋体" w:hAnsi="宋体" w:cs="宋体"/>
                <w:color w:val="000000"/>
                <w:sz w:val="24"/>
                <w:szCs w:val="20"/>
                <w:lang w:val="zh-CN"/>
              </w:rPr>
            </w:pPr>
            <w:r>
              <w:rPr>
                <w:rFonts w:hint="eastAsia" w:ascii="宋体" w:hAnsi="宋体" w:cs="宋体"/>
                <w:color w:val="000000"/>
                <w:sz w:val="24"/>
                <w:szCs w:val="20"/>
                <w:lang w:val="zh-CN"/>
              </w:rPr>
              <w:t>1.有故意犯罪、性侵、虐待未成年人等前科；2.提供虚假政审材料；3.核心岗位政治素质不达标。</w:t>
            </w:r>
          </w:p>
        </w:tc>
        <w:tc>
          <w:tcPr>
            <w:tcW w:w="3200" w:type="dxa"/>
            <w:tcBorders>
              <w:top w:val="single" w:color="000000" w:sz="2" w:space="0"/>
              <w:left w:val="single" w:color="000000" w:sz="2" w:space="0"/>
            </w:tcBorders>
            <w:noWrap w:val="0"/>
            <w:tcMar>
              <w:top w:w="90" w:type="dxa"/>
              <w:left w:w="135" w:type="dxa"/>
              <w:bottom w:w="90" w:type="dxa"/>
              <w:right w:w="135" w:type="dxa"/>
            </w:tcMar>
            <w:vAlign w:val="center"/>
          </w:tcPr>
          <w:p w14:paraId="63A52086">
            <w:pPr>
              <w:keepNext w:val="0"/>
              <w:keepLines w:val="0"/>
              <w:pageBreakBefore w:val="0"/>
              <w:widowControl/>
              <w:kinsoku/>
              <w:wordWrap/>
              <w:overflowPunct/>
              <w:topLinePunct w:val="0"/>
              <w:autoSpaceDE/>
              <w:autoSpaceDN/>
              <w:bidi w:val="0"/>
              <w:adjustRightInd/>
              <w:snapToGrid/>
              <w:spacing w:line="360" w:lineRule="exact"/>
              <w:ind w:firstLine="0"/>
              <w:jc w:val="left"/>
              <w:textAlignment w:val="auto"/>
              <w:rPr>
                <w:rFonts w:ascii="宋体" w:hAnsi="宋体" w:cs="宋体"/>
                <w:color w:val="000000"/>
                <w:sz w:val="24"/>
                <w:szCs w:val="20"/>
                <w:lang w:val="zh-CN"/>
              </w:rPr>
            </w:pPr>
            <w:r>
              <w:rPr>
                <w:rFonts w:hint="eastAsia" w:ascii="宋体" w:hAnsi="宋体" w:cs="宋体"/>
                <w:color w:val="000000"/>
                <w:sz w:val="24"/>
                <w:szCs w:val="20"/>
                <w:lang w:val="zh-CN"/>
              </w:rPr>
              <w:t>坚决不予录用，记录入企业 “禁聘人员名录”。</w:t>
            </w:r>
          </w:p>
        </w:tc>
      </w:tr>
    </w:tbl>
    <w:p w14:paraId="09CA45D7">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lang w:val="zh-CN"/>
        </w:rPr>
      </w:pPr>
      <w:r>
        <w:rPr>
          <w:rFonts w:hint="eastAsia" w:ascii="宋体" w:hAnsi="宋体" w:cs="宋体"/>
          <w:sz w:val="24"/>
          <w:szCs w:val="20"/>
          <w:lang w:val="en-US" w:eastAsia="zh-CN"/>
        </w:rPr>
        <w:t>2）</w:t>
      </w:r>
      <w:r>
        <w:rPr>
          <w:rFonts w:hint="eastAsia" w:ascii="宋体" w:hAnsi="宋体" w:cs="宋体"/>
          <w:sz w:val="24"/>
          <w:szCs w:val="20"/>
          <w:lang w:val="zh-CN"/>
        </w:rPr>
        <w:t>物业人员政审报告制度</w:t>
      </w:r>
    </w:p>
    <w:p w14:paraId="1CA3A5C5">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lang w:val="zh-CN"/>
        </w:rPr>
      </w:pPr>
      <w:r>
        <w:rPr>
          <w:rFonts w:hint="eastAsia" w:ascii="宋体" w:hAnsi="宋体" w:cs="宋体"/>
          <w:sz w:val="24"/>
          <w:szCs w:val="20"/>
          <w:lang w:val="zh-CN"/>
        </w:rPr>
        <w:t>报告主体：物业企业政审工作组，指定专人负责报告材料的汇总、报送与存档；</w:t>
      </w:r>
    </w:p>
    <w:p w14:paraId="69232ADE">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lang w:val="zh-CN"/>
        </w:rPr>
      </w:pPr>
      <w:r>
        <w:rPr>
          <w:rFonts w:hint="eastAsia" w:ascii="宋体" w:hAnsi="宋体" w:cs="宋体"/>
          <w:sz w:val="24"/>
          <w:szCs w:val="20"/>
          <w:lang w:val="zh-CN"/>
        </w:rPr>
        <w:t>报告对象：校园甲方（学校）安全管理部门，重大情况同步报属地公安机关。</w:t>
      </w:r>
    </w:p>
    <w:p w14:paraId="7F8DF9DD">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lang w:val="zh-CN"/>
        </w:rPr>
      </w:pPr>
      <w:r>
        <w:rPr>
          <w:rFonts w:hint="eastAsia" w:ascii="宋体" w:hAnsi="宋体" w:cs="宋体"/>
          <w:sz w:val="24"/>
          <w:szCs w:val="20"/>
          <w:lang w:val="zh-CN"/>
        </w:rPr>
        <w:t>档案留存：物业企业：建立 “一人一档”，政审材料与报告回执合并存档，留存期不少于离职后 3 年；</w:t>
      </w:r>
    </w:p>
    <w:p w14:paraId="551F92E0">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lang w:val="zh-CN"/>
        </w:rPr>
      </w:pPr>
      <w:r>
        <w:rPr>
          <w:rFonts w:hint="eastAsia" w:ascii="宋体" w:hAnsi="宋体" w:cs="宋体"/>
          <w:sz w:val="24"/>
          <w:szCs w:val="20"/>
          <w:lang w:val="zh-CN"/>
        </w:rPr>
        <w:t>甲方部门：分类存放报备表、季度报告及应急报告，电子档备份不少于 5 年，确保可追溯。</w:t>
      </w:r>
    </w:p>
    <w:p w14:paraId="096A439D">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lang w:val="zh-CN"/>
        </w:rPr>
      </w:pPr>
      <w:r>
        <w:rPr>
          <w:rFonts w:hint="eastAsia" w:ascii="宋体" w:hAnsi="宋体" w:cs="宋体"/>
          <w:sz w:val="24"/>
          <w:szCs w:val="20"/>
          <w:lang w:val="en-US" w:eastAsia="zh-CN"/>
        </w:rPr>
        <w:t>3）</w:t>
      </w:r>
      <w:r>
        <w:rPr>
          <w:rFonts w:hint="eastAsia" w:ascii="宋体" w:hAnsi="宋体" w:cs="宋体"/>
          <w:sz w:val="24"/>
          <w:szCs w:val="20"/>
          <w:lang w:val="zh-CN"/>
        </w:rPr>
        <w:t>保障与监督机制</w:t>
      </w:r>
    </w:p>
    <w:p w14:paraId="5D2FF6A9">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lang w:val="zh-CN"/>
        </w:rPr>
      </w:pPr>
      <w:r>
        <w:rPr>
          <w:rFonts w:hint="eastAsia" w:ascii="宋体" w:hAnsi="宋体" w:eastAsia="宋体" w:cs="宋体"/>
          <w:sz w:val="24"/>
          <w:szCs w:val="20"/>
          <w:lang w:val="zh-CN"/>
        </w:rPr>
        <w:t>①</w:t>
      </w:r>
      <w:r>
        <w:rPr>
          <w:rFonts w:hint="eastAsia" w:ascii="宋体" w:hAnsi="宋体" w:cs="宋体"/>
          <w:sz w:val="24"/>
          <w:szCs w:val="20"/>
          <w:lang w:val="zh-CN"/>
        </w:rPr>
        <w:t>培训与考核</w:t>
      </w:r>
    </w:p>
    <w:p w14:paraId="5203D74E">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lang w:val="zh-CN"/>
        </w:rPr>
      </w:pPr>
      <w:r>
        <w:rPr>
          <w:rFonts w:hint="eastAsia" w:ascii="宋体" w:hAnsi="宋体" w:cs="宋体"/>
          <w:sz w:val="24"/>
          <w:szCs w:val="20"/>
          <w:lang w:val="zh-CN"/>
        </w:rPr>
        <w:t>每月开展 1 次政审业务培训，覆盖法律法规、调查技巧、保密要求，考核不合格者不得参与政审工作；</w:t>
      </w:r>
    </w:p>
    <w:p w14:paraId="708D11C5">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lang w:val="zh-CN"/>
        </w:rPr>
      </w:pPr>
      <w:r>
        <w:rPr>
          <w:rFonts w:hint="eastAsia" w:ascii="宋体" w:hAnsi="宋体" w:cs="宋体"/>
          <w:sz w:val="24"/>
          <w:szCs w:val="20"/>
          <w:lang w:val="zh-CN"/>
        </w:rPr>
        <w:t>将政审与报告工作质量纳入物业企业绩效考核，与服务费用挂钩。</w:t>
      </w:r>
    </w:p>
    <w:p w14:paraId="593C5C58">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lang w:val="zh-CN"/>
        </w:rPr>
      </w:pPr>
      <w:r>
        <w:rPr>
          <w:rFonts w:hint="eastAsia" w:ascii="宋体" w:hAnsi="宋体" w:eastAsia="宋体" w:cs="宋体"/>
          <w:sz w:val="24"/>
          <w:szCs w:val="20"/>
          <w:lang w:val="zh-CN"/>
        </w:rPr>
        <w:t>②</w:t>
      </w:r>
      <w:r>
        <w:rPr>
          <w:rFonts w:hint="eastAsia" w:ascii="宋体" w:hAnsi="宋体" w:cs="宋体"/>
          <w:sz w:val="24"/>
          <w:szCs w:val="20"/>
          <w:lang w:val="zh-CN"/>
        </w:rPr>
        <w:t>责任追究</w:t>
      </w:r>
    </w:p>
    <w:p w14:paraId="4AB5A640">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lang w:val="zh-CN"/>
        </w:rPr>
      </w:pPr>
      <w:r>
        <w:rPr>
          <w:rFonts w:hint="eastAsia" w:ascii="宋体" w:hAnsi="宋体" w:cs="宋体"/>
          <w:sz w:val="24"/>
          <w:szCs w:val="20"/>
          <w:lang w:val="zh-CN"/>
        </w:rPr>
        <w:t>候选人提供虚假材料的，立即辞退并列入禁聘名录，涉嫌违法的移交公安机关；</w:t>
      </w:r>
    </w:p>
    <w:p w14:paraId="7BABD11F">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lang w:val="zh-CN"/>
        </w:rPr>
      </w:pPr>
      <w:r>
        <w:rPr>
          <w:rFonts w:hint="eastAsia" w:ascii="宋体" w:hAnsi="宋体" w:cs="宋体"/>
          <w:sz w:val="24"/>
          <w:szCs w:val="20"/>
          <w:lang w:val="zh-CN"/>
        </w:rPr>
        <w:t>政审人员存在 “漏查关键信息、泄露隐私、隐瞒问题” 等行为的，给予纪律处分，造成安全事故的追究法律责任；</w:t>
      </w:r>
    </w:p>
    <w:p w14:paraId="4C6656F4">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lang w:val="zh-CN"/>
        </w:rPr>
      </w:pPr>
      <w:r>
        <w:rPr>
          <w:rFonts w:hint="eastAsia" w:ascii="宋体" w:hAnsi="宋体" w:cs="宋体"/>
          <w:sz w:val="24"/>
          <w:szCs w:val="20"/>
          <w:lang w:val="zh-CN"/>
        </w:rPr>
        <w:t>物业企业未按规定报告的，甲方有权扣除相应考核分数，限期整改仍不合格的终止服务合同。</w:t>
      </w:r>
    </w:p>
    <w:p w14:paraId="7CF98080">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lang w:val="zh-CN"/>
        </w:rPr>
      </w:pPr>
      <w:r>
        <w:rPr>
          <w:rFonts w:hint="eastAsia" w:ascii="宋体" w:hAnsi="宋体" w:eastAsia="宋体" w:cs="宋体"/>
          <w:sz w:val="24"/>
          <w:szCs w:val="20"/>
          <w:lang w:val="zh-CN"/>
        </w:rPr>
        <w:t>③</w:t>
      </w:r>
      <w:r>
        <w:rPr>
          <w:rFonts w:hint="eastAsia" w:ascii="宋体" w:hAnsi="宋体" w:cs="宋体"/>
          <w:sz w:val="24"/>
          <w:szCs w:val="20"/>
          <w:lang w:val="zh-CN"/>
        </w:rPr>
        <w:t>保密管理</w:t>
      </w:r>
    </w:p>
    <w:p w14:paraId="46C646DB">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lang w:val="zh-CN"/>
        </w:rPr>
      </w:pPr>
      <w:r>
        <w:rPr>
          <w:rFonts w:hint="eastAsia" w:ascii="宋体" w:hAnsi="宋体" w:cs="宋体"/>
          <w:sz w:val="24"/>
          <w:szCs w:val="20"/>
          <w:lang w:val="zh-CN"/>
        </w:rPr>
        <w:t>政审材料存储于加密档案柜，电子档设置访问权限，仅限政审工作组与甲方审核人员查看；</w:t>
      </w:r>
    </w:p>
    <w:p w14:paraId="7A3933DB">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lang w:val="zh-CN"/>
        </w:rPr>
      </w:pPr>
      <w:r>
        <w:rPr>
          <w:rFonts w:hint="eastAsia" w:ascii="宋体" w:hAnsi="宋体" w:cs="宋体"/>
          <w:sz w:val="24"/>
          <w:szCs w:val="20"/>
          <w:lang w:val="zh-CN"/>
        </w:rPr>
        <w:t>销毁过期材料需执行 “双人监销”，填写《档案销毁记录》，禁止随意丢弃含个人信息的文件。</w:t>
      </w:r>
    </w:p>
    <w:p w14:paraId="527293A1">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szCs w:val="20"/>
          <w:lang w:val="zh-CN"/>
        </w:rPr>
      </w:pPr>
      <w:r>
        <w:rPr>
          <w:rFonts w:hint="eastAsia" w:ascii="宋体" w:hAnsi="宋体" w:cs="宋体"/>
          <w:b/>
          <w:bCs/>
          <w:sz w:val="24"/>
          <w:szCs w:val="20"/>
          <w:lang w:val="zh-CN"/>
        </w:rPr>
        <w:t>4.拟采取的管理服务模式方案至少包括以下内容：</w:t>
      </w:r>
    </w:p>
    <w:p w14:paraId="693E2F21">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0"/>
          <w:lang w:eastAsia="zh-CN"/>
        </w:rPr>
      </w:pPr>
      <w:r>
        <w:rPr>
          <w:rFonts w:hint="eastAsia" w:ascii="宋体" w:hAnsi="宋体" w:cs="宋体"/>
          <w:sz w:val="24"/>
          <w:szCs w:val="20"/>
          <w:lang w:val="zh-CN"/>
        </w:rPr>
        <w:t>（</w:t>
      </w:r>
      <w:r>
        <w:rPr>
          <w:rFonts w:hint="eastAsia" w:ascii="宋体" w:hAnsi="宋体" w:cs="宋体"/>
          <w:sz w:val="24"/>
          <w:szCs w:val="20"/>
          <w:lang w:val="en-US" w:eastAsia="zh-CN"/>
        </w:rPr>
        <w:t>1</w:t>
      </w:r>
      <w:r>
        <w:rPr>
          <w:rFonts w:hint="eastAsia" w:ascii="宋体" w:hAnsi="宋体" w:cs="宋体"/>
          <w:sz w:val="24"/>
          <w:szCs w:val="20"/>
          <w:lang w:val="zh-CN"/>
        </w:rPr>
        <w:t>）</w:t>
      </w:r>
      <w:r>
        <w:rPr>
          <w:rFonts w:hint="eastAsia" w:ascii="宋体" w:hAnsi="宋体" w:cs="宋体"/>
          <w:sz w:val="24"/>
          <w:szCs w:val="20"/>
        </w:rPr>
        <w:t>环境卫生管理：至少包含</w:t>
      </w:r>
      <w:r>
        <w:rPr>
          <w:rFonts w:hint="eastAsia" w:ascii="宋体" w:hAnsi="宋体" w:eastAsia="宋体" w:cs="宋体"/>
          <w:sz w:val="24"/>
          <w:szCs w:val="20"/>
        </w:rPr>
        <w:t>教学</w:t>
      </w:r>
      <w:r>
        <w:rPr>
          <w:rFonts w:hint="eastAsia" w:ascii="宋体" w:hAnsi="宋体" w:eastAsia="宋体" w:cs="宋体"/>
          <w:sz w:val="24"/>
          <w:szCs w:val="20"/>
          <w:lang w:eastAsia="zh-CN"/>
        </w:rPr>
        <w:t>办公</w:t>
      </w:r>
      <w:r>
        <w:rPr>
          <w:rFonts w:hint="eastAsia" w:ascii="宋体" w:hAnsi="宋体" w:eastAsia="宋体" w:cs="宋体"/>
          <w:sz w:val="24"/>
          <w:szCs w:val="20"/>
        </w:rPr>
        <w:t>区、公</w:t>
      </w:r>
      <w:r>
        <w:rPr>
          <w:rFonts w:hint="eastAsia" w:ascii="宋体" w:hAnsi="宋体" w:cs="宋体"/>
          <w:sz w:val="24"/>
          <w:szCs w:val="20"/>
        </w:rPr>
        <w:t>共区域</w:t>
      </w:r>
      <w:r>
        <w:rPr>
          <w:rFonts w:hint="eastAsia" w:ascii="宋体" w:hAnsi="宋体" w:cs="宋体"/>
          <w:sz w:val="24"/>
          <w:szCs w:val="20"/>
          <w:lang w:eastAsia="zh-CN"/>
        </w:rPr>
        <w:t>、</w:t>
      </w:r>
      <w:r>
        <w:rPr>
          <w:rFonts w:hint="eastAsia" w:ascii="宋体" w:hAnsi="宋体" w:cs="宋体"/>
          <w:sz w:val="24"/>
          <w:szCs w:val="20"/>
        </w:rPr>
        <w:t>绿化等，达到无脏杂物、无污迹，无异味。重点考核 “清洁频次、卫生达标率、垃圾分类合规率、消毒记录完整性”，需杜绝 “卫生间异味、垃圾满溢、消毒无记录” 等扣分项</w:t>
      </w:r>
      <w:r>
        <w:rPr>
          <w:rFonts w:hint="eastAsia" w:ascii="宋体" w:hAnsi="宋体" w:cs="宋体"/>
          <w:sz w:val="24"/>
          <w:szCs w:val="20"/>
          <w:lang w:eastAsia="zh-CN"/>
        </w:rPr>
        <w:t>。</w:t>
      </w:r>
      <w:r>
        <w:rPr>
          <w:rFonts w:hint="eastAsia" w:ascii="宋体" w:hAnsi="宋体" w:cs="宋体"/>
          <w:sz w:val="24"/>
          <w:szCs w:val="20"/>
        </w:rPr>
        <w:t>防 “卫生死角、消毒缺记录”</w:t>
      </w:r>
      <w:r>
        <w:rPr>
          <w:rFonts w:hint="eastAsia" w:ascii="宋体" w:hAnsi="宋体" w:cs="宋体"/>
          <w:sz w:val="24"/>
          <w:szCs w:val="20"/>
          <w:lang w:eastAsia="zh-CN"/>
        </w:rPr>
        <w:t>。</w:t>
      </w:r>
    </w:p>
    <w:p w14:paraId="5EBA58EF">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rPr>
      </w:pPr>
      <w:r>
        <w:rPr>
          <w:rFonts w:hint="eastAsia" w:ascii="宋体" w:hAnsi="宋体" w:cs="宋体"/>
          <w:sz w:val="24"/>
          <w:szCs w:val="20"/>
        </w:rPr>
        <w:t>具体管理措施</w:t>
      </w:r>
    </w:p>
    <w:p w14:paraId="1F42CEBD">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rPr>
      </w:pPr>
      <w:r>
        <w:rPr>
          <w:rFonts w:hint="eastAsia" w:ascii="宋体" w:hAnsi="宋体" w:cs="宋体"/>
          <w:sz w:val="24"/>
          <w:szCs w:val="20"/>
        </w:rPr>
        <w:t>制定《区域清洁频次表》：公共区域每日清扫 2 次（早 6 点、午 12 点）、拖拭 1 次（晚 5 点）；卫生间每 2 小时巡检 1 次（清理垃圾、擦拭台面、喷洒除臭剂）；食堂餐后 30 分钟内清理餐桌与地面，垃圾日产日清。</w:t>
      </w:r>
    </w:p>
    <w:p w14:paraId="427F14EA">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rPr>
      </w:pPr>
      <w:r>
        <w:rPr>
          <w:rFonts w:hint="eastAsia" w:ascii="宋体" w:hAnsi="宋体" w:cs="宋体"/>
          <w:sz w:val="24"/>
          <w:szCs w:val="20"/>
        </w:rPr>
        <w:t>垃圾分类实行 “督导员 + 标识引导”：每个垃圾点配备 1 名督导员，指导师生正确分类，每日记录《垃圾分类台账》（可回收物、厨余垃圾、其他垃圾重量）。</w:t>
      </w:r>
    </w:p>
    <w:p w14:paraId="34201122">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rPr>
      </w:pPr>
      <w:r>
        <w:rPr>
          <w:rFonts w:hint="eastAsia" w:ascii="宋体" w:hAnsi="宋体" w:cs="宋体"/>
          <w:sz w:val="24"/>
          <w:szCs w:val="20"/>
        </w:rPr>
        <w:t>考核保障：</w:t>
      </w:r>
    </w:p>
    <w:p w14:paraId="42C18F46">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rPr>
      </w:pPr>
      <w:r>
        <w:rPr>
          <w:rFonts w:hint="eastAsia" w:ascii="宋体" w:hAnsi="宋体" w:cs="宋体"/>
          <w:sz w:val="24"/>
          <w:szCs w:val="20"/>
        </w:rPr>
        <w:t>每日下班前，保洁组长对各区域进行 “自查评分”（按招标人考核标准打分，低于 90 分立即整改），留存自查记录。</w:t>
      </w:r>
    </w:p>
    <w:p w14:paraId="3EBE89C4">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rPr>
      </w:pPr>
      <w:r>
        <w:rPr>
          <w:rFonts w:hint="eastAsia" w:ascii="宋体" w:hAnsi="宋体" w:cs="宋体"/>
          <w:sz w:val="24"/>
          <w:szCs w:val="20"/>
        </w:rPr>
        <w:t>季度考核前 1 周，对卫生死角（如楼梯转角、垃圾桶底部）进行 “深度清洁”，同步整理《消毒记录》（如卫生间每日消毒 2 次、食堂餐具每批次消毒），确保记录完整可查。</w:t>
      </w:r>
    </w:p>
    <w:p w14:paraId="43E2AB85">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rPr>
      </w:pPr>
      <w:r>
        <w:rPr>
          <w:rFonts w:hint="eastAsia" w:ascii="宋体" w:hAnsi="宋体" w:cs="宋体"/>
          <w:sz w:val="24"/>
          <w:szCs w:val="20"/>
          <w:lang w:val="zh-CN"/>
        </w:rPr>
        <w:t>（</w:t>
      </w:r>
      <w:r>
        <w:rPr>
          <w:rFonts w:hint="eastAsia" w:ascii="宋体" w:hAnsi="宋体" w:cs="宋体"/>
          <w:sz w:val="24"/>
          <w:szCs w:val="20"/>
          <w:lang w:val="en-US" w:eastAsia="zh-CN"/>
        </w:rPr>
        <w:t>2</w:t>
      </w:r>
      <w:r>
        <w:rPr>
          <w:rFonts w:hint="eastAsia" w:ascii="宋体" w:hAnsi="宋体" w:cs="宋体"/>
          <w:sz w:val="24"/>
          <w:szCs w:val="20"/>
          <w:lang w:val="zh-CN"/>
        </w:rPr>
        <w:t>）</w:t>
      </w:r>
      <w:r>
        <w:rPr>
          <w:rFonts w:hint="eastAsia" w:ascii="宋体" w:hAnsi="宋体" w:cs="宋体"/>
          <w:sz w:val="24"/>
          <w:szCs w:val="20"/>
        </w:rPr>
        <w:t>设施设备运维管理：至少包含功能室的管理、季节性维护等内容，达到熟练掌握各功能室内电源、灯光设备、音响设备、大屏控制设备的使用方法，定期维护。</w:t>
      </w:r>
    </w:p>
    <w:p w14:paraId="7F5CAF8F">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rPr>
      </w:pPr>
      <w:r>
        <w:rPr>
          <w:rFonts w:hint="eastAsia" w:ascii="宋体" w:hAnsi="宋体" w:cs="宋体"/>
          <w:sz w:val="24"/>
          <w:szCs w:val="20"/>
          <w:lang w:val="zh-CN"/>
        </w:rPr>
        <w:t>（</w:t>
      </w:r>
      <w:r>
        <w:rPr>
          <w:rFonts w:hint="eastAsia" w:ascii="宋体" w:hAnsi="宋体" w:cs="宋体"/>
          <w:sz w:val="24"/>
          <w:szCs w:val="20"/>
          <w:lang w:val="en-US" w:eastAsia="zh-CN"/>
        </w:rPr>
        <w:t>3</w:t>
      </w:r>
      <w:r>
        <w:rPr>
          <w:rFonts w:hint="eastAsia" w:ascii="宋体" w:hAnsi="宋体" w:cs="宋体"/>
          <w:sz w:val="24"/>
          <w:szCs w:val="20"/>
          <w:lang w:val="zh-CN"/>
        </w:rPr>
        <w:t>）</w:t>
      </w:r>
      <w:r>
        <w:rPr>
          <w:rFonts w:hint="eastAsia" w:ascii="宋体" w:hAnsi="宋体" w:cs="宋体"/>
          <w:sz w:val="24"/>
          <w:szCs w:val="20"/>
        </w:rPr>
        <w:t>特色管理模式：至少包含活动与会务、假期管理等内容，做到及时清理（清场），检查是否有遗留物品、未熄灭的火种等，所有场所在未使用时均保持整洁，卫生达标，能随时投入使用，避免发生任何安全事件。</w:t>
      </w:r>
    </w:p>
    <w:p w14:paraId="0A4DFAC0">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szCs w:val="20"/>
        </w:rPr>
      </w:pPr>
      <w:r>
        <w:rPr>
          <w:rFonts w:hint="eastAsia" w:ascii="宋体" w:hAnsi="宋体" w:cs="宋体"/>
          <w:b/>
          <w:bCs/>
          <w:sz w:val="24"/>
          <w:szCs w:val="20"/>
          <w:lang w:val="zh-CN"/>
        </w:rPr>
        <w:t>5.适合本项目的各种突发事件的处理预案方案至少包括以下内容</w:t>
      </w:r>
      <w:r>
        <w:rPr>
          <w:rFonts w:hint="eastAsia" w:ascii="宋体" w:hAnsi="宋体" w:cs="宋体"/>
          <w:b/>
          <w:bCs/>
          <w:sz w:val="24"/>
          <w:szCs w:val="20"/>
        </w:rPr>
        <w:t>：</w:t>
      </w:r>
    </w:p>
    <w:p w14:paraId="3FE86E11">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lang w:val="zh-CN"/>
        </w:rPr>
      </w:pPr>
      <w:r>
        <w:rPr>
          <w:rFonts w:hint="eastAsia" w:ascii="宋体" w:hAnsi="宋体" w:cs="宋体"/>
          <w:sz w:val="24"/>
          <w:szCs w:val="20"/>
          <w:lang w:val="zh-CN"/>
        </w:rPr>
        <w:t>针对物业服务安全方面在学校遇到以下几个场景中提出的处理预案：</w:t>
      </w:r>
      <w:r>
        <w:rPr>
          <w:rFonts w:ascii="Calibri" w:hAnsi="Calibri" w:cs="Calibri"/>
          <w:sz w:val="21"/>
          <w:szCs w:val="16"/>
          <w:lang w:val="zh-CN"/>
        </w:rPr>
        <w:t>①</w:t>
      </w:r>
      <w:r>
        <w:rPr>
          <w:rFonts w:hint="eastAsia" w:ascii="宋体" w:hAnsi="宋体" w:cs="宋体"/>
          <w:sz w:val="24"/>
          <w:szCs w:val="20"/>
          <w:lang w:val="zh-CN"/>
        </w:rPr>
        <w:t>自然灾害中的应急预案安全提示（如放假防盗、汛期防漏等）；</w:t>
      </w:r>
      <w:r>
        <w:rPr>
          <w:rFonts w:ascii="Calibri" w:hAnsi="Calibri" w:cs="Calibri"/>
          <w:sz w:val="21"/>
          <w:szCs w:val="16"/>
          <w:lang w:val="zh-CN"/>
        </w:rPr>
        <w:t>②</w:t>
      </w:r>
      <w:r>
        <w:rPr>
          <w:rFonts w:hint="eastAsia" w:ascii="宋体" w:hAnsi="宋体" w:cs="宋体"/>
          <w:sz w:val="24"/>
          <w:szCs w:val="20"/>
          <w:lang w:val="zh-CN"/>
        </w:rPr>
        <w:t>重大节日及大型活动。并能井然有序地配合学校处理好突发事件，在最大限度内控制事态的发展，同时按照突发事件信息上报流程报送学校相关部门。</w:t>
      </w:r>
    </w:p>
    <w:p w14:paraId="286ECA87">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sz w:val="24"/>
          <w:szCs w:val="20"/>
          <w:lang w:val="zh-CN"/>
        </w:rPr>
      </w:pPr>
      <w:r>
        <w:rPr>
          <w:rFonts w:hint="eastAsia" w:ascii="宋体" w:hAnsi="宋体" w:cs="宋体"/>
          <w:b/>
          <w:bCs/>
          <w:sz w:val="24"/>
          <w:szCs w:val="20"/>
          <w:lang w:val="zh-CN"/>
        </w:rPr>
        <w:t>6.日常管理措施等包括以下内容：</w:t>
      </w:r>
    </w:p>
    <w:p w14:paraId="2A8F5025">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sz w:val="24"/>
          <w:szCs w:val="20"/>
        </w:rPr>
      </w:pPr>
      <w:r>
        <w:rPr>
          <w:rFonts w:hint="eastAsia" w:ascii="宋体" w:hAnsi="宋体" w:cs="宋体"/>
          <w:color w:val="000000"/>
          <w:sz w:val="24"/>
          <w:szCs w:val="20"/>
          <w:lang w:eastAsia="zh-CN"/>
        </w:rPr>
        <w:t>卫生保洁、绿化养护、水电</w:t>
      </w:r>
      <w:r>
        <w:rPr>
          <w:rFonts w:hint="eastAsia" w:ascii="宋体" w:hAnsi="宋体" w:cs="宋体"/>
          <w:color w:val="000000"/>
          <w:sz w:val="24"/>
          <w:szCs w:val="20"/>
          <w:lang w:val="en-US" w:eastAsia="zh-CN"/>
        </w:rPr>
        <w:t>服务</w:t>
      </w:r>
      <w:r>
        <w:rPr>
          <w:rFonts w:hint="eastAsia" w:ascii="宋体" w:hAnsi="宋体" w:cs="宋体"/>
          <w:color w:val="000000"/>
          <w:sz w:val="24"/>
          <w:szCs w:val="20"/>
        </w:rPr>
        <w:t>、清洁保洁管理、会务服务管理等，根据招标人《考核细则》</w:t>
      </w:r>
      <w:r>
        <w:rPr>
          <w:rFonts w:hint="eastAsia" w:ascii="宋体" w:hAnsi="宋体" w:cs="宋体"/>
          <w:sz w:val="24"/>
          <w:szCs w:val="20"/>
        </w:rPr>
        <w:t>综合量化考核，</w:t>
      </w:r>
      <w:r>
        <w:rPr>
          <w:rFonts w:ascii="宋体" w:hAnsi="宋体" w:cs="宋体"/>
          <w:sz w:val="24"/>
          <w:szCs w:val="20"/>
        </w:rPr>
        <w:t xml:space="preserve"> </w:t>
      </w:r>
      <w:r>
        <w:rPr>
          <w:rFonts w:hint="eastAsia" w:ascii="宋体" w:hAnsi="宋体" w:cs="宋体"/>
          <w:sz w:val="24"/>
          <w:szCs w:val="20"/>
        </w:rPr>
        <w:t>针对性的制定区域职能管理措施，做到日常考核、季度考核、专项考核大于等于</w:t>
      </w:r>
      <w:r>
        <w:rPr>
          <w:rFonts w:ascii="宋体" w:hAnsi="宋体" w:cs="宋体"/>
          <w:sz w:val="24"/>
          <w:szCs w:val="20"/>
        </w:rPr>
        <w:t>90</w:t>
      </w:r>
      <w:r>
        <w:rPr>
          <w:rFonts w:hint="eastAsia" w:ascii="宋体" w:hAnsi="宋体" w:cs="宋体"/>
          <w:sz w:val="24"/>
          <w:szCs w:val="20"/>
        </w:rPr>
        <w:t>分以上。</w:t>
      </w:r>
    </w:p>
    <w:p w14:paraId="575994CD">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color w:val="000000"/>
          <w:sz w:val="24"/>
          <w:szCs w:val="20"/>
        </w:rPr>
      </w:pPr>
      <w:r>
        <w:rPr>
          <w:rFonts w:hint="eastAsia" w:ascii="宋体" w:hAnsi="宋体" w:cs="宋体"/>
          <w:b/>
          <w:bCs/>
          <w:color w:val="000000"/>
          <w:sz w:val="24"/>
          <w:szCs w:val="20"/>
          <w:lang w:eastAsia="zh-CN"/>
        </w:rPr>
        <w:t>八</w:t>
      </w:r>
      <w:r>
        <w:rPr>
          <w:rFonts w:hint="eastAsia" w:ascii="宋体" w:hAnsi="宋体" w:cs="宋体"/>
          <w:b/>
          <w:bCs/>
          <w:color w:val="000000"/>
          <w:sz w:val="24"/>
          <w:szCs w:val="20"/>
        </w:rPr>
        <w:t>.体系认证</w:t>
      </w:r>
    </w:p>
    <w:p w14:paraId="6A42F32A">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color w:val="000000"/>
          <w:sz w:val="24"/>
          <w:szCs w:val="20"/>
          <w:highlight w:val="green"/>
        </w:rPr>
      </w:pPr>
      <w:r>
        <w:rPr>
          <w:rFonts w:hint="eastAsia" w:ascii="宋体" w:hAnsi="宋体" w:cs="宋体"/>
          <w:color w:val="000000"/>
          <w:sz w:val="24"/>
          <w:szCs w:val="20"/>
        </w:rPr>
        <w:t>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w:t>
      </w:r>
      <w:r>
        <w:rPr>
          <w:rFonts w:hint="eastAsia" w:ascii="宋体" w:hAnsi="宋体" w:cs="宋体"/>
          <w:color w:val="000000"/>
          <w:sz w:val="24"/>
          <w:szCs w:val="20"/>
          <w:highlight w:val="none"/>
        </w:rPr>
        <w:t>书的</w:t>
      </w:r>
      <w:r>
        <w:rPr>
          <w:rFonts w:hint="eastAsia" w:ascii="宋体" w:hAnsi="宋体" w:cs="宋体"/>
          <w:b/>
          <w:bCs/>
          <w:color w:val="000000"/>
          <w:sz w:val="24"/>
          <w:szCs w:val="20"/>
          <w:highlight w:val="none"/>
        </w:rPr>
        <w:t>优先</w:t>
      </w:r>
      <w:r>
        <w:rPr>
          <w:rFonts w:hint="eastAsia" w:ascii="宋体" w:hAnsi="宋体" w:cs="宋体"/>
          <w:color w:val="000000"/>
          <w:sz w:val="24"/>
          <w:szCs w:val="20"/>
          <w:highlight w:val="none"/>
        </w:rPr>
        <w:t>。</w:t>
      </w:r>
    </w:p>
    <w:p w14:paraId="2924273D">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color w:val="000000"/>
          <w:sz w:val="24"/>
          <w:szCs w:val="20"/>
        </w:rPr>
      </w:pPr>
      <w:r>
        <w:rPr>
          <w:rFonts w:hint="eastAsia" w:ascii="宋体" w:hAnsi="宋体" w:cs="宋体"/>
          <w:b/>
          <w:bCs/>
          <w:color w:val="000000"/>
          <w:sz w:val="24"/>
          <w:szCs w:val="20"/>
          <w:lang w:val="en-US" w:eastAsia="zh-CN"/>
        </w:rPr>
        <w:t>九</w:t>
      </w:r>
      <w:r>
        <w:rPr>
          <w:rFonts w:hint="eastAsia" w:ascii="宋体" w:hAnsi="宋体" w:cs="宋体"/>
          <w:b/>
          <w:bCs/>
          <w:color w:val="000000"/>
          <w:sz w:val="24"/>
          <w:szCs w:val="20"/>
        </w:rPr>
        <w:t>.业绩</w:t>
      </w:r>
    </w:p>
    <w:p w14:paraId="433F31D4">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color w:val="000000"/>
          <w:sz w:val="24"/>
          <w:szCs w:val="20"/>
        </w:rPr>
      </w:pPr>
      <w:r>
        <w:rPr>
          <w:rFonts w:hint="eastAsia" w:ascii="宋体" w:hAnsi="宋体" w:cs="宋体"/>
          <w:color w:val="000000"/>
          <w:sz w:val="24"/>
          <w:szCs w:val="20"/>
        </w:rPr>
        <w:t>投标人需要具备丰富的物业服务相关承接经验，确保本项目的顺利实施，投标人自202</w:t>
      </w:r>
      <w:r>
        <w:rPr>
          <w:rFonts w:hint="eastAsia" w:ascii="宋体" w:hAnsi="宋体" w:cs="宋体"/>
          <w:color w:val="000000"/>
          <w:sz w:val="24"/>
          <w:szCs w:val="20"/>
          <w:lang w:val="en-US" w:eastAsia="zh-CN"/>
        </w:rPr>
        <w:t>3</w:t>
      </w:r>
      <w:r>
        <w:rPr>
          <w:rFonts w:hint="eastAsia" w:ascii="宋体" w:hAnsi="宋体" w:cs="宋体"/>
          <w:color w:val="000000"/>
          <w:sz w:val="24"/>
          <w:szCs w:val="20"/>
        </w:rPr>
        <w:t>年1月1日以来（以合同签订日期为准）承接过类似物业管理服务项目业绩的</w:t>
      </w:r>
      <w:r>
        <w:rPr>
          <w:rFonts w:hint="eastAsia" w:ascii="宋体" w:hAnsi="宋体" w:cs="宋体"/>
          <w:b/>
          <w:bCs/>
          <w:color w:val="000000"/>
          <w:sz w:val="24"/>
          <w:szCs w:val="20"/>
        </w:rPr>
        <w:t>优先</w:t>
      </w:r>
      <w:r>
        <w:rPr>
          <w:rFonts w:hint="eastAsia" w:ascii="宋体" w:hAnsi="宋体" w:cs="宋体"/>
          <w:color w:val="000000"/>
          <w:sz w:val="24"/>
          <w:szCs w:val="20"/>
        </w:rPr>
        <w:t>。</w:t>
      </w:r>
    </w:p>
    <w:p w14:paraId="788BD7D5">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color w:val="000000"/>
          <w:sz w:val="24"/>
          <w:szCs w:val="20"/>
        </w:rPr>
      </w:pPr>
      <w:r>
        <w:rPr>
          <w:rFonts w:hint="eastAsia" w:ascii="宋体" w:hAnsi="宋体" w:cs="宋体"/>
          <w:b/>
          <w:bCs/>
          <w:color w:val="000000"/>
          <w:sz w:val="24"/>
          <w:szCs w:val="20"/>
          <w:lang w:val="en-US" w:eastAsia="zh-CN"/>
        </w:rPr>
        <w:t>十</w:t>
      </w:r>
      <w:r>
        <w:rPr>
          <w:rFonts w:hint="eastAsia" w:ascii="宋体" w:hAnsi="宋体" w:cs="宋体"/>
          <w:b/>
          <w:bCs/>
          <w:color w:val="000000"/>
          <w:sz w:val="24"/>
          <w:szCs w:val="20"/>
        </w:rPr>
        <w:t>、采购标的对应的中小企业划分标准所属行业一览表</w:t>
      </w:r>
    </w:p>
    <w:tbl>
      <w:tblPr>
        <w:tblStyle w:val="29"/>
        <w:tblW w:w="8710" w:type="dxa"/>
        <w:jc w:val="center"/>
        <w:tblCellSpacing w:w="0" w:type="dxa"/>
        <w:tblLayout w:type="fixed"/>
        <w:tblCellMar>
          <w:top w:w="0" w:type="dxa"/>
          <w:left w:w="108" w:type="dxa"/>
          <w:bottom w:w="0" w:type="dxa"/>
          <w:right w:w="108" w:type="dxa"/>
        </w:tblCellMar>
      </w:tblPr>
      <w:tblGrid>
        <w:gridCol w:w="959"/>
        <w:gridCol w:w="4141"/>
        <w:gridCol w:w="3610"/>
      </w:tblGrid>
      <w:tr w14:paraId="699CD69F">
        <w:tblPrEx>
          <w:tblCellMar>
            <w:top w:w="0" w:type="dxa"/>
            <w:left w:w="108" w:type="dxa"/>
            <w:bottom w:w="0" w:type="dxa"/>
            <w:right w:w="108" w:type="dxa"/>
          </w:tblCellMar>
        </w:tblPrEx>
        <w:trPr>
          <w:trHeight w:val="89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9B7EA39">
            <w:pPr>
              <w:keepNext w:val="0"/>
              <w:keepLines w:val="0"/>
              <w:pageBreakBefore w:val="0"/>
              <w:widowControl/>
              <w:kinsoku/>
              <w:wordWrap/>
              <w:overflowPunct/>
              <w:topLinePunct w:val="0"/>
              <w:autoSpaceDE/>
              <w:autoSpaceDN/>
              <w:bidi w:val="0"/>
              <w:adjustRightInd/>
              <w:snapToGrid/>
              <w:spacing w:line="360" w:lineRule="exact"/>
              <w:ind w:firstLine="0" w:firstLineChars="0"/>
              <w:jc w:val="center"/>
              <w:textAlignment w:val="auto"/>
              <w:rPr>
                <w:bCs/>
                <w:sz w:val="24"/>
              </w:rPr>
            </w:pPr>
            <w:r>
              <w:rPr>
                <w:rFonts w:hint="eastAsia"/>
                <w:bCs/>
                <w:sz w:val="24"/>
              </w:rPr>
              <w:t>序号</w:t>
            </w:r>
          </w:p>
        </w:tc>
        <w:tc>
          <w:tcPr>
            <w:tcW w:w="4141" w:type="dxa"/>
            <w:tcBorders>
              <w:top w:val="single" w:color="000000" w:sz="4" w:space="0"/>
              <w:left w:val="single" w:color="000000" w:sz="4" w:space="0"/>
              <w:bottom w:val="single" w:color="000000" w:sz="4" w:space="0"/>
              <w:right w:val="single" w:color="000000" w:sz="4" w:space="0"/>
            </w:tcBorders>
            <w:noWrap w:val="0"/>
            <w:vAlign w:val="center"/>
          </w:tcPr>
          <w:p w14:paraId="5EC98FED">
            <w:pPr>
              <w:keepNext w:val="0"/>
              <w:keepLines w:val="0"/>
              <w:pageBreakBefore w:val="0"/>
              <w:widowControl/>
              <w:kinsoku/>
              <w:wordWrap/>
              <w:overflowPunct/>
              <w:topLinePunct w:val="0"/>
              <w:autoSpaceDE/>
              <w:autoSpaceDN/>
              <w:bidi w:val="0"/>
              <w:adjustRightInd/>
              <w:snapToGrid/>
              <w:spacing w:line="360" w:lineRule="exact"/>
              <w:ind w:firstLine="0" w:firstLineChars="0"/>
              <w:jc w:val="center"/>
              <w:textAlignment w:val="auto"/>
              <w:rPr>
                <w:bCs/>
                <w:sz w:val="24"/>
              </w:rPr>
            </w:pPr>
            <w:r>
              <w:rPr>
                <w:rFonts w:hint="eastAsia"/>
                <w:bCs/>
                <w:sz w:val="24"/>
              </w:rPr>
              <w:t>采购标的</w:t>
            </w:r>
          </w:p>
        </w:tc>
        <w:tc>
          <w:tcPr>
            <w:tcW w:w="3610" w:type="dxa"/>
            <w:tcBorders>
              <w:top w:val="single" w:color="000000" w:sz="4" w:space="0"/>
              <w:left w:val="single" w:color="000000" w:sz="4" w:space="0"/>
              <w:bottom w:val="single" w:color="000000" w:sz="4" w:space="0"/>
              <w:right w:val="single" w:color="000000" w:sz="4" w:space="0"/>
            </w:tcBorders>
            <w:noWrap w:val="0"/>
            <w:vAlign w:val="center"/>
          </w:tcPr>
          <w:p w14:paraId="131E2839">
            <w:pPr>
              <w:keepNext w:val="0"/>
              <w:keepLines w:val="0"/>
              <w:pageBreakBefore w:val="0"/>
              <w:widowControl/>
              <w:kinsoku/>
              <w:wordWrap/>
              <w:overflowPunct/>
              <w:topLinePunct w:val="0"/>
              <w:autoSpaceDE/>
              <w:autoSpaceDN/>
              <w:bidi w:val="0"/>
              <w:adjustRightInd/>
              <w:snapToGrid/>
              <w:spacing w:line="360" w:lineRule="exact"/>
              <w:ind w:firstLine="0" w:firstLineChars="0"/>
              <w:jc w:val="center"/>
              <w:textAlignment w:val="auto"/>
              <w:rPr>
                <w:bCs/>
                <w:sz w:val="24"/>
              </w:rPr>
            </w:pPr>
            <w:r>
              <w:rPr>
                <w:rFonts w:hint="eastAsia"/>
                <w:bCs/>
                <w:sz w:val="24"/>
              </w:rPr>
              <w:t>对应中小企业划分标准所属行业</w:t>
            </w:r>
          </w:p>
        </w:tc>
      </w:tr>
      <w:tr w14:paraId="43B709F6">
        <w:tblPrEx>
          <w:tblCellMar>
            <w:top w:w="0" w:type="dxa"/>
            <w:left w:w="108" w:type="dxa"/>
            <w:bottom w:w="0" w:type="dxa"/>
            <w:right w:w="108" w:type="dxa"/>
          </w:tblCellMar>
        </w:tblPrEx>
        <w:trPr>
          <w:trHeight w:val="10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AFA988C">
            <w:pPr>
              <w:keepNext w:val="0"/>
              <w:keepLines w:val="0"/>
              <w:pageBreakBefore w:val="0"/>
              <w:widowControl/>
              <w:kinsoku/>
              <w:wordWrap/>
              <w:overflowPunct/>
              <w:topLinePunct w:val="0"/>
              <w:autoSpaceDE/>
              <w:autoSpaceDN/>
              <w:bidi w:val="0"/>
              <w:adjustRightInd/>
              <w:snapToGrid/>
              <w:spacing w:line="360" w:lineRule="exact"/>
              <w:ind w:firstLine="0" w:firstLineChars="0"/>
              <w:jc w:val="center"/>
              <w:textAlignment w:val="auto"/>
              <w:rPr>
                <w:bCs/>
                <w:sz w:val="24"/>
              </w:rPr>
            </w:pPr>
            <w:r>
              <w:rPr>
                <w:rFonts w:hint="eastAsia"/>
                <w:bCs/>
                <w:sz w:val="24"/>
              </w:rPr>
              <w:t>1</w:t>
            </w:r>
          </w:p>
        </w:tc>
        <w:tc>
          <w:tcPr>
            <w:tcW w:w="4141" w:type="dxa"/>
            <w:tcBorders>
              <w:top w:val="single" w:color="000000" w:sz="4" w:space="0"/>
              <w:left w:val="single" w:color="000000" w:sz="4" w:space="0"/>
              <w:bottom w:val="single" w:color="000000" w:sz="4" w:space="0"/>
              <w:right w:val="single" w:color="000000" w:sz="4" w:space="0"/>
            </w:tcBorders>
            <w:noWrap w:val="0"/>
            <w:vAlign w:val="center"/>
          </w:tcPr>
          <w:p w14:paraId="7E3A0E71">
            <w:pPr>
              <w:keepNext w:val="0"/>
              <w:keepLines w:val="0"/>
              <w:pageBreakBefore w:val="0"/>
              <w:widowControl/>
              <w:kinsoku/>
              <w:wordWrap/>
              <w:overflowPunct/>
              <w:topLinePunct w:val="0"/>
              <w:autoSpaceDE/>
              <w:autoSpaceDN/>
              <w:bidi w:val="0"/>
              <w:adjustRightInd/>
              <w:snapToGrid/>
              <w:spacing w:line="360" w:lineRule="exact"/>
              <w:ind w:firstLine="0" w:firstLineChars="0"/>
              <w:jc w:val="center"/>
              <w:textAlignment w:val="auto"/>
              <w:rPr>
                <w:bCs/>
                <w:sz w:val="24"/>
              </w:rPr>
            </w:pPr>
            <w:r>
              <w:rPr>
                <w:rFonts w:hint="eastAsia"/>
                <w:bCs/>
                <w:sz w:val="24"/>
                <w:lang w:eastAsia="zh-CN"/>
              </w:rPr>
              <w:t>盐城市妇联实验幼儿园物业管理服务</w:t>
            </w:r>
          </w:p>
        </w:tc>
        <w:tc>
          <w:tcPr>
            <w:tcW w:w="3610" w:type="dxa"/>
            <w:tcBorders>
              <w:top w:val="single" w:color="000000" w:sz="4" w:space="0"/>
              <w:left w:val="single" w:color="000000" w:sz="4" w:space="0"/>
              <w:bottom w:val="single" w:color="000000" w:sz="4" w:space="0"/>
              <w:right w:val="single" w:color="000000" w:sz="4" w:space="0"/>
            </w:tcBorders>
            <w:noWrap w:val="0"/>
            <w:vAlign w:val="center"/>
          </w:tcPr>
          <w:p w14:paraId="5D7FF90C">
            <w:pPr>
              <w:keepNext w:val="0"/>
              <w:keepLines w:val="0"/>
              <w:pageBreakBefore w:val="0"/>
              <w:widowControl/>
              <w:kinsoku/>
              <w:wordWrap/>
              <w:overflowPunct/>
              <w:topLinePunct w:val="0"/>
              <w:autoSpaceDE/>
              <w:autoSpaceDN/>
              <w:bidi w:val="0"/>
              <w:adjustRightInd/>
              <w:snapToGrid/>
              <w:spacing w:line="360" w:lineRule="exact"/>
              <w:ind w:firstLine="0" w:firstLineChars="0"/>
              <w:jc w:val="center"/>
              <w:textAlignment w:val="auto"/>
              <w:rPr>
                <w:bCs/>
                <w:sz w:val="24"/>
              </w:rPr>
            </w:pPr>
            <w:r>
              <w:rPr>
                <w:rFonts w:hint="eastAsia"/>
                <w:bCs/>
                <w:sz w:val="24"/>
              </w:rPr>
              <w:t>物业管理</w:t>
            </w:r>
          </w:p>
        </w:tc>
      </w:tr>
    </w:tbl>
    <w:p w14:paraId="0E860276">
      <w:pPr>
        <w:keepNext w:val="0"/>
        <w:keepLines w:val="0"/>
        <w:pageBreakBefore w:val="0"/>
        <w:numPr>
          <w:ilvl w:val="0"/>
          <w:numId w:val="0"/>
        </w:numPr>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000000"/>
          <w:sz w:val="24"/>
          <w:szCs w:val="20"/>
          <w:lang w:eastAsia="zh-CN"/>
        </w:rPr>
      </w:pPr>
      <w:r>
        <w:rPr>
          <w:rFonts w:hint="eastAsia" w:ascii="宋体" w:hAnsi="宋体" w:cs="宋体"/>
          <w:b/>
          <w:bCs/>
          <w:color w:val="000000"/>
          <w:sz w:val="24"/>
          <w:szCs w:val="20"/>
          <w:lang w:val="en-US" w:eastAsia="zh-CN"/>
        </w:rPr>
        <w:t>十一</w:t>
      </w:r>
      <w:r>
        <w:rPr>
          <w:rFonts w:hint="eastAsia" w:ascii="宋体" w:hAnsi="宋体" w:eastAsia="宋体" w:cs="宋体"/>
          <w:b/>
          <w:bCs/>
          <w:color w:val="000000"/>
          <w:sz w:val="24"/>
          <w:szCs w:val="20"/>
          <w:lang w:eastAsia="zh-CN"/>
        </w:rPr>
        <w:t>、合同期限。</w:t>
      </w:r>
    </w:p>
    <w:p w14:paraId="52286447">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sz w:val="44"/>
          <w:szCs w:val="44"/>
        </w:rPr>
      </w:pPr>
      <w:r>
        <w:rPr>
          <w:rFonts w:hint="eastAsia" w:ascii="Times New Roman" w:hAnsi="Times New Roman" w:eastAsia="宋体" w:cs="Times New Roman"/>
          <w:bCs/>
          <w:sz w:val="24"/>
        </w:rPr>
        <w:t>合同履行期限：</w:t>
      </w:r>
      <w:r>
        <w:rPr>
          <w:rFonts w:hint="eastAsia" w:cs="Times New Roman"/>
          <w:bCs/>
          <w:sz w:val="24"/>
          <w:lang w:eastAsia="zh-CN"/>
        </w:rPr>
        <w:t>合同履行期限：一年（试用期3个月）。</w:t>
      </w:r>
      <w:r>
        <w:rPr>
          <w:rFonts w:hint="eastAsia" w:ascii="Times New Roman" w:hAnsi="Times New Roman" w:eastAsia="宋体" w:cs="Times New Roman"/>
          <w:bCs/>
          <w:sz w:val="24"/>
        </w:rPr>
        <w:br w:type="page" w:clear="all"/>
      </w:r>
      <w:r>
        <w:rPr>
          <w:rFonts w:hint="eastAsia" w:ascii="Times New Roman" w:hAnsi="Times New Roman" w:eastAsia="宋体" w:cs="Times New Roman"/>
          <w:bCs/>
          <w:sz w:val="24"/>
          <w:lang w:val="en-US" w:eastAsia="zh-CN"/>
        </w:rPr>
        <w:t xml:space="preserve">         </w:t>
      </w:r>
      <w:r>
        <w:rPr>
          <w:rFonts w:hint="eastAsia" w:ascii="宋体" w:hAnsi="宋体" w:eastAsia="宋体" w:cs="宋体"/>
          <w:sz w:val="44"/>
          <w:szCs w:val="44"/>
        </w:rPr>
        <w:t>第五章  评标方法与评标标准</w:t>
      </w:r>
    </w:p>
    <w:p w14:paraId="2174D157">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ascii="宋体" w:hAnsi="宋体" w:cs="宋体"/>
          <w:b/>
          <w:bCs/>
          <w:color w:val="000000"/>
          <w:sz w:val="24"/>
          <w:szCs w:val="20"/>
          <w:lang w:val="zh-CN"/>
        </w:rPr>
      </w:pPr>
      <w:r>
        <w:rPr>
          <w:rFonts w:hint="eastAsia" w:ascii="宋体" w:hAnsi="宋体" w:cs="宋体"/>
          <w:b/>
          <w:bCs/>
          <w:color w:val="000000"/>
          <w:sz w:val="24"/>
          <w:szCs w:val="20"/>
          <w:lang w:val="zh-CN"/>
        </w:rPr>
        <w:t>一、定标原则</w:t>
      </w:r>
    </w:p>
    <w:p w14:paraId="764122D1">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color w:val="000000"/>
          <w:sz w:val="24"/>
          <w:szCs w:val="20"/>
          <w:lang w:val="zh-CN"/>
        </w:rPr>
      </w:pPr>
      <w:r>
        <w:rPr>
          <w:rFonts w:hint="eastAsia" w:ascii="宋体" w:hAnsi="宋体" w:cs="宋体"/>
          <w:color w:val="000000"/>
          <w:sz w:val="24"/>
          <w:szCs w:val="20"/>
          <w:lang w:val="zh-CN"/>
        </w:rPr>
        <w:t>本项目采用</w:t>
      </w:r>
      <w:r>
        <w:rPr>
          <w:rFonts w:hint="eastAsia" w:ascii="宋体" w:hAnsi="宋体" w:cs="宋体"/>
          <w:color w:val="000000"/>
          <w:sz w:val="24"/>
          <w:szCs w:val="20"/>
          <w:u w:val="single"/>
          <w:lang w:val="zh-CN"/>
        </w:rPr>
        <w:t>综合评分</w:t>
      </w:r>
      <w:r>
        <w:rPr>
          <w:rFonts w:hint="eastAsia" w:ascii="宋体" w:hAnsi="宋体" w:cs="宋体"/>
          <w:color w:val="000000"/>
          <w:sz w:val="24"/>
          <w:szCs w:val="20"/>
          <w:lang w:val="zh-CN"/>
        </w:rPr>
        <w:t>法。</w:t>
      </w:r>
      <w:r>
        <w:rPr>
          <w:rFonts w:hint="eastAsia" w:ascii="宋体" w:hAnsi="宋体" w:cs="宋体"/>
          <w:color w:val="000000"/>
          <w:sz w:val="24"/>
          <w:szCs w:val="20"/>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5401240C">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1、</w:t>
      </w:r>
      <w:r>
        <w:rPr>
          <w:rFonts w:hint="eastAsia" w:ascii="宋体" w:hAnsi="宋体" w:eastAsia="宋体" w:cs="宋体"/>
          <w:b/>
          <w:bCs/>
          <w:sz w:val="24"/>
          <w:szCs w:val="24"/>
          <w:highlight w:val="none"/>
        </w:rPr>
        <w:t>小微型企业价格扣除</w:t>
      </w:r>
    </w:p>
    <w:p w14:paraId="7B746737">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（1）本项目专门面向中小企业采购，不再对小型和微型企业报价给予价格扣除。</w:t>
      </w:r>
    </w:p>
    <w:p w14:paraId="7642BB27">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（2）供应商需按照采购文件的要求提供相应的《中小企业声明函》。</w:t>
      </w:r>
    </w:p>
    <w:p w14:paraId="5D0550D9">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（3）企业标准请参照《关于印发中小企业划型标准规定的通知》（工信部联企业〔2011〕300号）文件规定自行填写。</w:t>
      </w:r>
    </w:p>
    <w:p w14:paraId="6DA19AFB">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2、残疾人福利单位价格扣除</w:t>
      </w:r>
    </w:p>
    <w:p w14:paraId="5C4DAFB5">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（1）本项目对残疾人福利性单位视同小型、微型企业。</w:t>
      </w:r>
    </w:p>
    <w:p w14:paraId="28A7E97D">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（2）残疾人福利单位需按照采购文件的要求提供《残疾人福利性单位声明函》。</w:t>
      </w:r>
    </w:p>
    <w:p w14:paraId="5AF78543">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（3）残疾人福利单位标准请参照《关于促进残疾人就业政府采购政策的通知》（财库〔2017〕141号）。</w:t>
      </w:r>
    </w:p>
    <w:p w14:paraId="4E014223">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3、监狱和戒毒企业价格扣除</w:t>
      </w:r>
    </w:p>
    <w:p w14:paraId="169EC60D">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（1）本项目对监狱和戒毒企业（简称监狱企业）视同小型、微型企业。</w:t>
      </w:r>
    </w:p>
    <w:p w14:paraId="1DF547A9">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7F9ABB19">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（3）监狱企业标准请参照《关于政府采购支持监狱企业发展有关问题的通知》（财库〔2014〕68号）。</w:t>
      </w:r>
    </w:p>
    <w:p w14:paraId="4A809360">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4、残疾人福利单位、监狱企业属于小型、微型企业的，不重复享受政策。</w:t>
      </w:r>
    </w:p>
    <w:p w14:paraId="1700343C">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5、采购本国产品的支持政策</w:t>
      </w:r>
    </w:p>
    <w:p w14:paraId="340D2D9C">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本项目政府采购活动中既有本国产品又有非本国产品参与竞争的，依法对本国产品给予价格评审优惠，对本国产品的报价给予 20%的价格扣除，用扣除后的价格参与评审。</w:t>
      </w:r>
    </w:p>
    <w:p w14:paraId="70C707EC">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0FCEADE">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供应商需按照招标文件的要求提供《关于符合本国产品标准的声明函》（以下简称《声明函》），如不提供将不享受本国产品价格评审优惠。</w:t>
      </w:r>
    </w:p>
    <w:p w14:paraId="7E0FACB1">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供应商需在《声明函》中逐一、准确填写产品名称、厂名、生产厂址三项信息（《声明函》中用</w:t>
      </w:r>
      <w:r>
        <w:rPr>
          <w:rFonts w:hint="eastAsia" w:ascii="宋体" w:hAnsi="宋体" w:eastAsia="宋体" w:cs="宋体"/>
          <w:sz w:val="24"/>
          <w:szCs w:val="24"/>
          <w:highlight w:val="none"/>
          <w:lang w:val="en-US" w:eastAsia="zh-CN"/>
        </w:rPr>
        <w:t>横</w:t>
      </w:r>
      <w:r>
        <w:rPr>
          <w:rFonts w:hint="eastAsia" w:ascii="宋体" w:hAnsi="宋体" w:eastAsia="宋体" w:cs="宋体"/>
          <w:sz w:val="24"/>
          <w:szCs w:val="24"/>
          <w:highlight w:val="none"/>
        </w:rPr>
        <w:t>线划除的地方无需填写），三项信息中任意一项未填写的视为该项产品不符合本国产品标准，不享受本国产品价格评审优惠。</w:t>
      </w:r>
    </w:p>
    <w:p w14:paraId="2F434860">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评标过程中，如发现供应商在《声明函》内容含义不明确、同类事项与投标（响应）文件表述不一致或者有明显文字错误等情况的，评标委员会应当</w:t>
      </w:r>
      <w:r>
        <w:rPr>
          <w:rFonts w:hint="eastAsia" w:ascii="宋体" w:hAnsi="宋体" w:eastAsia="宋体" w:cs="宋体"/>
          <w:sz w:val="24"/>
          <w:szCs w:val="24"/>
          <w:highlight w:val="none"/>
          <w:lang w:val="en-US" w:eastAsia="zh-CN"/>
        </w:rPr>
        <w:t>在苏采云系统</w:t>
      </w:r>
      <w:r>
        <w:rPr>
          <w:rFonts w:hint="eastAsia" w:ascii="宋体" w:hAnsi="宋体" w:eastAsia="宋体" w:cs="宋体"/>
          <w:sz w:val="24"/>
          <w:szCs w:val="24"/>
          <w:highlight w:val="none"/>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50BC29B">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Arial" w:cs="宋体"/>
          <w:color w:val="000000"/>
          <w:sz w:val="24"/>
          <w:szCs w:val="20"/>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rPr>
        <w:t>如属政府强制采购产品未提供认证证书的或认证证书提供不全的将视为未实质性响应采购要求</w:t>
      </w:r>
      <w:r>
        <w:rPr>
          <w:rFonts w:hint="eastAsia" w:ascii="宋体" w:hAnsi="宋体" w:eastAsia="Arial" w:cs="宋体"/>
          <w:color w:val="000000"/>
          <w:sz w:val="24"/>
          <w:szCs w:val="20"/>
        </w:rPr>
        <w:t>。其他条件相同情况下，应当优先采购节能产品、环境标志产品。</w:t>
      </w:r>
    </w:p>
    <w:p w14:paraId="295F673E">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outlineLvl w:val="1"/>
        <w:rPr>
          <w:rFonts w:ascii="宋体" w:hAnsi="宋体" w:eastAsia="Arial" w:cs="宋体"/>
          <w:b/>
          <w:bCs/>
          <w:color w:val="000000"/>
          <w:sz w:val="24"/>
          <w:szCs w:val="20"/>
        </w:rPr>
      </w:pPr>
      <w:r>
        <w:rPr>
          <w:rFonts w:hint="eastAsia" w:ascii="宋体" w:hAnsi="宋体" w:eastAsia="Arial" w:cs="宋体"/>
          <w:b/>
          <w:bCs/>
          <w:color w:val="000000"/>
          <w:sz w:val="24"/>
          <w:szCs w:val="20"/>
        </w:rPr>
        <w:t>二、评标方法与评标标准</w:t>
      </w:r>
    </w:p>
    <w:p w14:paraId="6B5643B9">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eastAsia="Arial" w:cs="宋体"/>
          <w:color w:val="000000"/>
          <w:sz w:val="24"/>
          <w:szCs w:val="20"/>
        </w:rPr>
      </w:pPr>
      <w:r>
        <w:rPr>
          <w:rFonts w:hint="eastAsia" w:ascii="宋体" w:hAnsi="宋体" w:eastAsia="Arial" w:cs="宋体"/>
          <w:color w:val="000000"/>
          <w:sz w:val="24"/>
          <w:szCs w:val="20"/>
        </w:rPr>
        <w:t>本项目评分总分值为100分。</w:t>
      </w:r>
    </w:p>
    <w:tbl>
      <w:tblPr>
        <w:tblStyle w:val="29"/>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5"/>
        <w:gridCol w:w="6532"/>
        <w:gridCol w:w="923"/>
      </w:tblGrid>
      <w:tr w14:paraId="0853D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9" w:hRule="atLeast"/>
          <w:tblHeader/>
          <w:jc w:val="center"/>
        </w:trPr>
        <w:tc>
          <w:tcPr>
            <w:tcW w:w="1225" w:type="dxa"/>
            <w:noWrap w:val="0"/>
            <w:vAlign w:val="center"/>
          </w:tcPr>
          <w:p w14:paraId="5E61333B">
            <w:pPr>
              <w:keepNext w:val="0"/>
              <w:keepLines w:val="0"/>
              <w:pageBreakBefore w:val="0"/>
              <w:kinsoku/>
              <w:wordWrap/>
              <w:overflowPunct/>
              <w:topLinePunct w:val="0"/>
              <w:autoSpaceDE/>
              <w:autoSpaceDN/>
              <w:bidi w:val="0"/>
              <w:adjustRightInd/>
              <w:snapToGrid/>
              <w:spacing w:line="360" w:lineRule="exact"/>
              <w:ind w:left="0" w:right="0" w:firstLine="0"/>
              <w:jc w:val="center"/>
              <w:textAlignment w:val="auto"/>
              <w:rPr>
                <w:rFonts w:ascii="宋体" w:hAnsi="宋体" w:cs="宋体"/>
                <w:b/>
                <w:bCs/>
                <w:sz w:val="24"/>
              </w:rPr>
            </w:pPr>
            <w:r>
              <w:rPr>
                <w:rFonts w:hint="eastAsia" w:ascii="宋体" w:hAnsi="宋体" w:cs="宋体"/>
                <w:b/>
                <w:bCs/>
                <w:sz w:val="24"/>
              </w:rPr>
              <w:t>评审</w:t>
            </w:r>
          </w:p>
          <w:p w14:paraId="15B62A73">
            <w:pPr>
              <w:keepNext w:val="0"/>
              <w:keepLines w:val="0"/>
              <w:pageBreakBefore w:val="0"/>
              <w:kinsoku/>
              <w:wordWrap/>
              <w:overflowPunct/>
              <w:topLinePunct w:val="0"/>
              <w:autoSpaceDE/>
              <w:autoSpaceDN/>
              <w:bidi w:val="0"/>
              <w:adjustRightInd/>
              <w:snapToGrid/>
              <w:spacing w:line="360" w:lineRule="exact"/>
              <w:ind w:left="0" w:right="0" w:firstLine="0"/>
              <w:jc w:val="center"/>
              <w:textAlignment w:val="auto"/>
              <w:rPr>
                <w:rFonts w:ascii="宋体" w:hAnsi="宋体" w:cs="宋体"/>
                <w:b/>
                <w:bCs/>
                <w:sz w:val="24"/>
              </w:rPr>
            </w:pPr>
            <w:r>
              <w:rPr>
                <w:rFonts w:hint="eastAsia" w:ascii="宋体" w:hAnsi="宋体" w:cs="宋体"/>
                <w:b/>
                <w:bCs/>
                <w:sz w:val="24"/>
              </w:rPr>
              <w:t>项目</w:t>
            </w:r>
          </w:p>
        </w:tc>
        <w:tc>
          <w:tcPr>
            <w:tcW w:w="6532" w:type="dxa"/>
            <w:noWrap w:val="0"/>
            <w:vAlign w:val="center"/>
          </w:tcPr>
          <w:p w14:paraId="09058657">
            <w:pPr>
              <w:keepNext w:val="0"/>
              <w:keepLines w:val="0"/>
              <w:pageBreakBefore w:val="0"/>
              <w:kinsoku/>
              <w:wordWrap/>
              <w:overflowPunct/>
              <w:topLinePunct w:val="0"/>
              <w:autoSpaceDE/>
              <w:autoSpaceDN/>
              <w:bidi w:val="0"/>
              <w:adjustRightInd/>
              <w:snapToGrid/>
              <w:spacing w:line="360" w:lineRule="exact"/>
              <w:ind w:left="0" w:right="0" w:firstLine="0"/>
              <w:jc w:val="center"/>
              <w:textAlignment w:val="auto"/>
              <w:rPr>
                <w:rFonts w:ascii="宋体" w:hAnsi="宋体" w:cs="宋体"/>
                <w:b/>
                <w:bCs/>
                <w:sz w:val="24"/>
              </w:rPr>
            </w:pPr>
            <w:r>
              <w:rPr>
                <w:rFonts w:hint="eastAsia" w:ascii="宋体" w:hAnsi="宋体" w:cs="宋体"/>
                <w:b/>
                <w:bCs/>
                <w:sz w:val="24"/>
              </w:rPr>
              <w:t>评审标准</w:t>
            </w:r>
          </w:p>
        </w:tc>
        <w:tc>
          <w:tcPr>
            <w:tcW w:w="923" w:type="dxa"/>
            <w:noWrap w:val="0"/>
            <w:vAlign w:val="center"/>
          </w:tcPr>
          <w:p w14:paraId="76BD5C7A">
            <w:pPr>
              <w:keepNext w:val="0"/>
              <w:keepLines w:val="0"/>
              <w:pageBreakBefore w:val="0"/>
              <w:kinsoku/>
              <w:wordWrap/>
              <w:overflowPunct/>
              <w:topLinePunct w:val="0"/>
              <w:autoSpaceDE/>
              <w:autoSpaceDN/>
              <w:bidi w:val="0"/>
              <w:adjustRightInd/>
              <w:snapToGrid/>
              <w:spacing w:line="360" w:lineRule="exact"/>
              <w:ind w:left="0" w:right="0" w:firstLine="0"/>
              <w:jc w:val="center"/>
              <w:textAlignment w:val="auto"/>
              <w:rPr>
                <w:rFonts w:ascii="宋体" w:hAnsi="宋体" w:cs="宋体"/>
                <w:b/>
                <w:bCs/>
                <w:sz w:val="24"/>
              </w:rPr>
            </w:pPr>
            <w:r>
              <w:rPr>
                <w:rFonts w:hint="eastAsia" w:ascii="宋体" w:hAnsi="宋体" w:cs="宋体"/>
                <w:b/>
                <w:bCs/>
                <w:sz w:val="24"/>
              </w:rPr>
              <w:t>最高</w:t>
            </w:r>
          </w:p>
          <w:p w14:paraId="284115D2">
            <w:pPr>
              <w:keepNext w:val="0"/>
              <w:keepLines w:val="0"/>
              <w:pageBreakBefore w:val="0"/>
              <w:kinsoku/>
              <w:wordWrap/>
              <w:overflowPunct/>
              <w:topLinePunct w:val="0"/>
              <w:autoSpaceDE/>
              <w:autoSpaceDN/>
              <w:bidi w:val="0"/>
              <w:adjustRightInd/>
              <w:snapToGrid/>
              <w:spacing w:line="360" w:lineRule="exact"/>
              <w:ind w:left="0" w:right="0" w:firstLine="0"/>
              <w:jc w:val="center"/>
              <w:textAlignment w:val="auto"/>
              <w:rPr>
                <w:rFonts w:ascii="宋体" w:hAnsi="宋体" w:cs="宋体"/>
                <w:b/>
                <w:bCs/>
                <w:sz w:val="24"/>
              </w:rPr>
            </w:pPr>
            <w:r>
              <w:rPr>
                <w:rFonts w:hint="eastAsia" w:ascii="宋体" w:hAnsi="宋体" w:cs="宋体"/>
                <w:b/>
                <w:bCs/>
                <w:sz w:val="24"/>
              </w:rPr>
              <w:t>分值</w:t>
            </w:r>
          </w:p>
        </w:tc>
      </w:tr>
      <w:tr w14:paraId="01FCD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094B1E4F">
            <w:pPr>
              <w:keepNext w:val="0"/>
              <w:keepLines w:val="0"/>
              <w:pageBreakBefore w:val="0"/>
              <w:kinsoku/>
              <w:wordWrap/>
              <w:overflowPunct/>
              <w:topLinePunct w:val="0"/>
              <w:autoSpaceDE/>
              <w:autoSpaceDN/>
              <w:bidi w:val="0"/>
              <w:adjustRightInd/>
              <w:snapToGrid/>
              <w:spacing w:line="360" w:lineRule="exact"/>
              <w:ind w:left="0" w:right="0" w:firstLine="0"/>
              <w:jc w:val="center"/>
              <w:textAlignment w:val="auto"/>
              <w:rPr>
                <w:rFonts w:ascii="宋体" w:hAnsi="宋体" w:cs="宋体"/>
                <w:sz w:val="24"/>
              </w:rPr>
            </w:pPr>
            <w:r>
              <w:rPr>
                <w:rFonts w:hint="eastAsia" w:ascii="宋体" w:hAnsi="宋体" w:cs="宋体"/>
                <w:sz w:val="24"/>
              </w:rPr>
              <w:t>投标</w:t>
            </w:r>
          </w:p>
          <w:p w14:paraId="78CAFF2C">
            <w:pPr>
              <w:keepNext w:val="0"/>
              <w:keepLines w:val="0"/>
              <w:pageBreakBefore w:val="0"/>
              <w:kinsoku/>
              <w:wordWrap/>
              <w:overflowPunct/>
              <w:topLinePunct w:val="0"/>
              <w:autoSpaceDE/>
              <w:autoSpaceDN/>
              <w:bidi w:val="0"/>
              <w:adjustRightInd/>
              <w:snapToGrid/>
              <w:spacing w:line="360" w:lineRule="exact"/>
              <w:ind w:left="0" w:right="0" w:firstLine="0"/>
              <w:jc w:val="center"/>
              <w:textAlignment w:val="auto"/>
              <w:rPr>
                <w:rFonts w:ascii="宋体" w:hAnsi="宋体" w:cs="宋体"/>
                <w:sz w:val="24"/>
              </w:rPr>
            </w:pPr>
            <w:r>
              <w:rPr>
                <w:rFonts w:hint="eastAsia" w:ascii="宋体" w:hAnsi="宋体" w:cs="宋体"/>
                <w:sz w:val="24"/>
              </w:rPr>
              <w:t>报价</w:t>
            </w:r>
          </w:p>
        </w:tc>
        <w:tc>
          <w:tcPr>
            <w:tcW w:w="6532" w:type="dxa"/>
            <w:noWrap w:val="0"/>
            <w:vAlign w:val="center"/>
          </w:tcPr>
          <w:p w14:paraId="3BA1F342">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ascii="宋体" w:hAnsi="宋体" w:cs="宋体"/>
                <w:sz w:val="24"/>
              </w:rPr>
            </w:pPr>
            <w:r>
              <w:rPr>
                <w:rFonts w:hint="eastAsia" w:ascii="宋体" w:hAnsi="宋体" w:cs="宋体"/>
                <w:color w:val="000000"/>
                <w:sz w:val="24"/>
                <w:szCs w:val="20"/>
              </w:rPr>
              <w:t>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p>
        </w:tc>
        <w:tc>
          <w:tcPr>
            <w:tcW w:w="923" w:type="dxa"/>
            <w:noWrap w:val="0"/>
            <w:vAlign w:val="center"/>
          </w:tcPr>
          <w:p w14:paraId="4F8C4689">
            <w:pPr>
              <w:keepNext w:val="0"/>
              <w:keepLines w:val="0"/>
              <w:pageBreakBefore w:val="0"/>
              <w:kinsoku/>
              <w:wordWrap/>
              <w:overflowPunct/>
              <w:topLinePunct w:val="0"/>
              <w:autoSpaceDE/>
              <w:autoSpaceDN/>
              <w:bidi w:val="0"/>
              <w:adjustRightInd/>
              <w:snapToGrid/>
              <w:spacing w:line="360" w:lineRule="exact"/>
              <w:ind w:left="0" w:right="0" w:firstLine="0"/>
              <w:jc w:val="center"/>
              <w:textAlignment w:val="auto"/>
              <w:rPr>
                <w:rFonts w:ascii="宋体" w:hAnsi="宋体" w:cs="宋体"/>
                <w:sz w:val="24"/>
              </w:rPr>
            </w:pPr>
            <w:r>
              <w:rPr>
                <w:rFonts w:hint="eastAsia" w:ascii="宋体" w:hAnsi="宋体" w:cs="宋体"/>
                <w:sz w:val="24"/>
              </w:rPr>
              <w:t>50</w:t>
            </w:r>
          </w:p>
        </w:tc>
      </w:tr>
      <w:tr w14:paraId="38152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78EF467B">
            <w:pPr>
              <w:keepNext w:val="0"/>
              <w:keepLines w:val="0"/>
              <w:pageBreakBefore w:val="0"/>
              <w:kinsoku/>
              <w:wordWrap/>
              <w:overflowPunct/>
              <w:topLinePunct w:val="0"/>
              <w:autoSpaceDE/>
              <w:autoSpaceDN/>
              <w:bidi w:val="0"/>
              <w:adjustRightInd/>
              <w:snapToGrid/>
              <w:spacing w:line="360" w:lineRule="exact"/>
              <w:ind w:left="0" w:right="0" w:firstLine="0"/>
              <w:jc w:val="center"/>
              <w:textAlignment w:val="auto"/>
              <w:rPr>
                <w:rFonts w:ascii="宋体" w:hAnsi="宋体" w:cs="宋体"/>
                <w:bCs/>
                <w:sz w:val="24"/>
              </w:rPr>
            </w:pPr>
            <w:r>
              <w:rPr>
                <w:rFonts w:hint="eastAsia" w:ascii="宋体" w:hAnsi="宋体" w:cs="宋体"/>
                <w:bCs/>
                <w:sz w:val="24"/>
              </w:rPr>
              <w:t>物业</w:t>
            </w:r>
          </w:p>
          <w:p w14:paraId="72352CF1">
            <w:pPr>
              <w:keepNext w:val="0"/>
              <w:keepLines w:val="0"/>
              <w:pageBreakBefore w:val="0"/>
              <w:kinsoku/>
              <w:wordWrap/>
              <w:overflowPunct/>
              <w:topLinePunct w:val="0"/>
              <w:autoSpaceDE/>
              <w:autoSpaceDN/>
              <w:bidi w:val="0"/>
              <w:adjustRightInd/>
              <w:snapToGrid/>
              <w:spacing w:line="360" w:lineRule="exact"/>
              <w:ind w:left="0" w:right="0" w:firstLine="0"/>
              <w:jc w:val="center"/>
              <w:textAlignment w:val="auto"/>
              <w:rPr>
                <w:rFonts w:ascii="宋体" w:hAnsi="宋体" w:cs="宋体"/>
                <w:bCs/>
                <w:sz w:val="24"/>
              </w:rPr>
            </w:pPr>
            <w:r>
              <w:rPr>
                <w:rFonts w:hint="eastAsia" w:ascii="宋体" w:hAnsi="宋体" w:cs="宋体"/>
                <w:bCs/>
                <w:sz w:val="24"/>
              </w:rPr>
              <w:t>管理</w:t>
            </w:r>
          </w:p>
          <w:p w14:paraId="0C83F3A2">
            <w:pPr>
              <w:keepNext w:val="0"/>
              <w:keepLines w:val="0"/>
              <w:pageBreakBefore w:val="0"/>
              <w:kinsoku/>
              <w:wordWrap/>
              <w:overflowPunct/>
              <w:topLinePunct w:val="0"/>
              <w:autoSpaceDE/>
              <w:autoSpaceDN/>
              <w:bidi w:val="0"/>
              <w:adjustRightInd/>
              <w:snapToGrid/>
              <w:spacing w:line="360" w:lineRule="exact"/>
              <w:ind w:left="0" w:right="0" w:firstLine="0"/>
              <w:jc w:val="center"/>
              <w:textAlignment w:val="auto"/>
              <w:rPr>
                <w:rFonts w:ascii="宋体" w:hAnsi="宋体" w:cs="宋体"/>
                <w:bCs/>
                <w:sz w:val="24"/>
              </w:rPr>
            </w:pPr>
            <w:r>
              <w:rPr>
                <w:rFonts w:hint="eastAsia" w:ascii="宋体" w:hAnsi="宋体" w:cs="宋体"/>
                <w:bCs/>
                <w:sz w:val="24"/>
              </w:rPr>
              <w:t>服务</w:t>
            </w:r>
          </w:p>
          <w:p w14:paraId="5EA6A422">
            <w:pPr>
              <w:keepNext w:val="0"/>
              <w:keepLines w:val="0"/>
              <w:pageBreakBefore w:val="0"/>
              <w:kinsoku/>
              <w:wordWrap/>
              <w:overflowPunct/>
              <w:topLinePunct w:val="0"/>
              <w:autoSpaceDE/>
              <w:autoSpaceDN/>
              <w:bidi w:val="0"/>
              <w:adjustRightInd/>
              <w:snapToGrid/>
              <w:spacing w:line="360" w:lineRule="exact"/>
              <w:ind w:left="0" w:right="0" w:firstLine="0"/>
              <w:jc w:val="center"/>
              <w:textAlignment w:val="auto"/>
              <w:rPr>
                <w:rFonts w:hint="eastAsia" w:ascii="宋体" w:hAnsi="宋体" w:cs="宋体"/>
                <w:sz w:val="24"/>
              </w:rPr>
            </w:pPr>
            <w:r>
              <w:rPr>
                <w:rFonts w:hint="eastAsia" w:ascii="宋体" w:hAnsi="宋体" w:cs="宋体"/>
                <w:bCs/>
                <w:sz w:val="24"/>
              </w:rPr>
              <w:t>方案</w:t>
            </w:r>
          </w:p>
        </w:tc>
        <w:tc>
          <w:tcPr>
            <w:tcW w:w="6532" w:type="dxa"/>
            <w:noWrap w:val="0"/>
            <w:vAlign w:val="center"/>
          </w:tcPr>
          <w:p w14:paraId="75C8C410">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1.符合政策法规的整体设想及策划（6分）</w:t>
            </w:r>
          </w:p>
          <w:p w14:paraId="33133F26">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投标人根据第四章第四条第一款中“符合政策法规的整体设想及策划”要求，至少包含：①环境卫生管理；②会议活动保障；③</w:t>
            </w:r>
            <w:r>
              <w:rPr>
                <w:rFonts w:hint="eastAsia" w:ascii="宋体" w:hAnsi="宋体" w:cs="宋体"/>
                <w:color w:val="000000"/>
                <w:sz w:val="24"/>
                <w:szCs w:val="20"/>
                <w:lang w:val="zh-CN"/>
              </w:rPr>
              <w:t>会务服务管理</w:t>
            </w:r>
            <w:r>
              <w:rPr>
                <w:rFonts w:hint="eastAsia" w:ascii="宋体" w:hAnsi="宋体" w:eastAsia="宋体" w:cs="宋体"/>
                <w:color w:val="000000"/>
                <w:sz w:val="24"/>
                <w:szCs w:val="20"/>
              </w:rPr>
              <w:t xml:space="preserve">；优于项目需求得6分，满足项目需求得5分，不满足或不提供得0分。  </w:t>
            </w:r>
          </w:p>
          <w:p w14:paraId="032FC4A5">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4B9DCBC0">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2.人员配备、培训与管理（6分）</w:t>
            </w:r>
          </w:p>
          <w:p w14:paraId="1B88A226">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投标人根据本项目第四章第四条第二款中“人员配备、培训与管理方案”要求，至少包含：①员工配备；②培训</w:t>
            </w:r>
            <w:r>
              <w:rPr>
                <w:rFonts w:hint="eastAsia" w:ascii="宋体" w:hAnsi="宋体" w:eastAsia="宋体" w:cs="宋体"/>
                <w:color w:val="000000"/>
                <w:sz w:val="24"/>
                <w:szCs w:val="20"/>
                <w:lang w:val="en-US" w:eastAsia="zh-CN"/>
              </w:rPr>
              <w:t>与管理</w:t>
            </w:r>
            <w:r>
              <w:rPr>
                <w:rFonts w:hint="eastAsia" w:ascii="宋体" w:hAnsi="宋体" w:eastAsia="宋体" w:cs="宋体"/>
                <w:color w:val="000000"/>
                <w:sz w:val="24"/>
                <w:szCs w:val="20"/>
              </w:rPr>
              <w:t>③</w:t>
            </w:r>
            <w:r>
              <w:rPr>
                <w:rFonts w:hint="eastAsia" w:ascii="宋体" w:hAnsi="宋体" w:cs="宋体"/>
                <w:sz w:val="24"/>
                <w:szCs w:val="20"/>
                <w:lang w:val="zh-CN"/>
              </w:rPr>
              <w:t>岗位制度通用要求</w:t>
            </w:r>
            <w:r>
              <w:rPr>
                <w:rFonts w:hint="eastAsia" w:ascii="宋体" w:hAnsi="宋体" w:eastAsia="宋体" w:cs="宋体"/>
                <w:color w:val="000000"/>
                <w:sz w:val="24"/>
                <w:szCs w:val="20"/>
              </w:rPr>
              <w:t xml:space="preserve">等；优于项目需求得6分，满足项目需求得5分，不满足或不提供得0分。 </w:t>
            </w:r>
          </w:p>
          <w:p w14:paraId="3B681DCC">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72F87C8C">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3.制度的建立（</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264A0489">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投标人根据本项目第四章第四条第三款中“制度的建立方案”要求至少包含：①管理制度；②岗位管理制度；③人员使用制度等；优于项目需求得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分，满足项目需求得</w:t>
            </w:r>
            <w:r>
              <w:rPr>
                <w:rFonts w:hint="eastAsia" w:ascii="宋体" w:hAnsi="宋体" w:eastAsia="宋体" w:cs="宋体"/>
                <w:color w:val="000000"/>
                <w:sz w:val="24"/>
                <w:szCs w:val="20"/>
                <w:lang w:val="en-US" w:eastAsia="zh-CN"/>
              </w:rPr>
              <w:t>5</w:t>
            </w:r>
            <w:r>
              <w:rPr>
                <w:rFonts w:hint="eastAsia" w:ascii="宋体" w:hAnsi="宋体" w:eastAsia="宋体" w:cs="宋体"/>
                <w:color w:val="000000"/>
                <w:sz w:val="24"/>
                <w:szCs w:val="20"/>
              </w:rPr>
              <w:t xml:space="preserve">分，不满足或不提供得0分。  </w:t>
            </w:r>
          </w:p>
          <w:p w14:paraId="25B68E1C">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121416DF">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4.拟采取的管理服务模式（</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1F33E2E5">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投标人根据本项目第四章第四条第四款中“拟采取的管理服务模式方案”要求至少包含：①环境卫生管理；②设施设备运维管理；③特色管理模式等；优于项目需求得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分，满足项目需求得</w:t>
            </w:r>
            <w:r>
              <w:rPr>
                <w:rFonts w:hint="eastAsia" w:ascii="宋体" w:hAnsi="宋体" w:eastAsia="宋体" w:cs="宋体"/>
                <w:color w:val="000000"/>
                <w:sz w:val="24"/>
                <w:szCs w:val="20"/>
                <w:lang w:val="en-US" w:eastAsia="zh-CN"/>
              </w:rPr>
              <w:t>5</w:t>
            </w:r>
            <w:r>
              <w:rPr>
                <w:rFonts w:hint="eastAsia" w:ascii="宋体" w:hAnsi="宋体" w:eastAsia="宋体" w:cs="宋体"/>
                <w:color w:val="000000"/>
                <w:sz w:val="24"/>
                <w:szCs w:val="20"/>
              </w:rPr>
              <w:t xml:space="preserve">分，不满足或不提供得0分。  </w:t>
            </w:r>
          </w:p>
          <w:p w14:paraId="3FB35D21">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12472D3F">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5.适合本项目的各种突发事件的处理预案（</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42BF24EA">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投标人根据本项目第四章第四条第五款中“适合本项目的各种突发事件的处理预案方案”要求至少包含：①自然灾害中的应急预案</w:t>
            </w:r>
            <w:r>
              <w:rPr>
                <w:rFonts w:hint="eastAsia" w:ascii="宋体" w:hAnsi="宋体" w:eastAsia="宋体" w:cs="宋体"/>
                <w:color w:val="000000"/>
                <w:sz w:val="24"/>
                <w:szCs w:val="20"/>
                <w:lang w:eastAsia="zh-CN"/>
              </w:rPr>
              <w:t>；</w:t>
            </w:r>
            <w:r>
              <w:rPr>
                <w:rFonts w:hint="eastAsia" w:ascii="宋体" w:hAnsi="宋体" w:eastAsia="宋体" w:cs="宋体"/>
                <w:color w:val="000000"/>
                <w:sz w:val="24"/>
                <w:szCs w:val="20"/>
              </w:rPr>
              <w:t>②重大节日及大型活动应急预案等；优于项目需求得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分，满足项目需求得</w:t>
            </w:r>
            <w:r>
              <w:rPr>
                <w:rFonts w:hint="eastAsia" w:ascii="宋体" w:hAnsi="宋体" w:eastAsia="宋体" w:cs="宋体"/>
                <w:color w:val="000000"/>
                <w:sz w:val="24"/>
                <w:szCs w:val="20"/>
                <w:lang w:val="en-US" w:eastAsia="zh-CN"/>
              </w:rPr>
              <w:t>5</w:t>
            </w:r>
            <w:r>
              <w:rPr>
                <w:rFonts w:hint="eastAsia" w:ascii="宋体" w:hAnsi="宋体" w:eastAsia="宋体" w:cs="宋体"/>
                <w:color w:val="000000"/>
                <w:sz w:val="24"/>
                <w:szCs w:val="20"/>
              </w:rPr>
              <w:t xml:space="preserve">分，不满足或不提供得0分。  </w:t>
            </w:r>
          </w:p>
          <w:p w14:paraId="501A15F3">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15B18BD8">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6.日常管理措施（</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5D398725">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投标人根据本项目第四章第四条第六款中“日常管理措施”要求至少包含：①</w:t>
            </w:r>
            <w:r>
              <w:rPr>
                <w:rFonts w:hint="eastAsia" w:ascii="宋体" w:hAnsi="宋体" w:cs="宋体"/>
                <w:color w:val="000000"/>
                <w:sz w:val="24"/>
                <w:szCs w:val="20"/>
                <w:lang w:eastAsia="zh-CN"/>
              </w:rPr>
              <w:t>卫生保洁</w:t>
            </w:r>
            <w:r>
              <w:rPr>
                <w:rFonts w:hint="eastAsia" w:ascii="宋体" w:hAnsi="宋体" w:eastAsia="宋体" w:cs="宋体"/>
                <w:color w:val="000000"/>
                <w:sz w:val="24"/>
                <w:szCs w:val="20"/>
              </w:rPr>
              <w:t>管理；②</w:t>
            </w:r>
            <w:r>
              <w:rPr>
                <w:rFonts w:hint="eastAsia" w:ascii="宋体" w:hAnsi="宋体" w:cs="宋体"/>
                <w:color w:val="000000"/>
                <w:sz w:val="24"/>
                <w:szCs w:val="20"/>
                <w:lang w:eastAsia="zh-CN"/>
              </w:rPr>
              <w:t>绿化养护</w:t>
            </w:r>
            <w:r>
              <w:rPr>
                <w:rFonts w:hint="eastAsia" w:ascii="宋体" w:hAnsi="宋体" w:eastAsia="宋体" w:cs="宋体"/>
                <w:color w:val="000000"/>
                <w:sz w:val="24"/>
                <w:szCs w:val="20"/>
              </w:rPr>
              <w:t>管理；③会务服务管理方案等；优于项目需求得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分，满足项目需求得</w:t>
            </w:r>
            <w:r>
              <w:rPr>
                <w:rFonts w:hint="eastAsia" w:ascii="宋体" w:hAnsi="宋体" w:eastAsia="宋体" w:cs="宋体"/>
                <w:color w:val="000000"/>
                <w:sz w:val="24"/>
                <w:szCs w:val="20"/>
                <w:lang w:val="en-US" w:eastAsia="zh-CN"/>
              </w:rPr>
              <w:t>5</w:t>
            </w:r>
            <w:r>
              <w:rPr>
                <w:rFonts w:hint="eastAsia" w:ascii="宋体" w:hAnsi="宋体" w:eastAsia="宋体" w:cs="宋体"/>
                <w:color w:val="000000"/>
                <w:sz w:val="24"/>
                <w:szCs w:val="20"/>
              </w:rPr>
              <w:t xml:space="preserve">分，不满足或不提供得0分。  </w:t>
            </w:r>
          </w:p>
          <w:p w14:paraId="4990E283">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c>
          <w:tcPr>
            <w:tcW w:w="923" w:type="dxa"/>
            <w:noWrap w:val="0"/>
            <w:vAlign w:val="center"/>
          </w:tcPr>
          <w:p w14:paraId="5F15F744">
            <w:pPr>
              <w:keepNext w:val="0"/>
              <w:keepLines w:val="0"/>
              <w:pageBreakBefore w:val="0"/>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4"/>
                <w:lang w:eastAsia="zh-CN"/>
              </w:rPr>
            </w:pPr>
            <w:r>
              <w:rPr>
                <w:rFonts w:hint="eastAsia" w:ascii="宋体" w:hAnsi="宋体" w:cs="宋体"/>
                <w:sz w:val="24"/>
              </w:rPr>
              <w:t>3</w:t>
            </w:r>
            <w:r>
              <w:rPr>
                <w:rFonts w:hint="eastAsia" w:ascii="宋体" w:hAnsi="宋体" w:cs="宋体"/>
                <w:sz w:val="24"/>
                <w:lang w:val="en-US" w:eastAsia="zh-CN"/>
              </w:rPr>
              <w:t>6</w:t>
            </w:r>
          </w:p>
        </w:tc>
      </w:tr>
      <w:tr w14:paraId="06565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62418E0C">
            <w:pPr>
              <w:keepNext w:val="0"/>
              <w:keepLines w:val="0"/>
              <w:pageBreakBefore w:val="0"/>
              <w:kinsoku/>
              <w:wordWrap/>
              <w:overflowPunct/>
              <w:topLinePunct w:val="0"/>
              <w:autoSpaceDE/>
              <w:autoSpaceDN/>
              <w:bidi w:val="0"/>
              <w:adjustRightInd/>
              <w:snapToGrid/>
              <w:spacing w:line="360" w:lineRule="exact"/>
              <w:ind w:left="0" w:right="0" w:firstLine="0"/>
              <w:jc w:val="center"/>
              <w:textAlignment w:val="auto"/>
              <w:rPr>
                <w:rFonts w:hint="eastAsia" w:ascii="宋体" w:hAnsi="宋体" w:cs="宋体"/>
                <w:sz w:val="24"/>
              </w:rPr>
            </w:pPr>
            <w:r>
              <w:rPr>
                <w:rFonts w:hint="eastAsia" w:ascii="宋体" w:hAnsi="宋体" w:cs="宋体"/>
                <w:bCs/>
                <w:sz w:val="24"/>
              </w:rPr>
              <w:t>体系认证</w:t>
            </w:r>
          </w:p>
        </w:tc>
        <w:tc>
          <w:tcPr>
            <w:tcW w:w="6532" w:type="dxa"/>
            <w:noWrap w:val="0"/>
            <w:vAlign w:val="center"/>
          </w:tcPr>
          <w:p w14:paraId="6AA40B52">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投标人取得有效期内且通过年检的质量管理体系认证证书、环境管理体系认证证书、职业健康安全管理体系认证证书，每提供1项证书得</w:t>
            </w:r>
            <w:r>
              <w:rPr>
                <w:rFonts w:hint="eastAsia" w:ascii="宋体" w:hAnsi="宋体" w:eastAsia="宋体" w:cs="宋体"/>
                <w:color w:val="000000"/>
                <w:sz w:val="24"/>
                <w:szCs w:val="20"/>
                <w:lang w:val="en-US" w:eastAsia="zh-CN"/>
              </w:rPr>
              <w:t>2</w:t>
            </w:r>
            <w:r>
              <w:rPr>
                <w:rFonts w:hint="eastAsia" w:ascii="宋体" w:hAnsi="宋体" w:eastAsia="宋体" w:cs="宋体"/>
                <w:color w:val="000000"/>
                <w:sz w:val="24"/>
                <w:szCs w:val="20"/>
              </w:rPr>
              <w:t>分，最高得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67DD8C83">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p>
        </w:tc>
        <w:tc>
          <w:tcPr>
            <w:tcW w:w="923" w:type="dxa"/>
            <w:noWrap w:val="0"/>
            <w:vAlign w:val="center"/>
          </w:tcPr>
          <w:p w14:paraId="230D97A5">
            <w:pPr>
              <w:keepNext w:val="0"/>
              <w:keepLines w:val="0"/>
              <w:pageBreakBefore w:val="0"/>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4"/>
                <w:lang w:eastAsia="zh-CN"/>
              </w:rPr>
            </w:pPr>
            <w:r>
              <w:rPr>
                <w:rFonts w:hint="eastAsia" w:ascii="宋体" w:hAnsi="宋体" w:cs="宋体"/>
                <w:sz w:val="24"/>
                <w:lang w:val="en-US" w:eastAsia="zh-CN"/>
              </w:rPr>
              <w:t>6</w:t>
            </w:r>
          </w:p>
        </w:tc>
      </w:tr>
      <w:tr w14:paraId="24DFA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3186B9CA">
            <w:pPr>
              <w:bidi w:val="0"/>
              <w:rPr>
                <w:rFonts w:hint="eastAsia"/>
              </w:rPr>
            </w:pPr>
            <w:r>
              <w:rPr>
                <w:rFonts w:hint="eastAsia"/>
              </w:rPr>
              <w:t>企业业绩</w:t>
            </w:r>
          </w:p>
        </w:tc>
        <w:tc>
          <w:tcPr>
            <w:tcW w:w="6532" w:type="dxa"/>
            <w:noWrap w:val="0"/>
            <w:vAlign w:val="center"/>
          </w:tcPr>
          <w:p w14:paraId="3F9FF5C7">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投标人自202</w:t>
            </w:r>
            <w:r>
              <w:rPr>
                <w:rFonts w:hint="eastAsia" w:ascii="宋体" w:hAnsi="宋体" w:eastAsia="宋体" w:cs="宋体"/>
                <w:color w:val="000000"/>
                <w:sz w:val="24"/>
                <w:szCs w:val="20"/>
                <w:lang w:val="en-US" w:eastAsia="zh-CN"/>
              </w:rPr>
              <w:t>3</w:t>
            </w:r>
            <w:r>
              <w:rPr>
                <w:rFonts w:hint="eastAsia" w:ascii="宋体" w:hAnsi="宋体" w:eastAsia="宋体" w:cs="宋体"/>
                <w:color w:val="000000"/>
                <w:sz w:val="24"/>
                <w:szCs w:val="20"/>
              </w:rPr>
              <w:t>年1月1日以来(以合同签订时间为准)承接过类似物业服务业绩，每提供1个类似业绩得</w:t>
            </w:r>
            <w:r>
              <w:rPr>
                <w:rFonts w:hint="eastAsia" w:ascii="宋体" w:hAnsi="宋体" w:eastAsia="宋体" w:cs="宋体"/>
                <w:color w:val="000000"/>
                <w:sz w:val="24"/>
                <w:szCs w:val="20"/>
                <w:lang w:val="en-US" w:eastAsia="zh-CN"/>
              </w:rPr>
              <w:t>2</w:t>
            </w:r>
            <w:r>
              <w:rPr>
                <w:rFonts w:hint="eastAsia" w:ascii="宋体" w:hAnsi="宋体" w:eastAsia="宋体" w:cs="宋体"/>
                <w:color w:val="000000"/>
                <w:sz w:val="24"/>
                <w:szCs w:val="20"/>
              </w:rPr>
              <w:t>分，本项最高得</w:t>
            </w:r>
            <w:r>
              <w:rPr>
                <w:rFonts w:hint="eastAsia" w:ascii="宋体" w:hAnsi="宋体" w:eastAsia="宋体" w:cs="宋体"/>
                <w:color w:val="000000"/>
                <w:sz w:val="24"/>
                <w:szCs w:val="20"/>
                <w:lang w:val="en-US" w:eastAsia="zh-CN"/>
              </w:rPr>
              <w:t>8</w:t>
            </w:r>
            <w:r>
              <w:rPr>
                <w:rFonts w:hint="eastAsia" w:ascii="宋体" w:hAnsi="宋体" w:eastAsia="宋体" w:cs="宋体"/>
                <w:color w:val="000000"/>
                <w:sz w:val="24"/>
                <w:szCs w:val="20"/>
              </w:rPr>
              <w:t>分。</w:t>
            </w:r>
          </w:p>
          <w:p w14:paraId="79BED07C">
            <w:pPr>
              <w:keepNext w:val="0"/>
              <w:keepLines w:val="0"/>
              <w:pageBreakBefore w:val="0"/>
              <w:widowControl/>
              <w:kinsoku/>
              <w:wordWrap/>
              <w:overflowPunct/>
              <w:topLinePunct w:val="0"/>
              <w:autoSpaceDE/>
              <w:autoSpaceDN/>
              <w:bidi w:val="0"/>
              <w:adjustRightInd/>
              <w:snapToGrid/>
              <w:spacing w:line="360" w:lineRule="exact"/>
              <w:ind w:left="0" w:right="0" w:firstLine="0"/>
              <w:jc w:val="left"/>
              <w:textAlignment w:val="auto"/>
              <w:rPr>
                <w:rFonts w:hint="eastAsia" w:ascii="宋体" w:hAnsi="宋体" w:eastAsia="宋体" w:cs="宋体"/>
                <w:color w:val="000000"/>
                <w:sz w:val="24"/>
                <w:szCs w:val="20"/>
              </w:rPr>
            </w:pPr>
            <w:r>
              <w:rPr>
                <w:rFonts w:hint="eastAsia" w:ascii="宋体" w:hAnsi="宋体" w:eastAsia="宋体" w:cs="宋体"/>
                <w:color w:val="000000"/>
                <w:sz w:val="24"/>
                <w:szCs w:val="20"/>
              </w:rPr>
              <w:t>注：同项目不同年份不重复计分。投标人须提供合同</w:t>
            </w:r>
            <w:r>
              <w:rPr>
                <w:rFonts w:hint="eastAsia" w:ascii="宋体" w:hAnsi="宋体" w:eastAsia="宋体" w:cs="宋体"/>
                <w:color w:val="000000"/>
                <w:sz w:val="24"/>
                <w:szCs w:val="20"/>
                <w:lang w:val="en-US" w:eastAsia="zh-CN"/>
              </w:rPr>
              <w:t>扫描件</w:t>
            </w:r>
            <w:r>
              <w:rPr>
                <w:rFonts w:hint="eastAsia" w:ascii="宋体" w:hAnsi="宋体" w:eastAsia="宋体" w:cs="宋体"/>
                <w:color w:val="000000"/>
                <w:sz w:val="24"/>
                <w:szCs w:val="20"/>
              </w:rPr>
              <w:t>并加盖投标人公章，否则不计分。</w:t>
            </w:r>
          </w:p>
        </w:tc>
        <w:tc>
          <w:tcPr>
            <w:tcW w:w="923" w:type="dxa"/>
            <w:noWrap w:val="0"/>
            <w:vAlign w:val="center"/>
          </w:tcPr>
          <w:p w14:paraId="416B80C3">
            <w:pPr>
              <w:keepNext w:val="0"/>
              <w:keepLines w:val="0"/>
              <w:pageBreakBefore w:val="0"/>
              <w:kinsoku/>
              <w:wordWrap/>
              <w:overflowPunct/>
              <w:topLinePunct w:val="0"/>
              <w:autoSpaceDE/>
              <w:autoSpaceDN/>
              <w:bidi w:val="0"/>
              <w:adjustRightInd/>
              <w:snapToGrid/>
              <w:spacing w:line="360" w:lineRule="exact"/>
              <w:ind w:left="0" w:right="0" w:firstLine="0"/>
              <w:jc w:val="center"/>
              <w:textAlignment w:val="auto"/>
              <w:rPr>
                <w:rFonts w:hint="eastAsia" w:ascii="宋体" w:hAnsi="宋体" w:eastAsia="宋体" w:cs="宋体"/>
                <w:sz w:val="24"/>
                <w:lang w:val="en-US" w:eastAsia="zh-CN"/>
              </w:rPr>
            </w:pPr>
            <w:r>
              <w:rPr>
                <w:rFonts w:hint="eastAsia" w:ascii="宋体" w:hAnsi="宋体" w:cs="宋体"/>
                <w:sz w:val="24"/>
                <w:lang w:val="en-US" w:eastAsia="zh-CN"/>
              </w:rPr>
              <w:t>8</w:t>
            </w:r>
          </w:p>
        </w:tc>
      </w:tr>
    </w:tbl>
    <w:p w14:paraId="3674E39A">
      <w:pPr>
        <w:spacing w:line="560" w:lineRule="exact"/>
        <w:ind w:firstLine="480"/>
        <w:jc w:val="left"/>
        <w:rPr>
          <w:rFonts w:hint="eastAsia"/>
          <w:b/>
          <w:bCs/>
          <w:i/>
          <w:iCs/>
          <w:color w:val="FF0000"/>
          <w:sz w:val="24"/>
          <w:szCs w:val="24"/>
          <w:highlight w:val="none"/>
          <w:u w:val="single"/>
        </w:rPr>
      </w:pPr>
      <w:r>
        <w:rPr>
          <w:rFonts w:hint="eastAsia"/>
          <w:b/>
          <w:bCs/>
          <w:i/>
          <w:iCs/>
          <w:color w:val="FF0000"/>
          <w:sz w:val="24"/>
          <w:szCs w:val="24"/>
          <w:highlight w:val="none"/>
          <w:u w:val="single"/>
        </w:rPr>
        <w:t>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p>
    <w:p w14:paraId="3EB8276E">
      <w:pPr>
        <w:rPr>
          <w:rFonts w:ascii="宋体" w:hAnsi="宋体" w:cs="宋体"/>
          <w:bCs/>
          <w:sz w:val="44"/>
        </w:rPr>
      </w:pPr>
      <w:r>
        <w:rPr>
          <w:rFonts w:hint="eastAsia" w:ascii="宋体" w:hAnsi="宋体" w:cs="宋体"/>
          <w:bCs/>
          <w:sz w:val="44"/>
        </w:rPr>
        <w:br w:type="page" w:clear="all"/>
      </w:r>
    </w:p>
    <w:p w14:paraId="744F0238">
      <w:pPr>
        <w:pStyle w:val="197"/>
        <w:spacing w:line="360" w:lineRule="auto"/>
        <w:rPr>
          <w:rFonts w:ascii="宋体" w:hAnsi="宋体" w:eastAsia="宋体" w:cs="宋体"/>
          <w:bCs/>
          <w:sz w:val="44"/>
        </w:rPr>
      </w:pPr>
    </w:p>
    <w:p w14:paraId="4CD1B51C">
      <w:pPr>
        <w:pStyle w:val="197"/>
        <w:spacing w:line="360" w:lineRule="auto"/>
        <w:rPr>
          <w:rFonts w:ascii="黑体" w:hAnsi="黑体" w:eastAsia="黑体" w:cs="黑体"/>
          <w:sz w:val="44"/>
          <w:szCs w:val="44"/>
        </w:rPr>
      </w:pPr>
      <w:r>
        <w:rPr>
          <w:rFonts w:hint="eastAsia" w:ascii="黑体" w:hAnsi="黑体" w:eastAsia="黑体" w:cs="黑体"/>
          <w:bCs/>
          <w:sz w:val="44"/>
        </w:rPr>
        <w:t>第六章 投标文件格式</w:t>
      </w:r>
      <w:bookmarkEnd w:id="6"/>
    </w:p>
    <w:p w14:paraId="7F6D328F">
      <w:pPr>
        <w:spacing w:line="360" w:lineRule="auto"/>
        <w:rPr>
          <w:rFonts w:ascii="宋体" w:hAnsi="宋体" w:cs="宋体"/>
          <w:b/>
          <w:sz w:val="72"/>
        </w:rPr>
      </w:pPr>
      <w:bookmarkStart w:id="11" w:name="_Toc23368"/>
      <w:bookmarkEnd w:id="11"/>
    </w:p>
    <w:p w14:paraId="4EA8A8E0">
      <w:pPr>
        <w:widowControl/>
        <w:jc w:val="center"/>
        <w:rPr>
          <w:rFonts w:ascii="方正小标宋_GBK" w:hAnsi="宋体" w:eastAsia="方正小标宋_GBK"/>
          <w:color w:val="000000"/>
          <w:sz w:val="84"/>
          <w:szCs w:val="84"/>
        </w:rPr>
      </w:pPr>
      <w:r>
        <w:rPr>
          <w:rFonts w:hint="eastAsia" w:ascii="方正小标宋_GBK" w:hAnsi="宋体" w:eastAsia="方正小标宋_GBK"/>
          <w:color w:val="000000"/>
          <w:sz w:val="84"/>
          <w:szCs w:val="84"/>
        </w:rPr>
        <w:t>投 标 文 件</w:t>
      </w:r>
    </w:p>
    <w:p w14:paraId="28F43452">
      <w:pPr>
        <w:pStyle w:val="198"/>
        <w:spacing w:beforeAutospacing="0" w:afterAutospacing="0" w:line="360" w:lineRule="auto"/>
        <w:ind w:firstLine="723"/>
        <w:jc w:val="both"/>
        <w:rPr>
          <w:b/>
          <w:sz w:val="36"/>
          <w:szCs w:val="36"/>
        </w:rPr>
      </w:pPr>
    </w:p>
    <w:p w14:paraId="29205A60">
      <w:pPr>
        <w:pStyle w:val="198"/>
        <w:spacing w:beforeAutospacing="0" w:afterAutospacing="0" w:line="360" w:lineRule="auto"/>
        <w:ind w:firstLine="723"/>
        <w:jc w:val="both"/>
        <w:rPr>
          <w:b/>
          <w:sz w:val="36"/>
          <w:szCs w:val="36"/>
        </w:rPr>
      </w:pPr>
    </w:p>
    <w:p w14:paraId="2EB10F17">
      <w:pPr>
        <w:pStyle w:val="198"/>
        <w:spacing w:beforeAutospacing="0" w:afterAutospacing="0" w:line="360" w:lineRule="auto"/>
        <w:ind w:firstLine="723"/>
        <w:jc w:val="both"/>
        <w:rPr>
          <w:b/>
          <w:sz w:val="36"/>
          <w:szCs w:val="36"/>
        </w:rPr>
      </w:pPr>
    </w:p>
    <w:p w14:paraId="2A9BCF2B">
      <w:pPr>
        <w:pStyle w:val="198"/>
        <w:spacing w:beforeAutospacing="0" w:afterAutospacing="0" w:line="500" w:lineRule="exact"/>
        <w:ind w:firstLine="1446"/>
        <w:jc w:val="both"/>
      </w:pPr>
      <w:bookmarkStart w:id="12" w:name="_Toc9337"/>
      <w:r>
        <w:rPr>
          <w:rFonts w:hint="eastAsia"/>
          <w:b/>
          <w:sz w:val="36"/>
          <w:szCs w:val="36"/>
        </w:rPr>
        <w:t>项 目 名 称：</w:t>
      </w:r>
      <w:r>
        <w:rPr>
          <w:rFonts w:hint="eastAsia"/>
          <w:b/>
          <w:sz w:val="36"/>
          <w:szCs w:val="36"/>
          <w:u w:val="single"/>
        </w:rPr>
        <w:t xml:space="preserve">                   </w:t>
      </w:r>
      <w:bookmarkEnd w:id="12"/>
    </w:p>
    <w:p w14:paraId="0E110CAB">
      <w:pPr>
        <w:pStyle w:val="198"/>
        <w:spacing w:beforeAutospacing="0" w:afterAutospacing="0" w:line="500" w:lineRule="exact"/>
        <w:ind w:firstLine="1446"/>
        <w:jc w:val="both"/>
        <w:rPr>
          <w:b/>
          <w:sz w:val="36"/>
          <w:szCs w:val="36"/>
          <w:u w:val="single"/>
        </w:rPr>
      </w:pPr>
      <w:bookmarkStart w:id="13" w:name="_Toc24100"/>
      <w:r>
        <w:rPr>
          <w:rFonts w:hint="eastAsia"/>
          <w:b/>
          <w:sz w:val="36"/>
          <w:szCs w:val="36"/>
        </w:rPr>
        <w:t>项 目 编 号：</w:t>
      </w:r>
      <w:r>
        <w:rPr>
          <w:rFonts w:hint="eastAsia"/>
          <w:b/>
          <w:sz w:val="36"/>
          <w:szCs w:val="36"/>
          <w:u w:val="single"/>
        </w:rPr>
        <w:t xml:space="preserve">        </w:t>
      </w:r>
      <w:bookmarkEnd w:id="13"/>
      <w:r>
        <w:rPr>
          <w:rFonts w:hint="eastAsia"/>
          <w:b/>
          <w:sz w:val="36"/>
          <w:szCs w:val="36"/>
          <w:u w:val="single"/>
        </w:rPr>
        <w:t xml:space="preserve">           </w:t>
      </w:r>
    </w:p>
    <w:p w14:paraId="3861F6EA">
      <w:pPr>
        <w:pStyle w:val="198"/>
        <w:spacing w:beforeAutospacing="0" w:afterAutospacing="0" w:line="500" w:lineRule="exact"/>
        <w:ind w:firstLine="1446"/>
        <w:jc w:val="both"/>
        <w:rPr>
          <w:b/>
          <w:sz w:val="36"/>
          <w:szCs w:val="36"/>
          <w:u w:val="single"/>
        </w:rPr>
      </w:pPr>
      <w:bookmarkStart w:id="14" w:name="_Toc7579"/>
      <w:r>
        <w:rPr>
          <w:rFonts w:hint="eastAsia"/>
          <w:b/>
          <w:sz w:val="36"/>
          <w:szCs w:val="36"/>
        </w:rPr>
        <w:t>投标人名称 ：</w:t>
      </w:r>
      <w:r>
        <w:rPr>
          <w:rFonts w:hint="eastAsia"/>
          <w:b/>
          <w:sz w:val="36"/>
          <w:szCs w:val="36"/>
          <w:u w:val="single"/>
        </w:rPr>
        <w:t>（加盖CA电子公章）</w:t>
      </w:r>
      <w:bookmarkEnd w:id="14"/>
      <w:r>
        <w:rPr>
          <w:rFonts w:hint="eastAsia"/>
          <w:b/>
          <w:sz w:val="36"/>
          <w:szCs w:val="36"/>
          <w:u w:val="single"/>
        </w:rPr>
        <w:t xml:space="preserve"> </w:t>
      </w:r>
    </w:p>
    <w:p w14:paraId="22E4CCAA">
      <w:pPr>
        <w:pStyle w:val="198"/>
        <w:spacing w:beforeAutospacing="0" w:afterAutospacing="0" w:line="500" w:lineRule="exact"/>
        <w:ind w:firstLine="1446"/>
        <w:jc w:val="both"/>
      </w:pPr>
      <w:bookmarkStart w:id="15" w:name="_Toc21823"/>
      <w:r>
        <w:rPr>
          <w:rFonts w:hint="eastAsia"/>
          <w:b/>
          <w:sz w:val="36"/>
          <w:szCs w:val="36"/>
        </w:rPr>
        <w:t>日    期 ：</w:t>
      </w:r>
      <w:r>
        <w:rPr>
          <w:rFonts w:hint="eastAsia"/>
          <w:b/>
          <w:sz w:val="36"/>
          <w:szCs w:val="36"/>
          <w:u w:val="single"/>
        </w:rPr>
        <w:t>                   </w:t>
      </w:r>
      <w:bookmarkEnd w:id="15"/>
    </w:p>
    <w:p w14:paraId="172A7270">
      <w:r>
        <w:rPr>
          <w:rFonts w:hint="eastAsia" w:ascii="宋体" w:hAnsi="宋体" w:cs="宋体"/>
          <w:b/>
          <w:bCs/>
          <w:sz w:val="32"/>
          <w:szCs w:val="32"/>
        </w:rPr>
        <w:br w:type="page" w:clear="all"/>
      </w:r>
      <w:r>
        <w:rPr>
          <w:rFonts w:hint="eastAsia" w:ascii="宋体" w:hAnsi="宋体" w:cs="宋体"/>
          <w:b/>
          <w:bCs/>
          <w:sz w:val="32"/>
          <w:szCs w:val="32"/>
          <w:lang w:val="en-US" w:eastAsia="zh-CN"/>
        </w:rPr>
        <w:t xml:space="preserve">                  </w:t>
      </w:r>
      <w:r>
        <w:rPr>
          <w:rFonts w:hint="eastAsia"/>
          <w:b/>
          <w:bCs/>
          <w:sz w:val="32"/>
          <w:szCs w:val="32"/>
        </w:rPr>
        <w:t>投标文件目录</w:t>
      </w:r>
    </w:p>
    <w:p w14:paraId="7688AB74">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一、法人或者其他组织的营业执照等证明文件，</w:t>
      </w:r>
      <w:r>
        <w:rPr>
          <w:rFonts w:hint="eastAsia" w:ascii="宋体" w:hAnsi="宋体" w:cs="宋体"/>
          <w:color w:val="000000"/>
          <w:sz w:val="24"/>
          <w:lang w:val="en-US" w:eastAsia="zh-CN"/>
        </w:rPr>
        <w:t>或</w:t>
      </w:r>
      <w:r>
        <w:rPr>
          <w:rFonts w:hint="eastAsia" w:ascii="宋体" w:hAnsi="宋体" w:eastAsia="宋体" w:cs="宋体"/>
          <w:color w:val="000000"/>
          <w:sz w:val="24"/>
        </w:rPr>
        <w:t>自然人的身份证明</w:t>
      </w:r>
    </w:p>
    <w:p w14:paraId="550A11F9">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二、</w:t>
      </w:r>
      <w:r>
        <w:rPr>
          <w:rFonts w:hint="eastAsia" w:ascii="宋体" w:hAnsi="宋体" w:eastAsia="宋体" w:cs="宋体"/>
          <w:color w:val="000000"/>
          <w:sz w:val="24"/>
          <w:szCs w:val="20"/>
        </w:rPr>
        <w:t xml:space="preserve"> </w:t>
      </w:r>
      <w:r>
        <w:rPr>
          <w:rFonts w:hint="eastAsia" w:ascii="宋体" w:hAnsi="宋体" w:cs="宋体"/>
          <w:sz w:val="24"/>
          <w:szCs w:val="20"/>
        </w:rPr>
        <w:t>上一年度的财务状况报表（</w:t>
      </w:r>
      <w:r>
        <w:rPr>
          <w:rFonts w:hint="eastAsia" w:ascii="宋体" w:hAnsi="宋体" w:eastAsia="宋体" w:cs="宋体"/>
          <w:color w:val="auto"/>
          <w:sz w:val="24"/>
          <w:highlight w:val="none"/>
          <w:lang w:val="en-US" w:eastAsia="zh-CN"/>
        </w:rPr>
        <w:t>至少提供资产负债表、利润表、现金流量表，</w:t>
      </w:r>
      <w:r>
        <w:rPr>
          <w:rFonts w:hint="eastAsia" w:ascii="宋体" w:hAnsi="宋体" w:eastAsia="宋体" w:cs="宋体"/>
          <w:color w:val="auto"/>
          <w:sz w:val="24"/>
          <w:highlight w:val="none"/>
        </w:rPr>
        <w:t>投标人成立不满一年无需提供</w:t>
      </w:r>
      <w:r>
        <w:rPr>
          <w:rFonts w:hint="eastAsia" w:ascii="宋体" w:hAnsi="宋体" w:cs="宋体"/>
          <w:sz w:val="24"/>
          <w:szCs w:val="20"/>
        </w:rPr>
        <w:t>）</w:t>
      </w:r>
      <w:r>
        <w:rPr>
          <w:rFonts w:hint="eastAsia" w:ascii="宋体" w:hAnsi="宋体" w:cs="宋体"/>
          <w:sz w:val="24"/>
          <w:szCs w:val="20"/>
          <w:lang w:eastAsia="zh-CN"/>
        </w:rPr>
        <w:t>。</w:t>
      </w:r>
    </w:p>
    <w:p w14:paraId="6AAE4BF3">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三、具备履行合同所必需的设备和专业技术能力的书面声明</w:t>
      </w:r>
    </w:p>
    <w:p w14:paraId="519A091C">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73081A8A">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五、参加政府采购活动前3年内在经营活动中没有重大违法记录的书面声明</w:t>
      </w:r>
    </w:p>
    <w:p w14:paraId="6D59A1EC">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六、单位负责人为同一人或者存在直接控股、管理关系的不同供应商，不得参加同一合同项下的政府采购活动（投标文件中需提供声明）</w:t>
      </w:r>
    </w:p>
    <w:p w14:paraId="0CCEB23D">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七、特定资格要求的证明文件（如果本项目设置特定资格要求，则需要提供）</w:t>
      </w:r>
    </w:p>
    <w:p w14:paraId="1B518C75">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八、法人授权书</w:t>
      </w:r>
    </w:p>
    <w:p w14:paraId="0ADDF531">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九、投标函</w:t>
      </w:r>
    </w:p>
    <w:p w14:paraId="3EE79126">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十、中小企业声明函</w:t>
      </w:r>
    </w:p>
    <w:p w14:paraId="20647106">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十一、残疾人福利性单位声明函</w:t>
      </w:r>
    </w:p>
    <w:p w14:paraId="4C6B612D">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lang w:val="en-US" w:eastAsia="zh-CN"/>
        </w:rPr>
        <w:t>十</w:t>
      </w:r>
      <w:r>
        <w:rPr>
          <w:rFonts w:hint="eastAsia" w:ascii="宋体" w:hAnsi="宋体" w:cs="宋体"/>
          <w:color w:val="000000"/>
          <w:sz w:val="24"/>
          <w:lang w:val="en-US" w:eastAsia="zh-CN"/>
        </w:rPr>
        <w:t>二</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投标分项报价表</w:t>
      </w:r>
    </w:p>
    <w:p w14:paraId="6E4D39D8">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十</w:t>
      </w:r>
      <w:r>
        <w:rPr>
          <w:rFonts w:hint="eastAsia" w:ascii="宋体" w:hAnsi="宋体" w:cs="宋体"/>
          <w:color w:val="000000"/>
          <w:sz w:val="24"/>
          <w:lang w:val="en-US" w:eastAsia="zh-CN"/>
        </w:rPr>
        <w:t>三</w:t>
      </w:r>
      <w:r>
        <w:rPr>
          <w:rFonts w:hint="eastAsia" w:ascii="宋体" w:hAnsi="宋体" w:eastAsia="宋体" w:cs="宋体"/>
          <w:color w:val="000000"/>
          <w:sz w:val="24"/>
        </w:rPr>
        <w:t>、技术要求响应及偏离表</w:t>
      </w:r>
    </w:p>
    <w:p w14:paraId="6D2ABD48">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十</w:t>
      </w:r>
      <w:r>
        <w:rPr>
          <w:rFonts w:hint="eastAsia" w:ascii="宋体" w:hAnsi="宋体" w:cs="宋体"/>
          <w:color w:val="000000"/>
          <w:sz w:val="24"/>
          <w:lang w:val="en-US" w:eastAsia="zh-CN"/>
        </w:rPr>
        <w:t>四</w:t>
      </w:r>
      <w:r>
        <w:rPr>
          <w:rFonts w:hint="eastAsia" w:ascii="宋体" w:hAnsi="宋体" w:eastAsia="宋体" w:cs="宋体"/>
          <w:color w:val="000000"/>
          <w:sz w:val="24"/>
        </w:rPr>
        <w:t>、商务要求响应及偏离表</w:t>
      </w:r>
    </w:p>
    <w:p w14:paraId="54CCBD0F">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十</w:t>
      </w:r>
      <w:r>
        <w:rPr>
          <w:rFonts w:hint="eastAsia" w:ascii="宋体" w:hAnsi="宋体" w:cs="宋体"/>
          <w:color w:val="000000"/>
          <w:sz w:val="24"/>
          <w:lang w:val="en-US" w:eastAsia="zh-CN"/>
        </w:rPr>
        <w:t>五</w:t>
      </w:r>
      <w:r>
        <w:rPr>
          <w:rFonts w:hint="eastAsia" w:ascii="宋体" w:hAnsi="宋体" w:eastAsia="宋体" w:cs="宋体"/>
          <w:color w:val="000000"/>
          <w:sz w:val="24"/>
        </w:rPr>
        <w:t>、开标一览表</w:t>
      </w:r>
    </w:p>
    <w:p w14:paraId="6D2BE071">
      <w:pPr>
        <w:widowControl/>
        <w:spacing w:line="360" w:lineRule="auto"/>
        <w:ind w:firstLine="561"/>
        <w:outlineLvl w:val="1"/>
        <w:rPr>
          <w:rFonts w:hint="eastAsia" w:ascii="宋体" w:hAnsi="宋体" w:eastAsia="宋体" w:cs="宋体"/>
          <w:color w:val="000000"/>
          <w:sz w:val="24"/>
        </w:rPr>
      </w:pPr>
      <w:r>
        <w:rPr>
          <w:rFonts w:hint="eastAsia" w:ascii="宋体" w:hAnsi="宋体" w:eastAsia="宋体" w:cs="宋体"/>
          <w:color w:val="000000"/>
          <w:sz w:val="24"/>
        </w:rPr>
        <w:t>十</w:t>
      </w:r>
      <w:r>
        <w:rPr>
          <w:rFonts w:hint="eastAsia" w:ascii="宋体" w:hAnsi="宋体" w:eastAsia="宋体" w:cs="宋体"/>
          <w:color w:val="000000"/>
          <w:sz w:val="24"/>
          <w:lang w:val="en-US" w:eastAsia="zh-CN"/>
        </w:rPr>
        <w:t>六</w:t>
      </w:r>
      <w:r>
        <w:rPr>
          <w:rFonts w:hint="eastAsia" w:ascii="宋体" w:hAnsi="宋体" w:eastAsia="宋体" w:cs="宋体"/>
          <w:color w:val="000000"/>
          <w:sz w:val="24"/>
        </w:rPr>
        <w:t>、服务方案等</w:t>
      </w:r>
    </w:p>
    <w:p w14:paraId="7051AC38">
      <w:pPr>
        <w:widowControl/>
        <w:spacing w:line="360" w:lineRule="auto"/>
        <w:ind w:firstLine="561"/>
        <w:outlineLvl w:val="1"/>
        <w:rPr>
          <w:rFonts w:hint="eastAsia" w:ascii="宋体" w:hAnsi="宋体" w:eastAsia="宋体" w:cs="宋体"/>
          <w:color w:val="000000"/>
          <w:sz w:val="24"/>
        </w:rPr>
      </w:pPr>
      <w:r>
        <w:rPr>
          <w:rFonts w:hint="eastAsia" w:ascii="宋体" w:hAnsi="宋体" w:eastAsia="宋体" w:cs="宋体"/>
          <w:color w:val="000000"/>
          <w:sz w:val="24"/>
        </w:rPr>
        <w:t>十</w:t>
      </w:r>
      <w:r>
        <w:rPr>
          <w:rFonts w:hint="eastAsia" w:ascii="宋体" w:hAnsi="宋体" w:eastAsia="宋体" w:cs="宋体"/>
          <w:color w:val="000000"/>
          <w:sz w:val="24"/>
          <w:lang w:val="en-US" w:eastAsia="zh-CN"/>
        </w:rPr>
        <w:t>七</w:t>
      </w:r>
      <w:r>
        <w:rPr>
          <w:rFonts w:hint="eastAsia" w:ascii="宋体" w:hAnsi="宋体" w:eastAsia="宋体" w:cs="宋体"/>
          <w:color w:val="000000"/>
          <w:sz w:val="24"/>
        </w:rPr>
        <w:t xml:space="preserve">、招标投标廉洁自律承诺保证书 </w:t>
      </w:r>
    </w:p>
    <w:p w14:paraId="41CC9B40">
      <w:pPr>
        <w:widowControl/>
        <w:spacing w:line="360" w:lineRule="auto"/>
        <w:ind w:firstLine="561"/>
        <w:outlineLvl w:val="1"/>
        <w:rPr>
          <w:rFonts w:hint="eastAsia" w:ascii="宋体" w:hAnsi="宋体" w:eastAsia="宋体" w:cs="宋体"/>
          <w:color w:val="000000"/>
          <w:sz w:val="24"/>
        </w:rPr>
      </w:pPr>
      <w:r>
        <w:rPr>
          <w:rFonts w:hint="eastAsia" w:ascii="宋体" w:hAnsi="宋体" w:eastAsia="宋体" w:cs="宋体"/>
          <w:color w:val="000000"/>
          <w:sz w:val="24"/>
        </w:rPr>
        <w:t>十</w:t>
      </w:r>
      <w:r>
        <w:rPr>
          <w:rFonts w:hint="eastAsia" w:ascii="宋体" w:hAnsi="宋体" w:eastAsia="宋体" w:cs="宋体"/>
          <w:color w:val="000000"/>
          <w:sz w:val="24"/>
          <w:lang w:val="en-US" w:eastAsia="zh-CN"/>
        </w:rPr>
        <w:t>八、</w:t>
      </w:r>
      <w:r>
        <w:rPr>
          <w:rFonts w:hint="eastAsia" w:ascii="宋体" w:hAnsi="宋体" w:eastAsia="宋体" w:cs="宋体"/>
          <w:color w:val="000000"/>
          <w:sz w:val="24"/>
        </w:rPr>
        <w:t>盐城市</w:t>
      </w:r>
      <w:r>
        <w:rPr>
          <w:rFonts w:hint="eastAsia" w:ascii="宋体" w:hAnsi="宋体" w:eastAsia="宋体" w:cs="宋体"/>
          <w:color w:val="000000"/>
          <w:sz w:val="24"/>
          <w:lang w:val="en-US" w:eastAsia="zh-CN"/>
        </w:rPr>
        <w:t>亭湖区</w:t>
      </w:r>
      <w:r>
        <w:rPr>
          <w:rFonts w:hint="eastAsia" w:ascii="宋体" w:hAnsi="宋体" w:eastAsia="宋体" w:cs="宋体"/>
          <w:color w:val="000000"/>
          <w:sz w:val="24"/>
        </w:rPr>
        <w:t>政府采购事前信用承诺书</w:t>
      </w:r>
    </w:p>
    <w:p w14:paraId="75899C50">
      <w:pPr>
        <w:widowControl/>
        <w:spacing w:line="360" w:lineRule="auto"/>
        <w:ind w:firstLine="561"/>
        <w:outlineLvl w:val="1"/>
        <w:rPr>
          <w:rFonts w:hint="eastAsia" w:ascii="宋体" w:hAnsi="宋体" w:eastAsia="宋体" w:cs="宋体"/>
          <w:color w:val="000000"/>
          <w:sz w:val="24"/>
        </w:rPr>
      </w:pPr>
      <w:r>
        <w:rPr>
          <w:rFonts w:hint="eastAsia" w:ascii="宋体" w:hAnsi="宋体" w:eastAsia="宋体" w:cs="宋体"/>
          <w:color w:val="000000"/>
          <w:sz w:val="24"/>
          <w:lang w:eastAsia="zh-CN"/>
        </w:rPr>
        <w:t>十九、根据</w:t>
      </w:r>
      <w:r>
        <w:rPr>
          <w:rFonts w:hint="eastAsia" w:ascii="宋体" w:hAnsi="宋体" w:eastAsia="宋体" w:cs="宋体"/>
          <w:color w:val="000000"/>
          <w:sz w:val="24"/>
        </w:rPr>
        <w:t>招标文件“第五章 评标方法与评标标准”的要求需要提供的材料</w:t>
      </w:r>
      <w:r>
        <w:rPr>
          <w:rFonts w:hint="eastAsia" w:ascii="宋体" w:hAnsi="宋体" w:eastAsia="宋体" w:cs="宋体"/>
          <w:color w:val="000000"/>
          <w:sz w:val="24"/>
          <w:lang w:eastAsia="zh-CN"/>
        </w:rPr>
        <w:t>及投标人</w:t>
      </w:r>
      <w:r>
        <w:rPr>
          <w:rFonts w:hint="eastAsia" w:ascii="宋体" w:hAnsi="宋体" w:eastAsia="宋体" w:cs="宋体"/>
          <w:color w:val="000000"/>
          <w:sz w:val="24"/>
        </w:rPr>
        <w:t>认为有必要提供的其他材料</w:t>
      </w:r>
      <w:r>
        <w:rPr>
          <w:rFonts w:hint="eastAsia" w:ascii="宋体" w:hAnsi="宋体" w:eastAsia="宋体" w:cs="宋体"/>
          <w:color w:val="000000"/>
          <w:sz w:val="24"/>
          <w:lang w:eastAsia="zh-CN"/>
        </w:rPr>
        <w:t>。</w:t>
      </w:r>
    </w:p>
    <w:p w14:paraId="27FC8A31">
      <w:pPr>
        <w:widowControl/>
        <w:spacing w:line="560" w:lineRule="exact"/>
        <w:ind w:firstLine="480"/>
        <w:outlineLvl w:val="1"/>
        <w:rPr>
          <w:rFonts w:hint="eastAsia" w:ascii="宋体" w:hAnsi="宋体" w:eastAsia="宋体" w:cs="宋体"/>
          <w:color w:val="000000"/>
          <w:sz w:val="24"/>
        </w:rPr>
      </w:pPr>
    </w:p>
    <w:p w14:paraId="164E53D5">
      <w:pPr>
        <w:widowControl/>
        <w:spacing w:line="500" w:lineRule="exact"/>
        <w:jc w:val="center"/>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一、法人或者其他组织的营业执照等证明文件，</w:t>
      </w:r>
      <w:r>
        <w:rPr>
          <w:rFonts w:hint="eastAsia" w:ascii="黑体" w:hAnsi="黑体" w:eastAsia="黑体" w:cs="黑体"/>
          <w:i/>
          <w:sz w:val="32"/>
          <w:szCs w:val="32"/>
          <w:u w:val="single"/>
          <w:lang w:val="en-US" w:eastAsia="zh-CN"/>
        </w:rPr>
        <w:t>或</w:t>
      </w:r>
      <w:r>
        <w:rPr>
          <w:rFonts w:hint="eastAsia" w:ascii="黑体" w:hAnsi="黑体" w:eastAsia="黑体" w:cs="黑体"/>
          <w:i/>
          <w:sz w:val="32"/>
          <w:szCs w:val="32"/>
          <w:u w:val="single"/>
        </w:rPr>
        <w:t>自然人的身份证明</w:t>
      </w:r>
    </w:p>
    <w:p w14:paraId="7E389729">
      <w:pPr>
        <w:widowControl/>
        <w:spacing w:line="500" w:lineRule="exact"/>
        <w:jc w:val="center"/>
        <w:rPr>
          <w:rFonts w:ascii="黑体" w:hAnsi="黑体" w:eastAsia="黑体" w:cs="黑体"/>
          <w:i/>
          <w:sz w:val="32"/>
          <w:szCs w:val="32"/>
          <w:u w:val="single"/>
        </w:rPr>
      </w:pPr>
      <w:r>
        <w:rPr>
          <w:rFonts w:hint="eastAsia" w:ascii="黑体" w:hAnsi="黑体" w:eastAsia="黑体" w:cs="黑体"/>
          <w:i/>
          <w:sz w:val="32"/>
          <w:szCs w:val="32"/>
          <w:u w:val="single"/>
        </w:rPr>
        <w:t>二、 上一年度的财务状况报表（</w:t>
      </w:r>
      <w:r>
        <w:rPr>
          <w:rFonts w:hint="eastAsia" w:ascii="黑体" w:hAnsi="黑体" w:eastAsia="黑体" w:cs="黑体"/>
          <w:i/>
          <w:color w:val="auto"/>
          <w:sz w:val="32"/>
          <w:szCs w:val="32"/>
          <w:highlight w:val="none"/>
          <w:u w:val="single"/>
          <w:lang w:val="en-US" w:eastAsia="zh-CN"/>
        </w:rPr>
        <w:t>至少提供资产负债表、利润表、现金流量表，</w:t>
      </w:r>
      <w:r>
        <w:rPr>
          <w:rFonts w:hint="eastAsia" w:ascii="黑体" w:hAnsi="黑体" w:eastAsia="黑体" w:cs="黑体"/>
          <w:i/>
          <w:color w:val="auto"/>
          <w:sz w:val="32"/>
          <w:szCs w:val="32"/>
          <w:highlight w:val="none"/>
          <w:u w:val="single"/>
        </w:rPr>
        <w:t>投标人成立不满一年无需提供</w:t>
      </w:r>
      <w:r>
        <w:rPr>
          <w:rFonts w:hint="eastAsia" w:ascii="黑体" w:hAnsi="黑体" w:eastAsia="黑体" w:cs="黑体"/>
          <w:i/>
          <w:sz w:val="32"/>
          <w:szCs w:val="32"/>
          <w:u w:val="single"/>
          <w:lang w:eastAsia="zh-CN"/>
        </w:rPr>
        <w:t>）</w:t>
      </w:r>
    </w:p>
    <w:p w14:paraId="76A4A7CF">
      <w:pPr>
        <w:tabs>
          <w:tab w:val="left" w:pos="1331"/>
        </w:tabs>
        <w:spacing w:line="500" w:lineRule="exact"/>
        <w:jc w:val="center"/>
        <w:rPr>
          <w:rFonts w:ascii="宋体" w:hAnsi="宋体" w:cs="宋体"/>
          <w:iCs/>
          <w:sz w:val="24"/>
        </w:rPr>
      </w:pPr>
      <w:r>
        <w:rPr>
          <w:rFonts w:hint="eastAsia" w:ascii="宋体" w:hAnsi="宋体" w:cs="宋体"/>
          <w:iCs/>
          <w:sz w:val="24"/>
        </w:rPr>
        <w:t>（至少提供资产负债表、利润表、现金流量表，投标人成立不满一年无需提供）</w:t>
      </w:r>
    </w:p>
    <w:p w14:paraId="57CC818C">
      <w:pPr>
        <w:widowControl/>
        <w:spacing w:before="180" w:line="500" w:lineRule="exact"/>
        <w:jc w:val="center"/>
        <w:rPr>
          <w:rFonts w:ascii="黑体" w:hAnsi="黑体" w:eastAsia="黑体" w:cs="黑体"/>
          <w:i/>
          <w:sz w:val="32"/>
          <w:szCs w:val="32"/>
          <w:u w:val="single"/>
        </w:rPr>
      </w:pPr>
      <w:r>
        <w:rPr>
          <w:rFonts w:hint="eastAsia" w:ascii="黑体" w:hAnsi="黑体" w:eastAsia="黑体" w:cs="黑体"/>
          <w:i/>
          <w:sz w:val="32"/>
          <w:szCs w:val="32"/>
          <w:u w:val="single"/>
        </w:rPr>
        <w:t>三、具备履行合同所必需的设备和专业技术能力的书面声明</w:t>
      </w:r>
    </w:p>
    <w:p w14:paraId="00966425">
      <w:pPr>
        <w:pStyle w:val="189"/>
        <w:spacing w:afterAutospacing="0" w:line="500" w:lineRule="exact"/>
        <w:ind w:firstLine="480"/>
        <w:jc w:val="both"/>
        <w:rPr>
          <w:rFonts w:ascii="宋体" w:hAnsi="宋体" w:eastAsia="宋体" w:cs="宋体"/>
        </w:rPr>
      </w:pPr>
      <w:r>
        <w:rPr>
          <w:rFonts w:hint="eastAsia" w:ascii="宋体" w:hAnsi="宋体" w:eastAsia="宋体" w:cs="宋体"/>
        </w:rPr>
        <w:t>我单位郑重声明：我单位具备履行本项采购合同所必需的设备和专业技术能力，为履行本项采购合同我公司具备如下主要设备和主要专业技术能力：</w:t>
      </w:r>
    </w:p>
    <w:p w14:paraId="5DB9D1B1">
      <w:pPr>
        <w:pStyle w:val="189"/>
        <w:spacing w:afterAutospacing="0" w:line="380" w:lineRule="exact"/>
        <w:ind w:firstLine="480"/>
        <w:jc w:val="both"/>
        <w:rPr>
          <w:rFonts w:ascii="宋体" w:hAnsi="宋体" w:cs="宋体"/>
        </w:rPr>
      </w:pPr>
      <w:r>
        <w:rPr>
          <w:rFonts w:hint="eastAsia" w:ascii="宋体" w:hAnsi="宋体" w:cs="宋体"/>
        </w:rPr>
        <w:t>主要设备有：</w:t>
      </w:r>
      <w:r>
        <w:rPr>
          <w:rFonts w:hint="eastAsia" w:ascii="宋体" w:hAnsi="宋体" w:cs="宋体"/>
          <w:u w:val="single"/>
        </w:rPr>
        <w:t xml:space="preserve">              </w:t>
      </w:r>
      <w:r>
        <w:rPr>
          <w:rFonts w:hint="eastAsia" w:ascii="宋体" w:hAnsi="宋体" w:cs="宋体"/>
        </w:rPr>
        <w:t>。</w:t>
      </w:r>
    </w:p>
    <w:p w14:paraId="563ED275">
      <w:pPr>
        <w:pStyle w:val="189"/>
        <w:spacing w:afterAutospacing="0" w:line="380" w:lineRule="exact"/>
        <w:ind w:firstLine="480"/>
        <w:jc w:val="both"/>
        <w:rPr>
          <w:rFonts w:ascii="宋体" w:hAnsi="宋体" w:cs="宋体"/>
        </w:rPr>
      </w:pPr>
      <w:r>
        <w:rPr>
          <w:rFonts w:hint="eastAsia" w:ascii="宋体" w:hAnsi="宋体" w:cs="宋体"/>
        </w:rPr>
        <w:t>主要专业技术能力有：</w:t>
      </w:r>
      <w:r>
        <w:rPr>
          <w:rFonts w:hint="eastAsia" w:ascii="宋体" w:hAnsi="宋体" w:cs="宋体"/>
          <w:u w:val="single"/>
        </w:rPr>
        <w:t xml:space="preserve">       </w:t>
      </w:r>
      <w:r>
        <w:rPr>
          <w:rFonts w:hint="eastAsia" w:ascii="宋体" w:hAnsi="宋体" w:cs="宋体"/>
        </w:rPr>
        <w:t>。</w:t>
      </w:r>
    </w:p>
    <w:p w14:paraId="242470F1">
      <w:pPr>
        <w:widowControl/>
        <w:spacing w:before="180" w:line="500" w:lineRule="exact"/>
        <w:jc w:val="center"/>
        <w:rPr>
          <w:rFonts w:ascii="黑体" w:hAnsi="黑体" w:eastAsia="黑体" w:cs="黑体"/>
          <w:i/>
          <w:sz w:val="32"/>
          <w:szCs w:val="32"/>
          <w:u w:val="single"/>
        </w:rPr>
      </w:pPr>
      <w:r>
        <w:rPr>
          <w:rFonts w:hint="eastAsia" w:ascii="黑体" w:hAnsi="黑体" w:eastAsia="黑体" w:cs="黑体"/>
          <w:i/>
          <w:sz w:val="32"/>
          <w:szCs w:val="32"/>
          <w:u w:val="single"/>
        </w:rPr>
        <w:t>四、依法缴纳税收和社会保障资金的相关材料</w:t>
      </w:r>
    </w:p>
    <w:p w14:paraId="388B5FF4">
      <w:pPr>
        <w:pStyle w:val="189"/>
        <w:spacing w:afterAutospacing="0" w:line="500" w:lineRule="exact"/>
        <w:ind w:firstLine="480"/>
        <w:jc w:val="both"/>
        <w:rPr>
          <w:rFonts w:ascii="宋体" w:hAnsi="宋体" w:eastAsia="宋体" w:cs="宋体"/>
        </w:rPr>
      </w:pPr>
      <w:r>
        <w:rPr>
          <w:rFonts w:hint="eastAsia" w:ascii="宋体" w:hAnsi="宋体" w:eastAsia="宋体" w:cs="宋体"/>
        </w:rPr>
        <w:t>提供提交响应文件截止时间前一年内至少一个月依法缴纳税收及缴纳社会保障资金的证明材料。供应商依法享受缓缴、免缴税收、社会保障资金的提供证明材料。</w:t>
      </w:r>
    </w:p>
    <w:p w14:paraId="2C0C61B7">
      <w:pPr>
        <w:widowControl/>
        <w:jc w:val="left"/>
        <w:rPr>
          <w:rFonts w:ascii="方正小标宋_GBK" w:hAnsi="宋体" w:eastAsia="方正小标宋_GBK" w:cs="黑体"/>
          <w:iCs/>
          <w:sz w:val="30"/>
          <w:szCs w:val="30"/>
        </w:rPr>
      </w:pPr>
    </w:p>
    <w:p w14:paraId="0BF436F5">
      <w:pPr>
        <w:widowControl/>
        <w:spacing w:before="180"/>
        <w:jc w:val="center"/>
        <w:rPr>
          <w:rFonts w:ascii="黑体" w:hAnsi="黑体" w:eastAsia="黑体" w:cs="黑体"/>
          <w:i/>
          <w:sz w:val="32"/>
          <w:szCs w:val="32"/>
          <w:u w:val="single"/>
        </w:rPr>
      </w:pPr>
      <w:r>
        <w:rPr>
          <w:rFonts w:hint="eastAsia" w:ascii="黑体" w:hAnsi="黑体" w:eastAsia="黑体" w:cs="黑体"/>
          <w:i/>
          <w:sz w:val="32"/>
          <w:szCs w:val="32"/>
          <w:u w:val="single"/>
        </w:rPr>
        <w:t>五、参加政府采购活动前3年内在经营活动中没有重大违法 记录的书面声明</w:t>
      </w:r>
    </w:p>
    <w:p w14:paraId="5EEAE03D">
      <w:pPr>
        <w:pStyle w:val="189"/>
        <w:widowControl/>
        <w:jc w:val="center"/>
        <w:rPr>
          <w:rFonts w:ascii="方正小标宋_GBK" w:eastAsia="方正小标宋_GBK"/>
          <w:bCs/>
        </w:rPr>
      </w:pPr>
      <w:r>
        <w:rPr>
          <w:rFonts w:hint="eastAsia" w:ascii="方正小标宋_GBK" w:hAnsi="宋体" w:eastAsia="方正小标宋_GBK" w:cs="宋体"/>
          <w:bCs/>
          <w:sz w:val="44"/>
          <w:szCs w:val="44"/>
        </w:rPr>
        <w:t>声  明</w:t>
      </w:r>
    </w:p>
    <w:p w14:paraId="7BF30451">
      <w:pPr>
        <w:pStyle w:val="189"/>
        <w:spacing w:line="560" w:lineRule="exact"/>
        <w:ind w:firstLine="480"/>
        <w:jc w:val="both"/>
        <w:rPr>
          <w:rFonts w:ascii="宋体" w:hAnsi="宋体" w:cs="宋体"/>
        </w:rPr>
      </w:pPr>
      <w:r>
        <w:rPr>
          <w:rFonts w:hint="eastAsia" w:ascii="宋体" w:hAnsi="宋体" w:cs="宋体"/>
        </w:rPr>
        <w:t>我单位郑重声明：参加本次政府采购活动前3年内，我单位在经营活动中没有因违法经营受到刑事处罚或者责令停产停业、吊销许可证或者执照、较大数额罚款等行政处罚。</w:t>
      </w:r>
    </w:p>
    <w:p w14:paraId="2AF08F5A">
      <w:pPr>
        <w:pStyle w:val="189"/>
        <w:widowControl/>
        <w:spacing w:line="560" w:lineRule="exact"/>
        <w:ind w:firstLine="492"/>
        <w:jc w:val="both"/>
        <w:rPr>
          <w:rFonts w:ascii="黑体" w:hAnsi="黑体" w:eastAsia="黑体" w:cs="黑体"/>
          <w:i/>
          <w:sz w:val="32"/>
          <w:szCs w:val="32"/>
          <w:u w:val="single"/>
        </w:rPr>
      </w:pPr>
      <w:r>
        <w:rPr>
          <w:rFonts w:hint="eastAsia" w:ascii="宋体" w:hAnsi="宋体" w:eastAsia="宋体" w:cs="宋体"/>
        </w:rPr>
        <w:t> </w:t>
      </w:r>
      <w:r>
        <w:rPr>
          <w:rFonts w:hint="eastAsia" w:ascii="黑体" w:hAnsi="黑体" w:eastAsia="黑体" w:cs="黑体"/>
          <w:i/>
          <w:sz w:val="32"/>
          <w:szCs w:val="32"/>
          <w:u w:val="single"/>
        </w:rPr>
        <w:t>六、单位负责人为同一人或者存在直接控股、管理关系的不同供应商，不得参加同一合同项下的政府采购活动</w:t>
      </w:r>
    </w:p>
    <w:p w14:paraId="54BAEC3C">
      <w:pPr>
        <w:pStyle w:val="189"/>
        <w:widowControl/>
        <w:jc w:val="center"/>
        <w:rPr>
          <w:rFonts w:ascii="方正小标宋_GBK" w:hAnsi="宋体" w:eastAsia="方正小标宋_GBK" w:cs="宋体"/>
          <w:bCs/>
          <w:sz w:val="44"/>
          <w:szCs w:val="44"/>
        </w:rPr>
      </w:pPr>
      <w:r>
        <w:rPr>
          <w:rFonts w:hint="eastAsia" w:ascii="方正小标宋_GBK" w:hAnsi="宋体" w:eastAsia="方正小标宋_GBK" w:cs="宋体"/>
          <w:bCs/>
          <w:sz w:val="44"/>
          <w:szCs w:val="44"/>
        </w:rPr>
        <w:t>声 明</w:t>
      </w:r>
    </w:p>
    <w:p w14:paraId="0FED2481">
      <w:pPr>
        <w:pStyle w:val="198"/>
        <w:spacing w:beforeAutospacing="0" w:afterAutospacing="0" w:line="500" w:lineRule="exact"/>
        <w:ind w:firstLine="482"/>
        <w:jc w:val="both"/>
      </w:pPr>
      <w:r>
        <w:rPr>
          <w:rFonts w:hint="eastAsia"/>
        </w:rPr>
        <w:t>我单位郑重声明：在参加本次政府采购活动中，我单位没有与参加本项目投标的其他供应商存在单位负责人为同一人或者存在直接控股、管理关系情形。</w:t>
      </w:r>
    </w:p>
    <w:p w14:paraId="1BB3F915">
      <w:pPr>
        <w:pStyle w:val="189"/>
        <w:spacing w:beforeAutospacing="0" w:afterAutospacing="0" w:line="500" w:lineRule="exact"/>
        <w:jc w:val="center"/>
        <w:rPr>
          <w:rFonts w:ascii="宋体" w:hAnsi="宋体" w:cs="宋体"/>
          <w:i/>
          <w:sz w:val="32"/>
          <w:szCs w:val="32"/>
          <w:u w:val="single"/>
        </w:rPr>
      </w:pPr>
    </w:p>
    <w:p w14:paraId="57614379">
      <w:pPr>
        <w:pStyle w:val="189"/>
        <w:spacing w:beforeAutospacing="0" w:afterAutospacing="0" w:line="500" w:lineRule="exact"/>
        <w:jc w:val="center"/>
        <w:rPr>
          <w:rFonts w:ascii="宋体" w:hAnsi="宋体" w:cs="宋体"/>
          <w:i/>
          <w:sz w:val="32"/>
          <w:szCs w:val="32"/>
          <w:u w:val="single"/>
        </w:rPr>
      </w:pPr>
    </w:p>
    <w:p w14:paraId="76FF48F6">
      <w:pPr>
        <w:pStyle w:val="189"/>
        <w:spacing w:beforeAutospacing="0" w:afterAutospacing="0" w:line="500" w:lineRule="exact"/>
        <w:jc w:val="center"/>
        <w:rPr>
          <w:rFonts w:ascii="宋体" w:hAnsi="宋体" w:cs="宋体"/>
          <w:i/>
          <w:sz w:val="32"/>
          <w:szCs w:val="32"/>
          <w:u w:val="single"/>
        </w:rPr>
      </w:pPr>
    </w:p>
    <w:p w14:paraId="11AEB99A">
      <w:pPr>
        <w:spacing w:line="520" w:lineRule="exact"/>
        <w:ind w:firstLine="3120"/>
        <w:rPr>
          <w:rFonts w:ascii="宋体" w:hAnsi="宋体" w:cs="宋体"/>
          <w:sz w:val="24"/>
        </w:rPr>
      </w:pPr>
      <w:r>
        <w:rPr>
          <w:rFonts w:hint="eastAsia" w:ascii="宋体" w:hAnsi="宋体" w:cs="宋体"/>
          <w:sz w:val="24"/>
        </w:rPr>
        <w:t>企业名称（加盖CA电子公章）：</w:t>
      </w:r>
    </w:p>
    <w:p w14:paraId="15D0A2DE">
      <w:pPr>
        <w:spacing w:line="520" w:lineRule="exact"/>
        <w:ind w:firstLine="3120"/>
        <w:rPr>
          <w:rFonts w:ascii="宋体" w:hAnsi="宋体" w:cs="宋体"/>
          <w:sz w:val="24"/>
        </w:rPr>
      </w:pPr>
      <w:r>
        <w:rPr>
          <w:rFonts w:hint="eastAsia" w:ascii="宋体" w:hAnsi="宋体" w:cs="宋体"/>
          <w:sz w:val="24"/>
        </w:rPr>
        <w:t>日 期：</w:t>
      </w:r>
    </w:p>
    <w:p w14:paraId="4372F741">
      <w:pPr>
        <w:widowControl/>
        <w:jc w:val="left"/>
        <w:rPr>
          <w:rFonts w:hint="eastAsia" w:ascii="黑体" w:hAnsi="黑体" w:eastAsia="黑体" w:cs="黑体"/>
          <w:i/>
          <w:sz w:val="32"/>
          <w:szCs w:val="32"/>
          <w:u w:val="single"/>
        </w:rPr>
      </w:pPr>
    </w:p>
    <w:p w14:paraId="5AB9A7C0">
      <w:pPr>
        <w:widowControl/>
        <w:jc w:val="left"/>
        <w:rPr>
          <w:rFonts w:hint="eastAsia" w:ascii="黑体" w:hAnsi="黑体" w:eastAsia="黑体" w:cs="黑体"/>
          <w:i/>
          <w:sz w:val="32"/>
          <w:szCs w:val="32"/>
          <w:u w:val="single"/>
        </w:rPr>
      </w:pPr>
    </w:p>
    <w:p w14:paraId="39F822EC">
      <w:pPr>
        <w:widowControl/>
        <w:jc w:val="center"/>
        <w:rPr>
          <w:rFonts w:ascii="黑体" w:hAnsi="黑体" w:eastAsia="黑体" w:cs="黑体"/>
          <w:i/>
          <w:sz w:val="32"/>
          <w:szCs w:val="32"/>
          <w:u w:val="single"/>
        </w:rPr>
      </w:pPr>
      <w:r>
        <w:rPr>
          <w:rFonts w:hint="eastAsia" w:ascii="黑体" w:hAnsi="黑体" w:eastAsia="黑体" w:cs="黑体"/>
          <w:i/>
          <w:sz w:val="32"/>
          <w:szCs w:val="32"/>
          <w:u w:val="single"/>
        </w:rPr>
        <w:t>七、特定资格要求的证明文件</w:t>
      </w:r>
    </w:p>
    <w:p w14:paraId="244DF362">
      <w:pPr>
        <w:widowControl/>
        <w:spacing w:before="180" w:line="400" w:lineRule="exact"/>
        <w:jc w:val="center"/>
        <w:rPr>
          <w:rFonts w:ascii="宋体" w:hAnsi="宋体" w:cs="宋体"/>
          <w:sz w:val="24"/>
        </w:rPr>
      </w:pPr>
      <w:r>
        <w:rPr>
          <w:rFonts w:hint="eastAsia" w:ascii="宋体" w:hAnsi="宋体" w:cs="宋体"/>
          <w:sz w:val="24"/>
        </w:rPr>
        <w:t>如果本项目申请人的特定资格要求中要求提供的，必须提供。</w:t>
      </w:r>
    </w:p>
    <w:p w14:paraId="20F73134">
      <w:pPr>
        <w:rPr>
          <w:rFonts w:ascii="黑体" w:hAnsi="黑体" w:eastAsia="黑体" w:cs="黑体"/>
          <w:i/>
          <w:sz w:val="32"/>
          <w:szCs w:val="32"/>
          <w:u w:val="single"/>
        </w:rPr>
      </w:pPr>
      <w:r>
        <w:rPr>
          <w:rFonts w:hint="eastAsia" w:ascii="黑体" w:hAnsi="黑体" w:eastAsia="黑体" w:cs="黑体"/>
          <w:i/>
          <w:sz w:val="32"/>
          <w:szCs w:val="32"/>
          <w:u w:val="single"/>
        </w:rPr>
        <w:br w:type="page" w:clear="all"/>
      </w:r>
    </w:p>
    <w:p w14:paraId="048D9A01">
      <w:pPr>
        <w:widowControl/>
        <w:spacing w:before="180" w:line="400" w:lineRule="exact"/>
        <w:jc w:val="center"/>
        <w:rPr>
          <w:rFonts w:ascii="黑体" w:hAnsi="黑体" w:eastAsia="黑体" w:cs="黑体"/>
          <w:i/>
          <w:sz w:val="32"/>
          <w:szCs w:val="32"/>
          <w:u w:val="single"/>
        </w:rPr>
      </w:pPr>
      <w:r>
        <w:rPr>
          <w:rFonts w:hint="eastAsia" w:ascii="黑体" w:hAnsi="黑体" w:eastAsia="黑体" w:cs="黑体"/>
          <w:i/>
          <w:sz w:val="32"/>
          <w:szCs w:val="32"/>
          <w:u w:val="single"/>
        </w:rPr>
        <w:t>八、法人授权书</w:t>
      </w:r>
    </w:p>
    <w:p w14:paraId="78CC331E">
      <w:pPr>
        <w:pStyle w:val="189"/>
        <w:widowControl/>
        <w:spacing w:line="560" w:lineRule="exact"/>
        <w:ind w:firstLine="480"/>
        <w:jc w:val="both"/>
        <w:rPr>
          <w:rFonts w:ascii="宋体" w:hAnsi="宋体" w:cs="宋体"/>
        </w:rPr>
      </w:pPr>
      <w:r>
        <w:rPr>
          <w:rFonts w:hint="eastAsia" w:ascii="宋体" w:hAnsi="宋体" w:cs="宋体"/>
        </w:rPr>
        <w:t>本授权书声明：</w:t>
      </w:r>
      <w:r>
        <w:rPr>
          <w:rFonts w:hint="eastAsia" w:ascii="宋体" w:hAnsi="宋体" w:cs="宋体"/>
          <w:u w:val="single"/>
        </w:rPr>
        <w:t xml:space="preserve">               </w:t>
      </w:r>
      <w:r>
        <w:rPr>
          <w:rFonts w:hint="eastAsia" w:ascii="宋体" w:hAnsi="宋体" w:cs="宋体"/>
        </w:rPr>
        <w:t>（供应商名称）授权</w:t>
      </w:r>
      <w:r>
        <w:rPr>
          <w:rFonts w:hint="eastAsia" w:ascii="宋体" w:hAnsi="宋体" w:cs="宋体"/>
          <w:u w:val="single"/>
        </w:rPr>
        <w:t xml:space="preserve">            </w:t>
      </w:r>
      <w:r>
        <w:rPr>
          <w:rFonts w:hint="eastAsia" w:ascii="宋体" w:hAnsi="宋体" w:cs="宋体"/>
        </w:rPr>
        <w:t>（被授权人的姓名）为我方就</w:t>
      </w:r>
      <w:r>
        <w:rPr>
          <w:rFonts w:hint="eastAsia" w:ascii="宋体" w:hAnsi="宋体" w:cs="宋体"/>
          <w:u w:val="single"/>
          <w:lang w:val="en-US" w:eastAsia="zh-CN"/>
        </w:rPr>
        <w:t xml:space="preserve">                </w:t>
      </w:r>
      <w:r>
        <w:rPr>
          <w:rFonts w:hint="eastAsia" w:ascii="宋体" w:hAnsi="宋体" w:cs="宋体"/>
        </w:rPr>
        <w:t>号</w:t>
      </w:r>
      <w:r>
        <w:rPr>
          <w:rFonts w:hint="eastAsia" w:ascii="宋体" w:hAnsi="宋体" w:cs="宋体"/>
          <w:lang w:val="en-US" w:eastAsia="zh-CN"/>
        </w:rPr>
        <w:t xml:space="preserve"> </w:t>
      </w:r>
      <w:r>
        <w:rPr>
          <w:rFonts w:hint="eastAsia" w:ascii="宋体" w:hAnsi="宋体" w:cs="宋体"/>
          <w:u w:val="single"/>
          <w:lang w:val="en-US" w:eastAsia="zh-CN"/>
        </w:rPr>
        <w:t xml:space="preserve">           </w:t>
      </w:r>
      <w:r>
        <w:rPr>
          <w:rFonts w:hint="eastAsia" w:ascii="宋体" w:hAnsi="宋体" w:cs="宋体"/>
          <w:u w:val="single"/>
        </w:rPr>
        <w:t>项目</w:t>
      </w:r>
      <w:r>
        <w:rPr>
          <w:rFonts w:hint="eastAsia" w:ascii="宋体" w:hAnsi="宋体" w:cs="宋体"/>
        </w:rPr>
        <w:t>采购活动的合法代理人，以本单位名义全权处理一切与该项目采购有关的事务。</w:t>
      </w:r>
    </w:p>
    <w:p w14:paraId="3E8CBBA8">
      <w:pPr>
        <w:pStyle w:val="198"/>
        <w:tabs>
          <w:tab w:val="left" w:pos="360"/>
        </w:tabs>
        <w:spacing w:beforeAutospacing="0" w:afterAutospacing="0" w:line="500" w:lineRule="exact"/>
        <w:ind w:firstLine="480"/>
        <w:jc w:val="both"/>
      </w:pPr>
      <w:r>
        <w:rPr>
          <w:rFonts w:hint="eastAsia"/>
        </w:rPr>
        <w:t>本授权书于______年____月____日起生效，特此声明。</w:t>
      </w:r>
    </w:p>
    <w:p w14:paraId="0DF600C9">
      <w:pPr>
        <w:pStyle w:val="198"/>
        <w:tabs>
          <w:tab w:val="left" w:pos="360"/>
        </w:tabs>
        <w:spacing w:beforeAutospacing="0" w:afterAutospacing="0" w:line="500" w:lineRule="exact"/>
        <w:ind w:firstLine="480"/>
        <w:jc w:val="both"/>
      </w:pPr>
      <w:r>
        <w:rPr>
          <w:rFonts w:hint="eastAsia"/>
        </w:rPr>
        <w:t>被授权人身份证号码：</w:t>
      </w:r>
      <w:r>
        <w:rPr>
          <w:rFonts w:hint="eastAsia"/>
          <w:u w:val="single"/>
        </w:rPr>
        <w:t xml:space="preserve">                        </w:t>
      </w:r>
    </w:p>
    <w:p w14:paraId="0C81EE8F">
      <w:pPr>
        <w:pStyle w:val="198"/>
        <w:tabs>
          <w:tab w:val="left" w:pos="360"/>
        </w:tabs>
        <w:spacing w:beforeAutospacing="0" w:afterAutospacing="0" w:line="500" w:lineRule="exact"/>
        <w:ind w:firstLine="480"/>
        <w:jc w:val="both"/>
      </w:pPr>
      <w:r>
        <w:rPr>
          <w:rFonts w:hint="eastAsia"/>
        </w:rPr>
        <w:t>被授权人联系电话：</w:t>
      </w:r>
      <w:r>
        <w:rPr>
          <w:rFonts w:hint="eastAsia"/>
          <w:u w:val="single"/>
        </w:rPr>
        <w:t xml:space="preserve">         （手机）         </w:t>
      </w:r>
    </w:p>
    <w:p w14:paraId="59C4ACC8">
      <w:pPr>
        <w:pStyle w:val="198"/>
        <w:tabs>
          <w:tab w:val="left" w:pos="360"/>
        </w:tabs>
        <w:spacing w:beforeAutospacing="0" w:afterAutospacing="0" w:line="500" w:lineRule="exact"/>
        <w:ind w:firstLine="480"/>
        <w:jc w:val="both"/>
      </w:pPr>
      <w:r>
        <w:rPr>
          <w:rFonts w:hint="eastAsia"/>
        </w:rPr>
        <w:t>授权单位名称：</w:t>
      </w:r>
      <w:r>
        <w:rPr>
          <w:rFonts w:hint="eastAsia"/>
          <w:u w:val="single"/>
        </w:rPr>
        <w:t xml:space="preserve">      （加盖CA电子公章）      </w:t>
      </w:r>
    </w:p>
    <w:p w14:paraId="0EEE61C2">
      <w:pPr>
        <w:pStyle w:val="198"/>
        <w:tabs>
          <w:tab w:val="left" w:pos="360"/>
        </w:tabs>
        <w:spacing w:beforeAutospacing="0" w:afterAutospacing="0" w:line="500" w:lineRule="exact"/>
        <w:ind w:firstLine="480"/>
        <w:jc w:val="both"/>
      </w:pPr>
      <w:r>
        <w:rPr>
          <w:rFonts w:hint="eastAsia"/>
        </w:rPr>
        <w:t>单位地址：</w:t>
      </w:r>
      <w:r>
        <w:rPr>
          <w:rFonts w:hint="eastAsia"/>
          <w:u w:val="single"/>
        </w:rPr>
        <w:t xml:space="preserve">                                  </w:t>
      </w:r>
    </w:p>
    <w:p w14:paraId="11EDB09D">
      <w:pPr>
        <w:pStyle w:val="198"/>
        <w:tabs>
          <w:tab w:val="left" w:pos="360"/>
        </w:tabs>
        <w:spacing w:beforeAutospacing="0" w:afterAutospacing="0" w:line="500" w:lineRule="exact"/>
        <w:ind w:firstLine="480"/>
        <w:jc w:val="center"/>
        <w:rPr>
          <w:rFonts w:ascii="黑体" w:hAnsi="黑体" w:eastAsia="黑体" w:cs="黑体"/>
          <w:i/>
          <w:sz w:val="32"/>
          <w:szCs w:val="32"/>
          <w:u w:val="single"/>
        </w:rPr>
      </w:pPr>
      <w:r>
        <w:rPr>
          <w:rFonts w:hint="eastAsia"/>
        </w:rPr>
        <w:t>日期：</w:t>
      </w:r>
      <w:r>
        <w:rPr>
          <w:rFonts w:hint="eastAsia"/>
          <w:u w:val="single"/>
        </w:rPr>
        <w:t xml:space="preserve">                                       </w:t>
      </w: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九、投标函</w:t>
      </w:r>
    </w:p>
    <w:p w14:paraId="24C100AE">
      <w:pPr>
        <w:spacing w:line="520" w:lineRule="exact"/>
        <w:jc w:val="left"/>
        <w:rPr>
          <w:rFonts w:hint="eastAsia" w:ascii="宋体" w:hAnsi="宋体" w:eastAsia="宋体" w:cs="宋体"/>
          <w:sz w:val="24"/>
          <w:lang w:eastAsia="zh-CN"/>
        </w:rPr>
      </w:pPr>
      <w:r>
        <w:rPr>
          <w:rFonts w:hint="eastAsia" w:ascii="宋体" w:hAnsi="宋体" w:cs="宋体"/>
          <w:sz w:val="24"/>
        </w:rPr>
        <w:t>致：</w:t>
      </w:r>
    </w:p>
    <w:p w14:paraId="3B795953">
      <w:pPr>
        <w:spacing w:line="520" w:lineRule="exact"/>
        <w:ind w:firstLine="480"/>
        <w:jc w:val="left"/>
        <w:rPr>
          <w:rFonts w:ascii="宋体" w:hAnsi="宋体" w:cs="宋体"/>
          <w:sz w:val="24"/>
        </w:rPr>
      </w:pPr>
      <w:r>
        <w:rPr>
          <w:rFonts w:hint="eastAsia" w:ascii="宋体" w:hAnsi="宋体" w:cs="宋体"/>
          <w:sz w:val="24"/>
        </w:rPr>
        <w:t>根据贵方的</w:t>
      </w:r>
      <w:r>
        <w:rPr>
          <w:rFonts w:hint="eastAsia" w:ascii="宋体" w:hAnsi="宋体" w:cs="宋体"/>
          <w:sz w:val="24"/>
          <w:u w:val="single"/>
          <w:lang w:val="en-US" w:eastAsia="zh-CN"/>
        </w:rPr>
        <w:t xml:space="preserve">                       </w:t>
      </w:r>
      <w:r>
        <w:rPr>
          <w:rFonts w:hint="eastAsia" w:ascii="宋体" w:hAnsi="宋体" w:cs="宋体"/>
          <w:sz w:val="24"/>
        </w:rPr>
        <w:t>号招标文件，正式授权下述签字人</w:t>
      </w:r>
    </w:p>
    <w:p w14:paraId="22CABE8E">
      <w:pPr>
        <w:spacing w:line="520" w:lineRule="exact"/>
        <w:jc w:val="left"/>
        <w:rPr>
          <w:rFonts w:ascii="宋体" w:hAnsi="宋体" w:cs="宋体"/>
          <w:sz w:val="24"/>
        </w:rPr>
      </w:pPr>
      <w:r>
        <w:rPr>
          <w:rFonts w:hint="eastAsia" w:ascii="宋体" w:hAnsi="宋体" w:cs="宋体"/>
          <w:sz w:val="24"/>
          <w:u w:val="single"/>
        </w:rPr>
        <w:t xml:space="preserve">          </w:t>
      </w:r>
      <w:r>
        <w:rPr>
          <w:rFonts w:hint="eastAsia" w:ascii="宋体" w:hAnsi="宋体" w:cs="宋体"/>
          <w:sz w:val="24"/>
        </w:rPr>
        <w:t>(姓名)</w:t>
      </w:r>
      <w:r>
        <w:rPr>
          <w:rFonts w:hint="eastAsia" w:ascii="宋体" w:hAnsi="宋体" w:cs="宋体"/>
          <w:color w:val="auto"/>
          <w:sz w:val="24"/>
          <w:highlight w:val="none"/>
        </w:rPr>
        <w:t>（</w:t>
      </w:r>
      <w:r>
        <w:rPr>
          <w:rFonts w:hint="eastAsia" w:ascii="宋体" w:hAnsi="宋体" w:cs="宋体"/>
          <w:b/>
          <w:bCs/>
          <w:color w:val="auto"/>
          <w:sz w:val="24"/>
          <w:highlight w:val="none"/>
        </w:rPr>
        <w:t>此处手写签</w:t>
      </w:r>
      <w:r>
        <w:rPr>
          <w:rFonts w:hint="eastAsia" w:ascii="宋体" w:hAnsi="宋体" w:cs="宋体"/>
          <w:b/>
          <w:bCs/>
          <w:color w:val="auto"/>
          <w:sz w:val="24"/>
          <w:highlight w:val="none"/>
          <w:lang w:eastAsia="zh-CN"/>
        </w:rPr>
        <w:t>字</w:t>
      </w:r>
      <w:r>
        <w:rPr>
          <w:rFonts w:hint="eastAsia" w:ascii="宋体" w:hAnsi="宋体" w:cs="宋体"/>
          <w:b/>
          <w:bCs/>
          <w:color w:val="auto"/>
          <w:sz w:val="24"/>
          <w:highlight w:val="none"/>
        </w:rPr>
        <w:t>、机打姓名</w:t>
      </w:r>
      <w:r>
        <w:rPr>
          <w:rFonts w:hint="eastAsia" w:ascii="宋体" w:hAnsi="宋体" w:cs="宋体"/>
          <w:b/>
          <w:bCs/>
          <w:color w:val="auto"/>
          <w:sz w:val="24"/>
          <w:highlight w:val="none"/>
          <w:lang w:eastAsia="zh-CN"/>
        </w:rPr>
        <w:t>、盖章</w:t>
      </w:r>
      <w:r>
        <w:rPr>
          <w:rFonts w:hint="eastAsia" w:ascii="宋体" w:hAnsi="宋体" w:cs="宋体"/>
          <w:b/>
          <w:bCs/>
          <w:color w:val="auto"/>
          <w:sz w:val="24"/>
          <w:highlight w:val="none"/>
        </w:rPr>
        <w:t>均可</w:t>
      </w:r>
      <w:r>
        <w:rPr>
          <w:rFonts w:hint="eastAsia" w:ascii="宋体" w:hAnsi="宋体" w:cs="宋体"/>
          <w:color w:val="auto"/>
          <w:sz w:val="24"/>
          <w:highlight w:val="none"/>
        </w:rPr>
        <w:t>）</w:t>
      </w:r>
      <w:r>
        <w:rPr>
          <w:rFonts w:hint="eastAsia" w:ascii="宋体" w:hAnsi="宋体" w:cs="宋体"/>
          <w:sz w:val="24"/>
        </w:rPr>
        <w:t>代表我方______________（投标人的名称），全权处理本次项目投标的有关事宜。</w:t>
      </w:r>
    </w:p>
    <w:p w14:paraId="2408306F">
      <w:pPr>
        <w:spacing w:line="520" w:lineRule="exact"/>
        <w:ind w:firstLine="480"/>
        <w:jc w:val="left"/>
        <w:rPr>
          <w:rFonts w:ascii="宋体" w:hAnsi="宋体" w:cs="宋体"/>
          <w:sz w:val="24"/>
        </w:rPr>
      </w:pPr>
      <w:r>
        <w:rPr>
          <w:rFonts w:hint="eastAsia" w:ascii="宋体" w:hAnsi="宋体" w:cs="宋体"/>
          <w:sz w:val="24"/>
        </w:rPr>
        <w:t>据此函，__________签字人</w:t>
      </w:r>
      <w:r>
        <w:rPr>
          <w:rFonts w:hint="eastAsia" w:ascii="宋体" w:hAnsi="宋体" w:cs="宋体"/>
          <w:color w:val="auto"/>
          <w:sz w:val="24"/>
          <w:highlight w:val="none"/>
        </w:rPr>
        <w:t>（</w:t>
      </w:r>
      <w:r>
        <w:rPr>
          <w:rFonts w:hint="eastAsia" w:ascii="宋体" w:hAnsi="宋体" w:cs="宋体"/>
          <w:b/>
          <w:bCs/>
          <w:color w:val="auto"/>
          <w:sz w:val="24"/>
          <w:highlight w:val="none"/>
        </w:rPr>
        <w:t>此处手写签</w:t>
      </w:r>
      <w:r>
        <w:rPr>
          <w:rFonts w:hint="eastAsia" w:ascii="宋体" w:hAnsi="宋体" w:cs="宋体"/>
          <w:b/>
          <w:bCs/>
          <w:color w:val="auto"/>
          <w:sz w:val="24"/>
          <w:highlight w:val="none"/>
          <w:lang w:eastAsia="zh-CN"/>
        </w:rPr>
        <w:t>字</w:t>
      </w:r>
      <w:r>
        <w:rPr>
          <w:rFonts w:hint="eastAsia" w:ascii="宋体" w:hAnsi="宋体" w:cs="宋体"/>
          <w:b/>
          <w:bCs/>
          <w:color w:val="auto"/>
          <w:sz w:val="24"/>
          <w:highlight w:val="none"/>
        </w:rPr>
        <w:t>、机打姓名</w:t>
      </w:r>
      <w:r>
        <w:rPr>
          <w:rFonts w:hint="eastAsia" w:ascii="宋体" w:hAnsi="宋体" w:cs="宋体"/>
          <w:b/>
          <w:bCs/>
          <w:color w:val="auto"/>
          <w:sz w:val="24"/>
          <w:highlight w:val="none"/>
          <w:lang w:eastAsia="zh-CN"/>
        </w:rPr>
        <w:t>、盖章</w:t>
      </w:r>
      <w:r>
        <w:rPr>
          <w:rFonts w:hint="eastAsia" w:ascii="宋体" w:hAnsi="宋体" w:cs="宋体"/>
          <w:b/>
          <w:bCs/>
          <w:color w:val="auto"/>
          <w:sz w:val="24"/>
          <w:highlight w:val="none"/>
        </w:rPr>
        <w:t>均可</w:t>
      </w:r>
      <w:r>
        <w:rPr>
          <w:rFonts w:hint="eastAsia" w:ascii="宋体" w:hAnsi="宋体" w:cs="宋体"/>
          <w:color w:val="auto"/>
          <w:sz w:val="24"/>
          <w:highlight w:val="none"/>
        </w:rPr>
        <w:t>）</w:t>
      </w:r>
      <w:r>
        <w:rPr>
          <w:rFonts w:hint="eastAsia" w:ascii="宋体" w:hAnsi="宋体" w:cs="宋体"/>
          <w:sz w:val="24"/>
        </w:rPr>
        <w:t>兹宣布同意如下：</w:t>
      </w:r>
    </w:p>
    <w:p w14:paraId="29E6C2D2">
      <w:pPr>
        <w:spacing w:line="520" w:lineRule="exact"/>
        <w:ind w:firstLine="480"/>
        <w:jc w:val="left"/>
        <w:rPr>
          <w:rFonts w:ascii="宋体" w:hAnsi="宋体" w:cs="宋体"/>
          <w:sz w:val="24"/>
        </w:rPr>
      </w:pPr>
      <w:r>
        <w:rPr>
          <w:rFonts w:hint="eastAsia" w:ascii="宋体" w:hAnsi="宋体" w:cs="宋体"/>
          <w:sz w:val="24"/>
        </w:rPr>
        <w:t>1.按招标文件规定的各项要求，向买方提供所需服务（包含与服务相关的货物）。</w:t>
      </w:r>
    </w:p>
    <w:p w14:paraId="4BFD3256">
      <w:pPr>
        <w:spacing w:line="520" w:lineRule="exact"/>
        <w:ind w:firstLine="480"/>
        <w:jc w:val="left"/>
        <w:rPr>
          <w:rFonts w:ascii="宋体" w:hAnsi="宋体" w:cs="宋体"/>
          <w:sz w:val="24"/>
        </w:rPr>
      </w:pPr>
      <w:r>
        <w:rPr>
          <w:rFonts w:hint="eastAsia" w:ascii="宋体" w:hAnsi="宋体" w:cs="宋体"/>
          <w:sz w:val="24"/>
        </w:rPr>
        <w:t>2.我们完全理解贵方不一定将合同授予最低报价的投标人。</w:t>
      </w:r>
    </w:p>
    <w:p w14:paraId="2077F91A">
      <w:pPr>
        <w:spacing w:line="520" w:lineRule="exact"/>
        <w:ind w:firstLine="480"/>
        <w:jc w:val="left"/>
        <w:rPr>
          <w:rFonts w:ascii="宋体" w:hAnsi="宋体" w:cs="宋体"/>
          <w:sz w:val="24"/>
        </w:rPr>
      </w:pPr>
      <w:r>
        <w:rPr>
          <w:rFonts w:hint="eastAsia" w:ascii="宋体" w:hAnsi="宋体" w:cs="宋体"/>
          <w:sz w:val="24"/>
        </w:rPr>
        <w:t>3.我们已详细审核全部招标文件及其有效补充文件，我们知道必须放弃提出含糊不清或误解问题的权利。</w:t>
      </w:r>
    </w:p>
    <w:p w14:paraId="0B8471FE">
      <w:pPr>
        <w:spacing w:line="520" w:lineRule="exact"/>
        <w:ind w:firstLine="480"/>
        <w:jc w:val="left"/>
        <w:rPr>
          <w:rFonts w:ascii="宋体" w:hAnsi="宋体" w:cs="宋体"/>
          <w:sz w:val="24"/>
        </w:rPr>
      </w:pPr>
      <w:r>
        <w:rPr>
          <w:rFonts w:hint="eastAsia" w:ascii="宋体" w:hAnsi="宋体" w:cs="宋体"/>
          <w:sz w:val="24"/>
        </w:rPr>
        <w:t>4.我们同意从规定的开标日期起遵循本投标文件，并在规定的投标有效期期满之前均具有约束力。</w:t>
      </w:r>
    </w:p>
    <w:p w14:paraId="55D4FE25">
      <w:pPr>
        <w:spacing w:line="520" w:lineRule="exact"/>
        <w:ind w:firstLine="480"/>
        <w:jc w:val="left"/>
        <w:rPr>
          <w:rFonts w:ascii="宋体" w:hAnsi="宋体" w:cs="宋体"/>
          <w:sz w:val="24"/>
        </w:rPr>
      </w:pPr>
      <w:r>
        <w:rPr>
          <w:rFonts w:hint="eastAsia" w:ascii="宋体" w:hAnsi="宋体" w:cs="宋体"/>
          <w:sz w:val="24"/>
        </w:rPr>
        <w:t>5.同意向贵方提供贵方可能另外要求的与投标有关的任何证据或资料，并保证我方已提供和将要提供的文件是真实的、准确的。</w:t>
      </w:r>
    </w:p>
    <w:p w14:paraId="7E4A7FA2">
      <w:pPr>
        <w:spacing w:line="520" w:lineRule="exact"/>
        <w:ind w:firstLine="480"/>
        <w:jc w:val="left"/>
        <w:rPr>
          <w:rFonts w:ascii="宋体" w:hAnsi="宋体" w:cs="宋体"/>
          <w:sz w:val="24"/>
        </w:rPr>
      </w:pPr>
      <w:r>
        <w:rPr>
          <w:rFonts w:hint="eastAsia" w:ascii="宋体" w:hAnsi="宋体" w:cs="宋体"/>
          <w:sz w:val="24"/>
        </w:rPr>
        <w:t>6.一旦我方中标，我方将根据招标文件的规定，严格履行合同的责任和义务，并保证在招标文件规定的时间完成项目，交付买方验收、使用。</w:t>
      </w:r>
    </w:p>
    <w:p w14:paraId="77DFB742">
      <w:pPr>
        <w:spacing w:line="520" w:lineRule="exact"/>
        <w:ind w:firstLine="480"/>
        <w:jc w:val="left"/>
        <w:rPr>
          <w:rFonts w:ascii="宋体" w:hAnsi="宋体" w:cs="宋体"/>
          <w:sz w:val="24"/>
        </w:rPr>
      </w:pPr>
      <w:r>
        <w:rPr>
          <w:rFonts w:hint="eastAsia" w:ascii="宋体" w:hAnsi="宋体" w:cs="宋体"/>
          <w:sz w:val="24"/>
        </w:rPr>
        <w:t>7.与本投标有关的正式通讯地址为：</w:t>
      </w:r>
    </w:p>
    <w:p w14:paraId="5D296673">
      <w:pPr>
        <w:spacing w:line="520" w:lineRule="exact"/>
        <w:ind w:firstLine="480"/>
        <w:jc w:val="left"/>
        <w:rPr>
          <w:rFonts w:ascii="宋体" w:hAnsi="宋体" w:cs="宋体"/>
          <w:sz w:val="24"/>
        </w:rPr>
      </w:pPr>
      <w:r>
        <w:rPr>
          <w:rFonts w:hint="eastAsia" w:ascii="宋体" w:hAnsi="宋体" w:cs="宋体"/>
          <w:sz w:val="24"/>
        </w:rPr>
        <w:t>地        址：</w:t>
      </w:r>
    </w:p>
    <w:p w14:paraId="049DF4BC">
      <w:pPr>
        <w:spacing w:line="520" w:lineRule="exact"/>
        <w:ind w:firstLine="480"/>
        <w:jc w:val="left"/>
        <w:rPr>
          <w:rFonts w:ascii="宋体" w:hAnsi="宋体" w:cs="宋体"/>
          <w:sz w:val="24"/>
        </w:rPr>
      </w:pPr>
      <w:r>
        <w:rPr>
          <w:rFonts w:hint="eastAsia" w:ascii="宋体" w:hAnsi="宋体" w:cs="宋体"/>
          <w:sz w:val="24"/>
        </w:rPr>
        <w:t>邮        编：</w:t>
      </w:r>
    </w:p>
    <w:p w14:paraId="2687A0CA">
      <w:pPr>
        <w:spacing w:line="520" w:lineRule="exact"/>
        <w:ind w:firstLine="480"/>
        <w:jc w:val="left"/>
        <w:rPr>
          <w:rFonts w:ascii="宋体" w:hAnsi="宋体" w:cs="宋体"/>
          <w:sz w:val="24"/>
        </w:rPr>
      </w:pPr>
      <w:r>
        <w:rPr>
          <w:rFonts w:hint="eastAsia" w:ascii="宋体" w:hAnsi="宋体" w:cs="宋体"/>
          <w:sz w:val="24"/>
        </w:rPr>
        <w:t>电        话：</w:t>
      </w:r>
    </w:p>
    <w:p w14:paraId="3A722466">
      <w:pPr>
        <w:spacing w:line="520" w:lineRule="exact"/>
        <w:ind w:firstLine="480"/>
        <w:jc w:val="left"/>
        <w:rPr>
          <w:rFonts w:ascii="宋体" w:hAnsi="宋体" w:cs="宋体"/>
          <w:sz w:val="24"/>
        </w:rPr>
      </w:pPr>
      <w:r>
        <w:rPr>
          <w:rFonts w:hint="eastAsia" w:ascii="宋体" w:hAnsi="宋体" w:cs="宋体"/>
          <w:sz w:val="24"/>
        </w:rPr>
        <w:t>传        真：</w:t>
      </w:r>
    </w:p>
    <w:p w14:paraId="11C2D10B">
      <w:pPr>
        <w:spacing w:line="520" w:lineRule="exact"/>
        <w:ind w:firstLine="480"/>
        <w:jc w:val="left"/>
        <w:rPr>
          <w:rFonts w:ascii="宋体" w:hAnsi="宋体" w:cs="宋体"/>
          <w:sz w:val="24"/>
        </w:rPr>
      </w:pPr>
      <w:r>
        <w:rPr>
          <w:rFonts w:hint="eastAsia" w:ascii="宋体" w:hAnsi="宋体" w:cs="宋体"/>
          <w:sz w:val="24"/>
        </w:rPr>
        <w:t>投标人开户行：</w:t>
      </w:r>
    </w:p>
    <w:p w14:paraId="5F39EC56">
      <w:pPr>
        <w:spacing w:line="520" w:lineRule="exact"/>
        <w:ind w:firstLine="480"/>
        <w:jc w:val="left"/>
        <w:rPr>
          <w:rFonts w:ascii="宋体" w:hAnsi="宋体" w:cs="宋体"/>
          <w:sz w:val="24"/>
        </w:rPr>
      </w:pPr>
      <w:r>
        <w:rPr>
          <w:rFonts w:hint="eastAsia" w:ascii="宋体" w:hAnsi="宋体" w:cs="宋体"/>
          <w:sz w:val="24"/>
        </w:rPr>
        <w:t xml:space="preserve">账        号： </w:t>
      </w:r>
    </w:p>
    <w:p w14:paraId="21D03640">
      <w:pPr>
        <w:spacing w:line="520" w:lineRule="exact"/>
        <w:ind w:firstLine="480"/>
        <w:jc w:val="left"/>
        <w:rPr>
          <w:rFonts w:ascii="宋体" w:hAnsi="宋体" w:cs="宋体"/>
          <w:sz w:val="24"/>
        </w:rPr>
      </w:pPr>
      <w:r>
        <w:rPr>
          <w:rFonts w:hint="eastAsia" w:ascii="宋体" w:hAnsi="宋体" w:cs="宋体"/>
          <w:sz w:val="24"/>
        </w:rPr>
        <w:t>日        期：______年____月____日</w:t>
      </w:r>
    </w:p>
    <w:p w14:paraId="044FCFBC">
      <w:pPr>
        <w:widowControl/>
        <w:spacing w:before="180" w:line="400" w:lineRule="exact"/>
        <w:jc w:val="center"/>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十、中小企业声明函（服务）</w:t>
      </w:r>
    </w:p>
    <w:p w14:paraId="0F0B1683">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本公司（联合体）郑重声明，根据《政府采购促进中小企业发展管理办法》(财库</w:t>
      </w:r>
      <w:r>
        <w:rPr>
          <w:rFonts w:hint="eastAsia" w:ascii="宋体" w:hAnsi="宋体" w:cs="宋体"/>
          <w:sz w:val="24"/>
        </w:rPr>
        <w:t>〔2020〕46号</w:t>
      </w:r>
      <w:r>
        <w:rPr>
          <w:rFonts w:ascii="宋体" w:hAnsi="宋体" w:cs="宋体"/>
          <w:sz w:val="24"/>
        </w:rPr>
        <w:t>)的规定，本公司（联合体）参加</w:t>
      </w:r>
      <w:r>
        <w:rPr>
          <w:rFonts w:hint="eastAsia" w:ascii="宋体" w:hAnsi="宋体" w:cs="宋体"/>
          <w:sz w:val="24"/>
          <w:u w:val="single"/>
          <w:lang w:val="en-US" w:eastAsia="zh-CN"/>
        </w:rPr>
        <w:t xml:space="preserve">  盐城市亭湖区公共资源交易中心  </w:t>
      </w:r>
      <w:r>
        <w:rPr>
          <w:rFonts w:ascii="宋体" w:hAnsi="宋体" w:cs="宋体"/>
          <w:sz w:val="24"/>
        </w:rPr>
        <w:t>组织的</w:t>
      </w:r>
      <w:r>
        <w:rPr>
          <w:rFonts w:hint="eastAsia" w:ascii="宋体" w:hAnsi="宋体" w:cs="宋体"/>
          <w:sz w:val="24"/>
          <w:u w:val="single"/>
          <w:lang w:val="en-US" w:eastAsia="zh-CN"/>
        </w:rPr>
        <w:t xml:space="preserve">  盐城市妇联实验幼儿园 </w:t>
      </w:r>
      <w:r>
        <w:rPr>
          <w:rFonts w:hint="eastAsia" w:ascii="宋体" w:hAnsi="宋体" w:cs="宋体"/>
          <w:sz w:val="24"/>
        </w:rPr>
        <w:t>，</w:t>
      </w:r>
      <w:r>
        <w:rPr>
          <w:rFonts w:ascii="宋体" w:hAnsi="宋体" w:cs="宋体"/>
          <w:sz w:val="24"/>
        </w:rPr>
        <w:t>采购编号为</w:t>
      </w:r>
      <w:r>
        <w:rPr>
          <w:rFonts w:hint="eastAsia" w:ascii="宋体" w:hAnsi="宋体" w:cs="宋体"/>
          <w:sz w:val="24"/>
          <w:u w:val="single"/>
        </w:rPr>
        <w:t>JSZC-</w:t>
      </w:r>
      <w:r>
        <w:rPr>
          <w:rFonts w:hint="eastAsia" w:ascii="宋体" w:hAnsi="宋体" w:cs="宋体"/>
          <w:sz w:val="24"/>
          <w:u w:val="single"/>
          <w:lang w:val="en-US" w:eastAsia="zh-CN"/>
        </w:rPr>
        <w:t xml:space="preserve">       </w:t>
      </w:r>
      <w:r>
        <w:rPr>
          <w:rFonts w:ascii="宋体" w:hAnsi="宋体" w:cs="宋体"/>
          <w:sz w:val="24"/>
        </w:rPr>
        <w:t>，</w:t>
      </w:r>
      <w:r>
        <w:rPr>
          <w:rFonts w:hint="eastAsia" w:ascii="宋体" w:hAnsi="宋体" w:cs="宋体"/>
          <w:sz w:val="24"/>
          <w:u w:val="single"/>
          <w:lang w:val="en-US" w:eastAsia="zh-CN"/>
        </w:rPr>
        <w:t xml:space="preserve">         项目</w:t>
      </w:r>
      <w:r>
        <w:rPr>
          <w:rFonts w:ascii="宋体" w:hAnsi="宋体" w:cs="宋体"/>
          <w:sz w:val="24"/>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0E17CF1C">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1.</w:t>
      </w:r>
      <w:r>
        <w:rPr>
          <w:rFonts w:ascii="宋体" w:hAnsi="宋体" w:cs="宋体"/>
          <w:i/>
          <w:sz w:val="24"/>
          <w:u w:val="single"/>
        </w:rPr>
        <w:t>（标的名称）</w:t>
      </w:r>
      <w:r>
        <w:rPr>
          <w:rFonts w:ascii="宋体" w:hAnsi="宋体" w:cs="宋体"/>
          <w:sz w:val="24"/>
        </w:rPr>
        <w:t>，属于</w:t>
      </w:r>
      <w:r>
        <w:rPr>
          <w:rFonts w:ascii="宋体" w:hAnsi="宋体" w:cs="宋体"/>
          <w:i/>
          <w:sz w:val="24"/>
          <w:u w:val="single"/>
        </w:rPr>
        <w:t>（采购文件中明确的所属行业）</w:t>
      </w:r>
      <w:r>
        <w:rPr>
          <w:rFonts w:ascii="宋体" w:hAnsi="宋体" w:cs="宋体"/>
          <w:sz w:val="24"/>
        </w:rPr>
        <w:t>行业；承接企业为（</w:t>
      </w:r>
      <w:r>
        <w:rPr>
          <w:rFonts w:ascii="宋体" w:hAnsi="宋体" w:cs="宋体"/>
          <w:i/>
          <w:sz w:val="24"/>
          <w:u w:val="single"/>
        </w:rPr>
        <w:t>企业名称</w:t>
      </w:r>
      <w:r>
        <w:rPr>
          <w:rFonts w:ascii="宋体" w:hAnsi="宋体" w:cs="宋体"/>
          <w:sz w:val="24"/>
        </w:rPr>
        <w:t>），从业人员</w:t>
      </w:r>
      <w:r>
        <w:rPr>
          <w:rFonts w:ascii="宋体" w:hAnsi="宋体" w:cs="宋体"/>
          <w:sz w:val="24"/>
          <w:u w:val="single"/>
        </w:rPr>
        <w:t xml:space="preserve">     </w:t>
      </w:r>
      <w:r>
        <w:rPr>
          <w:rFonts w:ascii="宋体" w:hAnsi="宋体" w:cs="宋体"/>
          <w:sz w:val="24"/>
        </w:rPr>
        <w:t>人，营业收入为</w:t>
      </w:r>
      <w:r>
        <w:rPr>
          <w:rFonts w:ascii="宋体" w:hAnsi="宋体" w:cs="宋体"/>
          <w:sz w:val="24"/>
          <w:u w:val="single"/>
        </w:rPr>
        <w:t>     </w:t>
      </w:r>
      <w:r>
        <w:rPr>
          <w:rFonts w:ascii="宋体" w:hAnsi="宋体" w:cs="宋体"/>
          <w:sz w:val="24"/>
        </w:rPr>
        <w:t>万元，资产总额为</w:t>
      </w:r>
      <w:r>
        <w:rPr>
          <w:rFonts w:ascii="宋体" w:hAnsi="宋体" w:cs="宋体"/>
          <w:sz w:val="24"/>
          <w:u w:val="single"/>
        </w:rPr>
        <w:t>    </w:t>
      </w:r>
      <w:r>
        <w:rPr>
          <w:rFonts w:ascii="宋体" w:hAnsi="宋体" w:cs="宋体"/>
          <w:sz w:val="24"/>
        </w:rPr>
        <w:t>万元，属于（</w:t>
      </w:r>
      <w:r>
        <w:rPr>
          <w:rFonts w:ascii="宋体" w:hAnsi="宋体" w:cs="宋体"/>
          <w:i/>
          <w:sz w:val="24"/>
          <w:u w:val="single"/>
        </w:rPr>
        <w:t>中型企业、小型企业、微型企业</w:t>
      </w:r>
      <w:r>
        <w:rPr>
          <w:rFonts w:ascii="宋体" w:hAnsi="宋体" w:cs="宋体"/>
          <w:sz w:val="24"/>
        </w:rPr>
        <w:t>）；</w:t>
      </w:r>
    </w:p>
    <w:p w14:paraId="32945FD5">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2.</w:t>
      </w:r>
      <w:r>
        <w:rPr>
          <w:rFonts w:ascii="宋体" w:hAnsi="宋体" w:cs="宋体"/>
          <w:i/>
          <w:sz w:val="24"/>
          <w:u w:val="single"/>
        </w:rPr>
        <w:t>（标的名称）</w:t>
      </w:r>
      <w:r>
        <w:rPr>
          <w:rFonts w:ascii="宋体" w:hAnsi="宋体" w:cs="宋体"/>
          <w:sz w:val="24"/>
        </w:rPr>
        <w:t>，属于</w:t>
      </w:r>
      <w:r>
        <w:rPr>
          <w:rFonts w:ascii="宋体" w:hAnsi="宋体" w:cs="宋体"/>
          <w:i/>
          <w:sz w:val="24"/>
          <w:u w:val="single"/>
        </w:rPr>
        <w:t>（采购文件中明确的所属行业）</w:t>
      </w:r>
      <w:r>
        <w:rPr>
          <w:rFonts w:ascii="宋体" w:hAnsi="宋体" w:cs="宋体"/>
          <w:sz w:val="24"/>
        </w:rPr>
        <w:t>行业；承接企业为（</w:t>
      </w:r>
      <w:r>
        <w:rPr>
          <w:rFonts w:ascii="宋体" w:hAnsi="宋体" w:cs="宋体"/>
          <w:i/>
          <w:sz w:val="24"/>
          <w:u w:val="single"/>
        </w:rPr>
        <w:t>企业名称</w:t>
      </w:r>
      <w:r>
        <w:rPr>
          <w:rFonts w:ascii="宋体" w:hAnsi="宋体" w:cs="宋体"/>
          <w:sz w:val="24"/>
        </w:rPr>
        <w:t>），从业人员</w:t>
      </w:r>
      <w:r>
        <w:rPr>
          <w:rFonts w:ascii="宋体" w:hAnsi="宋体" w:cs="宋体"/>
          <w:sz w:val="24"/>
          <w:u w:val="single"/>
        </w:rPr>
        <w:t xml:space="preserve">     </w:t>
      </w:r>
      <w:r>
        <w:rPr>
          <w:rFonts w:ascii="宋体" w:hAnsi="宋体" w:cs="宋体"/>
          <w:sz w:val="24"/>
        </w:rPr>
        <w:t>人，营业收入为</w:t>
      </w:r>
      <w:r>
        <w:rPr>
          <w:rFonts w:ascii="宋体" w:hAnsi="宋体" w:cs="宋体"/>
          <w:sz w:val="24"/>
          <w:u w:val="single"/>
        </w:rPr>
        <w:t>     </w:t>
      </w:r>
      <w:r>
        <w:rPr>
          <w:rFonts w:ascii="宋体" w:hAnsi="宋体" w:cs="宋体"/>
          <w:sz w:val="24"/>
        </w:rPr>
        <w:t>万元，资产总额为</w:t>
      </w:r>
      <w:r>
        <w:rPr>
          <w:rFonts w:ascii="宋体" w:hAnsi="宋体" w:cs="宋体"/>
          <w:sz w:val="24"/>
          <w:u w:val="single"/>
        </w:rPr>
        <w:t>    </w:t>
      </w:r>
      <w:r>
        <w:rPr>
          <w:rFonts w:ascii="宋体" w:hAnsi="宋体" w:cs="宋体"/>
          <w:sz w:val="24"/>
        </w:rPr>
        <w:t>万元，属于（</w:t>
      </w:r>
      <w:r>
        <w:rPr>
          <w:rFonts w:ascii="宋体" w:hAnsi="宋体" w:cs="宋体"/>
          <w:i/>
          <w:sz w:val="24"/>
          <w:u w:val="single"/>
        </w:rPr>
        <w:t>中型企业、小型企业、微型企业</w:t>
      </w:r>
      <w:r>
        <w:rPr>
          <w:rFonts w:ascii="宋体" w:hAnsi="宋体" w:cs="宋体"/>
          <w:sz w:val="24"/>
        </w:rPr>
        <w:t>）；</w:t>
      </w:r>
    </w:p>
    <w:p w14:paraId="601D0A7D">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w:t>
      </w:r>
    </w:p>
    <w:p w14:paraId="2FF69E56">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以上企业，不属于大企业的分支机构，不存在控股股东为大企业的情形，也不存在与大企业的负责人为同一人的情形。</w:t>
      </w:r>
    </w:p>
    <w:p w14:paraId="6FD80C6F">
      <w:pPr>
        <w:pBdr>
          <w:top w:val="none" w:color="000000" w:sz="0" w:space="0"/>
          <w:left w:val="none" w:color="000000" w:sz="0" w:space="0"/>
          <w:bottom w:val="none" w:color="000000" w:sz="0" w:space="0"/>
          <w:right w:val="none" w:color="000000" w:sz="0" w:space="0"/>
        </w:pBdr>
        <w:spacing w:line="519" w:lineRule="atLeast"/>
        <w:ind w:firstLine="480"/>
        <w:outlineLvl w:val="2"/>
      </w:pPr>
      <w:r>
        <w:rPr>
          <w:rFonts w:ascii="宋体" w:hAnsi="宋体" w:cs="宋体"/>
          <w:sz w:val="24"/>
        </w:rPr>
        <w:t>本企业对上述声明内容的真实性负责。如有虚假，将依法承担相应责任</w:t>
      </w:r>
    </w:p>
    <w:p w14:paraId="4AB9DF3F">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 </w:t>
      </w:r>
    </w:p>
    <w:p w14:paraId="051F77B7">
      <w:pPr>
        <w:pBdr>
          <w:top w:val="none" w:color="000000" w:sz="0" w:space="0"/>
          <w:left w:val="none" w:color="000000" w:sz="0" w:space="0"/>
          <w:bottom w:val="none" w:color="000000" w:sz="0" w:space="0"/>
          <w:right w:val="none" w:color="000000" w:sz="0" w:space="0"/>
        </w:pBdr>
        <w:spacing w:line="519" w:lineRule="atLeast"/>
        <w:ind w:firstLine="480"/>
        <w:jc w:val="right"/>
      </w:pPr>
      <w:r>
        <w:rPr>
          <w:rFonts w:ascii="宋体" w:hAnsi="宋体" w:cs="宋体"/>
          <w:sz w:val="24"/>
        </w:rPr>
        <w:t>企业名称（加盖CA电子公章）：</w:t>
      </w:r>
    </w:p>
    <w:p w14:paraId="20EE7C5D">
      <w:pPr>
        <w:pBdr>
          <w:top w:val="none" w:color="000000" w:sz="0" w:space="0"/>
          <w:left w:val="none" w:color="000000" w:sz="0" w:space="0"/>
          <w:bottom w:val="none" w:color="000000" w:sz="0" w:space="0"/>
          <w:right w:val="none" w:color="000000" w:sz="0" w:space="0"/>
        </w:pBdr>
        <w:spacing w:line="519" w:lineRule="atLeast"/>
        <w:ind w:firstLine="480"/>
        <w:jc w:val="right"/>
      </w:pPr>
      <w:r>
        <w:rPr>
          <w:rFonts w:ascii="宋体" w:hAnsi="宋体" w:cs="宋体"/>
          <w:sz w:val="24"/>
        </w:rPr>
        <w:t>日  期：</w:t>
      </w:r>
    </w:p>
    <w:p w14:paraId="6AA88C45">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sz w:val="24"/>
        </w:rPr>
        <w:t>备注1：从业人员、营业收入、资产总额填报上一年度数据，无上一年度数据的新成立企业可不填报。</w:t>
      </w:r>
    </w:p>
    <w:p w14:paraId="35BDF575">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sz w:val="24"/>
        </w:rPr>
        <w:t>备注2：供应商如不提供此声明函，价格将不做相应扣除（如项目全面面向中小企业，则资格审查不通过）。</w:t>
      </w:r>
    </w:p>
    <w:p w14:paraId="5E658A70">
      <w:pPr>
        <w:shd w:val="clear" w:color="FFFFFF" w:fill="FFFFFF"/>
        <w:spacing w:line="500" w:lineRule="exact"/>
        <w:ind w:firstLine="480"/>
        <w:jc w:val="center"/>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十一、残疾人福利性单位声明函</w:t>
      </w:r>
    </w:p>
    <w:p w14:paraId="20147176">
      <w:pPr>
        <w:spacing w:line="520" w:lineRule="exact"/>
        <w:ind w:firstLine="480"/>
        <w:jc w:val="left"/>
        <w:rPr>
          <w:rFonts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val="en-US" w:eastAsia="zh-CN"/>
        </w:rPr>
        <w:t>盐城市妇联实验幼儿园</w:t>
      </w:r>
      <w:r>
        <w:rPr>
          <w:rFonts w:hint="eastAsia" w:ascii="宋体" w:hAnsi="宋体" w:cs="宋体"/>
          <w:sz w:val="24"/>
        </w:rPr>
        <w:t>单位的采购文件编号为</w:t>
      </w:r>
      <w:r>
        <w:rPr>
          <w:rFonts w:hint="eastAsia" w:ascii="宋体" w:hAnsi="宋体" w:cs="宋体"/>
          <w:sz w:val="24"/>
          <w:szCs w:val="32"/>
          <w:u w:val="single"/>
        </w:rPr>
        <w:t>JSZC-</w:t>
      </w:r>
      <w:r>
        <w:rPr>
          <w:rFonts w:hint="eastAsia" w:ascii="宋体" w:hAnsi="宋体" w:cs="宋体"/>
          <w:sz w:val="24"/>
          <w:szCs w:val="32"/>
          <w:u w:val="single"/>
          <w:lang w:val="en-US" w:eastAsia="zh-CN"/>
        </w:rPr>
        <w:t xml:space="preserve">               </w:t>
      </w:r>
      <w:r>
        <w:rPr>
          <w:rFonts w:hint="eastAsia" w:ascii="宋体" w:hAnsi="宋体" w:cs="宋体"/>
          <w:sz w:val="24"/>
        </w:rPr>
        <w:t>的</w:t>
      </w:r>
      <w:r>
        <w:rPr>
          <w:rFonts w:hint="eastAsia" w:ascii="宋体" w:hAnsi="宋体" w:cs="宋体"/>
          <w:sz w:val="24"/>
          <w:u w:val="single"/>
          <w:lang w:val="en-US" w:eastAsia="zh-CN"/>
        </w:rPr>
        <w:t xml:space="preserve">                 </w:t>
      </w:r>
      <w:r>
        <w:rPr>
          <w:rFonts w:hint="eastAsia" w:ascii="宋体" w:hAnsi="宋体" w:cs="宋体"/>
          <w:sz w:val="24"/>
          <w:szCs w:val="20"/>
          <w:u w:val="single"/>
        </w:rPr>
        <w:t>项目</w:t>
      </w:r>
      <w:r>
        <w:rPr>
          <w:rFonts w:hint="eastAsia" w:ascii="宋体" w:hAnsi="宋体" w:cs="宋体"/>
          <w:sz w:val="24"/>
        </w:rPr>
        <w:t>采购活动由本单位提供服务。</w:t>
      </w:r>
    </w:p>
    <w:p w14:paraId="25B18E38">
      <w:pPr>
        <w:spacing w:line="520" w:lineRule="exact"/>
        <w:ind w:firstLine="480"/>
        <w:jc w:val="left"/>
        <w:rPr>
          <w:rFonts w:ascii="宋体" w:hAnsi="宋体" w:cs="宋体"/>
          <w:sz w:val="24"/>
        </w:rPr>
      </w:pPr>
      <w:r>
        <w:rPr>
          <w:rFonts w:hint="eastAsia" w:ascii="宋体" w:hAnsi="宋体" w:cs="宋体"/>
          <w:sz w:val="24"/>
        </w:rPr>
        <w:t>本单位对上述声明的真实性负责。如有虚假，将依法承担相应责任。</w:t>
      </w:r>
    </w:p>
    <w:p w14:paraId="483D6247">
      <w:pPr>
        <w:spacing w:line="520" w:lineRule="exact"/>
        <w:ind w:firstLine="480"/>
        <w:jc w:val="left"/>
        <w:rPr>
          <w:rFonts w:ascii="宋体" w:hAnsi="宋体" w:cs="宋体"/>
          <w:sz w:val="24"/>
        </w:rPr>
      </w:pPr>
      <w:r>
        <w:rPr>
          <w:rFonts w:hint="eastAsia" w:ascii="宋体" w:hAnsi="宋体" w:cs="宋体"/>
          <w:sz w:val="24"/>
        </w:rPr>
        <w:t> </w:t>
      </w:r>
    </w:p>
    <w:p w14:paraId="32E46D9F">
      <w:pPr>
        <w:spacing w:line="520" w:lineRule="exact"/>
        <w:ind w:firstLine="480"/>
        <w:jc w:val="left"/>
        <w:rPr>
          <w:rFonts w:ascii="宋体" w:hAnsi="宋体" w:cs="宋体"/>
          <w:sz w:val="24"/>
        </w:rPr>
      </w:pPr>
      <w:r>
        <w:rPr>
          <w:rFonts w:hint="eastAsia" w:ascii="宋体" w:hAnsi="宋体" w:cs="宋体"/>
          <w:sz w:val="24"/>
        </w:rPr>
        <w:t>备注：1、供应商如不提供此声明函，价格将不做相应扣除（如项目全面面向中小企业，则资格审查不通过）。</w:t>
      </w:r>
    </w:p>
    <w:p w14:paraId="04A037CA">
      <w:pPr>
        <w:spacing w:line="520" w:lineRule="exact"/>
        <w:ind w:firstLine="480"/>
        <w:jc w:val="left"/>
        <w:rPr>
          <w:rFonts w:ascii="宋体" w:hAnsi="宋体" w:cs="宋体"/>
          <w:sz w:val="24"/>
        </w:rPr>
      </w:pPr>
      <w:r>
        <w:rPr>
          <w:rFonts w:hint="eastAsia" w:ascii="宋体" w:hAnsi="宋体" w:cs="宋体"/>
          <w:sz w:val="24"/>
        </w:rPr>
        <w:t>2、中标人为残疾人福利单位的，此声明函将随中标结果同时公告，接受社会监督。</w:t>
      </w:r>
    </w:p>
    <w:p w14:paraId="2A4042E0">
      <w:pPr>
        <w:spacing w:line="520" w:lineRule="exact"/>
        <w:ind w:firstLine="480"/>
        <w:jc w:val="left"/>
        <w:rPr>
          <w:rFonts w:ascii="宋体" w:hAnsi="宋体" w:cs="宋体"/>
          <w:sz w:val="24"/>
        </w:rPr>
      </w:pPr>
      <w:r>
        <w:rPr>
          <w:rFonts w:hint="eastAsia" w:ascii="宋体" w:hAnsi="宋体" w:cs="宋体"/>
          <w:sz w:val="24"/>
        </w:rPr>
        <w:t> </w:t>
      </w:r>
    </w:p>
    <w:p w14:paraId="74BA3654">
      <w:pPr>
        <w:spacing w:line="520" w:lineRule="exact"/>
        <w:ind w:firstLine="480"/>
        <w:jc w:val="right"/>
        <w:rPr>
          <w:rFonts w:ascii="宋体" w:hAnsi="宋体" w:cs="宋体"/>
          <w:sz w:val="24"/>
        </w:rPr>
      </w:pPr>
      <w:r>
        <w:rPr>
          <w:rFonts w:hint="eastAsia" w:ascii="宋体" w:hAnsi="宋体" w:cs="宋体"/>
          <w:sz w:val="24"/>
        </w:rPr>
        <w:t>                  企业名称（加盖CA电子公章）：</w:t>
      </w:r>
    </w:p>
    <w:p w14:paraId="197FF209">
      <w:pPr>
        <w:spacing w:line="520" w:lineRule="exact"/>
        <w:ind w:firstLine="480"/>
        <w:jc w:val="right"/>
        <w:rPr>
          <w:rFonts w:ascii="宋体" w:hAnsi="宋体" w:cs="宋体"/>
          <w:sz w:val="24"/>
        </w:rPr>
      </w:pPr>
      <w:r>
        <w:rPr>
          <w:rFonts w:hint="eastAsia" w:ascii="宋体" w:hAnsi="宋体" w:cs="宋体"/>
          <w:sz w:val="24"/>
        </w:rPr>
        <w:t>日  期：</w:t>
      </w:r>
    </w:p>
    <w:p w14:paraId="7ED1A2FC">
      <w:pPr>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lang w:val="en-US" w:eastAsia="zh-CN"/>
        </w:rPr>
        <w:t>十二、</w:t>
      </w:r>
      <w:r>
        <w:rPr>
          <w:rFonts w:hint="eastAsia" w:ascii="黑体" w:hAnsi="黑体" w:eastAsia="黑体" w:cs="黑体"/>
          <w:i/>
          <w:sz w:val="32"/>
          <w:szCs w:val="32"/>
          <w:u w:val="single"/>
        </w:rPr>
        <w:t>投标分项报价表</w:t>
      </w:r>
    </w:p>
    <w:tbl>
      <w:tblPr>
        <w:tblStyle w:val="29"/>
        <w:tblW w:w="10259" w:type="dxa"/>
        <w:jc w:val="center"/>
        <w:tblLayout w:type="fixed"/>
        <w:tblCellMar>
          <w:top w:w="0" w:type="dxa"/>
          <w:left w:w="108" w:type="dxa"/>
          <w:bottom w:w="0" w:type="dxa"/>
          <w:right w:w="108" w:type="dxa"/>
        </w:tblCellMar>
      </w:tblPr>
      <w:tblGrid>
        <w:gridCol w:w="859"/>
        <w:gridCol w:w="1581"/>
        <w:gridCol w:w="1378"/>
        <w:gridCol w:w="927"/>
        <w:gridCol w:w="941"/>
        <w:gridCol w:w="1227"/>
        <w:gridCol w:w="3346"/>
      </w:tblGrid>
      <w:tr w14:paraId="51E6979B">
        <w:tblPrEx>
          <w:tblCellMar>
            <w:top w:w="0" w:type="dxa"/>
            <w:left w:w="108" w:type="dxa"/>
            <w:bottom w:w="0" w:type="dxa"/>
            <w:right w:w="108" w:type="dxa"/>
          </w:tblCellMar>
        </w:tblPrEx>
        <w:trPr>
          <w:trHeight w:val="120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2B59AE2C">
            <w:pPr>
              <w:widowControl/>
              <w:spacing w:line="300" w:lineRule="exact"/>
              <w:jc w:val="center"/>
              <w:rPr>
                <w:rFonts w:ascii="宋体" w:hAnsi="宋体" w:cs="宋体"/>
                <w:b/>
                <w:bCs/>
                <w:sz w:val="24"/>
              </w:rPr>
            </w:pPr>
            <w:r>
              <w:rPr>
                <w:rFonts w:hint="eastAsia" w:ascii="宋体" w:hAnsi="宋体" w:cs="宋体"/>
                <w:b/>
                <w:bCs/>
                <w:sz w:val="24"/>
              </w:rPr>
              <w:t>序号</w:t>
            </w:r>
          </w:p>
        </w:tc>
        <w:tc>
          <w:tcPr>
            <w:tcW w:w="1581" w:type="dxa"/>
            <w:tcBorders>
              <w:top w:val="single" w:color="000000" w:sz="4" w:space="0"/>
              <w:left w:val="single" w:color="000000" w:sz="4" w:space="0"/>
              <w:bottom w:val="single" w:color="000000" w:sz="4" w:space="0"/>
              <w:right w:val="single" w:color="000000" w:sz="4" w:space="0"/>
            </w:tcBorders>
            <w:noWrap/>
            <w:vAlign w:val="center"/>
          </w:tcPr>
          <w:p w14:paraId="56CFD1C9">
            <w:pPr>
              <w:widowControl/>
              <w:spacing w:line="300" w:lineRule="exact"/>
              <w:jc w:val="center"/>
              <w:rPr>
                <w:rFonts w:ascii="宋体" w:hAnsi="宋体" w:cs="宋体"/>
                <w:b/>
                <w:bCs/>
                <w:sz w:val="24"/>
              </w:rPr>
            </w:pPr>
            <w:r>
              <w:rPr>
                <w:rFonts w:hint="eastAsia" w:ascii="宋体" w:hAnsi="宋体" w:cs="宋体"/>
                <w:b/>
                <w:bCs/>
                <w:sz w:val="24"/>
              </w:rPr>
              <w:t>岗位名称</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1CAAA12D">
            <w:pPr>
              <w:widowControl/>
              <w:spacing w:line="300" w:lineRule="exact"/>
              <w:jc w:val="center"/>
              <w:rPr>
                <w:rFonts w:ascii="宋体" w:hAnsi="宋体" w:cs="宋体"/>
                <w:b/>
                <w:bCs/>
                <w:sz w:val="24"/>
              </w:rPr>
            </w:pPr>
            <w:r>
              <w:rPr>
                <w:rFonts w:hint="eastAsia" w:ascii="宋体" w:hAnsi="宋体" w:cs="宋体"/>
                <w:b/>
                <w:bCs/>
                <w:sz w:val="24"/>
              </w:rPr>
              <w:t>费用名称</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4B9FE001">
            <w:pPr>
              <w:widowControl/>
              <w:spacing w:line="300" w:lineRule="exact"/>
              <w:jc w:val="center"/>
              <w:rPr>
                <w:rFonts w:ascii="宋体" w:hAnsi="宋体" w:cs="宋体"/>
                <w:b/>
                <w:bCs/>
                <w:sz w:val="24"/>
              </w:rPr>
            </w:pPr>
            <w:r>
              <w:rPr>
                <w:rFonts w:hint="eastAsia" w:ascii="宋体" w:hAnsi="宋体" w:cs="宋体"/>
                <w:b/>
                <w:bCs/>
                <w:sz w:val="24"/>
              </w:rPr>
              <w:t>人数</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44273CB2">
            <w:pPr>
              <w:widowControl/>
              <w:spacing w:line="300" w:lineRule="exact"/>
              <w:jc w:val="center"/>
              <w:rPr>
                <w:rFonts w:ascii="宋体" w:hAnsi="宋体" w:cs="宋体"/>
                <w:b/>
                <w:bCs/>
                <w:sz w:val="24"/>
              </w:rPr>
            </w:pPr>
            <w:r>
              <w:rPr>
                <w:rFonts w:hint="eastAsia" w:ascii="宋体" w:hAnsi="宋体" w:cs="宋体"/>
                <w:b/>
                <w:bCs/>
                <w:sz w:val="24"/>
              </w:rPr>
              <w:t>单价</w:t>
            </w:r>
          </w:p>
          <w:p w14:paraId="3269ED7D">
            <w:pPr>
              <w:widowControl/>
              <w:spacing w:line="300" w:lineRule="exact"/>
              <w:jc w:val="center"/>
              <w:rPr>
                <w:rFonts w:ascii="宋体" w:hAnsi="宋体" w:cs="宋体"/>
                <w:b/>
                <w:bCs/>
                <w:sz w:val="24"/>
              </w:rPr>
            </w:pPr>
            <w:r>
              <w:rPr>
                <w:rFonts w:hint="eastAsia" w:ascii="宋体" w:hAnsi="宋体" w:cs="宋体"/>
                <w:b/>
                <w:bCs/>
                <w:sz w:val="24"/>
              </w:rPr>
              <w:t>（元/人/月）</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5C0BC388">
            <w:pPr>
              <w:widowControl/>
              <w:spacing w:line="300" w:lineRule="exact"/>
              <w:jc w:val="center"/>
              <w:rPr>
                <w:rFonts w:ascii="宋体" w:hAnsi="宋体" w:cs="宋体"/>
                <w:b/>
                <w:bCs/>
                <w:sz w:val="24"/>
              </w:rPr>
            </w:pPr>
            <w:r>
              <w:rPr>
                <w:rFonts w:hint="eastAsia" w:ascii="宋体" w:hAnsi="宋体" w:cs="宋体"/>
                <w:b/>
                <w:bCs/>
                <w:sz w:val="24"/>
              </w:rPr>
              <w:t>总价（元/12个月）</w:t>
            </w: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284C8484">
            <w:pPr>
              <w:widowControl/>
              <w:spacing w:line="300" w:lineRule="exact"/>
              <w:jc w:val="center"/>
              <w:rPr>
                <w:rFonts w:ascii="宋体" w:hAnsi="宋体" w:cs="宋体"/>
                <w:b/>
                <w:bCs/>
                <w:sz w:val="24"/>
              </w:rPr>
            </w:pPr>
            <w:r>
              <w:rPr>
                <w:rFonts w:hint="eastAsia" w:ascii="宋体" w:hAnsi="宋体" w:cs="宋体"/>
                <w:b/>
                <w:bCs/>
                <w:sz w:val="24"/>
              </w:rPr>
              <w:t>备注</w:t>
            </w:r>
          </w:p>
        </w:tc>
      </w:tr>
      <w:tr w14:paraId="13F95EF6">
        <w:tblPrEx>
          <w:tblCellMar>
            <w:top w:w="0" w:type="dxa"/>
            <w:left w:w="108" w:type="dxa"/>
            <w:bottom w:w="0" w:type="dxa"/>
            <w:right w:w="108" w:type="dxa"/>
          </w:tblCellMar>
        </w:tblPrEx>
        <w:trPr>
          <w:trHeight w:val="660" w:hRule="atLeast"/>
          <w:jc w:val="center"/>
        </w:trPr>
        <w:tc>
          <w:tcPr>
            <w:tcW w:w="859" w:type="dxa"/>
            <w:tcBorders>
              <w:top w:val="single" w:color="000000" w:sz="4" w:space="0"/>
              <w:left w:val="single" w:color="000000" w:sz="4" w:space="0"/>
              <w:bottom w:val="nil"/>
              <w:right w:val="single" w:color="000000" w:sz="4" w:space="0"/>
            </w:tcBorders>
            <w:noWrap/>
            <w:vAlign w:val="center"/>
          </w:tcPr>
          <w:p w14:paraId="46583047">
            <w:pPr>
              <w:widowControl/>
              <w:spacing w:line="360" w:lineRule="exact"/>
              <w:jc w:val="center"/>
              <w:rPr>
                <w:rFonts w:ascii="宋体" w:hAnsi="宋体" w:cs="宋体"/>
                <w:sz w:val="24"/>
              </w:rPr>
            </w:pPr>
            <w:r>
              <w:rPr>
                <w:rFonts w:hint="eastAsia" w:ascii="宋体" w:hAnsi="宋体" w:cs="宋体"/>
                <w:sz w:val="24"/>
              </w:rPr>
              <w:t>一</w:t>
            </w:r>
          </w:p>
        </w:tc>
        <w:tc>
          <w:tcPr>
            <w:tcW w:w="1581" w:type="dxa"/>
            <w:tcBorders>
              <w:top w:val="single" w:color="000000" w:sz="4" w:space="0"/>
              <w:left w:val="single" w:color="000000" w:sz="4" w:space="0"/>
              <w:bottom w:val="nil"/>
              <w:right w:val="single" w:color="000000" w:sz="4" w:space="0"/>
            </w:tcBorders>
            <w:noWrap/>
            <w:vAlign w:val="center"/>
          </w:tcPr>
          <w:p w14:paraId="4256D926">
            <w:pPr>
              <w:widowControl/>
              <w:spacing w:line="360" w:lineRule="exact"/>
              <w:jc w:val="center"/>
              <w:rPr>
                <w:rFonts w:ascii="宋体" w:hAnsi="宋体" w:cs="宋体"/>
                <w:sz w:val="24"/>
              </w:rPr>
            </w:pPr>
          </w:p>
        </w:tc>
        <w:tc>
          <w:tcPr>
            <w:tcW w:w="1378" w:type="dxa"/>
            <w:tcBorders>
              <w:top w:val="single" w:color="000000" w:sz="4" w:space="0"/>
              <w:left w:val="single" w:color="000000" w:sz="4" w:space="0"/>
              <w:bottom w:val="nil"/>
              <w:right w:val="single" w:color="000000" w:sz="4" w:space="0"/>
            </w:tcBorders>
            <w:noWrap/>
            <w:vAlign w:val="center"/>
          </w:tcPr>
          <w:p w14:paraId="1590EE9E">
            <w:pPr>
              <w:widowControl/>
              <w:spacing w:line="360" w:lineRule="exact"/>
              <w:jc w:val="center"/>
              <w:rPr>
                <w:rFonts w:ascii="宋体" w:hAnsi="宋体" w:cs="宋体"/>
                <w:sz w:val="24"/>
              </w:rPr>
            </w:pPr>
            <w:r>
              <w:rPr>
                <w:rFonts w:hint="eastAsia" w:ascii="宋体" w:hAnsi="宋体" w:cs="宋体"/>
                <w:sz w:val="24"/>
              </w:rPr>
              <w:t>人员工资</w:t>
            </w:r>
          </w:p>
        </w:tc>
        <w:tc>
          <w:tcPr>
            <w:tcW w:w="927" w:type="dxa"/>
            <w:tcBorders>
              <w:top w:val="single" w:color="000000" w:sz="4" w:space="0"/>
              <w:left w:val="single" w:color="000000" w:sz="4" w:space="0"/>
              <w:bottom w:val="nil"/>
              <w:right w:val="single" w:color="000000" w:sz="4" w:space="0"/>
            </w:tcBorders>
            <w:noWrap/>
            <w:vAlign w:val="center"/>
          </w:tcPr>
          <w:p w14:paraId="2AE9BE55">
            <w:pPr>
              <w:widowControl/>
              <w:spacing w:line="360" w:lineRule="exact"/>
              <w:jc w:val="center"/>
              <w:rPr>
                <w:rFonts w:ascii="宋体" w:hAnsi="宋体" w:cs="宋体"/>
                <w:sz w:val="24"/>
              </w:rPr>
            </w:pPr>
          </w:p>
        </w:tc>
        <w:tc>
          <w:tcPr>
            <w:tcW w:w="941" w:type="dxa"/>
            <w:tcBorders>
              <w:top w:val="single" w:color="000000" w:sz="4" w:space="0"/>
              <w:left w:val="single" w:color="000000" w:sz="4" w:space="0"/>
              <w:bottom w:val="nil"/>
              <w:right w:val="single" w:color="000000" w:sz="4" w:space="0"/>
            </w:tcBorders>
            <w:noWrap/>
            <w:vAlign w:val="center"/>
          </w:tcPr>
          <w:p w14:paraId="5D1B439D">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nil"/>
              <w:right w:val="single" w:color="000000" w:sz="4" w:space="0"/>
            </w:tcBorders>
            <w:noWrap/>
            <w:vAlign w:val="center"/>
          </w:tcPr>
          <w:p w14:paraId="4A405BFC">
            <w:pPr>
              <w:widowControl/>
              <w:spacing w:line="360" w:lineRule="exact"/>
              <w:jc w:val="center"/>
              <w:rPr>
                <w:rFonts w:ascii="宋体" w:hAnsi="宋体" w:cs="宋体"/>
                <w:sz w:val="24"/>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645E57C0">
            <w:pPr>
              <w:spacing w:line="360" w:lineRule="exact"/>
              <w:jc w:val="left"/>
              <w:rPr>
                <w:rFonts w:ascii="宋体" w:hAnsi="宋体" w:cs="宋体"/>
                <w:sz w:val="24"/>
              </w:rPr>
            </w:pPr>
          </w:p>
        </w:tc>
      </w:tr>
      <w:tr w14:paraId="5A834CA1">
        <w:tblPrEx>
          <w:tblCellMar>
            <w:top w:w="0" w:type="dxa"/>
            <w:left w:w="108" w:type="dxa"/>
            <w:bottom w:w="0" w:type="dxa"/>
            <w:right w:w="108" w:type="dxa"/>
          </w:tblCellMar>
        </w:tblPrEx>
        <w:trPr>
          <w:trHeight w:val="835" w:hRule="atLeast"/>
          <w:jc w:val="center"/>
        </w:trPr>
        <w:tc>
          <w:tcPr>
            <w:tcW w:w="859" w:type="dxa"/>
            <w:tcBorders>
              <w:top w:val="single" w:color="000000" w:sz="4" w:space="0"/>
              <w:left w:val="single" w:color="000000" w:sz="4" w:space="0"/>
              <w:bottom w:val="nil"/>
              <w:right w:val="single" w:color="000000" w:sz="4" w:space="0"/>
            </w:tcBorders>
            <w:noWrap/>
            <w:vAlign w:val="center"/>
          </w:tcPr>
          <w:p w14:paraId="539A8AF1">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1</w:t>
            </w:r>
          </w:p>
        </w:tc>
        <w:tc>
          <w:tcPr>
            <w:tcW w:w="1581" w:type="dxa"/>
            <w:tcBorders>
              <w:top w:val="single" w:color="000000" w:sz="4" w:space="0"/>
              <w:left w:val="single" w:color="000000" w:sz="4" w:space="0"/>
              <w:bottom w:val="nil"/>
              <w:right w:val="single" w:color="000000" w:sz="4" w:space="0"/>
            </w:tcBorders>
            <w:noWrap/>
            <w:vAlign w:val="center"/>
          </w:tcPr>
          <w:p w14:paraId="6B0FA578">
            <w:pPr>
              <w:widowControl/>
              <w:spacing w:line="500" w:lineRule="exact"/>
              <w:jc w:val="center"/>
              <w:rPr>
                <w:rFonts w:ascii="宋体" w:hAnsi="宋体" w:eastAsia="宋体" w:cs="宋体"/>
                <w:sz w:val="24"/>
                <w:szCs w:val="24"/>
                <w:lang w:val="en-US" w:eastAsia="zh-CN" w:bidi="ar-SA"/>
              </w:rPr>
            </w:pPr>
            <w:r>
              <w:rPr>
                <w:rFonts w:hint="eastAsia" w:ascii="宋体" w:hAnsi="宋体" w:cs="宋体"/>
                <w:sz w:val="24"/>
              </w:rPr>
              <w:t>保洁</w:t>
            </w:r>
            <w:r>
              <w:rPr>
                <w:rFonts w:hint="eastAsia" w:ascii="宋体" w:hAnsi="宋体" w:cs="宋体"/>
                <w:sz w:val="24"/>
                <w:lang w:eastAsia="zh-CN"/>
              </w:rPr>
              <w:t>员</w:t>
            </w:r>
          </w:p>
        </w:tc>
        <w:tc>
          <w:tcPr>
            <w:tcW w:w="1378" w:type="dxa"/>
            <w:tcBorders>
              <w:top w:val="single" w:color="000000" w:sz="4" w:space="0"/>
              <w:left w:val="single" w:color="000000" w:sz="4" w:space="0"/>
              <w:bottom w:val="nil"/>
              <w:right w:val="single" w:color="000000" w:sz="4" w:space="0"/>
            </w:tcBorders>
            <w:noWrap/>
            <w:vAlign w:val="center"/>
          </w:tcPr>
          <w:p w14:paraId="4C2773C5">
            <w:pPr>
              <w:jc w:val="center"/>
              <w:rPr>
                <w:rFonts w:ascii="Times New Roman" w:hAnsi="Times New Roman" w:eastAsia="宋体" w:cs="Times New Roman"/>
                <w:sz w:val="21"/>
                <w:szCs w:val="24"/>
                <w:lang w:val="en-US" w:eastAsia="zh-CN" w:bidi="ar-SA"/>
              </w:rPr>
            </w:pPr>
            <w:r>
              <w:rPr>
                <w:rFonts w:hint="eastAsia" w:ascii="宋体" w:hAnsi="宋体" w:cs="宋体"/>
                <w:sz w:val="24"/>
              </w:rPr>
              <w:t>人员工资</w:t>
            </w:r>
          </w:p>
        </w:tc>
        <w:tc>
          <w:tcPr>
            <w:tcW w:w="927" w:type="dxa"/>
            <w:tcBorders>
              <w:top w:val="single" w:color="000000" w:sz="4" w:space="0"/>
              <w:left w:val="single" w:color="000000" w:sz="4" w:space="0"/>
              <w:bottom w:val="nil"/>
              <w:right w:val="single" w:color="000000" w:sz="4" w:space="0"/>
            </w:tcBorders>
            <w:noWrap/>
            <w:vAlign w:val="center"/>
          </w:tcPr>
          <w:p w14:paraId="718B51D0">
            <w:pPr>
              <w:widowControl/>
              <w:spacing w:line="360" w:lineRule="exact"/>
              <w:jc w:val="center"/>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1</w:t>
            </w:r>
          </w:p>
        </w:tc>
        <w:tc>
          <w:tcPr>
            <w:tcW w:w="941" w:type="dxa"/>
            <w:tcBorders>
              <w:top w:val="single" w:color="000000" w:sz="4" w:space="0"/>
              <w:left w:val="single" w:color="000000" w:sz="4" w:space="0"/>
              <w:bottom w:val="nil"/>
              <w:right w:val="single" w:color="000000" w:sz="4" w:space="0"/>
            </w:tcBorders>
            <w:noWrap/>
            <w:vAlign w:val="center"/>
          </w:tcPr>
          <w:p w14:paraId="021B69AA">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3F4749B8">
            <w:pPr>
              <w:widowControl/>
              <w:spacing w:line="360" w:lineRule="exact"/>
              <w:jc w:val="center"/>
              <w:rPr>
                <w:rFonts w:ascii="宋体" w:hAnsi="宋体" w:cs="宋体"/>
                <w:sz w:val="24"/>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4FDAB85D">
            <w:pPr>
              <w:widowControl/>
              <w:spacing w:line="360" w:lineRule="exact"/>
              <w:jc w:val="center"/>
              <w:rPr>
                <w:rFonts w:ascii="宋体" w:hAnsi="宋体" w:cs="宋体"/>
                <w:sz w:val="24"/>
              </w:rPr>
            </w:pPr>
            <w:r>
              <w:rPr>
                <w:rFonts w:hint="eastAsia" w:ascii="宋体" w:hAnsi="宋体" w:cs="宋体"/>
                <w:sz w:val="24"/>
              </w:rPr>
              <w:t>工</w:t>
            </w:r>
            <w:r>
              <w:rPr>
                <w:rFonts w:hint="eastAsia" w:ascii="宋体" w:hAnsi="宋体" w:cs="宋体"/>
                <w:sz w:val="22"/>
                <w:szCs w:val="22"/>
              </w:rPr>
              <w:t>资</w:t>
            </w:r>
            <w:bookmarkStart w:id="16" w:name="OLE_LINK8"/>
            <w:bookmarkStart w:id="17" w:name="OLE_LINK7"/>
            <w:r>
              <w:rPr>
                <w:rFonts w:hint="eastAsia" w:ascii="宋体" w:hAnsi="宋体" w:cs="宋体"/>
                <w:sz w:val="22"/>
                <w:szCs w:val="22"/>
                <w:lang w:val="en-US" w:eastAsia="zh-CN"/>
              </w:rPr>
              <w:t>不得</w:t>
            </w:r>
            <w:r>
              <w:rPr>
                <w:rFonts w:hint="eastAsia" w:ascii="宋体" w:hAnsi="宋体" w:cs="宋体"/>
                <w:sz w:val="22"/>
                <w:szCs w:val="22"/>
              </w:rPr>
              <w:t>不低于2430元/人/月</w:t>
            </w:r>
            <w:bookmarkEnd w:id="16"/>
            <w:bookmarkEnd w:id="17"/>
          </w:p>
        </w:tc>
      </w:tr>
      <w:tr w14:paraId="7C65E26D">
        <w:tblPrEx>
          <w:tblCellMar>
            <w:top w:w="0" w:type="dxa"/>
            <w:left w:w="108" w:type="dxa"/>
            <w:bottom w:w="0" w:type="dxa"/>
            <w:right w:w="108" w:type="dxa"/>
          </w:tblCellMar>
        </w:tblPrEx>
        <w:trPr>
          <w:trHeight w:val="808" w:hRule="atLeast"/>
          <w:jc w:val="center"/>
        </w:trPr>
        <w:tc>
          <w:tcPr>
            <w:tcW w:w="859" w:type="dxa"/>
            <w:vMerge w:val="restart"/>
            <w:tcBorders>
              <w:top w:val="single" w:color="000000" w:sz="4" w:space="0"/>
              <w:left w:val="single" w:color="000000" w:sz="4" w:space="0"/>
              <w:bottom w:val="nil"/>
              <w:right w:val="single" w:color="000000" w:sz="4" w:space="0"/>
            </w:tcBorders>
            <w:noWrap/>
            <w:vAlign w:val="center"/>
          </w:tcPr>
          <w:p w14:paraId="27D3B2E3">
            <w:pPr>
              <w:widowControl/>
              <w:spacing w:line="360" w:lineRule="exact"/>
              <w:jc w:val="center"/>
              <w:rPr>
                <w:rFonts w:hint="eastAsia" w:ascii="宋体" w:hAnsi="宋体" w:eastAsia="宋体" w:cs="宋体"/>
                <w:sz w:val="24"/>
                <w:szCs w:val="24"/>
                <w:lang w:val="en-US" w:eastAsia="zh-CN"/>
              </w:rPr>
            </w:pPr>
            <w:r>
              <w:rPr>
                <w:rFonts w:hint="eastAsia" w:ascii="宋体" w:hAnsi="宋体" w:cs="宋体"/>
                <w:sz w:val="24"/>
                <w:lang w:val="en-US" w:eastAsia="zh-CN"/>
              </w:rPr>
              <w:t>2</w:t>
            </w:r>
          </w:p>
        </w:tc>
        <w:tc>
          <w:tcPr>
            <w:tcW w:w="1581" w:type="dxa"/>
            <w:vMerge w:val="restart"/>
            <w:tcBorders>
              <w:top w:val="single" w:color="000000" w:sz="4" w:space="0"/>
              <w:left w:val="single" w:color="000000" w:sz="4" w:space="0"/>
              <w:bottom w:val="nil"/>
              <w:right w:val="single" w:color="000000" w:sz="4" w:space="0"/>
            </w:tcBorders>
            <w:noWrap/>
            <w:vAlign w:val="center"/>
          </w:tcPr>
          <w:p w14:paraId="1B57771F">
            <w:pPr>
              <w:widowControl/>
              <w:spacing w:line="500" w:lineRule="exact"/>
              <w:jc w:val="center"/>
              <w:rPr>
                <w:rFonts w:hint="eastAsia" w:ascii="宋体" w:hAnsi="宋体" w:eastAsia="宋体" w:cs="宋体"/>
                <w:sz w:val="24"/>
                <w:szCs w:val="24"/>
                <w:lang w:val="en-US" w:eastAsia="zh-CN" w:bidi="ar-SA"/>
              </w:rPr>
            </w:pPr>
            <w:r>
              <w:rPr>
                <w:rFonts w:hint="eastAsia" w:ascii="宋体" w:hAnsi="宋体" w:cs="宋体"/>
                <w:sz w:val="24"/>
                <w:lang w:eastAsia="zh-CN"/>
              </w:rPr>
              <w:t>夜间值</w:t>
            </w:r>
            <w:r>
              <w:rPr>
                <w:rFonts w:hint="eastAsia" w:ascii="宋体" w:hAnsi="宋体" w:cs="宋体"/>
                <w:sz w:val="24"/>
                <w:lang w:val="en-US" w:eastAsia="zh-CN"/>
              </w:rPr>
              <w:t>班巡逻</w:t>
            </w:r>
            <w:r>
              <w:rPr>
                <w:rFonts w:hint="eastAsia" w:ascii="宋体" w:hAnsi="宋体" w:cs="宋体"/>
                <w:sz w:val="24"/>
                <w:lang w:eastAsia="zh-CN"/>
              </w:rPr>
              <w:t>人员（保安兼）</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0C44A135">
            <w:pPr>
              <w:widowControl/>
              <w:spacing w:line="360" w:lineRule="exact"/>
              <w:jc w:val="center"/>
              <w:rPr>
                <w:rFonts w:hint="eastAsia" w:ascii="宋体" w:hAnsi="宋体" w:eastAsia="宋体" w:cs="宋体"/>
                <w:sz w:val="24"/>
                <w:szCs w:val="24"/>
                <w:lang w:eastAsia="zh-CN"/>
              </w:rPr>
            </w:pPr>
            <w:r>
              <w:rPr>
                <w:rFonts w:hint="eastAsia" w:ascii="宋体" w:hAnsi="宋体" w:cs="宋体"/>
                <w:sz w:val="24"/>
              </w:rPr>
              <w:t>人员工资</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5AF1BE0E">
            <w:pPr>
              <w:widowControl/>
              <w:spacing w:line="360" w:lineRule="exact"/>
              <w:jc w:val="center"/>
              <w:rPr>
                <w:rFonts w:hint="eastAsia" w:ascii="宋体" w:hAnsi="宋体" w:eastAsia="宋体" w:cs="宋体"/>
                <w:sz w:val="24"/>
                <w:szCs w:val="24"/>
                <w:lang w:val="en-US" w:eastAsia="zh-CN"/>
              </w:rPr>
            </w:pPr>
            <w:r>
              <w:rPr>
                <w:rFonts w:hint="eastAsia" w:ascii="宋体" w:hAnsi="宋体" w:cs="宋体"/>
                <w:sz w:val="24"/>
                <w:lang w:val="en-US" w:eastAsia="zh-CN"/>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0AE30169">
            <w:pPr>
              <w:widowControl/>
              <w:spacing w:line="360" w:lineRule="exact"/>
              <w:jc w:val="center"/>
              <w:rPr>
                <w:rFonts w:hint="default" w:ascii="宋体" w:hAnsi="宋体" w:eastAsia="宋体" w:cs="宋体"/>
                <w:sz w:val="24"/>
                <w:lang w:val="en-US" w:eastAsia="zh-CN"/>
              </w:rPr>
            </w:pPr>
            <w:r>
              <w:rPr>
                <w:rFonts w:hint="eastAsia" w:ascii="宋体" w:hAnsi="宋体" w:cs="宋体"/>
                <w:sz w:val="24"/>
                <w:lang w:val="en-US" w:eastAsia="zh-CN"/>
              </w:rPr>
              <w:t>1500</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17843F77">
            <w:pPr>
              <w:widowControl/>
              <w:spacing w:line="360" w:lineRule="exact"/>
              <w:jc w:val="center"/>
              <w:rPr>
                <w:rFonts w:ascii="宋体" w:hAnsi="宋体" w:cs="宋体"/>
                <w:sz w:val="24"/>
              </w:rPr>
            </w:pPr>
          </w:p>
        </w:tc>
        <w:tc>
          <w:tcPr>
            <w:tcW w:w="3346" w:type="dxa"/>
            <w:vMerge w:val="restart"/>
            <w:tcBorders>
              <w:top w:val="single" w:color="000000" w:sz="4" w:space="0"/>
              <w:left w:val="single" w:color="000000" w:sz="4" w:space="0"/>
              <w:right w:val="single" w:color="000000" w:sz="4" w:space="0"/>
            </w:tcBorders>
            <w:noWrap/>
            <w:vAlign w:val="center"/>
          </w:tcPr>
          <w:p w14:paraId="20211E7E">
            <w:pPr>
              <w:widowControl/>
              <w:spacing w:line="360" w:lineRule="exact"/>
              <w:jc w:val="center"/>
              <w:rPr>
                <w:rFonts w:ascii="宋体" w:hAnsi="宋体" w:cs="宋体"/>
                <w:sz w:val="24"/>
              </w:rPr>
            </w:pPr>
            <w:r>
              <w:rPr>
                <w:rFonts w:hint="eastAsia" w:ascii="宋体" w:hAnsi="宋体" w:eastAsia="宋体" w:cs="宋体"/>
                <w:sz w:val="24"/>
                <w:lang w:val="zh-CN" w:eastAsia="zh-CN"/>
              </w:rPr>
              <w:t>夜间值班巡逻人员由学校安保服务单位派遣</w:t>
            </w:r>
            <w:r>
              <w:rPr>
                <w:rFonts w:hint="eastAsia" w:ascii="宋体" w:hAnsi="宋体" w:eastAsia="宋体" w:cs="宋体"/>
                <w:sz w:val="24"/>
                <w:lang w:val="en-US" w:eastAsia="zh-CN"/>
              </w:rPr>
              <w:t>的</w:t>
            </w:r>
            <w:r>
              <w:rPr>
                <w:rFonts w:hint="eastAsia" w:ascii="宋体" w:hAnsi="宋体" w:eastAsia="宋体" w:cs="宋体"/>
                <w:sz w:val="24"/>
                <w:lang w:val="zh-CN" w:eastAsia="zh-CN"/>
              </w:rPr>
              <w:t>保安兼任，每人</w:t>
            </w:r>
            <w:r>
              <w:rPr>
                <w:rFonts w:hint="eastAsia" w:ascii="宋体" w:hAnsi="宋体" w:eastAsia="宋体" w:cs="宋体"/>
                <w:sz w:val="24"/>
                <w:lang w:val="en-US" w:eastAsia="zh-CN"/>
              </w:rPr>
              <w:t>每月固定发放1</w:t>
            </w:r>
            <w:r>
              <w:rPr>
                <w:rFonts w:hint="eastAsia" w:ascii="宋体" w:hAnsi="宋体" w:eastAsia="宋体" w:cs="宋体"/>
                <w:sz w:val="24"/>
                <w:lang w:val="zh-CN" w:eastAsia="zh-CN"/>
              </w:rPr>
              <w:t>500元</w:t>
            </w:r>
            <w:r>
              <w:rPr>
                <w:rFonts w:hint="eastAsia" w:ascii="宋体" w:hAnsi="宋体" w:eastAsia="宋体" w:cs="宋体"/>
                <w:sz w:val="24"/>
                <w:lang w:val="en-US" w:eastAsia="zh-CN"/>
              </w:rPr>
              <w:t>工资补贴</w:t>
            </w:r>
            <w:r>
              <w:rPr>
                <w:rFonts w:hint="eastAsia" w:ascii="宋体" w:hAnsi="宋体" w:eastAsia="宋体" w:cs="宋体"/>
                <w:sz w:val="24"/>
                <w:lang w:val="zh-CN" w:eastAsia="zh-CN"/>
              </w:rPr>
              <w:t>，不交社保、公积金</w:t>
            </w:r>
            <w:r>
              <w:rPr>
                <w:rFonts w:hint="eastAsia" w:ascii="宋体" w:hAnsi="宋体" w:eastAsia="宋体" w:cs="宋体"/>
                <w:sz w:val="24"/>
                <w:lang w:val="en-US" w:eastAsia="zh-CN"/>
              </w:rPr>
              <w:t>等</w:t>
            </w:r>
            <w:r>
              <w:rPr>
                <w:rFonts w:hint="eastAsia" w:ascii="宋体" w:hAnsi="宋体" w:eastAsia="宋体" w:cs="宋体"/>
                <w:sz w:val="24"/>
                <w:lang w:val="zh-CN" w:eastAsia="zh-CN"/>
              </w:rPr>
              <w:t>，福利和服装费</w:t>
            </w:r>
            <w:r>
              <w:rPr>
                <w:rFonts w:hint="eastAsia" w:ascii="宋体" w:hAnsi="宋体" w:eastAsia="宋体" w:cs="宋体"/>
                <w:sz w:val="24"/>
                <w:lang w:val="en-US" w:eastAsia="zh-CN"/>
              </w:rPr>
              <w:t>每人</w:t>
            </w:r>
            <w:r>
              <w:rPr>
                <w:rFonts w:hint="eastAsia" w:ascii="宋体" w:hAnsi="宋体" w:eastAsia="宋体" w:cs="宋体"/>
                <w:sz w:val="24"/>
                <w:lang w:val="zh-CN" w:eastAsia="zh-CN"/>
              </w:rPr>
              <w:t>2000元/年，</w:t>
            </w:r>
            <w:r>
              <w:rPr>
                <w:rFonts w:hint="eastAsia" w:ascii="宋体" w:hAnsi="宋体" w:eastAsia="宋体" w:cs="宋体"/>
                <w:sz w:val="24"/>
                <w:lang w:val="en-US" w:eastAsia="zh-CN"/>
              </w:rPr>
              <w:t>工资补贴及福利服装费</w:t>
            </w:r>
            <w:r>
              <w:rPr>
                <w:rFonts w:hint="eastAsia" w:ascii="宋体" w:hAnsi="宋体" w:eastAsia="宋体" w:cs="宋体"/>
                <w:sz w:val="24"/>
                <w:lang w:val="zh-CN" w:eastAsia="zh-CN"/>
              </w:rPr>
              <w:t>由本项目</w:t>
            </w:r>
            <w:r>
              <w:rPr>
                <w:rFonts w:hint="eastAsia" w:ascii="宋体" w:hAnsi="宋体" w:eastAsia="宋体" w:cs="宋体"/>
                <w:sz w:val="24"/>
                <w:lang w:val="en-US" w:eastAsia="zh-CN"/>
              </w:rPr>
              <w:t>物业</w:t>
            </w:r>
            <w:r>
              <w:rPr>
                <w:rFonts w:hint="eastAsia" w:ascii="宋体" w:hAnsi="宋体" w:eastAsia="宋体" w:cs="宋体"/>
                <w:sz w:val="24"/>
                <w:lang w:val="zh-CN" w:eastAsia="zh-CN"/>
              </w:rPr>
              <w:t>中标单位</w:t>
            </w:r>
            <w:r>
              <w:rPr>
                <w:rFonts w:hint="eastAsia" w:ascii="宋体" w:hAnsi="宋体" w:eastAsia="宋体" w:cs="宋体"/>
                <w:sz w:val="24"/>
                <w:lang w:val="en-US" w:eastAsia="zh-CN"/>
              </w:rPr>
              <w:t>承担</w:t>
            </w:r>
            <w:r>
              <w:rPr>
                <w:rFonts w:hint="eastAsia" w:ascii="宋体" w:hAnsi="宋体" w:eastAsia="宋体" w:cs="宋体"/>
                <w:sz w:val="24"/>
                <w:lang w:val="zh-CN" w:eastAsia="zh-CN"/>
              </w:rPr>
              <w:t>。</w:t>
            </w:r>
            <w:r>
              <w:rPr>
                <w:rFonts w:hint="eastAsia" w:ascii="宋体" w:hAnsi="宋体" w:eastAsia="宋体" w:cs="宋体"/>
                <w:sz w:val="24"/>
                <w:lang w:val="en-US" w:eastAsia="zh-CN"/>
              </w:rPr>
              <w:t>工资补贴及福利服装费</w:t>
            </w:r>
            <w:r>
              <w:rPr>
                <w:rFonts w:hint="eastAsia" w:ascii="宋体" w:hAnsi="宋体" w:eastAsia="宋体" w:cs="宋体"/>
                <w:sz w:val="24"/>
                <w:lang w:val="zh-CN" w:eastAsia="zh-CN"/>
              </w:rPr>
              <w:t>一并计税，税费由物业中标单位承担</w:t>
            </w:r>
            <w:r>
              <w:rPr>
                <w:rFonts w:hint="eastAsia" w:ascii="宋体" w:hAnsi="宋体" w:eastAsia="宋体" w:cs="宋体"/>
                <w:sz w:val="24"/>
                <w:lang w:val="en-US" w:eastAsia="zh-CN"/>
              </w:rPr>
              <w:t>。</w:t>
            </w:r>
          </w:p>
        </w:tc>
      </w:tr>
      <w:tr w14:paraId="6ECBB89F">
        <w:tblPrEx>
          <w:tblCellMar>
            <w:top w:w="0" w:type="dxa"/>
            <w:left w:w="108" w:type="dxa"/>
            <w:bottom w:w="0" w:type="dxa"/>
            <w:right w:w="108" w:type="dxa"/>
          </w:tblCellMar>
        </w:tblPrEx>
        <w:trPr>
          <w:trHeight w:val="808" w:hRule="atLeast"/>
          <w:jc w:val="center"/>
        </w:trPr>
        <w:tc>
          <w:tcPr>
            <w:tcW w:w="859" w:type="dxa"/>
            <w:vMerge w:val="continue"/>
            <w:tcBorders>
              <w:top w:val="nil"/>
              <w:left w:val="single" w:color="000000" w:sz="4" w:space="0"/>
              <w:bottom w:val="single" w:color="000000" w:sz="4" w:space="0"/>
              <w:right w:val="single" w:color="000000" w:sz="4" w:space="0"/>
            </w:tcBorders>
            <w:noWrap/>
            <w:vAlign w:val="center"/>
          </w:tcPr>
          <w:p w14:paraId="343B2BF1">
            <w:pPr>
              <w:widowControl/>
              <w:spacing w:line="360" w:lineRule="exact"/>
              <w:jc w:val="center"/>
              <w:rPr>
                <w:rFonts w:hint="eastAsia" w:ascii="宋体" w:hAnsi="宋体" w:eastAsia="宋体" w:cs="宋体"/>
                <w:sz w:val="24"/>
                <w:lang w:eastAsia="zh-CN"/>
              </w:rPr>
            </w:pPr>
          </w:p>
        </w:tc>
        <w:tc>
          <w:tcPr>
            <w:tcW w:w="1581" w:type="dxa"/>
            <w:vMerge w:val="continue"/>
            <w:tcBorders>
              <w:top w:val="nil"/>
              <w:left w:val="single" w:color="000000" w:sz="4" w:space="0"/>
              <w:bottom w:val="single" w:color="000000" w:sz="4" w:space="0"/>
              <w:right w:val="single" w:color="000000" w:sz="4" w:space="0"/>
            </w:tcBorders>
            <w:noWrap/>
            <w:vAlign w:val="center"/>
          </w:tcPr>
          <w:p w14:paraId="01B1CE03">
            <w:pPr>
              <w:widowControl/>
              <w:spacing w:line="500" w:lineRule="exact"/>
              <w:jc w:val="center"/>
              <w:rPr>
                <w:rFonts w:hint="eastAsia" w:ascii="宋体" w:hAnsi="宋体" w:eastAsia="宋体" w:cs="宋体"/>
                <w:sz w:val="24"/>
                <w:szCs w:val="24"/>
                <w:lang w:val="en-US" w:eastAsia="zh-CN" w:bidi="ar-SA"/>
              </w:rPr>
            </w:pP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5A7EF615">
            <w:pPr>
              <w:widowControl/>
              <w:spacing w:line="360" w:lineRule="exact"/>
              <w:jc w:val="center"/>
              <w:rPr>
                <w:rFonts w:ascii="宋体" w:hAnsi="宋体" w:eastAsia="宋体" w:cs="宋体"/>
                <w:sz w:val="24"/>
                <w:lang w:val="en-US" w:eastAsia="zh-CN"/>
              </w:rPr>
            </w:pPr>
            <w:r>
              <w:rPr>
                <w:rFonts w:hint="eastAsia" w:ascii="宋体" w:hAnsi="宋体" w:cs="宋体"/>
                <w:sz w:val="24"/>
                <w:lang w:val="en-US" w:eastAsia="zh-CN"/>
              </w:rPr>
              <w:t>福利和服装费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4B27EA39">
            <w:pPr>
              <w:widowControl/>
              <w:spacing w:line="360" w:lineRule="exact"/>
              <w:jc w:val="center"/>
              <w:rPr>
                <w:rFonts w:ascii="宋体" w:hAnsi="宋体" w:eastAsia="宋体" w:cs="宋体"/>
                <w:sz w:val="24"/>
                <w:lang w:val="en-US" w:eastAsia="zh-CN"/>
              </w:rPr>
            </w:pPr>
            <w:r>
              <w:rPr>
                <w:rFonts w:hint="eastAsia" w:ascii="宋体" w:hAnsi="宋体" w:eastAsia="宋体" w:cs="宋体"/>
                <w:sz w:val="24"/>
                <w:szCs w:val="24"/>
                <w:lang w:val="en-US" w:eastAsia="zh-CN" w:bidi="ar-SA"/>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1EA74030">
            <w:pPr>
              <w:widowControl/>
              <w:spacing w:line="360" w:lineRule="exact"/>
              <w:jc w:val="center"/>
              <w:rPr>
                <w:rFonts w:hint="eastAsia" w:ascii="宋体" w:hAnsi="宋体" w:eastAsia="宋体" w:cs="宋体"/>
                <w:sz w:val="24"/>
                <w:lang w:val="en-US" w:eastAsia="zh-CN"/>
              </w:rPr>
            </w:pPr>
            <w:r>
              <w:rPr>
                <w:rFonts w:hint="eastAsia" w:ascii="宋体" w:hAnsi="宋体" w:cs="宋体"/>
                <w:sz w:val="24"/>
                <w:lang w:val="en-US" w:eastAsia="zh-CN"/>
              </w:rPr>
              <w:t>/</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211992FF">
            <w:pPr>
              <w:widowControl/>
              <w:spacing w:line="360" w:lineRule="exact"/>
              <w:jc w:val="center"/>
              <w:rPr>
                <w:rFonts w:hint="default" w:ascii="宋体" w:hAnsi="宋体" w:eastAsia="宋体" w:cs="宋体"/>
                <w:sz w:val="24"/>
                <w:lang w:val="en-US" w:eastAsia="zh-CN"/>
              </w:rPr>
            </w:pPr>
            <w:r>
              <w:rPr>
                <w:rFonts w:hint="eastAsia" w:ascii="宋体" w:hAnsi="宋体" w:cs="宋体"/>
                <w:sz w:val="24"/>
                <w:lang w:val="en-US" w:eastAsia="zh-CN"/>
              </w:rPr>
              <w:t>2000</w:t>
            </w:r>
          </w:p>
        </w:tc>
        <w:tc>
          <w:tcPr>
            <w:tcW w:w="3346" w:type="dxa"/>
            <w:vMerge w:val="continue"/>
            <w:tcBorders>
              <w:left w:val="single" w:color="000000" w:sz="4" w:space="0"/>
              <w:bottom w:val="single" w:color="000000" w:sz="4" w:space="0"/>
              <w:right w:val="single" w:color="000000" w:sz="4" w:space="0"/>
            </w:tcBorders>
            <w:noWrap/>
            <w:vAlign w:val="center"/>
          </w:tcPr>
          <w:p w14:paraId="53E1D03F">
            <w:pPr>
              <w:widowControl/>
              <w:spacing w:line="360" w:lineRule="exact"/>
              <w:jc w:val="center"/>
              <w:rPr>
                <w:rFonts w:ascii="宋体" w:hAnsi="宋体" w:cs="宋体"/>
                <w:sz w:val="24"/>
              </w:rPr>
            </w:pPr>
          </w:p>
        </w:tc>
      </w:tr>
      <w:tr w14:paraId="4CFA99B9">
        <w:tblPrEx>
          <w:tblCellMar>
            <w:top w:w="0" w:type="dxa"/>
            <w:left w:w="108" w:type="dxa"/>
            <w:bottom w:w="0" w:type="dxa"/>
            <w:right w:w="108" w:type="dxa"/>
          </w:tblCellMar>
        </w:tblPrEx>
        <w:trPr>
          <w:trHeight w:val="1134"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0B08349C">
            <w:pPr>
              <w:widowControl/>
              <w:spacing w:line="360" w:lineRule="exact"/>
              <w:jc w:val="center"/>
              <w:rPr>
                <w:rFonts w:ascii="宋体" w:hAnsi="宋体" w:cs="宋体"/>
                <w:sz w:val="24"/>
              </w:rPr>
            </w:pPr>
            <w:r>
              <w:rPr>
                <w:rFonts w:hint="eastAsia" w:ascii="宋体" w:hAnsi="宋体" w:cs="宋体"/>
                <w:sz w:val="24"/>
              </w:rPr>
              <w:t>二</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5EDCD29C">
            <w:pPr>
              <w:widowControl/>
              <w:spacing w:line="360" w:lineRule="exact"/>
              <w:jc w:val="center"/>
              <w:rPr>
                <w:rFonts w:ascii="宋体" w:hAnsi="宋体" w:cs="宋体"/>
                <w:sz w:val="24"/>
              </w:rPr>
            </w:pPr>
            <w:r>
              <w:rPr>
                <w:rFonts w:hint="eastAsia" w:ascii="宋体" w:hAnsi="宋体" w:cs="宋体"/>
                <w:sz w:val="24"/>
              </w:rPr>
              <w:t>社会保险</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0966B306">
            <w:pPr>
              <w:widowControl/>
              <w:spacing w:line="360" w:lineRule="exact"/>
              <w:jc w:val="center"/>
              <w:rPr>
                <w:rFonts w:ascii="宋体" w:hAnsi="宋体" w:eastAsia="宋体" w:cs="宋体"/>
                <w:sz w:val="24"/>
                <w:lang w:val="en-US" w:eastAsia="zh-CN"/>
              </w:rPr>
            </w:pPr>
            <w:r>
              <w:rPr>
                <w:rFonts w:hint="eastAsia" w:ascii="宋体" w:hAnsi="宋体" w:eastAsia="宋体" w:cs="宋体"/>
                <w:sz w:val="24"/>
                <w:szCs w:val="24"/>
                <w:lang w:val="en-US" w:eastAsia="zh-CN" w:bidi="ar-SA"/>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4312B52B">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3F8EB505">
            <w:pPr>
              <w:widowControl/>
              <w:spacing w:line="360" w:lineRule="exact"/>
              <w:jc w:val="center"/>
              <w:rPr>
                <w:rFonts w:ascii="宋体" w:hAnsi="宋体" w:cs="宋体"/>
                <w:sz w:val="24"/>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6C608F22">
            <w:pPr>
              <w:widowControl/>
              <w:spacing w:line="300" w:lineRule="exact"/>
              <w:jc w:val="left"/>
              <w:rPr>
                <w:rFonts w:ascii="宋体" w:hAnsi="宋体" w:cs="宋体"/>
                <w:sz w:val="24"/>
              </w:rPr>
            </w:pPr>
            <w:r>
              <w:rPr>
                <w:rFonts w:hint="eastAsia" w:ascii="宋体" w:hAnsi="宋体" w:cs="宋体"/>
                <w:sz w:val="24"/>
              </w:rPr>
              <w:t>所有人员必须足额缴纳社保费用，社保（企业部分）不得低于1292.47元/人/每月。</w:t>
            </w:r>
          </w:p>
        </w:tc>
      </w:tr>
      <w:tr w14:paraId="042E54D2">
        <w:tblPrEx>
          <w:tblCellMar>
            <w:top w:w="0" w:type="dxa"/>
            <w:left w:w="108" w:type="dxa"/>
            <w:bottom w:w="0" w:type="dxa"/>
            <w:right w:w="108" w:type="dxa"/>
          </w:tblCellMar>
        </w:tblPrEx>
        <w:trPr>
          <w:trHeight w:val="63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48924826">
            <w:pPr>
              <w:widowControl/>
              <w:spacing w:line="360" w:lineRule="exact"/>
              <w:jc w:val="center"/>
              <w:rPr>
                <w:rFonts w:ascii="宋体" w:hAnsi="宋体" w:cs="宋体"/>
                <w:sz w:val="24"/>
              </w:rPr>
            </w:pPr>
            <w:r>
              <w:rPr>
                <w:rFonts w:hint="eastAsia" w:ascii="宋体" w:hAnsi="宋体" w:cs="宋体"/>
                <w:sz w:val="24"/>
              </w:rPr>
              <w:t>三</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088EBECD">
            <w:pPr>
              <w:widowControl/>
              <w:spacing w:line="360" w:lineRule="exact"/>
              <w:jc w:val="center"/>
              <w:rPr>
                <w:rFonts w:ascii="宋体" w:hAnsi="宋体" w:cs="宋体"/>
                <w:sz w:val="24"/>
              </w:rPr>
            </w:pPr>
            <w:r>
              <w:rPr>
                <w:rFonts w:hint="eastAsia" w:ascii="宋体" w:hAnsi="宋体" w:cs="宋体"/>
                <w:sz w:val="24"/>
              </w:rPr>
              <w:t>住房公积金</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62AAC4D9">
            <w:pPr>
              <w:widowControl/>
              <w:spacing w:line="360" w:lineRule="exact"/>
              <w:jc w:val="center"/>
              <w:rPr>
                <w:rFonts w:ascii="宋体" w:hAnsi="宋体" w:eastAsia="宋体" w:cs="宋体"/>
                <w:sz w:val="24"/>
                <w:lang w:val="en-US" w:eastAsia="zh-CN"/>
              </w:rPr>
            </w:pPr>
            <w:r>
              <w:rPr>
                <w:rFonts w:hint="eastAsia" w:ascii="宋体" w:hAnsi="宋体" w:eastAsia="宋体" w:cs="宋体"/>
                <w:sz w:val="24"/>
                <w:szCs w:val="24"/>
                <w:lang w:val="en-US" w:eastAsia="zh-CN" w:bidi="ar-SA"/>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197301F6">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1E964451">
            <w:pPr>
              <w:widowControl/>
              <w:spacing w:line="360" w:lineRule="exact"/>
              <w:jc w:val="center"/>
              <w:rPr>
                <w:rFonts w:ascii="宋体" w:hAnsi="宋体" w:cs="宋体"/>
                <w:sz w:val="24"/>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02B5223B">
            <w:pPr>
              <w:widowControl/>
              <w:spacing w:line="300" w:lineRule="exact"/>
              <w:jc w:val="left"/>
              <w:rPr>
                <w:rFonts w:ascii="宋体" w:hAnsi="宋体" w:cs="宋体"/>
                <w:sz w:val="24"/>
              </w:rPr>
            </w:pPr>
            <w:r>
              <w:rPr>
                <w:rFonts w:hint="eastAsia" w:ascii="宋体" w:hAnsi="宋体" w:cs="宋体"/>
                <w:sz w:val="24"/>
              </w:rPr>
              <w:t>住房公积金不得低于114元/人/每月。</w:t>
            </w:r>
          </w:p>
        </w:tc>
      </w:tr>
      <w:tr w14:paraId="05137BDC">
        <w:tblPrEx>
          <w:tblCellMar>
            <w:top w:w="0" w:type="dxa"/>
            <w:left w:w="108" w:type="dxa"/>
            <w:bottom w:w="0" w:type="dxa"/>
            <w:right w:w="108" w:type="dxa"/>
          </w:tblCellMar>
        </w:tblPrEx>
        <w:trPr>
          <w:trHeight w:val="74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500A6CE1">
            <w:pPr>
              <w:widowControl/>
              <w:spacing w:line="360" w:lineRule="exact"/>
              <w:jc w:val="center"/>
              <w:rPr>
                <w:rFonts w:ascii="宋体" w:hAnsi="宋体" w:cs="宋体"/>
                <w:sz w:val="24"/>
              </w:rPr>
            </w:pPr>
            <w:r>
              <w:rPr>
                <w:rFonts w:hint="eastAsia" w:ascii="宋体" w:hAnsi="宋体" w:cs="宋体"/>
                <w:sz w:val="24"/>
              </w:rPr>
              <w:t>四</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4BD75F2A">
            <w:pPr>
              <w:widowControl/>
              <w:spacing w:line="360" w:lineRule="exact"/>
              <w:jc w:val="center"/>
              <w:rPr>
                <w:rFonts w:ascii="宋体" w:hAnsi="宋体" w:cs="宋体"/>
                <w:sz w:val="24"/>
              </w:rPr>
            </w:pPr>
            <w:r>
              <w:rPr>
                <w:rFonts w:hint="eastAsia" w:ascii="宋体" w:hAnsi="宋体" w:cs="宋体"/>
                <w:sz w:val="24"/>
              </w:rPr>
              <w:t>法定节假日加班费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7BCDF0C7">
            <w:pPr>
              <w:widowControl/>
              <w:spacing w:line="360" w:lineRule="exact"/>
              <w:jc w:val="center"/>
              <w:rPr>
                <w:rFonts w:ascii="宋体" w:hAnsi="宋体" w:eastAsia="宋体" w:cs="宋体"/>
                <w:sz w:val="24"/>
                <w:lang w:val="en-US" w:eastAsia="zh-CN"/>
              </w:rPr>
            </w:pPr>
            <w:r>
              <w:rPr>
                <w:rFonts w:hint="eastAsia" w:ascii="宋体" w:hAnsi="宋体" w:eastAsia="宋体" w:cs="宋体"/>
                <w:sz w:val="24"/>
                <w:szCs w:val="24"/>
                <w:lang w:val="en-US" w:eastAsia="zh-CN" w:bidi="ar-SA"/>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0706CB78">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67D4A32C">
            <w:pPr>
              <w:widowControl/>
              <w:spacing w:line="360" w:lineRule="exact"/>
              <w:jc w:val="center"/>
              <w:rPr>
                <w:rFonts w:ascii="宋体" w:hAnsi="宋体" w:cs="宋体"/>
                <w:sz w:val="24"/>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29D8ADA9">
            <w:pPr>
              <w:widowControl/>
              <w:spacing w:line="300" w:lineRule="exact"/>
              <w:jc w:val="left"/>
              <w:rPr>
                <w:rFonts w:ascii="宋体" w:hAnsi="宋体" w:cs="宋体"/>
                <w:sz w:val="24"/>
              </w:rPr>
            </w:pPr>
            <w:r>
              <w:rPr>
                <w:rFonts w:hint="eastAsia" w:ascii="宋体" w:hAnsi="宋体" w:cs="宋体"/>
                <w:sz w:val="24"/>
              </w:rPr>
              <w:t>法定节假日加班费不得低于4357.25元/人/每年，人数按不少于</w:t>
            </w:r>
            <w:r>
              <w:rPr>
                <w:rFonts w:hint="eastAsia" w:ascii="宋体" w:hAnsi="宋体" w:cs="宋体"/>
                <w:b/>
                <w:bCs/>
                <w:sz w:val="24"/>
                <w:lang w:val="en-US" w:eastAsia="zh-CN"/>
              </w:rPr>
              <w:t>1</w:t>
            </w:r>
            <w:r>
              <w:rPr>
                <w:rFonts w:hint="eastAsia" w:ascii="宋体" w:hAnsi="宋体" w:cs="宋体"/>
                <w:sz w:val="24"/>
              </w:rPr>
              <w:t>人数加班计算。</w:t>
            </w:r>
          </w:p>
        </w:tc>
      </w:tr>
      <w:tr w14:paraId="2109181C">
        <w:tblPrEx>
          <w:tblCellMar>
            <w:top w:w="0" w:type="dxa"/>
            <w:left w:w="108" w:type="dxa"/>
            <w:bottom w:w="0" w:type="dxa"/>
            <w:right w:w="108" w:type="dxa"/>
          </w:tblCellMar>
        </w:tblPrEx>
        <w:trPr>
          <w:trHeight w:val="6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1CBAB8D7">
            <w:pPr>
              <w:widowControl/>
              <w:spacing w:line="360" w:lineRule="exact"/>
              <w:jc w:val="center"/>
              <w:rPr>
                <w:rFonts w:ascii="宋体" w:hAnsi="宋体" w:cs="宋体"/>
                <w:sz w:val="24"/>
              </w:rPr>
            </w:pPr>
            <w:r>
              <w:rPr>
                <w:rFonts w:hint="eastAsia" w:ascii="宋体" w:hAnsi="宋体" w:cs="宋体"/>
                <w:sz w:val="24"/>
              </w:rPr>
              <w:t>五</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4BADB8D6">
            <w:pPr>
              <w:widowControl/>
              <w:spacing w:line="360" w:lineRule="exact"/>
              <w:jc w:val="center"/>
              <w:rPr>
                <w:rFonts w:ascii="宋体" w:hAnsi="宋体" w:cs="宋体"/>
                <w:sz w:val="24"/>
              </w:rPr>
            </w:pPr>
            <w:r>
              <w:rPr>
                <w:rFonts w:hint="eastAsia" w:ascii="宋体" w:hAnsi="宋体" w:cs="宋体"/>
                <w:sz w:val="24"/>
              </w:rPr>
              <w:t>综合管理费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79E29A28">
            <w:pPr>
              <w:widowControl/>
              <w:spacing w:line="360" w:lineRule="exact"/>
              <w:jc w:val="center"/>
              <w:rPr>
                <w:rFonts w:ascii="宋体" w:hAnsi="宋体" w:cs="宋体"/>
                <w:sz w:val="24"/>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63130F75">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585A2B73">
            <w:pPr>
              <w:widowControl/>
              <w:spacing w:line="360" w:lineRule="exact"/>
              <w:jc w:val="center"/>
              <w:rPr>
                <w:rFonts w:ascii="宋体" w:hAnsi="宋体" w:cs="宋体"/>
                <w:sz w:val="24"/>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2EC1BFBD">
            <w:pPr>
              <w:widowControl/>
              <w:spacing w:line="360" w:lineRule="exact"/>
              <w:jc w:val="left"/>
              <w:rPr>
                <w:rFonts w:ascii="宋体" w:hAnsi="宋体" w:cs="宋体"/>
                <w:sz w:val="24"/>
              </w:rPr>
            </w:pPr>
          </w:p>
        </w:tc>
      </w:tr>
      <w:tr w14:paraId="20266B03">
        <w:tblPrEx>
          <w:tblCellMar>
            <w:top w:w="0" w:type="dxa"/>
            <w:left w:w="108" w:type="dxa"/>
            <w:bottom w:w="0" w:type="dxa"/>
            <w:right w:w="108" w:type="dxa"/>
          </w:tblCellMar>
        </w:tblPrEx>
        <w:trPr>
          <w:trHeight w:val="504"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0DF0EA0D">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1</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30C28253">
            <w:pPr>
              <w:widowControl/>
              <w:spacing w:line="360" w:lineRule="exact"/>
              <w:jc w:val="center"/>
              <w:rPr>
                <w:rFonts w:ascii="宋体" w:hAnsi="宋体" w:cs="宋体"/>
                <w:sz w:val="24"/>
                <w:lang w:bidi="ar"/>
              </w:rPr>
            </w:pPr>
            <w:r>
              <w:rPr>
                <w:rFonts w:hint="eastAsia" w:ascii="宋体" w:hAnsi="宋体" w:cs="宋体"/>
                <w:sz w:val="24"/>
                <w:lang w:bidi="ar"/>
              </w:rPr>
              <w:t>福利费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4FA6EBD0">
            <w:pPr>
              <w:widowControl/>
              <w:spacing w:line="360" w:lineRule="exact"/>
              <w:jc w:val="center"/>
              <w:rPr>
                <w:rFonts w:ascii="宋体" w:hAnsi="宋体" w:eastAsia="宋体" w:cs="宋体"/>
                <w:sz w:val="24"/>
                <w:lang w:val="en-US" w:eastAsia="zh-CN" w:bidi="ar"/>
              </w:rPr>
            </w:pPr>
            <w:r>
              <w:rPr>
                <w:rFonts w:hint="eastAsia" w:ascii="宋体" w:hAnsi="宋体" w:cs="宋体"/>
                <w:sz w:val="24"/>
                <w:lang w:val="en-US" w:eastAsia="zh-CN" w:bidi="ar"/>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1325C51A">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1D529C38">
            <w:pPr>
              <w:widowControl/>
              <w:spacing w:line="360" w:lineRule="exact"/>
              <w:jc w:val="center"/>
              <w:rPr>
                <w:rFonts w:ascii="宋体" w:hAnsi="宋体" w:cs="宋体"/>
                <w:sz w:val="24"/>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5D031C6F">
            <w:pPr>
              <w:spacing w:line="360" w:lineRule="exact"/>
              <w:jc w:val="center"/>
              <w:rPr>
                <w:rFonts w:ascii="宋体" w:hAnsi="宋体" w:cs="宋体"/>
                <w:sz w:val="24"/>
              </w:rPr>
            </w:pPr>
            <w:r>
              <w:rPr>
                <w:rFonts w:hint="eastAsia" w:ascii="宋体" w:hAnsi="宋体" w:cs="宋体"/>
                <w:sz w:val="24"/>
              </w:rPr>
              <w:t>不低于1</w:t>
            </w:r>
            <w:r>
              <w:rPr>
                <w:rFonts w:hint="eastAsia" w:ascii="宋体" w:hAnsi="宋体" w:cs="宋体"/>
                <w:sz w:val="24"/>
                <w:lang w:val="en-US" w:eastAsia="zh-CN"/>
              </w:rPr>
              <w:t>0</w:t>
            </w:r>
            <w:r>
              <w:rPr>
                <w:rFonts w:hint="eastAsia" w:ascii="宋体" w:hAnsi="宋体" w:cs="宋体"/>
                <w:sz w:val="24"/>
              </w:rPr>
              <w:t>00元/人/年</w:t>
            </w:r>
          </w:p>
        </w:tc>
      </w:tr>
      <w:tr w14:paraId="5DEBEF73">
        <w:tblPrEx>
          <w:tblCellMar>
            <w:top w:w="0" w:type="dxa"/>
            <w:left w:w="108" w:type="dxa"/>
            <w:bottom w:w="0" w:type="dxa"/>
            <w:right w:w="108" w:type="dxa"/>
          </w:tblCellMar>
        </w:tblPrEx>
        <w:trPr>
          <w:trHeight w:val="8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7F945D28">
            <w:pPr>
              <w:widowControl/>
              <w:spacing w:line="360" w:lineRule="exact"/>
              <w:jc w:val="center"/>
              <w:rPr>
                <w:rFonts w:hint="eastAsia" w:ascii="宋体" w:hAnsi="宋体" w:eastAsia="宋体" w:cs="宋体"/>
                <w:sz w:val="24"/>
                <w:lang w:val="en-US" w:eastAsia="zh-CN"/>
              </w:rPr>
            </w:pPr>
            <w:r>
              <w:rPr>
                <w:rFonts w:hint="eastAsia" w:ascii="宋体" w:hAnsi="宋体" w:cs="宋体"/>
                <w:sz w:val="24"/>
                <w:lang w:val="en-US" w:eastAsia="zh-CN"/>
              </w:rPr>
              <w:t>2</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262A74BA">
            <w:pPr>
              <w:widowControl/>
              <w:spacing w:line="360" w:lineRule="exact"/>
              <w:jc w:val="center"/>
              <w:rPr>
                <w:rFonts w:ascii="宋体" w:hAnsi="宋体" w:eastAsia="宋体" w:cs="宋体"/>
                <w:sz w:val="24"/>
                <w:lang w:val="en-US" w:eastAsia="zh-CN"/>
              </w:rPr>
            </w:pPr>
            <w:r>
              <w:rPr>
                <w:rFonts w:hint="eastAsia" w:ascii="宋体" w:hAnsi="宋体" w:cs="宋体"/>
                <w:sz w:val="24"/>
                <w:lang w:val="en-US" w:eastAsia="zh-CN"/>
              </w:rPr>
              <w:t>水电服务</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69FEE4FA">
            <w:pPr>
              <w:widowControl/>
              <w:spacing w:line="360" w:lineRule="exact"/>
              <w:jc w:val="center"/>
              <w:rPr>
                <w:rFonts w:hint="eastAsia" w:ascii="宋体" w:hAnsi="宋体" w:eastAsia="宋体" w:cs="宋体"/>
                <w:sz w:val="24"/>
                <w:lang w:val="en-US" w:eastAsia="zh-CN"/>
              </w:rPr>
            </w:pPr>
            <w:r>
              <w:rPr>
                <w:rFonts w:hint="eastAsia" w:ascii="宋体" w:hAnsi="宋体" w:cs="宋体"/>
                <w:sz w:val="24"/>
                <w:lang w:val="en-US" w:eastAsia="zh-CN"/>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0458ED22">
            <w:pPr>
              <w:widowControl/>
              <w:spacing w:line="360" w:lineRule="exact"/>
              <w:jc w:val="center"/>
              <w:rPr>
                <w:rFonts w:hint="eastAsia" w:ascii="宋体" w:hAnsi="宋体" w:eastAsia="宋体" w:cs="宋体"/>
                <w:sz w:val="24"/>
                <w:highlight w:val="yellow"/>
                <w:lang w:val="en-US" w:eastAsia="zh-CN"/>
              </w:rPr>
            </w:pPr>
            <w:r>
              <w:rPr>
                <w:rFonts w:hint="eastAsia" w:ascii="宋体" w:hAnsi="宋体" w:cs="宋体"/>
                <w:sz w:val="24"/>
                <w:highlight w:val="none"/>
                <w:lang w:val="en-US" w:eastAsia="zh-CN"/>
              </w:rPr>
              <w:t>/</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0E93D7CC">
            <w:pPr>
              <w:widowControl/>
              <w:spacing w:line="360" w:lineRule="exact"/>
              <w:jc w:val="center"/>
              <w:rPr>
                <w:rFonts w:hint="default" w:ascii="宋体" w:hAnsi="宋体" w:eastAsia="宋体" w:cs="宋体"/>
                <w:sz w:val="24"/>
                <w:highlight w:val="yellow"/>
                <w:lang w:val="en-US" w:eastAsia="zh-CN"/>
              </w:rPr>
            </w:pPr>
            <w:r>
              <w:rPr>
                <w:rFonts w:hint="eastAsia" w:ascii="宋体" w:hAnsi="宋体" w:cs="宋体"/>
                <w:sz w:val="24"/>
                <w:highlight w:val="none"/>
                <w:lang w:val="en-US" w:eastAsia="zh-CN"/>
              </w:rPr>
              <w:t>17988.21</w:t>
            </w: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5B8B4EA1">
            <w:pPr>
              <w:widowControl/>
              <w:spacing w:line="300" w:lineRule="exact"/>
              <w:jc w:val="left"/>
              <w:rPr>
                <w:rFonts w:ascii="宋体" w:hAnsi="宋体" w:eastAsia="宋体" w:cs="宋体"/>
                <w:sz w:val="24"/>
                <w:lang w:val="en-US" w:eastAsia="zh-CN"/>
              </w:rPr>
            </w:pPr>
            <w:r>
              <w:rPr>
                <w:rFonts w:hint="eastAsia" w:ascii="宋体" w:hAnsi="宋体" w:eastAsia="宋体" w:cs="宋体"/>
                <w:sz w:val="24"/>
                <w:lang w:val="en-US" w:eastAsia="zh-CN"/>
              </w:rPr>
              <w:t>此项费用不可调整，为固定报价。按照核定工作量系数计算费用（核定费用=51394.89元*工作量系数0.35），即不低于17988.21元/年，否则作无效标书处理。此费用包含但不限于：人员工资、社保、公积金、福利等。</w:t>
            </w:r>
          </w:p>
        </w:tc>
      </w:tr>
      <w:tr w14:paraId="23B827DB">
        <w:tblPrEx>
          <w:tblCellMar>
            <w:top w:w="0" w:type="dxa"/>
            <w:left w:w="108" w:type="dxa"/>
            <w:bottom w:w="0" w:type="dxa"/>
            <w:right w:w="108" w:type="dxa"/>
          </w:tblCellMar>
        </w:tblPrEx>
        <w:trPr>
          <w:trHeight w:val="8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04ADC6ED">
            <w:pPr>
              <w:widowControl/>
              <w:spacing w:line="360" w:lineRule="exact"/>
              <w:jc w:val="center"/>
              <w:rPr>
                <w:rFonts w:ascii="宋体" w:hAnsi="宋体" w:cs="宋体"/>
                <w:sz w:val="24"/>
              </w:rPr>
            </w:pPr>
            <w:r>
              <w:rPr>
                <w:rFonts w:hint="eastAsia" w:ascii="宋体" w:hAnsi="宋体" w:cs="宋体"/>
                <w:sz w:val="24"/>
              </w:rPr>
              <w:t>六</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59F04952">
            <w:pPr>
              <w:widowControl/>
              <w:spacing w:line="360" w:lineRule="exact"/>
              <w:jc w:val="center"/>
              <w:rPr>
                <w:rFonts w:ascii="宋体" w:hAnsi="宋体" w:cs="宋体"/>
                <w:sz w:val="24"/>
              </w:rPr>
            </w:pPr>
            <w:r>
              <w:rPr>
                <w:rFonts w:hint="eastAsia" w:ascii="宋体" w:hAnsi="宋体" w:cs="宋体"/>
                <w:sz w:val="24"/>
              </w:rPr>
              <w:t>税金</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2E9F7667">
            <w:pPr>
              <w:widowControl/>
              <w:spacing w:line="360" w:lineRule="exact"/>
              <w:jc w:val="center"/>
              <w:rPr>
                <w:rFonts w:ascii="宋体" w:hAnsi="宋体" w:cs="宋体"/>
                <w:sz w:val="24"/>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07321EF2">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6C093067">
            <w:pPr>
              <w:widowControl/>
              <w:spacing w:line="360" w:lineRule="exact"/>
              <w:jc w:val="center"/>
              <w:rPr>
                <w:rFonts w:ascii="宋体" w:hAnsi="宋体" w:cs="宋体"/>
                <w:sz w:val="24"/>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412C9FEB">
            <w:pPr>
              <w:widowControl/>
              <w:spacing w:line="300" w:lineRule="exact"/>
              <w:jc w:val="left"/>
              <w:rPr>
                <w:rFonts w:ascii="宋体" w:hAnsi="宋体" w:cs="宋体"/>
                <w:sz w:val="24"/>
              </w:rPr>
            </w:pPr>
            <w:r>
              <w:rPr>
                <w:rFonts w:hint="eastAsia" w:ascii="宋体" w:hAnsi="宋体" w:cs="宋体"/>
                <w:sz w:val="24"/>
              </w:rPr>
              <w:t>六=（一+二+三+四+五）*税金费率，税金费率不得低于6.72%。</w:t>
            </w:r>
          </w:p>
        </w:tc>
      </w:tr>
      <w:tr w14:paraId="4EF6AD5F">
        <w:tblPrEx>
          <w:tblCellMar>
            <w:top w:w="0" w:type="dxa"/>
            <w:left w:w="108" w:type="dxa"/>
            <w:bottom w:w="0" w:type="dxa"/>
            <w:right w:w="108" w:type="dxa"/>
          </w:tblCellMar>
        </w:tblPrEx>
        <w:trPr>
          <w:trHeight w:val="641"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3C755A52">
            <w:pPr>
              <w:widowControl/>
              <w:spacing w:line="360" w:lineRule="exact"/>
              <w:jc w:val="center"/>
              <w:rPr>
                <w:rFonts w:ascii="宋体" w:hAnsi="宋体" w:cs="宋体"/>
                <w:sz w:val="24"/>
              </w:rPr>
            </w:pPr>
            <w:r>
              <w:rPr>
                <w:rFonts w:hint="eastAsia" w:ascii="宋体" w:hAnsi="宋体" w:cs="宋体"/>
                <w:sz w:val="24"/>
              </w:rPr>
              <w:t>七</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05D8DB87">
            <w:pPr>
              <w:widowControl/>
              <w:spacing w:line="360" w:lineRule="exact"/>
              <w:jc w:val="center"/>
              <w:rPr>
                <w:rFonts w:ascii="宋体" w:hAnsi="宋体" w:cs="宋体"/>
                <w:sz w:val="24"/>
              </w:rPr>
            </w:pPr>
            <w:r>
              <w:rPr>
                <w:rFonts w:hint="eastAsia" w:ascii="宋体" w:hAnsi="宋体" w:cs="宋体"/>
                <w:sz w:val="24"/>
              </w:rPr>
              <w:t>一年总价（元）=（一+二+……+六）</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3D6BF997">
            <w:pPr>
              <w:widowControl/>
              <w:spacing w:line="360" w:lineRule="exact"/>
              <w:jc w:val="center"/>
              <w:rPr>
                <w:rFonts w:ascii="宋体" w:hAnsi="宋体" w:cs="宋体"/>
                <w:sz w:val="24"/>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3975A403">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0B7F688C">
            <w:pPr>
              <w:widowControl/>
              <w:spacing w:line="360" w:lineRule="exact"/>
              <w:jc w:val="center"/>
              <w:rPr>
                <w:rFonts w:ascii="宋体" w:hAnsi="宋体" w:cs="宋体"/>
                <w:sz w:val="24"/>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68F76BA0">
            <w:pPr>
              <w:widowControl/>
              <w:spacing w:line="300" w:lineRule="exact"/>
              <w:jc w:val="left"/>
              <w:rPr>
                <w:rFonts w:ascii="宋体" w:hAnsi="宋体" w:cs="宋体"/>
                <w:sz w:val="24"/>
              </w:rPr>
            </w:pPr>
          </w:p>
        </w:tc>
      </w:tr>
    </w:tbl>
    <w:p w14:paraId="618D432E">
      <w:pPr>
        <w:spacing w:line="500" w:lineRule="exact"/>
        <w:ind w:firstLine="470"/>
        <w:rPr>
          <w:rFonts w:ascii="宋体" w:hAnsi="宋体" w:cs="宋体"/>
          <w:i/>
          <w:sz w:val="24"/>
          <w:u w:val="single"/>
        </w:rPr>
      </w:pPr>
      <w:r>
        <w:rPr>
          <w:rFonts w:hint="eastAsia" w:ascii="宋体" w:hAnsi="宋体" w:cs="宋体"/>
          <w:b/>
          <w:i/>
          <w:iCs/>
          <w:sz w:val="24"/>
          <w:u w:val="single"/>
        </w:rPr>
        <w:t>注：投标人所提供人员的费用不得低于上述标准进行测算，否则视为未实质性响应招标文件要求</w:t>
      </w:r>
      <w:r>
        <w:rPr>
          <w:rFonts w:hint="eastAsia" w:ascii="宋体" w:hAnsi="宋体" w:cs="宋体"/>
          <w:b/>
          <w:i/>
          <w:iCs/>
          <w:sz w:val="24"/>
        </w:rPr>
        <w:t>。</w:t>
      </w:r>
      <w:r>
        <w:rPr>
          <w:rFonts w:hint="eastAsia" w:ascii="宋体" w:hAnsi="宋体" w:cs="宋体"/>
          <w:b/>
          <w:sz w:val="24"/>
        </w:rPr>
        <w:t>如果招标公告发布之后开标前遇政府调整职工最低工资标准或社会保险缴纳基数，评标委员会进行符合性审查时可仍按上述标准审查，中标后，中标人应按照最新政策文件规定执行。</w:t>
      </w:r>
    </w:p>
    <w:p w14:paraId="5A220792">
      <w:pPr>
        <w:jc w:val="center"/>
        <w:rPr>
          <w:rFonts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三</w:t>
      </w:r>
      <w:r>
        <w:rPr>
          <w:rFonts w:hint="eastAsia" w:ascii="黑体" w:hAnsi="黑体" w:eastAsia="黑体" w:cs="黑体"/>
          <w:i/>
          <w:sz w:val="32"/>
          <w:szCs w:val="32"/>
          <w:u w:val="single"/>
        </w:rPr>
        <w:t>、技术要求响应及偏离表</w:t>
      </w:r>
    </w:p>
    <w:p w14:paraId="548FCC2E">
      <w:pPr>
        <w:pStyle w:val="198"/>
        <w:spacing w:beforeAutospacing="0" w:afterAutospacing="0"/>
        <w:jc w:val="both"/>
        <w:rPr>
          <w:bCs/>
          <w:i/>
          <w:sz w:val="13"/>
          <w:szCs w:val="13"/>
          <w:u w:val="single"/>
        </w:rPr>
      </w:pPr>
    </w:p>
    <w:tbl>
      <w:tblPr>
        <w:tblStyle w:val="2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2369"/>
        <w:gridCol w:w="2240"/>
        <w:gridCol w:w="1679"/>
        <w:gridCol w:w="1679"/>
      </w:tblGrid>
      <w:tr w14:paraId="52832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8" w:hRule="atLeast"/>
          <w:tblCellSpacing w:w="0" w:type="dxa"/>
          <w:jc w:val="center"/>
        </w:trPr>
        <w:tc>
          <w:tcPr>
            <w:tcW w:w="810" w:type="dxa"/>
            <w:noWrap/>
            <w:vAlign w:val="center"/>
          </w:tcPr>
          <w:p w14:paraId="6BC631DB">
            <w:pPr>
              <w:pStyle w:val="198"/>
              <w:spacing w:beforeAutospacing="0" w:afterAutospacing="0"/>
              <w:jc w:val="center"/>
            </w:pPr>
            <w:r>
              <w:rPr>
                <w:rFonts w:hint="eastAsia"/>
              </w:rPr>
              <w:t>序号</w:t>
            </w:r>
          </w:p>
        </w:tc>
        <w:tc>
          <w:tcPr>
            <w:tcW w:w="2369" w:type="dxa"/>
            <w:noWrap/>
            <w:vAlign w:val="center"/>
          </w:tcPr>
          <w:p w14:paraId="322730CC">
            <w:pPr>
              <w:pStyle w:val="198"/>
              <w:spacing w:beforeAutospacing="0" w:afterAutospacing="0"/>
              <w:jc w:val="center"/>
            </w:pPr>
            <w:r>
              <w:rPr>
                <w:rFonts w:hint="eastAsia"/>
              </w:rPr>
              <w:t>招标文件要求</w:t>
            </w:r>
          </w:p>
        </w:tc>
        <w:tc>
          <w:tcPr>
            <w:tcW w:w="2240" w:type="dxa"/>
            <w:noWrap/>
            <w:vAlign w:val="center"/>
          </w:tcPr>
          <w:p w14:paraId="40F52D51">
            <w:pPr>
              <w:pStyle w:val="198"/>
              <w:spacing w:beforeAutospacing="0" w:afterAutospacing="0"/>
              <w:jc w:val="center"/>
            </w:pPr>
            <w:r>
              <w:rPr>
                <w:rFonts w:hint="eastAsia"/>
              </w:rPr>
              <w:t>投标响应情况</w:t>
            </w:r>
          </w:p>
        </w:tc>
        <w:tc>
          <w:tcPr>
            <w:tcW w:w="1679" w:type="dxa"/>
            <w:noWrap/>
            <w:vAlign w:val="center"/>
          </w:tcPr>
          <w:p w14:paraId="2B5B4649">
            <w:pPr>
              <w:pStyle w:val="198"/>
              <w:spacing w:beforeAutospacing="0" w:afterAutospacing="0"/>
              <w:jc w:val="center"/>
            </w:pPr>
            <w:r>
              <w:rPr>
                <w:rFonts w:hint="eastAsia"/>
              </w:rPr>
              <w:t>超出、符合或偏离</w:t>
            </w:r>
          </w:p>
        </w:tc>
        <w:tc>
          <w:tcPr>
            <w:tcW w:w="1679" w:type="dxa"/>
            <w:noWrap/>
            <w:vAlign w:val="center"/>
          </w:tcPr>
          <w:p w14:paraId="0C76562C">
            <w:pPr>
              <w:pStyle w:val="198"/>
              <w:spacing w:beforeAutospacing="0" w:afterAutospacing="0"/>
              <w:jc w:val="center"/>
            </w:pPr>
            <w:r>
              <w:rPr>
                <w:rFonts w:hint="eastAsia"/>
              </w:rPr>
              <w:t>证明</w:t>
            </w:r>
          </w:p>
          <w:p w14:paraId="024EFD2A">
            <w:pPr>
              <w:pStyle w:val="198"/>
              <w:spacing w:beforeAutospacing="0" w:afterAutospacing="0"/>
              <w:jc w:val="center"/>
            </w:pPr>
            <w:r>
              <w:rPr>
                <w:rFonts w:hint="eastAsia"/>
              </w:rPr>
              <w:t>材料</w:t>
            </w:r>
          </w:p>
        </w:tc>
      </w:tr>
      <w:tr w14:paraId="2D20B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7BAEDA1A">
            <w:pPr>
              <w:pStyle w:val="198"/>
              <w:spacing w:beforeAutospacing="0" w:afterAutospacing="0"/>
              <w:ind w:firstLine="600"/>
              <w:jc w:val="center"/>
            </w:pPr>
            <w:r>
              <w:rPr>
                <w:rFonts w:hint="eastAsia"/>
              </w:rPr>
              <w:t> </w:t>
            </w:r>
          </w:p>
        </w:tc>
        <w:tc>
          <w:tcPr>
            <w:tcW w:w="2369" w:type="dxa"/>
            <w:noWrap/>
            <w:vAlign w:val="center"/>
          </w:tcPr>
          <w:p w14:paraId="014A2383">
            <w:pPr>
              <w:pStyle w:val="198"/>
              <w:spacing w:beforeAutospacing="0" w:afterAutospacing="0"/>
              <w:ind w:firstLine="600"/>
              <w:jc w:val="center"/>
            </w:pPr>
            <w:r>
              <w:rPr>
                <w:rFonts w:hint="eastAsia"/>
              </w:rPr>
              <w:t> </w:t>
            </w:r>
          </w:p>
        </w:tc>
        <w:tc>
          <w:tcPr>
            <w:tcW w:w="2240" w:type="dxa"/>
            <w:noWrap/>
            <w:vAlign w:val="center"/>
          </w:tcPr>
          <w:p w14:paraId="0C46E7D4">
            <w:pPr>
              <w:pStyle w:val="198"/>
              <w:spacing w:beforeAutospacing="0" w:afterAutospacing="0"/>
              <w:ind w:firstLine="600"/>
              <w:jc w:val="center"/>
            </w:pPr>
            <w:r>
              <w:rPr>
                <w:rFonts w:hint="eastAsia"/>
              </w:rPr>
              <w:t> </w:t>
            </w:r>
          </w:p>
        </w:tc>
        <w:tc>
          <w:tcPr>
            <w:tcW w:w="1679" w:type="dxa"/>
            <w:noWrap/>
            <w:vAlign w:val="center"/>
          </w:tcPr>
          <w:p w14:paraId="36824F78">
            <w:pPr>
              <w:pStyle w:val="198"/>
              <w:spacing w:beforeAutospacing="0" w:afterAutospacing="0"/>
              <w:ind w:firstLine="600"/>
              <w:jc w:val="center"/>
            </w:pPr>
            <w:r>
              <w:rPr>
                <w:rFonts w:hint="eastAsia"/>
              </w:rPr>
              <w:t> </w:t>
            </w:r>
          </w:p>
        </w:tc>
        <w:tc>
          <w:tcPr>
            <w:tcW w:w="1679" w:type="dxa"/>
            <w:noWrap/>
            <w:vAlign w:val="center"/>
          </w:tcPr>
          <w:p w14:paraId="09C50C40">
            <w:pPr>
              <w:pStyle w:val="198"/>
              <w:spacing w:beforeAutospacing="0" w:afterAutospacing="0"/>
              <w:ind w:firstLine="600"/>
              <w:jc w:val="center"/>
            </w:pPr>
            <w:r>
              <w:rPr>
                <w:rFonts w:hint="eastAsia"/>
              </w:rPr>
              <w:t> </w:t>
            </w:r>
          </w:p>
        </w:tc>
      </w:tr>
      <w:tr w14:paraId="4B32F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0FC5010F">
            <w:pPr>
              <w:pStyle w:val="198"/>
              <w:spacing w:beforeAutospacing="0" w:afterAutospacing="0"/>
              <w:ind w:firstLine="600"/>
              <w:jc w:val="center"/>
            </w:pPr>
            <w:r>
              <w:rPr>
                <w:rFonts w:hint="eastAsia"/>
              </w:rPr>
              <w:t> </w:t>
            </w:r>
          </w:p>
        </w:tc>
        <w:tc>
          <w:tcPr>
            <w:tcW w:w="2369" w:type="dxa"/>
            <w:noWrap/>
            <w:vAlign w:val="center"/>
          </w:tcPr>
          <w:p w14:paraId="0D54BAF7">
            <w:pPr>
              <w:pStyle w:val="198"/>
              <w:spacing w:beforeAutospacing="0" w:afterAutospacing="0"/>
              <w:ind w:firstLine="600"/>
              <w:jc w:val="center"/>
            </w:pPr>
            <w:r>
              <w:rPr>
                <w:rFonts w:hint="eastAsia"/>
              </w:rPr>
              <w:t> </w:t>
            </w:r>
          </w:p>
        </w:tc>
        <w:tc>
          <w:tcPr>
            <w:tcW w:w="2240" w:type="dxa"/>
            <w:noWrap/>
            <w:vAlign w:val="center"/>
          </w:tcPr>
          <w:p w14:paraId="604A61CD">
            <w:pPr>
              <w:pStyle w:val="198"/>
              <w:spacing w:beforeAutospacing="0" w:afterAutospacing="0"/>
              <w:ind w:firstLine="600"/>
              <w:jc w:val="center"/>
            </w:pPr>
            <w:r>
              <w:rPr>
                <w:rFonts w:hint="eastAsia"/>
              </w:rPr>
              <w:t> </w:t>
            </w:r>
          </w:p>
        </w:tc>
        <w:tc>
          <w:tcPr>
            <w:tcW w:w="1679" w:type="dxa"/>
            <w:noWrap/>
            <w:vAlign w:val="center"/>
          </w:tcPr>
          <w:p w14:paraId="5E634728">
            <w:pPr>
              <w:pStyle w:val="198"/>
              <w:spacing w:beforeAutospacing="0" w:afterAutospacing="0"/>
              <w:ind w:firstLine="600"/>
              <w:jc w:val="center"/>
            </w:pPr>
            <w:r>
              <w:rPr>
                <w:rFonts w:hint="eastAsia"/>
              </w:rPr>
              <w:t> </w:t>
            </w:r>
          </w:p>
        </w:tc>
        <w:tc>
          <w:tcPr>
            <w:tcW w:w="1679" w:type="dxa"/>
            <w:noWrap/>
            <w:vAlign w:val="center"/>
          </w:tcPr>
          <w:p w14:paraId="71DB6FCA">
            <w:pPr>
              <w:pStyle w:val="198"/>
              <w:spacing w:beforeAutospacing="0" w:afterAutospacing="0"/>
              <w:ind w:firstLine="600"/>
              <w:jc w:val="center"/>
            </w:pPr>
            <w:r>
              <w:rPr>
                <w:rFonts w:hint="eastAsia"/>
              </w:rPr>
              <w:t> </w:t>
            </w:r>
          </w:p>
        </w:tc>
      </w:tr>
      <w:tr w14:paraId="36D7E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15282358">
            <w:pPr>
              <w:pStyle w:val="198"/>
              <w:spacing w:beforeAutospacing="0" w:afterAutospacing="0"/>
              <w:ind w:firstLine="600"/>
              <w:jc w:val="center"/>
            </w:pPr>
            <w:r>
              <w:rPr>
                <w:rFonts w:hint="eastAsia"/>
              </w:rPr>
              <w:t> </w:t>
            </w:r>
          </w:p>
        </w:tc>
        <w:tc>
          <w:tcPr>
            <w:tcW w:w="2369" w:type="dxa"/>
            <w:noWrap/>
            <w:vAlign w:val="center"/>
          </w:tcPr>
          <w:p w14:paraId="4CB64CF8">
            <w:pPr>
              <w:pStyle w:val="198"/>
              <w:spacing w:beforeAutospacing="0" w:afterAutospacing="0"/>
              <w:ind w:firstLine="600"/>
              <w:jc w:val="center"/>
            </w:pPr>
            <w:r>
              <w:rPr>
                <w:rFonts w:hint="eastAsia"/>
              </w:rPr>
              <w:t> </w:t>
            </w:r>
          </w:p>
        </w:tc>
        <w:tc>
          <w:tcPr>
            <w:tcW w:w="2240" w:type="dxa"/>
            <w:noWrap/>
            <w:vAlign w:val="center"/>
          </w:tcPr>
          <w:p w14:paraId="50EBB303">
            <w:pPr>
              <w:pStyle w:val="198"/>
              <w:spacing w:beforeAutospacing="0" w:afterAutospacing="0"/>
              <w:ind w:firstLine="600"/>
              <w:jc w:val="center"/>
            </w:pPr>
            <w:r>
              <w:rPr>
                <w:rFonts w:hint="eastAsia"/>
              </w:rPr>
              <w:t> </w:t>
            </w:r>
          </w:p>
        </w:tc>
        <w:tc>
          <w:tcPr>
            <w:tcW w:w="1679" w:type="dxa"/>
            <w:noWrap/>
            <w:vAlign w:val="center"/>
          </w:tcPr>
          <w:p w14:paraId="5F44C4AB">
            <w:pPr>
              <w:pStyle w:val="198"/>
              <w:spacing w:beforeAutospacing="0" w:afterAutospacing="0"/>
              <w:ind w:firstLine="600"/>
              <w:jc w:val="center"/>
            </w:pPr>
            <w:r>
              <w:rPr>
                <w:rFonts w:hint="eastAsia"/>
              </w:rPr>
              <w:t> </w:t>
            </w:r>
          </w:p>
        </w:tc>
        <w:tc>
          <w:tcPr>
            <w:tcW w:w="1679" w:type="dxa"/>
            <w:noWrap/>
            <w:vAlign w:val="center"/>
          </w:tcPr>
          <w:p w14:paraId="3DB74700">
            <w:pPr>
              <w:pStyle w:val="198"/>
              <w:spacing w:beforeAutospacing="0" w:afterAutospacing="0"/>
              <w:ind w:firstLine="600"/>
              <w:jc w:val="center"/>
            </w:pPr>
            <w:r>
              <w:rPr>
                <w:rFonts w:hint="eastAsia"/>
              </w:rPr>
              <w:t> </w:t>
            </w:r>
          </w:p>
        </w:tc>
      </w:tr>
      <w:tr w14:paraId="348C3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5E4E8545">
            <w:pPr>
              <w:pStyle w:val="198"/>
              <w:spacing w:beforeAutospacing="0" w:afterAutospacing="0"/>
              <w:ind w:firstLine="600"/>
              <w:jc w:val="center"/>
            </w:pPr>
            <w:r>
              <w:rPr>
                <w:rFonts w:hint="eastAsia"/>
              </w:rPr>
              <w:t> </w:t>
            </w:r>
          </w:p>
        </w:tc>
        <w:tc>
          <w:tcPr>
            <w:tcW w:w="2369" w:type="dxa"/>
            <w:noWrap/>
            <w:vAlign w:val="center"/>
          </w:tcPr>
          <w:p w14:paraId="182F3C7F">
            <w:pPr>
              <w:pStyle w:val="198"/>
              <w:spacing w:beforeAutospacing="0" w:afterAutospacing="0"/>
              <w:ind w:firstLine="600"/>
              <w:jc w:val="center"/>
            </w:pPr>
            <w:r>
              <w:rPr>
                <w:rFonts w:hint="eastAsia"/>
              </w:rPr>
              <w:t> </w:t>
            </w:r>
          </w:p>
        </w:tc>
        <w:tc>
          <w:tcPr>
            <w:tcW w:w="2240" w:type="dxa"/>
            <w:noWrap/>
            <w:vAlign w:val="center"/>
          </w:tcPr>
          <w:p w14:paraId="600F61B9">
            <w:pPr>
              <w:pStyle w:val="198"/>
              <w:spacing w:beforeAutospacing="0" w:afterAutospacing="0"/>
              <w:ind w:firstLine="600"/>
              <w:jc w:val="center"/>
            </w:pPr>
            <w:r>
              <w:rPr>
                <w:rFonts w:hint="eastAsia"/>
              </w:rPr>
              <w:t> </w:t>
            </w:r>
          </w:p>
        </w:tc>
        <w:tc>
          <w:tcPr>
            <w:tcW w:w="1679" w:type="dxa"/>
            <w:noWrap/>
            <w:vAlign w:val="center"/>
          </w:tcPr>
          <w:p w14:paraId="3B240B9F">
            <w:pPr>
              <w:pStyle w:val="198"/>
              <w:spacing w:beforeAutospacing="0" w:afterAutospacing="0"/>
              <w:ind w:firstLine="600"/>
              <w:jc w:val="center"/>
            </w:pPr>
            <w:r>
              <w:rPr>
                <w:rFonts w:hint="eastAsia"/>
              </w:rPr>
              <w:t> </w:t>
            </w:r>
          </w:p>
        </w:tc>
        <w:tc>
          <w:tcPr>
            <w:tcW w:w="1679" w:type="dxa"/>
            <w:noWrap/>
            <w:vAlign w:val="center"/>
          </w:tcPr>
          <w:p w14:paraId="5BAADD5C">
            <w:pPr>
              <w:pStyle w:val="198"/>
              <w:spacing w:beforeAutospacing="0" w:afterAutospacing="0"/>
              <w:ind w:firstLine="600"/>
              <w:jc w:val="center"/>
            </w:pPr>
            <w:r>
              <w:rPr>
                <w:rFonts w:hint="eastAsia"/>
              </w:rPr>
              <w:t> </w:t>
            </w:r>
          </w:p>
        </w:tc>
      </w:tr>
      <w:tr w14:paraId="75E64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76324C1D">
            <w:pPr>
              <w:pStyle w:val="198"/>
              <w:spacing w:beforeAutospacing="0" w:afterAutospacing="0"/>
              <w:ind w:firstLine="600"/>
              <w:jc w:val="center"/>
            </w:pPr>
            <w:r>
              <w:rPr>
                <w:rFonts w:hint="eastAsia"/>
              </w:rPr>
              <w:t> </w:t>
            </w:r>
          </w:p>
        </w:tc>
        <w:tc>
          <w:tcPr>
            <w:tcW w:w="2369" w:type="dxa"/>
            <w:noWrap/>
            <w:vAlign w:val="center"/>
          </w:tcPr>
          <w:p w14:paraId="3CA214AA">
            <w:pPr>
              <w:pStyle w:val="198"/>
              <w:spacing w:beforeAutospacing="0" w:afterAutospacing="0"/>
              <w:ind w:firstLine="600"/>
              <w:jc w:val="center"/>
            </w:pPr>
            <w:r>
              <w:rPr>
                <w:rFonts w:hint="eastAsia"/>
              </w:rPr>
              <w:t> </w:t>
            </w:r>
          </w:p>
        </w:tc>
        <w:tc>
          <w:tcPr>
            <w:tcW w:w="2240" w:type="dxa"/>
            <w:noWrap/>
            <w:vAlign w:val="center"/>
          </w:tcPr>
          <w:p w14:paraId="7D72CEA5">
            <w:pPr>
              <w:pStyle w:val="198"/>
              <w:spacing w:beforeAutospacing="0" w:afterAutospacing="0"/>
              <w:ind w:firstLine="600"/>
              <w:jc w:val="center"/>
            </w:pPr>
            <w:r>
              <w:rPr>
                <w:rFonts w:hint="eastAsia"/>
              </w:rPr>
              <w:t> </w:t>
            </w:r>
          </w:p>
        </w:tc>
        <w:tc>
          <w:tcPr>
            <w:tcW w:w="1679" w:type="dxa"/>
            <w:noWrap/>
            <w:vAlign w:val="center"/>
          </w:tcPr>
          <w:p w14:paraId="2F9FDD92">
            <w:pPr>
              <w:pStyle w:val="198"/>
              <w:spacing w:beforeAutospacing="0" w:afterAutospacing="0"/>
              <w:ind w:firstLine="600"/>
              <w:jc w:val="center"/>
            </w:pPr>
            <w:r>
              <w:rPr>
                <w:rFonts w:hint="eastAsia"/>
              </w:rPr>
              <w:t> </w:t>
            </w:r>
          </w:p>
        </w:tc>
        <w:tc>
          <w:tcPr>
            <w:tcW w:w="1679" w:type="dxa"/>
            <w:noWrap/>
            <w:vAlign w:val="center"/>
          </w:tcPr>
          <w:p w14:paraId="7FF23D0D">
            <w:pPr>
              <w:pStyle w:val="198"/>
              <w:spacing w:beforeAutospacing="0" w:afterAutospacing="0"/>
              <w:ind w:firstLine="600"/>
              <w:jc w:val="center"/>
            </w:pPr>
            <w:r>
              <w:rPr>
                <w:rFonts w:hint="eastAsia"/>
              </w:rPr>
              <w:t> </w:t>
            </w:r>
          </w:p>
        </w:tc>
      </w:tr>
      <w:tr w14:paraId="23A7A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3E292269">
            <w:pPr>
              <w:pStyle w:val="198"/>
              <w:spacing w:beforeAutospacing="0" w:afterAutospacing="0"/>
              <w:ind w:firstLine="600"/>
              <w:jc w:val="center"/>
            </w:pPr>
            <w:r>
              <w:rPr>
                <w:rFonts w:hint="eastAsia"/>
              </w:rPr>
              <w:t> </w:t>
            </w:r>
          </w:p>
        </w:tc>
        <w:tc>
          <w:tcPr>
            <w:tcW w:w="2369" w:type="dxa"/>
            <w:noWrap/>
            <w:vAlign w:val="center"/>
          </w:tcPr>
          <w:p w14:paraId="5EAA7284">
            <w:pPr>
              <w:pStyle w:val="198"/>
              <w:spacing w:beforeAutospacing="0" w:afterAutospacing="0"/>
              <w:ind w:firstLine="600"/>
              <w:jc w:val="center"/>
            </w:pPr>
            <w:r>
              <w:rPr>
                <w:rFonts w:hint="eastAsia"/>
              </w:rPr>
              <w:t> </w:t>
            </w:r>
          </w:p>
        </w:tc>
        <w:tc>
          <w:tcPr>
            <w:tcW w:w="2240" w:type="dxa"/>
            <w:noWrap/>
            <w:vAlign w:val="center"/>
          </w:tcPr>
          <w:p w14:paraId="6144C8E3">
            <w:pPr>
              <w:pStyle w:val="198"/>
              <w:spacing w:beforeAutospacing="0" w:afterAutospacing="0"/>
              <w:ind w:firstLine="600"/>
              <w:jc w:val="center"/>
            </w:pPr>
            <w:r>
              <w:rPr>
                <w:rFonts w:hint="eastAsia"/>
              </w:rPr>
              <w:t> </w:t>
            </w:r>
          </w:p>
        </w:tc>
        <w:tc>
          <w:tcPr>
            <w:tcW w:w="1679" w:type="dxa"/>
            <w:noWrap/>
            <w:vAlign w:val="center"/>
          </w:tcPr>
          <w:p w14:paraId="70FF9200">
            <w:pPr>
              <w:pStyle w:val="198"/>
              <w:spacing w:beforeAutospacing="0" w:afterAutospacing="0"/>
              <w:ind w:firstLine="600"/>
              <w:jc w:val="center"/>
            </w:pPr>
            <w:r>
              <w:rPr>
                <w:rFonts w:hint="eastAsia"/>
              </w:rPr>
              <w:t> </w:t>
            </w:r>
          </w:p>
        </w:tc>
        <w:tc>
          <w:tcPr>
            <w:tcW w:w="1679" w:type="dxa"/>
            <w:noWrap/>
            <w:vAlign w:val="center"/>
          </w:tcPr>
          <w:p w14:paraId="0637156C">
            <w:pPr>
              <w:pStyle w:val="198"/>
              <w:spacing w:beforeAutospacing="0" w:afterAutospacing="0"/>
              <w:ind w:firstLine="600"/>
              <w:jc w:val="center"/>
            </w:pPr>
            <w:r>
              <w:rPr>
                <w:rFonts w:hint="eastAsia"/>
              </w:rPr>
              <w:t> </w:t>
            </w:r>
          </w:p>
        </w:tc>
      </w:tr>
      <w:tr w14:paraId="7C30D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7065E324">
            <w:pPr>
              <w:pStyle w:val="198"/>
              <w:spacing w:beforeAutospacing="0" w:afterAutospacing="0"/>
              <w:ind w:firstLine="600"/>
              <w:jc w:val="center"/>
            </w:pPr>
            <w:r>
              <w:rPr>
                <w:rFonts w:hint="eastAsia"/>
              </w:rPr>
              <w:t> </w:t>
            </w:r>
          </w:p>
        </w:tc>
        <w:tc>
          <w:tcPr>
            <w:tcW w:w="2369" w:type="dxa"/>
            <w:noWrap/>
            <w:vAlign w:val="center"/>
          </w:tcPr>
          <w:p w14:paraId="55930E9B">
            <w:pPr>
              <w:pStyle w:val="198"/>
              <w:spacing w:beforeAutospacing="0" w:afterAutospacing="0"/>
              <w:ind w:firstLine="600"/>
              <w:jc w:val="center"/>
            </w:pPr>
            <w:r>
              <w:rPr>
                <w:rFonts w:hint="eastAsia"/>
              </w:rPr>
              <w:t> </w:t>
            </w:r>
          </w:p>
        </w:tc>
        <w:tc>
          <w:tcPr>
            <w:tcW w:w="2240" w:type="dxa"/>
            <w:noWrap/>
            <w:vAlign w:val="center"/>
          </w:tcPr>
          <w:p w14:paraId="54E03204">
            <w:pPr>
              <w:pStyle w:val="198"/>
              <w:spacing w:beforeAutospacing="0" w:afterAutospacing="0"/>
              <w:ind w:firstLine="600"/>
              <w:jc w:val="center"/>
            </w:pPr>
            <w:r>
              <w:rPr>
                <w:rFonts w:hint="eastAsia"/>
              </w:rPr>
              <w:t> </w:t>
            </w:r>
          </w:p>
        </w:tc>
        <w:tc>
          <w:tcPr>
            <w:tcW w:w="1679" w:type="dxa"/>
            <w:noWrap/>
            <w:vAlign w:val="center"/>
          </w:tcPr>
          <w:p w14:paraId="236D97C9">
            <w:pPr>
              <w:pStyle w:val="198"/>
              <w:spacing w:beforeAutospacing="0" w:afterAutospacing="0"/>
              <w:ind w:firstLine="600"/>
              <w:jc w:val="center"/>
            </w:pPr>
            <w:r>
              <w:rPr>
                <w:rFonts w:hint="eastAsia"/>
              </w:rPr>
              <w:t> </w:t>
            </w:r>
          </w:p>
        </w:tc>
        <w:tc>
          <w:tcPr>
            <w:tcW w:w="1679" w:type="dxa"/>
            <w:noWrap/>
            <w:vAlign w:val="center"/>
          </w:tcPr>
          <w:p w14:paraId="10C70AB1">
            <w:pPr>
              <w:pStyle w:val="198"/>
              <w:spacing w:beforeAutospacing="0" w:afterAutospacing="0"/>
              <w:ind w:firstLine="600"/>
              <w:jc w:val="center"/>
            </w:pPr>
            <w:r>
              <w:rPr>
                <w:rFonts w:hint="eastAsia"/>
              </w:rPr>
              <w:t> </w:t>
            </w:r>
          </w:p>
        </w:tc>
      </w:tr>
      <w:tr w14:paraId="1290D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9" w:hRule="atLeast"/>
          <w:tblCellSpacing w:w="0" w:type="dxa"/>
          <w:jc w:val="center"/>
        </w:trPr>
        <w:tc>
          <w:tcPr>
            <w:tcW w:w="810" w:type="dxa"/>
            <w:noWrap/>
            <w:vAlign w:val="center"/>
          </w:tcPr>
          <w:p w14:paraId="03D3F5DF">
            <w:pPr>
              <w:pStyle w:val="198"/>
              <w:spacing w:beforeAutospacing="0" w:afterAutospacing="0"/>
              <w:ind w:firstLine="600"/>
              <w:jc w:val="center"/>
            </w:pPr>
            <w:r>
              <w:rPr>
                <w:rFonts w:hint="eastAsia"/>
              </w:rPr>
              <w:t> </w:t>
            </w:r>
          </w:p>
        </w:tc>
        <w:tc>
          <w:tcPr>
            <w:tcW w:w="2369" w:type="dxa"/>
            <w:noWrap/>
            <w:vAlign w:val="center"/>
          </w:tcPr>
          <w:p w14:paraId="0E3B1B56">
            <w:pPr>
              <w:pStyle w:val="198"/>
              <w:spacing w:beforeAutospacing="0" w:afterAutospacing="0"/>
              <w:ind w:firstLine="480"/>
              <w:jc w:val="center"/>
            </w:pPr>
            <w:r>
              <w:rPr>
                <w:rFonts w:hint="eastAsia"/>
              </w:rPr>
              <w:t>……</w:t>
            </w:r>
          </w:p>
        </w:tc>
        <w:tc>
          <w:tcPr>
            <w:tcW w:w="2240" w:type="dxa"/>
            <w:noWrap/>
            <w:vAlign w:val="center"/>
          </w:tcPr>
          <w:p w14:paraId="7B4D8E17">
            <w:pPr>
              <w:pStyle w:val="198"/>
              <w:spacing w:beforeAutospacing="0" w:afterAutospacing="0"/>
              <w:ind w:firstLine="600"/>
              <w:jc w:val="center"/>
            </w:pPr>
            <w:r>
              <w:rPr>
                <w:rFonts w:hint="eastAsia"/>
              </w:rPr>
              <w:t> </w:t>
            </w:r>
          </w:p>
        </w:tc>
        <w:tc>
          <w:tcPr>
            <w:tcW w:w="1679" w:type="dxa"/>
            <w:noWrap/>
            <w:vAlign w:val="center"/>
          </w:tcPr>
          <w:p w14:paraId="716C1337">
            <w:pPr>
              <w:pStyle w:val="198"/>
              <w:spacing w:beforeAutospacing="0" w:afterAutospacing="0"/>
              <w:ind w:firstLine="600"/>
              <w:jc w:val="center"/>
            </w:pPr>
            <w:r>
              <w:rPr>
                <w:rFonts w:hint="eastAsia"/>
              </w:rPr>
              <w:t> </w:t>
            </w:r>
          </w:p>
        </w:tc>
        <w:tc>
          <w:tcPr>
            <w:tcW w:w="1679" w:type="dxa"/>
            <w:noWrap/>
            <w:vAlign w:val="center"/>
          </w:tcPr>
          <w:p w14:paraId="0C8E47F9">
            <w:pPr>
              <w:pStyle w:val="198"/>
              <w:spacing w:beforeAutospacing="0" w:afterAutospacing="0"/>
              <w:ind w:firstLine="600"/>
              <w:jc w:val="center"/>
            </w:pPr>
            <w:r>
              <w:rPr>
                <w:rFonts w:hint="eastAsia"/>
              </w:rPr>
              <w:t> </w:t>
            </w:r>
          </w:p>
        </w:tc>
      </w:tr>
    </w:tbl>
    <w:p w14:paraId="4A36782B">
      <w:pPr>
        <w:pStyle w:val="198"/>
        <w:spacing w:beforeAutospacing="0" w:afterAutospacing="0"/>
        <w:ind w:firstLine="480"/>
        <w:jc w:val="both"/>
      </w:pPr>
      <w:r>
        <w:rPr>
          <w:rFonts w:hint="eastAsia"/>
        </w:rPr>
        <w:t>注：行数不够，可自行添加。</w:t>
      </w:r>
    </w:p>
    <w:p w14:paraId="00A72786">
      <w:pPr>
        <w:pStyle w:val="198"/>
        <w:spacing w:beforeAutospacing="0" w:afterAutospacing="0" w:line="0" w:lineRule="atLeast"/>
        <w:jc w:val="center"/>
      </w:pPr>
      <w:r>
        <w:rPr>
          <w:rFonts w:hint="eastAsia"/>
        </w:rPr>
        <w:br w:type="page" w:clear="all"/>
      </w: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四</w:t>
      </w:r>
      <w:r>
        <w:rPr>
          <w:rFonts w:hint="eastAsia" w:ascii="黑体" w:hAnsi="黑体" w:eastAsia="黑体" w:cs="黑体"/>
          <w:i/>
          <w:sz w:val="32"/>
          <w:szCs w:val="32"/>
          <w:u w:val="single"/>
        </w:rPr>
        <w:t>、商务要求响应及偏离表</w:t>
      </w:r>
    </w:p>
    <w:p w14:paraId="21F02270">
      <w:pPr>
        <w:pStyle w:val="198"/>
        <w:spacing w:beforeAutospacing="0" w:afterAutospacing="0"/>
        <w:jc w:val="both"/>
        <w:rPr>
          <w:bCs/>
          <w:i/>
          <w:sz w:val="13"/>
          <w:szCs w:val="13"/>
          <w:u w:val="single"/>
        </w:rPr>
      </w:pPr>
    </w:p>
    <w:tbl>
      <w:tblPr>
        <w:tblStyle w:val="29"/>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2011"/>
        <w:gridCol w:w="2304"/>
        <w:gridCol w:w="1872"/>
        <w:gridCol w:w="1813"/>
      </w:tblGrid>
      <w:tr w14:paraId="3A8F8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8" w:hRule="atLeast"/>
          <w:tblCellSpacing w:w="0" w:type="dxa"/>
          <w:jc w:val="center"/>
        </w:trPr>
        <w:tc>
          <w:tcPr>
            <w:tcW w:w="777" w:type="dxa"/>
            <w:noWrap/>
            <w:vAlign w:val="center"/>
          </w:tcPr>
          <w:p w14:paraId="056418F6">
            <w:pPr>
              <w:pStyle w:val="198"/>
              <w:spacing w:beforeAutospacing="0" w:afterAutospacing="0"/>
              <w:jc w:val="center"/>
            </w:pPr>
            <w:r>
              <w:rPr>
                <w:rFonts w:hint="eastAsia"/>
              </w:rPr>
              <w:t>序号</w:t>
            </w:r>
          </w:p>
        </w:tc>
        <w:tc>
          <w:tcPr>
            <w:tcW w:w="2011" w:type="dxa"/>
            <w:noWrap/>
            <w:vAlign w:val="center"/>
          </w:tcPr>
          <w:p w14:paraId="7871595A">
            <w:pPr>
              <w:pStyle w:val="198"/>
              <w:spacing w:beforeAutospacing="0" w:afterAutospacing="0"/>
              <w:jc w:val="center"/>
            </w:pPr>
            <w:r>
              <w:rPr>
                <w:rFonts w:hint="eastAsia"/>
              </w:rPr>
              <w:t>招标文件要求</w:t>
            </w:r>
          </w:p>
        </w:tc>
        <w:tc>
          <w:tcPr>
            <w:tcW w:w="2304" w:type="dxa"/>
            <w:noWrap/>
            <w:vAlign w:val="center"/>
          </w:tcPr>
          <w:p w14:paraId="6EDC8978">
            <w:pPr>
              <w:pStyle w:val="198"/>
              <w:spacing w:beforeAutospacing="0" w:afterAutospacing="0"/>
              <w:jc w:val="center"/>
            </w:pPr>
            <w:r>
              <w:rPr>
                <w:rFonts w:hint="eastAsia"/>
              </w:rPr>
              <w:t>投标响应情况</w:t>
            </w:r>
          </w:p>
        </w:tc>
        <w:tc>
          <w:tcPr>
            <w:tcW w:w="1872" w:type="dxa"/>
            <w:noWrap/>
            <w:vAlign w:val="center"/>
          </w:tcPr>
          <w:p w14:paraId="058FE1D7">
            <w:pPr>
              <w:pStyle w:val="198"/>
              <w:spacing w:beforeAutospacing="0" w:afterAutospacing="0"/>
              <w:jc w:val="center"/>
            </w:pPr>
            <w:r>
              <w:rPr>
                <w:rFonts w:hint="eastAsia"/>
              </w:rPr>
              <w:t>超出、符合或偏离</w:t>
            </w:r>
          </w:p>
        </w:tc>
        <w:tc>
          <w:tcPr>
            <w:tcW w:w="1813" w:type="dxa"/>
            <w:noWrap/>
            <w:vAlign w:val="center"/>
          </w:tcPr>
          <w:p w14:paraId="1223BC3D">
            <w:pPr>
              <w:pStyle w:val="198"/>
              <w:spacing w:beforeAutospacing="0" w:afterAutospacing="0"/>
              <w:jc w:val="center"/>
            </w:pPr>
            <w:r>
              <w:rPr>
                <w:rFonts w:hint="eastAsia"/>
              </w:rPr>
              <w:t>证明</w:t>
            </w:r>
          </w:p>
          <w:p w14:paraId="1A675112">
            <w:pPr>
              <w:pStyle w:val="198"/>
              <w:spacing w:beforeAutospacing="0" w:afterAutospacing="0"/>
              <w:jc w:val="center"/>
            </w:pPr>
            <w:r>
              <w:rPr>
                <w:rFonts w:hint="eastAsia"/>
              </w:rPr>
              <w:t>材料</w:t>
            </w:r>
          </w:p>
        </w:tc>
      </w:tr>
      <w:tr w14:paraId="5A3FE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414B8BBC">
            <w:pPr>
              <w:pStyle w:val="198"/>
              <w:spacing w:beforeAutospacing="0" w:afterAutospacing="0"/>
              <w:ind w:firstLine="600"/>
              <w:jc w:val="center"/>
            </w:pPr>
            <w:r>
              <w:rPr>
                <w:rFonts w:hint="eastAsia"/>
              </w:rPr>
              <w:t> </w:t>
            </w:r>
          </w:p>
        </w:tc>
        <w:tc>
          <w:tcPr>
            <w:tcW w:w="2011" w:type="dxa"/>
            <w:noWrap/>
            <w:vAlign w:val="center"/>
          </w:tcPr>
          <w:p w14:paraId="79C152F5">
            <w:pPr>
              <w:pStyle w:val="198"/>
              <w:spacing w:beforeAutospacing="0" w:afterAutospacing="0"/>
              <w:ind w:firstLine="600"/>
              <w:jc w:val="center"/>
            </w:pPr>
            <w:r>
              <w:rPr>
                <w:rFonts w:hint="eastAsia"/>
              </w:rPr>
              <w:t> </w:t>
            </w:r>
          </w:p>
        </w:tc>
        <w:tc>
          <w:tcPr>
            <w:tcW w:w="2304" w:type="dxa"/>
            <w:noWrap/>
            <w:vAlign w:val="center"/>
          </w:tcPr>
          <w:p w14:paraId="29E0AC6E">
            <w:pPr>
              <w:pStyle w:val="198"/>
              <w:spacing w:beforeAutospacing="0" w:afterAutospacing="0"/>
              <w:ind w:firstLine="600"/>
              <w:jc w:val="center"/>
            </w:pPr>
            <w:r>
              <w:rPr>
                <w:rFonts w:hint="eastAsia"/>
              </w:rPr>
              <w:t> </w:t>
            </w:r>
          </w:p>
        </w:tc>
        <w:tc>
          <w:tcPr>
            <w:tcW w:w="1872" w:type="dxa"/>
            <w:noWrap/>
            <w:vAlign w:val="center"/>
          </w:tcPr>
          <w:p w14:paraId="50FBFD40">
            <w:pPr>
              <w:pStyle w:val="198"/>
              <w:spacing w:beforeAutospacing="0" w:afterAutospacing="0"/>
              <w:ind w:firstLine="600"/>
              <w:jc w:val="center"/>
            </w:pPr>
            <w:r>
              <w:rPr>
                <w:rFonts w:hint="eastAsia"/>
              </w:rPr>
              <w:t> </w:t>
            </w:r>
          </w:p>
        </w:tc>
        <w:tc>
          <w:tcPr>
            <w:tcW w:w="1813" w:type="dxa"/>
            <w:noWrap/>
            <w:vAlign w:val="center"/>
          </w:tcPr>
          <w:p w14:paraId="3D509F9D">
            <w:pPr>
              <w:pStyle w:val="198"/>
              <w:spacing w:beforeAutospacing="0" w:afterAutospacing="0"/>
              <w:ind w:firstLine="600"/>
              <w:jc w:val="center"/>
            </w:pPr>
            <w:r>
              <w:rPr>
                <w:rFonts w:hint="eastAsia"/>
              </w:rPr>
              <w:t> </w:t>
            </w:r>
          </w:p>
        </w:tc>
      </w:tr>
      <w:tr w14:paraId="3D682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0C03A785">
            <w:pPr>
              <w:pStyle w:val="198"/>
              <w:spacing w:beforeAutospacing="0" w:afterAutospacing="0"/>
              <w:ind w:firstLine="600"/>
              <w:jc w:val="center"/>
            </w:pPr>
            <w:r>
              <w:rPr>
                <w:rFonts w:hint="eastAsia"/>
              </w:rPr>
              <w:t> </w:t>
            </w:r>
          </w:p>
        </w:tc>
        <w:tc>
          <w:tcPr>
            <w:tcW w:w="2011" w:type="dxa"/>
            <w:noWrap/>
            <w:vAlign w:val="center"/>
          </w:tcPr>
          <w:p w14:paraId="5A5D1FC5">
            <w:pPr>
              <w:pStyle w:val="198"/>
              <w:spacing w:beforeAutospacing="0" w:afterAutospacing="0"/>
              <w:ind w:firstLine="600"/>
              <w:jc w:val="center"/>
            </w:pPr>
            <w:r>
              <w:rPr>
                <w:rFonts w:hint="eastAsia"/>
              </w:rPr>
              <w:t> </w:t>
            </w:r>
          </w:p>
        </w:tc>
        <w:tc>
          <w:tcPr>
            <w:tcW w:w="2304" w:type="dxa"/>
            <w:noWrap/>
            <w:vAlign w:val="center"/>
          </w:tcPr>
          <w:p w14:paraId="2E871F0F">
            <w:pPr>
              <w:pStyle w:val="198"/>
              <w:spacing w:beforeAutospacing="0" w:afterAutospacing="0"/>
              <w:ind w:firstLine="600"/>
              <w:jc w:val="center"/>
            </w:pPr>
            <w:r>
              <w:rPr>
                <w:rFonts w:hint="eastAsia"/>
              </w:rPr>
              <w:t> </w:t>
            </w:r>
          </w:p>
        </w:tc>
        <w:tc>
          <w:tcPr>
            <w:tcW w:w="1872" w:type="dxa"/>
            <w:noWrap/>
            <w:vAlign w:val="center"/>
          </w:tcPr>
          <w:p w14:paraId="2FFDAA44">
            <w:pPr>
              <w:pStyle w:val="198"/>
              <w:spacing w:beforeAutospacing="0" w:afterAutospacing="0"/>
              <w:ind w:firstLine="600"/>
              <w:jc w:val="center"/>
            </w:pPr>
            <w:r>
              <w:rPr>
                <w:rFonts w:hint="eastAsia"/>
              </w:rPr>
              <w:t> </w:t>
            </w:r>
          </w:p>
        </w:tc>
        <w:tc>
          <w:tcPr>
            <w:tcW w:w="1813" w:type="dxa"/>
            <w:noWrap/>
            <w:vAlign w:val="center"/>
          </w:tcPr>
          <w:p w14:paraId="79EC5F40">
            <w:pPr>
              <w:pStyle w:val="198"/>
              <w:spacing w:beforeAutospacing="0" w:afterAutospacing="0"/>
              <w:ind w:firstLine="600"/>
              <w:jc w:val="center"/>
            </w:pPr>
            <w:r>
              <w:rPr>
                <w:rFonts w:hint="eastAsia"/>
              </w:rPr>
              <w:t> </w:t>
            </w:r>
          </w:p>
        </w:tc>
      </w:tr>
      <w:tr w14:paraId="0843F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1336A3D3">
            <w:pPr>
              <w:pStyle w:val="198"/>
              <w:spacing w:beforeAutospacing="0" w:afterAutospacing="0"/>
              <w:ind w:firstLine="600"/>
              <w:jc w:val="center"/>
            </w:pPr>
            <w:r>
              <w:rPr>
                <w:rFonts w:hint="eastAsia"/>
              </w:rPr>
              <w:t> </w:t>
            </w:r>
          </w:p>
        </w:tc>
        <w:tc>
          <w:tcPr>
            <w:tcW w:w="2011" w:type="dxa"/>
            <w:noWrap/>
            <w:vAlign w:val="center"/>
          </w:tcPr>
          <w:p w14:paraId="23141ECF">
            <w:pPr>
              <w:pStyle w:val="198"/>
              <w:spacing w:beforeAutospacing="0" w:afterAutospacing="0"/>
              <w:ind w:firstLine="600"/>
              <w:jc w:val="center"/>
            </w:pPr>
            <w:r>
              <w:rPr>
                <w:rFonts w:hint="eastAsia"/>
              </w:rPr>
              <w:t> </w:t>
            </w:r>
          </w:p>
        </w:tc>
        <w:tc>
          <w:tcPr>
            <w:tcW w:w="2304" w:type="dxa"/>
            <w:noWrap/>
            <w:vAlign w:val="center"/>
          </w:tcPr>
          <w:p w14:paraId="69E8E4B3">
            <w:pPr>
              <w:pStyle w:val="198"/>
              <w:spacing w:beforeAutospacing="0" w:afterAutospacing="0"/>
              <w:ind w:firstLine="600"/>
              <w:jc w:val="center"/>
            </w:pPr>
            <w:r>
              <w:rPr>
                <w:rFonts w:hint="eastAsia"/>
              </w:rPr>
              <w:t> </w:t>
            </w:r>
          </w:p>
        </w:tc>
        <w:tc>
          <w:tcPr>
            <w:tcW w:w="1872" w:type="dxa"/>
            <w:noWrap/>
            <w:vAlign w:val="center"/>
          </w:tcPr>
          <w:p w14:paraId="489E9269">
            <w:pPr>
              <w:pStyle w:val="198"/>
              <w:spacing w:beforeAutospacing="0" w:afterAutospacing="0"/>
              <w:ind w:firstLine="600"/>
              <w:jc w:val="center"/>
            </w:pPr>
            <w:r>
              <w:rPr>
                <w:rFonts w:hint="eastAsia"/>
              </w:rPr>
              <w:t> </w:t>
            </w:r>
          </w:p>
        </w:tc>
        <w:tc>
          <w:tcPr>
            <w:tcW w:w="1813" w:type="dxa"/>
            <w:noWrap/>
            <w:vAlign w:val="center"/>
          </w:tcPr>
          <w:p w14:paraId="700C37B0">
            <w:pPr>
              <w:pStyle w:val="198"/>
              <w:spacing w:beforeAutospacing="0" w:afterAutospacing="0"/>
              <w:ind w:firstLine="600"/>
              <w:jc w:val="center"/>
            </w:pPr>
            <w:r>
              <w:rPr>
                <w:rFonts w:hint="eastAsia"/>
              </w:rPr>
              <w:t> </w:t>
            </w:r>
          </w:p>
        </w:tc>
      </w:tr>
      <w:tr w14:paraId="426CB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3DD44880">
            <w:pPr>
              <w:pStyle w:val="198"/>
              <w:spacing w:beforeAutospacing="0" w:afterAutospacing="0"/>
              <w:ind w:firstLine="600"/>
              <w:jc w:val="center"/>
            </w:pPr>
            <w:r>
              <w:rPr>
                <w:rFonts w:hint="eastAsia"/>
              </w:rPr>
              <w:t> </w:t>
            </w:r>
          </w:p>
        </w:tc>
        <w:tc>
          <w:tcPr>
            <w:tcW w:w="2011" w:type="dxa"/>
            <w:noWrap/>
            <w:vAlign w:val="center"/>
          </w:tcPr>
          <w:p w14:paraId="68EF0E43">
            <w:pPr>
              <w:pStyle w:val="198"/>
              <w:spacing w:beforeAutospacing="0" w:afterAutospacing="0"/>
              <w:ind w:firstLine="600"/>
              <w:jc w:val="center"/>
            </w:pPr>
            <w:r>
              <w:rPr>
                <w:rFonts w:hint="eastAsia"/>
              </w:rPr>
              <w:t> </w:t>
            </w:r>
          </w:p>
        </w:tc>
        <w:tc>
          <w:tcPr>
            <w:tcW w:w="2304" w:type="dxa"/>
            <w:noWrap/>
            <w:vAlign w:val="center"/>
          </w:tcPr>
          <w:p w14:paraId="0367ECBB">
            <w:pPr>
              <w:pStyle w:val="198"/>
              <w:spacing w:beforeAutospacing="0" w:afterAutospacing="0"/>
              <w:ind w:firstLine="600"/>
              <w:jc w:val="center"/>
            </w:pPr>
            <w:r>
              <w:rPr>
                <w:rFonts w:hint="eastAsia"/>
              </w:rPr>
              <w:t> </w:t>
            </w:r>
          </w:p>
        </w:tc>
        <w:tc>
          <w:tcPr>
            <w:tcW w:w="1872" w:type="dxa"/>
            <w:noWrap/>
            <w:vAlign w:val="center"/>
          </w:tcPr>
          <w:p w14:paraId="4130BDBE">
            <w:pPr>
              <w:pStyle w:val="198"/>
              <w:spacing w:beforeAutospacing="0" w:afterAutospacing="0"/>
              <w:ind w:firstLine="600"/>
              <w:jc w:val="center"/>
            </w:pPr>
            <w:r>
              <w:rPr>
                <w:rFonts w:hint="eastAsia"/>
              </w:rPr>
              <w:t> </w:t>
            </w:r>
          </w:p>
        </w:tc>
        <w:tc>
          <w:tcPr>
            <w:tcW w:w="1813" w:type="dxa"/>
            <w:noWrap/>
            <w:vAlign w:val="center"/>
          </w:tcPr>
          <w:p w14:paraId="5E0CAB2A">
            <w:pPr>
              <w:pStyle w:val="198"/>
              <w:spacing w:beforeAutospacing="0" w:afterAutospacing="0"/>
              <w:ind w:firstLine="600"/>
              <w:jc w:val="center"/>
            </w:pPr>
            <w:r>
              <w:rPr>
                <w:rFonts w:hint="eastAsia"/>
              </w:rPr>
              <w:t> </w:t>
            </w:r>
          </w:p>
        </w:tc>
      </w:tr>
      <w:tr w14:paraId="390A0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698B2EA4">
            <w:pPr>
              <w:pStyle w:val="198"/>
              <w:spacing w:beforeAutospacing="0" w:afterAutospacing="0"/>
              <w:ind w:firstLine="600"/>
              <w:jc w:val="center"/>
            </w:pPr>
            <w:r>
              <w:rPr>
                <w:rFonts w:hint="eastAsia"/>
              </w:rPr>
              <w:t> </w:t>
            </w:r>
          </w:p>
        </w:tc>
        <w:tc>
          <w:tcPr>
            <w:tcW w:w="2011" w:type="dxa"/>
            <w:noWrap/>
            <w:vAlign w:val="center"/>
          </w:tcPr>
          <w:p w14:paraId="348D34FE">
            <w:pPr>
              <w:pStyle w:val="198"/>
              <w:spacing w:beforeAutospacing="0" w:afterAutospacing="0"/>
              <w:ind w:firstLine="600"/>
              <w:jc w:val="center"/>
            </w:pPr>
            <w:r>
              <w:rPr>
                <w:rFonts w:hint="eastAsia"/>
              </w:rPr>
              <w:t> </w:t>
            </w:r>
          </w:p>
        </w:tc>
        <w:tc>
          <w:tcPr>
            <w:tcW w:w="2304" w:type="dxa"/>
            <w:noWrap/>
            <w:vAlign w:val="center"/>
          </w:tcPr>
          <w:p w14:paraId="30ABAC49">
            <w:pPr>
              <w:pStyle w:val="198"/>
              <w:spacing w:beforeAutospacing="0" w:afterAutospacing="0"/>
              <w:ind w:firstLine="600"/>
              <w:jc w:val="center"/>
            </w:pPr>
            <w:r>
              <w:rPr>
                <w:rFonts w:hint="eastAsia"/>
              </w:rPr>
              <w:t> </w:t>
            </w:r>
          </w:p>
        </w:tc>
        <w:tc>
          <w:tcPr>
            <w:tcW w:w="1872" w:type="dxa"/>
            <w:noWrap/>
            <w:vAlign w:val="center"/>
          </w:tcPr>
          <w:p w14:paraId="658E4ED0">
            <w:pPr>
              <w:pStyle w:val="198"/>
              <w:spacing w:beforeAutospacing="0" w:afterAutospacing="0"/>
              <w:ind w:firstLine="600"/>
              <w:jc w:val="center"/>
            </w:pPr>
            <w:r>
              <w:rPr>
                <w:rFonts w:hint="eastAsia"/>
              </w:rPr>
              <w:t> </w:t>
            </w:r>
          </w:p>
        </w:tc>
        <w:tc>
          <w:tcPr>
            <w:tcW w:w="1813" w:type="dxa"/>
            <w:noWrap/>
            <w:vAlign w:val="center"/>
          </w:tcPr>
          <w:p w14:paraId="766791AF">
            <w:pPr>
              <w:pStyle w:val="198"/>
              <w:spacing w:beforeAutospacing="0" w:afterAutospacing="0"/>
              <w:ind w:firstLine="600"/>
              <w:jc w:val="center"/>
            </w:pPr>
            <w:r>
              <w:rPr>
                <w:rFonts w:hint="eastAsia"/>
              </w:rPr>
              <w:t> </w:t>
            </w:r>
          </w:p>
        </w:tc>
      </w:tr>
      <w:tr w14:paraId="0BFE5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7EA7CD3F">
            <w:pPr>
              <w:pStyle w:val="198"/>
              <w:spacing w:beforeAutospacing="0" w:afterAutospacing="0"/>
              <w:ind w:firstLine="600"/>
              <w:jc w:val="center"/>
            </w:pPr>
            <w:r>
              <w:rPr>
                <w:rFonts w:hint="eastAsia"/>
              </w:rPr>
              <w:t> </w:t>
            </w:r>
          </w:p>
        </w:tc>
        <w:tc>
          <w:tcPr>
            <w:tcW w:w="2011" w:type="dxa"/>
            <w:noWrap/>
            <w:vAlign w:val="center"/>
          </w:tcPr>
          <w:p w14:paraId="65CE119A">
            <w:pPr>
              <w:pStyle w:val="198"/>
              <w:spacing w:beforeAutospacing="0" w:afterAutospacing="0"/>
              <w:ind w:firstLine="600"/>
              <w:jc w:val="center"/>
            </w:pPr>
            <w:r>
              <w:rPr>
                <w:rFonts w:hint="eastAsia"/>
              </w:rPr>
              <w:t> </w:t>
            </w:r>
          </w:p>
        </w:tc>
        <w:tc>
          <w:tcPr>
            <w:tcW w:w="2304" w:type="dxa"/>
            <w:noWrap/>
            <w:vAlign w:val="center"/>
          </w:tcPr>
          <w:p w14:paraId="4A2A7264">
            <w:pPr>
              <w:pStyle w:val="198"/>
              <w:spacing w:beforeAutospacing="0" w:afterAutospacing="0"/>
              <w:ind w:firstLine="600"/>
              <w:jc w:val="center"/>
            </w:pPr>
            <w:r>
              <w:rPr>
                <w:rFonts w:hint="eastAsia"/>
              </w:rPr>
              <w:t> </w:t>
            </w:r>
          </w:p>
        </w:tc>
        <w:tc>
          <w:tcPr>
            <w:tcW w:w="1872" w:type="dxa"/>
            <w:noWrap/>
            <w:vAlign w:val="center"/>
          </w:tcPr>
          <w:p w14:paraId="2F36C2C2">
            <w:pPr>
              <w:pStyle w:val="198"/>
              <w:spacing w:beforeAutospacing="0" w:afterAutospacing="0"/>
              <w:ind w:firstLine="600"/>
              <w:jc w:val="center"/>
            </w:pPr>
            <w:r>
              <w:rPr>
                <w:rFonts w:hint="eastAsia"/>
              </w:rPr>
              <w:t> </w:t>
            </w:r>
          </w:p>
        </w:tc>
        <w:tc>
          <w:tcPr>
            <w:tcW w:w="1813" w:type="dxa"/>
            <w:noWrap/>
            <w:vAlign w:val="center"/>
          </w:tcPr>
          <w:p w14:paraId="5978F71F">
            <w:pPr>
              <w:pStyle w:val="198"/>
              <w:spacing w:beforeAutospacing="0" w:afterAutospacing="0"/>
              <w:ind w:firstLine="600"/>
              <w:jc w:val="center"/>
            </w:pPr>
            <w:r>
              <w:rPr>
                <w:rFonts w:hint="eastAsia"/>
              </w:rPr>
              <w:t> </w:t>
            </w:r>
          </w:p>
        </w:tc>
      </w:tr>
      <w:tr w14:paraId="16BCD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1CD4D9F9">
            <w:pPr>
              <w:pStyle w:val="198"/>
              <w:spacing w:beforeAutospacing="0" w:afterAutospacing="0"/>
              <w:ind w:firstLine="600"/>
              <w:jc w:val="center"/>
            </w:pPr>
            <w:r>
              <w:rPr>
                <w:rFonts w:hint="eastAsia"/>
              </w:rPr>
              <w:t> </w:t>
            </w:r>
          </w:p>
        </w:tc>
        <w:tc>
          <w:tcPr>
            <w:tcW w:w="2011" w:type="dxa"/>
            <w:noWrap/>
            <w:vAlign w:val="center"/>
          </w:tcPr>
          <w:p w14:paraId="3AF5987C">
            <w:pPr>
              <w:pStyle w:val="198"/>
              <w:spacing w:beforeAutospacing="0" w:afterAutospacing="0"/>
              <w:ind w:firstLine="600"/>
              <w:jc w:val="center"/>
            </w:pPr>
            <w:r>
              <w:rPr>
                <w:rFonts w:hint="eastAsia"/>
              </w:rPr>
              <w:t> </w:t>
            </w:r>
          </w:p>
        </w:tc>
        <w:tc>
          <w:tcPr>
            <w:tcW w:w="2304" w:type="dxa"/>
            <w:noWrap/>
            <w:vAlign w:val="center"/>
          </w:tcPr>
          <w:p w14:paraId="056A70DC">
            <w:pPr>
              <w:pStyle w:val="198"/>
              <w:spacing w:beforeAutospacing="0" w:afterAutospacing="0"/>
              <w:ind w:firstLine="600"/>
              <w:jc w:val="center"/>
            </w:pPr>
            <w:r>
              <w:rPr>
                <w:rFonts w:hint="eastAsia"/>
              </w:rPr>
              <w:t> </w:t>
            </w:r>
          </w:p>
        </w:tc>
        <w:tc>
          <w:tcPr>
            <w:tcW w:w="1872" w:type="dxa"/>
            <w:noWrap/>
            <w:vAlign w:val="center"/>
          </w:tcPr>
          <w:p w14:paraId="626FD891">
            <w:pPr>
              <w:pStyle w:val="198"/>
              <w:spacing w:beforeAutospacing="0" w:afterAutospacing="0"/>
              <w:ind w:firstLine="600"/>
              <w:jc w:val="center"/>
            </w:pPr>
            <w:r>
              <w:rPr>
                <w:rFonts w:hint="eastAsia"/>
              </w:rPr>
              <w:t> </w:t>
            </w:r>
          </w:p>
        </w:tc>
        <w:tc>
          <w:tcPr>
            <w:tcW w:w="1813" w:type="dxa"/>
            <w:noWrap/>
            <w:vAlign w:val="center"/>
          </w:tcPr>
          <w:p w14:paraId="3E181822">
            <w:pPr>
              <w:pStyle w:val="198"/>
              <w:spacing w:beforeAutospacing="0" w:afterAutospacing="0"/>
              <w:ind w:firstLine="600"/>
              <w:jc w:val="center"/>
            </w:pPr>
            <w:r>
              <w:rPr>
                <w:rFonts w:hint="eastAsia"/>
              </w:rPr>
              <w:t> </w:t>
            </w:r>
          </w:p>
        </w:tc>
      </w:tr>
      <w:tr w14:paraId="78D3F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blCellSpacing w:w="0" w:type="dxa"/>
          <w:jc w:val="center"/>
        </w:trPr>
        <w:tc>
          <w:tcPr>
            <w:tcW w:w="777" w:type="dxa"/>
            <w:noWrap/>
            <w:vAlign w:val="center"/>
          </w:tcPr>
          <w:p w14:paraId="0D794E09">
            <w:pPr>
              <w:pStyle w:val="198"/>
              <w:spacing w:beforeAutospacing="0" w:afterAutospacing="0"/>
              <w:ind w:firstLine="600"/>
              <w:jc w:val="center"/>
            </w:pPr>
            <w:r>
              <w:rPr>
                <w:rFonts w:hint="eastAsia"/>
              </w:rPr>
              <w:t> </w:t>
            </w:r>
          </w:p>
        </w:tc>
        <w:tc>
          <w:tcPr>
            <w:tcW w:w="2011" w:type="dxa"/>
            <w:noWrap/>
            <w:vAlign w:val="center"/>
          </w:tcPr>
          <w:p w14:paraId="06D99FD9">
            <w:pPr>
              <w:pStyle w:val="198"/>
              <w:spacing w:beforeAutospacing="0" w:afterAutospacing="0"/>
              <w:ind w:firstLine="600"/>
              <w:jc w:val="center"/>
            </w:pPr>
            <w:r>
              <w:rPr>
                <w:rFonts w:hint="eastAsia"/>
              </w:rPr>
              <w:t> </w:t>
            </w:r>
          </w:p>
        </w:tc>
        <w:tc>
          <w:tcPr>
            <w:tcW w:w="2304" w:type="dxa"/>
            <w:noWrap/>
            <w:vAlign w:val="center"/>
          </w:tcPr>
          <w:p w14:paraId="5777578E">
            <w:pPr>
              <w:pStyle w:val="198"/>
              <w:spacing w:beforeAutospacing="0" w:afterAutospacing="0"/>
              <w:ind w:firstLine="600"/>
              <w:jc w:val="center"/>
            </w:pPr>
            <w:r>
              <w:rPr>
                <w:rFonts w:hint="eastAsia"/>
              </w:rPr>
              <w:t> </w:t>
            </w:r>
          </w:p>
        </w:tc>
        <w:tc>
          <w:tcPr>
            <w:tcW w:w="1872" w:type="dxa"/>
            <w:noWrap/>
            <w:vAlign w:val="center"/>
          </w:tcPr>
          <w:p w14:paraId="32E0CD4C">
            <w:pPr>
              <w:pStyle w:val="198"/>
              <w:spacing w:beforeAutospacing="0" w:afterAutospacing="0"/>
              <w:ind w:firstLine="600"/>
              <w:jc w:val="center"/>
            </w:pPr>
            <w:r>
              <w:rPr>
                <w:rFonts w:hint="eastAsia"/>
              </w:rPr>
              <w:t> </w:t>
            </w:r>
          </w:p>
        </w:tc>
        <w:tc>
          <w:tcPr>
            <w:tcW w:w="1813" w:type="dxa"/>
            <w:noWrap/>
            <w:vAlign w:val="center"/>
          </w:tcPr>
          <w:p w14:paraId="06BE52F7">
            <w:pPr>
              <w:pStyle w:val="198"/>
              <w:spacing w:beforeAutospacing="0" w:afterAutospacing="0"/>
              <w:ind w:firstLine="600"/>
              <w:jc w:val="center"/>
            </w:pPr>
            <w:r>
              <w:rPr>
                <w:rFonts w:hint="eastAsia"/>
              </w:rPr>
              <w:t> </w:t>
            </w:r>
          </w:p>
        </w:tc>
      </w:tr>
    </w:tbl>
    <w:p w14:paraId="000B4014">
      <w:pPr>
        <w:pStyle w:val="198"/>
        <w:spacing w:beforeAutospacing="0" w:afterAutospacing="0"/>
        <w:jc w:val="both"/>
      </w:pPr>
      <w:r>
        <w:rPr>
          <w:rFonts w:hint="eastAsia"/>
        </w:rPr>
        <w:t>注：行数不够，可自行添加。</w:t>
      </w:r>
    </w:p>
    <w:p w14:paraId="1480DF2F">
      <w:pPr>
        <w:pStyle w:val="198"/>
        <w:spacing w:beforeAutospacing="0" w:afterAutospacing="0"/>
        <w:ind w:firstLine="600"/>
        <w:jc w:val="both"/>
      </w:pPr>
    </w:p>
    <w:p w14:paraId="6F85D98F">
      <w:pPr>
        <w:pStyle w:val="198"/>
        <w:spacing w:beforeAutospacing="0" w:afterAutospacing="0" w:line="0" w:lineRule="atLeast"/>
        <w:jc w:val="center"/>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五</w:t>
      </w:r>
      <w:r>
        <w:rPr>
          <w:rFonts w:hint="eastAsia" w:ascii="黑体" w:hAnsi="黑体" w:eastAsia="黑体" w:cs="黑体"/>
          <w:i/>
          <w:sz w:val="32"/>
          <w:szCs w:val="32"/>
          <w:u w:val="single"/>
        </w:rPr>
        <w:t>、开标一览表</w:t>
      </w:r>
    </w:p>
    <w:p w14:paraId="3CA9FDBB">
      <w:pPr>
        <w:pStyle w:val="27"/>
        <w:keepNext w:val="0"/>
        <w:keepLines w:val="0"/>
        <w:widowControl/>
        <w:suppressLineNumbers w:val="0"/>
      </w:pPr>
      <w:r>
        <w:t>项目编号：项目编号 </w:t>
      </w:r>
    </w:p>
    <w:p w14:paraId="658B19B3">
      <w:pPr>
        <w:pStyle w:val="27"/>
        <w:keepNext w:val="0"/>
        <w:keepLines w:val="0"/>
        <w:widowControl/>
        <w:suppressLineNumbers w:val="0"/>
      </w:pPr>
      <w:r>
        <w:t> </w:t>
      </w:r>
    </w:p>
    <w:p w14:paraId="1BBFC669">
      <w:pPr>
        <w:pStyle w:val="27"/>
        <w:keepNext w:val="0"/>
        <w:keepLines w:val="0"/>
        <w:widowControl/>
        <w:suppressLineNumbers w:val="0"/>
      </w:pPr>
      <w:r>
        <w:t>货币单位：人民币元</w:t>
      </w:r>
    </w:p>
    <w:p w14:paraId="2BE80BAA">
      <w:pPr>
        <w:pStyle w:val="27"/>
        <w:keepNext w:val="0"/>
        <w:keepLines w:val="0"/>
        <w:widowControl/>
        <w:suppressLineNumbers w:val="0"/>
      </w:pPr>
      <w:r>
        <w:t> </w:t>
      </w:r>
    </w:p>
    <w:tbl>
      <w:tblPr>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15" w:type="dxa"/>
          <w:left w:w="15" w:type="dxa"/>
          <w:bottom w:w="15" w:type="dxa"/>
          <w:right w:w="15" w:type="dxa"/>
        </w:tblCellMar>
      </w:tblPr>
      <w:tblGrid>
        <w:gridCol w:w="3018"/>
        <w:gridCol w:w="2710"/>
        <w:gridCol w:w="3464"/>
      </w:tblGrid>
      <w:tr w14:paraId="023D90E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rPr>
          <w:tblCellSpacing w:w="15" w:type="dxa"/>
        </w:trPr>
        <w:tc>
          <w:tcPr>
            <w:tcW w:w="3615" w:type="dxa"/>
            <w:shd w:val="clear"/>
            <w:vAlign w:val="center"/>
          </w:tcPr>
          <w:p w14:paraId="059E018B">
            <w:pPr>
              <w:pStyle w:val="27"/>
              <w:keepNext w:val="0"/>
              <w:keepLines w:val="0"/>
              <w:widowControl/>
              <w:suppressLineNumbers w:val="0"/>
            </w:pPr>
            <w:r>
              <w:t>项目名称</w:t>
            </w:r>
          </w:p>
        </w:tc>
        <w:tc>
          <w:tcPr>
            <w:tcW w:w="3375" w:type="dxa"/>
            <w:shd w:val="clear"/>
            <w:vAlign w:val="center"/>
          </w:tcPr>
          <w:p w14:paraId="65FEE165">
            <w:pPr>
              <w:pStyle w:val="27"/>
              <w:keepNext w:val="0"/>
              <w:keepLines w:val="0"/>
              <w:widowControl/>
              <w:suppressLineNumbers w:val="0"/>
            </w:pPr>
            <w:r>
              <w:t>项目内容</w:t>
            </w:r>
          </w:p>
        </w:tc>
        <w:tc>
          <w:tcPr>
            <w:tcW w:w="4260" w:type="dxa"/>
            <w:shd w:val="clear"/>
            <w:vAlign w:val="center"/>
          </w:tcPr>
          <w:p w14:paraId="49254A7B">
            <w:pPr>
              <w:pStyle w:val="27"/>
              <w:keepNext w:val="0"/>
              <w:keepLines w:val="0"/>
              <w:widowControl/>
              <w:suppressLineNumbers w:val="0"/>
            </w:pPr>
            <w:r>
              <w:t>总价（小写）</w:t>
            </w:r>
          </w:p>
        </w:tc>
      </w:tr>
      <w:tr w14:paraId="1187BE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rPr>
          <w:tblCellSpacing w:w="15" w:type="dxa"/>
        </w:trPr>
        <w:tc>
          <w:tcPr>
            <w:tcW w:w="3615" w:type="dxa"/>
            <w:shd w:val="clear"/>
            <w:vAlign w:val="center"/>
          </w:tcPr>
          <w:p w14:paraId="58471EE5">
            <w:pPr>
              <w:keepNext w:val="0"/>
              <w:keepLines w:val="0"/>
              <w:widowControl/>
              <w:suppressLineNumbers w:val="0"/>
              <w:jc w:val="left"/>
            </w:pPr>
            <w:r>
              <w:rPr>
                <w:rFonts w:hint="default" w:ascii="宋体" w:hAnsi="宋体" w:eastAsia="宋体" w:cs="宋体"/>
                <w:kern w:val="0"/>
                <w:sz w:val="24"/>
                <w:szCs w:val="24"/>
                <w:lang w:val="en-US" w:eastAsia="zh-CN" w:bidi="ar"/>
              </w:rPr>
              <w:t xml:space="preserve">项目名称  </w:t>
            </w:r>
          </w:p>
          <w:p w14:paraId="4654EAC9">
            <w:pPr>
              <w:pStyle w:val="27"/>
              <w:keepNext w:val="0"/>
              <w:keepLines w:val="0"/>
              <w:widowControl/>
              <w:suppressLineNumbers w:val="0"/>
            </w:pPr>
            <w:r>
              <w:t> </w:t>
            </w:r>
          </w:p>
        </w:tc>
        <w:tc>
          <w:tcPr>
            <w:tcW w:w="3375" w:type="dxa"/>
            <w:shd w:val="clear"/>
            <w:vAlign w:val="center"/>
          </w:tcPr>
          <w:p w14:paraId="198654F7">
            <w:pPr>
              <w:pStyle w:val="27"/>
              <w:keepNext w:val="0"/>
              <w:keepLines w:val="0"/>
              <w:widowControl/>
              <w:suppressLineNumbers w:val="0"/>
            </w:pPr>
            <w:r>
              <w:t>详见投标文件</w:t>
            </w:r>
          </w:p>
        </w:tc>
        <w:tc>
          <w:tcPr>
            <w:tcW w:w="4260" w:type="dxa"/>
            <w:shd w:val="clear"/>
            <w:vAlign w:val="center"/>
          </w:tcPr>
          <w:p w14:paraId="428B91EA">
            <w:pPr>
              <w:pStyle w:val="27"/>
              <w:keepNext w:val="0"/>
              <w:keepLines w:val="0"/>
              <w:widowControl/>
              <w:suppressLineNumbers w:val="0"/>
            </w:pPr>
            <w:r>
              <w:t>   元</w:t>
            </w:r>
          </w:p>
        </w:tc>
      </w:tr>
      <w:tr w14:paraId="4E4C986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rPr>
          <w:tblCellSpacing w:w="15" w:type="dxa"/>
        </w:trPr>
        <w:tc>
          <w:tcPr>
            <w:tcW w:w="3615" w:type="dxa"/>
            <w:shd w:val="clear"/>
            <w:vAlign w:val="center"/>
          </w:tcPr>
          <w:p w14:paraId="74F3827E">
            <w:pPr>
              <w:pStyle w:val="27"/>
              <w:keepNext w:val="0"/>
              <w:keepLines w:val="0"/>
              <w:widowControl/>
              <w:suppressLineNumbers w:val="0"/>
            </w:pPr>
            <w:r>
              <w:t>总价（大写）：</w:t>
            </w:r>
          </w:p>
        </w:tc>
        <w:tc>
          <w:tcPr>
            <w:tcW w:w="7620" w:type="dxa"/>
            <w:gridSpan w:val="2"/>
            <w:shd w:val="clear"/>
            <w:vAlign w:val="center"/>
          </w:tcPr>
          <w:p w14:paraId="0226D456">
            <w:pPr>
              <w:pStyle w:val="27"/>
              <w:keepNext w:val="0"/>
              <w:keepLines w:val="0"/>
              <w:widowControl/>
              <w:suppressLineNumbers w:val="0"/>
            </w:pPr>
            <w:r>
              <w:t>金额大写 </w:t>
            </w:r>
          </w:p>
        </w:tc>
      </w:tr>
    </w:tbl>
    <w:p w14:paraId="505C9AD7">
      <w:pPr>
        <w:pStyle w:val="27"/>
        <w:keepNext w:val="0"/>
        <w:keepLines w:val="0"/>
        <w:widowControl/>
        <w:suppressLineNumbers w:val="0"/>
      </w:pPr>
      <w:r>
        <w:t> </w:t>
      </w:r>
    </w:p>
    <w:p w14:paraId="407175C0">
      <w:pPr>
        <w:pStyle w:val="27"/>
        <w:keepNext w:val="0"/>
        <w:keepLines w:val="0"/>
        <w:widowControl/>
        <w:suppressLineNumbers w:val="0"/>
      </w:pPr>
      <w:r>
        <w:t>投标人公章：                               （电子签章）</w:t>
      </w:r>
    </w:p>
    <w:p w14:paraId="7F23B3FD">
      <w:pPr>
        <w:pStyle w:val="198"/>
        <w:spacing w:beforeAutospacing="0" w:afterAutospacing="0" w:line="500" w:lineRule="exact"/>
        <w:ind w:firstLine="600"/>
        <w:jc w:val="both"/>
      </w:pPr>
      <w:bookmarkStart w:id="18" w:name="_GoBack"/>
      <w:bookmarkEnd w:id="18"/>
      <w:r>
        <w:rPr>
          <w:rFonts w:hint="eastAsia"/>
        </w:rPr>
        <w:t> </w:t>
      </w:r>
    </w:p>
    <w:p w14:paraId="6370AE47">
      <w:pPr>
        <w:rPr>
          <w:rFonts w:ascii="宋体" w:hAnsi="宋体" w:cs="宋体"/>
        </w:rPr>
      </w:pPr>
      <w:r>
        <w:rPr>
          <w:rFonts w:hint="eastAsia" w:ascii="宋体" w:hAnsi="宋体" w:cs="宋体"/>
        </w:rPr>
        <w:br w:type="page" w:clear="all"/>
      </w:r>
    </w:p>
    <w:p w14:paraId="09828C20">
      <w:pPr>
        <w:pStyle w:val="198"/>
        <w:spacing w:beforeAutospacing="0" w:afterAutospacing="0" w:line="500" w:lineRule="exact"/>
        <w:jc w:val="center"/>
        <w:rPr>
          <w:rFonts w:ascii="黑体" w:hAnsi="黑体" w:eastAsia="黑体" w:cs="黑体"/>
          <w:i/>
          <w:sz w:val="32"/>
          <w:szCs w:val="32"/>
          <w:u w:val="single"/>
        </w:rPr>
      </w:pP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六</w:t>
      </w:r>
      <w:r>
        <w:rPr>
          <w:rFonts w:hint="eastAsia" w:ascii="黑体" w:hAnsi="黑体" w:eastAsia="黑体" w:cs="黑体"/>
          <w:i/>
          <w:sz w:val="32"/>
          <w:szCs w:val="32"/>
          <w:u w:val="single"/>
        </w:rPr>
        <w:t>、服务方案等</w:t>
      </w:r>
    </w:p>
    <w:p w14:paraId="7F8F371D">
      <w:pPr>
        <w:spacing w:line="560" w:lineRule="exact"/>
        <w:ind w:firstLine="480"/>
        <w:jc w:val="left"/>
        <w:rPr>
          <w:rFonts w:hint="eastAsia"/>
          <w:b/>
          <w:bCs/>
          <w:i/>
          <w:iCs/>
          <w:color w:val="FF0000"/>
          <w:sz w:val="24"/>
          <w:szCs w:val="24"/>
          <w:highlight w:val="none"/>
          <w:u w:val="single"/>
        </w:rPr>
      </w:pPr>
      <w:r>
        <w:rPr>
          <w:rFonts w:hint="eastAsia"/>
          <w:b/>
          <w:bCs/>
          <w:i/>
          <w:iCs/>
          <w:color w:val="FF0000"/>
          <w:sz w:val="24"/>
          <w:szCs w:val="24"/>
          <w:highlight w:val="none"/>
          <w:u w:val="single"/>
        </w:rPr>
        <w:t>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p>
    <w:p w14:paraId="4CADCB1A">
      <w:pPr>
        <w:pStyle w:val="198"/>
        <w:spacing w:beforeAutospacing="0" w:afterAutospacing="0" w:line="0" w:lineRule="atLeast"/>
        <w:jc w:val="center"/>
        <w:rPr>
          <w:rFonts w:eastAsia="方正小标宋_GBK" w:cs="方正小标宋_GBK"/>
          <w:sz w:val="44"/>
          <w:szCs w:val="44"/>
        </w:rPr>
      </w:pPr>
      <w:r>
        <w:rPr>
          <w:rFonts w:hint="eastAsia"/>
          <w:sz w:val="32"/>
          <w:szCs w:val="32"/>
        </w:rPr>
        <w:br w:type="page" w:clear="all"/>
      </w: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七</w:t>
      </w:r>
      <w:r>
        <w:rPr>
          <w:rFonts w:hint="eastAsia" w:ascii="黑体" w:hAnsi="黑体" w:eastAsia="黑体" w:cs="黑体"/>
          <w:i/>
          <w:sz w:val="32"/>
          <w:szCs w:val="32"/>
          <w:u w:val="single"/>
        </w:rPr>
        <w:t xml:space="preserve">、招标投标廉洁自律承诺保证书 </w:t>
      </w:r>
    </w:p>
    <w:p w14:paraId="3E8D109D">
      <w:pPr>
        <w:ind w:firstLine="420"/>
        <w:rPr>
          <w:rFonts w:ascii="方正仿宋_GBK" w:hAnsi="方正仿宋_GBK" w:eastAsia="方正仿宋_GBK" w:cs="方正仿宋_GBK"/>
        </w:rPr>
      </w:pPr>
    </w:p>
    <w:p w14:paraId="7381F0BA">
      <w:pPr>
        <w:pStyle w:val="189"/>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xml:space="preserve">为了保证此次采购交易活动正常有序进行，有效遏制虚假招投标和围标、串标等问题的发生，确保整个招投标过程公开、公平、公正，我们特向招标单位承诺：  </w:t>
      </w:r>
    </w:p>
    <w:p w14:paraId="5E4997EC">
      <w:pPr>
        <w:pStyle w:val="189"/>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1.自觉遵守国家法律法规及亭湖区财政局、亭湖区公共资源交易中心的各项制度。限额标准以下的，自觉遵守采购单位的内部控制制度。</w:t>
      </w:r>
    </w:p>
    <w:p w14:paraId="6F3D0FD3">
      <w:pPr>
        <w:pStyle w:val="189"/>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xml:space="preserve">2.不使用不正当手段妨碍、排挤其他投标单位或串通投标。按照招标文件规定的方式组织投标，不组织、不参与围标、串标。保证不弄虚作假，协助他人骗取中标。 </w:t>
      </w:r>
    </w:p>
    <w:p w14:paraId="739888F7">
      <w:pPr>
        <w:pStyle w:val="189"/>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3.不向涉及招标的部门及个人支付好处费、介绍费等。发现相关人员在招标过程中有索要财物，或其他违纪违规行为的，及时向监督管理部门和纪检监察部门举报。</w:t>
      </w:r>
    </w:p>
    <w:p w14:paraId="7B6776E9">
      <w:pPr>
        <w:pStyle w:val="189"/>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p>
    <w:p w14:paraId="123BEE5C">
      <w:pPr>
        <w:pStyle w:val="189"/>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5.本承诺书对我方具有法律效力。</w:t>
      </w:r>
    </w:p>
    <w:p w14:paraId="15A12242">
      <w:pPr>
        <w:pStyle w:val="189"/>
        <w:widowControl/>
        <w:spacing w:beforeAutospacing="0" w:afterAutospacing="0" w:line="500" w:lineRule="exact"/>
        <w:ind w:firstLine="480"/>
        <w:rPr>
          <w:rFonts w:hint="eastAsia" w:ascii="宋体" w:hAnsi="宋体" w:eastAsia="宋体" w:cs="宋体"/>
        </w:rPr>
      </w:pPr>
    </w:p>
    <w:p w14:paraId="0EEEABFB">
      <w:pPr>
        <w:pStyle w:val="189"/>
        <w:widowControl/>
        <w:spacing w:beforeAutospacing="0" w:afterAutospacing="0" w:line="500" w:lineRule="exact"/>
        <w:ind w:firstLine="5760"/>
        <w:rPr>
          <w:rFonts w:hint="eastAsia" w:ascii="宋体" w:hAnsi="宋体" w:eastAsia="宋体" w:cs="宋体"/>
        </w:rPr>
      </w:pPr>
    </w:p>
    <w:p w14:paraId="1F741C58">
      <w:pPr>
        <w:pStyle w:val="189"/>
        <w:widowControl/>
        <w:spacing w:beforeAutospacing="0" w:afterAutospacing="0" w:line="500" w:lineRule="exact"/>
        <w:ind w:firstLine="5760"/>
        <w:rPr>
          <w:rFonts w:hint="eastAsia" w:ascii="宋体" w:hAnsi="宋体" w:eastAsia="宋体" w:cs="宋体"/>
        </w:rPr>
      </w:pPr>
      <w:r>
        <w:rPr>
          <w:rFonts w:hint="eastAsia" w:ascii="宋体" w:hAnsi="宋体" w:eastAsia="宋体" w:cs="宋体"/>
        </w:rPr>
        <w:t xml:space="preserve">单位（盖章）：    </w:t>
      </w:r>
    </w:p>
    <w:p w14:paraId="308157DF">
      <w:pPr>
        <w:pStyle w:val="189"/>
        <w:widowControl/>
        <w:spacing w:beforeAutospacing="0" w:afterAutospacing="0" w:line="500" w:lineRule="exact"/>
        <w:ind w:firstLine="2880"/>
        <w:rPr>
          <w:rFonts w:hint="eastAsia" w:ascii="宋体" w:hAnsi="宋体" w:eastAsia="宋体" w:cs="宋体"/>
        </w:rPr>
      </w:pPr>
      <w:r>
        <w:rPr>
          <w:rFonts w:hint="eastAsia" w:ascii="宋体" w:hAnsi="宋体" w:eastAsia="宋体" w:cs="宋体"/>
        </w:rPr>
        <w:t>法定代表人或授权代理人（签字或盖章）：</w:t>
      </w:r>
    </w:p>
    <w:p w14:paraId="1AAABAED">
      <w:pPr>
        <w:pStyle w:val="189"/>
        <w:widowControl/>
        <w:spacing w:beforeAutospacing="0" w:afterAutospacing="0" w:line="500" w:lineRule="exact"/>
        <w:ind w:firstLine="480"/>
        <w:rPr>
          <w:rFonts w:hint="eastAsia" w:ascii="宋体" w:hAnsi="宋体" w:eastAsia="宋体" w:cs="宋体"/>
        </w:rPr>
      </w:pPr>
    </w:p>
    <w:p w14:paraId="35CE566A">
      <w:pPr>
        <w:pStyle w:val="189"/>
        <w:widowControl/>
        <w:spacing w:beforeAutospacing="0" w:afterAutospacing="0" w:line="500" w:lineRule="exact"/>
        <w:ind w:firstLine="5822"/>
        <w:rPr>
          <w:rFonts w:hint="eastAsia" w:ascii="宋体" w:hAnsi="宋体" w:eastAsia="宋体" w:cs="宋体"/>
        </w:rPr>
      </w:pPr>
      <w:r>
        <w:rPr>
          <w:rFonts w:hint="eastAsia" w:ascii="宋体" w:hAnsi="宋体" w:eastAsia="宋体" w:cs="宋体"/>
        </w:rPr>
        <w:t>年   月   日</w:t>
      </w:r>
    </w:p>
    <w:p w14:paraId="22F426CE">
      <w:pPr>
        <w:spacing w:line="640" w:lineRule="exact"/>
        <w:jc w:val="center"/>
        <w:rPr>
          <w:rFonts w:hint="eastAsia" w:eastAsia="方正小标宋_GBK" w:cs="方正小标宋_GBK"/>
          <w:sz w:val="36"/>
          <w:szCs w:val="36"/>
        </w:rPr>
      </w:pPr>
    </w:p>
    <w:p w14:paraId="7F8B8201">
      <w:pPr>
        <w:spacing w:line="640" w:lineRule="exact"/>
        <w:jc w:val="center"/>
        <w:rPr>
          <w:rFonts w:hint="eastAsia" w:eastAsia="方正小标宋_GBK" w:cs="方正小标宋_GBK"/>
          <w:sz w:val="36"/>
          <w:szCs w:val="36"/>
        </w:rPr>
      </w:pPr>
    </w:p>
    <w:p w14:paraId="2BA9BBC2">
      <w:pPr>
        <w:spacing w:line="640" w:lineRule="exact"/>
        <w:jc w:val="cente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八</w:t>
      </w:r>
      <w:r>
        <w:rPr>
          <w:rFonts w:hint="eastAsia" w:ascii="黑体" w:hAnsi="黑体" w:eastAsia="黑体" w:cs="黑体"/>
          <w:i/>
          <w:sz w:val="32"/>
          <w:szCs w:val="32"/>
          <w:u w:val="single"/>
        </w:rPr>
        <w:t>、盐城市亭湖区政府采购事前信用承诺书</w:t>
      </w:r>
    </w:p>
    <w:p w14:paraId="1756EFB1">
      <w:pPr>
        <w:widowControl/>
        <w:spacing w:line="400" w:lineRule="exact"/>
        <w:ind w:firstLine="720"/>
        <w:jc w:val="left"/>
        <w:rPr>
          <w:sz w:val="36"/>
          <w:szCs w:val="36"/>
        </w:rPr>
      </w:pPr>
    </w:p>
    <w:p w14:paraId="32B2EC0C">
      <w:pPr>
        <w:pStyle w:val="189"/>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为营造我区公开、公平、公正、诚实守信的政府采购交易环境，树立诚信守法的投标人形象，本人代表本单位作出以下承诺：</w:t>
      </w:r>
    </w:p>
    <w:p w14:paraId="7146823C">
      <w:pPr>
        <w:pStyle w:val="189"/>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6CCFE216">
      <w:pPr>
        <w:pStyle w:val="189"/>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1E17418">
      <w:pPr>
        <w:pStyle w:val="189"/>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xml:space="preserve">（三）严格依照国家和省、市关于政府采购的法律法规、规章、规范性文件，参加政府采购投标活动；积极履行社会责任，促进廉政建设； </w:t>
      </w:r>
    </w:p>
    <w:p w14:paraId="20172C79">
      <w:pPr>
        <w:pStyle w:val="189"/>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（四）严格遵守即时信息公示规定，及时维护和更新盐城市政府采购网中与本单位相关的信息；</w:t>
      </w:r>
    </w:p>
    <w:p w14:paraId="4F57A329">
      <w:pPr>
        <w:pStyle w:val="189"/>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五）自我约束、自我管理，守合同、重信用，自觉维护政府采购交易的良好秩序，与参与本次政府采购活动的其他投标人不存在直接控股或管理关系，不参与围标串标、弄虚作假、骗取中标、干扰评标、违约毁约等行为；</w:t>
      </w:r>
    </w:p>
    <w:p w14:paraId="7128C024">
      <w:pPr>
        <w:pStyle w:val="189"/>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（六）自觉接受政府、行业组织、社会公众、新闻舆论的监督；</w:t>
      </w:r>
    </w:p>
    <w:p w14:paraId="64BC9BBA">
      <w:pPr>
        <w:pStyle w:val="189"/>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B5C08A0">
      <w:pPr>
        <w:pStyle w:val="189"/>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（八）本人已认真阅读上述承诺，并向本单位员工做了宣传教育。</w:t>
      </w:r>
    </w:p>
    <w:p w14:paraId="16B9E315">
      <w:pPr>
        <w:pStyle w:val="189"/>
        <w:widowControl/>
        <w:spacing w:beforeAutospacing="0" w:afterAutospacing="0" w:line="500" w:lineRule="exact"/>
        <w:ind w:firstLine="5102"/>
        <w:rPr>
          <w:rFonts w:hint="eastAsia" w:ascii="宋体" w:hAnsi="宋体" w:eastAsia="宋体" w:cs="宋体"/>
        </w:rPr>
      </w:pPr>
    </w:p>
    <w:p w14:paraId="5E53A72D">
      <w:pPr>
        <w:pStyle w:val="189"/>
        <w:widowControl/>
        <w:spacing w:beforeAutospacing="0" w:afterAutospacing="0" w:line="500" w:lineRule="exact"/>
        <w:ind w:firstLine="5102"/>
        <w:rPr>
          <w:rFonts w:hint="eastAsia" w:ascii="宋体" w:hAnsi="宋体" w:eastAsia="宋体" w:cs="宋体"/>
        </w:rPr>
      </w:pPr>
      <w:r>
        <w:rPr>
          <w:rFonts w:hint="eastAsia" w:ascii="宋体" w:hAnsi="宋体" w:eastAsia="宋体" w:cs="宋体"/>
        </w:rPr>
        <w:t>法定代表人（签名）：</w:t>
      </w:r>
    </w:p>
    <w:p w14:paraId="25603C03">
      <w:pPr>
        <w:pStyle w:val="189"/>
        <w:widowControl/>
        <w:spacing w:beforeAutospacing="0" w:afterAutospacing="0" w:line="500" w:lineRule="exact"/>
        <w:ind w:firstLine="5102"/>
        <w:rPr>
          <w:rFonts w:hint="eastAsia" w:ascii="宋体" w:hAnsi="宋体" w:eastAsia="宋体" w:cs="宋体"/>
        </w:rPr>
      </w:pPr>
      <w:r>
        <w:rPr>
          <w:rFonts w:hint="eastAsia" w:ascii="宋体" w:hAnsi="宋体" w:eastAsia="宋体" w:cs="宋体"/>
        </w:rPr>
        <w:t xml:space="preserve">单位名称（盖章）：          </w:t>
      </w:r>
    </w:p>
    <w:p w14:paraId="67F56F31">
      <w:pPr>
        <w:pStyle w:val="189"/>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年   月   日</w:t>
      </w:r>
    </w:p>
    <w:p w14:paraId="1D076456">
      <w:pPr>
        <w:pStyle w:val="189"/>
        <w:widowControl/>
        <w:spacing w:beforeAutospacing="0" w:afterAutospacing="0" w:line="500" w:lineRule="exact"/>
        <w:ind w:firstLine="480"/>
        <w:rPr>
          <w:rFonts w:hint="eastAsia" w:ascii="宋体" w:hAnsi="宋体" w:eastAsia="宋体" w:cs="宋体"/>
        </w:rPr>
      </w:pPr>
    </w:p>
    <w:p w14:paraId="029811A9">
      <w:pPr>
        <w:pStyle w:val="189"/>
        <w:widowControl/>
        <w:spacing w:beforeAutospacing="0" w:afterAutospacing="0" w:line="500" w:lineRule="exact"/>
        <w:ind w:firstLine="480"/>
        <w:rPr>
          <w:rFonts w:hint="eastAsia" w:ascii="宋体" w:hAnsi="宋体" w:eastAsia="宋体" w:cs="宋体"/>
        </w:rPr>
      </w:pPr>
    </w:p>
    <w:p w14:paraId="5FCFB1D1">
      <w:pPr>
        <w:pStyle w:val="27"/>
        <w:numPr>
          <w:ilvl w:val="0"/>
          <w:numId w:val="0"/>
        </w:numPr>
        <w:spacing w:beforeAutospacing="0" w:afterAutospacing="0"/>
        <w:ind w:firstLine="562"/>
        <w:jc w:val="center"/>
        <w:rPr>
          <w:rFonts w:hint="eastAsia" w:ascii="黑体" w:hAnsi="黑体" w:eastAsia="黑体" w:cs="黑体"/>
          <w:b w:val="0"/>
          <w:i/>
          <w:color w:val="auto"/>
          <w:sz w:val="32"/>
          <w:szCs w:val="32"/>
          <w:highlight w:val="none"/>
          <w:u w:val="single"/>
          <w:lang w:val="en-US" w:eastAsia="zh-CN" w:bidi="ar-SA"/>
        </w:rPr>
      </w:pPr>
      <w:r>
        <w:rPr>
          <w:rFonts w:hint="eastAsia" w:ascii="黑体" w:hAnsi="黑体" w:eastAsia="黑体" w:cs="黑体"/>
          <w:i/>
          <w:color w:val="auto"/>
          <w:sz w:val="32"/>
          <w:szCs w:val="32"/>
          <w:u w:val="single"/>
        </w:rPr>
        <w:t>十</w:t>
      </w:r>
      <w:r>
        <w:rPr>
          <w:rFonts w:hint="eastAsia" w:ascii="黑体" w:hAnsi="黑体" w:eastAsia="黑体" w:cs="黑体"/>
          <w:i/>
          <w:color w:val="auto"/>
          <w:sz w:val="32"/>
          <w:szCs w:val="32"/>
          <w:u w:val="single"/>
          <w:lang w:val="en-US" w:eastAsia="zh-CN"/>
        </w:rPr>
        <w:t>九</w:t>
      </w:r>
      <w:r>
        <w:rPr>
          <w:rFonts w:hint="eastAsia" w:ascii="黑体" w:hAnsi="黑体" w:eastAsia="黑体" w:cs="黑体"/>
          <w:i/>
          <w:color w:val="auto"/>
          <w:sz w:val="32"/>
          <w:szCs w:val="32"/>
          <w:u w:val="single"/>
        </w:rPr>
        <w:t>、</w:t>
      </w:r>
      <w:r>
        <w:rPr>
          <w:rFonts w:hint="eastAsia" w:ascii="黑体" w:hAnsi="黑体" w:eastAsia="黑体" w:cs="黑体"/>
          <w:b w:val="0"/>
          <w:i/>
          <w:color w:val="auto"/>
          <w:sz w:val="32"/>
          <w:szCs w:val="32"/>
          <w:highlight w:val="none"/>
          <w:u w:val="single"/>
          <w:lang w:val="en-US" w:eastAsia="zh-CN" w:bidi="ar-SA"/>
        </w:rPr>
        <w:t>根据招标文件“第五章 评标方法与评标标准”的要求需要提供的材料及投标人认为有必要提供的其他材料</w:t>
      </w:r>
    </w:p>
    <w:p w14:paraId="769AD8E3">
      <w:pPr>
        <w:rPr>
          <w:rFonts w:ascii="宋体" w:hAnsi="宋体" w:cs="宋体"/>
        </w:rPr>
      </w:pPr>
    </w:p>
    <w:p w14:paraId="76DB2DED">
      <w:pPr>
        <w:rPr>
          <w:rFonts w:ascii="宋体" w:hAnsi="宋体" w:cs="宋体"/>
        </w:rPr>
      </w:pPr>
    </w:p>
    <w:p w14:paraId="2F73453C">
      <w:pPr>
        <w:rPr>
          <w:rFonts w:ascii="宋体" w:hAnsi="宋体" w:cs="宋体"/>
        </w:rPr>
      </w:pPr>
    </w:p>
    <w:p w14:paraId="4B4B6C7B">
      <w:pPr>
        <w:rPr>
          <w:rFonts w:ascii="宋体" w:hAnsi="宋体" w:cs="宋体"/>
        </w:rPr>
      </w:pPr>
    </w:p>
    <w:p w14:paraId="6DFF6EFD">
      <w:pPr>
        <w:rPr>
          <w:rFonts w:ascii="宋体" w:hAnsi="宋体" w:cs="宋体"/>
        </w:rPr>
      </w:pPr>
    </w:p>
    <w:p w14:paraId="2A7D4603">
      <w:pPr>
        <w:rPr>
          <w:rFonts w:ascii="宋体" w:hAnsi="宋体" w:cs="宋体"/>
        </w:rPr>
      </w:pPr>
    </w:p>
    <w:p w14:paraId="45A5BF7B">
      <w:pPr>
        <w:rPr>
          <w:rFonts w:ascii="宋体" w:hAnsi="宋体" w:cs="宋体"/>
        </w:rPr>
      </w:pPr>
    </w:p>
    <w:p w14:paraId="569188DD">
      <w:pPr>
        <w:rPr>
          <w:rFonts w:ascii="宋体" w:hAnsi="宋体" w:cs="宋体"/>
        </w:rPr>
      </w:pPr>
    </w:p>
    <w:p w14:paraId="60FE5657">
      <w:pPr>
        <w:rPr>
          <w:rFonts w:ascii="宋体" w:hAnsi="宋体" w:cs="宋体"/>
        </w:rPr>
      </w:pPr>
    </w:p>
    <w:p w14:paraId="6699A863">
      <w:pPr>
        <w:rPr>
          <w:rFonts w:ascii="宋体" w:hAnsi="宋体" w:cs="宋体"/>
        </w:rPr>
      </w:pPr>
    </w:p>
    <w:p w14:paraId="4CCD760A">
      <w:pPr>
        <w:rPr>
          <w:rFonts w:ascii="宋体" w:hAnsi="宋体" w:cs="宋体"/>
        </w:rPr>
      </w:pPr>
    </w:p>
    <w:p w14:paraId="7A6A4B9B">
      <w:pPr>
        <w:rPr>
          <w:rFonts w:ascii="宋体" w:hAnsi="宋体" w:cs="宋体"/>
        </w:rPr>
      </w:pPr>
    </w:p>
    <w:p w14:paraId="43560587">
      <w:pPr>
        <w:rPr>
          <w:rFonts w:ascii="宋体" w:hAnsi="宋体" w:cs="宋体"/>
        </w:rPr>
      </w:pPr>
    </w:p>
    <w:p w14:paraId="2A99DE79">
      <w:pPr>
        <w:rPr>
          <w:rFonts w:ascii="宋体" w:hAnsi="宋体" w:cs="宋体"/>
        </w:rPr>
      </w:pPr>
    </w:p>
    <w:p w14:paraId="6DF2D63E">
      <w:pPr>
        <w:rPr>
          <w:rFonts w:ascii="宋体" w:hAnsi="宋体" w:cs="宋体"/>
        </w:rPr>
      </w:pPr>
    </w:p>
    <w:p w14:paraId="1D17A80F">
      <w:pPr>
        <w:rPr>
          <w:rFonts w:ascii="宋体" w:hAnsi="宋体" w:cs="宋体"/>
        </w:rPr>
      </w:pPr>
    </w:p>
    <w:p w14:paraId="23D4693B">
      <w:pPr>
        <w:rPr>
          <w:rFonts w:ascii="宋体" w:hAnsi="宋体" w:cs="宋体"/>
        </w:rPr>
      </w:pPr>
    </w:p>
    <w:p w14:paraId="0869E6F2">
      <w:pPr>
        <w:rPr>
          <w:rFonts w:ascii="宋体" w:hAnsi="宋体" w:cs="宋体"/>
        </w:rPr>
      </w:pPr>
    </w:p>
    <w:p w14:paraId="3C4D97D3">
      <w:pPr>
        <w:rPr>
          <w:rFonts w:ascii="宋体" w:hAnsi="宋体" w:cs="宋体"/>
        </w:rPr>
      </w:pPr>
    </w:p>
    <w:p w14:paraId="65113A09">
      <w:pPr>
        <w:rPr>
          <w:rFonts w:ascii="宋体" w:hAnsi="宋体" w:cs="宋体"/>
        </w:rPr>
      </w:pPr>
    </w:p>
    <w:p w14:paraId="45A2BA9A">
      <w:pPr>
        <w:rPr>
          <w:rFonts w:ascii="宋体" w:hAnsi="宋体" w:cs="宋体"/>
        </w:rPr>
      </w:pPr>
    </w:p>
    <w:p w14:paraId="6D4C2391">
      <w:pPr>
        <w:rPr>
          <w:rFonts w:ascii="宋体" w:hAnsi="宋体" w:cs="宋体"/>
        </w:rPr>
      </w:pPr>
    </w:p>
    <w:p w14:paraId="4D6D87AC">
      <w:pPr>
        <w:rPr>
          <w:rFonts w:ascii="宋体" w:hAnsi="宋体" w:cs="宋体"/>
        </w:rPr>
      </w:pPr>
    </w:p>
    <w:p w14:paraId="2C8248F8">
      <w:pPr>
        <w:rPr>
          <w:rFonts w:ascii="宋体" w:hAnsi="宋体" w:cs="宋体"/>
        </w:rPr>
      </w:pPr>
    </w:p>
    <w:p w14:paraId="3089953B">
      <w:pPr>
        <w:rPr>
          <w:rFonts w:ascii="宋体" w:hAnsi="宋体" w:cs="宋体"/>
        </w:rPr>
      </w:pPr>
    </w:p>
    <w:p w14:paraId="2B635EFD">
      <w:pPr>
        <w:rPr>
          <w:rFonts w:ascii="宋体" w:hAnsi="宋体" w:cs="宋体"/>
        </w:rPr>
      </w:pPr>
    </w:p>
    <w:p w14:paraId="140EE71B">
      <w:pPr>
        <w:rPr>
          <w:rFonts w:ascii="宋体" w:hAnsi="宋体" w:cs="宋体"/>
        </w:rPr>
      </w:pPr>
    </w:p>
    <w:p w14:paraId="2362597E">
      <w:pPr>
        <w:rPr>
          <w:rFonts w:ascii="宋体" w:hAnsi="宋体" w:cs="宋体"/>
        </w:rPr>
      </w:pPr>
    </w:p>
    <w:p w14:paraId="1E8FFD8F">
      <w:pPr>
        <w:rPr>
          <w:rFonts w:ascii="宋体" w:hAnsi="宋体" w:cs="宋体"/>
        </w:rPr>
      </w:pPr>
    </w:p>
    <w:p w14:paraId="0488B19E">
      <w:pPr>
        <w:rPr>
          <w:rFonts w:ascii="宋体" w:hAnsi="宋体" w:cs="宋体"/>
        </w:rPr>
      </w:pPr>
    </w:p>
    <w:p w14:paraId="589C49E9">
      <w:pPr>
        <w:rPr>
          <w:rFonts w:ascii="宋体" w:hAnsi="宋体" w:cs="宋体"/>
        </w:rPr>
      </w:pPr>
    </w:p>
    <w:p w14:paraId="27FED16E">
      <w:pPr>
        <w:rPr>
          <w:rFonts w:ascii="宋体" w:hAnsi="宋体" w:cs="宋体"/>
        </w:rPr>
      </w:pPr>
    </w:p>
    <w:p w14:paraId="7F14B9E7">
      <w:pPr>
        <w:rPr>
          <w:rFonts w:ascii="宋体" w:hAnsi="宋体" w:cs="宋体"/>
        </w:rPr>
      </w:pPr>
    </w:p>
    <w:p w14:paraId="7CEEEE37">
      <w:pPr>
        <w:rPr>
          <w:rFonts w:ascii="宋体" w:hAnsi="宋体" w:cs="宋体"/>
        </w:rPr>
      </w:pPr>
    </w:p>
    <w:p w14:paraId="16FBA3B6">
      <w:pPr>
        <w:rPr>
          <w:rFonts w:ascii="宋体" w:hAnsi="宋体" w:cs="宋体"/>
        </w:rPr>
      </w:pPr>
    </w:p>
    <w:p w14:paraId="1379F21A">
      <w:pPr>
        <w:rPr>
          <w:rFonts w:ascii="宋体" w:hAnsi="宋体" w:cs="宋体"/>
        </w:rPr>
      </w:pPr>
    </w:p>
    <w:p w14:paraId="5A72472C">
      <w:pPr>
        <w:rPr>
          <w:rFonts w:ascii="宋体" w:hAnsi="宋体" w:cs="宋体"/>
        </w:rPr>
      </w:pPr>
    </w:p>
    <w:p w14:paraId="73482273">
      <w:pPr>
        <w:rPr>
          <w:rFonts w:ascii="宋体" w:hAnsi="宋体" w:cs="宋体"/>
        </w:rPr>
      </w:pPr>
    </w:p>
    <w:p w14:paraId="7545CFCA">
      <w:pPr>
        <w:rPr>
          <w:rFonts w:ascii="宋体" w:hAnsi="宋体" w:cs="宋体"/>
        </w:rPr>
      </w:pPr>
    </w:p>
    <w:p w14:paraId="0F386684">
      <w:pPr>
        <w:rPr>
          <w:rFonts w:ascii="宋体" w:hAnsi="宋体" w:cs="宋体"/>
        </w:rPr>
      </w:pPr>
    </w:p>
    <w:p w14:paraId="1603B6BE">
      <w:pPr>
        <w:rPr>
          <w:rFonts w:ascii="宋体" w:hAnsi="宋体" w:cs="宋体"/>
        </w:rPr>
      </w:pPr>
    </w:p>
    <w:p w14:paraId="4BD2E517">
      <w:pPr>
        <w:rPr>
          <w:rFonts w:ascii="宋体" w:hAnsi="宋体" w:cs="宋体"/>
        </w:rPr>
      </w:pPr>
    </w:p>
    <w:p w14:paraId="4D7167C1">
      <w:pPr>
        <w:rPr>
          <w:rFonts w:ascii="宋体" w:hAnsi="宋体" w:cs="宋体"/>
        </w:rPr>
      </w:pPr>
    </w:p>
    <w:p w14:paraId="2007CC7B">
      <w:pPr>
        <w:rPr>
          <w:rFonts w:ascii="宋体" w:hAnsi="宋体" w:cs="宋体"/>
        </w:rPr>
      </w:pPr>
    </w:p>
    <w:p w14:paraId="66EA892F">
      <w:pPr>
        <w:rPr>
          <w:rFonts w:ascii="宋体" w:hAnsi="宋体" w:cs="宋体"/>
        </w:rPr>
      </w:pPr>
    </w:p>
    <w:p w14:paraId="46A039D4">
      <w:pPr>
        <w:rPr>
          <w:rFonts w:ascii="宋体" w:hAnsi="宋体" w:cs="宋体"/>
        </w:rPr>
      </w:pPr>
    </w:p>
    <w:p w14:paraId="1B167858">
      <w:pPr>
        <w:pStyle w:val="189"/>
        <w:spacing w:beforeAutospacing="0" w:afterAutospacing="0"/>
        <w:jc w:val="center"/>
        <w:rPr>
          <w:rFonts w:ascii="黑体" w:hAnsi="黑体" w:eastAsia="黑体" w:cs="黑体"/>
          <w:i/>
          <w:sz w:val="32"/>
          <w:szCs w:val="32"/>
          <w:u w:val="single"/>
        </w:rPr>
      </w:pPr>
      <w:r>
        <w:rPr>
          <w:rFonts w:hint="eastAsia" w:ascii="黑体" w:hAnsi="黑体" w:eastAsia="黑体" w:cs="黑体"/>
          <w:i/>
          <w:sz w:val="32"/>
          <w:szCs w:val="32"/>
          <w:u w:val="single"/>
        </w:rPr>
        <w:t>质疑函范本</w:t>
      </w:r>
    </w:p>
    <w:p w14:paraId="014250C7">
      <w:pPr>
        <w:pStyle w:val="189"/>
        <w:spacing w:before="290" w:beforeAutospacing="0" w:afterAutospacing="0" w:line="500" w:lineRule="exact"/>
        <w:jc w:val="both"/>
        <w:rPr>
          <w:rFonts w:ascii="宋体" w:hAnsi="宋体" w:cs="宋体"/>
        </w:rPr>
      </w:pPr>
      <w:r>
        <w:rPr>
          <w:rFonts w:hint="eastAsia" w:ascii="宋体" w:hAnsi="宋体" w:cs="宋体"/>
        </w:rPr>
        <w:t>一、质疑供应商基本信息</w:t>
      </w:r>
    </w:p>
    <w:p w14:paraId="704D66BB">
      <w:pPr>
        <w:pStyle w:val="189"/>
        <w:spacing w:beforeAutospacing="0" w:afterAutospacing="0" w:line="500" w:lineRule="exact"/>
        <w:jc w:val="both"/>
        <w:rPr>
          <w:rFonts w:ascii="宋体" w:hAnsi="宋体" w:cs="宋体"/>
        </w:rPr>
      </w:pPr>
      <w:r>
        <w:rPr>
          <w:rFonts w:hint="eastAsia" w:ascii="宋体" w:hAnsi="宋体" w:cs="宋体"/>
        </w:rPr>
        <w:t>质疑供应商：</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 </w:t>
      </w:r>
      <w:r>
        <w:rPr>
          <w:rFonts w:hint="eastAsia" w:ascii="宋体" w:hAnsi="宋体" w:cs="宋体"/>
          <w:u w:val="single"/>
        </w:rPr>
        <w:tab/>
      </w:r>
      <w:r>
        <w:rPr>
          <w:rFonts w:hint="eastAsia" w:ascii="宋体" w:hAnsi="宋体" w:cs="宋体"/>
          <w:u w:val="single"/>
        </w:rPr>
        <w:t xml:space="preserve">       </w:t>
      </w:r>
    </w:p>
    <w:p w14:paraId="7503A924">
      <w:pPr>
        <w:pStyle w:val="189"/>
        <w:spacing w:beforeAutospacing="0" w:afterAutospacing="0" w:line="500" w:lineRule="exact"/>
        <w:jc w:val="both"/>
        <w:rPr>
          <w:rFonts w:ascii="宋体" w:hAnsi="宋体" w:cs="宋体"/>
          <w:u w:val="single"/>
        </w:rPr>
      </w:pPr>
      <w:r>
        <w:rPr>
          <w:rFonts w:hint="eastAsia" w:ascii="宋体" w:hAnsi="宋体" w:cs="宋体"/>
        </w:rPr>
        <w:t>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w:t>
      </w:r>
    </w:p>
    <w:p w14:paraId="1C258EA3">
      <w:pPr>
        <w:pStyle w:val="189"/>
        <w:spacing w:beforeAutospacing="0" w:afterAutospacing="0" w:line="500" w:lineRule="exact"/>
        <w:jc w:val="both"/>
        <w:rPr>
          <w:rFonts w:ascii="宋体" w:hAnsi="宋体" w:cs="宋体"/>
        </w:rPr>
      </w:pPr>
      <w:r>
        <w:rPr>
          <w:rFonts w:hint="eastAsia" w:ascii="宋体" w:hAnsi="宋体" w:cs="宋体"/>
        </w:rPr>
        <w:t>邮编：</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21969049">
      <w:pPr>
        <w:pStyle w:val="189"/>
        <w:spacing w:beforeAutospacing="0" w:afterAutospacing="0" w:line="500" w:lineRule="exact"/>
        <w:jc w:val="both"/>
        <w:rPr>
          <w:rFonts w:ascii="宋体" w:hAnsi="宋体" w:cs="宋体"/>
          <w:u w:val="single"/>
        </w:rPr>
      </w:pPr>
      <w:r>
        <w:rPr>
          <w:rFonts w:hint="eastAsia" w:ascii="宋体" w:hAnsi="宋体" w:cs="宋体"/>
        </w:rPr>
        <w:t>联系人：</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7CD8B39F">
      <w:pPr>
        <w:pStyle w:val="189"/>
        <w:spacing w:beforeAutospacing="0" w:afterAutospacing="0" w:line="500" w:lineRule="exact"/>
        <w:jc w:val="both"/>
        <w:rPr>
          <w:rFonts w:ascii="宋体" w:hAnsi="宋体" w:cs="宋体"/>
        </w:rPr>
      </w:pPr>
      <w:r>
        <w:rPr>
          <w:rFonts w:hint="eastAsia" w:ascii="宋体" w:hAnsi="宋体" w:cs="宋体"/>
        </w:rPr>
        <w:t>联系电话：</w:t>
      </w:r>
      <w:r>
        <w:rPr>
          <w:rFonts w:hint="eastAsia" w:ascii="宋体" w:hAnsi="宋体" w:cs="宋体"/>
          <w:u w:val="single"/>
        </w:rPr>
        <w:t xml:space="preserve">                                           </w:t>
      </w:r>
    </w:p>
    <w:p w14:paraId="073DB660">
      <w:pPr>
        <w:pStyle w:val="189"/>
        <w:spacing w:beforeAutospacing="0" w:afterAutospacing="0" w:line="500" w:lineRule="exact"/>
        <w:jc w:val="both"/>
        <w:rPr>
          <w:rFonts w:ascii="宋体" w:hAnsi="宋体" w:cs="宋体"/>
        </w:rPr>
      </w:pPr>
      <w:r>
        <w:rPr>
          <w:rFonts w:hint="eastAsia" w:ascii="宋体" w:hAnsi="宋体" w:cs="宋体"/>
        </w:rPr>
        <w:t>授权代表：</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78831258">
      <w:pPr>
        <w:pStyle w:val="189"/>
        <w:spacing w:beforeAutospacing="0" w:afterAutospacing="0" w:line="500" w:lineRule="exact"/>
        <w:jc w:val="both"/>
        <w:rPr>
          <w:rFonts w:ascii="宋体" w:hAnsi="宋体" w:cs="宋体"/>
        </w:rPr>
      </w:pPr>
      <w:r>
        <w:rPr>
          <w:rFonts w:hint="eastAsia" w:ascii="宋体" w:hAnsi="宋体" w:cs="宋体"/>
        </w:rPr>
        <w:t>联系电话：</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5219E4A9">
      <w:pPr>
        <w:pStyle w:val="189"/>
        <w:spacing w:beforeAutospacing="0" w:afterAutospacing="0" w:line="500" w:lineRule="exact"/>
        <w:jc w:val="both"/>
        <w:rPr>
          <w:rFonts w:ascii="宋体" w:hAnsi="宋体" w:cs="宋体"/>
          <w:u w:val="single"/>
        </w:rPr>
      </w:pPr>
      <w:r>
        <w:rPr>
          <w:rFonts w:hint="eastAsia" w:ascii="宋体" w:hAnsi="宋体" w:cs="宋体"/>
        </w:rPr>
        <w:t>地址： </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7D35C0F5">
      <w:pPr>
        <w:pStyle w:val="189"/>
        <w:spacing w:beforeAutospacing="0" w:afterAutospacing="0" w:line="500" w:lineRule="exact"/>
        <w:jc w:val="both"/>
        <w:rPr>
          <w:rFonts w:ascii="宋体" w:hAnsi="宋体" w:cs="宋体"/>
        </w:rPr>
      </w:pPr>
      <w:r>
        <w:rPr>
          <w:rFonts w:hint="eastAsia" w:ascii="宋体" w:hAnsi="宋体" w:cs="宋体"/>
        </w:rPr>
        <w:t>邮编：</w:t>
      </w:r>
      <w:r>
        <w:rPr>
          <w:rFonts w:hint="eastAsia" w:ascii="宋体" w:hAnsi="宋体" w:cs="宋体"/>
          <w:u w:val="single"/>
        </w:rPr>
        <w:t xml:space="preserve">                                </w:t>
      </w:r>
    </w:p>
    <w:p w14:paraId="12A58659">
      <w:pPr>
        <w:pStyle w:val="189"/>
        <w:spacing w:beforeAutospacing="0" w:afterAutospacing="0" w:line="500" w:lineRule="exact"/>
        <w:jc w:val="both"/>
        <w:rPr>
          <w:rFonts w:ascii="宋体" w:hAnsi="宋体" w:cs="宋体"/>
        </w:rPr>
      </w:pPr>
      <w:r>
        <w:rPr>
          <w:rFonts w:hint="eastAsia" w:ascii="宋体" w:hAnsi="宋体" w:cs="宋体"/>
        </w:rPr>
        <w:t>二、质疑项目基本情况</w:t>
      </w:r>
    </w:p>
    <w:p w14:paraId="4C454B69">
      <w:pPr>
        <w:pStyle w:val="189"/>
        <w:spacing w:beforeAutospacing="0" w:afterAutospacing="0" w:line="500" w:lineRule="exact"/>
        <w:jc w:val="both"/>
        <w:rPr>
          <w:rFonts w:ascii="宋体" w:hAnsi="宋体" w:cs="宋体"/>
        </w:rPr>
      </w:pPr>
      <w:r>
        <w:rPr>
          <w:rFonts w:hint="eastAsia" w:ascii="宋体" w:hAnsi="宋体" w:cs="宋体"/>
        </w:rPr>
        <w:t>质疑项目的名称：</w:t>
      </w:r>
      <w:r>
        <w:rPr>
          <w:rFonts w:hint="eastAsia" w:ascii="宋体" w:hAnsi="宋体" w:cs="宋体"/>
          <w:u w:val="single"/>
        </w:rPr>
        <w:t xml:space="preserve">                            </w:t>
      </w:r>
    </w:p>
    <w:p w14:paraId="26315F35">
      <w:pPr>
        <w:pStyle w:val="189"/>
        <w:spacing w:beforeAutospacing="0" w:afterAutospacing="0" w:line="500" w:lineRule="exact"/>
        <w:jc w:val="both"/>
        <w:rPr>
          <w:rFonts w:ascii="宋体" w:hAnsi="宋体" w:cs="宋体"/>
          <w:u w:val="single"/>
        </w:rPr>
      </w:pPr>
      <w:r>
        <w:rPr>
          <w:rFonts w:hint="eastAsia" w:ascii="宋体" w:hAnsi="宋体" w:cs="宋体"/>
        </w:rPr>
        <w:t>质疑项目的编号：</w:t>
      </w:r>
      <w:r>
        <w:rPr>
          <w:rFonts w:hint="eastAsia" w:ascii="宋体" w:hAnsi="宋体" w:cs="宋体"/>
          <w:u w:val="single"/>
        </w:rPr>
        <w:t xml:space="preserve">                          </w:t>
      </w:r>
    </w:p>
    <w:p w14:paraId="1331100D">
      <w:pPr>
        <w:pStyle w:val="189"/>
        <w:spacing w:beforeAutospacing="0" w:afterAutospacing="0" w:line="500" w:lineRule="exact"/>
        <w:jc w:val="both"/>
        <w:rPr>
          <w:rFonts w:ascii="宋体" w:hAnsi="宋体" w:cs="宋体"/>
        </w:rPr>
      </w:pPr>
      <w:r>
        <w:rPr>
          <w:rFonts w:hint="eastAsia" w:ascii="宋体" w:hAnsi="宋体" w:cs="宋体"/>
        </w:rPr>
        <w:t>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4A44DA50">
      <w:pPr>
        <w:pStyle w:val="189"/>
        <w:spacing w:beforeAutospacing="0" w:afterAutospacing="0" w:line="500" w:lineRule="exact"/>
        <w:jc w:val="both"/>
        <w:rPr>
          <w:rFonts w:ascii="宋体" w:hAnsi="宋体" w:cs="宋体"/>
        </w:rPr>
      </w:pPr>
      <w:r>
        <w:rPr>
          <w:rFonts w:hint="eastAsia" w:ascii="宋体" w:hAnsi="宋体" w:cs="宋体"/>
        </w:rPr>
        <w:t>采购人名称：</w:t>
      </w:r>
      <w:r>
        <w:rPr>
          <w:rFonts w:hint="eastAsia" w:ascii="宋体" w:hAnsi="宋体" w:cs="宋体"/>
          <w:u w:val="single"/>
        </w:rPr>
        <w:t xml:space="preserve">                            </w:t>
      </w:r>
    </w:p>
    <w:p w14:paraId="5ADDEF30">
      <w:pPr>
        <w:pStyle w:val="189"/>
        <w:spacing w:beforeAutospacing="0" w:afterAutospacing="0" w:line="500" w:lineRule="exact"/>
        <w:jc w:val="both"/>
        <w:rPr>
          <w:rFonts w:ascii="宋体" w:hAnsi="宋体" w:cs="宋体"/>
        </w:rPr>
      </w:pPr>
      <w:r>
        <w:rPr>
          <w:rFonts w:hint="eastAsia" w:ascii="宋体" w:hAnsi="宋体" w:cs="宋体"/>
        </w:rPr>
        <w:t>采购文件获取日期：</w:t>
      </w:r>
      <w:r>
        <w:rPr>
          <w:rFonts w:hint="eastAsia" w:ascii="宋体" w:hAnsi="宋体" w:cs="宋体"/>
          <w:u w:val="single"/>
        </w:rPr>
        <w:t xml:space="preserve">                             </w:t>
      </w:r>
    </w:p>
    <w:p w14:paraId="1FB7867B">
      <w:pPr>
        <w:pStyle w:val="189"/>
        <w:spacing w:beforeAutospacing="0" w:afterAutospacing="0" w:line="500" w:lineRule="exact"/>
        <w:jc w:val="both"/>
        <w:rPr>
          <w:rFonts w:ascii="宋体" w:hAnsi="宋体" w:cs="宋体"/>
        </w:rPr>
      </w:pPr>
      <w:r>
        <w:rPr>
          <w:rFonts w:hint="eastAsia" w:ascii="宋体" w:hAnsi="宋体" w:cs="宋体"/>
        </w:rPr>
        <w:t>三、质疑事项具体内容</w:t>
      </w:r>
    </w:p>
    <w:p w14:paraId="588A46E3">
      <w:pPr>
        <w:pStyle w:val="189"/>
        <w:spacing w:beforeAutospacing="0" w:afterAutospacing="0" w:line="500" w:lineRule="exact"/>
        <w:jc w:val="both"/>
        <w:rPr>
          <w:rFonts w:ascii="宋体" w:hAnsi="宋体" w:cs="宋体"/>
        </w:rPr>
      </w:pPr>
      <w:r>
        <w:rPr>
          <w:rFonts w:hint="eastAsia" w:ascii="宋体" w:hAnsi="宋体" w:cs="宋体"/>
        </w:rPr>
        <w:t>质疑事项1：</w:t>
      </w:r>
      <w:r>
        <w:rPr>
          <w:rFonts w:hint="eastAsia" w:ascii="宋体" w:hAnsi="宋体" w:cs="宋体"/>
          <w:u w:val="single"/>
        </w:rPr>
        <w:t xml:space="preserve">                             </w:t>
      </w:r>
    </w:p>
    <w:p w14:paraId="530CEAB1">
      <w:pPr>
        <w:pStyle w:val="189"/>
        <w:spacing w:beforeAutospacing="0" w:afterAutospacing="0" w:line="500" w:lineRule="exact"/>
        <w:rPr>
          <w:rFonts w:ascii="宋体" w:hAnsi="宋体" w:cs="宋体"/>
        </w:rPr>
      </w:pPr>
      <w:r>
        <w:rPr>
          <w:rFonts w:hint="eastAsia" w:ascii="宋体" w:hAnsi="宋体" w:cs="宋体"/>
        </w:rPr>
        <w:t>事实依据：</w:t>
      </w:r>
      <w:r>
        <w:rPr>
          <w:rFonts w:hint="eastAsia" w:ascii="宋体" w:hAnsi="宋体" w:cs="宋体"/>
          <w:u w:val="single"/>
        </w:rPr>
        <w:t xml:space="preserve">                                                   </w:t>
      </w:r>
    </w:p>
    <w:p w14:paraId="6849A035">
      <w:pPr>
        <w:pStyle w:val="189"/>
        <w:spacing w:beforeAutospacing="0" w:afterAutospacing="0" w:line="500" w:lineRule="exact"/>
        <w:jc w:val="both"/>
        <w:rPr>
          <w:rFonts w:ascii="宋体" w:hAnsi="宋体" w:cs="宋体"/>
        </w:rPr>
      </w:pPr>
      <w:r>
        <w:rPr>
          <w:rFonts w:hint="eastAsia" w:ascii="宋体" w:hAnsi="宋体" w:cs="宋体"/>
        </w:rPr>
        <w:t>法律依据：</w:t>
      </w:r>
      <w:r>
        <w:rPr>
          <w:rFonts w:hint="eastAsia" w:ascii="宋体" w:hAnsi="宋体" w:cs="宋体"/>
          <w:u w:val="single"/>
        </w:rPr>
        <w:t xml:space="preserve">                                                    </w:t>
      </w:r>
    </w:p>
    <w:p w14:paraId="3C2FBD9F">
      <w:pPr>
        <w:pStyle w:val="189"/>
        <w:spacing w:beforeAutospacing="0" w:afterAutospacing="0" w:line="500" w:lineRule="exact"/>
        <w:jc w:val="both"/>
        <w:rPr>
          <w:rFonts w:ascii="宋体" w:hAnsi="宋体" w:cs="宋体"/>
        </w:rPr>
      </w:pPr>
      <w:r>
        <w:rPr>
          <w:rFonts w:hint="eastAsia" w:ascii="宋体" w:hAnsi="宋体" w:cs="宋体"/>
        </w:rPr>
        <w:t>质疑事项2</w:t>
      </w:r>
    </w:p>
    <w:p w14:paraId="2AB7BB74">
      <w:pPr>
        <w:pStyle w:val="189"/>
        <w:spacing w:beforeAutospacing="0" w:afterAutospacing="0" w:line="500" w:lineRule="exact"/>
        <w:jc w:val="both"/>
        <w:rPr>
          <w:rFonts w:ascii="宋体" w:hAnsi="宋体" w:cs="宋体"/>
        </w:rPr>
      </w:pPr>
      <w:r>
        <w:rPr>
          <w:rFonts w:hint="eastAsia" w:ascii="宋体" w:hAnsi="宋体" w:cs="宋体"/>
        </w:rPr>
        <w:t>……</w:t>
      </w:r>
    </w:p>
    <w:p w14:paraId="57DF7E5A">
      <w:pPr>
        <w:pStyle w:val="189"/>
        <w:spacing w:beforeAutospacing="0" w:afterAutospacing="0" w:line="360" w:lineRule="auto"/>
        <w:jc w:val="both"/>
        <w:rPr>
          <w:rFonts w:ascii="宋体" w:hAnsi="宋体" w:cs="宋体"/>
        </w:rPr>
      </w:pPr>
      <w:r>
        <w:rPr>
          <w:rFonts w:hint="eastAsia" w:ascii="宋体" w:hAnsi="宋体" w:cs="宋体"/>
        </w:rPr>
        <w:t>四、与质疑事项相关的质疑请求</w:t>
      </w:r>
    </w:p>
    <w:p w14:paraId="306FC9EB">
      <w:pPr>
        <w:pStyle w:val="189"/>
        <w:spacing w:beforeAutospacing="0" w:afterAutospacing="0" w:line="360" w:lineRule="auto"/>
        <w:jc w:val="both"/>
        <w:rPr>
          <w:rFonts w:ascii="宋体" w:hAnsi="宋体" w:cs="宋体"/>
        </w:rPr>
      </w:pPr>
      <w:r>
        <w:rPr>
          <w:rFonts w:hint="eastAsia" w:ascii="宋体" w:hAnsi="宋体" w:cs="宋体"/>
        </w:rPr>
        <w:t>请求：</w:t>
      </w:r>
      <w:r>
        <w:rPr>
          <w:rFonts w:hint="eastAsia" w:ascii="宋体" w:hAnsi="宋体" w:cs="宋体"/>
          <w:u w:val="single"/>
        </w:rPr>
        <w:t xml:space="preserve">                                                          </w:t>
      </w:r>
    </w:p>
    <w:p w14:paraId="5408BD5D">
      <w:pPr>
        <w:pStyle w:val="189"/>
        <w:spacing w:beforeAutospacing="0" w:afterAutospacing="0" w:line="360" w:lineRule="auto"/>
        <w:jc w:val="both"/>
        <w:rPr>
          <w:rFonts w:ascii="宋体" w:hAnsi="宋体" w:cs="宋体"/>
        </w:rPr>
      </w:pPr>
      <w:r>
        <w:rPr>
          <w:rFonts w:hint="eastAsia" w:ascii="宋体" w:hAnsi="宋体" w:cs="宋体"/>
        </w:rPr>
        <w:t xml:space="preserve">签字(签章)：                 公章：               日期：    </w:t>
      </w:r>
    </w:p>
    <w:p w14:paraId="5F174D61">
      <w:pPr>
        <w:pStyle w:val="189"/>
        <w:spacing w:beforeAutospacing="0" w:afterAutospacing="0" w:line="500" w:lineRule="exact"/>
        <w:jc w:val="both"/>
        <w:rPr>
          <w:rFonts w:ascii="宋体" w:hAnsi="宋体" w:cs="宋体"/>
        </w:rPr>
      </w:pPr>
      <w:r>
        <w:rPr>
          <w:rFonts w:hint="eastAsia" w:ascii="宋体" w:hAnsi="宋体" w:cs="宋体"/>
          <w:b/>
        </w:rPr>
        <w:t>质疑函制作说明：</w:t>
      </w:r>
    </w:p>
    <w:p w14:paraId="7D9AD381">
      <w:pPr>
        <w:pStyle w:val="189"/>
        <w:widowControl/>
        <w:spacing w:beforeAutospacing="0" w:afterAutospacing="0" w:line="500" w:lineRule="exact"/>
        <w:ind w:firstLine="480"/>
        <w:rPr>
          <w:rFonts w:ascii="宋体" w:hAnsi="宋体" w:cs="宋体"/>
        </w:rPr>
      </w:pPr>
      <w:r>
        <w:rPr>
          <w:rFonts w:hint="eastAsia" w:ascii="宋体" w:hAnsi="宋体" w:cs="宋体"/>
        </w:rPr>
        <w:t>1.供应商提出质疑时，应提交质疑函和必要的证明材料。</w:t>
      </w:r>
    </w:p>
    <w:p w14:paraId="1374429C">
      <w:pPr>
        <w:pStyle w:val="189"/>
        <w:widowControl/>
        <w:spacing w:beforeAutospacing="0" w:afterAutospacing="0" w:line="500" w:lineRule="exact"/>
        <w:ind w:firstLine="480"/>
        <w:rPr>
          <w:rFonts w:ascii="宋体" w:hAnsi="宋体" w:cs="宋体"/>
        </w:rPr>
      </w:pPr>
      <w:r>
        <w:rPr>
          <w:rFonts w:hint="eastAsia" w:ascii="宋体" w:hAnsi="宋体" w:cs="宋体"/>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3900575">
      <w:pPr>
        <w:pStyle w:val="189"/>
        <w:widowControl/>
        <w:spacing w:beforeAutospacing="0" w:afterAutospacing="0" w:line="500" w:lineRule="exact"/>
        <w:ind w:firstLine="480"/>
        <w:rPr>
          <w:rFonts w:ascii="宋体" w:hAnsi="宋体" w:cs="宋体"/>
        </w:rPr>
      </w:pPr>
      <w:r>
        <w:rPr>
          <w:rFonts w:hint="eastAsia" w:ascii="宋体" w:hAnsi="宋体" w:cs="宋体"/>
        </w:rPr>
        <w:t>3.质疑供应商若对项目的某一分包进行质疑，质疑函中应列明具体分包号。</w:t>
      </w:r>
    </w:p>
    <w:p w14:paraId="61F71E36">
      <w:pPr>
        <w:pStyle w:val="189"/>
        <w:widowControl/>
        <w:spacing w:beforeAutospacing="0" w:afterAutospacing="0" w:line="500" w:lineRule="exact"/>
        <w:ind w:firstLine="480"/>
        <w:rPr>
          <w:rFonts w:ascii="宋体" w:hAnsi="宋体" w:cs="宋体"/>
        </w:rPr>
      </w:pPr>
      <w:r>
        <w:rPr>
          <w:rFonts w:hint="eastAsia" w:ascii="宋体" w:hAnsi="宋体" w:cs="宋体"/>
        </w:rPr>
        <w:t>4.质疑函的质疑事项应具体、明确，并有必要的事实依据和法律依据。</w:t>
      </w:r>
    </w:p>
    <w:p w14:paraId="1A4AF201">
      <w:pPr>
        <w:pStyle w:val="189"/>
        <w:widowControl/>
        <w:spacing w:beforeAutospacing="0" w:afterAutospacing="0" w:line="500" w:lineRule="exact"/>
        <w:ind w:firstLine="480"/>
        <w:rPr>
          <w:rFonts w:ascii="宋体" w:hAnsi="宋体" w:cs="宋体"/>
        </w:rPr>
      </w:pPr>
      <w:r>
        <w:rPr>
          <w:rFonts w:hint="eastAsia" w:ascii="宋体" w:hAnsi="宋体" w:cs="宋体"/>
        </w:rPr>
        <w:t>5.质疑函的质疑请求应与质疑事项相关。</w:t>
      </w:r>
    </w:p>
    <w:p w14:paraId="4714D82C">
      <w:pPr>
        <w:pStyle w:val="189"/>
        <w:widowControl/>
        <w:spacing w:beforeAutospacing="0" w:afterAutospacing="0" w:line="500" w:lineRule="exact"/>
        <w:ind w:firstLine="480"/>
        <w:rPr>
          <w:rFonts w:ascii="宋体" w:hAnsi="宋体" w:cs="宋体"/>
        </w:rPr>
      </w:pPr>
      <w:r>
        <w:rPr>
          <w:rFonts w:hint="eastAsia" w:ascii="宋体" w:hAnsi="宋体" w:cs="宋体"/>
        </w:rPr>
        <w:t>6.质疑供应商为自然人的，质疑函应由本人签字；质疑供应商为法人或者其他组织的，质疑函应由法定代表人、主要负责人，或者其授权代表签字或者盖章，并加盖公章。</w:t>
      </w:r>
    </w:p>
    <w:p w14:paraId="632D2529">
      <w:pPr>
        <w:spacing w:line="500" w:lineRule="exact"/>
      </w:pPr>
    </w:p>
    <w:p w14:paraId="7EEF807A">
      <w:pPr>
        <w:spacing w:line="500" w:lineRule="exact"/>
      </w:pPr>
    </w:p>
    <w:p w14:paraId="1DF587F0">
      <w:pPr>
        <w:spacing w:line="500" w:lineRule="exact"/>
      </w:pPr>
    </w:p>
    <w:p w14:paraId="42AE345E">
      <w:pPr>
        <w:spacing w:line="500" w:lineRule="exact"/>
      </w:pPr>
    </w:p>
    <w:p w14:paraId="1E487160">
      <w:pPr>
        <w:spacing w:line="500" w:lineRule="exact"/>
      </w:pPr>
    </w:p>
    <w:p w14:paraId="38BF6F42"/>
    <w:p w14:paraId="22EFBACC"/>
    <w:p w14:paraId="161D6632"/>
    <w:p w14:paraId="42A525A8">
      <w:pPr>
        <w:tabs>
          <w:tab w:val="left" w:pos="7680"/>
        </w:tabs>
        <w:jc w:val="left"/>
      </w:pPr>
      <w:r>
        <w:rPr>
          <w:rFonts w:hint="eastAsia"/>
        </w:rPr>
        <w:tab/>
      </w:r>
    </w:p>
    <w:sectPr>
      <w:headerReference r:id="rId7" w:type="default"/>
      <w:footerReference r:id="rId8" w:type="default"/>
      <w:pgSz w:w="11906" w:h="16838"/>
      <w:pgMar w:top="1417" w:right="1417" w:bottom="1417" w:left="1417" w:header="851" w:footer="992" w:gutter="0"/>
      <w:pgBorders>
        <w:top w:val="none" w:sz="0" w:space="0"/>
        <w:left w:val="none" w:sz="0" w:space="0"/>
        <w:bottom w:val="none" w:sz="0" w:space="0"/>
        <w:right w:val="none" w:sz="0" w:space="0"/>
      </w:pgBorders>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Garamond">
    <w:altName w:val="PMingLiU-ExtB"/>
    <w:panose1 w:val="02020404030301010803"/>
    <w:charset w:val="00"/>
    <w:family w:val="auto"/>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Verdana">
    <w:panose1 w:val="020B0604030504040204"/>
    <w:charset w:val="00"/>
    <w:family w:val="auto"/>
    <w:pitch w:val="default"/>
    <w:sig w:usb0="A00006FF" w:usb1="4000205B" w:usb2="00000010" w:usb3="00000000" w:csb0="2000019F" w:csb1="00000000"/>
  </w:font>
  <w:font w:name="Showcard Gothic">
    <w:altName w:val="Gabriola"/>
    <w:panose1 w:val="04020904020102020604"/>
    <w:charset w:val="00"/>
    <w:family w:val="auto"/>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方正小标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2000000000000000000"/>
    <w:charset w:val="86"/>
    <w:family w:val="auto"/>
    <w:pitch w:val="default"/>
    <w:sig w:usb0="00000000" w:usb1="00000000"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8080F95D">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86492">
    <w:pPr>
      <w:pStyle w:val="18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C5AE60C">
                          <w:pPr>
                            <w:pStyle w:val="187"/>
                            <w:tabs>
                              <w:tab w:val="clear" w:pos="4153"/>
                              <w:tab w:val="clear" w:pos="8306"/>
                            </w:tabs>
                          </w:pPr>
                          <w:r>
                            <w:fldChar w:fldCharType="begin"/>
                          </w:r>
                          <w:r>
                            <w:instrText xml:space="preserve"> PAGE  \* MERGEFORMAT </w:instrText>
                          </w:r>
                          <w:r>
                            <w:fldChar w:fldCharType="separate"/>
                          </w:r>
                          <w:r>
                            <w:t>1</w:t>
                          </w:r>
                          <w:r>
                            <w:fldChar w:fldCharType="end"/>
                          </w:r>
                        </w:p>
                        <w:p w14:paraId="2BB0016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3C5AE60C">
                    <w:pPr>
                      <w:pStyle w:val="187"/>
                      <w:tabs>
                        <w:tab w:val="clear" w:pos="4153"/>
                        <w:tab w:val="clear" w:pos="8306"/>
                      </w:tabs>
                    </w:pPr>
                    <w:r>
                      <w:fldChar w:fldCharType="begin"/>
                    </w:r>
                    <w:r>
                      <w:instrText xml:space="preserve"> PAGE  \* MERGEFORMAT </w:instrText>
                    </w:r>
                    <w:r>
                      <w:fldChar w:fldCharType="separate"/>
                    </w:r>
                    <w:r>
                      <w:t>1</w:t>
                    </w:r>
                    <w:r>
                      <w:fldChar w:fldCharType="end"/>
                    </w:r>
                  </w:p>
                  <w:p w14:paraId="2BB0016C"/>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72F6A">
    <w:pPr>
      <w:pStyle w:val="200"/>
      <w:framePr w:wrap="around" w:vAnchor="text" w:hAnchor="margin" w:xAlign="center" w:y="1"/>
    </w:pPr>
    <w:r>
      <w:fldChar w:fldCharType="begin"/>
    </w:r>
    <w:r>
      <w:rPr>
        <w:rStyle w:val="201"/>
      </w:rPr>
      <w:instrText xml:space="preserve">PAGE  </w:instrText>
    </w:r>
    <w:r>
      <w:fldChar w:fldCharType="separate"/>
    </w:r>
    <w:r>
      <w:rPr>
        <w:rStyle w:val="201"/>
      </w:rPr>
      <w:t>1</w:t>
    </w:r>
    <w:r>
      <w:fldChar w:fldCharType="end"/>
    </w:r>
  </w:p>
  <w:p w14:paraId="6609EC25">
    <w:pPr>
      <w:pStyle w:val="20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6E5DD">
    <w:pPr>
      <w:pStyle w:val="18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11F6523">
                          <w:pPr>
                            <w:pStyle w:val="187"/>
                            <w:tabs>
                              <w:tab w:val="clear" w:pos="4153"/>
                              <w:tab w:val="clear" w:pos="8306"/>
                            </w:tabs>
                          </w:pPr>
                          <w:r>
                            <w:fldChar w:fldCharType="begin"/>
                          </w:r>
                          <w:r>
                            <w:instrText xml:space="preserve"> PAGE  \* MERGEFORMAT </w:instrText>
                          </w:r>
                          <w:r>
                            <w:fldChar w:fldCharType="separate"/>
                          </w:r>
                          <w:r>
                            <w:t>1</w:t>
                          </w:r>
                          <w:r>
                            <w:fldChar w:fldCharType="end"/>
                          </w:r>
                        </w:p>
                        <w:p w14:paraId="7A6D58D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511F6523">
                    <w:pPr>
                      <w:pStyle w:val="187"/>
                      <w:tabs>
                        <w:tab w:val="clear" w:pos="4153"/>
                        <w:tab w:val="clear" w:pos="8306"/>
                      </w:tabs>
                    </w:pPr>
                    <w:r>
                      <w:fldChar w:fldCharType="begin"/>
                    </w:r>
                    <w:r>
                      <w:instrText xml:space="preserve"> PAGE  \* MERGEFORMAT </w:instrText>
                    </w:r>
                    <w:r>
                      <w:fldChar w:fldCharType="separate"/>
                    </w:r>
                    <w:r>
                      <w:t>1</w:t>
                    </w:r>
                    <w:r>
                      <w:fldChar w:fldCharType="end"/>
                    </w:r>
                  </w:p>
                  <w:p w14:paraId="7A6D58D1"/>
                </w:txbxContent>
              </v:textbox>
            </v:shape>
          </w:pict>
        </mc:Fallback>
      </mc:AlternateContent>
    </w:r>
  </w:p>
  <w:p w14:paraId="38416483">
    <w:pPr>
      <w:pStyle w:val="18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3BE82">
    <w:pPr>
      <w:pStyle w:val="18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06F8C92">
                          <w:pPr>
                            <w:pStyle w:val="187"/>
                            <w:tabs>
                              <w:tab w:val="clear" w:pos="4153"/>
                              <w:tab w:val="clear" w:pos="8306"/>
                            </w:tabs>
                            <w:jc w:val="center"/>
                          </w:pPr>
                          <w:r>
                            <w:fldChar w:fldCharType="begin"/>
                          </w:r>
                          <w:r>
                            <w:instrText xml:space="preserve">PAGE   \* MERGEFORMAT</w:instrText>
                          </w:r>
                          <w:r>
                            <w:fldChar w:fldCharType="separate"/>
                          </w:r>
                          <w:r>
                            <w:rPr>
                              <w:lang w:val="zh-CN"/>
                            </w:rPr>
                            <w:t>1</w:t>
                          </w:r>
                          <w:r>
                            <w:fldChar w:fldCharType="end"/>
                          </w:r>
                        </w:p>
                        <w:p w14:paraId="3AE4C79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706F8C92">
                    <w:pPr>
                      <w:pStyle w:val="187"/>
                      <w:tabs>
                        <w:tab w:val="clear" w:pos="4153"/>
                        <w:tab w:val="clear" w:pos="8306"/>
                      </w:tabs>
                      <w:jc w:val="center"/>
                    </w:pPr>
                    <w:r>
                      <w:fldChar w:fldCharType="begin"/>
                    </w:r>
                    <w:r>
                      <w:instrText xml:space="preserve">PAGE   \* MERGEFORMAT</w:instrText>
                    </w:r>
                    <w:r>
                      <w:fldChar w:fldCharType="separate"/>
                    </w:r>
                    <w:r>
                      <w:rPr>
                        <w:lang w:val="zh-CN"/>
                      </w:rPr>
                      <w:t>1</w:t>
                    </w:r>
                    <w:r>
                      <w:fldChar w:fldCharType="end"/>
                    </w:r>
                  </w:p>
                  <w:p w14:paraId="3AE4C796"/>
                </w:txbxContent>
              </v:textbox>
            </v:shape>
          </w:pict>
        </mc:Fallback>
      </mc:AlternateContent>
    </w:r>
  </w:p>
  <w:p w14:paraId="6887773C">
    <w:pPr>
      <w:pStyle w:val="20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70A3C">
    <w:pPr>
      <w:pStyle w:val="203"/>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7275E2A">
                          <w:pPr>
                            <w:pStyle w:val="187"/>
                            <w:tabs>
                              <w:tab w:val="clear" w:pos="4153"/>
                              <w:tab w:val="clear" w:pos="8306"/>
                            </w:tabs>
                          </w:pPr>
                          <w:r>
                            <w:fldChar w:fldCharType="begin"/>
                          </w:r>
                          <w:r>
                            <w:instrText xml:space="preserve"> PAGE  \* MERGEFORMAT </w:instrText>
                          </w:r>
                          <w:r>
                            <w:fldChar w:fldCharType="separate"/>
                          </w:r>
                          <w:r>
                            <w:t>2</w:t>
                          </w:r>
                          <w:r>
                            <w:fldChar w:fldCharType="end"/>
                          </w:r>
                        </w:p>
                        <w:p w14:paraId="725748C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77275E2A">
                    <w:pPr>
                      <w:pStyle w:val="187"/>
                      <w:tabs>
                        <w:tab w:val="clear" w:pos="4153"/>
                        <w:tab w:val="clear" w:pos="8306"/>
                      </w:tabs>
                    </w:pPr>
                    <w:r>
                      <w:fldChar w:fldCharType="begin"/>
                    </w:r>
                    <w:r>
                      <w:instrText xml:space="preserve"> PAGE  \* MERGEFORMAT </w:instrText>
                    </w:r>
                    <w:r>
                      <w:fldChar w:fldCharType="separate"/>
                    </w:r>
                    <w:r>
                      <w:t>2</w:t>
                    </w:r>
                    <w:r>
                      <w:fldChar w:fldCharType="end"/>
                    </w:r>
                  </w:p>
                  <w:p w14:paraId="725748C7"/>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312420" cy="156210"/>
                      </a:xfrm>
                      <a:prstGeom prst="rect">
                        <a:avLst/>
                      </a:prstGeom>
                      <a:noFill/>
                      <a:ln w="6350">
                        <a:noFill/>
                      </a:ln>
                    </wps:spPr>
                    <wps:txbx>
                      <w:txbxContent>
                        <w:p w14:paraId="108A903B">
                          <w:pPr>
                            <w:pStyle w:val="203"/>
                            <w:tabs>
                              <w:tab w:val="clear" w:pos="7143"/>
                              <w:tab w:val="clear" w:pos="14287"/>
                            </w:tabs>
                          </w:pPr>
                        </w:p>
                        <w:p w14:paraId="5EDF28DC"/>
                      </w:txbxContent>
                    </wps:txbx>
                    <wps:bodyPr wrap="square" lIns="0" tIns="0" rIns="0" bIns="0" upright="1"/>
                  </wps:wsp>
                </a:graphicData>
              </a:graphic>
            </wp:anchor>
          </w:drawing>
        </mc:Choice>
        <mc:Fallback>
          <w:pict>
            <v:shape id="_x0000_s1026" o:spid="_x0000_s1026" o:spt="202" type="#_x0000_t202" style="position:absolute;left:0pt;margin-top:0pt;height:12.3pt;width:24.6pt;mso-position-horizontal:center;mso-position-horizontal-relative:margin;z-index:251659264;mso-width-relative:page;mso-height-relative:page;" filled="f" stroked="f" coordsize="21600,21600" o:gfxdata="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IL1ro1AAAAAMBAAAPAAAAAAAAAAEAIAAA&#10;ACIAAABkcnMvZG93bnJldi54bWxQSwECFAAUAAAACACHTuJAUlisiNcBAACWAwAADgAAAAAAAAAB&#10;ACAAAAAjAQAAZHJzL2Uyb0RvYy54bWxQSwUGAAAAAAYABgBZAQAAbAUAAAAA&#10;">
              <v:fill on="f" focussize="0,0"/>
              <v:stroke on="f" weight="0.5pt"/>
              <v:imagedata o:title=""/>
              <o:lock v:ext="edit" aspectratio="f"/>
              <v:textbox inset="0mm,0mm,0mm,0mm">
                <w:txbxContent>
                  <w:p w14:paraId="108A903B">
                    <w:pPr>
                      <w:pStyle w:val="203"/>
                      <w:tabs>
                        <w:tab w:val="clear" w:pos="7143"/>
                        <w:tab w:val="clear" w:pos="14287"/>
                      </w:tabs>
                    </w:pPr>
                  </w:p>
                  <w:p w14:paraId="5EDF28DC"/>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70CE7">
    <w:pPr>
      <w:pStyle w:val="185"/>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B2B21"/>
    <w:rsid w:val="00CF5500"/>
    <w:rsid w:val="01644D06"/>
    <w:rsid w:val="01D803E5"/>
    <w:rsid w:val="025A6607"/>
    <w:rsid w:val="02DF39F5"/>
    <w:rsid w:val="04310280"/>
    <w:rsid w:val="05663F59"/>
    <w:rsid w:val="06734B80"/>
    <w:rsid w:val="06EC66E0"/>
    <w:rsid w:val="07723089"/>
    <w:rsid w:val="07E21FBD"/>
    <w:rsid w:val="07F10452"/>
    <w:rsid w:val="0AD55E09"/>
    <w:rsid w:val="0AF03177"/>
    <w:rsid w:val="0CC779D3"/>
    <w:rsid w:val="0DC6643D"/>
    <w:rsid w:val="0E19425F"/>
    <w:rsid w:val="0E686F94"/>
    <w:rsid w:val="0E7B2823"/>
    <w:rsid w:val="0ECA37AB"/>
    <w:rsid w:val="0ED91C40"/>
    <w:rsid w:val="0F0C5B71"/>
    <w:rsid w:val="0F957915"/>
    <w:rsid w:val="0FF341F8"/>
    <w:rsid w:val="10394744"/>
    <w:rsid w:val="11131439"/>
    <w:rsid w:val="11651569"/>
    <w:rsid w:val="11665A0D"/>
    <w:rsid w:val="11C4600D"/>
    <w:rsid w:val="12380A2C"/>
    <w:rsid w:val="125817BD"/>
    <w:rsid w:val="13B30CB1"/>
    <w:rsid w:val="14DF77BF"/>
    <w:rsid w:val="15262717"/>
    <w:rsid w:val="16E86EC4"/>
    <w:rsid w:val="1706559C"/>
    <w:rsid w:val="17BD3EAD"/>
    <w:rsid w:val="17C0574B"/>
    <w:rsid w:val="183A374F"/>
    <w:rsid w:val="18784278"/>
    <w:rsid w:val="18C66D91"/>
    <w:rsid w:val="19942BEE"/>
    <w:rsid w:val="1A646862"/>
    <w:rsid w:val="1A705206"/>
    <w:rsid w:val="1BBE6445"/>
    <w:rsid w:val="1BF8711E"/>
    <w:rsid w:val="1C5648D0"/>
    <w:rsid w:val="1E672DC4"/>
    <w:rsid w:val="1E6A01BF"/>
    <w:rsid w:val="1E7A2AF8"/>
    <w:rsid w:val="20032679"/>
    <w:rsid w:val="22064A8B"/>
    <w:rsid w:val="22620DBB"/>
    <w:rsid w:val="22C37E78"/>
    <w:rsid w:val="233F60BE"/>
    <w:rsid w:val="236D2C2B"/>
    <w:rsid w:val="238F66BE"/>
    <w:rsid w:val="23D36806"/>
    <w:rsid w:val="24092228"/>
    <w:rsid w:val="24CF3471"/>
    <w:rsid w:val="255045B2"/>
    <w:rsid w:val="25F23B1C"/>
    <w:rsid w:val="265C69B1"/>
    <w:rsid w:val="26C75BEF"/>
    <w:rsid w:val="27003DB6"/>
    <w:rsid w:val="283150CC"/>
    <w:rsid w:val="2C1D4E77"/>
    <w:rsid w:val="2CD31773"/>
    <w:rsid w:val="2CFE66A2"/>
    <w:rsid w:val="2DEA4E78"/>
    <w:rsid w:val="2EBF3B17"/>
    <w:rsid w:val="2EF04710"/>
    <w:rsid w:val="30A32940"/>
    <w:rsid w:val="316638BE"/>
    <w:rsid w:val="32036508"/>
    <w:rsid w:val="32180206"/>
    <w:rsid w:val="330662B0"/>
    <w:rsid w:val="34675474"/>
    <w:rsid w:val="360D3DFA"/>
    <w:rsid w:val="361A195A"/>
    <w:rsid w:val="37702892"/>
    <w:rsid w:val="37ED3EE3"/>
    <w:rsid w:val="380F30C3"/>
    <w:rsid w:val="382316B2"/>
    <w:rsid w:val="38EF77E6"/>
    <w:rsid w:val="39D76BF8"/>
    <w:rsid w:val="3B2C4D22"/>
    <w:rsid w:val="3D2F0AF9"/>
    <w:rsid w:val="3D581DFE"/>
    <w:rsid w:val="3D974D9E"/>
    <w:rsid w:val="3E894239"/>
    <w:rsid w:val="3F422D66"/>
    <w:rsid w:val="3F7722E4"/>
    <w:rsid w:val="40A92971"/>
    <w:rsid w:val="40FB141E"/>
    <w:rsid w:val="4335673E"/>
    <w:rsid w:val="45795008"/>
    <w:rsid w:val="458A4B1F"/>
    <w:rsid w:val="469F45FA"/>
    <w:rsid w:val="47D227AD"/>
    <w:rsid w:val="48382F58"/>
    <w:rsid w:val="489E52A1"/>
    <w:rsid w:val="4AC40AD3"/>
    <w:rsid w:val="4BF278C2"/>
    <w:rsid w:val="4C6267F5"/>
    <w:rsid w:val="4CBE5084"/>
    <w:rsid w:val="4D834215"/>
    <w:rsid w:val="4DB56DF9"/>
    <w:rsid w:val="4E08517B"/>
    <w:rsid w:val="4E6D1482"/>
    <w:rsid w:val="4E872543"/>
    <w:rsid w:val="4FAC5C29"/>
    <w:rsid w:val="508D7BB9"/>
    <w:rsid w:val="50A078D5"/>
    <w:rsid w:val="51B86541"/>
    <w:rsid w:val="529671F9"/>
    <w:rsid w:val="535F3A8F"/>
    <w:rsid w:val="53A72D40"/>
    <w:rsid w:val="55DD513F"/>
    <w:rsid w:val="56310FE7"/>
    <w:rsid w:val="56A65531"/>
    <w:rsid w:val="56B20379"/>
    <w:rsid w:val="56EF0FBC"/>
    <w:rsid w:val="57CC7219"/>
    <w:rsid w:val="57E04A72"/>
    <w:rsid w:val="586438F5"/>
    <w:rsid w:val="58F24A5D"/>
    <w:rsid w:val="591F15CA"/>
    <w:rsid w:val="59803727"/>
    <w:rsid w:val="59DB7BE7"/>
    <w:rsid w:val="5A831147"/>
    <w:rsid w:val="5C877BB2"/>
    <w:rsid w:val="5C9A78E6"/>
    <w:rsid w:val="5D577585"/>
    <w:rsid w:val="5E873E9A"/>
    <w:rsid w:val="5EB97DCB"/>
    <w:rsid w:val="5EDC2437"/>
    <w:rsid w:val="5FA647F3"/>
    <w:rsid w:val="5FBE434E"/>
    <w:rsid w:val="61333E65"/>
    <w:rsid w:val="61CA5F05"/>
    <w:rsid w:val="62B45F2D"/>
    <w:rsid w:val="646031C3"/>
    <w:rsid w:val="655D3BA6"/>
    <w:rsid w:val="65A60A1F"/>
    <w:rsid w:val="663A5C95"/>
    <w:rsid w:val="66990C0E"/>
    <w:rsid w:val="66D41C46"/>
    <w:rsid w:val="68232E85"/>
    <w:rsid w:val="69584DB0"/>
    <w:rsid w:val="69C935B8"/>
    <w:rsid w:val="6A5262C0"/>
    <w:rsid w:val="6E1F70C9"/>
    <w:rsid w:val="6F26561D"/>
    <w:rsid w:val="702754DC"/>
    <w:rsid w:val="71864485"/>
    <w:rsid w:val="71D32182"/>
    <w:rsid w:val="72B86A43"/>
    <w:rsid w:val="734C22D4"/>
    <w:rsid w:val="751F49D4"/>
    <w:rsid w:val="752124FA"/>
    <w:rsid w:val="759233F8"/>
    <w:rsid w:val="76F61765"/>
    <w:rsid w:val="78F61EF0"/>
    <w:rsid w:val="79050385"/>
    <w:rsid w:val="79815763"/>
    <w:rsid w:val="7A2F297F"/>
    <w:rsid w:val="7A910122"/>
    <w:rsid w:val="7AAA4D40"/>
    <w:rsid w:val="7B5B24DE"/>
    <w:rsid w:val="7C466CEA"/>
    <w:rsid w:val="7D2A2168"/>
    <w:rsid w:val="7D824736"/>
    <w:rsid w:val="7DBF3B0B"/>
    <w:rsid w:val="7EB443DF"/>
    <w:rsid w:val="7EF9629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01"/>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Normal (Web)"/>
    <w:basedOn w:val="1"/>
    <w:qFormat/>
    <w:uiPriority w:val="0"/>
    <w:pPr>
      <w:spacing w:beforeAutospacing="1" w:afterAutospacing="1"/>
      <w:jc w:val="left"/>
    </w:pPr>
    <w:rPr>
      <w:sz w:val="24"/>
    </w:rPr>
  </w:style>
  <w:style w:type="paragraph" w:styleId="28">
    <w:name w:val="Title"/>
    <w:basedOn w:val="1"/>
    <w:next w:val="1"/>
    <w:link w:val="45"/>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rPr>
  </w:style>
  <w:style w:type="character" w:styleId="34">
    <w:name w:val="footnote reference"/>
    <w:unhideWhenUsed/>
    <w:qFormat/>
    <w:uiPriority w:val="99"/>
    <w:rPr>
      <w:vertAlign w:val="superscript"/>
    </w:rPr>
  </w:style>
  <w:style w:type="character" w:customStyle="1" w:styleId="35">
    <w:name w:val="Heading 1 Char"/>
    <w:link w:val="2"/>
    <w:qFormat/>
    <w:uiPriority w:val="9"/>
    <w:rPr>
      <w:rFonts w:ascii="Arial" w:hAnsi="Arial" w:eastAsia="Arial" w:cs="Arial"/>
      <w:sz w:val="40"/>
      <w:szCs w:val="40"/>
    </w:rPr>
  </w:style>
  <w:style w:type="character" w:customStyle="1" w:styleId="36">
    <w:name w:val="Heading 2 Char"/>
    <w:link w:val="3"/>
    <w:qFormat/>
    <w:uiPriority w:val="9"/>
    <w:rPr>
      <w:rFonts w:ascii="Arial" w:hAnsi="Arial" w:eastAsia="Arial" w:cs="Arial"/>
      <w:sz w:val="34"/>
    </w:rPr>
  </w:style>
  <w:style w:type="character" w:customStyle="1" w:styleId="37">
    <w:name w:val="Heading 3 Char"/>
    <w:link w:val="4"/>
    <w:qFormat/>
    <w:uiPriority w:val="9"/>
    <w:rPr>
      <w:rFonts w:ascii="Arial" w:hAnsi="Arial" w:eastAsia="Arial" w:cs="Arial"/>
      <w:sz w:val="30"/>
      <w:szCs w:val="30"/>
    </w:rPr>
  </w:style>
  <w:style w:type="character" w:customStyle="1" w:styleId="38">
    <w:name w:val="Heading 4 Char"/>
    <w:link w:val="5"/>
    <w:qFormat/>
    <w:uiPriority w:val="9"/>
    <w:rPr>
      <w:rFonts w:ascii="Arial" w:hAnsi="Arial" w:eastAsia="Arial" w:cs="Arial"/>
      <w:b/>
      <w:bCs/>
      <w:sz w:val="26"/>
      <w:szCs w:val="26"/>
    </w:rPr>
  </w:style>
  <w:style w:type="character" w:customStyle="1" w:styleId="39">
    <w:name w:val="Heading 5 Char"/>
    <w:link w:val="6"/>
    <w:qFormat/>
    <w:uiPriority w:val="9"/>
    <w:rPr>
      <w:rFonts w:ascii="Arial" w:hAnsi="Arial" w:eastAsia="Arial" w:cs="Arial"/>
      <w:b/>
      <w:bCs/>
      <w:sz w:val="24"/>
      <w:szCs w:val="24"/>
    </w:rPr>
  </w:style>
  <w:style w:type="character" w:customStyle="1" w:styleId="40">
    <w:name w:val="Heading 6 Char"/>
    <w:link w:val="7"/>
    <w:qFormat/>
    <w:uiPriority w:val="9"/>
    <w:rPr>
      <w:rFonts w:ascii="Arial" w:hAnsi="Arial" w:eastAsia="Arial" w:cs="Arial"/>
      <w:b/>
      <w:bCs/>
      <w:sz w:val="22"/>
      <w:szCs w:val="22"/>
    </w:rPr>
  </w:style>
  <w:style w:type="character" w:customStyle="1" w:styleId="41">
    <w:name w:val="Heading 7 Char"/>
    <w:link w:val="8"/>
    <w:qFormat/>
    <w:uiPriority w:val="9"/>
    <w:rPr>
      <w:rFonts w:ascii="Arial" w:hAnsi="Arial" w:eastAsia="Arial" w:cs="Arial"/>
      <w:b/>
      <w:bCs/>
      <w:i/>
      <w:iCs/>
      <w:sz w:val="22"/>
      <w:szCs w:val="22"/>
    </w:rPr>
  </w:style>
  <w:style w:type="character" w:customStyle="1" w:styleId="42">
    <w:name w:val="Heading 8 Char"/>
    <w:link w:val="9"/>
    <w:qFormat/>
    <w:uiPriority w:val="9"/>
    <w:rPr>
      <w:rFonts w:ascii="Arial" w:hAnsi="Arial" w:eastAsia="Arial" w:cs="Arial"/>
      <w:i/>
      <w:iCs/>
      <w:sz w:val="22"/>
      <w:szCs w:val="22"/>
    </w:rPr>
  </w:style>
  <w:style w:type="character" w:customStyle="1" w:styleId="43">
    <w:name w:val="Heading 9 Char"/>
    <w:link w:val="10"/>
    <w:qFormat/>
    <w:uiPriority w:val="9"/>
    <w:rPr>
      <w:rFonts w:ascii="Arial" w:hAnsi="Arial" w:eastAsia="Arial" w:cs="Arial"/>
      <w:i/>
      <w:iCs/>
      <w:sz w:val="21"/>
      <w:szCs w:val="21"/>
    </w:r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8"/>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character" w:customStyle="1" w:styleId="182">
    <w:name w:val="默认段落字体1"/>
    <w:link w:val="1"/>
    <w:semiHidden/>
    <w:qFormat/>
    <w:uiPriority w:val="0"/>
  </w:style>
  <w:style w:type="table" w:customStyle="1" w:styleId="183">
    <w:name w:val="普通表格1"/>
    <w:semiHidden/>
    <w:qFormat/>
    <w:uiPriority w:val="0"/>
  </w:style>
  <w:style w:type="paragraph" w:customStyle="1" w:styleId="184">
    <w:name w:val="批注文字11"/>
    <w:basedOn w:val="1"/>
    <w:qFormat/>
    <w:uiPriority w:val="0"/>
    <w:pPr>
      <w:jc w:val="left"/>
    </w:pPr>
  </w:style>
  <w:style w:type="paragraph" w:customStyle="1" w:styleId="185">
    <w:name w:val="正文文本1"/>
    <w:basedOn w:val="1"/>
    <w:qFormat/>
    <w:uiPriority w:val="99"/>
    <w:rPr>
      <w:rFonts w:ascii="楷体" w:hAnsi="Arial" w:eastAsia="楷体"/>
      <w:sz w:val="28"/>
      <w:szCs w:val="28"/>
    </w:rPr>
  </w:style>
  <w:style w:type="paragraph" w:customStyle="1" w:styleId="186">
    <w:name w:val="文本块11"/>
    <w:basedOn w:val="1"/>
    <w:qFormat/>
    <w:uiPriority w:val="99"/>
    <w:pPr>
      <w:ind w:left="560" w:right="-512"/>
    </w:pPr>
    <w:rPr>
      <w:rFonts w:ascii="幼圆" w:eastAsia="幼圆" w:cs="Garamond"/>
      <w:sz w:val="24"/>
      <w:szCs w:val="21"/>
    </w:rPr>
  </w:style>
  <w:style w:type="paragraph" w:customStyle="1" w:styleId="187">
    <w:name w:val="页脚12"/>
    <w:basedOn w:val="1"/>
    <w:unhideWhenUsed/>
    <w:qFormat/>
    <w:uiPriority w:val="0"/>
    <w:pPr>
      <w:tabs>
        <w:tab w:val="center" w:pos="4153"/>
        <w:tab w:val="right" w:pos="8306"/>
      </w:tabs>
      <w:jc w:val="left"/>
    </w:pPr>
    <w:rPr>
      <w:sz w:val="18"/>
      <w:szCs w:val="18"/>
    </w:rPr>
  </w:style>
  <w:style w:type="paragraph" w:customStyle="1" w:styleId="188">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sz w:val="18"/>
    </w:rPr>
  </w:style>
  <w:style w:type="paragraph" w:customStyle="1" w:styleId="189">
    <w:name w:val="普通(网站)12"/>
    <w:basedOn w:val="1"/>
    <w:qFormat/>
    <w:uiPriority w:val="0"/>
    <w:pPr>
      <w:spacing w:beforeAutospacing="1" w:afterAutospacing="1"/>
      <w:jc w:val="left"/>
    </w:pPr>
    <w:rPr>
      <w:sz w:val="24"/>
    </w:rPr>
  </w:style>
  <w:style w:type="table" w:customStyle="1" w:styleId="190">
    <w:name w:val="网格型1"/>
    <w:qFormat/>
    <w:uiPriority w:val="59"/>
  </w:style>
  <w:style w:type="paragraph" w:customStyle="1" w:styleId="191">
    <w:name w:val="文本块1"/>
    <w:basedOn w:val="1"/>
    <w:qFormat/>
    <w:uiPriority w:val="99"/>
    <w:pPr>
      <w:tabs>
        <w:tab w:val="left" w:pos="9000"/>
      </w:tabs>
      <w:spacing w:after="120"/>
      <w:ind w:left="1440" w:right="1440"/>
    </w:pPr>
  </w:style>
  <w:style w:type="paragraph" w:customStyle="1" w:styleId="192">
    <w:name w:val="普通正文"/>
    <w:basedOn w:val="1"/>
    <w:qFormat/>
    <w:uiPriority w:val="0"/>
    <w:pPr>
      <w:spacing w:before="120" w:after="120" w:line="360" w:lineRule="auto"/>
      <w:ind w:firstLine="480"/>
      <w:jc w:val="left"/>
    </w:pPr>
    <w:rPr>
      <w:rFonts w:ascii="Arial" w:hAnsi="Arial"/>
      <w:sz w:val="24"/>
    </w:rPr>
  </w:style>
  <w:style w:type="paragraph" w:customStyle="1" w:styleId="193">
    <w:name w:val="日期1"/>
    <w:basedOn w:val="1"/>
    <w:next w:val="1"/>
    <w:qFormat/>
    <w:uiPriority w:val="0"/>
    <w:rPr>
      <w:sz w:val="24"/>
      <w:szCs w:val="20"/>
    </w:rPr>
  </w:style>
  <w:style w:type="paragraph" w:customStyle="1" w:styleId="194">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195">
    <w:name w:val="批注文字1"/>
    <w:basedOn w:val="1"/>
    <w:qFormat/>
    <w:uiPriority w:val="0"/>
    <w:pPr>
      <w:jc w:val="left"/>
    </w:pPr>
    <w:rPr>
      <w:rFonts w:ascii="Calibri" w:hAnsi="Calibri"/>
      <w:szCs w:val="22"/>
    </w:rPr>
  </w:style>
  <w:style w:type="paragraph" w:customStyle="1" w:styleId="196">
    <w:name w:val="Char Char Char Char Char Char Char Char"/>
    <w:basedOn w:val="1"/>
    <w:qFormat/>
    <w:uiPriority w:val="0"/>
    <w:pPr>
      <w:widowControl/>
      <w:spacing w:after="160" w:line="240" w:lineRule="exact"/>
      <w:ind w:firstLine="420"/>
      <w:jc w:val="left"/>
    </w:pPr>
    <w:rPr>
      <w:rFonts w:ascii="Verdana" w:hAnsi="Verdana"/>
      <w:color w:val="000000"/>
      <w:sz w:val="20"/>
      <w:szCs w:val="20"/>
      <w:lang w:eastAsia="en-US"/>
    </w:rPr>
  </w:style>
  <w:style w:type="paragraph" w:customStyle="1" w:styleId="197">
    <w:name w:val="标题 1121"/>
    <w:basedOn w:val="1"/>
    <w:next w:val="1"/>
    <w:qFormat/>
    <w:uiPriority w:val="0"/>
    <w:pPr>
      <w:keepNext/>
      <w:jc w:val="center"/>
      <w:outlineLvl w:val="0"/>
    </w:pPr>
    <w:rPr>
      <w:rFonts w:ascii="楷体" w:eastAsia="楷体"/>
      <w:sz w:val="28"/>
      <w:szCs w:val="28"/>
    </w:rPr>
  </w:style>
  <w:style w:type="paragraph" w:customStyle="1" w:styleId="198">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199">
    <w:name w:val="页眉1111"/>
    <w:basedOn w:val="1"/>
    <w:qFormat/>
    <w:uiPriority w:val="0"/>
    <w:pPr>
      <w:pBdr>
        <w:bottom w:val="single" w:color="000000" w:sz="6" w:space="1"/>
      </w:pBdr>
      <w:tabs>
        <w:tab w:val="center" w:pos="4153"/>
        <w:tab w:val="right" w:pos="8306"/>
      </w:tabs>
      <w:jc w:val="center"/>
    </w:pPr>
    <w:rPr>
      <w:sz w:val="18"/>
      <w:szCs w:val="18"/>
    </w:rPr>
  </w:style>
  <w:style w:type="paragraph" w:customStyle="1" w:styleId="200">
    <w:name w:val="页脚11"/>
    <w:basedOn w:val="1"/>
    <w:qFormat/>
    <w:uiPriority w:val="0"/>
    <w:pPr>
      <w:tabs>
        <w:tab w:val="center" w:pos="4153"/>
        <w:tab w:val="right" w:pos="8306"/>
      </w:tabs>
      <w:jc w:val="left"/>
    </w:pPr>
    <w:rPr>
      <w:sz w:val="18"/>
      <w:szCs w:val="20"/>
    </w:rPr>
  </w:style>
  <w:style w:type="character" w:customStyle="1" w:styleId="201">
    <w:name w:val="页码11"/>
    <w:link w:val="1"/>
    <w:qFormat/>
    <w:uiPriority w:val="0"/>
  </w:style>
  <w:style w:type="paragraph" w:customStyle="1" w:styleId="202">
    <w:name w:val="页脚1"/>
    <w:basedOn w:val="1"/>
    <w:qFormat/>
    <w:uiPriority w:val="0"/>
    <w:pPr>
      <w:tabs>
        <w:tab w:val="center" w:pos="4153"/>
        <w:tab w:val="right" w:pos="8306"/>
      </w:tabs>
      <w:jc w:val="left"/>
    </w:pPr>
    <w:rPr>
      <w:sz w:val="18"/>
      <w:szCs w:val="18"/>
    </w:rPr>
  </w:style>
  <w:style w:type="paragraph" w:customStyle="1" w:styleId="203">
    <w:name w:val="Footer1"/>
    <w:basedOn w:val="1"/>
    <w:qFormat/>
    <w:uiPriority w:val="0"/>
    <w:pPr>
      <w:tabs>
        <w:tab w:val="center" w:pos="7143"/>
        <w:tab w:val="right" w:pos="14287"/>
      </w:tabs>
    </w:pPr>
  </w:style>
  <w:style w:type="paragraph" w:styleId="204">
    <w:name w:val="List Paragraph"/>
    <w:basedOn w:val="1"/>
    <w:unhideWhenUsed/>
    <w:qFormat/>
    <w:uiPriority w:val="99"/>
    <w:pPr>
      <w:ind w:firstLine="420"/>
    </w:pPr>
  </w:style>
  <w:style w:type="paragraph" w:customStyle="1" w:styleId="205">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68</Pages>
  <Words>8318</Words>
  <Characters>8944</Characters>
  <TotalTime>21</TotalTime>
  <ScaleCrop>false</ScaleCrop>
  <LinksUpToDate>false</LinksUpToDate>
  <CharactersWithSpaces>9038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2022-08-21T09:23:00Z</dcterms:created>
  <dc:creator>Adminis</dc:creator>
  <cp:lastModifiedBy>王金娣</cp:lastModifiedBy>
  <cp:lastPrinted>2026-08-03T03:27:00Z</cp:lastPrinted>
  <dcterms:modified xsi:type="dcterms:W3CDTF">2026-08-12T09:18:05Z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eyJoZGlkIjoiNjQ4MWRkNTA2ODc3MDJlOWQ3ZWU4NWRlYzg5ZDNjZDUiLCJ1c2VySWQiOiIyNDcxODM3MDUifQ==</vt:lpwstr>
  </property>
  <property fmtid="{D5CDD505-2E9C-101B-9397-08002B2CF9AE}" pid="3" name="KSOProductBuildVer">
    <vt:lpwstr>2052-12.1.0.28043</vt:lpwstr>
  </property>
  <property fmtid="{D5CDD505-2E9C-101B-9397-08002B2CF9AE}" pid="4" name="ICV">
    <vt:lpwstr>E49467551F894054B6157CDBB01883A9_12</vt:lpwstr>
  </property>
</Properties>
</file>