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3D11C5">
      <w:pPr>
        <w:pStyle w:val="34"/>
        <w:spacing w:before="120" w:beforeAutospacing="0" w:after="120" w:afterAutospacing="0" w:line="360" w:lineRule="auto"/>
        <w:rPr>
          <w:rFonts w:hint="eastAsia" w:eastAsiaTheme="minorEastAsia"/>
          <w:color w:val="auto"/>
          <w:lang w:eastAsia="zh-CN"/>
        </w:rPr>
      </w:pPr>
    </w:p>
    <w:p w14:paraId="64C6880D">
      <w:pPr>
        <w:pStyle w:val="34"/>
        <w:spacing w:before="120" w:beforeAutospacing="0" w:after="120" w:afterAutospacing="0" w:line="360" w:lineRule="auto"/>
        <w:jc w:val="center"/>
        <w:rPr>
          <w:color w:val="auto"/>
        </w:rPr>
      </w:pPr>
      <w:r>
        <w:rPr>
          <w:rFonts w:ascii="Arial" w:hAnsi="Arial" w:cs="Arial"/>
          <w:b/>
          <w:color w:val="auto"/>
          <w:sz w:val="84"/>
          <w:szCs w:val="84"/>
        </w:rPr>
        <w:t>招 标 文 件</w:t>
      </w:r>
    </w:p>
    <w:p w14:paraId="2E4B3DE7">
      <w:pPr>
        <w:pStyle w:val="34"/>
        <w:spacing w:before="120" w:beforeAutospacing="0" w:after="120" w:afterAutospacing="0" w:line="360" w:lineRule="auto"/>
        <w:ind w:hanging="284"/>
        <w:rPr>
          <w:rFonts w:ascii="Arial" w:hAnsi="Arial" w:cs="Arial"/>
          <w:b/>
          <w:color w:val="auto"/>
          <w:sz w:val="32"/>
          <w:szCs w:val="32"/>
        </w:rPr>
      </w:pPr>
    </w:p>
    <w:p w14:paraId="06598FA8">
      <w:pPr>
        <w:pStyle w:val="34"/>
        <w:spacing w:before="120" w:beforeAutospacing="0" w:after="120" w:afterAutospacing="0" w:line="360" w:lineRule="auto"/>
        <w:jc w:val="left"/>
        <w:rPr>
          <w:rFonts w:hint="eastAsia" w:ascii="Arial" w:hAnsi="Arial" w:cs="Arial"/>
          <w:b/>
          <w:color w:val="auto"/>
          <w:sz w:val="32"/>
          <w:szCs w:val="32"/>
          <w:lang w:eastAsia="zh-CN"/>
        </w:rPr>
      </w:pPr>
      <w:r>
        <w:rPr>
          <w:rFonts w:hint="eastAsia" w:ascii="Arial" w:hAnsi="Arial" w:cs="Arial"/>
          <w:b/>
          <w:color w:val="auto"/>
          <w:sz w:val="32"/>
          <w:szCs w:val="32"/>
        </w:rPr>
        <w:t>项目名称：</w:t>
      </w:r>
      <w:r>
        <w:rPr>
          <w:rFonts w:hint="eastAsia" w:ascii="Arial" w:hAnsi="Arial" w:cs="Arial"/>
          <w:b/>
          <w:color w:val="auto"/>
          <w:sz w:val="32"/>
          <w:szCs w:val="32"/>
          <w:lang w:eastAsia="zh-CN"/>
        </w:rPr>
        <w:t>江苏省盐城技师学院药品生产技术专业(化工仪表及自动化方向)教学设备添置采购项目、交通工程学院智慧物流实训中心采购项目</w:t>
      </w:r>
    </w:p>
    <w:p w14:paraId="72FF6F92">
      <w:pPr>
        <w:pStyle w:val="34"/>
        <w:spacing w:before="120" w:beforeAutospacing="0" w:after="120" w:afterAutospacing="0" w:line="360" w:lineRule="auto"/>
        <w:ind w:firstLine="709"/>
        <w:jc w:val="both"/>
        <w:rPr>
          <w:color w:val="auto"/>
        </w:rPr>
      </w:pPr>
      <w:r>
        <w:rPr>
          <w:rFonts w:ascii="Arial" w:hAnsi="Arial" w:cs="Arial"/>
          <w:b/>
          <w:color w:val="auto"/>
          <w:sz w:val="32"/>
          <w:szCs w:val="32"/>
        </w:rPr>
        <w:t>项目编号：</w:t>
      </w:r>
      <w:r>
        <w:rPr>
          <w:rFonts w:hint="eastAsia" w:ascii="Arial" w:hAnsi="Arial" w:cs="Arial"/>
          <w:b/>
          <w:color w:val="auto"/>
          <w:sz w:val="32"/>
          <w:szCs w:val="32"/>
        </w:rPr>
        <w:t>JSZC-320900-DNGC-G2026-0007</w:t>
      </w:r>
    </w:p>
    <w:p w14:paraId="1F9E94E3">
      <w:pPr>
        <w:pStyle w:val="34"/>
        <w:spacing w:beforeAutospacing="0" w:afterAutospacing="0" w:line="360" w:lineRule="auto"/>
        <w:rPr>
          <w:rFonts w:hint="eastAsia" w:eastAsiaTheme="minorEastAsia"/>
          <w:color w:val="auto"/>
          <w:lang w:eastAsia="zh-CN"/>
        </w:rPr>
      </w:pPr>
    </w:p>
    <w:p w14:paraId="44208D5E">
      <w:pPr>
        <w:pStyle w:val="34"/>
        <w:spacing w:beforeAutospacing="0" w:afterAutospacing="0" w:line="360" w:lineRule="auto"/>
        <w:rPr>
          <w:rFonts w:hint="eastAsia" w:eastAsiaTheme="minorEastAsia"/>
          <w:color w:val="auto"/>
          <w:lang w:eastAsia="zh-CN"/>
        </w:rPr>
      </w:pPr>
    </w:p>
    <w:p w14:paraId="52C6DEA8">
      <w:pPr>
        <w:pStyle w:val="34"/>
        <w:spacing w:beforeAutospacing="0" w:afterAutospacing="0" w:line="360" w:lineRule="auto"/>
        <w:rPr>
          <w:rFonts w:hint="eastAsia" w:eastAsiaTheme="minorEastAsia"/>
          <w:color w:val="auto"/>
          <w:lang w:eastAsia="zh-CN"/>
        </w:rPr>
      </w:pPr>
    </w:p>
    <w:p w14:paraId="65EDEF1E">
      <w:pPr>
        <w:pStyle w:val="34"/>
        <w:spacing w:beforeAutospacing="0" w:afterAutospacing="0" w:line="360" w:lineRule="auto"/>
        <w:rPr>
          <w:color w:val="auto"/>
        </w:rPr>
      </w:pPr>
    </w:p>
    <w:p w14:paraId="21096E02">
      <w:pPr>
        <w:pStyle w:val="34"/>
        <w:spacing w:beforeAutospacing="0" w:afterAutospacing="0" w:line="360" w:lineRule="auto"/>
        <w:rPr>
          <w:color w:val="auto"/>
        </w:rPr>
      </w:pPr>
    </w:p>
    <w:p w14:paraId="2841FC55">
      <w:pPr>
        <w:pStyle w:val="34"/>
        <w:spacing w:beforeAutospacing="0" w:afterAutospacing="0" w:line="360" w:lineRule="auto"/>
        <w:rPr>
          <w:color w:val="auto"/>
        </w:rPr>
      </w:pPr>
    </w:p>
    <w:p w14:paraId="632FC424">
      <w:pPr>
        <w:pStyle w:val="34"/>
        <w:spacing w:beforeAutospacing="0" w:afterAutospacing="0" w:line="360" w:lineRule="auto"/>
        <w:rPr>
          <w:color w:val="auto"/>
        </w:rPr>
      </w:pPr>
    </w:p>
    <w:p w14:paraId="241E98C2">
      <w:pPr>
        <w:pStyle w:val="34"/>
        <w:spacing w:beforeAutospacing="0" w:afterAutospacing="0" w:line="360" w:lineRule="auto"/>
        <w:rPr>
          <w:color w:val="auto"/>
        </w:rPr>
      </w:pPr>
    </w:p>
    <w:p w14:paraId="27641177">
      <w:pPr>
        <w:pStyle w:val="34"/>
        <w:spacing w:beforeAutospacing="0" w:afterAutospacing="0" w:line="360" w:lineRule="auto"/>
        <w:rPr>
          <w:rFonts w:hint="eastAsia" w:eastAsiaTheme="minorEastAsia"/>
          <w:color w:val="auto"/>
          <w:lang w:eastAsia="zh-CN"/>
        </w:rPr>
      </w:pPr>
    </w:p>
    <w:p w14:paraId="663F917C">
      <w:pPr>
        <w:pStyle w:val="34"/>
        <w:spacing w:beforeAutospacing="0" w:afterAutospacing="0" w:line="360" w:lineRule="auto"/>
        <w:rPr>
          <w:rFonts w:hint="eastAsia" w:eastAsiaTheme="minorEastAsia"/>
          <w:color w:val="auto"/>
          <w:lang w:eastAsia="zh-CN"/>
        </w:rPr>
      </w:pPr>
    </w:p>
    <w:p w14:paraId="2804BC35">
      <w:pPr>
        <w:pStyle w:val="34"/>
        <w:spacing w:beforeAutospacing="0" w:afterAutospacing="0" w:line="360" w:lineRule="auto"/>
        <w:rPr>
          <w:rFonts w:hint="eastAsia" w:eastAsiaTheme="minorEastAsia"/>
          <w:color w:val="auto"/>
          <w:lang w:eastAsia="zh-CN"/>
        </w:rPr>
      </w:pPr>
    </w:p>
    <w:p w14:paraId="7EF7ABA8">
      <w:pPr>
        <w:pStyle w:val="34"/>
        <w:spacing w:beforeAutospacing="0" w:afterAutospacing="0" w:line="360" w:lineRule="auto"/>
        <w:rPr>
          <w:rFonts w:hint="eastAsia" w:eastAsiaTheme="minorEastAsia"/>
          <w:color w:val="auto"/>
          <w:lang w:eastAsia="zh-CN"/>
        </w:rPr>
      </w:pPr>
    </w:p>
    <w:p w14:paraId="23881B68">
      <w:pPr>
        <w:pStyle w:val="34"/>
        <w:spacing w:before="120" w:beforeAutospacing="0" w:after="120" w:afterAutospacing="0" w:line="360" w:lineRule="auto"/>
        <w:jc w:val="center"/>
        <w:rPr>
          <w:rFonts w:ascii="Arial" w:hAnsi="Arial" w:cs="Arial"/>
          <w:b/>
          <w:color w:val="auto"/>
          <w:sz w:val="32"/>
          <w:szCs w:val="32"/>
        </w:rPr>
      </w:pPr>
      <w:r>
        <w:rPr>
          <w:rFonts w:hint="eastAsia" w:ascii="Arial" w:hAnsi="Arial" w:cs="Arial"/>
          <w:b/>
          <w:color w:val="auto"/>
          <w:sz w:val="32"/>
          <w:szCs w:val="32"/>
        </w:rPr>
        <w:t>江苏省盐城技师学院</w:t>
      </w:r>
    </w:p>
    <w:p w14:paraId="2CEF37FD">
      <w:pPr>
        <w:pStyle w:val="34"/>
        <w:spacing w:before="120" w:beforeAutospacing="0" w:after="120" w:afterAutospacing="0" w:line="360" w:lineRule="auto"/>
        <w:jc w:val="center"/>
        <w:rPr>
          <w:color w:val="auto"/>
        </w:rPr>
      </w:pPr>
      <w:r>
        <w:rPr>
          <w:rFonts w:ascii="Arial" w:hAnsi="Arial" w:cs="Arial"/>
          <w:b/>
          <w:color w:val="auto"/>
          <w:sz w:val="32"/>
          <w:szCs w:val="32"/>
        </w:rPr>
        <w:t>2026年</w:t>
      </w:r>
      <w:r>
        <w:rPr>
          <w:rFonts w:hint="eastAsia" w:ascii="Arial" w:hAnsi="Arial" w:cs="Arial"/>
          <w:b/>
          <w:color w:val="auto"/>
          <w:sz w:val="32"/>
          <w:szCs w:val="32"/>
          <w:lang w:val="en-US" w:eastAsia="zh-CN"/>
        </w:rPr>
        <w:t>8</w:t>
      </w:r>
      <w:r>
        <w:rPr>
          <w:rFonts w:ascii="Arial" w:hAnsi="Arial" w:cs="Arial"/>
          <w:b/>
          <w:color w:val="auto"/>
          <w:sz w:val="32"/>
          <w:szCs w:val="32"/>
        </w:rPr>
        <w:t>月</w:t>
      </w:r>
    </w:p>
    <w:p w14:paraId="2A6069F8">
      <w:pPr>
        <w:pStyle w:val="34"/>
        <w:spacing w:before="120" w:beforeAutospacing="0" w:after="120" w:afterAutospacing="0" w:line="360" w:lineRule="auto"/>
        <w:jc w:val="center"/>
        <w:rPr>
          <w:color w:val="auto"/>
        </w:rPr>
      </w:pPr>
      <w:r>
        <w:rPr>
          <w:rFonts w:ascii="Times New Roman" w:hAnsi="Times New Roman"/>
          <w:color w:val="auto"/>
          <w:sz w:val="21"/>
          <w:szCs w:val="21"/>
        </w:rPr>
        <w:br w:type="page" w:clear="all"/>
      </w:r>
    </w:p>
    <w:p w14:paraId="2F41295E">
      <w:pPr>
        <w:pStyle w:val="34"/>
        <w:spacing w:beforeAutospacing="0" w:afterAutospacing="0"/>
        <w:jc w:val="both"/>
        <w:rPr>
          <w:color w:val="auto"/>
        </w:rPr>
      </w:pPr>
    </w:p>
    <w:sdt>
      <w:sdtPr>
        <w:rPr>
          <w:rFonts w:ascii="黑体" w:hAnsi="黑体" w:eastAsia="黑体" w:cstheme="minorBidi"/>
          <w:color w:val="auto"/>
          <w:sz w:val="44"/>
          <w:szCs w:val="44"/>
          <w:lang w:val="zh-CN"/>
        </w:rPr>
        <w:id w:val="-593088384"/>
        <w:docPartObj>
          <w:docPartGallery w:val="Table of Contents"/>
          <w:docPartUnique/>
        </w:docPartObj>
      </w:sdtPr>
      <w:sdtEndPr>
        <w:rPr>
          <w:rFonts w:ascii="黑体" w:hAnsi="黑体" w:eastAsia="黑体" w:cstheme="minorBidi"/>
          <w:color w:val="auto"/>
          <w:sz w:val="44"/>
          <w:szCs w:val="44"/>
          <w:lang w:val="zh-CN"/>
        </w:rPr>
      </w:sdtEndPr>
      <w:sdtContent>
        <w:p w14:paraId="45356B0C">
          <w:pPr>
            <w:pStyle w:val="206"/>
            <w:jc w:val="center"/>
            <w:rPr>
              <w:rFonts w:ascii="黑体" w:hAnsi="黑体" w:eastAsia="黑体"/>
              <w:color w:val="auto"/>
              <w:sz w:val="44"/>
              <w:szCs w:val="44"/>
              <w:lang w:val="zh-CN"/>
            </w:rPr>
          </w:pPr>
          <w:r>
            <w:rPr>
              <w:rFonts w:hint="eastAsia" w:ascii="黑体" w:hAnsi="黑体" w:eastAsia="黑体"/>
              <w:color w:val="auto"/>
              <w:sz w:val="44"/>
              <w:szCs w:val="44"/>
              <w:lang w:val="zh-CN"/>
            </w:rPr>
            <w:t xml:space="preserve">总 </w:t>
          </w:r>
          <w:r>
            <w:rPr>
              <w:rFonts w:ascii="黑体" w:hAnsi="黑体" w:eastAsia="黑体"/>
              <w:color w:val="auto"/>
              <w:sz w:val="44"/>
              <w:szCs w:val="44"/>
              <w:lang w:val="zh-CN"/>
            </w:rPr>
            <w:t>目</w:t>
          </w:r>
          <w:r>
            <w:rPr>
              <w:rFonts w:hint="eastAsia" w:ascii="黑体" w:hAnsi="黑体" w:eastAsia="黑体"/>
              <w:color w:val="auto"/>
              <w:sz w:val="44"/>
              <w:szCs w:val="44"/>
              <w:lang w:val="zh-CN"/>
            </w:rPr>
            <w:t xml:space="preserve"> </w:t>
          </w:r>
          <w:r>
            <w:rPr>
              <w:rFonts w:ascii="黑体" w:hAnsi="黑体" w:eastAsia="黑体"/>
              <w:color w:val="auto"/>
              <w:sz w:val="44"/>
              <w:szCs w:val="44"/>
              <w:lang w:val="zh-CN"/>
            </w:rPr>
            <w:t>录</w:t>
          </w:r>
          <w:r>
            <w:rPr>
              <w:rFonts w:hint="eastAsia" w:ascii="黑体" w:hAnsi="黑体" w:eastAsia="黑体"/>
              <w:color w:val="auto"/>
              <w:sz w:val="44"/>
              <w:szCs w:val="44"/>
              <w:lang w:val="zh-CN"/>
            </w:rPr>
            <w:t xml:space="preserve"> </w:t>
          </w:r>
        </w:p>
        <w:p w14:paraId="75DE1DEB">
          <w:pPr>
            <w:pStyle w:val="26"/>
            <w:tabs>
              <w:tab w:val="right" w:leader="dot" w:pos="8296"/>
            </w:tabs>
            <w:rPr>
              <w:rFonts w:ascii="黑体" w:hAnsi="黑体" w:eastAsia="黑体" w:cstheme="minorBidi"/>
              <w:color w:val="auto"/>
              <w:sz w:val="32"/>
              <w:szCs w:val="32"/>
            </w:rPr>
          </w:pPr>
          <w:r>
            <w:rPr>
              <w:rFonts w:ascii="黑体" w:hAnsi="黑体" w:eastAsia="黑体"/>
              <w:color w:val="auto"/>
              <w:sz w:val="32"/>
              <w:szCs w:val="32"/>
            </w:rPr>
            <w:fldChar w:fldCharType="begin"/>
          </w:r>
          <w:r>
            <w:rPr>
              <w:rFonts w:ascii="黑体" w:hAnsi="黑体" w:eastAsia="黑体"/>
              <w:color w:val="auto"/>
              <w:sz w:val="32"/>
              <w:szCs w:val="32"/>
            </w:rPr>
            <w:instrText xml:space="preserve"> TOC \o "1-3" \h \z \u </w:instrText>
          </w:r>
          <w:r>
            <w:rPr>
              <w:rFonts w:ascii="黑体" w:hAnsi="黑体" w:eastAsia="黑体"/>
              <w:color w:val="auto"/>
              <w:sz w:val="32"/>
              <w:szCs w:val="32"/>
            </w:rPr>
            <w:fldChar w:fldCharType="separate"/>
          </w:r>
          <w:r>
            <w:rPr>
              <w:color w:val="auto"/>
            </w:rPr>
            <w:fldChar w:fldCharType="begin"/>
          </w:r>
          <w:r>
            <w:rPr>
              <w:color w:val="auto"/>
            </w:rPr>
            <w:instrText xml:space="preserve"> HYPERLINK \l "_Toc234256913" </w:instrText>
          </w:r>
          <w:r>
            <w:rPr>
              <w:color w:val="auto"/>
            </w:rPr>
            <w:fldChar w:fldCharType="separate"/>
          </w:r>
          <w:r>
            <w:rPr>
              <w:rStyle w:val="46"/>
              <w:rFonts w:ascii="黑体" w:hAnsi="黑体" w:eastAsia="黑体"/>
              <w:color w:val="auto"/>
              <w:sz w:val="32"/>
              <w:szCs w:val="32"/>
            </w:rPr>
            <w:t>第一章招标公告</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_Toc234256913 \h </w:instrText>
          </w:r>
          <w:r>
            <w:rPr>
              <w:rFonts w:ascii="黑体" w:hAnsi="黑体" w:eastAsia="黑体"/>
              <w:color w:val="auto"/>
              <w:sz w:val="32"/>
              <w:szCs w:val="32"/>
            </w:rPr>
            <w:fldChar w:fldCharType="separate"/>
          </w:r>
          <w:r>
            <w:rPr>
              <w:rFonts w:ascii="黑体" w:hAnsi="黑体" w:eastAsia="黑体"/>
              <w:color w:val="auto"/>
              <w:sz w:val="32"/>
              <w:szCs w:val="32"/>
            </w:rPr>
            <w:t>3</w:t>
          </w:r>
          <w:r>
            <w:rPr>
              <w:rFonts w:ascii="黑体" w:hAnsi="黑体" w:eastAsia="黑体"/>
              <w:color w:val="auto"/>
              <w:sz w:val="32"/>
              <w:szCs w:val="32"/>
            </w:rPr>
            <w:fldChar w:fldCharType="end"/>
          </w:r>
          <w:r>
            <w:rPr>
              <w:rFonts w:ascii="黑体" w:hAnsi="黑体" w:eastAsia="黑体"/>
              <w:color w:val="auto"/>
              <w:sz w:val="32"/>
              <w:szCs w:val="32"/>
            </w:rPr>
            <w:fldChar w:fldCharType="end"/>
          </w:r>
        </w:p>
        <w:p w14:paraId="18095916">
          <w:pPr>
            <w:pStyle w:val="26"/>
            <w:tabs>
              <w:tab w:val="right" w:leader="dot" w:pos="8296"/>
            </w:tabs>
            <w:rPr>
              <w:rFonts w:ascii="黑体" w:hAnsi="黑体" w:eastAsia="黑体" w:cstheme="minorBidi"/>
              <w:color w:val="auto"/>
              <w:sz w:val="32"/>
              <w:szCs w:val="32"/>
            </w:rPr>
          </w:pPr>
          <w:r>
            <w:rPr>
              <w:color w:val="auto"/>
            </w:rPr>
            <w:fldChar w:fldCharType="begin"/>
          </w:r>
          <w:r>
            <w:rPr>
              <w:color w:val="auto"/>
            </w:rPr>
            <w:instrText xml:space="preserve"> HYPERLINK \l "_Toc234256914" </w:instrText>
          </w:r>
          <w:r>
            <w:rPr>
              <w:color w:val="auto"/>
            </w:rPr>
            <w:fldChar w:fldCharType="separate"/>
          </w:r>
          <w:r>
            <w:rPr>
              <w:rStyle w:val="46"/>
              <w:rFonts w:ascii="黑体" w:hAnsi="黑体" w:eastAsia="黑体"/>
              <w:color w:val="auto"/>
              <w:sz w:val="32"/>
              <w:szCs w:val="32"/>
            </w:rPr>
            <w:t>第二章 投标人须知</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_Toc234256914 \h </w:instrText>
          </w:r>
          <w:r>
            <w:rPr>
              <w:rFonts w:ascii="黑体" w:hAnsi="黑体" w:eastAsia="黑体"/>
              <w:color w:val="auto"/>
              <w:sz w:val="32"/>
              <w:szCs w:val="32"/>
            </w:rPr>
            <w:fldChar w:fldCharType="separate"/>
          </w:r>
          <w:r>
            <w:rPr>
              <w:rFonts w:ascii="黑体" w:hAnsi="黑体" w:eastAsia="黑体"/>
              <w:color w:val="auto"/>
              <w:sz w:val="32"/>
              <w:szCs w:val="32"/>
            </w:rPr>
            <w:t>7</w:t>
          </w:r>
          <w:r>
            <w:rPr>
              <w:rFonts w:ascii="黑体" w:hAnsi="黑体" w:eastAsia="黑体"/>
              <w:color w:val="auto"/>
              <w:sz w:val="32"/>
              <w:szCs w:val="32"/>
            </w:rPr>
            <w:fldChar w:fldCharType="end"/>
          </w:r>
          <w:r>
            <w:rPr>
              <w:rFonts w:ascii="黑体" w:hAnsi="黑体" w:eastAsia="黑体"/>
              <w:color w:val="auto"/>
              <w:sz w:val="32"/>
              <w:szCs w:val="32"/>
            </w:rPr>
            <w:fldChar w:fldCharType="end"/>
          </w:r>
        </w:p>
        <w:p w14:paraId="5D5DD0C4">
          <w:pPr>
            <w:pStyle w:val="26"/>
            <w:tabs>
              <w:tab w:val="right" w:leader="dot" w:pos="8296"/>
            </w:tabs>
            <w:rPr>
              <w:rFonts w:ascii="黑体" w:hAnsi="黑体" w:eastAsia="黑体" w:cstheme="minorBidi"/>
              <w:color w:val="auto"/>
              <w:sz w:val="32"/>
              <w:szCs w:val="32"/>
            </w:rPr>
          </w:pPr>
          <w:r>
            <w:rPr>
              <w:color w:val="auto"/>
            </w:rPr>
            <w:fldChar w:fldCharType="begin"/>
          </w:r>
          <w:r>
            <w:rPr>
              <w:color w:val="auto"/>
            </w:rPr>
            <w:instrText xml:space="preserve"> HYPERLINK \l "_Toc234256915" </w:instrText>
          </w:r>
          <w:r>
            <w:rPr>
              <w:color w:val="auto"/>
            </w:rPr>
            <w:fldChar w:fldCharType="separate"/>
          </w:r>
          <w:r>
            <w:rPr>
              <w:rStyle w:val="46"/>
              <w:rFonts w:ascii="黑体" w:hAnsi="黑体" w:eastAsia="黑体"/>
              <w:color w:val="auto"/>
              <w:sz w:val="32"/>
              <w:szCs w:val="32"/>
            </w:rPr>
            <w:t>第三章  合同条款</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_Toc234256915 \h </w:instrText>
          </w:r>
          <w:r>
            <w:rPr>
              <w:rFonts w:ascii="黑体" w:hAnsi="黑体" w:eastAsia="黑体"/>
              <w:color w:val="auto"/>
              <w:sz w:val="32"/>
              <w:szCs w:val="32"/>
            </w:rPr>
            <w:fldChar w:fldCharType="separate"/>
          </w:r>
          <w:r>
            <w:rPr>
              <w:rFonts w:ascii="黑体" w:hAnsi="黑体" w:eastAsia="黑体"/>
              <w:color w:val="auto"/>
              <w:sz w:val="32"/>
              <w:szCs w:val="32"/>
            </w:rPr>
            <w:t>24</w:t>
          </w:r>
          <w:r>
            <w:rPr>
              <w:rFonts w:ascii="黑体" w:hAnsi="黑体" w:eastAsia="黑体"/>
              <w:color w:val="auto"/>
              <w:sz w:val="32"/>
              <w:szCs w:val="32"/>
            </w:rPr>
            <w:fldChar w:fldCharType="end"/>
          </w:r>
          <w:r>
            <w:rPr>
              <w:rFonts w:ascii="黑体" w:hAnsi="黑体" w:eastAsia="黑体"/>
              <w:color w:val="auto"/>
              <w:sz w:val="32"/>
              <w:szCs w:val="32"/>
            </w:rPr>
            <w:fldChar w:fldCharType="end"/>
          </w:r>
        </w:p>
        <w:p w14:paraId="0A255C4A">
          <w:pPr>
            <w:pStyle w:val="26"/>
            <w:tabs>
              <w:tab w:val="right" w:leader="dot" w:pos="8296"/>
            </w:tabs>
            <w:rPr>
              <w:rFonts w:ascii="黑体" w:hAnsi="黑体" w:eastAsia="黑体" w:cstheme="minorBidi"/>
              <w:color w:val="auto"/>
              <w:sz w:val="32"/>
              <w:szCs w:val="32"/>
            </w:rPr>
          </w:pPr>
          <w:r>
            <w:rPr>
              <w:color w:val="auto"/>
            </w:rPr>
            <w:fldChar w:fldCharType="begin"/>
          </w:r>
          <w:r>
            <w:rPr>
              <w:color w:val="auto"/>
            </w:rPr>
            <w:instrText xml:space="preserve"> HYPERLINK \l "_Toc234256916" </w:instrText>
          </w:r>
          <w:r>
            <w:rPr>
              <w:color w:val="auto"/>
            </w:rPr>
            <w:fldChar w:fldCharType="separate"/>
          </w:r>
          <w:r>
            <w:rPr>
              <w:rStyle w:val="46"/>
              <w:rFonts w:ascii="黑体" w:hAnsi="黑体" w:eastAsia="黑体"/>
              <w:color w:val="auto"/>
              <w:sz w:val="32"/>
              <w:szCs w:val="32"/>
            </w:rPr>
            <w:t>第四章 采购需求</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_Toc234256916 \h </w:instrText>
          </w:r>
          <w:r>
            <w:rPr>
              <w:rFonts w:ascii="黑体" w:hAnsi="黑体" w:eastAsia="黑体"/>
              <w:color w:val="auto"/>
              <w:sz w:val="32"/>
              <w:szCs w:val="32"/>
            </w:rPr>
            <w:fldChar w:fldCharType="separate"/>
          </w:r>
          <w:r>
            <w:rPr>
              <w:rFonts w:ascii="黑体" w:hAnsi="黑体" w:eastAsia="黑体"/>
              <w:color w:val="auto"/>
              <w:sz w:val="32"/>
              <w:szCs w:val="32"/>
            </w:rPr>
            <w:t>30</w:t>
          </w:r>
          <w:r>
            <w:rPr>
              <w:rFonts w:ascii="黑体" w:hAnsi="黑体" w:eastAsia="黑体"/>
              <w:color w:val="auto"/>
              <w:sz w:val="32"/>
              <w:szCs w:val="32"/>
            </w:rPr>
            <w:fldChar w:fldCharType="end"/>
          </w:r>
          <w:r>
            <w:rPr>
              <w:rFonts w:ascii="黑体" w:hAnsi="黑体" w:eastAsia="黑体"/>
              <w:color w:val="auto"/>
              <w:sz w:val="32"/>
              <w:szCs w:val="32"/>
            </w:rPr>
            <w:fldChar w:fldCharType="end"/>
          </w:r>
        </w:p>
        <w:p w14:paraId="58221975">
          <w:pPr>
            <w:pStyle w:val="26"/>
            <w:tabs>
              <w:tab w:val="right" w:leader="dot" w:pos="8296"/>
            </w:tabs>
            <w:rPr>
              <w:rFonts w:ascii="黑体" w:hAnsi="黑体" w:eastAsia="黑体" w:cstheme="minorBidi"/>
              <w:color w:val="auto"/>
              <w:sz w:val="32"/>
              <w:szCs w:val="32"/>
            </w:rPr>
          </w:pPr>
          <w:r>
            <w:rPr>
              <w:color w:val="auto"/>
            </w:rPr>
            <w:fldChar w:fldCharType="begin"/>
          </w:r>
          <w:r>
            <w:rPr>
              <w:color w:val="auto"/>
            </w:rPr>
            <w:instrText xml:space="preserve"> HYPERLINK \l "_Toc234256917" </w:instrText>
          </w:r>
          <w:r>
            <w:rPr>
              <w:color w:val="auto"/>
            </w:rPr>
            <w:fldChar w:fldCharType="separate"/>
          </w:r>
          <w:r>
            <w:rPr>
              <w:rStyle w:val="46"/>
              <w:rFonts w:ascii="黑体" w:hAnsi="黑体" w:eastAsia="黑体"/>
              <w:color w:val="auto"/>
              <w:sz w:val="32"/>
              <w:szCs w:val="32"/>
            </w:rPr>
            <w:t>第五章 评标方法与评标标准</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_Toc234256917 \h </w:instrText>
          </w:r>
          <w:r>
            <w:rPr>
              <w:rFonts w:ascii="黑体" w:hAnsi="黑体" w:eastAsia="黑体"/>
              <w:color w:val="auto"/>
              <w:sz w:val="32"/>
              <w:szCs w:val="32"/>
            </w:rPr>
            <w:fldChar w:fldCharType="separate"/>
          </w:r>
          <w:r>
            <w:rPr>
              <w:rFonts w:ascii="黑体" w:hAnsi="黑体" w:eastAsia="黑体"/>
              <w:color w:val="auto"/>
              <w:sz w:val="32"/>
              <w:szCs w:val="32"/>
            </w:rPr>
            <w:t>84</w:t>
          </w:r>
          <w:r>
            <w:rPr>
              <w:rFonts w:ascii="黑体" w:hAnsi="黑体" w:eastAsia="黑体"/>
              <w:color w:val="auto"/>
              <w:sz w:val="32"/>
              <w:szCs w:val="32"/>
            </w:rPr>
            <w:fldChar w:fldCharType="end"/>
          </w:r>
          <w:r>
            <w:rPr>
              <w:rFonts w:ascii="黑体" w:hAnsi="黑体" w:eastAsia="黑体"/>
              <w:color w:val="auto"/>
              <w:sz w:val="32"/>
              <w:szCs w:val="32"/>
            </w:rPr>
            <w:fldChar w:fldCharType="end"/>
          </w:r>
        </w:p>
        <w:p w14:paraId="54461328">
          <w:pPr>
            <w:pStyle w:val="26"/>
            <w:tabs>
              <w:tab w:val="right" w:leader="dot" w:pos="8296"/>
            </w:tabs>
            <w:rPr>
              <w:rFonts w:ascii="黑体" w:hAnsi="黑体" w:eastAsia="黑体" w:cstheme="minorBidi"/>
              <w:color w:val="auto"/>
              <w:sz w:val="32"/>
              <w:szCs w:val="32"/>
            </w:rPr>
          </w:pPr>
          <w:r>
            <w:rPr>
              <w:color w:val="auto"/>
            </w:rPr>
            <w:fldChar w:fldCharType="begin"/>
          </w:r>
          <w:r>
            <w:rPr>
              <w:color w:val="auto"/>
            </w:rPr>
            <w:instrText xml:space="preserve"> HYPERLINK \l "_Toc234256918" </w:instrText>
          </w:r>
          <w:r>
            <w:rPr>
              <w:color w:val="auto"/>
            </w:rPr>
            <w:fldChar w:fldCharType="separate"/>
          </w:r>
          <w:r>
            <w:rPr>
              <w:rStyle w:val="46"/>
              <w:rFonts w:ascii="黑体" w:hAnsi="黑体" w:eastAsia="黑体"/>
              <w:color w:val="auto"/>
              <w:sz w:val="32"/>
              <w:szCs w:val="32"/>
            </w:rPr>
            <w:t>第六章 投标文件格式</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_Toc234256918 \h </w:instrText>
          </w:r>
          <w:r>
            <w:rPr>
              <w:rFonts w:ascii="黑体" w:hAnsi="黑体" w:eastAsia="黑体"/>
              <w:color w:val="auto"/>
              <w:sz w:val="32"/>
              <w:szCs w:val="32"/>
            </w:rPr>
            <w:fldChar w:fldCharType="separate"/>
          </w:r>
          <w:r>
            <w:rPr>
              <w:rFonts w:ascii="黑体" w:hAnsi="黑体" w:eastAsia="黑体"/>
              <w:color w:val="auto"/>
              <w:sz w:val="32"/>
              <w:szCs w:val="32"/>
            </w:rPr>
            <w:t>88</w:t>
          </w:r>
          <w:r>
            <w:rPr>
              <w:rFonts w:ascii="黑体" w:hAnsi="黑体" w:eastAsia="黑体"/>
              <w:color w:val="auto"/>
              <w:sz w:val="32"/>
              <w:szCs w:val="32"/>
            </w:rPr>
            <w:fldChar w:fldCharType="end"/>
          </w:r>
          <w:r>
            <w:rPr>
              <w:rFonts w:ascii="黑体" w:hAnsi="黑体" w:eastAsia="黑体"/>
              <w:color w:val="auto"/>
              <w:sz w:val="32"/>
              <w:szCs w:val="32"/>
            </w:rPr>
            <w:fldChar w:fldCharType="end"/>
          </w:r>
        </w:p>
        <w:p w14:paraId="0917E300">
          <w:pPr>
            <w:rPr>
              <w:rFonts w:ascii="黑体" w:hAnsi="黑体" w:eastAsia="黑体"/>
              <w:color w:val="auto"/>
              <w:sz w:val="32"/>
              <w:szCs w:val="32"/>
            </w:rPr>
          </w:pPr>
          <w:r>
            <w:rPr>
              <w:rFonts w:ascii="黑体" w:hAnsi="黑体" w:eastAsia="黑体"/>
              <w:b/>
              <w:bCs/>
              <w:color w:val="auto"/>
              <w:sz w:val="32"/>
              <w:szCs w:val="32"/>
              <w:lang w:val="zh-CN"/>
            </w:rPr>
            <w:fldChar w:fldCharType="end"/>
          </w:r>
        </w:p>
      </w:sdtContent>
    </w:sdt>
    <w:p w14:paraId="77209C89">
      <w:pPr>
        <w:pStyle w:val="34"/>
        <w:spacing w:beforeAutospacing="0" w:afterAutospacing="0"/>
        <w:jc w:val="both"/>
        <w:rPr>
          <w:color w:val="auto"/>
        </w:rPr>
      </w:pPr>
    </w:p>
    <w:p w14:paraId="7F0EDB57">
      <w:pPr>
        <w:pStyle w:val="34"/>
        <w:spacing w:beforeAutospacing="0" w:afterAutospacing="0"/>
        <w:jc w:val="both"/>
        <w:rPr>
          <w:color w:val="auto"/>
        </w:rPr>
      </w:pPr>
    </w:p>
    <w:p w14:paraId="3EB04068">
      <w:pPr>
        <w:pStyle w:val="34"/>
        <w:spacing w:beforeAutospacing="0" w:afterAutospacing="0"/>
        <w:jc w:val="both"/>
        <w:rPr>
          <w:rFonts w:hint="eastAsia" w:eastAsiaTheme="minorEastAsia"/>
          <w:color w:val="auto"/>
          <w:lang w:eastAsia="zh-CN"/>
        </w:rPr>
      </w:pPr>
    </w:p>
    <w:p w14:paraId="1B6366A7">
      <w:pPr>
        <w:pStyle w:val="34"/>
        <w:spacing w:beforeAutospacing="0" w:afterAutospacing="0"/>
        <w:jc w:val="both"/>
        <w:rPr>
          <w:rFonts w:hint="eastAsia" w:eastAsiaTheme="minorEastAsia"/>
          <w:color w:val="auto"/>
          <w:lang w:eastAsia="zh-CN"/>
        </w:rPr>
      </w:pPr>
    </w:p>
    <w:p w14:paraId="3C362C68">
      <w:pPr>
        <w:pStyle w:val="34"/>
        <w:spacing w:beforeAutospacing="0" w:afterAutospacing="0"/>
        <w:jc w:val="both"/>
        <w:rPr>
          <w:rFonts w:hint="eastAsia" w:eastAsiaTheme="minorEastAsia"/>
          <w:color w:val="auto"/>
          <w:lang w:eastAsia="zh-CN"/>
        </w:rPr>
      </w:pPr>
    </w:p>
    <w:p w14:paraId="3B63F837">
      <w:pPr>
        <w:pStyle w:val="34"/>
        <w:spacing w:beforeAutospacing="0" w:afterAutospacing="0"/>
        <w:jc w:val="both"/>
        <w:rPr>
          <w:rFonts w:hint="eastAsia" w:eastAsiaTheme="minorEastAsia"/>
          <w:color w:val="auto"/>
          <w:lang w:eastAsia="zh-CN"/>
        </w:rPr>
      </w:pPr>
    </w:p>
    <w:p w14:paraId="6CED3979">
      <w:pPr>
        <w:pStyle w:val="34"/>
        <w:spacing w:beforeAutospacing="0" w:afterAutospacing="0"/>
        <w:jc w:val="both"/>
        <w:rPr>
          <w:rFonts w:hint="eastAsia" w:eastAsiaTheme="minorEastAsia"/>
          <w:color w:val="auto"/>
          <w:lang w:eastAsia="zh-CN"/>
        </w:rPr>
      </w:pPr>
    </w:p>
    <w:p w14:paraId="3384293F">
      <w:pPr>
        <w:pStyle w:val="34"/>
        <w:spacing w:beforeAutospacing="0" w:afterAutospacing="0"/>
        <w:jc w:val="both"/>
        <w:rPr>
          <w:rFonts w:hint="eastAsia" w:eastAsiaTheme="minorEastAsia"/>
          <w:color w:val="auto"/>
          <w:lang w:eastAsia="zh-CN"/>
        </w:rPr>
      </w:pPr>
    </w:p>
    <w:p w14:paraId="066D6695">
      <w:pPr>
        <w:pStyle w:val="34"/>
        <w:spacing w:beforeAutospacing="0" w:afterAutospacing="0"/>
        <w:jc w:val="both"/>
        <w:rPr>
          <w:rFonts w:hint="eastAsia" w:eastAsiaTheme="minorEastAsia"/>
          <w:color w:val="auto"/>
          <w:lang w:eastAsia="zh-CN"/>
        </w:rPr>
      </w:pPr>
    </w:p>
    <w:p w14:paraId="078DF628">
      <w:pPr>
        <w:pStyle w:val="34"/>
        <w:spacing w:beforeAutospacing="0" w:afterAutospacing="0"/>
        <w:jc w:val="both"/>
        <w:rPr>
          <w:rFonts w:hint="eastAsia" w:eastAsiaTheme="minorEastAsia"/>
          <w:color w:val="auto"/>
          <w:lang w:eastAsia="zh-CN"/>
        </w:rPr>
      </w:pPr>
    </w:p>
    <w:p w14:paraId="0E7C4B04">
      <w:pPr>
        <w:pStyle w:val="34"/>
        <w:spacing w:beforeAutospacing="0" w:afterAutospacing="0"/>
        <w:jc w:val="both"/>
        <w:rPr>
          <w:rFonts w:hint="eastAsia" w:eastAsiaTheme="minorEastAsia"/>
          <w:color w:val="auto"/>
          <w:lang w:eastAsia="zh-CN"/>
        </w:rPr>
      </w:pPr>
    </w:p>
    <w:p w14:paraId="3768CA28">
      <w:pPr>
        <w:pStyle w:val="34"/>
        <w:spacing w:beforeAutospacing="0" w:afterAutospacing="0"/>
        <w:jc w:val="both"/>
        <w:rPr>
          <w:rFonts w:hint="eastAsia" w:eastAsiaTheme="minorEastAsia"/>
          <w:color w:val="auto"/>
          <w:lang w:eastAsia="zh-CN"/>
        </w:rPr>
      </w:pPr>
    </w:p>
    <w:p w14:paraId="0387E2D7">
      <w:pPr>
        <w:pStyle w:val="34"/>
        <w:spacing w:beforeAutospacing="0" w:afterAutospacing="0"/>
        <w:jc w:val="both"/>
        <w:rPr>
          <w:rFonts w:hint="eastAsia" w:eastAsiaTheme="minorEastAsia"/>
          <w:color w:val="auto"/>
          <w:lang w:eastAsia="zh-CN"/>
        </w:rPr>
      </w:pPr>
    </w:p>
    <w:p w14:paraId="03C55C23">
      <w:pPr>
        <w:pStyle w:val="34"/>
        <w:spacing w:beforeAutospacing="0" w:afterAutospacing="0"/>
        <w:jc w:val="both"/>
        <w:rPr>
          <w:rFonts w:hint="eastAsia" w:eastAsiaTheme="minorEastAsia"/>
          <w:color w:val="auto"/>
          <w:lang w:eastAsia="zh-CN"/>
        </w:rPr>
      </w:pPr>
    </w:p>
    <w:p w14:paraId="3352B826">
      <w:pPr>
        <w:pStyle w:val="34"/>
        <w:spacing w:beforeAutospacing="0" w:afterAutospacing="0"/>
        <w:jc w:val="both"/>
        <w:rPr>
          <w:rFonts w:hint="eastAsia" w:eastAsiaTheme="minorEastAsia"/>
          <w:color w:val="auto"/>
          <w:lang w:eastAsia="zh-CN"/>
        </w:rPr>
      </w:pPr>
    </w:p>
    <w:p w14:paraId="6219C209">
      <w:pPr>
        <w:pStyle w:val="34"/>
        <w:spacing w:beforeAutospacing="0" w:afterAutospacing="0"/>
        <w:jc w:val="both"/>
        <w:rPr>
          <w:rFonts w:hint="eastAsia" w:eastAsiaTheme="minorEastAsia"/>
          <w:color w:val="auto"/>
          <w:lang w:eastAsia="zh-CN"/>
        </w:rPr>
      </w:pPr>
    </w:p>
    <w:p w14:paraId="2B7D8138">
      <w:pPr>
        <w:pStyle w:val="34"/>
        <w:spacing w:beforeAutospacing="0" w:afterAutospacing="0"/>
        <w:jc w:val="both"/>
        <w:rPr>
          <w:rFonts w:hint="eastAsia" w:eastAsiaTheme="minorEastAsia"/>
          <w:color w:val="auto"/>
          <w:lang w:eastAsia="zh-CN"/>
        </w:rPr>
      </w:pPr>
    </w:p>
    <w:p w14:paraId="57140AFD">
      <w:pPr>
        <w:pStyle w:val="34"/>
        <w:spacing w:beforeAutospacing="0" w:afterAutospacing="0"/>
        <w:jc w:val="both"/>
        <w:rPr>
          <w:rFonts w:hint="eastAsia" w:eastAsiaTheme="minorEastAsia"/>
          <w:color w:val="auto"/>
          <w:lang w:eastAsia="zh-CN"/>
        </w:rPr>
      </w:pPr>
    </w:p>
    <w:p w14:paraId="6CFA7F1B">
      <w:pPr>
        <w:pStyle w:val="34"/>
        <w:spacing w:beforeAutospacing="0" w:afterAutospacing="0"/>
        <w:jc w:val="both"/>
        <w:rPr>
          <w:rFonts w:hint="eastAsia" w:eastAsiaTheme="minorEastAsia"/>
          <w:color w:val="auto"/>
          <w:lang w:eastAsia="zh-CN"/>
        </w:rPr>
      </w:pPr>
    </w:p>
    <w:p w14:paraId="78D02934">
      <w:pPr>
        <w:pStyle w:val="34"/>
        <w:spacing w:beforeAutospacing="0" w:afterAutospacing="0"/>
        <w:jc w:val="both"/>
        <w:rPr>
          <w:rFonts w:hint="eastAsia" w:eastAsiaTheme="minorEastAsia"/>
          <w:color w:val="auto"/>
          <w:lang w:eastAsia="zh-CN"/>
        </w:rPr>
      </w:pPr>
    </w:p>
    <w:p w14:paraId="767D4B82">
      <w:pPr>
        <w:pStyle w:val="34"/>
        <w:spacing w:beforeAutospacing="0" w:afterAutospacing="0"/>
        <w:jc w:val="both"/>
        <w:rPr>
          <w:rFonts w:hint="eastAsia" w:eastAsiaTheme="minorEastAsia"/>
          <w:color w:val="auto"/>
          <w:lang w:eastAsia="zh-CN"/>
        </w:rPr>
      </w:pPr>
    </w:p>
    <w:p w14:paraId="03E8AE5B">
      <w:pPr>
        <w:pStyle w:val="34"/>
        <w:spacing w:beforeAutospacing="0" w:afterAutospacing="0"/>
        <w:jc w:val="both"/>
        <w:rPr>
          <w:rFonts w:hint="eastAsia" w:eastAsiaTheme="minorEastAsia"/>
          <w:color w:val="auto"/>
          <w:lang w:eastAsia="zh-CN"/>
        </w:rPr>
      </w:pPr>
    </w:p>
    <w:p w14:paraId="0593E213">
      <w:pPr>
        <w:pStyle w:val="34"/>
        <w:spacing w:beforeAutospacing="0" w:afterAutospacing="0"/>
        <w:jc w:val="both"/>
        <w:rPr>
          <w:color w:val="auto"/>
        </w:rPr>
      </w:pPr>
    </w:p>
    <w:p w14:paraId="7149A948">
      <w:pPr>
        <w:pStyle w:val="34"/>
        <w:spacing w:beforeAutospacing="0" w:afterAutospacing="0"/>
        <w:jc w:val="both"/>
        <w:rPr>
          <w:color w:val="auto"/>
        </w:rPr>
      </w:pPr>
    </w:p>
    <w:p w14:paraId="7A7EAA27">
      <w:pPr>
        <w:pStyle w:val="34"/>
        <w:spacing w:beforeAutospacing="0" w:afterAutospacing="0"/>
        <w:jc w:val="both"/>
        <w:rPr>
          <w:color w:val="auto"/>
        </w:rPr>
      </w:pPr>
    </w:p>
    <w:p w14:paraId="62B2F974">
      <w:pPr>
        <w:pStyle w:val="34"/>
        <w:spacing w:beforeAutospacing="0" w:afterAutospacing="0"/>
        <w:jc w:val="both"/>
        <w:rPr>
          <w:color w:val="auto"/>
        </w:rPr>
      </w:pPr>
    </w:p>
    <w:p w14:paraId="129990A7">
      <w:pPr>
        <w:pStyle w:val="34"/>
        <w:spacing w:beforeAutospacing="0" w:afterAutospacing="0"/>
        <w:jc w:val="both"/>
        <w:rPr>
          <w:color w:val="auto"/>
        </w:rPr>
      </w:pPr>
    </w:p>
    <w:p w14:paraId="029D2510">
      <w:pPr>
        <w:pStyle w:val="34"/>
        <w:spacing w:beforeAutospacing="0" w:afterAutospacing="0"/>
        <w:jc w:val="both"/>
        <w:rPr>
          <w:color w:val="auto"/>
        </w:rPr>
      </w:pPr>
    </w:p>
    <w:p w14:paraId="1C5C0F40">
      <w:pPr>
        <w:pStyle w:val="34"/>
        <w:spacing w:beforeAutospacing="0" w:afterAutospacing="0"/>
        <w:jc w:val="both"/>
        <w:rPr>
          <w:color w:val="auto"/>
        </w:rPr>
      </w:pPr>
    </w:p>
    <w:p w14:paraId="35A69817">
      <w:pPr>
        <w:pStyle w:val="207"/>
        <w:rPr>
          <w:color w:val="auto"/>
        </w:rPr>
      </w:pPr>
      <w:bookmarkStart w:id="0" w:name="_Toc234256913"/>
      <w:bookmarkStart w:id="1" w:name="_Toc28359086"/>
      <w:r>
        <w:rPr>
          <w:rFonts w:hint="eastAsia"/>
          <w:color w:val="auto"/>
        </w:rPr>
        <w:t>第一章招标公告</w:t>
      </w:r>
      <w:bookmarkEnd w:id="0"/>
    </w:p>
    <w:p w14:paraId="1681EBD0">
      <w:pPr>
        <w:pStyle w:val="34"/>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项目概况</w:t>
      </w:r>
    </w:p>
    <w:p w14:paraId="1AAB46E8">
      <w:pPr>
        <w:pStyle w:val="34"/>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u w:val="single"/>
          <w:lang w:eastAsia="zh-CN"/>
        </w:rPr>
        <w:t>江苏省盐城技师学院药品生产技术专业(化工仪表及自动化方向)教学设备添置采购项目、交通工程学院智慧物流实训中心采购项目</w:t>
      </w:r>
      <w:r>
        <w:rPr>
          <w:rFonts w:hint="eastAsia" w:ascii="宋体" w:hAnsi="宋体" w:eastAsia="宋体" w:cs="宋体"/>
          <w:color w:val="auto"/>
          <w:u w:val="single"/>
        </w:rPr>
        <w:t xml:space="preserve"> </w:t>
      </w:r>
      <w:r>
        <w:rPr>
          <w:rFonts w:hint="eastAsia" w:ascii="宋体" w:hAnsi="宋体" w:eastAsia="宋体" w:cs="宋体"/>
          <w:color w:val="auto"/>
        </w:rPr>
        <w:t>招标项目的潜在投标人应在</w:t>
      </w:r>
      <w:r>
        <w:rPr>
          <w:rFonts w:hint="eastAsia" w:ascii="宋体" w:hAnsi="宋体" w:eastAsia="宋体" w:cs="宋体"/>
          <w:color w:val="auto"/>
          <w:shd w:val="clear" w:color="auto" w:fill="FFFFFF"/>
        </w:rPr>
        <w:t>“苏采云”系统内免费下载（投标人必须在苏采云系统中获取采购文件，方能参与政府采购项目）</w:t>
      </w:r>
      <w:r>
        <w:rPr>
          <w:rFonts w:hint="eastAsia" w:ascii="宋体" w:hAnsi="宋体" w:eastAsia="宋体" w:cs="宋体"/>
          <w:color w:val="auto"/>
        </w:rPr>
        <w:t>，并于</w:t>
      </w:r>
      <w:r>
        <w:rPr>
          <w:rFonts w:hint="eastAsia" w:ascii="宋体" w:hAnsi="宋体" w:eastAsia="宋体" w:cs="宋体"/>
          <w:color w:val="auto"/>
          <w:u w:val="single"/>
          <w:lang w:val="en-US" w:eastAsia="zh-CN"/>
        </w:rPr>
        <w:t>2026</w:t>
      </w:r>
      <w:r>
        <w:rPr>
          <w:rFonts w:hint="eastAsia" w:ascii="宋体" w:hAnsi="宋体" w:eastAsia="宋体" w:cs="宋体"/>
          <w:color w:val="auto"/>
          <w:u w:val="single"/>
        </w:rPr>
        <w:t>年</w:t>
      </w:r>
      <w:r>
        <w:rPr>
          <w:rFonts w:hint="eastAsia" w:ascii="宋体" w:hAnsi="宋体" w:eastAsia="宋体" w:cs="宋体"/>
          <w:color w:val="auto"/>
          <w:u w:val="single"/>
          <w:lang w:val="en-US" w:eastAsia="zh-CN"/>
        </w:rPr>
        <w:t>9</w:t>
      </w:r>
      <w:r>
        <w:rPr>
          <w:rFonts w:hint="eastAsia" w:ascii="宋体" w:hAnsi="宋体" w:eastAsia="宋体" w:cs="宋体"/>
          <w:color w:val="auto"/>
          <w:u w:val="single"/>
        </w:rPr>
        <w:t>月</w:t>
      </w:r>
      <w:r>
        <w:rPr>
          <w:rFonts w:hint="eastAsia" w:ascii="宋体" w:hAnsi="宋体" w:eastAsia="宋体" w:cs="宋体"/>
          <w:color w:val="auto"/>
          <w:u w:val="single"/>
          <w:lang w:val="en-US" w:eastAsia="zh-CN"/>
        </w:rPr>
        <w:t>23</w:t>
      </w:r>
      <w:r>
        <w:rPr>
          <w:rFonts w:hint="eastAsia" w:ascii="宋体" w:hAnsi="宋体" w:eastAsia="宋体" w:cs="宋体"/>
          <w:color w:val="auto"/>
          <w:u w:val="single"/>
        </w:rPr>
        <w:t>日</w:t>
      </w:r>
      <w:r>
        <w:rPr>
          <w:rFonts w:hint="eastAsia" w:ascii="宋体" w:hAnsi="宋体" w:eastAsia="宋体" w:cs="宋体"/>
          <w:color w:val="auto"/>
          <w:u w:val="single"/>
          <w:lang w:val="en-US" w:eastAsia="zh-CN"/>
        </w:rPr>
        <w:t>9</w:t>
      </w:r>
      <w:r>
        <w:rPr>
          <w:rFonts w:hint="eastAsia" w:ascii="宋体" w:hAnsi="宋体" w:eastAsia="宋体" w:cs="宋体"/>
          <w:color w:val="auto"/>
          <w:u w:val="single"/>
        </w:rPr>
        <w:t>点</w:t>
      </w:r>
      <w:r>
        <w:rPr>
          <w:rFonts w:hint="eastAsia" w:ascii="宋体" w:hAnsi="宋体" w:eastAsia="宋体" w:cs="宋体"/>
          <w:color w:val="auto"/>
          <w:u w:val="single"/>
          <w:lang w:val="en-US" w:eastAsia="zh-CN"/>
        </w:rPr>
        <w:t>00</w:t>
      </w:r>
      <w:r>
        <w:rPr>
          <w:rFonts w:hint="eastAsia" w:ascii="宋体" w:hAnsi="宋体" w:eastAsia="宋体" w:cs="宋体"/>
          <w:color w:val="auto"/>
          <w:u w:val="single"/>
        </w:rPr>
        <w:t>分（</w:t>
      </w:r>
      <w:r>
        <w:rPr>
          <w:rFonts w:hint="eastAsia" w:ascii="宋体" w:hAnsi="宋体" w:eastAsia="宋体" w:cs="宋体"/>
          <w:color w:val="auto"/>
        </w:rPr>
        <w:t>北京时间）前递交投标文件。</w:t>
      </w:r>
    </w:p>
    <w:p w14:paraId="0B6107E4">
      <w:pPr>
        <w:pStyle w:val="34"/>
        <w:keepNext/>
        <w:keepLines/>
        <w:spacing w:beforeAutospacing="0" w:afterAutospacing="0" w:line="360" w:lineRule="auto"/>
        <w:ind w:firstLine="498"/>
        <w:jc w:val="both"/>
        <w:rPr>
          <w:rFonts w:ascii="宋体" w:hAnsi="宋体" w:eastAsia="宋体" w:cs="宋体"/>
          <w:color w:val="auto"/>
        </w:rPr>
      </w:pPr>
      <w:bookmarkStart w:id="2" w:name="_Toc28359002"/>
      <w:bookmarkStart w:id="3" w:name="_Toc38985263"/>
      <w:bookmarkStart w:id="4" w:name="_Toc28359079"/>
      <w:bookmarkStart w:id="5" w:name="_Hlk24379207"/>
      <w:bookmarkStart w:id="6" w:name="_Toc35393790"/>
      <w:bookmarkStart w:id="7" w:name="_Toc35393621"/>
      <w:r>
        <w:rPr>
          <w:rFonts w:hint="eastAsia" w:ascii="宋体" w:hAnsi="宋体" w:eastAsia="宋体" w:cs="宋体"/>
          <w:b/>
          <w:color w:val="auto"/>
        </w:rPr>
        <w:t>一、项目基本情况</w:t>
      </w:r>
      <w:bookmarkEnd w:id="2"/>
      <w:bookmarkEnd w:id="3"/>
      <w:bookmarkEnd w:id="4"/>
      <w:bookmarkEnd w:id="5"/>
      <w:bookmarkEnd w:id="6"/>
      <w:bookmarkEnd w:id="7"/>
    </w:p>
    <w:p w14:paraId="6DC08329">
      <w:pPr>
        <w:pStyle w:val="34"/>
        <w:spacing w:beforeAutospacing="0" w:afterAutospacing="0" w:line="360" w:lineRule="auto"/>
        <w:ind w:firstLine="48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1.项目编号：JSZC-320900-DNGC-G2026-0007</w:t>
      </w:r>
    </w:p>
    <w:p w14:paraId="3DC0C683">
      <w:pPr>
        <w:pStyle w:val="34"/>
        <w:spacing w:beforeAutospacing="0" w:afterAutospacing="0" w:line="360" w:lineRule="auto"/>
        <w:ind w:firstLine="480"/>
        <w:jc w:val="both"/>
        <w:rPr>
          <w:rFonts w:hint="eastAsia" w:ascii="宋体" w:hAnsi="宋体" w:eastAsia="宋体" w:cs="宋体"/>
          <w:color w:val="auto"/>
          <w:shd w:val="clear" w:color="auto" w:fill="FFFFFF"/>
          <w:lang w:eastAsia="zh-CN"/>
        </w:rPr>
      </w:pPr>
      <w:r>
        <w:rPr>
          <w:rFonts w:hint="eastAsia" w:ascii="宋体" w:hAnsi="宋体" w:eastAsia="宋体" w:cs="宋体"/>
          <w:color w:val="auto"/>
          <w:shd w:val="clear" w:color="auto" w:fill="FFFFFF"/>
        </w:rPr>
        <w:t>2.项目名称：</w:t>
      </w:r>
      <w:r>
        <w:rPr>
          <w:rFonts w:hint="eastAsia" w:ascii="宋体" w:hAnsi="宋体" w:eastAsia="宋体" w:cs="宋体"/>
          <w:color w:val="auto"/>
          <w:shd w:val="clear" w:color="auto" w:fill="FFFFFF"/>
          <w:lang w:eastAsia="zh-CN"/>
        </w:rPr>
        <w:t>江苏省盐城技师学院药品生产技术专业(化工仪表及自动化方向)教学设备添置采购项目、交通工程学院智慧物流实训中心采购项目</w:t>
      </w:r>
    </w:p>
    <w:p w14:paraId="690FAA3D">
      <w:pPr>
        <w:pStyle w:val="34"/>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3.采购方式：公开招标</w:t>
      </w:r>
    </w:p>
    <w:p w14:paraId="73D01A4E">
      <w:pPr>
        <w:pStyle w:val="34"/>
        <w:spacing w:beforeAutospacing="0" w:afterAutospacing="0" w:line="360" w:lineRule="auto"/>
        <w:ind w:firstLine="480"/>
        <w:jc w:val="both"/>
        <w:rPr>
          <w:rFonts w:hint="eastAsia" w:ascii="宋体" w:hAnsi="宋体" w:eastAsia="宋体" w:cs="宋体"/>
          <w:color w:val="auto"/>
          <w:shd w:val="clear" w:color="auto" w:fill="FFFFFF"/>
          <w:lang w:eastAsia="zh-CN"/>
        </w:rPr>
      </w:pPr>
      <w:r>
        <w:rPr>
          <w:rFonts w:hint="eastAsia" w:ascii="宋体" w:hAnsi="宋体" w:eastAsia="宋体" w:cs="宋体"/>
          <w:color w:val="auto"/>
          <w:shd w:val="clear" w:color="auto" w:fill="FFFFFF"/>
        </w:rPr>
        <w:t>4.预算金额：</w:t>
      </w:r>
      <w:r>
        <w:rPr>
          <w:rFonts w:hint="eastAsia" w:ascii="宋体" w:hAnsi="宋体" w:eastAsia="宋体" w:cs="宋体"/>
          <w:color w:val="auto"/>
          <w:shd w:val="clear" w:color="auto" w:fill="FFFFFF"/>
          <w:lang w:val="en-US" w:eastAsia="zh-CN"/>
        </w:rPr>
        <w:t>350.69</w:t>
      </w:r>
      <w:r>
        <w:rPr>
          <w:rFonts w:hint="eastAsia" w:ascii="宋体" w:hAnsi="宋体" w:eastAsia="宋体" w:cs="宋体"/>
          <w:color w:val="auto"/>
          <w:shd w:val="clear" w:color="auto" w:fill="FFFFFF"/>
        </w:rPr>
        <w:t>万元</w:t>
      </w:r>
      <w:r>
        <w:rPr>
          <w:rFonts w:hint="eastAsia" w:ascii="宋体" w:hAnsi="宋体" w:eastAsia="宋体" w:cs="宋体"/>
          <w:color w:val="auto"/>
          <w:shd w:val="clear" w:color="auto" w:fill="FFFFFF"/>
          <w:lang w:eastAsia="zh-CN"/>
        </w:rPr>
        <w:t>（采购包</w:t>
      </w:r>
      <w:r>
        <w:rPr>
          <w:rFonts w:hint="eastAsia" w:ascii="宋体" w:hAnsi="宋体" w:eastAsia="宋体" w:cs="宋体"/>
          <w:color w:val="auto"/>
          <w:shd w:val="clear" w:color="auto" w:fill="FFFFFF"/>
          <w:lang w:val="en-US" w:eastAsia="zh-CN"/>
        </w:rPr>
        <w:t>一</w:t>
      </w:r>
      <w:r>
        <w:rPr>
          <w:rFonts w:hint="eastAsia" w:ascii="宋体" w:hAnsi="宋体" w:eastAsia="宋体" w:cs="宋体"/>
          <w:color w:val="auto"/>
          <w:shd w:val="clear" w:color="auto" w:fill="FFFFFF"/>
          <w:lang w:eastAsia="zh-CN"/>
        </w:rPr>
        <w:t>：</w:t>
      </w:r>
      <w:r>
        <w:rPr>
          <w:rFonts w:hint="eastAsia" w:ascii="宋体" w:hAnsi="宋体" w:eastAsia="宋体" w:cs="宋体"/>
          <w:color w:val="auto"/>
          <w:shd w:val="clear" w:color="auto" w:fill="FFFFFF"/>
          <w:lang w:val="en-US" w:eastAsia="zh-CN"/>
        </w:rPr>
        <w:t>191.49</w:t>
      </w:r>
      <w:r>
        <w:rPr>
          <w:rFonts w:hint="eastAsia" w:ascii="宋体" w:hAnsi="宋体" w:eastAsia="宋体" w:cs="宋体"/>
          <w:color w:val="auto"/>
          <w:shd w:val="clear" w:color="auto" w:fill="FFFFFF"/>
          <w:lang w:eastAsia="zh-CN"/>
        </w:rPr>
        <w:t>万元；采购包</w:t>
      </w:r>
      <w:r>
        <w:rPr>
          <w:rFonts w:hint="eastAsia" w:ascii="宋体" w:hAnsi="宋体" w:eastAsia="宋体" w:cs="宋体"/>
          <w:color w:val="auto"/>
          <w:shd w:val="clear" w:color="auto" w:fill="FFFFFF"/>
          <w:lang w:val="en-US" w:eastAsia="zh-CN"/>
        </w:rPr>
        <w:t>二:159.2</w:t>
      </w:r>
      <w:r>
        <w:rPr>
          <w:rFonts w:hint="eastAsia" w:ascii="宋体" w:hAnsi="宋体" w:eastAsia="宋体" w:cs="宋体"/>
          <w:color w:val="auto"/>
          <w:shd w:val="clear" w:color="auto" w:fill="FFFFFF"/>
          <w:lang w:eastAsia="zh-CN"/>
        </w:rPr>
        <w:t>万元；）</w:t>
      </w:r>
    </w:p>
    <w:p w14:paraId="57E70789">
      <w:pPr>
        <w:pStyle w:val="34"/>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5.最高限价（如有）：包一：</w:t>
      </w:r>
      <w:r>
        <w:rPr>
          <w:rFonts w:hint="eastAsia" w:ascii="宋体" w:hAnsi="宋体" w:eastAsia="宋体" w:cs="宋体"/>
          <w:color w:val="auto"/>
          <w:shd w:val="clear" w:color="auto" w:fill="FFFFFF"/>
          <w:lang w:eastAsia="zh-CN"/>
        </w:rPr>
        <w:t>江苏省盐城技师学院药品生产技术专业(化工仪表及自动化方向)教学设备添置采购项目</w:t>
      </w:r>
      <w:r>
        <w:rPr>
          <w:rFonts w:hint="eastAsia" w:ascii="宋体" w:hAnsi="宋体" w:eastAsia="宋体" w:cs="宋体"/>
          <w:color w:val="auto"/>
          <w:shd w:val="clear" w:color="auto" w:fill="FFFFFF"/>
          <w:lang w:val="en-US" w:eastAsia="zh-CN"/>
        </w:rPr>
        <w:t>181.85</w:t>
      </w:r>
      <w:r>
        <w:rPr>
          <w:rFonts w:hint="eastAsia" w:ascii="宋体" w:hAnsi="宋体" w:eastAsia="宋体" w:cs="宋体"/>
          <w:color w:val="auto"/>
          <w:shd w:val="clear" w:color="auto" w:fill="FFFFFF"/>
        </w:rPr>
        <w:t>万元；包二：</w:t>
      </w:r>
      <w:r>
        <w:rPr>
          <w:rFonts w:hint="eastAsia" w:ascii="宋体" w:hAnsi="宋体" w:eastAsia="宋体" w:cs="宋体"/>
          <w:color w:val="auto"/>
          <w:shd w:val="clear" w:color="auto" w:fill="FFFFFF"/>
          <w:lang w:eastAsia="zh-CN"/>
        </w:rPr>
        <w:t>交通工程学院智慧物流实训中心采购项目</w:t>
      </w:r>
      <w:r>
        <w:rPr>
          <w:rFonts w:hint="eastAsia" w:ascii="宋体" w:hAnsi="宋体" w:eastAsia="宋体" w:cs="宋体"/>
          <w:color w:val="auto"/>
          <w:shd w:val="clear" w:color="auto" w:fill="FFFFFF"/>
          <w:lang w:val="en-US" w:eastAsia="zh-CN"/>
        </w:rPr>
        <w:t>159.2</w:t>
      </w:r>
      <w:r>
        <w:rPr>
          <w:rFonts w:hint="eastAsia" w:ascii="宋体" w:hAnsi="宋体" w:eastAsia="宋体" w:cs="宋体"/>
          <w:color w:val="auto"/>
          <w:shd w:val="clear" w:color="auto" w:fill="FFFFFF"/>
        </w:rPr>
        <w:t xml:space="preserve">万元。 本项目兼投兼中，定标顺序为包一 →包二。  </w:t>
      </w:r>
    </w:p>
    <w:p w14:paraId="241C1352">
      <w:pPr>
        <w:pStyle w:val="34"/>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6.采购需求（简介）：</w:t>
      </w:r>
      <w:r>
        <w:rPr>
          <w:rFonts w:hint="eastAsia" w:ascii="宋体" w:hAnsi="宋体" w:eastAsia="宋体" w:cs="宋体"/>
          <w:color w:val="auto"/>
          <w:shd w:val="clear" w:color="auto" w:fill="FFFFFF"/>
          <w:lang w:eastAsia="zh-CN"/>
        </w:rPr>
        <w:t>江苏省盐城技师学院药品生产技术专业(化工仪表及自动化方向)教学设备添置采购项目、交通工程学院智慧物流实训中心采购项目</w:t>
      </w:r>
      <w:r>
        <w:rPr>
          <w:rFonts w:hint="eastAsia" w:ascii="宋体" w:hAnsi="宋体" w:eastAsia="宋体" w:cs="宋体"/>
          <w:color w:val="auto"/>
          <w:shd w:val="clear" w:color="auto" w:fill="FFFFFF"/>
        </w:rPr>
        <w:t>，</w:t>
      </w:r>
      <w:r>
        <w:rPr>
          <w:rFonts w:hint="eastAsia" w:ascii="宋体" w:hAnsi="宋体" w:eastAsia="宋体" w:cs="宋体"/>
          <w:color w:val="auto"/>
          <w:shd w:val="clear" w:color="auto" w:fill="FFFFFF"/>
          <w:lang w:val="en-US" w:eastAsia="zh-CN"/>
        </w:rPr>
        <w:t>本项目分二个包：（包一）</w:t>
      </w:r>
      <w:r>
        <w:rPr>
          <w:rFonts w:hint="eastAsia" w:ascii="宋体" w:hAnsi="宋体" w:eastAsia="宋体" w:cs="宋体"/>
          <w:color w:val="auto"/>
          <w:shd w:val="clear" w:color="auto" w:fill="FFFFFF"/>
          <w:lang w:eastAsia="zh-CN"/>
        </w:rPr>
        <w:t>江苏省盐城技师学院药品生产技术专业(化工仪表及自动化方向)教学设备添置采购项目；</w:t>
      </w:r>
      <w:r>
        <w:rPr>
          <w:rFonts w:hint="eastAsia" w:ascii="宋体" w:hAnsi="宋体" w:eastAsia="宋体" w:cs="宋体"/>
          <w:color w:val="auto"/>
          <w:shd w:val="clear" w:color="auto" w:fill="FFFFFF"/>
          <w:lang w:val="en-US" w:eastAsia="zh-CN"/>
        </w:rPr>
        <w:t>（包二）</w:t>
      </w:r>
      <w:r>
        <w:rPr>
          <w:rFonts w:hint="eastAsia" w:ascii="宋体" w:hAnsi="宋体" w:eastAsia="宋体" w:cs="宋体"/>
          <w:color w:val="auto"/>
          <w:shd w:val="clear" w:color="auto" w:fill="FFFFFF"/>
          <w:lang w:eastAsia="zh-CN"/>
        </w:rPr>
        <w:t>交通工程学院智慧物流实训中心采购项目</w:t>
      </w:r>
      <w:r>
        <w:rPr>
          <w:rFonts w:hint="eastAsia" w:ascii="宋体" w:hAnsi="宋体" w:eastAsia="宋体" w:cs="宋体"/>
          <w:color w:val="auto"/>
          <w:shd w:val="clear" w:color="auto" w:fill="FFFFFF"/>
          <w:lang w:val="en-US" w:eastAsia="zh-CN"/>
        </w:rPr>
        <w:t>。</w:t>
      </w:r>
      <w:r>
        <w:rPr>
          <w:rFonts w:hint="eastAsia" w:ascii="宋体" w:hAnsi="宋体" w:eastAsia="宋体" w:cs="宋体"/>
          <w:color w:val="auto"/>
          <w:shd w:val="clear" w:color="auto" w:fill="FFFFFF"/>
        </w:rPr>
        <w:t>详见本招标文件第四章采购需求。</w:t>
      </w:r>
    </w:p>
    <w:p w14:paraId="068D8247">
      <w:pPr>
        <w:pStyle w:val="34"/>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7.合同履行期限：合同履行期限：合同生效后60个日历天（此期限不包括采购人验收时间），供应商应在此期限内完成全部货物的交付、安装与调试。</w:t>
      </w:r>
    </w:p>
    <w:p w14:paraId="38C5DC68">
      <w:pPr>
        <w:pStyle w:val="34"/>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8.本项目（是/否）接受联合体：不接受联合体。</w:t>
      </w:r>
    </w:p>
    <w:p w14:paraId="5F55C46D">
      <w:pPr>
        <w:pStyle w:val="34"/>
        <w:keepNext/>
        <w:keepLines/>
        <w:spacing w:beforeAutospacing="0" w:afterAutospacing="0" w:line="360" w:lineRule="auto"/>
        <w:ind w:firstLine="498"/>
        <w:jc w:val="both"/>
        <w:rPr>
          <w:rFonts w:ascii="宋体" w:hAnsi="宋体" w:eastAsia="宋体" w:cs="宋体"/>
          <w:color w:val="auto"/>
        </w:rPr>
      </w:pPr>
      <w:bookmarkStart w:id="8" w:name="_Toc38985264"/>
      <w:bookmarkStart w:id="9" w:name="_Toc28359080"/>
      <w:bookmarkStart w:id="10" w:name="_Toc35393791"/>
      <w:bookmarkStart w:id="11" w:name="_Toc35393622"/>
      <w:bookmarkStart w:id="12" w:name="_Toc28359003"/>
      <w:r>
        <w:rPr>
          <w:rFonts w:hint="eastAsia" w:ascii="宋体" w:hAnsi="宋体" w:eastAsia="宋体" w:cs="宋体"/>
          <w:b/>
          <w:color w:val="auto"/>
        </w:rPr>
        <w:t>二、申请人的资格要求：</w:t>
      </w:r>
      <w:bookmarkEnd w:id="8"/>
      <w:bookmarkEnd w:id="9"/>
      <w:bookmarkEnd w:id="10"/>
      <w:bookmarkEnd w:id="11"/>
      <w:bookmarkEnd w:id="12"/>
    </w:p>
    <w:p w14:paraId="4E0D34F3">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1.满足《中华人民共和国政府采购法》第二十二条规定，并提供下列材料：</w:t>
      </w:r>
    </w:p>
    <w:p w14:paraId="36A85EAB">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1.1 法人或者其他组织的营业执照等证明文件，自然人的身份证明；</w:t>
      </w:r>
    </w:p>
    <w:p w14:paraId="7025C436">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1.2上一年度的财务状况报</w:t>
      </w:r>
      <w:r>
        <w:rPr>
          <w:rFonts w:hint="eastAsia" w:ascii="宋体" w:hAnsi="宋体" w:eastAsia="宋体" w:cs="宋体"/>
          <w:color w:val="auto"/>
          <w:lang w:val="en-US" w:eastAsia="zh-CN"/>
        </w:rPr>
        <w:t>告</w:t>
      </w:r>
      <w:r>
        <w:rPr>
          <w:rFonts w:hint="eastAsia" w:ascii="宋体" w:hAnsi="宋体" w:eastAsia="宋体" w:cs="宋体"/>
          <w:color w:val="auto"/>
        </w:rPr>
        <w:t>（成立不满一年无需提供）；</w:t>
      </w:r>
    </w:p>
    <w:p w14:paraId="12BF0F88">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1.3具备履行合同所必需的设备和专业技术能力的书面声明；</w:t>
      </w:r>
    </w:p>
    <w:p w14:paraId="6D1AFCC6">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0A28C65D">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1.5参加政府采购活动前3年内在经营活动中没有重大违法记录的书面声明。</w:t>
      </w:r>
    </w:p>
    <w:p w14:paraId="3EAD4BEE">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1.6法律、行政法规规定的其他条件。</w:t>
      </w:r>
    </w:p>
    <w:p w14:paraId="5E7CBF07">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3B1C4CD">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1.8单位负责人为同一人或者存在直接控股、管理关系的不同供应商，不得参加同一合同项下的政府采购活动(自行承诺)。</w:t>
      </w:r>
    </w:p>
    <w:p w14:paraId="4743D441">
      <w:pPr>
        <w:pStyle w:val="34"/>
        <w:numPr>
          <w:ilvl w:val="0"/>
          <w:numId w:val="1"/>
        </w:numPr>
        <w:spacing w:beforeAutospacing="0" w:afterAutospacing="0" w:line="360" w:lineRule="auto"/>
        <w:ind w:left="239" w:firstLine="307"/>
        <w:jc w:val="left"/>
        <w:rPr>
          <w:rFonts w:hint="eastAsia" w:ascii="宋体" w:hAnsi="宋体" w:eastAsia="宋体" w:cs="宋体"/>
          <w:color w:val="auto"/>
          <w:lang w:val="en-US" w:eastAsia="zh-CN"/>
        </w:rPr>
      </w:pPr>
      <w:r>
        <w:rPr>
          <w:rFonts w:hint="eastAsia" w:ascii="宋体" w:hAnsi="宋体" w:eastAsia="宋体" w:cs="宋体"/>
          <w:color w:val="auto"/>
        </w:rPr>
        <w:t>落实政府采购政策需满足的资格要求：</w:t>
      </w:r>
      <w:r>
        <w:rPr>
          <w:rFonts w:hint="eastAsia" w:ascii="宋体" w:hAnsi="宋体" w:eastAsia="宋体" w:cs="宋体"/>
          <w:color w:val="auto"/>
          <w:lang w:val="en-US" w:eastAsia="zh-CN"/>
        </w:rPr>
        <w:t xml:space="preserve"> </w:t>
      </w:r>
    </w:p>
    <w:p w14:paraId="406B0F23">
      <w:pPr>
        <w:pStyle w:val="34"/>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b/>
          <w:bCs/>
          <w:color w:val="auto"/>
          <w:lang w:val="en-US" w:eastAsia="zh-CN"/>
        </w:rPr>
        <w:t>采购包一、采购包二</w:t>
      </w:r>
      <w:r>
        <w:rPr>
          <w:rFonts w:hint="eastAsia" w:ascii="宋体" w:hAnsi="宋体" w:eastAsia="宋体" w:cs="宋体"/>
          <w:color w:val="auto"/>
          <w:lang w:val="en-US" w:eastAsia="zh-CN"/>
        </w:rPr>
        <w:t xml:space="preserve">： </w:t>
      </w:r>
      <w:r>
        <w:rPr>
          <w:rFonts w:hint="eastAsia" w:ascii="宋体" w:hAnsi="宋体" w:eastAsia="宋体" w:cs="宋体"/>
          <w:color w:val="auto"/>
        </w:rPr>
        <w:t>本项目专门面向中小企业采购，标的所属行业为工业（中小企业划分标准详见《关于印发中小企业划型标准规定的通知》工信部联企业〔2011〕300号），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p>
    <w:p w14:paraId="32662F6A">
      <w:pPr>
        <w:pStyle w:val="34"/>
        <w:widowControl/>
        <w:shd w:val="clear" w:color="auto" w:fill="FFFFFF"/>
        <w:spacing w:beforeAutospacing="0" w:afterAutospacing="0" w:line="360" w:lineRule="auto"/>
        <w:ind w:firstLine="560"/>
        <w:jc w:val="both"/>
        <w:rPr>
          <w:rFonts w:ascii="宋体" w:hAnsi="宋体" w:eastAsia="宋体" w:cs="宋体"/>
          <w:color w:val="auto"/>
        </w:rPr>
      </w:pPr>
      <w:r>
        <w:rPr>
          <w:rFonts w:hint="eastAsia" w:ascii="宋体" w:hAnsi="宋体" w:eastAsia="宋体" w:cs="宋体"/>
          <w:color w:val="auto"/>
        </w:rPr>
        <w:t>3.本项目的特定资格要求：</w:t>
      </w:r>
      <w:r>
        <w:rPr>
          <w:rFonts w:hint="eastAsia" w:ascii="宋体" w:hAnsi="宋体" w:eastAsia="宋体" w:cs="宋体"/>
          <w:i/>
          <w:iCs/>
          <w:color w:val="auto"/>
          <w:u w:val="single"/>
        </w:rPr>
        <w:t>无。</w:t>
      </w:r>
    </w:p>
    <w:p w14:paraId="09E1190E">
      <w:pPr>
        <w:pStyle w:val="34"/>
        <w:keepNext/>
        <w:keepLines/>
        <w:spacing w:beforeAutospacing="0" w:afterAutospacing="0" w:line="360" w:lineRule="auto"/>
        <w:ind w:firstLine="498"/>
        <w:jc w:val="both"/>
        <w:rPr>
          <w:rFonts w:ascii="宋体" w:hAnsi="宋体" w:eastAsia="宋体" w:cs="宋体"/>
          <w:color w:val="auto"/>
        </w:rPr>
      </w:pPr>
      <w:r>
        <w:rPr>
          <w:rFonts w:hint="eastAsia" w:ascii="宋体" w:hAnsi="宋体" w:eastAsia="宋体" w:cs="宋体"/>
          <w:b/>
          <w:color w:val="auto"/>
        </w:rPr>
        <w:t>三、获取招标文件</w:t>
      </w:r>
    </w:p>
    <w:p w14:paraId="54D7B003">
      <w:pPr>
        <w:pStyle w:val="34"/>
        <w:widowControl/>
        <w:shd w:val="clear" w:color="auto" w:fill="FFFFFF"/>
        <w:spacing w:beforeAutospacing="0" w:afterAutospacing="0" w:line="360" w:lineRule="auto"/>
        <w:ind w:firstLine="540"/>
        <w:jc w:val="both"/>
        <w:rPr>
          <w:rFonts w:ascii="宋体" w:hAnsi="宋体" w:eastAsia="宋体" w:cs="宋体"/>
          <w:color w:val="auto"/>
        </w:rPr>
      </w:pPr>
      <w:bookmarkStart w:id="13" w:name="_Toc28359005"/>
      <w:bookmarkStart w:id="14" w:name="_Toc35393793"/>
      <w:bookmarkStart w:id="15" w:name="_Toc38985266"/>
      <w:bookmarkStart w:id="16" w:name="_Toc28359082"/>
      <w:bookmarkStart w:id="17" w:name="_Toc35393624"/>
      <w:r>
        <w:rPr>
          <w:rFonts w:hint="eastAsia" w:ascii="宋体" w:hAnsi="宋体" w:eastAsia="宋体" w:cs="宋体"/>
          <w:color w:val="auto"/>
        </w:rPr>
        <w:t>1.时间：</w:t>
      </w:r>
      <w:bookmarkEnd w:id="13"/>
      <w:bookmarkEnd w:id="14"/>
      <w:bookmarkEnd w:id="15"/>
      <w:bookmarkEnd w:id="16"/>
      <w:bookmarkEnd w:id="17"/>
      <w:r>
        <w:rPr>
          <w:rFonts w:hint="eastAsia" w:ascii="宋体" w:hAnsi="宋体" w:eastAsia="宋体" w:cs="宋体"/>
          <w:color w:val="auto"/>
        </w:rPr>
        <w:t>自招标文件公告发布之日起5个工作日 。</w:t>
      </w:r>
    </w:p>
    <w:p w14:paraId="51F87381">
      <w:pPr>
        <w:widowControl/>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2.地点：“苏采云”系统内免费下载（投标人必须在苏采云系统中获取采购文件，方能参与政府采购项目）；</w:t>
      </w:r>
    </w:p>
    <w:p w14:paraId="47A5764E">
      <w:pPr>
        <w:pStyle w:val="34"/>
        <w:widowControl/>
        <w:shd w:val="clear" w:color="auto" w:fill="FFFFFF"/>
        <w:spacing w:beforeAutospacing="0" w:afterAutospacing="0" w:line="360" w:lineRule="auto"/>
        <w:ind w:firstLine="540"/>
        <w:jc w:val="both"/>
        <w:rPr>
          <w:rFonts w:ascii="宋体" w:hAnsi="宋体" w:eastAsia="宋体" w:cs="宋体"/>
          <w:color w:val="auto"/>
        </w:rPr>
      </w:pPr>
      <w:r>
        <w:rPr>
          <w:rFonts w:hint="eastAsia" w:ascii="宋体" w:hAnsi="宋体" w:eastAsia="宋体" w:cs="宋体"/>
          <w:color w:val="auto"/>
        </w:rPr>
        <w:t xml:space="preserve">3.方式：本项目采用网上注册登记方式。 </w:t>
      </w:r>
    </w:p>
    <w:p w14:paraId="24DB6273">
      <w:pPr>
        <w:widowControl/>
        <w:spacing w:line="360" w:lineRule="auto"/>
        <w:ind w:firstLine="480"/>
        <w:jc w:val="left"/>
        <w:rPr>
          <w:rFonts w:ascii="宋体" w:hAnsi="宋体" w:eastAsia="宋体" w:cs="宋体"/>
          <w:color w:val="auto"/>
          <w:sz w:val="24"/>
        </w:rPr>
      </w:pPr>
      <w:r>
        <w:rPr>
          <w:rFonts w:hint="eastAsia" w:ascii="宋体" w:hAnsi="宋体" w:eastAsia="宋体" w:cs="宋体"/>
          <w:color w:val="auto"/>
          <w:sz w:val="24"/>
        </w:rPr>
        <w:t>4.售价：0元</w:t>
      </w:r>
    </w:p>
    <w:p w14:paraId="501FF8C7">
      <w:pPr>
        <w:pStyle w:val="34"/>
        <w:keepNext/>
        <w:keepLines/>
        <w:spacing w:beforeAutospacing="0" w:afterAutospacing="0" w:line="360" w:lineRule="auto"/>
        <w:ind w:firstLine="498"/>
        <w:jc w:val="both"/>
        <w:rPr>
          <w:rFonts w:ascii="宋体" w:hAnsi="宋体" w:eastAsia="宋体" w:cs="宋体"/>
          <w:color w:val="auto"/>
        </w:rPr>
      </w:pPr>
      <w:r>
        <w:rPr>
          <w:rFonts w:hint="eastAsia" w:ascii="宋体" w:hAnsi="宋体" w:eastAsia="宋体" w:cs="宋体"/>
          <w:b/>
          <w:color w:val="auto"/>
        </w:rPr>
        <w:t>四、提交投标文件截止时间、开标时间和地点</w:t>
      </w:r>
    </w:p>
    <w:p w14:paraId="4C1D9905">
      <w:pPr>
        <w:pStyle w:val="34"/>
        <w:widowControl/>
        <w:shd w:val="clear" w:color="auto" w:fill="FFFFFF"/>
        <w:spacing w:beforeAutospacing="0" w:afterAutospacing="0" w:line="360" w:lineRule="auto"/>
        <w:ind w:firstLine="540"/>
        <w:jc w:val="both"/>
        <w:rPr>
          <w:rFonts w:ascii="宋体" w:hAnsi="宋体" w:eastAsia="宋体" w:cs="宋体"/>
          <w:color w:val="auto"/>
        </w:rPr>
      </w:pPr>
      <w:r>
        <w:rPr>
          <w:rFonts w:hint="eastAsia" w:ascii="宋体" w:hAnsi="宋体" w:eastAsia="宋体" w:cs="宋体"/>
          <w:color w:val="auto"/>
        </w:rPr>
        <w:t>1.时间：</w:t>
      </w:r>
      <w:r>
        <w:rPr>
          <w:rFonts w:hint="eastAsia" w:ascii="宋体" w:hAnsi="宋体" w:eastAsia="宋体" w:cs="宋体"/>
          <w:color w:val="auto"/>
          <w:u w:val="single"/>
          <w:lang w:val="en-US" w:eastAsia="zh-CN"/>
        </w:rPr>
        <w:t>2026</w:t>
      </w:r>
      <w:r>
        <w:rPr>
          <w:rFonts w:hint="eastAsia" w:ascii="宋体" w:hAnsi="宋体" w:eastAsia="宋体" w:cs="宋体"/>
          <w:color w:val="auto"/>
          <w:u w:val="single"/>
        </w:rPr>
        <w:t>年</w:t>
      </w:r>
      <w:r>
        <w:rPr>
          <w:rFonts w:hint="eastAsia" w:ascii="宋体" w:hAnsi="宋体" w:eastAsia="宋体" w:cs="宋体"/>
          <w:color w:val="auto"/>
          <w:u w:val="single"/>
          <w:lang w:val="en-US" w:eastAsia="zh-CN"/>
        </w:rPr>
        <w:t>9</w:t>
      </w:r>
      <w:r>
        <w:rPr>
          <w:rFonts w:hint="eastAsia" w:ascii="宋体" w:hAnsi="宋体" w:eastAsia="宋体" w:cs="宋体"/>
          <w:color w:val="auto"/>
          <w:u w:val="single"/>
        </w:rPr>
        <w:t>月</w:t>
      </w:r>
      <w:r>
        <w:rPr>
          <w:rFonts w:hint="eastAsia" w:ascii="宋体" w:hAnsi="宋体" w:eastAsia="宋体" w:cs="宋体"/>
          <w:color w:val="auto"/>
          <w:u w:val="single"/>
          <w:lang w:val="en-US" w:eastAsia="zh-CN"/>
        </w:rPr>
        <w:t>23</w:t>
      </w:r>
      <w:r>
        <w:rPr>
          <w:rFonts w:hint="eastAsia" w:ascii="宋体" w:hAnsi="宋体" w:eastAsia="宋体" w:cs="宋体"/>
          <w:color w:val="auto"/>
          <w:u w:val="single"/>
        </w:rPr>
        <w:t>日</w:t>
      </w:r>
      <w:r>
        <w:rPr>
          <w:rFonts w:hint="eastAsia" w:ascii="宋体" w:hAnsi="宋体" w:eastAsia="宋体" w:cs="宋体"/>
          <w:color w:val="auto"/>
          <w:u w:val="single"/>
          <w:lang w:val="en-US" w:eastAsia="zh-CN"/>
        </w:rPr>
        <w:t>9:00</w:t>
      </w:r>
      <w:r>
        <w:rPr>
          <w:rFonts w:hint="eastAsia" w:ascii="宋体" w:hAnsi="宋体" w:eastAsia="宋体" w:cs="宋体"/>
          <w:color w:val="auto"/>
        </w:rPr>
        <w:t>（北京时间）。</w:t>
      </w:r>
    </w:p>
    <w:p w14:paraId="6D4BB7D6">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2.地点：苏采云“不见面”开标大厅 。</w:t>
      </w:r>
    </w:p>
    <w:p w14:paraId="3F4E5EBB">
      <w:pPr>
        <w:pStyle w:val="34"/>
        <w:keepNext/>
        <w:keepLines/>
        <w:spacing w:beforeAutospacing="0" w:afterAutospacing="0" w:line="360" w:lineRule="auto"/>
        <w:ind w:firstLine="498"/>
        <w:jc w:val="both"/>
        <w:rPr>
          <w:rFonts w:ascii="宋体" w:hAnsi="宋体" w:eastAsia="宋体" w:cs="宋体"/>
          <w:color w:val="auto"/>
        </w:rPr>
      </w:pPr>
      <w:bookmarkStart w:id="18" w:name="_Toc28359007"/>
      <w:bookmarkStart w:id="19" w:name="_Toc28359084"/>
      <w:bookmarkStart w:id="20" w:name="_Toc38985267"/>
      <w:bookmarkStart w:id="21" w:name="_Toc35393794"/>
      <w:bookmarkStart w:id="22" w:name="_Toc35393625"/>
      <w:r>
        <w:rPr>
          <w:rFonts w:hint="eastAsia" w:ascii="宋体" w:hAnsi="宋体" w:eastAsia="宋体" w:cs="宋体"/>
          <w:b/>
          <w:color w:val="auto"/>
        </w:rPr>
        <w:t>五、公告期限</w:t>
      </w:r>
      <w:bookmarkEnd w:id="18"/>
      <w:bookmarkEnd w:id="19"/>
      <w:bookmarkEnd w:id="20"/>
      <w:bookmarkEnd w:id="21"/>
      <w:bookmarkEnd w:id="22"/>
    </w:p>
    <w:p w14:paraId="0AA2139B">
      <w:pPr>
        <w:pStyle w:val="34"/>
        <w:widowControl/>
        <w:shd w:val="clear" w:color="auto" w:fill="FFFFFF"/>
        <w:spacing w:beforeAutospacing="0" w:afterAutospacing="0" w:line="360" w:lineRule="auto"/>
        <w:ind w:firstLine="560"/>
        <w:jc w:val="both"/>
        <w:rPr>
          <w:rFonts w:ascii="宋体" w:hAnsi="宋体" w:eastAsia="宋体" w:cs="宋体"/>
          <w:color w:val="auto"/>
          <w:shd w:val="clear" w:color="auto" w:fill="FFFFFF"/>
        </w:rPr>
      </w:pPr>
      <w:bookmarkStart w:id="23" w:name="_Toc35393626"/>
      <w:bookmarkStart w:id="24" w:name="_Toc38985268"/>
      <w:bookmarkStart w:id="25" w:name="_Toc35393795"/>
      <w:r>
        <w:rPr>
          <w:rFonts w:hint="eastAsia" w:ascii="宋体" w:hAnsi="宋体" w:eastAsia="宋体" w:cs="宋体"/>
          <w:color w:val="auto"/>
          <w:shd w:val="clear" w:color="auto" w:fill="FFFFFF"/>
        </w:rPr>
        <w:t>自本公告发布之日起5个工作日。</w:t>
      </w:r>
      <w:bookmarkEnd w:id="23"/>
      <w:bookmarkEnd w:id="24"/>
      <w:bookmarkEnd w:id="25"/>
    </w:p>
    <w:p w14:paraId="29C3E574">
      <w:pPr>
        <w:pStyle w:val="34"/>
        <w:keepNext/>
        <w:keepLines/>
        <w:spacing w:beforeAutospacing="0" w:afterAutospacing="0" w:line="360" w:lineRule="auto"/>
        <w:ind w:firstLine="498"/>
        <w:jc w:val="both"/>
        <w:rPr>
          <w:rFonts w:ascii="宋体" w:hAnsi="宋体" w:eastAsia="宋体" w:cs="宋体"/>
          <w:color w:val="auto"/>
        </w:rPr>
      </w:pPr>
      <w:r>
        <w:rPr>
          <w:rFonts w:hint="eastAsia" w:ascii="宋体" w:hAnsi="宋体" w:eastAsia="宋体" w:cs="宋体"/>
          <w:b/>
          <w:color w:val="auto"/>
        </w:rPr>
        <w:t>六、其他补充事宜</w:t>
      </w:r>
    </w:p>
    <w:p w14:paraId="605BDE85">
      <w:pPr>
        <w:keepNext w:val="0"/>
        <w:keepLines w:val="0"/>
        <w:pageBreakBefore w:val="0"/>
        <w:widowControl/>
        <w:spacing w:line="460" w:lineRule="exact"/>
        <w:ind w:firstLine="482"/>
        <w:jc w:val="left"/>
        <w:rPr>
          <w:rFonts w:ascii="宋体" w:hAnsi="宋体" w:eastAsia="宋体" w:cs="宋体"/>
          <w:color w:val="auto"/>
          <w:sz w:val="24"/>
          <w:szCs w:val="20"/>
        </w:rPr>
      </w:pPr>
      <w:bookmarkStart w:id="26" w:name="_Toc28359018"/>
      <w:r>
        <w:rPr>
          <w:rFonts w:hint="eastAsia" w:ascii="宋体" w:hAnsi="宋体" w:eastAsia="宋体" w:cs="宋体"/>
          <w:color w:val="auto"/>
          <w:sz w:val="24"/>
          <w:szCs w:val="20"/>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hint="eastAsia" w:ascii="宋体" w:hAnsi="宋体" w:cs="宋体"/>
          <w:color w:val="auto"/>
          <w:sz w:val="24"/>
          <w:szCs w:val="20"/>
        </w:rPr>
        <w:t>具体办理指南：在盐城市政府采购网点击【办事指南】-【供应商参与政府采购活动相关资料】。</w:t>
      </w:r>
    </w:p>
    <w:p w14:paraId="0D72C563">
      <w:pPr>
        <w:keepNext w:val="0"/>
        <w:keepLines w:val="0"/>
        <w:pageBreakBefore w:val="0"/>
        <w:widowControl/>
        <w:spacing w:line="4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领取CA和办理电子签章（</w:t>
      </w:r>
      <w:r>
        <w:rPr>
          <w:rFonts w:hint="eastAsia" w:ascii="宋体" w:hAnsi="宋体" w:eastAsia="宋体" w:cs="宋体"/>
          <w:b/>
          <w:bCs/>
          <w:color w:val="auto"/>
          <w:sz w:val="24"/>
          <w:szCs w:val="20"/>
        </w:rPr>
        <w:t>请至盐城市府西路1号盐城市公共资源交易中心四楼大厅10号，11号窗口办理</w:t>
      </w:r>
      <w:r>
        <w:rPr>
          <w:rFonts w:hint="eastAsia" w:ascii="宋体" w:hAnsi="宋体" w:eastAsia="宋体" w:cs="宋体"/>
          <w:color w:val="auto"/>
          <w:sz w:val="24"/>
          <w:szCs w:val="20"/>
        </w:rPr>
        <w:t>，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0E6FC146">
      <w:pPr>
        <w:keepNext w:val="0"/>
        <w:keepLines w:val="0"/>
        <w:pageBreakBefore w:val="0"/>
        <w:widowControl/>
        <w:spacing w:line="4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 xml:space="preserve">2. 潜在供应商访问电子招标响应交易平台的网络地址和方法： </w:t>
      </w:r>
    </w:p>
    <w:p w14:paraId="01D06292">
      <w:pPr>
        <w:keepNext w:val="0"/>
        <w:keepLines w:val="0"/>
        <w:pageBreakBefore w:val="0"/>
        <w:widowControl/>
        <w:spacing w:line="4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66F069D9">
      <w:pPr>
        <w:keepNext w:val="0"/>
        <w:keepLines w:val="0"/>
        <w:pageBreakBefore w:val="0"/>
        <w:widowControl/>
        <w:spacing w:line="4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 xml:space="preserve">2.2 潜在投标人访问“苏采云”系统方法：江苏省政府采购网首页-“苏采云”链接。 </w:t>
      </w:r>
    </w:p>
    <w:p w14:paraId="6A75EB48">
      <w:pPr>
        <w:keepNext w:val="0"/>
        <w:keepLines w:val="0"/>
        <w:pageBreakBefore w:val="0"/>
        <w:widowControl/>
        <w:spacing w:line="4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 xml:space="preserve">2.3 采购文件（后缀名为“.kedt”）、供应商操作手册及政府采购客户端 工具可通过“苏采云”系统相应链接进行下载。 </w:t>
      </w:r>
    </w:p>
    <w:p w14:paraId="7C4EAD57">
      <w:pPr>
        <w:keepNext w:val="0"/>
        <w:keepLines w:val="0"/>
        <w:pageBreakBefore w:val="0"/>
        <w:widowControl/>
        <w:spacing w:line="4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 xml:space="preserve">2.4 采购代理机构将数据电文形式的采购文件加载至“苏采云”系统，供潜在供应商下载或者查阅。 </w:t>
      </w:r>
    </w:p>
    <w:p w14:paraId="247FDFD9">
      <w:pPr>
        <w:keepNext w:val="0"/>
        <w:keepLines w:val="0"/>
        <w:pageBreakBefore w:val="0"/>
        <w:widowControl/>
        <w:spacing w:line="4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 xml:space="preserve">2.5 请潜在投标单位提前安装相应的控件（详见《“苏采云”系统供应商操作手册》）并使用谷歌浏览器登录“苏采云”系统参与不见面开评标。 </w:t>
      </w:r>
    </w:p>
    <w:p w14:paraId="3E20332F">
      <w:pPr>
        <w:keepNext w:val="0"/>
        <w:keepLines w:val="0"/>
        <w:pageBreakBefore w:val="0"/>
        <w:widowControl/>
        <w:spacing w:line="4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如潜在投标人未按上述要求操作，将自行承担所产生的风险。</w:t>
      </w:r>
    </w:p>
    <w:p w14:paraId="6F11FBF8">
      <w:pPr>
        <w:keepNext w:val="0"/>
        <w:keepLines w:val="0"/>
        <w:pageBreakBefore w:val="0"/>
        <w:widowControl/>
        <w:spacing w:line="4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3.有关本次招标的事项若存在变动或修改，敬请及时关注</w:t>
      </w:r>
      <w:r>
        <w:rPr>
          <w:rFonts w:hint="eastAsia" w:ascii="宋体" w:hAnsi="宋体" w:eastAsia="宋体" w:cs="宋体"/>
          <w:color w:val="auto"/>
          <w:sz w:val="24"/>
          <w:szCs w:val="20"/>
          <w:lang w:val="en-US" w:eastAsia="zh-CN"/>
        </w:rPr>
        <w:t>采购人</w:t>
      </w:r>
      <w:r>
        <w:rPr>
          <w:rFonts w:hint="eastAsia" w:ascii="宋体" w:hAnsi="宋体" w:eastAsia="宋体" w:cs="宋体"/>
          <w:color w:val="auto"/>
          <w:sz w:val="24"/>
          <w:szCs w:val="20"/>
        </w:rPr>
        <w:t>在“中国政府采购网”、“江苏政府采购网”、“盐城市政府采购网”发布的更正公告。</w:t>
      </w:r>
    </w:p>
    <w:p w14:paraId="14C5A280">
      <w:pPr>
        <w:pStyle w:val="34"/>
        <w:widowControl/>
        <w:shd w:val="clear" w:color="auto" w:fill="FFFFFF"/>
        <w:spacing w:beforeAutospacing="0" w:afterAutospacing="0" w:line="360" w:lineRule="auto"/>
        <w:ind w:firstLine="560"/>
        <w:jc w:val="both"/>
        <w:rPr>
          <w:rFonts w:ascii="宋体" w:hAnsi="宋体" w:eastAsia="宋体" w:cs="宋体"/>
          <w:color w:val="auto"/>
          <w:shd w:val="clear" w:color="auto" w:fill="FFFFFF"/>
        </w:rPr>
      </w:pPr>
      <w:r>
        <w:rPr>
          <w:rFonts w:hint="eastAsia" w:ascii="宋体" w:hAnsi="宋体" w:eastAsia="宋体" w:cs="宋体"/>
          <w:color w:val="auto"/>
          <w:sz w:val="24"/>
          <w:szCs w:val="20"/>
        </w:rPr>
        <w:t>4.本次招标不收取投标保证金，不收取质量保证金。</w:t>
      </w:r>
    </w:p>
    <w:p w14:paraId="5F1AED48">
      <w:pPr>
        <w:pStyle w:val="34"/>
        <w:keepNext/>
        <w:keepLines/>
        <w:spacing w:beforeAutospacing="0" w:afterAutospacing="0" w:line="360" w:lineRule="auto"/>
        <w:ind w:firstLine="498"/>
        <w:jc w:val="both"/>
        <w:rPr>
          <w:rFonts w:ascii="宋体" w:hAnsi="宋体" w:eastAsia="宋体" w:cs="宋体"/>
          <w:b/>
          <w:color w:val="auto"/>
        </w:rPr>
      </w:pPr>
      <w:r>
        <w:rPr>
          <w:rFonts w:hint="eastAsia" w:ascii="宋体" w:hAnsi="宋体" w:eastAsia="宋体" w:cs="宋体"/>
          <w:b/>
          <w:color w:val="auto"/>
        </w:rPr>
        <w:t>七、对本次招标提出询问，请按以下方式联系。</w:t>
      </w:r>
      <w:bookmarkEnd w:id="26"/>
    </w:p>
    <w:p w14:paraId="22703534">
      <w:pPr>
        <w:pStyle w:val="34"/>
        <w:widowControl/>
        <w:shd w:val="clear" w:color="auto" w:fill="FFFFFF"/>
        <w:spacing w:beforeAutospacing="0" w:afterAutospacing="0" w:line="360" w:lineRule="auto"/>
        <w:ind w:firstLine="60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1.采购人信息</w:t>
      </w:r>
    </w:p>
    <w:p w14:paraId="68757C79">
      <w:pPr>
        <w:pStyle w:val="34"/>
        <w:widowControl/>
        <w:shd w:val="clear" w:color="auto" w:fill="FFFFFF"/>
        <w:spacing w:beforeAutospacing="0" w:afterAutospacing="0" w:line="360" w:lineRule="auto"/>
        <w:ind w:firstLine="56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名 称：江苏省盐城技师学院</w:t>
      </w:r>
    </w:p>
    <w:p w14:paraId="4DB00375">
      <w:pPr>
        <w:pStyle w:val="34"/>
        <w:widowControl/>
        <w:shd w:val="clear" w:color="auto" w:fill="FFFFFF"/>
        <w:spacing w:beforeAutospacing="0" w:afterAutospacing="0" w:line="360" w:lineRule="auto"/>
        <w:ind w:firstLine="56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地址：盐城市盐都区海洋路29号</w:t>
      </w:r>
    </w:p>
    <w:p w14:paraId="78395873">
      <w:pPr>
        <w:pStyle w:val="34"/>
        <w:widowControl/>
        <w:shd w:val="clear" w:color="auto" w:fill="FFFFFF"/>
        <w:spacing w:beforeAutospacing="0" w:afterAutospacing="0" w:line="360" w:lineRule="auto"/>
        <w:ind w:firstLine="56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联系人：王老师</w:t>
      </w:r>
    </w:p>
    <w:p w14:paraId="1610D241">
      <w:pPr>
        <w:pStyle w:val="34"/>
        <w:widowControl/>
        <w:shd w:val="clear" w:color="auto" w:fill="FFFFFF"/>
        <w:spacing w:beforeAutospacing="0" w:afterAutospacing="0" w:line="360" w:lineRule="auto"/>
        <w:ind w:firstLine="56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联系方式：</w:t>
      </w:r>
      <w:r>
        <w:rPr>
          <w:rFonts w:ascii="宋体" w:hAnsi="宋体" w:eastAsia="宋体" w:cs="宋体"/>
          <w:color w:val="auto"/>
          <w:shd w:val="clear" w:color="auto" w:fill="FFFFFF"/>
        </w:rPr>
        <w:t>13056150848</w:t>
      </w:r>
    </w:p>
    <w:p w14:paraId="0B3BDAC3">
      <w:pPr>
        <w:pStyle w:val="34"/>
        <w:widowControl/>
        <w:shd w:val="clear" w:color="auto" w:fill="FFFFFF"/>
        <w:spacing w:beforeAutospacing="0" w:afterAutospacing="0" w:line="360" w:lineRule="auto"/>
        <w:ind w:firstLine="56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2.采购代理机构信息</w:t>
      </w:r>
    </w:p>
    <w:p w14:paraId="64D5A92B">
      <w:pPr>
        <w:pStyle w:val="34"/>
        <w:widowControl/>
        <w:shd w:val="clear" w:color="auto" w:fill="FFFFFF"/>
        <w:spacing w:beforeAutospacing="0" w:afterAutospacing="0" w:line="360" w:lineRule="auto"/>
        <w:ind w:firstLine="560"/>
        <w:jc w:val="both"/>
        <w:rPr>
          <w:rFonts w:hint="eastAsia" w:ascii="宋体" w:hAnsi="宋体" w:eastAsia="宋体" w:cs="宋体"/>
          <w:color w:val="auto"/>
          <w:shd w:val="clear" w:color="auto" w:fill="FFFFFF"/>
          <w:lang w:eastAsia="zh-CN"/>
        </w:rPr>
      </w:pPr>
      <w:r>
        <w:rPr>
          <w:rFonts w:hint="eastAsia" w:ascii="宋体" w:hAnsi="宋体" w:eastAsia="宋体" w:cs="宋体"/>
          <w:color w:val="auto"/>
          <w:shd w:val="clear" w:color="auto" w:fill="FFFFFF"/>
        </w:rPr>
        <w:t>名 称：</w:t>
      </w:r>
      <w:r>
        <w:rPr>
          <w:rFonts w:hint="eastAsia" w:ascii="宋体" w:hAnsi="宋体" w:eastAsia="宋体" w:cs="宋体"/>
          <w:color w:val="auto"/>
          <w:shd w:val="clear" w:color="auto" w:fill="FFFFFF"/>
          <w:lang w:val="en-US" w:eastAsia="zh-CN"/>
        </w:rPr>
        <w:t xml:space="preserve">江苏德诺工程项目管理有限公司 </w:t>
      </w:r>
    </w:p>
    <w:p w14:paraId="20124521">
      <w:pPr>
        <w:pStyle w:val="34"/>
        <w:widowControl/>
        <w:shd w:val="clear" w:color="auto" w:fill="FFFFFF"/>
        <w:spacing w:beforeAutospacing="0" w:afterAutospacing="0" w:line="360" w:lineRule="auto"/>
        <w:ind w:firstLine="560"/>
        <w:jc w:val="both"/>
        <w:rPr>
          <w:rFonts w:hint="eastAsia" w:ascii="宋体" w:hAnsi="宋体" w:eastAsia="宋体" w:cs="宋体"/>
          <w:color w:val="auto"/>
          <w:shd w:val="clear" w:color="auto" w:fill="FFFFFF"/>
          <w:lang w:eastAsia="zh-CN"/>
        </w:rPr>
      </w:pPr>
      <w:bookmarkStart w:id="27" w:name="_Toc28359021"/>
      <w:r>
        <w:rPr>
          <w:rFonts w:hint="eastAsia" w:ascii="宋体" w:hAnsi="宋体" w:eastAsia="宋体" w:cs="宋体"/>
          <w:color w:val="auto"/>
          <w:shd w:val="clear" w:color="auto" w:fill="FFFFFF"/>
        </w:rPr>
        <w:t>地　　址：盐城市亭湖区西亭路35号滨河人家2#楼四楼C57（18）</w:t>
      </w:r>
      <w:r>
        <w:rPr>
          <w:rFonts w:hint="eastAsia" w:ascii="宋体" w:hAnsi="宋体" w:eastAsia="宋体" w:cs="宋体"/>
          <w:color w:val="auto"/>
          <w:shd w:val="clear" w:color="auto" w:fill="FFFFFF"/>
          <w:lang w:val="en-US" w:eastAsia="zh-CN"/>
        </w:rPr>
        <w:t xml:space="preserve"> </w:t>
      </w:r>
    </w:p>
    <w:p w14:paraId="196517F9">
      <w:pPr>
        <w:pStyle w:val="34"/>
        <w:widowControl/>
        <w:shd w:val="clear" w:color="auto" w:fill="FFFFFF"/>
        <w:spacing w:beforeAutospacing="0" w:afterAutospacing="0" w:line="360" w:lineRule="auto"/>
        <w:ind w:firstLine="56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联 系 人：</w:t>
      </w:r>
      <w:r>
        <w:rPr>
          <w:rFonts w:hint="eastAsia" w:ascii="宋体" w:hAnsi="宋体" w:eastAsia="宋体" w:cs="宋体"/>
          <w:color w:val="auto"/>
          <w:shd w:val="clear" w:color="auto" w:fill="FFFFFF"/>
          <w:lang w:val="en-US" w:eastAsia="zh-CN"/>
        </w:rPr>
        <w:t xml:space="preserve">王工 </w:t>
      </w:r>
      <w:r>
        <w:rPr>
          <w:rFonts w:hint="eastAsia" w:ascii="宋体" w:hAnsi="宋体" w:eastAsia="宋体" w:cs="宋体"/>
          <w:color w:val="auto"/>
          <w:shd w:val="clear" w:color="auto" w:fill="FFFFFF"/>
        </w:rPr>
        <w:t xml:space="preserve"> </w:t>
      </w:r>
    </w:p>
    <w:p w14:paraId="6C1567BC">
      <w:pPr>
        <w:pStyle w:val="34"/>
        <w:widowControl/>
        <w:shd w:val="clear" w:color="auto" w:fill="FFFFFF"/>
        <w:spacing w:beforeAutospacing="0" w:afterAutospacing="0" w:line="360" w:lineRule="auto"/>
        <w:ind w:firstLine="560"/>
        <w:jc w:val="both"/>
        <w:rPr>
          <w:rFonts w:hint="eastAsia" w:ascii="宋体" w:hAnsi="宋体" w:eastAsia="宋体" w:cs="宋体"/>
          <w:color w:val="auto"/>
          <w:shd w:val="clear" w:color="auto" w:fill="FFFFFF"/>
          <w:lang w:eastAsia="zh-CN"/>
        </w:rPr>
      </w:pPr>
      <w:r>
        <w:rPr>
          <w:rFonts w:hint="eastAsia" w:ascii="宋体" w:hAnsi="宋体" w:eastAsia="宋体" w:cs="宋体"/>
          <w:color w:val="auto"/>
          <w:shd w:val="clear" w:color="auto" w:fill="FFFFFF"/>
        </w:rPr>
        <w:t>联系电话：</w:t>
      </w:r>
      <w:r>
        <w:rPr>
          <w:rFonts w:hint="eastAsia" w:ascii="宋体" w:hAnsi="宋体" w:eastAsia="宋体" w:cs="宋体"/>
          <w:color w:val="auto"/>
          <w:shd w:val="clear" w:color="auto" w:fill="FFFFFF"/>
          <w:lang w:val="en-US" w:eastAsia="zh-CN"/>
        </w:rPr>
        <w:t xml:space="preserve">19025068903 </w:t>
      </w:r>
    </w:p>
    <w:p w14:paraId="17A2A48C">
      <w:pPr>
        <w:pStyle w:val="34"/>
        <w:widowControl/>
        <w:shd w:val="clear" w:color="auto" w:fill="FFFFFF"/>
        <w:spacing w:beforeAutospacing="0" w:afterAutospacing="0" w:line="360" w:lineRule="auto"/>
        <w:ind w:firstLine="56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3.</w:t>
      </w:r>
      <w:bookmarkEnd w:id="27"/>
      <w:r>
        <w:rPr>
          <w:rFonts w:hint="eastAsia" w:ascii="宋体" w:hAnsi="宋体" w:eastAsia="宋体" w:cs="宋体"/>
          <w:color w:val="auto"/>
          <w:shd w:val="clear" w:color="auto" w:fill="FFFFFF"/>
        </w:rPr>
        <w:t>项目联系方式</w:t>
      </w:r>
    </w:p>
    <w:p w14:paraId="485208BD">
      <w:pPr>
        <w:pStyle w:val="34"/>
        <w:widowControl/>
        <w:shd w:val="clear" w:color="auto" w:fill="FFFFFF"/>
        <w:spacing w:beforeAutospacing="0" w:afterAutospacing="0" w:line="360" w:lineRule="auto"/>
        <w:ind w:firstLine="56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项目联系人：王老师</w:t>
      </w:r>
    </w:p>
    <w:p w14:paraId="026A00DF">
      <w:pPr>
        <w:pStyle w:val="34"/>
        <w:widowControl/>
        <w:shd w:val="clear" w:color="auto" w:fill="FFFFFF"/>
        <w:spacing w:beforeAutospacing="0" w:afterAutospacing="0" w:line="360" w:lineRule="auto"/>
        <w:ind w:firstLine="56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电　　 话：</w:t>
      </w:r>
      <w:r>
        <w:rPr>
          <w:rFonts w:ascii="宋体" w:hAnsi="宋体" w:eastAsia="宋体" w:cs="宋体"/>
          <w:color w:val="auto"/>
          <w:shd w:val="clear" w:color="auto" w:fill="FFFFFF"/>
        </w:rPr>
        <w:t>13056150848</w:t>
      </w:r>
    </w:p>
    <w:p w14:paraId="241000B4">
      <w:pPr>
        <w:rPr>
          <w:rFonts w:hint="eastAsia" w:ascii="宋体" w:hAnsi="宋体" w:eastAsia="宋体" w:cs="宋体"/>
          <w:color w:val="auto"/>
          <w:sz w:val="24"/>
          <w:lang w:eastAsia="zh-CN"/>
        </w:rPr>
      </w:pPr>
    </w:p>
    <w:p w14:paraId="32C288BE">
      <w:pPr>
        <w:rPr>
          <w:rFonts w:ascii="宋体" w:hAnsi="宋体" w:eastAsia="宋体" w:cs="宋体"/>
          <w:b/>
          <w:color w:val="auto"/>
          <w:sz w:val="24"/>
        </w:rPr>
      </w:pPr>
      <w:r>
        <w:rPr>
          <w:rFonts w:hint="eastAsia" w:ascii="宋体" w:hAnsi="宋体" w:eastAsia="宋体" w:cs="宋体"/>
          <w:color w:val="auto"/>
          <w:sz w:val="24"/>
        </w:rPr>
        <w:br w:type="page" w:clear="all"/>
      </w:r>
      <w:bookmarkStart w:id="28" w:name="_Toc120614211"/>
    </w:p>
    <w:p w14:paraId="0ECCF415">
      <w:pPr>
        <w:pStyle w:val="207"/>
        <w:rPr>
          <w:color w:val="auto"/>
        </w:rPr>
      </w:pPr>
      <w:bookmarkStart w:id="29" w:name="_Toc234256914"/>
      <w:r>
        <w:rPr>
          <w:rFonts w:hint="eastAsia"/>
          <w:color w:val="auto"/>
        </w:rPr>
        <w:t xml:space="preserve">第二章 </w:t>
      </w:r>
      <w:bookmarkEnd w:id="28"/>
      <w:bookmarkStart w:id="30" w:name="_Toc120614213"/>
      <w:bookmarkStart w:id="31" w:name="_Toc16938518"/>
      <w:bookmarkStart w:id="32" w:name="_Toc20823274"/>
      <w:bookmarkStart w:id="33" w:name="_Toc513029202"/>
      <w:r>
        <w:rPr>
          <w:rFonts w:hint="eastAsia"/>
          <w:color w:val="auto"/>
        </w:rPr>
        <w:t>投标人须知</w:t>
      </w:r>
      <w:bookmarkEnd w:id="29"/>
      <w:bookmarkEnd w:id="30"/>
      <w:bookmarkEnd w:id="31"/>
      <w:bookmarkEnd w:id="32"/>
      <w:bookmarkEnd w:id="33"/>
    </w:p>
    <w:p w14:paraId="6B1A803E">
      <w:pPr>
        <w:pStyle w:val="34"/>
        <w:keepNext/>
        <w:keepLines/>
        <w:spacing w:beforeAutospacing="0" w:afterAutospacing="0" w:line="360" w:lineRule="auto"/>
        <w:ind w:firstLine="498"/>
        <w:jc w:val="both"/>
        <w:rPr>
          <w:rFonts w:ascii="宋体" w:hAnsi="宋体" w:eastAsia="宋体" w:cs="宋体"/>
          <w:color w:val="auto"/>
        </w:rPr>
      </w:pPr>
      <w:bookmarkStart w:id="34" w:name="_Toc513029203"/>
      <w:bookmarkStart w:id="35" w:name="_Toc16938519"/>
      <w:bookmarkStart w:id="36" w:name="_Toc20823275"/>
      <w:bookmarkStart w:id="37" w:name="_Toc120614214"/>
      <w:r>
        <w:rPr>
          <w:rFonts w:hint="eastAsia" w:ascii="宋体" w:hAnsi="宋体" w:eastAsia="宋体" w:cs="宋体"/>
          <w:b/>
          <w:color w:val="auto"/>
        </w:rPr>
        <w:t>一、总则</w:t>
      </w:r>
      <w:bookmarkEnd w:id="34"/>
      <w:bookmarkEnd w:id="35"/>
      <w:bookmarkEnd w:id="36"/>
      <w:bookmarkEnd w:id="37"/>
    </w:p>
    <w:p w14:paraId="2F83659D">
      <w:pPr>
        <w:pStyle w:val="34"/>
        <w:keepNext/>
        <w:keepLines/>
        <w:spacing w:beforeAutospacing="0" w:afterAutospacing="0" w:line="360" w:lineRule="auto"/>
        <w:ind w:firstLine="420"/>
        <w:jc w:val="both"/>
        <w:rPr>
          <w:rFonts w:ascii="宋体" w:hAnsi="宋体" w:eastAsia="宋体" w:cs="宋体"/>
          <w:color w:val="auto"/>
        </w:rPr>
      </w:pPr>
      <w:bookmarkStart w:id="38" w:name="_Toc20823276"/>
      <w:bookmarkStart w:id="39" w:name="_Toc16938520"/>
      <w:bookmarkStart w:id="40" w:name="_Toc513029204"/>
      <w:bookmarkStart w:id="41" w:name="_Toc458694821"/>
      <w:bookmarkStart w:id="42" w:name="_Hlt16619475"/>
      <w:r>
        <w:rPr>
          <w:rFonts w:hint="eastAsia" w:ascii="宋体" w:hAnsi="宋体" w:eastAsia="宋体" w:cs="宋体"/>
          <w:color w:val="auto"/>
        </w:rPr>
        <w:t>1</w:t>
      </w:r>
      <w:bookmarkEnd w:id="38"/>
      <w:r>
        <w:rPr>
          <w:rFonts w:hint="eastAsia" w:ascii="宋体" w:hAnsi="宋体" w:eastAsia="宋体" w:cs="宋体"/>
          <w:color w:val="auto"/>
        </w:rPr>
        <w:t>、招标方式</w:t>
      </w:r>
      <w:bookmarkEnd w:id="39"/>
      <w:bookmarkEnd w:id="40"/>
      <w:bookmarkEnd w:id="41"/>
    </w:p>
    <w:p w14:paraId="4BAB68FD">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1.1 本次招标采取公开招标方式，本招标文件仅适用于招标公告中所述项目。</w:t>
      </w:r>
    </w:p>
    <w:p w14:paraId="33DDC165">
      <w:pPr>
        <w:pStyle w:val="34"/>
        <w:keepNext/>
        <w:keepLines/>
        <w:spacing w:beforeAutospacing="0" w:afterAutospacing="0" w:line="360" w:lineRule="auto"/>
        <w:ind w:firstLine="420"/>
        <w:jc w:val="both"/>
        <w:rPr>
          <w:rFonts w:ascii="宋体" w:hAnsi="宋体" w:eastAsia="宋体" w:cs="宋体"/>
          <w:color w:val="auto"/>
        </w:rPr>
      </w:pPr>
      <w:bookmarkStart w:id="43" w:name="_Toc20823277"/>
      <w:bookmarkStart w:id="44" w:name="_Toc513029205"/>
      <w:bookmarkStart w:id="45" w:name="_Toc16938521"/>
      <w:r>
        <w:rPr>
          <w:rFonts w:hint="eastAsia" w:ascii="宋体" w:hAnsi="宋体" w:eastAsia="宋体" w:cs="宋体"/>
          <w:color w:val="auto"/>
        </w:rPr>
        <w:t>2、合格的投标人</w:t>
      </w:r>
      <w:bookmarkEnd w:id="43"/>
      <w:bookmarkEnd w:id="44"/>
      <w:bookmarkEnd w:id="45"/>
    </w:p>
    <w:p w14:paraId="03C54974">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2.1满足招标公告中供应商的资格要求的规定。</w:t>
      </w:r>
    </w:p>
    <w:p w14:paraId="22C39F28">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2.2 满足本文件实质性要求和条件的规定。</w:t>
      </w:r>
    </w:p>
    <w:p w14:paraId="6DB5F4AC">
      <w:pPr>
        <w:spacing w:line="360" w:lineRule="auto"/>
        <w:ind w:firstLine="420"/>
        <w:rPr>
          <w:rFonts w:ascii="宋体" w:hAnsi="宋体" w:eastAsia="宋体" w:cs="方正魏碑_GBK"/>
          <w:color w:val="auto"/>
          <w:sz w:val="24"/>
          <w:szCs w:val="21"/>
        </w:rPr>
      </w:pPr>
      <w:bookmarkStart w:id="46" w:name="_Toc16938522"/>
      <w:bookmarkStart w:id="47" w:name="_Toc20823278"/>
      <w:bookmarkStart w:id="48" w:name="_Toc513029206"/>
      <w:r>
        <w:rPr>
          <w:rFonts w:hint="eastAsia" w:ascii="宋体" w:hAnsi="宋体" w:eastAsia="宋体" w:cs="方正魏碑_GBK"/>
          <w:color w:val="auto"/>
          <w:sz w:val="24"/>
          <w:szCs w:val="21"/>
        </w:rPr>
        <w:t>3、适用法律</w:t>
      </w:r>
      <w:bookmarkEnd w:id="46"/>
      <w:bookmarkEnd w:id="47"/>
      <w:bookmarkEnd w:id="48"/>
      <w:r>
        <w:rPr>
          <w:rFonts w:hint="eastAsia" w:ascii="宋体" w:hAnsi="宋体" w:eastAsia="宋体" w:cs="方正魏碑_GBK"/>
          <w:color w:val="auto"/>
          <w:sz w:val="24"/>
          <w:szCs w:val="21"/>
        </w:rPr>
        <w:t>和标准</w:t>
      </w:r>
    </w:p>
    <w:p w14:paraId="53199BD9">
      <w:pPr>
        <w:pStyle w:val="34"/>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3.1 本次招标及由此产生的合同受中华人民共和国有关的法律法规制约和保护。</w:t>
      </w:r>
    </w:p>
    <w:p w14:paraId="4CC9E311">
      <w:pPr>
        <w:spacing w:line="360" w:lineRule="auto"/>
        <w:ind w:firstLine="420"/>
        <w:rPr>
          <w:rFonts w:ascii="宋体" w:hAnsi="宋体" w:eastAsia="宋体" w:cs="宋体"/>
          <w:color w:val="auto"/>
          <w:sz w:val="24"/>
        </w:rPr>
      </w:pPr>
      <w:r>
        <w:rPr>
          <w:rFonts w:hint="eastAsia" w:ascii="宋体" w:hAnsi="宋体" w:eastAsia="宋体" w:cs="方正魏碑_GBK"/>
          <w:color w:val="auto"/>
          <w:sz w:val="24"/>
          <w:szCs w:val="21"/>
        </w:rPr>
        <w:t>3.2 在本项目政府采购活动过程中，如果所执行的标准有更新的，按照最新标准执行。</w:t>
      </w:r>
    </w:p>
    <w:p w14:paraId="034B2ECF">
      <w:pPr>
        <w:pStyle w:val="34"/>
        <w:keepNext/>
        <w:keepLines/>
        <w:spacing w:beforeAutospacing="0" w:afterAutospacing="0" w:line="360" w:lineRule="auto"/>
        <w:ind w:firstLine="420"/>
        <w:jc w:val="both"/>
        <w:rPr>
          <w:rFonts w:ascii="宋体" w:hAnsi="宋体" w:eastAsia="宋体" w:cs="宋体"/>
          <w:color w:val="auto"/>
        </w:rPr>
      </w:pPr>
      <w:bookmarkStart w:id="49" w:name="_Toc513029207"/>
      <w:bookmarkStart w:id="50" w:name="_Toc462564067"/>
      <w:bookmarkStart w:id="51" w:name="_Toc20823279"/>
      <w:bookmarkStart w:id="52" w:name="_Toc16938523"/>
      <w:r>
        <w:rPr>
          <w:rFonts w:hint="eastAsia" w:ascii="宋体" w:hAnsi="宋体" w:eastAsia="宋体" w:cs="宋体"/>
          <w:color w:val="auto"/>
        </w:rPr>
        <w:t>4、投标费用</w:t>
      </w:r>
      <w:bookmarkEnd w:id="49"/>
      <w:bookmarkEnd w:id="50"/>
      <w:bookmarkEnd w:id="51"/>
      <w:bookmarkEnd w:id="52"/>
    </w:p>
    <w:p w14:paraId="14BA6EEE">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4.1 投标人应自行承担所有与参加投标有关的费用，无论投标过程中的做法和结果如何，</w:t>
      </w:r>
      <w:r>
        <w:rPr>
          <w:rFonts w:hint="eastAsia" w:ascii="宋体" w:hAnsi="宋体" w:eastAsia="宋体" w:cs="宋体"/>
          <w:color w:val="auto"/>
          <w:lang w:eastAsia="zh-CN"/>
        </w:rPr>
        <w:t>江苏德诺工程项目管理有限公司</w:t>
      </w:r>
      <w:r>
        <w:rPr>
          <w:rFonts w:hint="eastAsia" w:ascii="宋体" w:hAnsi="宋体" w:eastAsia="宋体" w:cs="宋体"/>
          <w:color w:val="auto"/>
        </w:rPr>
        <w:t>（以下简称代理机构）在任何情况下均无义务和责任承担这些费用。</w:t>
      </w:r>
    </w:p>
    <w:p w14:paraId="4C480898">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4.2</w:t>
      </w:r>
      <w:r>
        <w:rPr>
          <w:rFonts w:hint="eastAsia" w:ascii="宋体" w:hAnsi="宋体" w:eastAsia="宋体" w:cs="宋体"/>
          <w:b/>
          <w:bCs/>
          <w:color w:val="auto"/>
          <w:lang w:val="en-US" w:eastAsia="zh-CN"/>
        </w:rPr>
        <w:t>采购代理服务费</w:t>
      </w:r>
      <w:r>
        <w:rPr>
          <w:rFonts w:hint="eastAsia" w:ascii="宋体" w:hAnsi="宋体" w:eastAsia="宋体" w:cs="宋体"/>
          <w:color w:val="auto"/>
          <w:lang w:val="en-US" w:eastAsia="zh-CN"/>
        </w:rPr>
        <w:t>：</w:t>
      </w:r>
      <w:r>
        <w:rPr>
          <w:rFonts w:hint="eastAsia" w:asciiTheme="minorEastAsia" w:hAnsiTheme="minorEastAsia" w:eastAsiaTheme="minorEastAsia" w:cstheme="minorEastAsia"/>
          <w:b w:val="0"/>
          <w:bCs w:val="0"/>
          <w:color w:val="auto"/>
          <w:sz w:val="24"/>
          <w:szCs w:val="24"/>
        </w:rPr>
        <w:t>按《江苏省政府采购代理服务收费指导意见》(苏政采协[2024]20号）的</w:t>
      </w:r>
      <w:r>
        <w:rPr>
          <w:rFonts w:hint="eastAsia" w:asciiTheme="minorEastAsia" w:hAnsiTheme="minorEastAsia" w:cstheme="minorEastAsia"/>
          <w:b w:val="0"/>
          <w:bCs w:val="0"/>
          <w:color w:val="auto"/>
          <w:sz w:val="24"/>
          <w:szCs w:val="24"/>
          <w:u w:val="single"/>
          <w:lang w:val="en-US" w:eastAsia="zh-CN"/>
        </w:rPr>
        <w:t>45</w:t>
      </w:r>
      <w:r>
        <w:rPr>
          <w:rFonts w:hint="eastAsia" w:asciiTheme="minorEastAsia" w:hAnsiTheme="minorEastAsia" w:eastAsiaTheme="minorEastAsia" w:cstheme="minorEastAsia"/>
          <w:b w:val="0"/>
          <w:bCs w:val="0"/>
          <w:color w:val="auto"/>
          <w:sz w:val="24"/>
          <w:szCs w:val="24"/>
        </w:rPr>
        <w:t>%收取代理费用，（单个项目费用低于3000元</w:t>
      </w:r>
      <w:r>
        <w:rPr>
          <w:rFonts w:hint="eastAsia" w:asciiTheme="minorEastAsia" w:hAnsiTheme="minorEastAsia" w:cstheme="minorEastAsia"/>
          <w:b w:val="0"/>
          <w:bCs w:val="0"/>
          <w:color w:val="auto"/>
          <w:sz w:val="24"/>
          <w:szCs w:val="24"/>
          <w:lang w:eastAsia="zh-CN"/>
        </w:rPr>
        <w:t>的</w:t>
      </w:r>
      <w:r>
        <w:rPr>
          <w:rFonts w:hint="eastAsia" w:asciiTheme="minorEastAsia" w:hAnsiTheme="minorEastAsia" w:cstheme="minorEastAsia"/>
          <w:b w:val="0"/>
          <w:bCs w:val="0"/>
          <w:color w:val="auto"/>
          <w:sz w:val="24"/>
          <w:szCs w:val="24"/>
          <w:lang w:val="en-US" w:eastAsia="zh-CN"/>
        </w:rPr>
        <w:t>按3000元结算</w:t>
      </w:r>
      <w:r>
        <w:rPr>
          <w:rFonts w:hint="eastAsia" w:asciiTheme="minorEastAsia" w:hAnsiTheme="minorEastAsia" w:eastAsiaTheme="minorEastAsia" w:cstheme="minorEastAsia"/>
          <w:b w:val="0"/>
          <w:bCs w:val="0"/>
          <w:color w:val="auto"/>
          <w:sz w:val="24"/>
          <w:szCs w:val="24"/>
        </w:rPr>
        <w:t>）</w:t>
      </w:r>
      <w:r>
        <w:rPr>
          <w:rFonts w:hint="eastAsia" w:ascii="宋体" w:hAnsi="宋体" w:eastAsia="宋体" w:cs="宋体"/>
          <w:color w:val="auto"/>
        </w:rPr>
        <w:t>。招标完成后由采购人向代理机构支付</w:t>
      </w:r>
      <w:r>
        <w:rPr>
          <w:rFonts w:hint="eastAsia" w:ascii="宋体" w:hAnsi="宋体" w:eastAsia="宋体" w:cs="宋体"/>
          <w:color w:val="auto"/>
          <w:lang w:eastAsia="zh-CN"/>
        </w:rPr>
        <w:t>，</w:t>
      </w:r>
      <w:r>
        <w:rPr>
          <w:rFonts w:hint="eastAsia" w:ascii="宋体" w:hAnsi="宋体" w:eastAsia="宋体" w:cs="宋体"/>
          <w:color w:val="auto"/>
          <w:lang w:val="en-US" w:eastAsia="zh-CN"/>
        </w:rPr>
        <w:t>投标人无需考虑此费用</w:t>
      </w:r>
      <w:r>
        <w:rPr>
          <w:rFonts w:hint="eastAsia" w:ascii="宋体" w:hAnsi="宋体" w:eastAsia="宋体" w:cs="宋体"/>
          <w:color w:val="auto"/>
        </w:rPr>
        <w:t>。</w:t>
      </w:r>
    </w:p>
    <w:p w14:paraId="60D028E2">
      <w:pPr>
        <w:pStyle w:val="34"/>
        <w:keepNext/>
        <w:keepLines/>
        <w:spacing w:beforeAutospacing="0" w:afterAutospacing="0" w:line="360" w:lineRule="auto"/>
        <w:ind w:firstLine="482"/>
        <w:jc w:val="both"/>
        <w:rPr>
          <w:rFonts w:ascii="宋体" w:hAnsi="宋体" w:eastAsia="宋体" w:cs="宋体"/>
          <w:color w:val="auto"/>
        </w:rPr>
      </w:pPr>
      <w:r>
        <w:rPr>
          <w:rFonts w:hint="eastAsia" w:ascii="宋体" w:hAnsi="宋体" w:eastAsia="宋体" w:cs="宋体"/>
          <w:b/>
          <w:color w:val="auto"/>
        </w:rPr>
        <w:t>5、</w:t>
      </w:r>
      <w:r>
        <w:rPr>
          <w:rFonts w:hint="eastAsia" w:ascii="宋体" w:hAnsi="宋体" w:eastAsia="宋体" w:cs="宋体"/>
          <w:color w:val="auto"/>
        </w:rPr>
        <w:t>招标文件的约束力</w:t>
      </w:r>
    </w:p>
    <w:p w14:paraId="09917BBB">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5.1 投标人一旦参加本项目采购活动，即被认为接受了本招标文件的规定和约束。</w:t>
      </w:r>
    </w:p>
    <w:p w14:paraId="7C6D3E3B">
      <w:pPr>
        <w:pStyle w:val="34"/>
        <w:keepNext/>
        <w:keepLines/>
        <w:spacing w:beforeAutospacing="0" w:afterAutospacing="0" w:line="360" w:lineRule="auto"/>
        <w:ind w:firstLine="321"/>
        <w:jc w:val="both"/>
        <w:rPr>
          <w:rFonts w:ascii="宋体" w:hAnsi="宋体" w:eastAsia="宋体" w:cs="宋体"/>
          <w:color w:val="auto"/>
        </w:rPr>
      </w:pPr>
      <w:bookmarkStart w:id="53" w:name="_Toc16938525"/>
      <w:bookmarkStart w:id="54" w:name="_Toc513029209"/>
      <w:bookmarkStart w:id="55" w:name="_Toc20823281"/>
      <w:bookmarkStart w:id="56" w:name="_Toc120614215"/>
      <w:r>
        <w:rPr>
          <w:rFonts w:hint="eastAsia" w:ascii="宋体" w:hAnsi="宋体" w:eastAsia="宋体" w:cs="宋体"/>
          <w:b/>
          <w:color w:val="auto"/>
        </w:rPr>
        <w:t>二、招标文件</w:t>
      </w:r>
      <w:bookmarkEnd w:id="53"/>
      <w:bookmarkEnd w:id="54"/>
      <w:bookmarkEnd w:id="55"/>
      <w:bookmarkEnd w:id="56"/>
    </w:p>
    <w:p w14:paraId="559A6800">
      <w:pPr>
        <w:pStyle w:val="34"/>
        <w:keepNext/>
        <w:keepLines/>
        <w:spacing w:beforeAutospacing="0" w:afterAutospacing="0" w:line="360" w:lineRule="auto"/>
        <w:ind w:firstLine="420"/>
        <w:jc w:val="both"/>
        <w:rPr>
          <w:rFonts w:ascii="宋体" w:hAnsi="宋体" w:eastAsia="宋体" w:cs="宋体"/>
          <w:color w:val="auto"/>
        </w:rPr>
      </w:pPr>
      <w:bookmarkStart w:id="57" w:name="_Toc513029210"/>
      <w:bookmarkStart w:id="58" w:name="_Toc16938526"/>
      <w:bookmarkStart w:id="59" w:name="_Toc20823282"/>
      <w:r>
        <w:rPr>
          <w:rFonts w:hint="eastAsia" w:ascii="宋体" w:hAnsi="宋体" w:eastAsia="宋体" w:cs="宋体"/>
          <w:color w:val="auto"/>
        </w:rPr>
        <w:t>6、招标文件构成</w:t>
      </w:r>
      <w:bookmarkEnd w:id="57"/>
      <w:bookmarkEnd w:id="58"/>
      <w:bookmarkEnd w:id="59"/>
    </w:p>
    <w:p w14:paraId="74C74DE9">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6.1 招标文件由以下部分组成：</w:t>
      </w:r>
    </w:p>
    <w:p w14:paraId="7AE83526">
      <w:pPr>
        <w:pStyle w:val="34"/>
        <w:spacing w:beforeAutospacing="0" w:afterAutospacing="0" w:line="360" w:lineRule="auto"/>
        <w:ind w:firstLine="360"/>
        <w:jc w:val="both"/>
        <w:rPr>
          <w:rFonts w:ascii="宋体" w:hAnsi="宋体" w:eastAsia="宋体" w:cs="宋体"/>
          <w:color w:val="auto"/>
        </w:rPr>
      </w:pPr>
      <w:r>
        <w:rPr>
          <w:rFonts w:hint="eastAsia" w:ascii="宋体" w:hAnsi="宋体" w:eastAsia="宋体" w:cs="宋体"/>
          <w:color w:val="auto"/>
        </w:rPr>
        <w:t>（1）招标公告</w:t>
      </w:r>
    </w:p>
    <w:p w14:paraId="5984B127">
      <w:pPr>
        <w:pStyle w:val="34"/>
        <w:spacing w:beforeAutospacing="0" w:afterAutospacing="0" w:line="360" w:lineRule="auto"/>
        <w:ind w:firstLine="360"/>
        <w:jc w:val="both"/>
        <w:rPr>
          <w:rFonts w:ascii="宋体" w:hAnsi="宋体" w:eastAsia="宋体" w:cs="宋体"/>
          <w:color w:val="auto"/>
        </w:rPr>
      </w:pPr>
      <w:r>
        <w:rPr>
          <w:rFonts w:hint="eastAsia" w:ascii="宋体" w:hAnsi="宋体" w:eastAsia="宋体" w:cs="宋体"/>
          <w:color w:val="auto"/>
        </w:rPr>
        <w:t>（2）投标人须知</w:t>
      </w:r>
    </w:p>
    <w:p w14:paraId="195824C0">
      <w:pPr>
        <w:pStyle w:val="34"/>
        <w:spacing w:beforeAutospacing="0" w:afterAutospacing="0" w:line="360" w:lineRule="auto"/>
        <w:ind w:firstLine="360"/>
        <w:jc w:val="both"/>
        <w:rPr>
          <w:rFonts w:ascii="宋体" w:hAnsi="宋体" w:eastAsia="宋体" w:cs="宋体"/>
          <w:color w:val="auto"/>
        </w:rPr>
      </w:pPr>
      <w:r>
        <w:rPr>
          <w:rFonts w:hint="eastAsia" w:ascii="宋体" w:hAnsi="宋体" w:eastAsia="宋体" w:cs="宋体"/>
          <w:color w:val="auto"/>
        </w:rPr>
        <w:t>（3）合同文本</w:t>
      </w:r>
    </w:p>
    <w:p w14:paraId="0888C123">
      <w:pPr>
        <w:pStyle w:val="34"/>
        <w:spacing w:beforeAutospacing="0" w:afterAutospacing="0" w:line="360" w:lineRule="auto"/>
        <w:ind w:firstLine="360"/>
        <w:jc w:val="both"/>
        <w:rPr>
          <w:rFonts w:ascii="宋体" w:hAnsi="宋体" w:eastAsia="宋体" w:cs="宋体"/>
          <w:color w:val="auto"/>
        </w:rPr>
      </w:pPr>
      <w:r>
        <w:rPr>
          <w:rFonts w:hint="eastAsia" w:ascii="宋体" w:hAnsi="宋体" w:eastAsia="宋体" w:cs="宋体"/>
          <w:color w:val="auto"/>
        </w:rPr>
        <w:t>（4）采购需求</w:t>
      </w:r>
    </w:p>
    <w:p w14:paraId="216978CD">
      <w:pPr>
        <w:pStyle w:val="34"/>
        <w:spacing w:beforeAutospacing="0" w:afterAutospacing="0" w:line="360" w:lineRule="auto"/>
        <w:ind w:firstLine="360"/>
        <w:jc w:val="both"/>
        <w:rPr>
          <w:rFonts w:ascii="宋体" w:hAnsi="宋体" w:eastAsia="宋体" w:cs="宋体"/>
          <w:color w:val="auto"/>
        </w:rPr>
      </w:pPr>
      <w:r>
        <w:rPr>
          <w:rFonts w:hint="eastAsia" w:ascii="宋体" w:hAnsi="宋体" w:eastAsia="宋体" w:cs="宋体"/>
          <w:color w:val="auto"/>
        </w:rPr>
        <w:t>（5）评标方法与评标标准</w:t>
      </w:r>
    </w:p>
    <w:p w14:paraId="3DBAFFA9">
      <w:pPr>
        <w:pStyle w:val="34"/>
        <w:spacing w:beforeAutospacing="0" w:afterAutospacing="0" w:line="360" w:lineRule="auto"/>
        <w:ind w:firstLine="360"/>
        <w:jc w:val="both"/>
        <w:rPr>
          <w:rFonts w:ascii="宋体" w:hAnsi="宋体" w:eastAsia="宋体" w:cs="宋体"/>
          <w:color w:val="auto"/>
        </w:rPr>
      </w:pPr>
      <w:r>
        <w:rPr>
          <w:rFonts w:hint="eastAsia" w:ascii="宋体" w:hAnsi="宋体" w:eastAsia="宋体" w:cs="宋体"/>
          <w:color w:val="auto"/>
        </w:rPr>
        <w:t>（6）投标文件格式</w:t>
      </w:r>
    </w:p>
    <w:p w14:paraId="37716936">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请仔细检查招标文件是否齐全，如有缺漏请立即与代理机构联系解决。</w:t>
      </w:r>
    </w:p>
    <w:p w14:paraId="1A019E60">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E627D3">
      <w:pPr>
        <w:pStyle w:val="34"/>
        <w:keepNext/>
        <w:keepLines/>
        <w:spacing w:beforeAutospacing="0" w:afterAutospacing="0" w:line="360" w:lineRule="auto"/>
        <w:ind w:firstLine="560"/>
        <w:jc w:val="both"/>
        <w:rPr>
          <w:rFonts w:ascii="宋体" w:hAnsi="宋体" w:eastAsia="宋体" w:cs="宋体"/>
          <w:color w:val="auto"/>
        </w:rPr>
      </w:pPr>
      <w:bookmarkStart w:id="60" w:name="_Toc513029211"/>
      <w:bookmarkStart w:id="61" w:name="_Toc16938527"/>
      <w:bookmarkStart w:id="62" w:name="_Toc462564070"/>
      <w:bookmarkStart w:id="63" w:name="_Toc20823283"/>
      <w:r>
        <w:rPr>
          <w:rFonts w:hint="eastAsia" w:ascii="宋体" w:hAnsi="宋体" w:eastAsia="宋体" w:cs="宋体"/>
          <w:color w:val="auto"/>
        </w:rPr>
        <w:t>7、招标文件的澄清</w:t>
      </w:r>
      <w:bookmarkEnd w:id="60"/>
      <w:bookmarkEnd w:id="61"/>
      <w:bookmarkEnd w:id="62"/>
      <w:bookmarkEnd w:id="63"/>
    </w:p>
    <w:p w14:paraId="61F966C3">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7.1 任何要求对招标文件进行澄清的投标人，应在投标截止期</w:t>
      </w:r>
      <w:r>
        <w:rPr>
          <w:rFonts w:hint="eastAsia" w:ascii="宋体" w:hAnsi="宋体" w:eastAsia="宋体" w:cs="宋体"/>
          <w:b/>
          <w:color w:val="auto"/>
        </w:rPr>
        <w:t>十日</w:t>
      </w:r>
      <w:r>
        <w:rPr>
          <w:rFonts w:hint="eastAsia" w:ascii="宋体" w:hAnsi="宋体" w:eastAsia="宋体" w:cs="宋体"/>
          <w:color w:val="auto"/>
        </w:rPr>
        <w:t>前按招标公告中的通讯地址，以书面形式通知代理机构。</w:t>
      </w:r>
    </w:p>
    <w:p w14:paraId="747A9840">
      <w:pPr>
        <w:pStyle w:val="34"/>
        <w:keepNext/>
        <w:keepLines/>
        <w:spacing w:beforeAutospacing="0" w:afterAutospacing="0" w:line="360" w:lineRule="auto"/>
        <w:ind w:firstLine="560"/>
        <w:jc w:val="both"/>
        <w:rPr>
          <w:rFonts w:ascii="宋体" w:hAnsi="宋体" w:eastAsia="宋体" w:cs="宋体"/>
          <w:color w:val="auto"/>
        </w:rPr>
      </w:pPr>
      <w:bookmarkStart w:id="64" w:name="_Toc20823284"/>
      <w:bookmarkStart w:id="65" w:name="_Toc462564071"/>
      <w:bookmarkStart w:id="66" w:name="_Toc16938528"/>
      <w:bookmarkStart w:id="67" w:name="_Toc513029212"/>
      <w:r>
        <w:rPr>
          <w:rFonts w:hint="eastAsia" w:ascii="宋体" w:hAnsi="宋体" w:eastAsia="宋体" w:cs="宋体"/>
          <w:color w:val="auto"/>
        </w:rPr>
        <w:t>8、招标文件的修改</w:t>
      </w:r>
      <w:bookmarkEnd w:id="64"/>
      <w:bookmarkEnd w:id="65"/>
      <w:bookmarkEnd w:id="66"/>
      <w:bookmarkEnd w:id="67"/>
    </w:p>
    <w:p w14:paraId="5AA8026C">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8.1 在投标截止时间前，代理机构可以对招标文件进行修改。</w:t>
      </w:r>
    </w:p>
    <w:p w14:paraId="5FCE32A3">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8.2 代理机构有权按照法定的要求推迟投标截止日期和开标日期。</w:t>
      </w:r>
    </w:p>
    <w:p w14:paraId="4E538C03">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8.3 招标文件的修改将在中国政府采购网</w:t>
      </w:r>
      <w:r>
        <w:rPr>
          <w:rFonts w:hint="eastAsia" w:ascii="宋体" w:hAnsi="宋体" w:eastAsia="宋体" w:cs="宋体"/>
          <w:color w:val="auto"/>
          <w:shd w:val="clear" w:color="auto" w:fill="FFFFFF"/>
        </w:rPr>
        <w:t>、</w:t>
      </w:r>
      <w:r>
        <w:rPr>
          <w:rFonts w:hint="eastAsia" w:ascii="宋体" w:hAnsi="宋体" w:eastAsia="宋体" w:cs="宋体"/>
          <w:color w:val="auto"/>
        </w:rPr>
        <w:t>江苏政府采购网、盐城市政府采购网公布，补充文件将作为招标文件的组成部分，并对投标人具有约束力。</w:t>
      </w:r>
    </w:p>
    <w:p w14:paraId="05E34397">
      <w:pPr>
        <w:pStyle w:val="34"/>
        <w:keepNext/>
        <w:keepLines/>
        <w:spacing w:beforeAutospacing="0" w:afterAutospacing="0" w:line="360" w:lineRule="auto"/>
        <w:ind w:firstLine="482"/>
        <w:jc w:val="both"/>
        <w:rPr>
          <w:rFonts w:ascii="宋体" w:hAnsi="宋体" w:eastAsia="宋体" w:cs="宋体"/>
          <w:color w:val="auto"/>
        </w:rPr>
      </w:pPr>
      <w:bookmarkStart w:id="68" w:name="_Toc513029213"/>
      <w:bookmarkStart w:id="69" w:name="_Toc120614216"/>
      <w:bookmarkStart w:id="70" w:name="_Toc16938529"/>
      <w:bookmarkStart w:id="71" w:name="_Toc462564072"/>
      <w:bookmarkStart w:id="72" w:name="_Toc20823285"/>
      <w:r>
        <w:rPr>
          <w:rFonts w:hint="eastAsia" w:ascii="宋体" w:hAnsi="宋体" w:eastAsia="宋体" w:cs="宋体"/>
          <w:b/>
          <w:color w:val="auto"/>
        </w:rPr>
        <w:t>三、投标文件的编制</w:t>
      </w:r>
      <w:bookmarkEnd w:id="68"/>
      <w:bookmarkEnd w:id="69"/>
      <w:bookmarkEnd w:id="70"/>
      <w:bookmarkEnd w:id="71"/>
      <w:bookmarkEnd w:id="72"/>
    </w:p>
    <w:p w14:paraId="3D32E024">
      <w:pPr>
        <w:pStyle w:val="34"/>
        <w:keepNext/>
        <w:keepLines/>
        <w:spacing w:beforeAutospacing="0" w:afterAutospacing="0" w:line="360" w:lineRule="auto"/>
        <w:ind w:firstLine="560"/>
        <w:jc w:val="both"/>
        <w:rPr>
          <w:rFonts w:ascii="宋体" w:hAnsi="宋体" w:eastAsia="宋体" w:cs="宋体"/>
          <w:color w:val="auto"/>
        </w:rPr>
      </w:pPr>
      <w:bookmarkStart w:id="73" w:name="_Toc20823286"/>
      <w:bookmarkStart w:id="74" w:name="_Toc16938530"/>
      <w:bookmarkStart w:id="75" w:name="_Toc513029214"/>
      <w:bookmarkStart w:id="76" w:name="_Toc462564073"/>
      <w:r>
        <w:rPr>
          <w:rFonts w:hint="eastAsia" w:ascii="宋体" w:hAnsi="宋体" w:eastAsia="宋体" w:cs="宋体"/>
          <w:color w:val="auto"/>
        </w:rPr>
        <w:t>9、投标文件的语言及度量衡单位</w:t>
      </w:r>
      <w:bookmarkEnd w:id="73"/>
      <w:bookmarkEnd w:id="74"/>
      <w:bookmarkEnd w:id="75"/>
      <w:bookmarkEnd w:id="76"/>
    </w:p>
    <w:p w14:paraId="3DD398E2">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9.1 投标人提交的投标文件以及投标人与代理机构就有关投标的所有来往通知、函件和文件均应使用</w:t>
      </w:r>
      <w:r>
        <w:rPr>
          <w:rFonts w:hint="eastAsia" w:ascii="宋体" w:hAnsi="宋体" w:eastAsia="宋体" w:cs="宋体"/>
          <w:b/>
          <w:color w:val="auto"/>
        </w:rPr>
        <w:t>简体中文</w:t>
      </w:r>
      <w:r>
        <w:rPr>
          <w:rFonts w:hint="eastAsia" w:ascii="宋体" w:hAnsi="宋体" w:eastAsia="宋体" w:cs="宋体"/>
          <w:color w:val="auto"/>
        </w:rPr>
        <w:t>。</w:t>
      </w:r>
    </w:p>
    <w:p w14:paraId="07418AC9">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9.2 除技术性能另有规定外，投标文件所使用的度量衡单位，均须采用国家法定计量单位。</w:t>
      </w:r>
    </w:p>
    <w:p w14:paraId="17136B04">
      <w:pPr>
        <w:pStyle w:val="34"/>
        <w:keepNext/>
        <w:keepLines/>
        <w:spacing w:beforeAutospacing="0" w:afterAutospacing="0" w:line="360" w:lineRule="auto"/>
        <w:ind w:firstLine="420"/>
        <w:jc w:val="both"/>
        <w:rPr>
          <w:rFonts w:ascii="宋体" w:hAnsi="宋体" w:eastAsia="宋体" w:cs="宋体"/>
          <w:color w:val="auto"/>
        </w:rPr>
      </w:pPr>
      <w:bookmarkStart w:id="77" w:name="_Toc462564074"/>
      <w:bookmarkStart w:id="78" w:name="_Toc16938531"/>
      <w:bookmarkStart w:id="79" w:name="_Toc513029215"/>
      <w:bookmarkStart w:id="80" w:name="_Toc20823287"/>
      <w:r>
        <w:rPr>
          <w:rFonts w:hint="eastAsia" w:ascii="宋体" w:hAnsi="宋体" w:eastAsia="宋体" w:cs="宋体"/>
          <w:color w:val="auto"/>
        </w:rPr>
        <w:t>10、投标文件构成</w:t>
      </w:r>
      <w:bookmarkEnd w:id="77"/>
      <w:bookmarkEnd w:id="78"/>
      <w:bookmarkEnd w:id="79"/>
      <w:bookmarkEnd w:id="80"/>
    </w:p>
    <w:p w14:paraId="344A5251">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10.1 投标人编写的投标文件应包括资格证明文件、符合性证明文件、投标分项报价表、技术要求响应及偏离表、商务要求响应及偏离表、其他证明文件、投标函、开标一览表等部分。</w:t>
      </w:r>
    </w:p>
    <w:p w14:paraId="4E7B7465">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10.2 如标书制作工具中格式和内容与</w:t>
      </w:r>
      <w:r>
        <w:rPr>
          <w:rFonts w:hint="eastAsia" w:ascii="宋体" w:hAnsi="宋体" w:eastAsia="宋体" w:cs="宋体"/>
          <w:color w:val="auto"/>
          <w:shd w:val="clear" w:color="auto" w:fill="FFFFFF"/>
        </w:rPr>
        <w:t>“</w:t>
      </w:r>
      <w:r>
        <w:rPr>
          <w:rFonts w:hint="eastAsia" w:ascii="宋体" w:hAnsi="宋体" w:eastAsia="宋体" w:cs="宋体"/>
          <w:color w:val="auto"/>
        </w:rPr>
        <w:t>中国政府采购网”“江苏政府采购网”“盐城市政府采购网</w:t>
      </w:r>
      <w:r>
        <w:rPr>
          <w:rFonts w:hint="eastAsia" w:ascii="宋体" w:hAnsi="宋体" w:eastAsia="宋体" w:cs="宋体"/>
          <w:color w:val="auto"/>
          <w:shd w:val="clear" w:color="auto" w:fill="FFFFFF"/>
        </w:rPr>
        <w:t>”</w:t>
      </w:r>
      <w:r>
        <w:rPr>
          <w:rFonts w:hint="eastAsia" w:ascii="宋体" w:hAnsi="宋体" w:eastAsia="宋体" w:cs="宋体"/>
          <w:color w:val="auto"/>
        </w:rPr>
        <w:t>发布的招标文件不一致，请以中国政府采购网”“江苏政府采购网”“盐城市政府采购网</w:t>
      </w:r>
      <w:r>
        <w:rPr>
          <w:rFonts w:hint="eastAsia" w:ascii="宋体" w:hAnsi="宋体" w:eastAsia="宋体" w:cs="宋体"/>
          <w:color w:val="auto"/>
          <w:shd w:val="clear" w:color="auto" w:fill="FFFFFF"/>
        </w:rPr>
        <w:t>”</w:t>
      </w:r>
      <w:r>
        <w:rPr>
          <w:rFonts w:hint="eastAsia" w:ascii="宋体" w:hAnsi="宋体" w:eastAsia="宋体" w:cs="宋体"/>
          <w:color w:val="auto"/>
        </w:rPr>
        <w:t>发布的招标文件为准。</w:t>
      </w:r>
    </w:p>
    <w:p w14:paraId="1BBD495A">
      <w:pPr>
        <w:pStyle w:val="34"/>
        <w:keepNext/>
        <w:keepLines/>
        <w:spacing w:beforeAutospacing="0" w:afterAutospacing="0" w:line="360" w:lineRule="auto"/>
        <w:ind w:firstLine="420"/>
        <w:jc w:val="both"/>
        <w:rPr>
          <w:rFonts w:ascii="宋体" w:hAnsi="宋体" w:eastAsia="宋体" w:cs="宋体"/>
          <w:color w:val="auto"/>
        </w:rPr>
      </w:pPr>
      <w:bookmarkStart w:id="81" w:name="_Toc14577357"/>
      <w:bookmarkStart w:id="82" w:name="_Toc14577355"/>
      <w:bookmarkStart w:id="83" w:name="_Toc14577354"/>
      <w:bookmarkStart w:id="84" w:name="_Toc513029219"/>
      <w:bookmarkStart w:id="85" w:name="_Toc49090507"/>
      <w:bookmarkStart w:id="86" w:name="_Toc513029216"/>
      <w:bookmarkStart w:id="87" w:name="_Toc49090509"/>
      <w:bookmarkStart w:id="88" w:name="_Toc49090508"/>
      <w:bookmarkStart w:id="89" w:name="_Hlt26668975"/>
      <w:bookmarkStart w:id="90" w:name="_Hlt26954838"/>
      <w:bookmarkStart w:id="91" w:name="_Hlt26670360"/>
      <w:r>
        <w:rPr>
          <w:rFonts w:hint="eastAsia" w:ascii="宋体" w:hAnsi="宋体" w:eastAsia="宋体" w:cs="宋体"/>
          <w:color w:val="auto"/>
        </w:rPr>
        <w:t>11、证明投标人及投标标的符合招标文件规定的文件</w:t>
      </w:r>
      <w:bookmarkEnd w:id="81"/>
      <w:bookmarkEnd w:id="82"/>
      <w:bookmarkEnd w:id="83"/>
      <w:bookmarkEnd w:id="84"/>
      <w:bookmarkEnd w:id="85"/>
      <w:bookmarkEnd w:id="86"/>
      <w:bookmarkEnd w:id="87"/>
      <w:bookmarkEnd w:id="88"/>
    </w:p>
    <w:p w14:paraId="00D1DCD3">
      <w:pPr>
        <w:pStyle w:val="34"/>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 xml:space="preserve"> 11.1 投标人应按照招标文件要求提交证明文件，证明其及投标标的符合招标文件规定。</w:t>
      </w:r>
    </w:p>
    <w:p w14:paraId="69223FBF">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11.2招标文件对证明文件无明确形式要求的，证明文件可以以文字资料、图纸和数据等形式提交。</w:t>
      </w:r>
    </w:p>
    <w:p w14:paraId="567172CA">
      <w:pPr>
        <w:pStyle w:val="34"/>
        <w:keepNext/>
        <w:keepLines/>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12、投标分项报价表</w:t>
      </w:r>
    </w:p>
    <w:p w14:paraId="43351477">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12.1 投标人应按照招标文件规定格式填报投标分项报价表。</w:t>
      </w:r>
    </w:p>
    <w:p w14:paraId="70FF88FB">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12.2投标货币。投标文件中的单价和总价无特殊规定的采用人民币报价，以元为单位标注。招标文件中另有规定的按规定执行。</w:t>
      </w:r>
    </w:p>
    <w:p w14:paraId="5290B6F4">
      <w:pPr>
        <w:pStyle w:val="34"/>
        <w:keepNext/>
        <w:keepLines/>
        <w:spacing w:beforeAutospacing="0" w:afterAutospacing="0" w:line="360" w:lineRule="auto"/>
        <w:ind w:firstLine="420"/>
        <w:jc w:val="both"/>
        <w:rPr>
          <w:rFonts w:ascii="宋体" w:hAnsi="宋体" w:eastAsia="宋体" w:cs="宋体"/>
          <w:color w:val="auto"/>
        </w:rPr>
      </w:pPr>
      <w:bookmarkStart w:id="92" w:name="_Hlt26954848"/>
      <w:bookmarkStart w:id="93" w:name="_Hlt26954731"/>
      <w:bookmarkStart w:id="94" w:name="_Hlt26670482"/>
      <w:bookmarkStart w:id="95" w:name="_Hlt26954846"/>
      <w:bookmarkStart w:id="96" w:name="_Hlt26670486"/>
      <w:r>
        <w:rPr>
          <w:rFonts w:hint="eastAsia" w:ascii="宋体" w:hAnsi="宋体" w:eastAsia="宋体" w:cs="宋体"/>
          <w:color w:val="auto"/>
        </w:rPr>
        <w:t>13、技术要求响应及偏离表、商务要求响应及偏离表</w:t>
      </w:r>
    </w:p>
    <w:p w14:paraId="25CF0D94">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13.1投标人需对招标文件中的技术要求与商务要求逐项作出响应或偏离，并说明原因。</w:t>
      </w:r>
    </w:p>
    <w:p w14:paraId="3B473DBF">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13.2 投标人可在投标文件中提供认为需要的其他技术文件或说明。</w:t>
      </w:r>
    </w:p>
    <w:p w14:paraId="12843151">
      <w:pPr>
        <w:pStyle w:val="34"/>
        <w:keepNext/>
        <w:keepLines/>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14、服务承诺、培训计划、人员安排及其他</w:t>
      </w:r>
    </w:p>
    <w:p w14:paraId="6C012CE0">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14.1 投标人需根据招标文件要求提供有关售后服务的管理制度，售后服务机构的分布情况，售后服务人员的数量、素质、技术水平及售后服务的反应能力等。</w:t>
      </w:r>
    </w:p>
    <w:p w14:paraId="71D94816">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14.2 投标人需根据招标文件要求提供培训计划。</w:t>
      </w:r>
    </w:p>
    <w:p w14:paraId="51B9D82A">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14.3 投标人需根据招标文件要求提供所投标的的主要组成部分、功能设计、实现思路及关键技术等。</w:t>
      </w:r>
    </w:p>
    <w:p w14:paraId="6238C320">
      <w:pPr>
        <w:pStyle w:val="34"/>
        <w:keepNext/>
        <w:keepLines/>
        <w:spacing w:beforeAutospacing="0" w:afterAutospacing="0" w:line="360" w:lineRule="auto"/>
        <w:ind w:firstLine="420"/>
        <w:jc w:val="both"/>
        <w:rPr>
          <w:rFonts w:ascii="宋体" w:hAnsi="宋体" w:eastAsia="宋体" w:cs="宋体"/>
          <w:color w:val="auto"/>
        </w:rPr>
      </w:pPr>
      <w:bookmarkStart w:id="97" w:name="_Toc14577359"/>
      <w:bookmarkStart w:id="98" w:name="_Toc49090510"/>
      <w:r>
        <w:rPr>
          <w:rFonts w:hint="eastAsia" w:ascii="宋体" w:hAnsi="宋体" w:eastAsia="宋体" w:cs="宋体"/>
          <w:color w:val="auto"/>
        </w:rPr>
        <w:t>15、投标函和开标一览表</w:t>
      </w:r>
      <w:bookmarkEnd w:id="97"/>
      <w:bookmarkEnd w:id="98"/>
    </w:p>
    <w:p w14:paraId="32F03A5A">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15.1 投标人应按照招标文件中提供的格式完整、正确填写投标函、开标一览表。</w:t>
      </w:r>
    </w:p>
    <w:p w14:paraId="0338C80A">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15.2 对于采用货币报价的项目，开标一览表中的投标总报价应与投标分项报价表中的投标总报价一致，如不一致，不作为无效投标处理，但评标时按开标一览表中价格为准。</w:t>
      </w:r>
    </w:p>
    <w:p w14:paraId="52AD9619">
      <w:pPr>
        <w:pStyle w:val="34"/>
        <w:keepNext/>
        <w:keepLines/>
        <w:spacing w:beforeAutospacing="0" w:afterAutospacing="0" w:line="360" w:lineRule="auto"/>
        <w:ind w:firstLine="420"/>
        <w:jc w:val="both"/>
        <w:rPr>
          <w:rFonts w:ascii="宋体" w:hAnsi="宋体" w:eastAsia="宋体" w:cs="宋体"/>
          <w:color w:val="auto"/>
        </w:rPr>
      </w:pPr>
      <w:bookmarkStart w:id="99" w:name="_Toc49090511"/>
      <w:bookmarkStart w:id="100" w:name="_Toc14577360"/>
      <w:r>
        <w:rPr>
          <w:rFonts w:hint="eastAsia" w:ascii="宋体" w:hAnsi="宋体" w:eastAsia="宋体" w:cs="宋体"/>
          <w:color w:val="auto"/>
        </w:rPr>
        <w:t>16、投标有效期</w:t>
      </w:r>
      <w:bookmarkEnd w:id="99"/>
      <w:bookmarkEnd w:id="100"/>
    </w:p>
    <w:p w14:paraId="5F284081">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16.1投标有效期为代理机构规定的开标之日后</w:t>
      </w:r>
      <w:r>
        <w:rPr>
          <w:rFonts w:hint="eastAsia" w:ascii="宋体" w:hAnsi="宋体" w:eastAsia="宋体" w:cs="宋体"/>
          <w:b/>
          <w:color w:val="auto"/>
          <w:u w:val="single"/>
        </w:rPr>
        <w:t>九十（90）天</w:t>
      </w:r>
      <w:r>
        <w:rPr>
          <w:rFonts w:hint="eastAsia" w:ascii="宋体" w:hAnsi="宋体" w:eastAsia="宋体" w:cs="宋体"/>
          <w:color w:val="auto"/>
        </w:rPr>
        <w:t>。投标有效期比规定短的将被视为未实质性响应招标文件而予以拒绝。</w:t>
      </w:r>
    </w:p>
    <w:p w14:paraId="64096118">
      <w:pPr>
        <w:pStyle w:val="34"/>
        <w:keepNext/>
        <w:keepLines/>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17、投标有效期的延长</w:t>
      </w:r>
    </w:p>
    <w:p w14:paraId="0C5770D1">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6607953C">
      <w:pPr>
        <w:pStyle w:val="34"/>
        <w:keepNext/>
        <w:keepLines/>
        <w:spacing w:beforeAutospacing="0" w:afterAutospacing="0" w:line="360" w:lineRule="auto"/>
        <w:jc w:val="both"/>
        <w:rPr>
          <w:rFonts w:ascii="宋体" w:hAnsi="宋体" w:eastAsia="宋体" w:cs="宋体"/>
          <w:color w:val="auto"/>
        </w:rPr>
      </w:pPr>
      <w:bookmarkStart w:id="101" w:name="_Toc16938540"/>
      <w:bookmarkStart w:id="102" w:name="_Toc120614217"/>
      <w:bookmarkStart w:id="103" w:name="_Toc513029224"/>
      <w:bookmarkStart w:id="104" w:name="_Toc20823296"/>
      <w:bookmarkStart w:id="105" w:name="_Hlt26954739"/>
      <w:bookmarkStart w:id="106" w:name="_Hlt26954852"/>
      <w:r>
        <w:rPr>
          <w:rFonts w:hint="eastAsia" w:ascii="宋体" w:hAnsi="宋体" w:eastAsia="宋体" w:cs="宋体"/>
          <w:b/>
          <w:color w:val="auto"/>
        </w:rPr>
        <w:t>四、投标文件的递交</w:t>
      </w:r>
      <w:bookmarkEnd w:id="101"/>
      <w:bookmarkEnd w:id="102"/>
      <w:bookmarkEnd w:id="103"/>
      <w:bookmarkEnd w:id="104"/>
    </w:p>
    <w:p w14:paraId="7D3B0785">
      <w:pPr>
        <w:pStyle w:val="34"/>
        <w:keepNext/>
        <w:keepLines/>
        <w:spacing w:beforeAutospacing="0" w:afterAutospacing="0" w:line="360" w:lineRule="auto"/>
        <w:ind w:firstLine="420"/>
        <w:jc w:val="both"/>
        <w:rPr>
          <w:rFonts w:ascii="宋体" w:hAnsi="宋体" w:eastAsia="宋体" w:cs="宋体"/>
          <w:color w:val="auto"/>
        </w:rPr>
      </w:pPr>
      <w:bookmarkStart w:id="107" w:name="_Toc462564084"/>
      <w:bookmarkStart w:id="108" w:name="_Toc16938541"/>
      <w:bookmarkStart w:id="109" w:name="_Toc513029225"/>
      <w:bookmarkStart w:id="110" w:name="_Toc20823297"/>
      <w:r>
        <w:rPr>
          <w:rFonts w:hint="eastAsia" w:ascii="宋体" w:hAnsi="宋体" w:eastAsia="宋体" w:cs="宋体"/>
          <w:color w:val="auto"/>
        </w:rPr>
        <w:t>18、电子投标文件</w:t>
      </w:r>
      <w:bookmarkEnd w:id="107"/>
      <w:bookmarkEnd w:id="108"/>
      <w:bookmarkEnd w:id="109"/>
      <w:bookmarkEnd w:id="110"/>
      <w:r>
        <w:rPr>
          <w:rFonts w:hint="eastAsia" w:ascii="宋体" w:hAnsi="宋体" w:eastAsia="宋体" w:cs="宋体"/>
          <w:color w:val="auto"/>
        </w:rPr>
        <w:t>的递交</w:t>
      </w:r>
    </w:p>
    <w:p w14:paraId="381E5225">
      <w:pPr>
        <w:pStyle w:val="34"/>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18.1投标人应当按照《操作手册》规定，在投标截止时间前制作并上传电子投标</w:t>
      </w:r>
    </w:p>
    <w:p w14:paraId="54B8296B">
      <w:pPr>
        <w:pStyle w:val="34"/>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文件。</w:t>
      </w:r>
      <w:bookmarkStart w:id="111" w:name="_Toc16938542"/>
      <w:bookmarkEnd w:id="111"/>
      <w:bookmarkStart w:id="112" w:name="_Toc20823298"/>
      <w:bookmarkEnd w:id="112"/>
      <w:bookmarkStart w:id="113" w:name="_Toc513029226"/>
    </w:p>
    <w:p w14:paraId="53E2DFAD">
      <w:pPr>
        <w:pStyle w:val="34"/>
        <w:keepNext/>
        <w:keepLines/>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19、投标截止日期</w:t>
      </w:r>
    </w:p>
    <w:p w14:paraId="0CAC2506">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i/>
          <w:color w:val="auto"/>
          <w:u w:val="single"/>
        </w:rPr>
        <w:t>19.1 投标人上传电子投标文件的时间不得迟于招标公告中规定的投标截止时间。</w:t>
      </w:r>
    </w:p>
    <w:p w14:paraId="0C28E9D4">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投标人应充分考虑到网络环境、网络带宽等风险因素，如因投标人自身原因造成的电子投标文件上传不成功的按照本招标文件第二章第27.1.2条规定做无效投标处理。</w:t>
      </w:r>
    </w:p>
    <w:p w14:paraId="7DFB48DE">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19.2 代理机构可以按照规定，通过修改招标文件酌情延长投标截止日期，在此情况下，投标人的所有权利和义务以及投标人受制的截止日期均应以延长后新的截止日期为准。</w:t>
      </w:r>
    </w:p>
    <w:p w14:paraId="59349833">
      <w:pPr>
        <w:pStyle w:val="34"/>
        <w:keepNext/>
        <w:keepLines/>
        <w:spacing w:beforeAutospacing="0" w:afterAutospacing="0" w:line="360" w:lineRule="auto"/>
        <w:ind w:firstLine="420"/>
        <w:jc w:val="both"/>
        <w:rPr>
          <w:rFonts w:ascii="宋体" w:hAnsi="宋体" w:eastAsia="宋体" w:cs="宋体"/>
          <w:color w:val="auto"/>
        </w:rPr>
      </w:pPr>
      <w:bookmarkStart w:id="114" w:name="_Toc20823299"/>
      <w:bookmarkStart w:id="115" w:name="_Toc16938543"/>
      <w:bookmarkStart w:id="116" w:name="_Toc513029227"/>
      <w:r>
        <w:rPr>
          <w:rFonts w:hint="eastAsia" w:ascii="宋体" w:hAnsi="宋体" w:eastAsia="宋体" w:cs="宋体"/>
          <w:color w:val="auto"/>
        </w:rPr>
        <w:t>20、投标文件</w:t>
      </w:r>
      <w:bookmarkEnd w:id="114"/>
      <w:bookmarkEnd w:id="115"/>
      <w:bookmarkEnd w:id="116"/>
      <w:r>
        <w:rPr>
          <w:rFonts w:hint="eastAsia" w:ascii="宋体" w:hAnsi="宋体" w:eastAsia="宋体" w:cs="宋体"/>
          <w:color w:val="auto"/>
        </w:rPr>
        <w:t>的拒收</w:t>
      </w:r>
    </w:p>
    <w:p w14:paraId="1EBBF6BA">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20.1 代理机构拒绝接收在其规定的投标截止时间后上传的任何投标文件。</w:t>
      </w:r>
    </w:p>
    <w:p w14:paraId="5A940480">
      <w:pPr>
        <w:pStyle w:val="34"/>
        <w:keepNext/>
        <w:keepLines/>
        <w:spacing w:beforeAutospacing="0" w:afterAutospacing="0" w:line="360" w:lineRule="auto"/>
        <w:ind w:firstLine="420"/>
        <w:jc w:val="both"/>
        <w:rPr>
          <w:rFonts w:ascii="宋体" w:hAnsi="宋体" w:eastAsia="宋体" w:cs="宋体"/>
          <w:color w:val="auto"/>
        </w:rPr>
      </w:pPr>
      <w:bookmarkStart w:id="117" w:name="_Toc16938544"/>
      <w:bookmarkStart w:id="118" w:name="_Toc20823300"/>
      <w:bookmarkStart w:id="119" w:name="_Toc513029228"/>
      <w:r>
        <w:rPr>
          <w:rFonts w:hint="eastAsia" w:ascii="宋体" w:hAnsi="宋体" w:eastAsia="宋体" w:cs="宋体"/>
          <w:color w:val="auto"/>
        </w:rPr>
        <w:t>21、投标文件的撤回和修改</w:t>
      </w:r>
      <w:bookmarkEnd w:id="117"/>
      <w:bookmarkEnd w:id="118"/>
      <w:bookmarkEnd w:id="119"/>
    </w:p>
    <w:p w14:paraId="09EE3955">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21.1 投标文件的撤回</w:t>
      </w:r>
    </w:p>
    <w:p w14:paraId="4C6BC102">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21.1.1 电子投标文件的撤回</w:t>
      </w:r>
    </w:p>
    <w:p w14:paraId="7D3A7F4A">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投标人可在投标截止时间前，撤回其电子投标文件，具体操作方法见《操作手册》。</w:t>
      </w:r>
    </w:p>
    <w:p w14:paraId="29D1BAAE">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21.1.2 投标人撤回电子投标文件，则认为其不再参与本项目投标活动。</w:t>
      </w:r>
    </w:p>
    <w:p w14:paraId="22A98020">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21.2 投标文件的修改</w:t>
      </w:r>
    </w:p>
    <w:p w14:paraId="5F6F9580">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21.2.1投标人可在投标截止时间前，对其电子投标文件进行修改，具体操作方法见《操作手册》。</w:t>
      </w:r>
    </w:p>
    <w:p w14:paraId="0EE778FC">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21.2.2 在投标截止时间之后，投标人不得对其电子投标文件作任何修改。</w:t>
      </w:r>
    </w:p>
    <w:p w14:paraId="1348A470">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21.3 在投标截止时间至招标文件中规定的投标有效期满之间的这段时间内，投标人不得撤回其投标。</w:t>
      </w:r>
    </w:p>
    <w:p w14:paraId="29C3A7CF">
      <w:pPr>
        <w:pStyle w:val="34"/>
        <w:keepNext/>
        <w:keepLines/>
        <w:spacing w:beforeAutospacing="0" w:afterAutospacing="0" w:line="360" w:lineRule="auto"/>
        <w:ind w:firstLine="482"/>
        <w:jc w:val="both"/>
        <w:rPr>
          <w:rFonts w:ascii="宋体" w:hAnsi="宋体" w:eastAsia="宋体" w:cs="宋体"/>
          <w:color w:val="auto"/>
        </w:rPr>
      </w:pPr>
      <w:bookmarkStart w:id="120" w:name="_Toc20823301"/>
      <w:bookmarkStart w:id="121" w:name="_Toc120614218"/>
      <w:bookmarkStart w:id="122" w:name="_Toc16938545"/>
      <w:bookmarkStart w:id="123" w:name="_Toc513029229"/>
      <w:r>
        <w:rPr>
          <w:rFonts w:hint="eastAsia" w:ascii="宋体" w:hAnsi="宋体" w:eastAsia="宋体" w:cs="宋体"/>
          <w:b/>
          <w:color w:val="auto"/>
        </w:rPr>
        <w:t>五、开标与评标</w:t>
      </w:r>
      <w:bookmarkEnd w:id="120"/>
      <w:bookmarkEnd w:id="121"/>
      <w:bookmarkEnd w:id="122"/>
      <w:bookmarkEnd w:id="123"/>
    </w:p>
    <w:p w14:paraId="55598E65">
      <w:pPr>
        <w:pStyle w:val="34"/>
        <w:keepNext/>
        <w:keepLines/>
        <w:spacing w:beforeAutospacing="0" w:afterAutospacing="0" w:line="360" w:lineRule="auto"/>
        <w:ind w:firstLine="420"/>
        <w:jc w:val="both"/>
        <w:rPr>
          <w:rFonts w:ascii="宋体" w:hAnsi="宋体" w:eastAsia="宋体" w:cs="宋体"/>
          <w:color w:val="auto"/>
        </w:rPr>
      </w:pPr>
      <w:bookmarkStart w:id="124" w:name="_Toc513029230"/>
      <w:bookmarkStart w:id="125" w:name="_Toc20823302"/>
      <w:bookmarkStart w:id="126" w:name="_Toc16938546"/>
      <w:r>
        <w:rPr>
          <w:rFonts w:hint="eastAsia" w:ascii="宋体" w:hAnsi="宋体" w:eastAsia="宋体" w:cs="宋体"/>
          <w:color w:val="auto"/>
        </w:rPr>
        <w:t>22、开标</w:t>
      </w:r>
      <w:bookmarkEnd w:id="124"/>
      <w:bookmarkEnd w:id="125"/>
      <w:bookmarkEnd w:id="126"/>
    </w:p>
    <w:p w14:paraId="1B432114">
      <w:pPr>
        <w:pStyle w:val="34"/>
        <w:spacing w:beforeAutospacing="0" w:afterAutospacing="0" w:line="360" w:lineRule="auto"/>
        <w:ind w:firstLine="360"/>
        <w:jc w:val="both"/>
        <w:rPr>
          <w:rFonts w:ascii="宋体" w:hAnsi="宋体" w:eastAsia="宋体" w:cs="宋体"/>
          <w:color w:val="auto"/>
        </w:rPr>
      </w:pPr>
      <w:r>
        <w:rPr>
          <w:rFonts w:hint="eastAsia" w:ascii="宋体" w:hAnsi="宋体" w:eastAsia="宋体" w:cs="宋体"/>
          <w:color w:val="auto"/>
        </w:rPr>
        <w:t>22.1 代理机构将在招标公告中规定的时间和地点组织公开开标。投标人应当按照《操作手册》规定，参加开标活动和在苏采云系统规定的时间内对投标文件进行解密。</w:t>
      </w:r>
    </w:p>
    <w:p w14:paraId="283F2D65">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22.2开标仪式由代理机构组织。苏采云系统将自动对项目进行开标，并宣布各投标人名称和投标价格。</w:t>
      </w:r>
    </w:p>
    <w:p w14:paraId="5429E1C6">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22.3投标人在开标过程中涉及到的投标文件解密、开标结果确认等工作，应按照《操作手册》规定执行。</w:t>
      </w:r>
    </w:p>
    <w:p w14:paraId="4F9D4812">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22.4投标人如果对开标过程和开标记录有疑义，应当根据《操作手册》规定提出，如 苏采云系统中《开标记录表》宣布后5分钟内未提出的，视同认可开标结果。</w:t>
      </w:r>
    </w:p>
    <w:p w14:paraId="1175F184">
      <w:pPr>
        <w:pStyle w:val="34"/>
        <w:keepNext/>
        <w:keepLines/>
        <w:spacing w:beforeAutospacing="0" w:afterAutospacing="0" w:line="360" w:lineRule="auto"/>
        <w:ind w:firstLine="420"/>
        <w:jc w:val="both"/>
        <w:rPr>
          <w:rFonts w:ascii="宋体" w:hAnsi="宋体" w:eastAsia="宋体" w:cs="宋体"/>
          <w:color w:val="auto"/>
        </w:rPr>
      </w:pPr>
      <w:bookmarkStart w:id="127" w:name="_Toc513029231"/>
      <w:bookmarkStart w:id="128" w:name="_Toc16938547"/>
      <w:bookmarkStart w:id="129" w:name="_Toc20823303"/>
      <w:r>
        <w:rPr>
          <w:rFonts w:hint="eastAsia" w:ascii="宋体" w:hAnsi="宋体" w:eastAsia="宋体" w:cs="宋体"/>
          <w:color w:val="auto"/>
        </w:rPr>
        <w:t>23、评标委员会</w:t>
      </w:r>
      <w:bookmarkEnd w:id="127"/>
      <w:bookmarkEnd w:id="128"/>
      <w:bookmarkEnd w:id="129"/>
    </w:p>
    <w:p w14:paraId="723EDBC3">
      <w:pPr>
        <w:pStyle w:val="34"/>
        <w:spacing w:beforeAutospacing="0" w:afterAutospacing="0" w:line="360" w:lineRule="auto"/>
        <w:jc w:val="both"/>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23.1开标后，代理机构将立即组织评标委员会（以下简称评委会）进行评标。</w:t>
      </w:r>
    </w:p>
    <w:p w14:paraId="411F0B45">
      <w:pPr>
        <w:pStyle w:val="34"/>
        <w:spacing w:beforeAutospacing="0" w:afterAutospacing="0" w:line="360" w:lineRule="auto"/>
        <w:jc w:val="both"/>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23.2 评委会由采购人代表和有关技术、经济等方面的专家组成，且人员构成符合政府采购有关规定。</w:t>
      </w:r>
    </w:p>
    <w:p w14:paraId="4ECF4152">
      <w:pPr>
        <w:pStyle w:val="34"/>
        <w:spacing w:beforeAutospacing="0" w:afterAutospacing="0" w:line="360" w:lineRule="auto"/>
        <w:jc w:val="both"/>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23.3评委会独立工作，负责评审所有投标文件并确定中标候选人。</w:t>
      </w:r>
    </w:p>
    <w:p w14:paraId="1721E9C5">
      <w:pPr>
        <w:pStyle w:val="34"/>
        <w:keepNext/>
        <w:keepLines/>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24．评标过程的保密与公正</w:t>
      </w:r>
    </w:p>
    <w:p w14:paraId="78AAFDBF">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24.1凡是与审查、澄清、评价和比较投标的有关资料以及授标建议等，采购人、评委、代理机构均不得向投标人或与评标无关的其他人员透露。</w:t>
      </w:r>
    </w:p>
    <w:p w14:paraId="13C03E87">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24.2在评标过程中，投标人不得以任何行为影响评标过程，否则其投标文件将被作为无效投标文件。</w:t>
      </w:r>
    </w:p>
    <w:p w14:paraId="7788E495">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24.3 代理机构和评标委员会不向未中标的投标人解释未中标原因，也不公布评标过程中的相关细节。</w:t>
      </w:r>
    </w:p>
    <w:p w14:paraId="5A2E616C">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p>
    <w:p w14:paraId="36FDF230">
      <w:pPr>
        <w:pStyle w:val="34"/>
        <w:keepNext/>
        <w:keepLines/>
        <w:spacing w:beforeAutospacing="0" w:afterAutospacing="0" w:line="360" w:lineRule="auto"/>
        <w:ind w:firstLine="420"/>
        <w:jc w:val="both"/>
        <w:rPr>
          <w:rFonts w:ascii="宋体" w:hAnsi="宋体" w:eastAsia="宋体" w:cs="宋体"/>
          <w:color w:val="auto"/>
        </w:rPr>
      </w:pPr>
      <w:bookmarkStart w:id="130" w:name="_Toc20823304"/>
      <w:bookmarkStart w:id="131" w:name="_Toc16938548"/>
      <w:bookmarkStart w:id="132" w:name="_Toc513029232"/>
      <w:r>
        <w:rPr>
          <w:rFonts w:hint="eastAsia" w:ascii="宋体" w:hAnsi="宋体" w:eastAsia="宋体" w:cs="宋体"/>
          <w:color w:val="auto"/>
        </w:rPr>
        <w:t>25．投标文件的澄清</w:t>
      </w:r>
      <w:bookmarkEnd w:id="130"/>
      <w:bookmarkEnd w:id="131"/>
      <w:bookmarkEnd w:id="132"/>
    </w:p>
    <w:p w14:paraId="75F45A40">
      <w:pPr>
        <w:pStyle w:val="34"/>
        <w:spacing w:beforeAutospacing="0" w:afterAutospacing="0" w:line="360" w:lineRule="auto"/>
        <w:ind w:firstLine="480"/>
        <w:jc w:val="both"/>
        <w:rPr>
          <w:rFonts w:ascii="宋体" w:hAnsi="宋体" w:eastAsia="宋体" w:cs="宋体"/>
          <w:color w:val="auto"/>
        </w:rPr>
      </w:pPr>
      <w:bookmarkStart w:id="133" w:name="_Toc513029233"/>
      <w:bookmarkStart w:id="134" w:name="_Toc20823305"/>
      <w:bookmarkStart w:id="135" w:name="_Toc16938549"/>
      <w:r>
        <w:rPr>
          <w:rFonts w:hint="eastAsia" w:ascii="宋体" w:hAnsi="宋体" w:eastAsia="宋体" w:cs="宋体"/>
          <w:color w:val="auto"/>
        </w:rPr>
        <w:t>25.1评标期间，评委会对投标文件中含义不明确、同类问题表述不一致或者有明显文字和计算错误的内容，有权要求投标人作出必要的澄清、说明或者补正。</w:t>
      </w:r>
      <w:bookmarkEnd w:id="133"/>
      <w:bookmarkEnd w:id="134"/>
      <w:bookmarkEnd w:id="135"/>
    </w:p>
    <w:p w14:paraId="5226E57D">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投标人的澄清、说明或者补正不得超出投标文件的范围或者改变投标文件的实质性内容。</w:t>
      </w:r>
    </w:p>
    <w:p w14:paraId="23498337">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评标委员会并非对每个投标人都做澄清要求。</w:t>
      </w:r>
    </w:p>
    <w:p w14:paraId="79A43701">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3216083">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25.3 接到评委会澄清、说明和补正要求的投标人如未按规定作出澄清、说明和补正，其风险由投标人自行承担。</w:t>
      </w:r>
    </w:p>
    <w:p w14:paraId="709E34FC">
      <w:pPr>
        <w:pStyle w:val="34"/>
        <w:keepNext/>
        <w:keepLines/>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26、对投标文件的初审</w:t>
      </w:r>
    </w:p>
    <w:p w14:paraId="20077489">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26.1投标文件初审分为资格审查和符合性审查。</w:t>
      </w:r>
    </w:p>
    <w:p w14:paraId="57AAD0E9">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26.1.1 资格审查：依据法律法规和招标文件的规定，由采购人对投标文件中的资格证明文件进行审查。资格审查的结论，采购人以书面形式向评委会进行反馈。</w:t>
      </w:r>
    </w:p>
    <w:p w14:paraId="78AEC35A">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采购人在进行资格性审查的同时，将在“信用中国”网站（www.creditchina.gov.cn）查询投标人的信用记录，以确定投标人是否具备投标资格,查询结果留存并归档。</w:t>
      </w:r>
    </w:p>
    <w:p w14:paraId="119A5944">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接受联合体的项目，两个以上的自然人、法人或者其他组织组成一个联合体，以一个供应商的身份共同参加政府采购活动的,联合体成员中任何一方存在不良信用记录的，视同联合体存在不良应用记录。</w:t>
      </w:r>
    </w:p>
    <w:p w14:paraId="65D45508">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26.1.2 符合性审查：依据招标文件的规定，由评委会从投标文件的有效性、完整性和对招标文件的响应程度进行审查，以确定是否对招标文件的实质性要求作出响应。</w:t>
      </w:r>
    </w:p>
    <w:p w14:paraId="6F2D9176">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26.1.3 未通过资格审查或符合性审查的投标人，代理机构将在苏采云系统中告知未通过资格审查或符合性审查的原因，评审结束后，代理机构将不再告知未通过资格审查或符合性审查的原因。</w:t>
      </w:r>
    </w:p>
    <w:p w14:paraId="3E91D6DE">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26.2在详细评标之前，评委会将首先审查每份投标文件是否实质性响应了招标文件的要求。实质性响应的投标应该是与招标文件要求的全部条款、条件和规格相符，没有重大偏离或保留的投标。</w:t>
      </w:r>
    </w:p>
    <w:p w14:paraId="2767150C">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66850A2">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26.3如果投标文件实质上没有响应招标文件的要求，评委会将予以拒绝，投标人不得通过修改或撤销不符合要求的偏离或保留而使其投标成为实质性响应的投标。</w:t>
      </w:r>
    </w:p>
    <w:p w14:paraId="65138E0A">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26.4评委会将对确定为实质性响应的投标进行进一步审核，看其是否有计算上或累加上的算术错误，修正错误的原则如下：</w:t>
      </w:r>
    </w:p>
    <w:p w14:paraId="1348A7A8">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（1）投标文件中开标一览表内容与投标文件中相应内容不一致的，以开标一览表为准。</w:t>
      </w:r>
    </w:p>
    <w:p w14:paraId="6F11020A">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（2）大写金额和小写金额不一致的，以大写金额为准。</w:t>
      </w:r>
    </w:p>
    <w:p w14:paraId="3F3DDBCE">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（3）单价金额小数点或者百分比有明显错位的，以开标一览表的总价为准，并修改单价。</w:t>
      </w:r>
    </w:p>
    <w:p w14:paraId="09BA4D5A">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（4）总价金额与按单价汇总金额不一致的，以单价金额计算结果为准。</w:t>
      </w:r>
    </w:p>
    <w:p w14:paraId="20588956">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同时出现两种以上错误的，按照前款规定的顺序修正。</w:t>
      </w:r>
    </w:p>
    <w:p w14:paraId="4FF325AC">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26.5评委会将按上述修正错误的方法调整投标文件中的投标报价，并通过苏采云系统告知投标人，调整后的价格应对投标人具有约束力。如果投标人不接受修正后的价格，则其投标将被拒绝。</w:t>
      </w:r>
    </w:p>
    <w:p w14:paraId="535F5A84">
      <w:pPr>
        <w:pStyle w:val="34"/>
        <w:spacing w:beforeAutospacing="0" w:afterAutospacing="0" w:line="360" w:lineRule="auto"/>
        <w:ind w:firstLine="480"/>
        <w:jc w:val="both"/>
        <w:rPr>
          <w:rFonts w:ascii="宋体" w:hAnsi="宋体" w:eastAsia="宋体" w:cs="宋体"/>
          <w:color w:val="auto"/>
        </w:rPr>
      </w:pPr>
      <w:bookmarkStart w:id="136" w:name="_Toc16938550"/>
      <w:bookmarkStart w:id="137" w:name="_Toc20823306"/>
      <w:bookmarkStart w:id="138" w:name="_Toc513029234"/>
      <w:r>
        <w:rPr>
          <w:rFonts w:hint="eastAsia" w:ascii="宋体" w:hAnsi="宋体" w:eastAsia="宋体" w:cs="宋体"/>
          <w:color w:val="auto"/>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bookmarkEnd w:id="137"/>
      <w:bookmarkEnd w:id="138"/>
    </w:p>
    <w:p w14:paraId="478FA125">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252F1CD">
      <w:pPr>
        <w:pStyle w:val="34"/>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非单一产品采购项目，招标文件中将载明其中的核心产品。多家投标人提供的核心产品品牌相同的，按前两款规定处理。</w:t>
      </w:r>
    </w:p>
    <w:p w14:paraId="0F6030BD">
      <w:pPr>
        <w:pStyle w:val="34"/>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26.7投标人在开、评标全过程中应保持通信畅通，及时登录苏采云系统查阅、答复相关信息，并安排专人与代理机构及评标委员会联系。</w:t>
      </w:r>
    </w:p>
    <w:p w14:paraId="63D20FD0">
      <w:pPr>
        <w:pStyle w:val="34"/>
        <w:keepNext/>
        <w:keepLines/>
        <w:spacing w:beforeAutospacing="0" w:afterAutospacing="0" w:line="360" w:lineRule="auto"/>
        <w:ind w:firstLine="420"/>
        <w:jc w:val="both"/>
        <w:rPr>
          <w:rFonts w:ascii="宋体" w:hAnsi="宋体" w:eastAsia="宋体" w:cs="宋体"/>
          <w:color w:val="auto"/>
        </w:rPr>
      </w:pPr>
      <w:r>
        <w:rPr>
          <w:rFonts w:hint="eastAsia" w:ascii="宋体" w:hAnsi="宋体" w:eastAsia="宋体" w:cs="宋体"/>
          <w:color w:val="auto"/>
        </w:rPr>
        <w:t>27、无效投标条款和废标条款</w:t>
      </w:r>
    </w:p>
    <w:p w14:paraId="14D7AFD5">
      <w:pPr>
        <w:pStyle w:val="34"/>
        <w:spacing w:beforeAutospacing="0" w:afterAutospacing="0" w:line="360" w:lineRule="auto"/>
        <w:jc w:val="both"/>
        <w:rPr>
          <w:rFonts w:ascii="宋体" w:hAnsi="宋体" w:eastAsia="宋体" w:cs="宋体"/>
          <w:color w:val="auto"/>
        </w:rPr>
      </w:pPr>
      <w:bookmarkStart w:id="139" w:name="_Toc16938551"/>
      <w:bookmarkStart w:id="140" w:name="_Toc513029235"/>
      <w:bookmarkStart w:id="141" w:name="_Toc20823307"/>
      <w:r>
        <w:rPr>
          <w:rFonts w:hint="eastAsia" w:ascii="宋体" w:hAnsi="宋体" w:eastAsia="宋体" w:cs="宋体"/>
          <w:color w:val="auto"/>
        </w:rPr>
        <w:t>27.1无效投标条款</w:t>
      </w:r>
      <w:bookmarkEnd w:id="139"/>
      <w:bookmarkEnd w:id="140"/>
      <w:bookmarkEnd w:id="141"/>
    </w:p>
    <w:p w14:paraId="266D2453">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27.1.1 投标人在苏采云系统规定的时间内未成功解密电子投标文件的。</w:t>
      </w:r>
    </w:p>
    <w:p w14:paraId="4F69B269">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27.1.2 投标人未按照招标文件要求上传电子投标文件的。</w:t>
      </w:r>
    </w:p>
    <w:p w14:paraId="0548F66B">
      <w:pPr>
        <w:pStyle w:val="34"/>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27.1.3同一投标人提交两个（含两个）以上不同的投标报价的。</w:t>
      </w:r>
    </w:p>
    <w:p w14:paraId="22AE7E52">
      <w:pPr>
        <w:pStyle w:val="34"/>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27.1.4投标人不具备招标文件中规定资格要求的。</w:t>
      </w:r>
    </w:p>
    <w:p w14:paraId="203778C1">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27.1.5投标人的报价超过了采购预算或最高限价的。</w:t>
      </w:r>
    </w:p>
    <w:p w14:paraId="0DC01A52">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27.1.6未通过符合性审查的。</w:t>
      </w:r>
    </w:p>
    <w:p w14:paraId="5305F233">
      <w:pPr>
        <w:pStyle w:val="34"/>
        <w:spacing w:beforeAutospacing="0" w:afterAutospacing="0" w:line="360" w:lineRule="auto"/>
        <w:ind w:firstLine="360"/>
        <w:jc w:val="both"/>
        <w:rPr>
          <w:rFonts w:ascii="宋体" w:hAnsi="宋体" w:eastAsia="宋体" w:cs="宋体"/>
          <w:color w:val="auto"/>
        </w:rPr>
      </w:pPr>
      <w:r>
        <w:rPr>
          <w:rFonts w:hint="eastAsia" w:ascii="宋体" w:hAnsi="宋体" w:eastAsia="宋体" w:cs="宋体"/>
          <w:color w:val="auto"/>
        </w:rPr>
        <w:t>27.1.7不符合招标文件中规定的实质性要求和条件的（</w:t>
      </w:r>
      <w:r>
        <w:rPr>
          <w:rFonts w:hint="eastAsia" w:ascii="宋体" w:hAnsi="宋体" w:eastAsia="宋体" w:cs="宋体"/>
          <w:i/>
          <w:color w:val="auto"/>
          <w:u w:val="single"/>
        </w:rPr>
        <w:t>本招标文件中斜体且有下划线部分为实质性要求和条件）。</w:t>
      </w:r>
    </w:p>
    <w:p w14:paraId="76C1DB47">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82AD7D5">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27.1.9投标文件含有采购人不能接受的附加条件的。</w:t>
      </w:r>
    </w:p>
    <w:p w14:paraId="078D6160">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27.1.10投标人不能证明其报价合理性的，评标委员会应当将其作为无效投标处理。</w:t>
      </w:r>
    </w:p>
    <w:p w14:paraId="4615043F">
      <w:pPr>
        <w:pStyle w:val="34"/>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（一）评审过程中出现下列情形之一的，评标委员会应当启动异常低价投标审查程序：</w:t>
      </w:r>
    </w:p>
    <w:p w14:paraId="3A275FFC">
      <w:pPr>
        <w:pStyle w:val="34"/>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1.投标（响应）报价低于全部通过符合性审查供应商投标（响应）报价平均值50%的，即投标（响应）报价&lt;全部通过符合性审查供应商投标（响应）报价平均值×50%；</w:t>
      </w:r>
    </w:p>
    <w:p w14:paraId="5A1BFB16">
      <w:pPr>
        <w:pStyle w:val="34"/>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2.投标（响应）报价低于通过符合性审查的次低报价供应商投标（响应）报价50%的，即投标（响应）报价&lt;通过符合性审查的次低报价供应商投标（响应）报价×50%；</w:t>
      </w:r>
    </w:p>
    <w:p w14:paraId="05393271">
      <w:pPr>
        <w:pStyle w:val="34"/>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3.投标（响应）报价低于采购项目最高限价45%的，即投标（响应）报价&lt;采购项目最高限价×45%；</w:t>
      </w:r>
    </w:p>
    <w:p w14:paraId="611DAF65">
      <w:pPr>
        <w:pStyle w:val="34"/>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4.评审委员会基于专业判断，认为供应商报价过低，有可能影响产品质量或者不能诚信履约的其他情形。</w:t>
      </w:r>
    </w:p>
    <w:p w14:paraId="4A11EA5A">
      <w:pPr>
        <w:pStyle w:val="34"/>
        <w:spacing w:beforeAutospacing="0" w:afterAutospacing="0" w:line="360" w:lineRule="auto"/>
        <w:ind w:firstLine="480"/>
        <w:jc w:val="both"/>
        <w:rPr>
          <w:rFonts w:ascii="宋体" w:hAnsi="宋体" w:eastAsia="宋体" w:cs="宋体"/>
          <w:b/>
          <w:bCs/>
          <w:color w:val="auto"/>
          <w:u w:val="single"/>
        </w:rPr>
      </w:pPr>
      <w:r>
        <w:rPr>
          <w:rFonts w:hint="eastAsia" w:ascii="宋体" w:hAnsi="宋体" w:eastAsia="宋体" w:cs="宋体"/>
          <w:b/>
          <w:bCs/>
          <w:color w:val="auto"/>
          <w:u w:val="single"/>
        </w:rPr>
        <w:t>提醒：采购人可以结合具体项目实际情况，提高上述第1项至第3项中启动异常低价投标（响应）审查的数值标准，但是最高不得超过65%。</w:t>
      </w:r>
    </w:p>
    <w:p w14:paraId="6852F507">
      <w:pPr>
        <w:pStyle w:val="34"/>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相关法律法规对供应商报价有规定的，从其规定。</w:t>
      </w:r>
    </w:p>
    <w:p w14:paraId="7962F46A">
      <w:pPr>
        <w:pStyle w:val="34"/>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B4CF94E">
      <w:pPr>
        <w:pStyle w:val="34"/>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42B51B5">
      <w:pPr>
        <w:pStyle w:val="34"/>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3736152">
      <w:pPr>
        <w:pStyle w:val="34"/>
        <w:spacing w:beforeAutospacing="0" w:afterAutospacing="0" w:line="360" w:lineRule="auto"/>
        <w:ind w:firstLine="480"/>
        <w:jc w:val="both"/>
        <w:rPr>
          <w:rFonts w:ascii="宋体" w:hAnsi="宋体" w:eastAsia="宋体" w:cs="宋体"/>
          <w:b/>
          <w:bCs/>
          <w:color w:val="auto"/>
        </w:rPr>
      </w:pPr>
      <w:r>
        <w:rPr>
          <w:rFonts w:hint="eastAsia" w:ascii="宋体" w:hAnsi="宋体" w:eastAsia="宋体" w:cs="宋体"/>
          <w:b/>
          <w:bCs/>
          <w:color w:val="auto"/>
        </w:rPr>
        <w:t>异常低价投标（响应）审查的启动原因、审查意见和审查结果应当在评审报告中记录，并随供应商提供的相关书面说明及证明材料，以及评审委员会有关互联网浏览、查询历史一并归档。</w:t>
      </w:r>
    </w:p>
    <w:p w14:paraId="01EB4D3E">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759855D">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27.1.12 投标文件未按照招标文件要求加盖CA电子公章的。</w:t>
      </w:r>
    </w:p>
    <w:p w14:paraId="2AD444FB">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27.1.13其他法律、法规及本招标文件规定的属无效投标的情形。</w:t>
      </w:r>
    </w:p>
    <w:p w14:paraId="1FB3CE29">
      <w:pPr>
        <w:pStyle w:val="34"/>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27.2废标条款</w:t>
      </w:r>
    </w:p>
    <w:p w14:paraId="567B7685">
      <w:pPr>
        <w:pStyle w:val="34"/>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27.2.1符合专业条件的供应商或者对招标文件作实质响应的供应商不足三家的。27.2.2出现影响采购公正的违法、违规行为的。</w:t>
      </w:r>
    </w:p>
    <w:p w14:paraId="3754452F">
      <w:pPr>
        <w:pStyle w:val="34"/>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27.2.3因重大变故，采购任务取消的。</w:t>
      </w:r>
    </w:p>
    <w:p w14:paraId="226C9CEC">
      <w:pPr>
        <w:pStyle w:val="34"/>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27.2.4评标委员会认定招标文件存在歧义、重大缺陷导致评审工作无法进行。</w:t>
      </w:r>
    </w:p>
    <w:p w14:paraId="3BD36707">
      <w:pPr>
        <w:pStyle w:val="34"/>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27.2.5 因苏采云系统故障原因造成开标不成功的。</w:t>
      </w:r>
    </w:p>
    <w:p w14:paraId="3D8A19B3">
      <w:pPr>
        <w:pStyle w:val="34"/>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27.3 投标截止时间结束后参加投标的供应商不足三家的处理：</w:t>
      </w:r>
    </w:p>
    <w:p w14:paraId="3318AB31">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27.3.1如出现投标截止时间结束后参加投标的供应商或者在评标期间对招标文件做出实质响应的供应商不足三家情况，按政府采购相关规定执行。</w:t>
      </w:r>
    </w:p>
    <w:p w14:paraId="196FDC71">
      <w:pPr>
        <w:pStyle w:val="34"/>
        <w:keepNext/>
        <w:keepLines/>
        <w:spacing w:beforeAutospacing="0" w:afterAutospacing="0" w:line="360" w:lineRule="auto"/>
        <w:ind w:firstLine="482"/>
        <w:jc w:val="both"/>
        <w:rPr>
          <w:rFonts w:ascii="宋体" w:hAnsi="宋体" w:eastAsia="宋体" w:cs="宋体"/>
          <w:color w:val="auto"/>
        </w:rPr>
      </w:pPr>
      <w:bookmarkStart w:id="142" w:name="_Toc120614219"/>
      <w:r>
        <w:rPr>
          <w:rFonts w:hint="eastAsia" w:ascii="宋体" w:hAnsi="宋体" w:eastAsia="宋体" w:cs="宋体"/>
          <w:b/>
          <w:color w:val="auto"/>
        </w:rPr>
        <w:t>六、定标</w:t>
      </w:r>
      <w:bookmarkEnd w:id="142"/>
    </w:p>
    <w:p w14:paraId="4FF24D38">
      <w:pPr>
        <w:pStyle w:val="34"/>
        <w:keepNext/>
        <w:keepLines/>
        <w:spacing w:beforeAutospacing="0" w:afterAutospacing="0" w:line="360" w:lineRule="auto"/>
        <w:ind w:firstLine="600"/>
        <w:jc w:val="both"/>
        <w:rPr>
          <w:rFonts w:ascii="宋体" w:hAnsi="宋体" w:eastAsia="宋体" w:cs="宋体"/>
          <w:color w:val="auto"/>
        </w:rPr>
      </w:pPr>
      <w:bookmarkStart w:id="143" w:name="_Toc20823310"/>
      <w:bookmarkStart w:id="144" w:name="_Toc16938554"/>
      <w:bookmarkStart w:id="145" w:name="_Toc513029238"/>
      <w:r>
        <w:rPr>
          <w:rFonts w:hint="eastAsia" w:ascii="宋体" w:hAnsi="宋体" w:eastAsia="宋体" w:cs="宋体"/>
          <w:color w:val="auto"/>
        </w:rPr>
        <w:t>28、</w:t>
      </w:r>
      <w:bookmarkEnd w:id="143"/>
      <w:r>
        <w:rPr>
          <w:rFonts w:hint="eastAsia" w:ascii="宋体" w:hAnsi="宋体" w:eastAsia="宋体" w:cs="宋体"/>
          <w:color w:val="auto"/>
        </w:rPr>
        <w:t>确定</w:t>
      </w:r>
      <w:bookmarkEnd w:id="144"/>
      <w:bookmarkEnd w:id="145"/>
      <w:r>
        <w:rPr>
          <w:rFonts w:hint="eastAsia" w:ascii="宋体" w:hAnsi="宋体" w:eastAsia="宋体" w:cs="宋体"/>
          <w:color w:val="auto"/>
        </w:rPr>
        <w:t>中标单位</w:t>
      </w:r>
    </w:p>
    <w:p w14:paraId="4970BCC3">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 xml:space="preserve">28.1中标候选人的选取原则和数量见招标文件第五章规定。 </w:t>
      </w:r>
    </w:p>
    <w:p w14:paraId="138B612C">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28.2 采购人应根据评委会推荐的中标候选人确定中标人。</w:t>
      </w:r>
    </w:p>
    <w:p w14:paraId="13BA2E3A">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28.3 代理机构将在中国政府采购网”“江苏政府采购网”“盐城市政府采购网</w:t>
      </w:r>
      <w:r>
        <w:rPr>
          <w:rFonts w:hint="eastAsia" w:ascii="宋体" w:hAnsi="宋体" w:eastAsia="宋体" w:cs="宋体"/>
          <w:color w:val="auto"/>
          <w:shd w:val="clear" w:color="auto" w:fill="FFFFFF"/>
        </w:rPr>
        <w:t>”</w:t>
      </w:r>
      <w:r>
        <w:rPr>
          <w:rFonts w:hint="eastAsia" w:ascii="宋体" w:hAnsi="宋体" w:eastAsia="宋体" w:cs="宋体"/>
          <w:color w:val="auto"/>
        </w:rPr>
        <w:t>发布中标公告，公告期限为1个工作日。</w:t>
      </w:r>
    </w:p>
    <w:p w14:paraId="7CDA4280">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28.4 若有充分证据证明，中标人出现下列情况之一的，一经查实，将被取消中标资格：</w:t>
      </w:r>
    </w:p>
    <w:p w14:paraId="49633450">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28.4.1提供虚假材料谋取中标的。</w:t>
      </w:r>
    </w:p>
    <w:p w14:paraId="6AAA4164">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28.4.2向采购人、代理机构行贿或者提供其他不正当利益的。</w:t>
      </w:r>
    </w:p>
    <w:p w14:paraId="70D750E2">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28.4.3属于本文件规定的无效条件，但在评标过程中又未被评委会发现的。</w:t>
      </w:r>
    </w:p>
    <w:p w14:paraId="4CB4F8FB">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28.4.4与采购人或者其他供应商恶意串通的。</w:t>
      </w:r>
    </w:p>
    <w:p w14:paraId="40965930">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28.4.5采取不正当手段诋毁、排挤其他供应商的。</w:t>
      </w:r>
    </w:p>
    <w:p w14:paraId="6A37E692">
      <w:pPr>
        <w:pStyle w:val="34"/>
        <w:spacing w:beforeAutospacing="0" w:afterAutospacing="0" w:line="360" w:lineRule="auto"/>
        <w:ind w:firstLine="480"/>
        <w:jc w:val="both"/>
        <w:rPr>
          <w:rFonts w:ascii="宋体" w:hAnsi="宋体" w:eastAsia="宋体" w:cs="宋体"/>
          <w:color w:val="auto"/>
        </w:rPr>
      </w:pPr>
      <w:bookmarkStart w:id="146" w:name="_Toc200451960"/>
      <w:r>
        <w:rPr>
          <w:rFonts w:hint="eastAsia" w:ascii="宋体" w:hAnsi="宋体" w:eastAsia="宋体" w:cs="宋体"/>
          <w:color w:val="auto"/>
        </w:rPr>
        <w:t>28.5.有下列情形之一的，视为投标人串通投标，投标无效：</w:t>
      </w:r>
      <w:bookmarkEnd w:id="146"/>
    </w:p>
    <w:p w14:paraId="46E5BB01">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28.5.1不同投标人的投标文件由同一单位或者个人编制；</w:t>
      </w:r>
    </w:p>
    <w:p w14:paraId="01B281E6">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28.5.2不同投标人委托同一单位或者个人办理投标事宜；</w:t>
      </w:r>
    </w:p>
    <w:p w14:paraId="6709B8FC">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28.5.3 不同投标人的投标文件载明的项目管理成员或者联系人员为同一人；</w:t>
      </w:r>
    </w:p>
    <w:p w14:paraId="10ED2646">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28.5.4不同投标人的投标文件异常一致或者投标报价呈规律性差异；</w:t>
      </w:r>
    </w:p>
    <w:p w14:paraId="5F6F2AED">
      <w:pPr>
        <w:pStyle w:val="34"/>
        <w:keepNext/>
        <w:keepLines/>
        <w:spacing w:beforeAutospacing="0" w:afterAutospacing="0" w:line="360" w:lineRule="auto"/>
        <w:ind w:firstLine="600"/>
        <w:jc w:val="both"/>
        <w:rPr>
          <w:rFonts w:ascii="宋体" w:hAnsi="宋体" w:eastAsia="宋体" w:cs="宋体"/>
          <w:color w:val="auto"/>
        </w:rPr>
      </w:pPr>
      <w:r>
        <w:rPr>
          <w:rFonts w:hint="eastAsia" w:ascii="宋体" w:hAnsi="宋体" w:eastAsia="宋体" w:cs="宋体"/>
          <w:color w:val="auto"/>
        </w:rPr>
        <w:t>29、质疑处理</w:t>
      </w:r>
    </w:p>
    <w:p w14:paraId="4983E4C2">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29.1 提出质疑的供应商应当是参与所质疑项目采购活动的供应商。潜在供应商依法获取其可质疑的采购文件的，可以对采购文件提出质疑。</w:t>
      </w:r>
    </w:p>
    <w:p w14:paraId="372AC284">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4EC383D7">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29.2.1对可以质疑的采购文件提出质疑的，为收到采购文件之日或者采购文件公告期限届满之日；</w:t>
      </w:r>
    </w:p>
    <w:p w14:paraId="66B3ED2A">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29.2.2对采购过程提出质疑的，为各采购程序环节结束之日；</w:t>
      </w:r>
    </w:p>
    <w:p w14:paraId="2AD643AF">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29.2.3对中标或者成交结果提出质疑的，为中标或者成交结果公告期限届满之日。</w:t>
      </w:r>
    </w:p>
    <w:p w14:paraId="59FB601A">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供应商应当在法定质疑期内一次性提出针对同一采购程序环节的质疑。供应商如在法定期限内对同一采购程序环节提出多次质疑的，代理机构、采购人将只对供应商第一次质疑作出答复。</w:t>
      </w:r>
    </w:p>
    <w:p w14:paraId="2CF57036">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29.3质疑函必须按照本招标文件中《质疑函范本》要求的格式和内容进行填写。供应商如组成联合体参加投标，则《质疑函范本》中要求签字、盖章、加盖公章之处，联合体各方均须按要求签字、盖章、加盖公章。</w:t>
      </w:r>
    </w:p>
    <w:p w14:paraId="727E1714">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20D2FBCA">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采购人及采购代理机构只接收以纸质原件形式送达的质疑,采购人和采购代理机构不接受未填写快递运单的快件。质疑接收部门联系地址:详见采购公告，联系电话: 详见采购公告。</w:t>
      </w:r>
    </w:p>
    <w:p w14:paraId="0C820D17">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29.5 以下情形的质疑不予受理</w:t>
      </w:r>
    </w:p>
    <w:p w14:paraId="4D66869C">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29.5.1 内容不符合《政府采购质疑和投诉办法》第十二条规定的质疑。</w:t>
      </w:r>
    </w:p>
    <w:p w14:paraId="23C402E3">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29.5.2 超出政府采购法定期限的质疑。</w:t>
      </w:r>
    </w:p>
    <w:p w14:paraId="0C8516E6">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29.5.3 以传真、电子邮件等方式递交的非原件形式的质疑。</w:t>
      </w:r>
    </w:p>
    <w:p w14:paraId="6E4733BA">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29.5.4 未参加投标活动的供应商或在投标活动中自身权益未受到损害的供应商所提出的质疑。</w:t>
      </w:r>
    </w:p>
    <w:p w14:paraId="3AD0D650">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29.5.5供应商组成联合体参加投标，联合体中任何一方或多方未按要求签字、盖章、加盖公章的质疑。</w:t>
      </w:r>
    </w:p>
    <w:p w14:paraId="0CB59B45">
      <w:pPr>
        <w:pStyle w:val="34"/>
        <w:spacing w:beforeAutospacing="0" w:afterAutospacing="0" w:line="360" w:lineRule="auto"/>
        <w:ind w:firstLine="468"/>
        <w:jc w:val="both"/>
        <w:rPr>
          <w:rFonts w:ascii="宋体" w:hAnsi="宋体" w:eastAsia="宋体" w:cs="宋体"/>
          <w:color w:val="auto"/>
        </w:rPr>
      </w:pPr>
      <w:r>
        <w:rPr>
          <w:rFonts w:hint="eastAsia" w:ascii="宋体" w:hAnsi="宋体" w:eastAsia="宋体" w:cs="宋体"/>
          <w:color w:val="auto"/>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1927AB53">
      <w:pPr>
        <w:pStyle w:val="34"/>
        <w:keepNext/>
        <w:keepLines/>
        <w:spacing w:beforeAutospacing="0" w:afterAutospacing="0" w:line="360" w:lineRule="auto"/>
        <w:ind w:firstLine="600"/>
        <w:jc w:val="both"/>
        <w:rPr>
          <w:rFonts w:ascii="宋体" w:hAnsi="宋体" w:eastAsia="宋体" w:cs="宋体"/>
          <w:color w:val="auto"/>
        </w:rPr>
      </w:pPr>
      <w:r>
        <w:rPr>
          <w:rFonts w:hint="eastAsia" w:ascii="宋体" w:hAnsi="宋体" w:eastAsia="宋体" w:cs="宋体"/>
          <w:color w:val="auto"/>
        </w:rPr>
        <w:t>30、中标通知书</w:t>
      </w:r>
    </w:p>
    <w:p w14:paraId="1118C84B">
      <w:pPr>
        <w:pStyle w:val="34"/>
        <w:spacing w:beforeAutospacing="0" w:afterAutospacing="0" w:line="360" w:lineRule="auto"/>
        <w:ind w:firstLine="600"/>
        <w:jc w:val="both"/>
        <w:rPr>
          <w:rFonts w:ascii="宋体" w:hAnsi="宋体" w:eastAsia="宋体" w:cs="宋体"/>
          <w:color w:val="auto"/>
        </w:rPr>
      </w:pPr>
      <w:r>
        <w:rPr>
          <w:rFonts w:hint="eastAsia" w:ascii="宋体" w:hAnsi="宋体" w:eastAsia="宋体" w:cs="宋体"/>
          <w:color w:val="auto"/>
        </w:rPr>
        <w:t>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2B9CDA2">
      <w:pPr>
        <w:pStyle w:val="34"/>
        <w:spacing w:beforeAutospacing="0" w:afterAutospacing="0" w:line="360" w:lineRule="auto"/>
        <w:ind w:firstLine="600"/>
        <w:jc w:val="both"/>
        <w:rPr>
          <w:rFonts w:ascii="宋体" w:hAnsi="宋体" w:eastAsia="宋体" w:cs="宋体"/>
          <w:color w:val="auto"/>
        </w:rPr>
      </w:pPr>
      <w:r>
        <w:rPr>
          <w:rFonts w:hint="eastAsia" w:ascii="宋体" w:hAnsi="宋体" w:eastAsia="宋体" w:cs="宋体"/>
          <w:color w:val="auto"/>
        </w:rPr>
        <w:t>30.2中标通知书将是合同的一个组成部分。对采购人和中标供应商均具有法律效力。中标通知书发出后，采购人改变中标结果的，或者中标供应商放弃中标项目的，应当依法承担法律责任。</w:t>
      </w:r>
    </w:p>
    <w:p w14:paraId="6B8FAC06">
      <w:pPr>
        <w:pStyle w:val="34"/>
        <w:keepNext/>
        <w:keepLines/>
        <w:spacing w:beforeAutospacing="0" w:afterAutospacing="0" w:line="360" w:lineRule="auto"/>
        <w:jc w:val="both"/>
        <w:rPr>
          <w:rFonts w:ascii="宋体" w:hAnsi="宋体" w:eastAsia="宋体" w:cs="宋体"/>
          <w:color w:val="auto"/>
        </w:rPr>
      </w:pPr>
      <w:bookmarkStart w:id="147" w:name="_Toc513029236"/>
      <w:bookmarkStart w:id="148" w:name="_Toc20823308"/>
      <w:bookmarkStart w:id="149" w:name="_Toc120614220"/>
      <w:bookmarkStart w:id="150" w:name="_Toc16938552"/>
      <w:r>
        <w:rPr>
          <w:rFonts w:hint="eastAsia" w:ascii="宋体" w:hAnsi="宋体" w:eastAsia="宋体" w:cs="宋体"/>
          <w:b/>
          <w:color w:val="auto"/>
        </w:rPr>
        <w:t>七、授予合同</w:t>
      </w:r>
      <w:bookmarkEnd w:id="147"/>
      <w:bookmarkEnd w:id="148"/>
      <w:bookmarkEnd w:id="149"/>
      <w:bookmarkEnd w:id="150"/>
    </w:p>
    <w:p w14:paraId="5E0667B3">
      <w:pPr>
        <w:pStyle w:val="34"/>
        <w:keepNext/>
        <w:keepLines/>
        <w:spacing w:beforeAutospacing="0" w:afterAutospacing="0" w:line="360" w:lineRule="auto"/>
        <w:ind w:firstLine="600"/>
        <w:jc w:val="both"/>
        <w:rPr>
          <w:rFonts w:ascii="宋体" w:hAnsi="宋体" w:eastAsia="宋体" w:cs="宋体"/>
          <w:color w:val="auto"/>
        </w:rPr>
      </w:pPr>
      <w:bookmarkStart w:id="151" w:name="_Toc16938553"/>
      <w:bookmarkStart w:id="152" w:name="_Toc513029237"/>
      <w:bookmarkStart w:id="153" w:name="_Toc20823309"/>
      <w:r>
        <w:rPr>
          <w:rFonts w:hint="eastAsia" w:ascii="宋体" w:hAnsi="宋体" w:eastAsia="宋体" w:cs="宋体"/>
          <w:color w:val="auto"/>
        </w:rPr>
        <w:t>31. 签订合同</w:t>
      </w:r>
      <w:bookmarkEnd w:id="151"/>
      <w:bookmarkEnd w:id="152"/>
      <w:bookmarkEnd w:id="153"/>
    </w:p>
    <w:p w14:paraId="5B561567">
      <w:pPr>
        <w:pStyle w:val="34"/>
        <w:spacing w:beforeAutospacing="0" w:afterAutospacing="0" w:line="360" w:lineRule="auto"/>
        <w:ind w:firstLine="600"/>
        <w:jc w:val="both"/>
        <w:rPr>
          <w:rFonts w:ascii="宋体" w:hAnsi="宋体" w:eastAsia="宋体" w:cs="宋体"/>
          <w:color w:val="auto"/>
        </w:rPr>
      </w:pPr>
      <w:r>
        <w:rPr>
          <w:rFonts w:hint="eastAsia" w:ascii="宋体" w:hAnsi="宋体" w:eastAsia="宋体" w:cs="宋体"/>
          <w:color w:val="auto"/>
        </w:rPr>
        <w:t>31.l中标人应当在中标通知书发出之日起三十日内，按照招标文件确定的事项与采购人签订政府采购合同。</w:t>
      </w:r>
    </w:p>
    <w:p w14:paraId="3B060325">
      <w:pPr>
        <w:pStyle w:val="34"/>
        <w:spacing w:beforeAutospacing="0" w:afterAutospacing="0" w:line="360" w:lineRule="auto"/>
        <w:ind w:firstLine="600"/>
        <w:jc w:val="both"/>
        <w:rPr>
          <w:rFonts w:ascii="宋体" w:hAnsi="宋体" w:eastAsia="宋体" w:cs="宋体"/>
          <w:color w:val="auto"/>
        </w:rPr>
      </w:pPr>
      <w:r>
        <w:rPr>
          <w:rFonts w:hint="eastAsia" w:ascii="宋体" w:hAnsi="宋体" w:eastAsia="宋体" w:cs="宋体"/>
          <w:color w:val="auto"/>
        </w:rPr>
        <w:t>31.2招标文件、中标人的投标文件及招标过程中有关澄清、承诺文件均应作为合同附件。</w:t>
      </w:r>
    </w:p>
    <w:p w14:paraId="10560705">
      <w:pPr>
        <w:pStyle w:val="34"/>
        <w:spacing w:beforeAutospacing="0" w:afterAutospacing="0" w:line="360" w:lineRule="auto"/>
        <w:ind w:firstLine="600"/>
        <w:jc w:val="both"/>
        <w:rPr>
          <w:rFonts w:ascii="宋体" w:hAnsi="宋体" w:eastAsia="宋体" w:cs="宋体"/>
          <w:color w:val="auto"/>
        </w:rPr>
      </w:pPr>
      <w:r>
        <w:rPr>
          <w:rFonts w:hint="eastAsia" w:ascii="宋体" w:hAnsi="宋体" w:eastAsia="宋体" w:cs="宋体"/>
          <w:color w:val="auto"/>
        </w:rPr>
        <w:t>31.3 签订合同后，</w:t>
      </w:r>
      <w:r>
        <w:rPr>
          <w:rFonts w:hint="eastAsia" w:ascii="宋体" w:hAnsi="宋体" w:eastAsia="宋体" w:cs="宋体"/>
          <w:i/>
          <w:color w:val="auto"/>
          <w:u w:val="single"/>
        </w:rPr>
        <w:t>中标人不得将合同标的进行转包</w:t>
      </w:r>
      <w:r>
        <w:rPr>
          <w:rFonts w:hint="eastAsia" w:ascii="宋体" w:hAnsi="宋体" w:eastAsia="宋体" w:cs="宋体"/>
          <w:color w:val="auto"/>
        </w:rPr>
        <w:t>。未经采购人同意，中标人也不得采用分包的形式履行合同，否则采购人有权终止合同。转包或分包造成采购人损失的，中标人应承担相应赔偿责任。</w:t>
      </w:r>
    </w:p>
    <w:p w14:paraId="5E6D5BE4">
      <w:pPr>
        <w:pStyle w:val="34"/>
        <w:keepNext/>
        <w:keepLines/>
        <w:spacing w:beforeAutospacing="0" w:afterAutospacing="0" w:line="360" w:lineRule="auto"/>
        <w:ind w:firstLine="600"/>
        <w:jc w:val="both"/>
        <w:rPr>
          <w:rFonts w:ascii="宋体" w:hAnsi="宋体" w:eastAsia="宋体" w:cs="宋体"/>
          <w:color w:val="auto"/>
        </w:rPr>
      </w:pPr>
      <w:r>
        <w:rPr>
          <w:rFonts w:hint="eastAsia" w:ascii="宋体" w:hAnsi="宋体" w:eastAsia="宋体" w:cs="宋体"/>
          <w:color w:val="auto"/>
        </w:rPr>
        <w:t>32、货物（包含与货物相关的服务）的追加</w:t>
      </w:r>
    </w:p>
    <w:p w14:paraId="07711004">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540D937F">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33.政府采购政策功能落实</w:t>
      </w:r>
    </w:p>
    <w:p w14:paraId="14C8FCA4">
      <w:pPr>
        <w:pStyle w:val="34"/>
        <w:keepNext/>
        <w:keepLines/>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33.1政府采购线上合同信用融资政策</w:t>
      </w:r>
    </w:p>
    <w:p w14:paraId="68E13838">
      <w:pPr>
        <w:pStyle w:val="34"/>
        <w:spacing w:beforeAutospacing="0" w:afterAutospacing="0" w:line="360" w:lineRule="auto"/>
        <w:ind w:firstLine="480"/>
        <w:jc w:val="both"/>
        <w:rPr>
          <w:rFonts w:hint="eastAsia" w:ascii="宋体" w:hAnsi="宋体" w:eastAsia="宋体" w:cs="宋体"/>
          <w:color w:val="auto"/>
          <w:lang w:eastAsia="zh-CN"/>
        </w:rPr>
      </w:pPr>
      <w:r>
        <w:rPr>
          <w:rFonts w:hint="eastAsia" w:ascii="宋体" w:hAnsi="宋体" w:eastAsia="宋体" w:cs="宋体"/>
          <w:color w:val="auto"/>
        </w:rPr>
        <w:t>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1FA9B6C8">
      <w:pPr>
        <w:tabs>
          <w:tab w:val="left" w:pos="1381"/>
        </w:tabs>
        <w:spacing w:line="360" w:lineRule="auto"/>
        <w:ind w:firstLine="482"/>
        <w:rPr>
          <w:rFonts w:ascii="宋体" w:hAnsi="宋体" w:eastAsia="宋体" w:cs="宋体"/>
          <w:color w:val="auto"/>
          <w:sz w:val="24"/>
        </w:rPr>
      </w:pPr>
      <w:r>
        <w:rPr>
          <w:rFonts w:hint="eastAsia" w:ascii="宋体" w:hAnsi="宋体" w:eastAsia="宋体" w:cs="宋体"/>
          <w:color w:val="auto"/>
          <w:sz w:val="24"/>
        </w:rPr>
        <w:t>33.2进口产品</w:t>
      </w:r>
    </w:p>
    <w:p w14:paraId="594C3F94">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1AA4A41">
      <w:pPr>
        <w:tabs>
          <w:tab w:val="left" w:pos="1381"/>
        </w:tabs>
        <w:spacing w:line="360" w:lineRule="auto"/>
        <w:ind w:firstLine="482"/>
        <w:rPr>
          <w:rFonts w:ascii="宋体" w:hAnsi="宋体" w:eastAsia="宋体" w:cs="宋体"/>
          <w:color w:val="auto"/>
          <w:sz w:val="24"/>
        </w:rPr>
      </w:pPr>
      <w:r>
        <w:rPr>
          <w:rFonts w:hint="eastAsia" w:ascii="宋体" w:hAnsi="宋体" w:eastAsia="宋体" w:cs="宋体"/>
          <w:color w:val="auto"/>
          <w:sz w:val="24"/>
        </w:rPr>
        <w:t>33.3中小企业、监狱企业及残疾人福利性单位</w:t>
      </w:r>
    </w:p>
    <w:p w14:paraId="72257EDD">
      <w:pPr>
        <w:spacing w:line="360" w:lineRule="auto"/>
        <w:ind w:firstLine="480"/>
        <w:rPr>
          <w:rFonts w:ascii="宋体" w:hAnsi="宋体" w:eastAsia="宋体" w:cs="宋体"/>
          <w:color w:val="auto"/>
          <w:sz w:val="24"/>
        </w:rPr>
      </w:pPr>
      <w:r>
        <w:rPr>
          <w:rFonts w:hint="eastAsia" w:ascii="宋体" w:hAnsi="宋体" w:eastAsia="宋体" w:cs="宋体"/>
          <w:color w:val="auto"/>
          <w:sz w:val="24"/>
        </w:rPr>
        <w:t>33.3.1中小企业定义：</w:t>
      </w:r>
    </w:p>
    <w:p w14:paraId="46F3FB93">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1035319">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33.3.2供应商提供的货物、工程或者服务符合下列情形的，享受中小企业扶持政策：</w:t>
      </w:r>
    </w:p>
    <w:p w14:paraId="493A665F">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33.3.2.1在货物采购项目中，货物由中小企业制造，即货物由中小企业生产且使用该中小企业商号或者注册商标；</w:t>
      </w:r>
    </w:p>
    <w:p w14:paraId="04101A3C">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33.3.2.2在工程采购项目中，工程由中小企业承建，即工程施工单位为中小企业；</w:t>
      </w:r>
    </w:p>
    <w:p w14:paraId="7C2D9867">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33.3.2.3在服务采购项目中，服务由中小企业承接，即提供服务的人员为中小企业依照《中华人民共和国劳动合同法》订立劳动合同的从业人员。</w:t>
      </w:r>
    </w:p>
    <w:p w14:paraId="7F4B90EF">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33.3.3在货物采购项目中，供应商提供的货物既有中小企业制造货物，也有大型企业制造货物的，不享受中小企业扶持政策。</w:t>
      </w:r>
    </w:p>
    <w:p w14:paraId="6D9BE522">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33.3.4以联合体形式参加政府采购活动，联合体各方均为中小企业的，联合体视同中小企业。其中，联合体各方均为小微企业的，联合体视同小微企业。</w:t>
      </w:r>
    </w:p>
    <w:p w14:paraId="77FD1A8A">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40C8A05">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33.3.6残疾人福利单位定义：享受政府采购支持政策的残疾人福利性单位应当同时满足以下条件：</w:t>
      </w:r>
    </w:p>
    <w:p w14:paraId="46212080">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33.3.6.1安置的残疾人占本单位在职职工人数的比例不低于25%（含25%），并且安置的残疾人人数不少于10 人（含10 人）；</w:t>
      </w:r>
    </w:p>
    <w:p w14:paraId="1F99EA2C">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33.3.6.2依法与安置的每位残疾人签订了一年以上（含一年）的劳动合同或服务协议；</w:t>
      </w:r>
    </w:p>
    <w:p w14:paraId="5AEC52A5">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33.3.6.3为安置的每位残疾人按月足额缴纳了基本养老保险、基本医疗保险、失业保险、工伤保险和生育保险等社会保险费；</w:t>
      </w:r>
    </w:p>
    <w:p w14:paraId="693457A0">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33.3.6.4通过银行等金融机构向安置的每位残疾人，按月支付了不低于单位所在区县适用的经省级人民政府批准的月最低工资标准的工资；</w:t>
      </w:r>
    </w:p>
    <w:p w14:paraId="18DD5172">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33.3.6.5提供本单位制造的货物、承担的工程或者服务（以下简称产品），或者提供其他残疾人福利性单位制造的货物（不包括使用非残疾人福利性单位注册商标的货物）；</w:t>
      </w:r>
    </w:p>
    <w:p w14:paraId="484B74E6">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33.3.6.6前款所称残疾人是指法定劳动年龄内，持有《中华人民共和国残疾人证》或者《中华人民共和国残疾军人证》（1至8 级）的自然人，包括具有劳动条件和劳动意愿的精神残疾人。在职职工人数是指与残疾人福利性单位建立劳动关系并依法签订劳动合同或服务协议的雇员人数。</w:t>
      </w:r>
    </w:p>
    <w:p w14:paraId="4AD9D512">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33.3.7本项目是否专门面向中小企业预留采购份额见第一章《招标公告》。</w:t>
      </w:r>
    </w:p>
    <w:p w14:paraId="5BBF8D00">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33.3.8采购标的对应的中小企业划分标准所属行业见第四章《采购需求》。</w:t>
      </w:r>
    </w:p>
    <w:p w14:paraId="6FFBF83A">
      <w:pPr>
        <w:pStyle w:val="34"/>
        <w:spacing w:beforeAutospacing="0" w:afterAutospacing="0" w:line="360" w:lineRule="auto"/>
        <w:ind w:firstLine="480"/>
        <w:jc w:val="both"/>
        <w:rPr>
          <w:rFonts w:ascii="宋体" w:hAnsi="宋体" w:eastAsia="宋体" w:cs="宋体"/>
          <w:color w:val="auto"/>
        </w:rPr>
      </w:pPr>
      <w:r>
        <w:rPr>
          <w:rFonts w:hint="eastAsia" w:ascii="宋体" w:hAnsi="宋体" w:eastAsia="宋体" w:cs="宋体"/>
          <w:color w:val="auto"/>
        </w:rPr>
        <w:t>33.3.9小微企业价格评审优惠的政策：见第五章《评标方法和评标标准》。</w:t>
      </w:r>
    </w:p>
    <w:p w14:paraId="07E6C802">
      <w:pPr>
        <w:tabs>
          <w:tab w:val="left" w:pos="1381"/>
        </w:tabs>
        <w:spacing w:line="360" w:lineRule="auto"/>
        <w:ind w:firstLine="482"/>
        <w:rPr>
          <w:rFonts w:ascii="宋体" w:hAnsi="宋体" w:eastAsia="宋体" w:cs="宋体"/>
          <w:color w:val="auto"/>
          <w:sz w:val="24"/>
        </w:rPr>
      </w:pPr>
      <w:r>
        <w:rPr>
          <w:rFonts w:hint="eastAsia" w:ascii="宋体" w:hAnsi="宋体" w:eastAsia="宋体" w:cs="宋体"/>
          <w:color w:val="auto"/>
          <w:sz w:val="24"/>
        </w:rPr>
        <w:t>33.4政府采购节能产品、环境标志产品</w:t>
      </w:r>
    </w:p>
    <w:p w14:paraId="7AE0C7D7">
      <w:pPr>
        <w:spacing w:line="360" w:lineRule="auto"/>
        <w:ind w:firstLine="480"/>
        <w:rPr>
          <w:rFonts w:ascii="宋体" w:hAnsi="宋体" w:eastAsia="宋体" w:cs="宋体"/>
          <w:color w:val="auto"/>
          <w:sz w:val="24"/>
        </w:rPr>
      </w:pPr>
      <w:r>
        <w:rPr>
          <w:rFonts w:hint="eastAsia" w:ascii="宋体" w:hAnsi="宋体" w:eastAsia="宋体" w:cs="宋体"/>
          <w:color w:val="auto"/>
          <w:sz w:val="24"/>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rPr>
        <w:t>如属政府强制采购产品未提供认证证书的或认证证书提供不全的将视为未实质性响应采购要求</w:t>
      </w:r>
      <w:r>
        <w:rPr>
          <w:rFonts w:hint="eastAsia" w:ascii="宋体" w:hAnsi="宋体" w:eastAsia="宋体" w:cs="宋体"/>
          <w:i/>
          <w:color w:val="auto"/>
          <w:sz w:val="24"/>
        </w:rPr>
        <w:t>。</w:t>
      </w:r>
      <w:r>
        <w:rPr>
          <w:rFonts w:hint="eastAsia" w:ascii="宋体" w:hAnsi="宋体" w:eastAsia="宋体" w:cs="宋体"/>
          <w:color w:val="auto"/>
          <w:sz w:val="24"/>
        </w:rPr>
        <w:t>其他条件相同情况下，应当优先采购节能产品、环境标志产品。</w:t>
      </w:r>
    </w:p>
    <w:p w14:paraId="7763313C">
      <w:pPr>
        <w:spacing w:line="360" w:lineRule="auto"/>
        <w:ind w:firstLine="480"/>
        <w:rPr>
          <w:rFonts w:ascii="宋体" w:hAnsi="宋体" w:eastAsia="宋体" w:cs="宋体"/>
          <w:color w:val="auto"/>
          <w:sz w:val="24"/>
        </w:rPr>
      </w:pPr>
      <w:r>
        <w:rPr>
          <w:rFonts w:hint="eastAsia" w:ascii="宋体" w:hAnsi="宋体" w:eastAsia="宋体" w:cs="宋体"/>
          <w:color w:val="auto"/>
          <w:sz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C368B5F">
      <w:pPr>
        <w:tabs>
          <w:tab w:val="left" w:pos="1381"/>
        </w:tabs>
        <w:spacing w:line="360" w:lineRule="auto"/>
        <w:ind w:firstLine="482"/>
        <w:rPr>
          <w:rFonts w:ascii="宋体" w:hAnsi="宋体" w:eastAsia="宋体" w:cs="宋体"/>
          <w:color w:val="auto"/>
          <w:sz w:val="24"/>
        </w:rPr>
      </w:pPr>
      <w:r>
        <w:rPr>
          <w:rFonts w:hint="eastAsia" w:ascii="宋体" w:hAnsi="宋体" w:eastAsia="宋体" w:cs="宋体"/>
          <w:color w:val="auto"/>
          <w:sz w:val="24"/>
        </w:rPr>
        <w:t>33.5绿色包装</w:t>
      </w:r>
    </w:p>
    <w:p w14:paraId="02A4DAFC">
      <w:pPr>
        <w:spacing w:line="360" w:lineRule="auto"/>
        <w:ind w:firstLine="480"/>
        <w:rPr>
          <w:rFonts w:ascii="宋体" w:hAnsi="宋体" w:eastAsia="宋体" w:cs="宋体"/>
          <w:color w:val="auto"/>
          <w:sz w:val="24"/>
        </w:rPr>
      </w:pPr>
      <w:r>
        <w:rPr>
          <w:rFonts w:hint="eastAsia" w:ascii="宋体" w:hAnsi="宋体" w:eastAsia="宋体" w:cs="宋体"/>
          <w:color w:val="auto"/>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0DA426FA">
      <w:pPr>
        <w:tabs>
          <w:tab w:val="left" w:pos="1381"/>
        </w:tabs>
        <w:spacing w:line="360" w:lineRule="auto"/>
        <w:ind w:firstLine="482"/>
        <w:rPr>
          <w:rFonts w:ascii="宋体" w:hAnsi="宋体" w:eastAsia="宋体" w:cs="宋体"/>
          <w:color w:val="auto"/>
          <w:sz w:val="24"/>
        </w:rPr>
      </w:pPr>
      <w:r>
        <w:rPr>
          <w:rFonts w:hint="eastAsia" w:ascii="宋体" w:hAnsi="宋体" w:eastAsia="宋体" w:cs="宋体"/>
          <w:color w:val="auto"/>
          <w:sz w:val="24"/>
        </w:rPr>
        <w:t>33.6政府采购创新产品</w:t>
      </w:r>
    </w:p>
    <w:p w14:paraId="2D63D4D3">
      <w:pPr>
        <w:pBdr>
          <w:top w:val="none" w:color="000000" w:sz="0" w:space="0"/>
          <w:left w:val="none" w:color="000000" w:sz="0" w:space="0"/>
          <w:bottom w:val="none" w:color="000000" w:sz="0" w:space="0"/>
          <w:right w:val="none" w:color="000000" w:sz="0" w:space="0"/>
        </w:pBdr>
        <w:spacing w:line="360" w:lineRule="auto"/>
        <w:ind w:firstLine="478"/>
        <w:rPr>
          <w:rFonts w:ascii="宋体" w:hAnsi="宋体" w:eastAsia="宋体" w:cs="宋体"/>
          <w:color w:val="auto"/>
          <w:sz w:val="24"/>
        </w:rPr>
      </w:pPr>
      <w:r>
        <w:rPr>
          <w:rFonts w:hint="eastAsia" w:ascii="宋体" w:hAnsi="宋体" w:eastAsia="宋体" w:cs="宋体"/>
          <w:color w:val="auto"/>
          <w:sz w:val="24"/>
        </w:rPr>
        <w:t>采购人优先采购各级政府部门公开发布的有效期内的创新产品、创新服务、首台套、首购首用等《目录》的创新产品。</w:t>
      </w:r>
    </w:p>
    <w:p w14:paraId="76F2947B">
      <w:pPr>
        <w:tabs>
          <w:tab w:val="left" w:pos="1381"/>
        </w:tabs>
        <w:spacing w:line="360" w:lineRule="auto"/>
        <w:ind w:firstLine="482"/>
        <w:rPr>
          <w:rFonts w:ascii="宋体" w:hAnsi="宋体" w:eastAsia="宋体" w:cs="宋体"/>
          <w:color w:val="auto"/>
          <w:sz w:val="24"/>
        </w:rPr>
      </w:pPr>
      <w:r>
        <w:rPr>
          <w:rFonts w:hint="eastAsia" w:ascii="宋体" w:hAnsi="宋体" w:eastAsia="宋体" w:cs="宋体"/>
          <w:color w:val="auto"/>
          <w:sz w:val="24"/>
        </w:rPr>
        <w:t xml:space="preserve">33.7绿色数据中心政策 </w:t>
      </w:r>
    </w:p>
    <w:p w14:paraId="76409C53">
      <w:pPr>
        <w:spacing w:line="360" w:lineRule="auto"/>
        <w:ind w:firstLine="480"/>
        <w:rPr>
          <w:rFonts w:ascii="宋体" w:hAnsi="宋体" w:eastAsia="宋体" w:cs="宋体"/>
          <w:color w:val="auto"/>
          <w:sz w:val="24"/>
        </w:rPr>
      </w:pPr>
      <w:r>
        <w:rPr>
          <w:rFonts w:hint="eastAsia" w:ascii="宋体" w:hAnsi="宋体" w:eastAsia="宋体" w:cs="宋体"/>
          <w:color w:val="auto"/>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A202885">
      <w:pPr>
        <w:spacing w:line="360" w:lineRule="auto"/>
        <w:ind w:firstLine="482"/>
        <w:rPr>
          <w:rFonts w:ascii="宋体" w:hAnsi="宋体" w:eastAsia="宋体" w:cs="宋体"/>
          <w:b/>
          <w:bCs/>
          <w:color w:val="auto"/>
          <w:sz w:val="24"/>
        </w:rPr>
      </w:pPr>
      <w:r>
        <w:rPr>
          <w:rFonts w:hint="eastAsia" w:ascii="宋体" w:hAnsi="宋体" w:eastAsia="宋体" w:cs="宋体"/>
          <w:b/>
          <w:bCs/>
          <w:color w:val="auto"/>
          <w:sz w:val="24"/>
        </w:rPr>
        <w:t>33.8实施本国产品标准及相关政策</w:t>
      </w:r>
    </w:p>
    <w:p w14:paraId="3BB8F729">
      <w:pPr>
        <w:spacing w:line="360" w:lineRule="auto"/>
        <w:ind w:firstLine="482"/>
        <w:rPr>
          <w:rFonts w:ascii="宋体" w:hAnsi="宋体" w:eastAsia="宋体" w:cs="宋体"/>
          <w:b/>
          <w:bCs/>
          <w:color w:val="auto"/>
          <w:sz w:val="24"/>
        </w:rPr>
      </w:pPr>
      <w:r>
        <w:rPr>
          <w:rFonts w:hint="eastAsia" w:ascii="宋体" w:hAnsi="宋体" w:eastAsia="宋体" w:cs="宋体"/>
          <w:b/>
          <w:bCs/>
          <w:color w:val="auto"/>
          <w:sz w:val="24"/>
        </w:rPr>
        <w:t>1.本项目对采购本国产品给予政策支持，具体内容见招标文件“第五章 评标方法与评标标准”。</w:t>
      </w:r>
    </w:p>
    <w:p w14:paraId="3F708FDA">
      <w:pPr>
        <w:spacing w:line="360" w:lineRule="auto"/>
        <w:ind w:firstLine="482"/>
        <w:rPr>
          <w:rFonts w:ascii="宋体" w:hAnsi="宋体" w:eastAsia="宋体" w:cs="宋体"/>
          <w:b/>
          <w:bCs/>
          <w:color w:val="auto"/>
          <w:sz w:val="24"/>
        </w:rPr>
      </w:pPr>
      <w:r>
        <w:rPr>
          <w:rFonts w:hint="eastAsia" w:ascii="宋体" w:hAnsi="宋体" w:eastAsia="宋体" w:cs="宋体"/>
          <w:b/>
          <w:bCs/>
          <w:color w:val="auto"/>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57DF8B9">
      <w:pPr>
        <w:spacing w:line="360" w:lineRule="auto"/>
        <w:ind w:firstLine="482"/>
        <w:rPr>
          <w:rFonts w:ascii="宋体" w:hAnsi="宋体" w:eastAsia="宋体" w:cs="宋体"/>
          <w:b/>
          <w:bCs/>
          <w:color w:val="auto"/>
          <w:sz w:val="24"/>
        </w:rPr>
      </w:pPr>
      <w:r>
        <w:rPr>
          <w:rFonts w:hint="eastAsia" w:ascii="宋体" w:hAnsi="宋体" w:eastAsia="宋体" w:cs="宋体"/>
          <w:b/>
          <w:bCs/>
          <w:color w:val="auto"/>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433D342">
      <w:pPr>
        <w:spacing w:line="360" w:lineRule="auto"/>
        <w:ind w:firstLine="482"/>
        <w:rPr>
          <w:rFonts w:ascii="宋体" w:hAnsi="宋体" w:eastAsia="宋体" w:cs="宋体"/>
          <w:b/>
          <w:bCs/>
          <w:color w:val="auto"/>
          <w:sz w:val="24"/>
        </w:rPr>
      </w:pPr>
      <w:r>
        <w:rPr>
          <w:rFonts w:hint="eastAsia" w:ascii="宋体" w:hAnsi="宋体" w:eastAsia="宋体" w:cs="宋体"/>
          <w:b/>
          <w:bCs/>
          <w:color w:val="auto"/>
          <w:sz w:val="24"/>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u w:val="single"/>
        </w:rPr>
        <w:t>故，如供应商所提供产品为本国产品的，应当对其提供的产品出具《关于符合本国产品标准的声明函》（以下简称《声明函》），不出具《声明函》的，不享受政府采购对本国产品的支持政策。</w:t>
      </w:r>
    </w:p>
    <w:p w14:paraId="4835EDBB">
      <w:pPr>
        <w:tabs>
          <w:tab w:val="left" w:pos="1381"/>
        </w:tabs>
        <w:spacing w:line="360" w:lineRule="auto"/>
        <w:ind w:firstLine="482"/>
        <w:rPr>
          <w:rFonts w:ascii="宋体" w:hAnsi="宋体" w:eastAsia="宋体" w:cs="宋体"/>
          <w:color w:val="auto"/>
          <w:sz w:val="24"/>
        </w:rPr>
      </w:pPr>
      <w:r>
        <w:rPr>
          <w:rFonts w:hint="eastAsia" w:ascii="宋体" w:hAnsi="宋体" w:eastAsia="宋体" w:cs="宋体"/>
          <w:color w:val="auto"/>
          <w:sz w:val="24"/>
        </w:rPr>
        <w:t>33.9履约保证金政策</w:t>
      </w:r>
    </w:p>
    <w:p w14:paraId="651F0842">
      <w:pPr>
        <w:pStyle w:val="203"/>
        <w:spacing w:after="0" w:line="360" w:lineRule="auto"/>
        <w:ind w:left="0" w:firstLine="560"/>
        <w:rPr>
          <w:rFonts w:ascii="宋体" w:hAnsi="宋体" w:eastAsia="宋体" w:cs="宋体"/>
          <w:color w:val="auto"/>
          <w:sz w:val="24"/>
        </w:rPr>
      </w:pPr>
      <w:r>
        <w:rPr>
          <w:rFonts w:hint="eastAsia" w:ascii="宋体" w:hAnsi="宋体" w:eastAsia="宋体" w:cs="宋体"/>
          <w:color w:val="auto"/>
          <w:sz w:val="24"/>
        </w:rPr>
        <w:t>确需收取履约保证金的，履约保证金的缴纳形式：</w:t>
      </w:r>
    </w:p>
    <w:p w14:paraId="057E17F5">
      <w:pPr>
        <w:spacing w:line="360" w:lineRule="auto"/>
        <w:ind w:firstLine="480"/>
        <w:rPr>
          <w:rFonts w:ascii="宋体" w:hAnsi="宋体" w:eastAsia="宋体" w:cs="宋体"/>
          <w:color w:val="auto"/>
          <w:sz w:val="24"/>
        </w:rPr>
      </w:pPr>
      <w:r>
        <w:rPr>
          <w:rFonts w:hint="eastAsia" w:ascii="宋体" w:hAnsi="宋体" w:eastAsia="宋体" w:cs="宋体"/>
          <w:color w:val="auto"/>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17DF5FE">
      <w:pPr>
        <w:spacing w:line="360" w:lineRule="auto"/>
        <w:ind w:firstLine="480"/>
        <w:rPr>
          <w:rFonts w:ascii="宋体" w:hAnsi="宋体" w:eastAsia="宋体" w:cs="宋体"/>
          <w:color w:val="auto"/>
          <w:sz w:val="24"/>
        </w:rPr>
      </w:pPr>
      <w:r>
        <w:rPr>
          <w:rFonts w:hint="eastAsia" w:ascii="宋体" w:hAnsi="宋体" w:eastAsia="宋体" w:cs="宋体"/>
          <w:color w:val="auto"/>
          <w:sz w:val="24"/>
        </w:rPr>
        <w:t xml:space="preserve"> 如以履约保函（保险）形式缴纳履约保证金，供应商可通过政府采购电子履约保函（保险）平台（www.jsdzbh.com）在线申请履约保函（保险）。</w:t>
      </w:r>
    </w:p>
    <w:p w14:paraId="4AF8FBF8">
      <w:pPr>
        <w:spacing w:line="360" w:lineRule="auto"/>
        <w:ind w:firstLine="480"/>
        <w:rPr>
          <w:rFonts w:ascii="宋体" w:hAnsi="宋体" w:eastAsia="宋体" w:cs="宋体"/>
          <w:color w:val="auto"/>
          <w:sz w:val="24"/>
        </w:rPr>
      </w:pPr>
      <w:r>
        <w:rPr>
          <w:rFonts w:hint="eastAsia" w:ascii="宋体" w:hAnsi="宋体" w:cs="宋体"/>
          <w:color w:val="auto"/>
          <w:sz w:val="24"/>
          <w:highlight w:val="none"/>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降低履约保证金缴纳比例为</w:t>
      </w:r>
      <w:r>
        <w:rPr>
          <w:rFonts w:hint="eastAsia" w:ascii="宋体" w:hAnsi="宋体" w:cs="宋体"/>
          <w:b/>
          <w:bCs/>
          <w:color w:val="auto"/>
          <w:sz w:val="24"/>
          <w:highlight w:val="none"/>
          <w:u w:val="single"/>
        </w:rPr>
        <w:t>5%</w:t>
      </w:r>
      <w:r>
        <w:rPr>
          <w:rFonts w:hint="eastAsia" w:ascii="宋体" w:hAnsi="宋体" w:eastAsia="宋体" w:cs="宋体"/>
          <w:color w:val="auto"/>
          <w:sz w:val="24"/>
        </w:rPr>
        <w:t>。</w:t>
      </w:r>
    </w:p>
    <w:p w14:paraId="72AC28B1">
      <w:pPr>
        <w:tabs>
          <w:tab w:val="left" w:pos="1381"/>
        </w:tabs>
        <w:spacing w:line="360" w:lineRule="auto"/>
        <w:ind w:firstLine="482"/>
        <w:rPr>
          <w:rFonts w:ascii="宋体" w:hAnsi="宋体" w:eastAsia="宋体" w:cs="宋体"/>
          <w:color w:val="auto"/>
          <w:sz w:val="24"/>
        </w:rPr>
      </w:pPr>
      <w:r>
        <w:rPr>
          <w:rFonts w:hint="eastAsia" w:ascii="宋体" w:hAnsi="宋体" w:eastAsia="宋体" w:cs="宋体"/>
          <w:color w:val="auto"/>
          <w:sz w:val="24"/>
        </w:rPr>
        <w:t>34. 预付款制度</w:t>
      </w:r>
    </w:p>
    <w:p w14:paraId="21F94757">
      <w:pPr>
        <w:spacing w:line="360" w:lineRule="auto"/>
        <w:ind w:firstLine="480"/>
        <w:rPr>
          <w:rFonts w:ascii="宋体" w:hAnsi="宋体" w:eastAsia="宋体" w:cs="宋体"/>
          <w:color w:val="auto"/>
          <w:sz w:val="24"/>
        </w:rPr>
      </w:pPr>
      <w:r>
        <w:rPr>
          <w:rFonts w:hint="eastAsia" w:ascii="宋体" w:hAnsi="宋体" w:eastAsia="宋体" w:cs="宋体"/>
          <w:color w:val="auto"/>
          <w:sz w:val="24"/>
        </w:rPr>
        <w:t>本项目落实预付款制度，预付款比例为_</w:t>
      </w:r>
      <w:r>
        <w:rPr>
          <w:rFonts w:ascii="宋体" w:hAnsi="宋体" w:eastAsia="宋体" w:cs="宋体"/>
          <w:color w:val="auto"/>
          <w:sz w:val="24"/>
          <w:u w:val="single"/>
        </w:rPr>
        <w:t>30</w:t>
      </w:r>
      <w:r>
        <w:rPr>
          <w:rFonts w:hint="eastAsia" w:ascii="宋体" w:hAnsi="宋体" w:eastAsia="宋体" w:cs="宋体"/>
          <w:color w:val="auto"/>
          <w:sz w:val="24"/>
        </w:rPr>
        <w:t>_%（原则上不低于合同金额的30%）。在签订合同时，中标、成交供应商明确书面表示无需预付款或者主动要求降低预付款比例的，采购人可就预付款比例作相应调整。</w:t>
      </w:r>
    </w:p>
    <w:p w14:paraId="377E0582">
      <w:pPr>
        <w:pStyle w:val="203"/>
        <w:spacing w:after="0" w:line="520" w:lineRule="exact"/>
        <w:ind w:left="0" w:firstLine="560"/>
        <w:rPr>
          <w:rFonts w:ascii="宋体" w:hAnsi="宋体" w:eastAsia="宋体" w:cs="宋体"/>
          <w:color w:val="auto"/>
          <w:sz w:val="24"/>
        </w:rPr>
      </w:pPr>
    </w:p>
    <w:p w14:paraId="445D39C6">
      <w:pPr>
        <w:pStyle w:val="34"/>
        <w:spacing w:beforeAutospacing="0" w:afterAutospacing="0"/>
        <w:jc w:val="both"/>
        <w:rPr>
          <w:rFonts w:hint="eastAsia" w:ascii="宋体" w:hAnsi="宋体" w:eastAsia="宋体" w:cs="宋体"/>
          <w:color w:val="auto"/>
          <w:lang w:eastAsia="zh-CN"/>
        </w:rPr>
      </w:pPr>
    </w:p>
    <w:p w14:paraId="6B4142CA">
      <w:pPr>
        <w:pStyle w:val="34"/>
        <w:spacing w:beforeAutospacing="0" w:afterAutospacing="0"/>
        <w:jc w:val="both"/>
        <w:rPr>
          <w:rFonts w:hint="eastAsia" w:ascii="宋体" w:hAnsi="宋体" w:eastAsia="宋体" w:cs="宋体"/>
          <w:color w:val="auto"/>
          <w:lang w:eastAsia="zh-CN"/>
        </w:rPr>
      </w:pPr>
    </w:p>
    <w:p w14:paraId="5B80E79C">
      <w:pPr>
        <w:pStyle w:val="34"/>
        <w:spacing w:beforeAutospacing="0" w:afterAutospacing="0"/>
        <w:jc w:val="both"/>
        <w:rPr>
          <w:rFonts w:hint="eastAsia" w:ascii="宋体" w:hAnsi="宋体" w:eastAsia="宋体" w:cs="宋体"/>
          <w:color w:val="auto"/>
          <w:lang w:eastAsia="zh-CN"/>
        </w:rPr>
      </w:pPr>
    </w:p>
    <w:p w14:paraId="7A701B9E">
      <w:pPr>
        <w:pStyle w:val="34"/>
        <w:spacing w:beforeAutospacing="0" w:afterAutospacing="0"/>
        <w:jc w:val="both"/>
        <w:rPr>
          <w:rFonts w:ascii="宋体" w:hAnsi="宋体" w:eastAsia="宋体" w:cs="宋体"/>
          <w:color w:val="auto"/>
        </w:rPr>
      </w:pPr>
    </w:p>
    <w:p w14:paraId="446F60DE">
      <w:pPr>
        <w:pStyle w:val="34"/>
        <w:spacing w:beforeAutospacing="0" w:afterAutospacing="0"/>
        <w:jc w:val="both"/>
        <w:rPr>
          <w:rFonts w:ascii="宋体" w:hAnsi="宋体" w:eastAsia="宋体" w:cs="宋体"/>
          <w:color w:val="auto"/>
        </w:rPr>
      </w:pPr>
    </w:p>
    <w:p w14:paraId="29F12B70">
      <w:pPr>
        <w:pStyle w:val="34"/>
        <w:spacing w:beforeAutospacing="0" w:afterAutospacing="0"/>
        <w:jc w:val="both"/>
        <w:rPr>
          <w:rFonts w:ascii="宋体" w:hAnsi="宋体" w:eastAsia="宋体" w:cs="宋体"/>
          <w:color w:val="auto"/>
        </w:rPr>
      </w:pPr>
    </w:p>
    <w:p w14:paraId="61BD1B84">
      <w:pPr>
        <w:pStyle w:val="34"/>
        <w:spacing w:beforeAutospacing="0" w:afterAutospacing="0"/>
        <w:jc w:val="both"/>
        <w:rPr>
          <w:color w:val="auto"/>
        </w:rPr>
      </w:pPr>
    </w:p>
    <w:p w14:paraId="65A024B8">
      <w:pPr>
        <w:pStyle w:val="34"/>
        <w:spacing w:beforeAutospacing="0" w:afterAutospacing="0"/>
        <w:jc w:val="both"/>
        <w:rPr>
          <w:color w:val="auto"/>
        </w:rPr>
      </w:pPr>
    </w:p>
    <w:p w14:paraId="14590022">
      <w:pPr>
        <w:pStyle w:val="34"/>
        <w:spacing w:beforeAutospacing="0" w:afterAutospacing="0"/>
        <w:jc w:val="both"/>
        <w:rPr>
          <w:color w:val="auto"/>
        </w:rPr>
      </w:pPr>
    </w:p>
    <w:p w14:paraId="1E8EBEBF">
      <w:pPr>
        <w:pStyle w:val="34"/>
        <w:spacing w:beforeAutospacing="0" w:afterAutospacing="0" w:line="0" w:lineRule="atLeast"/>
        <w:jc w:val="both"/>
        <w:rPr>
          <w:rFonts w:hint="eastAsia" w:eastAsiaTheme="minorEastAsia"/>
          <w:color w:val="auto"/>
          <w:lang w:eastAsia="zh-CN"/>
        </w:rPr>
      </w:pPr>
    </w:p>
    <w:p w14:paraId="47CF3708">
      <w:pPr>
        <w:pStyle w:val="34"/>
        <w:spacing w:beforeAutospacing="0" w:afterAutospacing="0" w:line="0" w:lineRule="atLeast"/>
        <w:jc w:val="both"/>
        <w:rPr>
          <w:rFonts w:hint="eastAsia" w:eastAsiaTheme="minorEastAsia"/>
          <w:color w:val="auto"/>
          <w:lang w:eastAsia="zh-CN"/>
        </w:rPr>
      </w:pPr>
    </w:p>
    <w:p w14:paraId="763D0800">
      <w:pPr>
        <w:pStyle w:val="34"/>
        <w:spacing w:beforeAutospacing="0" w:afterAutospacing="0" w:line="0" w:lineRule="atLeast"/>
        <w:jc w:val="both"/>
        <w:rPr>
          <w:rFonts w:hint="eastAsia" w:eastAsiaTheme="minorEastAsia"/>
          <w:color w:val="auto"/>
          <w:lang w:eastAsia="zh-CN"/>
        </w:rPr>
      </w:pPr>
    </w:p>
    <w:p w14:paraId="4FCEA76C">
      <w:pPr>
        <w:widowControl/>
        <w:spacing w:line="360" w:lineRule="auto"/>
        <w:jc w:val="center"/>
        <w:rPr>
          <w:rFonts w:hint="eastAsia" w:eastAsiaTheme="minorEastAsia"/>
          <w:color w:val="auto"/>
          <w:sz w:val="36"/>
          <w:szCs w:val="44"/>
          <w:lang w:eastAsia="zh-CN"/>
        </w:rPr>
      </w:pPr>
      <w:bookmarkStart w:id="154" w:name="_Toc479757211"/>
      <w:bookmarkStart w:id="155" w:name="_Toc462564139"/>
      <w:bookmarkStart w:id="156" w:name="_Toc16938590"/>
      <w:bookmarkStart w:id="157" w:name="_Hlt16619350"/>
      <w:bookmarkStart w:id="158" w:name="_Toc120614244"/>
      <w:bookmarkStart w:id="159" w:name="_Toc20823346"/>
      <w:bookmarkStart w:id="160" w:name="_Hlt16619369"/>
    </w:p>
    <w:p w14:paraId="70AC626B">
      <w:pPr>
        <w:rPr>
          <w:color w:val="auto"/>
          <w:sz w:val="36"/>
          <w:szCs w:val="44"/>
        </w:rPr>
      </w:pPr>
      <w:r>
        <w:rPr>
          <w:color w:val="auto"/>
          <w:sz w:val="36"/>
          <w:szCs w:val="44"/>
        </w:rPr>
        <w:br w:type="page" w:clear="all"/>
      </w:r>
    </w:p>
    <w:p w14:paraId="153A067D">
      <w:pPr>
        <w:pStyle w:val="207"/>
        <w:rPr>
          <w:color w:val="auto"/>
        </w:rPr>
      </w:pPr>
      <w:bookmarkStart w:id="161" w:name="_Toc234256915"/>
      <w:r>
        <w:rPr>
          <w:rFonts w:hint="eastAsia"/>
          <w:color w:val="auto"/>
        </w:rPr>
        <w:t>第三章 合同条款</w:t>
      </w:r>
      <w:bookmarkEnd w:id="161"/>
    </w:p>
    <w:p w14:paraId="164343D2">
      <w:pPr>
        <w:rPr>
          <w:rFonts w:ascii="宋体" w:hAnsi="宋体" w:cs="宋体"/>
          <w:color w:val="auto"/>
        </w:rPr>
      </w:pPr>
      <w:bookmarkStart w:id="162" w:name="EB6d2006462e294de090c16e672cecc3bd"/>
      <w:bookmarkEnd w:id="162"/>
    </w:p>
    <w:p w14:paraId="7285CEF3">
      <w:pPr>
        <w:jc w:val="center"/>
        <w:rPr>
          <w:rFonts w:ascii="宋体" w:hAnsi="宋体" w:cs="宋体"/>
          <w:color w:val="auto"/>
          <w:sz w:val="30"/>
          <w:highlight w:val="none"/>
        </w:rPr>
      </w:pPr>
    </w:p>
    <w:p w14:paraId="0D73BB23">
      <w:pPr>
        <w:jc w:val="center"/>
        <w:rPr>
          <w:rFonts w:hint="eastAsia" w:ascii="宋体" w:hAnsi="宋体" w:eastAsia="宋体" w:cs="宋体"/>
          <w:color w:val="auto"/>
          <w:sz w:val="52"/>
          <w:szCs w:val="52"/>
        </w:rPr>
      </w:pPr>
      <w:r>
        <w:rPr>
          <w:rFonts w:hint="eastAsia" w:ascii="宋体" w:hAnsi="宋体" w:eastAsia="宋体" w:cs="宋体"/>
          <w:color w:val="auto"/>
          <w:sz w:val="52"/>
          <w:szCs w:val="52"/>
        </w:rPr>
        <w:t>政府采购货物买卖合同</w:t>
      </w:r>
    </w:p>
    <w:p w14:paraId="2FE2753B">
      <w:pPr>
        <w:jc w:val="center"/>
        <w:rPr>
          <w:rFonts w:ascii="宋体" w:hAnsi="宋体" w:cs="宋体"/>
          <w:color w:val="auto"/>
          <w:sz w:val="30"/>
          <w:highlight w:val="none"/>
        </w:rPr>
      </w:pPr>
    </w:p>
    <w:p w14:paraId="29800A94">
      <w:pPr>
        <w:rPr>
          <w:rFonts w:ascii="宋体" w:hAnsi="宋体" w:cs="宋体"/>
          <w:color w:val="auto"/>
          <w:sz w:val="30"/>
          <w:highlight w:val="none"/>
        </w:rPr>
      </w:pPr>
    </w:p>
    <w:p w14:paraId="7BEF465E">
      <w:pPr>
        <w:rPr>
          <w:rFonts w:ascii="宋体" w:hAnsi="宋体" w:cs="宋体"/>
          <w:color w:val="auto"/>
          <w:sz w:val="30"/>
          <w:highlight w:val="none"/>
        </w:rPr>
      </w:pPr>
    </w:p>
    <w:p w14:paraId="278E66DF">
      <w:pPr>
        <w:rPr>
          <w:rFonts w:ascii="宋体" w:hAnsi="宋体" w:cs="宋体"/>
          <w:color w:val="auto"/>
          <w:sz w:val="30"/>
          <w:highlight w:val="none"/>
        </w:rPr>
      </w:pPr>
    </w:p>
    <w:p w14:paraId="4595CF8B">
      <w:pPr>
        <w:spacing w:line="360" w:lineRule="auto"/>
        <w:ind w:left="420"/>
        <w:rPr>
          <w:rFonts w:ascii="宋体" w:hAnsi="宋体" w:cs="宋体"/>
          <w:color w:val="auto"/>
          <w:sz w:val="30"/>
          <w:highlight w:val="none"/>
        </w:rPr>
      </w:pPr>
      <w:r>
        <w:rPr>
          <w:rFonts w:hint="eastAsia" w:ascii="宋体" w:hAnsi="宋体" w:cs="宋体"/>
          <w:color w:val="auto"/>
          <w:sz w:val="30"/>
          <w:highlight w:val="none"/>
        </w:rPr>
        <w:t>项目名称：</w:t>
      </w:r>
      <w:r>
        <w:rPr>
          <w:rFonts w:hint="eastAsia" w:ascii="宋体" w:hAnsi="宋体" w:cs="宋体"/>
          <w:color w:val="auto"/>
          <w:sz w:val="30"/>
          <w:highlight w:val="none"/>
          <w:lang w:eastAsia="zh-CN"/>
        </w:rPr>
        <w:t>江苏省盐城技师学院药品生产技术专业(化工仪表及自动化方向)教学设备添置采购项目、交通工程学院智慧物流实训中心采购项目</w:t>
      </w:r>
    </w:p>
    <w:p w14:paraId="3547A24F">
      <w:pPr>
        <w:spacing w:line="360" w:lineRule="auto"/>
        <w:ind w:left="420"/>
        <w:rPr>
          <w:rFonts w:hint="eastAsia" w:ascii="宋体" w:hAnsi="宋体" w:eastAsia="宋体" w:cs="宋体"/>
          <w:color w:val="auto"/>
          <w:sz w:val="30"/>
          <w:highlight w:val="none"/>
          <w:lang w:eastAsia="zh-CN"/>
        </w:rPr>
      </w:pPr>
      <w:r>
        <w:rPr>
          <w:rFonts w:hint="eastAsia" w:ascii="宋体" w:hAnsi="宋体" w:cs="宋体"/>
          <w:color w:val="auto"/>
          <w:sz w:val="30"/>
          <w:highlight w:val="none"/>
        </w:rPr>
        <w:t>合同编号：</w:t>
      </w:r>
      <w:r>
        <w:rPr>
          <w:rFonts w:hint="eastAsia" w:ascii="宋体" w:hAnsi="宋体" w:cs="宋体"/>
          <w:color w:val="auto"/>
          <w:sz w:val="30"/>
          <w:highlight w:val="none"/>
          <w:lang w:val="en-US" w:eastAsia="zh-CN"/>
        </w:rPr>
        <w:t xml:space="preserve"> </w:t>
      </w:r>
    </w:p>
    <w:p w14:paraId="43560CC3">
      <w:pPr>
        <w:spacing w:line="360" w:lineRule="auto"/>
        <w:ind w:left="420"/>
        <w:rPr>
          <w:rFonts w:ascii="宋体" w:hAnsi="宋体" w:cs="宋体"/>
          <w:color w:val="auto"/>
          <w:sz w:val="30"/>
          <w:highlight w:val="none"/>
        </w:rPr>
      </w:pPr>
      <w:r>
        <w:rPr>
          <w:rFonts w:hint="eastAsia" w:ascii="宋体" w:hAnsi="宋体" w:cs="宋体"/>
          <w:color w:val="auto"/>
          <w:sz w:val="30"/>
          <w:highlight w:val="none"/>
        </w:rPr>
        <w:t>甲    方：江苏省盐城技师学院</w:t>
      </w:r>
    </w:p>
    <w:p w14:paraId="4ED201AF">
      <w:pPr>
        <w:spacing w:line="360" w:lineRule="auto"/>
        <w:ind w:left="420"/>
        <w:rPr>
          <w:rFonts w:ascii="宋体" w:hAnsi="宋体" w:cs="宋体"/>
          <w:color w:val="auto"/>
          <w:sz w:val="30"/>
          <w:highlight w:val="none"/>
        </w:rPr>
      </w:pPr>
      <w:r>
        <w:rPr>
          <w:rFonts w:hint="eastAsia" w:ascii="宋体" w:hAnsi="宋体" w:cs="宋体"/>
          <w:color w:val="auto"/>
          <w:sz w:val="30"/>
          <w:highlight w:val="none"/>
        </w:rPr>
        <w:t>乙    方：</w:t>
      </w:r>
    </w:p>
    <w:p w14:paraId="240C17F4">
      <w:pPr>
        <w:spacing w:line="360" w:lineRule="auto"/>
        <w:ind w:left="420"/>
        <w:rPr>
          <w:rFonts w:ascii="宋体" w:hAnsi="宋体" w:cs="宋体"/>
          <w:color w:val="auto"/>
          <w:sz w:val="30"/>
          <w:highlight w:val="none"/>
        </w:rPr>
      </w:pPr>
      <w:r>
        <w:rPr>
          <w:rFonts w:hint="eastAsia" w:ascii="宋体" w:hAnsi="宋体" w:cs="宋体"/>
          <w:color w:val="auto"/>
          <w:sz w:val="30"/>
          <w:highlight w:val="none"/>
        </w:rPr>
        <w:t>签订时间：</w:t>
      </w:r>
    </w:p>
    <w:p w14:paraId="741FC572">
      <w:pPr>
        <w:rPr>
          <w:color w:val="auto"/>
          <w:highlight w:val="none"/>
        </w:rPr>
      </w:pPr>
    </w:p>
    <w:p w14:paraId="50B41DE2">
      <w:pPr>
        <w:rPr>
          <w:rFonts w:eastAsia="黑体"/>
          <w:color w:val="auto"/>
          <w:sz w:val="44"/>
          <w:szCs w:val="44"/>
          <w:highlight w:val="none"/>
        </w:rPr>
      </w:pPr>
      <w:r>
        <w:rPr>
          <w:rFonts w:eastAsia="黑体"/>
          <w:color w:val="auto"/>
          <w:sz w:val="44"/>
          <w:szCs w:val="44"/>
          <w:highlight w:val="none"/>
        </w:rPr>
        <w:br w:type="page" w:clear="all"/>
      </w:r>
    </w:p>
    <w:p w14:paraId="1BF23042">
      <w:pPr>
        <w:jc w:val="center"/>
        <w:rPr>
          <w:rFonts w:eastAsia="黑体"/>
          <w:color w:val="auto"/>
          <w:sz w:val="44"/>
          <w:szCs w:val="44"/>
          <w:highlight w:val="none"/>
        </w:rPr>
      </w:pPr>
      <w:r>
        <w:rPr>
          <w:rFonts w:hint="eastAsia" w:eastAsia="黑体"/>
          <w:color w:val="auto"/>
          <w:sz w:val="44"/>
          <w:szCs w:val="44"/>
          <w:highlight w:val="none"/>
        </w:rPr>
        <w:t>使用说明</w:t>
      </w:r>
    </w:p>
    <w:p w14:paraId="4DC15F14">
      <w:pPr>
        <w:ind w:firstLine="640"/>
        <w:rPr>
          <w:rFonts w:ascii="仿宋_GB2312" w:hAnsi="仿宋_GB2312" w:eastAsia="仿宋_GB2312" w:cs="仿宋_GB2312"/>
          <w:color w:val="auto"/>
          <w:sz w:val="32"/>
          <w:szCs w:val="32"/>
          <w:highlight w:val="none"/>
        </w:rPr>
      </w:pPr>
    </w:p>
    <w:p w14:paraId="3D44728C">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1.本合同标准文本适用于购买现成货物的采购项目，不包括需要供应商定制开发、创新研发的货物采购项目。</w:t>
      </w:r>
    </w:p>
    <w:p w14:paraId="7C48F5F1">
      <w:pPr>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2.本合同标准文本为政府采购货物买卖合同编制提供参考，可以结合采购项目具体情况，对文本作必要的调整修订后使用。</w:t>
      </w:r>
    </w:p>
    <w:p w14:paraId="2A29FB44">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3.本合同标准文本各条款中，如涉及填写多家供应商、制造商，多种采购标的、分包主要内容等信息的，可根据采购项目具体情况添加信息项。</w:t>
      </w:r>
    </w:p>
    <w:p w14:paraId="46A948D2">
      <w:pPr>
        <w:ind w:firstLine="880"/>
        <w:rPr>
          <w:rFonts w:hint="eastAsia" w:ascii="宋体" w:hAnsi="宋体" w:eastAsia="宋体" w:cs="宋体"/>
          <w:color w:val="auto"/>
          <w:sz w:val="44"/>
          <w:szCs w:val="44"/>
          <w:highlight w:val="none"/>
        </w:rPr>
        <w:sectPr>
          <w:footerReference r:id="rId3" w:type="default"/>
          <w:pgSz w:w="11906" w:h="16838"/>
          <w:pgMar w:top="1440" w:right="1463" w:bottom="1440" w:left="1463" w:header="851" w:footer="992" w:gutter="0"/>
          <w:cols w:space="425" w:num="1"/>
          <w:docGrid w:linePitch="360" w:charSpace="0"/>
        </w:sectPr>
      </w:pPr>
    </w:p>
    <w:p w14:paraId="145BFAA3">
      <w:pPr>
        <w:keepNext/>
        <w:keepLines/>
        <w:spacing w:line="400" w:lineRule="exact"/>
        <w:jc w:val="center"/>
        <w:outlineLvl w:val="1"/>
        <w:rPr>
          <w:rFonts w:hint="eastAsia" w:ascii="黑体" w:hAnsi="华文中宋" w:eastAsia="黑体"/>
          <w:color w:val="auto"/>
          <w:sz w:val="28"/>
          <w:szCs w:val="28"/>
        </w:rPr>
      </w:pPr>
      <w:bookmarkStart w:id="163" w:name="_Toc27624"/>
      <w:r>
        <w:rPr>
          <w:rFonts w:hint="eastAsia" w:ascii="黑体" w:hAnsi="黑体" w:eastAsia="黑体"/>
          <w:color w:val="auto"/>
          <w:sz w:val="28"/>
          <w:szCs w:val="28"/>
        </w:rPr>
        <w:t xml:space="preserve">第一节 </w:t>
      </w:r>
      <w:r>
        <w:rPr>
          <w:rFonts w:hint="eastAsia" w:ascii="黑体" w:hAnsi="华文中宋" w:eastAsia="黑体"/>
          <w:color w:val="auto"/>
          <w:sz w:val="28"/>
          <w:szCs w:val="28"/>
        </w:rPr>
        <w:t>政府采购合同协议书</w:t>
      </w:r>
    </w:p>
    <w:p w14:paraId="3ED22423">
      <w:pPr>
        <w:widowControl/>
        <w:spacing w:before="0" w:after="0" w:line="560" w:lineRule="exact"/>
        <w:ind w:firstLine="480"/>
        <w:jc w:val="left"/>
        <w:rPr>
          <w:rFonts w:hint="default" w:ascii="宋体" w:hAnsi="宋体" w:eastAsia="Arial" w:cs="宋体"/>
          <w:bCs w:val="0"/>
          <w:color w:val="auto"/>
          <w:sz w:val="24"/>
          <w:szCs w:val="20"/>
          <w:lang w:eastAsia="zh-CN"/>
        </w:rPr>
      </w:pPr>
      <w:r>
        <w:rPr>
          <w:rFonts w:hint="default" w:ascii="宋体" w:hAnsi="宋体" w:eastAsia="Arial" w:cs="宋体"/>
          <w:color w:val="auto"/>
          <w:sz w:val="24"/>
          <w:szCs w:val="20"/>
          <w:lang w:val="zh-CN"/>
        </w:rPr>
        <w:t>甲方（全称）：</w:t>
      </w:r>
      <w:r>
        <w:rPr>
          <w:rFonts w:hint="default" w:ascii="宋体" w:hAnsi="宋体" w:eastAsia="Arial" w:cs="宋体"/>
          <w:color w:val="auto"/>
          <w:sz w:val="24"/>
          <w:szCs w:val="20"/>
          <w:u w:val="single"/>
          <w:lang w:eastAsia="zh-CN"/>
        </w:rPr>
        <w:t>江苏省盐城技师学院</w:t>
      </w:r>
    </w:p>
    <w:p w14:paraId="5BA9E148">
      <w:pPr>
        <w:widowControl/>
        <w:spacing w:line="560" w:lineRule="exact"/>
        <w:ind w:firstLine="482"/>
        <w:jc w:val="left"/>
        <w:rPr>
          <w:rFonts w:ascii="宋体" w:hAnsi="宋体" w:eastAsia="Arial" w:cs="宋体"/>
          <w:color w:val="auto"/>
          <w:sz w:val="24"/>
          <w:szCs w:val="20"/>
          <w:lang w:val="zh-CN"/>
        </w:rPr>
      </w:pPr>
      <w:r>
        <w:rPr>
          <w:rFonts w:hint="default" w:ascii="宋体" w:hAnsi="宋体" w:eastAsia="Arial" w:cs="宋体"/>
          <w:color w:val="auto"/>
          <w:sz w:val="24"/>
          <w:szCs w:val="20"/>
          <w:lang w:val="zh-CN"/>
        </w:rPr>
        <w:t>乙方（全称）：</w:t>
      </w:r>
      <w:r>
        <w:rPr>
          <w:rFonts w:hint="eastAsia" w:ascii="宋体" w:hAnsi="宋体" w:eastAsia="宋体" w:cs="宋体"/>
          <w:color w:val="auto"/>
          <w:sz w:val="24"/>
          <w:szCs w:val="20"/>
          <w:u w:val="single"/>
          <w:lang w:val="en-US" w:eastAsia="zh-CN"/>
        </w:rPr>
        <w:t xml:space="preserve">                  </w:t>
      </w:r>
      <w:r>
        <w:rPr>
          <w:rFonts w:hint="default" w:ascii="宋体" w:hAnsi="宋体" w:eastAsia="Arial" w:cs="宋体"/>
          <w:color w:val="auto"/>
          <w:sz w:val="24"/>
          <w:szCs w:val="20"/>
          <w:u w:val="none"/>
        </w:rPr>
        <w:t xml:space="preserve">                   </w:t>
      </w:r>
    </w:p>
    <w:p w14:paraId="2E92DCB2">
      <w:pPr>
        <w:widowControl/>
        <w:spacing w:line="560" w:lineRule="exact"/>
        <w:ind w:firstLine="482"/>
        <w:jc w:val="left"/>
        <w:rPr>
          <w:rFonts w:ascii="宋体" w:hAnsi="宋体" w:cs="宋体"/>
          <w:color w:val="auto"/>
          <w:sz w:val="24"/>
          <w:szCs w:val="20"/>
          <w:lang w:val="zh-CN"/>
        </w:rPr>
      </w:pPr>
      <w:r>
        <w:rPr>
          <w:rFonts w:hint="default" w:ascii="宋体" w:hAnsi="宋体" w:eastAsia="Arial" w:cs="宋体"/>
          <w:color w:val="auto"/>
          <w:sz w:val="24"/>
          <w:szCs w:val="20"/>
          <w:lang w:val="zh-CN"/>
        </w:rPr>
        <w:t>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宋体" w:hAnsi="宋体" w:cs="宋体"/>
          <w:color w:val="auto"/>
          <w:sz w:val="24"/>
          <w:szCs w:val="20"/>
          <w:lang w:val="zh-CN"/>
        </w:rPr>
        <w:t xml:space="preserve">     </w:t>
      </w:r>
    </w:p>
    <w:p w14:paraId="474FAC8F">
      <w:pPr>
        <w:widowControl/>
        <w:spacing w:line="560" w:lineRule="exact"/>
        <w:ind w:firstLine="482"/>
        <w:jc w:val="left"/>
        <w:rPr>
          <w:rFonts w:ascii="宋体" w:hAnsi="宋体" w:eastAsia="Arial" w:cs="宋体"/>
          <w:b w:val="0"/>
          <w:bCs w:val="0"/>
          <w:color w:val="auto"/>
          <w:sz w:val="24"/>
          <w:szCs w:val="20"/>
          <w:lang w:val="zh-CN"/>
        </w:rPr>
      </w:pPr>
      <w:r>
        <w:rPr>
          <w:rFonts w:hint="default" w:ascii="宋体" w:hAnsi="宋体" w:eastAsia="Arial" w:cs="宋体"/>
          <w:b w:val="0"/>
          <w:bCs w:val="0"/>
          <w:color w:val="auto"/>
          <w:sz w:val="24"/>
          <w:szCs w:val="20"/>
          <w:lang w:val="zh-CN"/>
        </w:rPr>
        <w:t>1.项目信息</w:t>
      </w:r>
    </w:p>
    <w:p w14:paraId="2D44B442">
      <w:pPr>
        <w:widowControl/>
        <w:spacing w:line="560" w:lineRule="exact"/>
        <w:ind w:firstLine="482"/>
        <w:jc w:val="left"/>
        <w:rPr>
          <w:rFonts w:hint="default" w:ascii="宋体" w:hAnsi="宋体" w:eastAsia="Arial" w:cs="宋体"/>
          <w:bCs w:val="0"/>
          <w:color w:val="auto"/>
          <w:sz w:val="24"/>
          <w:szCs w:val="20"/>
          <w:u w:val="single"/>
          <w:lang w:val="zh-CN" w:eastAsia="zh-CN"/>
        </w:rPr>
      </w:pPr>
      <w:r>
        <w:rPr>
          <w:rFonts w:hint="default" w:ascii="宋体" w:hAnsi="宋体" w:eastAsia="Arial" w:cs="宋体"/>
          <w:color w:val="auto"/>
          <w:sz w:val="24"/>
          <w:szCs w:val="20"/>
          <w:lang w:val="zh-CN"/>
        </w:rPr>
        <w:t>（1）采购项目名称：</w:t>
      </w:r>
      <w:r>
        <w:rPr>
          <w:rFonts w:hint="eastAsia" w:ascii="宋体" w:hAnsi="宋体" w:eastAsia="Arial" w:cs="宋体"/>
          <w:color w:val="auto"/>
          <w:sz w:val="24"/>
          <w:szCs w:val="20"/>
          <w:u w:val="single"/>
          <w:lang w:val="zh-CN" w:eastAsia="zh-CN"/>
        </w:rPr>
        <w:t>（</w:t>
      </w:r>
      <w:r>
        <w:rPr>
          <w:rFonts w:hint="eastAsia" w:ascii="宋体" w:hAnsi="宋体" w:eastAsia="Arial" w:cs="宋体"/>
          <w:color w:val="auto"/>
          <w:sz w:val="24"/>
          <w:szCs w:val="20"/>
          <w:u w:val="single"/>
          <w:lang w:val="en-US" w:eastAsia="zh-CN"/>
        </w:rPr>
        <w:t>包一</w:t>
      </w:r>
      <w:r>
        <w:rPr>
          <w:rFonts w:hint="eastAsia" w:ascii="宋体" w:hAnsi="宋体" w:eastAsia="Arial" w:cs="宋体"/>
          <w:color w:val="auto"/>
          <w:sz w:val="24"/>
          <w:szCs w:val="20"/>
          <w:u w:val="single"/>
          <w:lang w:val="zh-CN" w:eastAsia="zh-CN"/>
        </w:rPr>
        <w:t>）江苏省盐城技师学院药品生产技术专业(化工仪表及自动化方向)教学设备添置采购项目；（</w:t>
      </w:r>
      <w:r>
        <w:rPr>
          <w:rFonts w:hint="eastAsia" w:ascii="宋体" w:hAnsi="宋体" w:eastAsia="Arial" w:cs="宋体"/>
          <w:color w:val="auto"/>
          <w:sz w:val="24"/>
          <w:szCs w:val="20"/>
          <w:u w:val="single"/>
          <w:lang w:val="en-US" w:eastAsia="zh-CN"/>
        </w:rPr>
        <w:t>包二</w:t>
      </w:r>
      <w:r>
        <w:rPr>
          <w:rFonts w:hint="eastAsia" w:ascii="宋体" w:hAnsi="宋体" w:eastAsia="Arial" w:cs="宋体"/>
          <w:color w:val="auto"/>
          <w:sz w:val="24"/>
          <w:szCs w:val="20"/>
          <w:u w:val="single"/>
          <w:lang w:val="zh-CN" w:eastAsia="zh-CN"/>
        </w:rPr>
        <w:t>）、交通工程学院智慧物流实训中心采购项目</w:t>
      </w:r>
    </w:p>
    <w:p w14:paraId="5B15015F">
      <w:pPr>
        <w:widowControl/>
        <w:spacing w:line="560" w:lineRule="exact"/>
        <w:ind w:firstLine="482"/>
        <w:jc w:val="left"/>
        <w:rPr>
          <w:rFonts w:ascii="宋体" w:hAnsi="宋体" w:eastAsia="Arial" w:cs="宋体"/>
          <w:bCs w:val="0"/>
          <w:color w:val="auto"/>
          <w:sz w:val="24"/>
          <w:szCs w:val="20"/>
          <w:u w:val="none"/>
          <w:lang w:val="zh-CN"/>
        </w:rPr>
      </w:pPr>
      <w:r>
        <w:rPr>
          <w:rFonts w:hint="default" w:ascii="宋体" w:hAnsi="宋体" w:eastAsia="Arial" w:cs="宋体"/>
          <w:bCs w:val="0"/>
          <w:color w:val="auto"/>
          <w:sz w:val="24"/>
          <w:szCs w:val="20"/>
          <w:lang w:val="zh-CN"/>
        </w:rPr>
        <w:t xml:space="preserve"> </w:t>
      </w:r>
      <w:r>
        <w:rPr>
          <w:rFonts w:hint="eastAsia" w:ascii="宋体" w:hAnsi="宋体" w:eastAsia="宋体" w:cs="宋体"/>
          <w:bCs w:val="0"/>
          <w:color w:val="auto"/>
          <w:sz w:val="24"/>
          <w:szCs w:val="20"/>
          <w:lang w:val="en-US" w:eastAsia="zh-CN"/>
        </w:rPr>
        <w:t xml:space="preserve">    </w:t>
      </w:r>
      <w:r>
        <w:rPr>
          <w:rFonts w:hint="default" w:ascii="宋体" w:hAnsi="宋体" w:eastAsia="Arial" w:cs="宋体"/>
          <w:bCs w:val="0"/>
          <w:color w:val="auto"/>
          <w:sz w:val="24"/>
          <w:szCs w:val="20"/>
          <w:lang w:val="zh-CN"/>
        </w:rPr>
        <w:t>采购项目编号：</w:t>
      </w:r>
      <w:r>
        <w:rPr>
          <w:rFonts w:hint="eastAsia" w:ascii="宋体" w:hAnsi="宋体" w:eastAsia="Arial" w:cs="宋体"/>
          <w:bCs w:val="0"/>
          <w:color w:val="auto"/>
          <w:sz w:val="24"/>
          <w:szCs w:val="20"/>
          <w:u w:val="single"/>
          <w:lang w:val="en-US" w:eastAsia="zh-CN"/>
        </w:rPr>
        <w:t xml:space="preserve">                    </w:t>
      </w:r>
      <w:r>
        <w:rPr>
          <w:rFonts w:hint="default" w:ascii="宋体" w:hAnsi="宋体" w:eastAsia="Arial" w:cs="宋体"/>
          <w:bCs w:val="0"/>
          <w:color w:val="auto"/>
          <w:sz w:val="24"/>
          <w:szCs w:val="20"/>
          <w:u w:val="single"/>
          <w:lang w:val="zh-CN"/>
        </w:rPr>
        <w:t xml:space="preserve"> </w:t>
      </w:r>
      <w:r>
        <w:rPr>
          <w:rFonts w:hint="default" w:ascii="宋体" w:hAnsi="宋体" w:eastAsia="Arial" w:cs="宋体"/>
          <w:bCs w:val="0"/>
          <w:color w:val="auto"/>
          <w:sz w:val="24"/>
          <w:szCs w:val="20"/>
          <w:u w:val="single"/>
          <w:lang w:val="zh-CN" w:eastAsia="zh-CN"/>
        </w:rPr>
        <w:t xml:space="preserve"> </w:t>
      </w:r>
      <w:r>
        <w:rPr>
          <w:rFonts w:hint="default" w:ascii="宋体" w:hAnsi="宋体" w:eastAsia="Arial" w:cs="宋体"/>
          <w:bCs w:val="0"/>
          <w:color w:val="auto"/>
          <w:sz w:val="24"/>
          <w:szCs w:val="20"/>
          <w:u w:val="none"/>
          <w:lang w:val="zh-CN" w:eastAsia="zh-CN"/>
        </w:rPr>
        <w:t xml:space="preserve">   </w:t>
      </w:r>
      <w:r>
        <w:rPr>
          <w:rFonts w:hint="default" w:ascii="宋体" w:hAnsi="宋体" w:eastAsia="Arial" w:cs="宋体"/>
          <w:bCs w:val="0"/>
          <w:color w:val="auto"/>
          <w:sz w:val="24"/>
          <w:szCs w:val="20"/>
          <w:u w:val="none"/>
          <w:lang w:val="zh-CN"/>
        </w:rPr>
        <w:t xml:space="preserve"> </w:t>
      </w:r>
    </w:p>
    <w:p w14:paraId="724FF571">
      <w:pPr>
        <w:widowControl/>
        <w:spacing w:line="560" w:lineRule="exact"/>
        <w:ind w:firstLine="482"/>
        <w:jc w:val="left"/>
        <w:rPr>
          <w:rFonts w:ascii="宋体" w:hAnsi="宋体" w:eastAsia="Arial" w:cs="宋体"/>
          <w:color w:val="auto"/>
          <w:sz w:val="24"/>
          <w:szCs w:val="20"/>
          <w:u w:val="none"/>
          <w:lang w:val="zh-CN"/>
        </w:rPr>
      </w:pPr>
      <w:r>
        <w:rPr>
          <w:rFonts w:hint="default" w:ascii="宋体" w:hAnsi="宋体" w:eastAsia="Arial" w:cs="宋体"/>
          <w:color w:val="auto"/>
          <w:sz w:val="24"/>
          <w:szCs w:val="20"/>
          <w:lang w:val="zh-CN"/>
        </w:rPr>
        <w:t>（2）采购计划编号：</w:t>
      </w:r>
      <w:r>
        <w:rPr>
          <w:rFonts w:hint="eastAsia" w:ascii="宋体" w:hAnsi="宋体" w:eastAsia="宋体" w:cs="宋体"/>
          <w:color w:val="auto"/>
          <w:sz w:val="24"/>
          <w:szCs w:val="20"/>
          <w:u w:val="single"/>
          <w:lang w:val="en-US" w:eastAsia="zh-CN"/>
        </w:rPr>
        <w:t xml:space="preserve">                           </w:t>
      </w:r>
      <w:r>
        <w:rPr>
          <w:rFonts w:hint="default" w:ascii="宋体" w:hAnsi="宋体" w:eastAsia="Arial" w:cs="宋体"/>
          <w:color w:val="auto"/>
          <w:sz w:val="24"/>
          <w:szCs w:val="20"/>
          <w:u w:val="none"/>
          <w:lang w:val="zh-CN"/>
        </w:rPr>
        <w:t xml:space="preserve">           </w:t>
      </w:r>
    </w:p>
    <w:p w14:paraId="294D992E">
      <w:pPr>
        <w:widowControl/>
        <w:spacing w:line="560" w:lineRule="exact"/>
        <w:ind w:firstLine="482"/>
        <w:jc w:val="left"/>
        <w:rPr>
          <w:rFonts w:ascii="宋体" w:hAnsi="宋体" w:eastAsia="Arial" w:cs="宋体"/>
          <w:color w:val="auto"/>
          <w:sz w:val="24"/>
          <w:szCs w:val="20"/>
          <w:lang w:val="zh-CN"/>
        </w:rPr>
      </w:pPr>
      <w:r>
        <w:rPr>
          <w:rFonts w:hint="default" w:ascii="宋体" w:hAnsi="宋体" w:eastAsia="Arial" w:cs="宋体"/>
          <w:color w:val="auto"/>
          <w:sz w:val="24"/>
          <w:szCs w:val="20"/>
          <w:lang w:val="zh-CN"/>
        </w:rPr>
        <w:t>（3）项目内容：</w:t>
      </w:r>
      <w:r>
        <w:rPr>
          <w:rFonts w:hint="eastAsia" w:ascii="宋体" w:hAnsi="宋体" w:eastAsia="宋体" w:cs="宋体"/>
          <w:color w:val="auto"/>
          <w:sz w:val="24"/>
          <w:szCs w:val="20"/>
          <w:u w:val="single"/>
          <w:lang w:val="en-US" w:eastAsia="zh-CN"/>
        </w:rPr>
        <w:t xml:space="preserve">                               </w:t>
      </w:r>
      <w:r>
        <w:rPr>
          <w:rFonts w:hint="default" w:ascii="宋体" w:hAnsi="宋体" w:eastAsia="Arial" w:cs="宋体"/>
          <w:color w:val="auto"/>
          <w:sz w:val="24"/>
          <w:szCs w:val="20"/>
          <w:u w:val="none"/>
          <w:lang w:val="zh-CN"/>
        </w:rPr>
        <w:t xml:space="preserve">           </w:t>
      </w:r>
    </w:p>
    <w:p w14:paraId="4A5BA3F1">
      <w:pPr>
        <w:widowControl/>
        <w:spacing w:line="520" w:lineRule="exact"/>
        <w:ind w:firstLine="480"/>
        <w:rPr>
          <w:rFonts w:ascii="宋体" w:hAnsi="宋体" w:cs="宋体"/>
          <w:color w:val="auto"/>
          <w:sz w:val="24"/>
          <w:szCs w:val="20"/>
          <w:u w:val="single"/>
        </w:rPr>
      </w:pPr>
      <w:r>
        <w:rPr>
          <w:rFonts w:hint="eastAsia" w:ascii="宋体" w:hAnsi="宋体" w:cs="宋体"/>
          <w:color w:val="auto"/>
          <w:sz w:val="24"/>
          <w:szCs w:val="20"/>
          <w:lang w:val="zh-CN"/>
        </w:rPr>
        <w:t>（</w:t>
      </w:r>
      <w:r>
        <w:rPr>
          <w:rFonts w:hint="eastAsia" w:ascii="宋体" w:hAnsi="宋体" w:cs="宋体"/>
          <w:color w:val="auto"/>
          <w:sz w:val="24"/>
          <w:szCs w:val="20"/>
          <w:lang w:val="en-US" w:eastAsia="zh-CN"/>
        </w:rPr>
        <w:t>4</w:t>
      </w:r>
      <w:r>
        <w:rPr>
          <w:rFonts w:hint="eastAsia" w:ascii="宋体" w:hAnsi="宋体" w:cs="宋体"/>
          <w:color w:val="auto"/>
          <w:sz w:val="24"/>
          <w:szCs w:val="20"/>
          <w:lang w:val="zh-CN"/>
        </w:rPr>
        <w:t>）采购标的及数量（台/套/个/架/组等）：</w:t>
      </w:r>
      <w:r>
        <w:rPr>
          <w:rFonts w:hint="eastAsia" w:ascii="宋体" w:hAnsi="宋体" w:cs="宋体"/>
          <w:color w:val="auto"/>
          <w:sz w:val="24"/>
          <w:szCs w:val="20"/>
          <w:u w:val="single"/>
        </w:rPr>
        <w:t xml:space="preserve">                 </w:t>
      </w:r>
    </w:p>
    <w:p w14:paraId="5586A5A3">
      <w:pPr>
        <w:widowControl/>
        <w:spacing w:line="520" w:lineRule="exact"/>
        <w:ind w:firstLine="480"/>
        <w:rPr>
          <w:rFonts w:ascii="宋体" w:hAnsi="宋体" w:cs="宋体"/>
          <w:color w:val="auto"/>
          <w:sz w:val="24"/>
          <w:szCs w:val="20"/>
          <w:u w:val="single"/>
        </w:rPr>
      </w:pPr>
      <w:r>
        <w:rPr>
          <w:rFonts w:hint="eastAsia" w:ascii="宋体" w:hAnsi="宋体" w:cs="宋体"/>
          <w:color w:val="auto"/>
          <w:sz w:val="24"/>
          <w:szCs w:val="20"/>
          <w:lang w:val="zh-CN"/>
        </w:rPr>
        <w:t>品牌：</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r>
        <w:rPr>
          <w:rFonts w:hint="eastAsia" w:ascii="宋体" w:hAnsi="宋体" w:cs="宋体"/>
          <w:color w:val="auto"/>
          <w:sz w:val="24"/>
          <w:szCs w:val="20"/>
          <w:lang w:val="zh-CN"/>
        </w:rPr>
        <w:t>规格型号：</w:t>
      </w:r>
      <w:r>
        <w:rPr>
          <w:rFonts w:hint="eastAsia" w:ascii="宋体" w:hAnsi="宋体" w:cs="宋体"/>
          <w:color w:val="auto"/>
          <w:sz w:val="24"/>
          <w:szCs w:val="20"/>
          <w:u w:val="single"/>
        </w:rPr>
        <w:t xml:space="preserve">                  </w:t>
      </w:r>
    </w:p>
    <w:p w14:paraId="5E925F1D">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采购标的的技术要求、商务要求具体见附件。</w:t>
      </w:r>
    </w:p>
    <w:p w14:paraId="668F731E">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①涉及信息类产品，请填写该产品关键部件的品牌、型号：</w:t>
      </w:r>
    </w:p>
    <w:p w14:paraId="6E6210E5">
      <w:pPr>
        <w:widowControl/>
        <w:spacing w:line="520" w:lineRule="exact"/>
        <w:ind w:firstLine="480"/>
        <w:rPr>
          <w:rFonts w:ascii="宋体" w:hAnsi="宋体" w:cs="宋体"/>
          <w:color w:val="auto"/>
          <w:sz w:val="24"/>
          <w:szCs w:val="20"/>
          <w:u w:val="single"/>
        </w:rPr>
      </w:pPr>
      <w:r>
        <w:rPr>
          <w:rFonts w:hint="eastAsia" w:ascii="宋体" w:hAnsi="宋体" w:cs="宋体"/>
          <w:color w:val="auto"/>
          <w:sz w:val="24"/>
          <w:szCs w:val="20"/>
          <w:lang w:val="zh-CN"/>
        </w:rPr>
        <w:t>标的名称：</w:t>
      </w:r>
      <w:r>
        <w:rPr>
          <w:rFonts w:hint="eastAsia" w:ascii="宋体" w:hAnsi="宋体" w:cs="宋体"/>
          <w:color w:val="auto"/>
          <w:sz w:val="24"/>
          <w:szCs w:val="20"/>
          <w:u w:val="single"/>
        </w:rPr>
        <w:t xml:space="preserve">                         </w:t>
      </w:r>
    </w:p>
    <w:p w14:paraId="326D4D2E">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关键部件：</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品牌：</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r>
        <w:rPr>
          <w:rFonts w:hint="eastAsia" w:ascii="宋体" w:hAnsi="宋体" w:cs="宋体"/>
          <w:color w:val="auto"/>
          <w:sz w:val="24"/>
          <w:szCs w:val="20"/>
        </w:rPr>
        <w:t xml:space="preserve"> </w:t>
      </w:r>
      <w:r>
        <w:rPr>
          <w:rFonts w:hint="eastAsia" w:ascii="宋体" w:hAnsi="宋体" w:cs="宋体"/>
          <w:color w:val="auto"/>
          <w:sz w:val="24"/>
          <w:szCs w:val="20"/>
          <w:lang w:val="zh-CN"/>
        </w:rPr>
        <w:t>型号：</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rPr>
        <w:t xml:space="preserve"> </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p>
    <w:p w14:paraId="0D73FE7B">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关键部件：</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品牌：</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型号：</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lang w:val="en-US" w:eastAsia="zh-CN"/>
        </w:rPr>
        <w:t xml:space="preserve"> </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p>
    <w:p w14:paraId="5E9ED96E">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关键部件：</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品牌：</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型号：</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lang w:val="en-US" w:eastAsia="zh-CN"/>
        </w:rPr>
        <w:t xml:space="preserve"> </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p>
    <w:p w14:paraId="0E3A3F42">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（注：关键部件是指财政部会同有关部门发布的政府采购需求标准规定的需要通过国家有关部门指定的测评机构开展的安全可靠测评的软硬件，如CPU芯片、操作系统、数据库等。）</w:t>
      </w:r>
    </w:p>
    <w:p w14:paraId="41608C86">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②涉及车辆采购，请填写是否属于新能源汽车：</w:t>
      </w:r>
    </w:p>
    <w:p w14:paraId="0ED76044">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是，《政府采购品目分类目录》底级品目名称：</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数量：</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 xml:space="preserve"> 金额：</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rPr>
        <w:t xml:space="preserve">   </w:t>
      </w:r>
    </w:p>
    <w:p w14:paraId="44760B4C">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4101C81E">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（4）政府采购组织形式：</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政府集中采购</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部门集中采购</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þ</w:t>
      </w:r>
      <w:r>
        <w:rPr>
          <w:rFonts w:hint="eastAsia" w:ascii="宋体" w:hAnsi="宋体" w:cs="宋体"/>
          <w:color w:val="auto"/>
          <w:sz w:val="24"/>
          <w:szCs w:val="20"/>
          <w:lang w:val="zh-CN"/>
        </w:rPr>
        <w:t>分散采购</w:t>
      </w:r>
    </w:p>
    <w:p w14:paraId="436E6496">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（5）政府采购方式：</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公开招标</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邀请招标</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竞争性谈判</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竞争性磋商</w:t>
      </w:r>
    </w:p>
    <w:p w14:paraId="682D75C7">
      <w:pPr>
        <w:widowControl/>
        <w:spacing w:line="520" w:lineRule="exact"/>
        <w:ind w:firstLine="480"/>
        <w:rPr>
          <w:rFonts w:ascii="宋体" w:hAnsi="宋体" w:cs="宋体"/>
          <w:color w:val="auto"/>
          <w:sz w:val="24"/>
          <w:szCs w:val="20"/>
          <w:u w:val="single"/>
        </w:rPr>
      </w:pPr>
      <w:r>
        <w:rPr>
          <w:rFonts w:hint="eastAsia" w:ascii="宋体" w:hAnsi="宋体" w:cs="宋体"/>
          <w:color w:val="auto"/>
          <w:sz w:val="24"/>
          <w:szCs w:val="20"/>
          <w:lang w:val="zh-CN"/>
        </w:rPr>
        <w:t></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询价</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单一来源</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框架协议其他：</w:t>
      </w:r>
      <w:r>
        <w:rPr>
          <w:rFonts w:hint="eastAsia" w:ascii="宋体" w:hAnsi="宋体" w:cs="宋体"/>
          <w:color w:val="auto"/>
          <w:sz w:val="24"/>
          <w:szCs w:val="20"/>
          <w:u w:val="single"/>
        </w:rPr>
        <w:t xml:space="preserve">          </w:t>
      </w:r>
    </w:p>
    <w:p w14:paraId="018B9D5D">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（6）中标（成交）采购标的制造商是否为中小企业：</w:t>
      </w:r>
      <w:r>
        <w:rPr>
          <w:rFonts w:ascii="Wingdings" w:hAnsi="Wingdings" w:eastAsia="Wingdings" w:cs="Wingdings"/>
          <w:color w:val="auto"/>
          <w:sz w:val="24"/>
          <w:szCs w:val="20"/>
          <w:lang w:val="zh-CN"/>
        </w:rPr>
        <w:t>þ</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3C3B5A92">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 xml:space="preserve"> 本合同是否为专门面向中小企业的采购合同（中小企业预留合同）：</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7C977D24">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 xml:space="preserve"> 若本项目不专门面向中小企业采购，是否给予小微企业评审优惠：</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610C10C3">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 xml:space="preserve"> 中标（成交）采购标的制造商是否为残疾人福利性单位：</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44B0E0C4">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 xml:space="preserve"> 中标（成交）采购标的制造商是否为监狱企业：</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0839E520">
      <w:pPr>
        <w:widowControl/>
        <w:numPr>
          <w:ilvl w:val="0"/>
          <w:numId w:val="2"/>
        </w:numPr>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合同是否分包：</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þ</w:t>
      </w:r>
      <w:r>
        <w:rPr>
          <w:rFonts w:hint="eastAsia" w:ascii="宋体" w:hAnsi="宋体" w:cs="宋体"/>
          <w:color w:val="auto"/>
          <w:sz w:val="24"/>
          <w:szCs w:val="20"/>
          <w:lang w:val="zh-CN"/>
        </w:rPr>
        <w:t>否</w:t>
      </w:r>
    </w:p>
    <w:p w14:paraId="7E473B4B">
      <w:pPr>
        <w:widowControl/>
        <w:spacing w:line="520" w:lineRule="exact"/>
        <w:ind w:firstLine="960"/>
        <w:rPr>
          <w:rFonts w:ascii="宋体" w:hAnsi="宋体" w:cs="宋体"/>
          <w:color w:val="auto"/>
          <w:sz w:val="24"/>
          <w:szCs w:val="20"/>
          <w:u w:val="single"/>
        </w:rPr>
      </w:pPr>
      <w:r>
        <w:rPr>
          <w:rFonts w:hint="eastAsia" w:ascii="宋体" w:hAnsi="宋体" w:cs="宋体"/>
          <w:color w:val="auto"/>
          <w:sz w:val="24"/>
          <w:szCs w:val="20"/>
          <w:lang w:val="zh-CN"/>
        </w:rPr>
        <w:t>分包主要内容：</w:t>
      </w:r>
      <w:r>
        <w:rPr>
          <w:rFonts w:hint="eastAsia" w:ascii="宋体" w:hAnsi="宋体" w:cs="宋体"/>
          <w:color w:val="auto"/>
          <w:sz w:val="24"/>
          <w:szCs w:val="20"/>
          <w:u w:val="single"/>
        </w:rPr>
        <w:t xml:space="preserve">             </w:t>
      </w:r>
    </w:p>
    <w:p w14:paraId="1153E766">
      <w:pPr>
        <w:widowControl/>
        <w:spacing w:line="520" w:lineRule="exact"/>
        <w:ind w:firstLine="480"/>
        <w:rPr>
          <w:rFonts w:ascii="宋体" w:hAnsi="宋体" w:cs="宋体"/>
          <w:color w:val="auto"/>
          <w:sz w:val="24"/>
          <w:szCs w:val="20"/>
          <w:u w:val="single"/>
        </w:rPr>
      </w:pPr>
      <w:r>
        <w:rPr>
          <w:rFonts w:hint="eastAsia" w:ascii="宋体" w:hAnsi="宋体" w:cs="宋体"/>
          <w:color w:val="auto"/>
          <w:sz w:val="24"/>
          <w:szCs w:val="20"/>
          <w:lang w:val="zh-CN"/>
        </w:rPr>
        <w:t>分包供应商/制造商名称（如供应商和制造商不同，请分别填写）：</w:t>
      </w:r>
      <w:r>
        <w:rPr>
          <w:rFonts w:hint="eastAsia" w:ascii="宋体" w:hAnsi="宋体" w:cs="宋体"/>
          <w:color w:val="auto"/>
          <w:sz w:val="24"/>
          <w:szCs w:val="20"/>
          <w:u w:val="single"/>
        </w:rPr>
        <w:t xml:space="preserve">       </w:t>
      </w:r>
    </w:p>
    <w:p w14:paraId="7C48C372">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分包供应商/制造商类型（如果供应商和制造商不同，只填写制造商类型）：</w:t>
      </w:r>
    </w:p>
    <w:p w14:paraId="68462B17">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大型企业  </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 xml:space="preserve">中型企业  </w:t>
      </w:r>
      <w:r>
        <w:rPr>
          <w:rFonts w:hint="eastAsia" w:ascii="宋体" w:hAnsi="宋体" w:cs="宋体"/>
          <w:color w:val="auto"/>
          <w:sz w:val="24"/>
          <w:szCs w:val="20"/>
        </w:rPr>
        <w:t xml:space="preserve"> </w:t>
      </w:r>
      <w:r>
        <w:rPr>
          <w:rFonts w:hint="eastAsia" w:ascii="宋体" w:hAnsi="宋体" w:cs="宋体"/>
          <w:color w:val="auto"/>
          <w:sz w:val="24"/>
          <w:szCs w:val="20"/>
          <w:lang w:val="zh-CN"/>
        </w:rPr>
        <w:t></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小微型企业</w:t>
      </w:r>
    </w:p>
    <w:p w14:paraId="4B18F6EB">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残疾人福利性单位</w:t>
      </w:r>
      <w:r>
        <w:rPr>
          <w:rFonts w:hint="eastAsia" w:ascii="宋体" w:hAnsi="宋体" w:cs="宋体"/>
          <w:color w:val="auto"/>
          <w:sz w:val="24"/>
          <w:szCs w:val="20"/>
        </w:rPr>
        <w:t xml:space="preserve"> </w:t>
      </w:r>
      <w:r>
        <w:rPr>
          <w:rFonts w:hint="eastAsia" w:ascii="宋体" w:hAnsi="宋体" w:cs="宋体"/>
          <w:color w:val="auto"/>
          <w:sz w:val="24"/>
          <w:szCs w:val="20"/>
          <w:lang w:val="zh-CN"/>
        </w:rPr>
        <w:t></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监狱企业</w:t>
      </w:r>
      <w:r>
        <w:rPr>
          <w:rFonts w:hint="eastAsia" w:ascii="宋体" w:hAnsi="宋体" w:cs="宋体"/>
          <w:color w:val="auto"/>
          <w:sz w:val="24"/>
          <w:szCs w:val="20"/>
        </w:rPr>
        <w:t xml:space="preserve"> </w:t>
      </w:r>
      <w:r>
        <w:rPr>
          <w:rFonts w:hint="eastAsia" w:ascii="宋体" w:hAnsi="宋体" w:cs="宋体"/>
          <w:color w:val="auto"/>
          <w:sz w:val="24"/>
          <w:szCs w:val="20"/>
          <w:lang w:val="zh-CN"/>
        </w:rPr>
        <w:t></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其他</w:t>
      </w:r>
    </w:p>
    <w:p w14:paraId="6B64C5AC">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（8）中标（成交）供应商是否为外商投资企业：</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6871E549">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 xml:space="preserve">  外商投资企业类型：</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 xml:space="preserve">全部由外国投资者投资  </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部分由外国投资者投资</w:t>
      </w:r>
    </w:p>
    <w:p w14:paraId="1858B414">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（9）是否涉及进口产品：</w:t>
      </w:r>
    </w:p>
    <w:p w14:paraId="2783E8F9">
      <w:pPr>
        <w:widowControl/>
        <w:spacing w:line="520" w:lineRule="exact"/>
        <w:ind w:firstLine="480"/>
        <w:rPr>
          <w:rFonts w:ascii="宋体" w:hAnsi="宋体" w:cs="宋体"/>
          <w:color w:val="auto"/>
          <w:sz w:val="24"/>
          <w:szCs w:val="20"/>
          <w:u w:val="single"/>
        </w:rPr>
      </w:pPr>
      <w:r>
        <w:rPr>
          <w:rFonts w:hint="eastAsia" w:ascii="宋体" w:hAnsi="宋体" w:cs="宋体"/>
          <w:color w:val="auto"/>
          <w:sz w:val="24"/>
          <w:szCs w:val="20"/>
          <w:lang w:val="zh-CN"/>
        </w:rPr>
        <w:t></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是，《政府采购品目分类目录》底级品目名称：</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金额：</w:t>
      </w:r>
      <w:r>
        <w:rPr>
          <w:rFonts w:hint="eastAsia" w:ascii="宋体" w:hAnsi="宋体" w:cs="宋体"/>
          <w:color w:val="auto"/>
          <w:sz w:val="24"/>
          <w:szCs w:val="20"/>
          <w:u w:val="single"/>
        </w:rPr>
        <w:t xml:space="preserve">        </w:t>
      </w:r>
    </w:p>
    <w:p w14:paraId="18F513C2">
      <w:pPr>
        <w:widowControl/>
        <w:spacing w:line="520" w:lineRule="exact"/>
        <w:ind w:firstLine="480"/>
        <w:rPr>
          <w:rFonts w:ascii="宋体" w:hAnsi="宋体" w:cs="宋体"/>
          <w:color w:val="auto"/>
          <w:sz w:val="24"/>
          <w:szCs w:val="20"/>
        </w:rPr>
      </w:pPr>
      <w:r>
        <w:rPr>
          <w:rFonts w:hint="eastAsia" w:ascii="宋体" w:hAnsi="宋体" w:cs="宋体"/>
          <w:color w:val="auto"/>
          <w:sz w:val="24"/>
          <w:szCs w:val="20"/>
          <w:lang w:val="zh-CN"/>
        </w:rPr>
        <w:t xml:space="preserve">        国别：</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品牌：</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 xml:space="preserve"> 规格型号：</w:t>
      </w:r>
      <w:r>
        <w:rPr>
          <w:rFonts w:hint="eastAsia" w:ascii="宋体" w:hAnsi="宋体" w:cs="宋体"/>
          <w:color w:val="auto"/>
          <w:sz w:val="24"/>
          <w:szCs w:val="20"/>
          <w:u w:val="single"/>
        </w:rPr>
        <w:t xml:space="preserve">          </w:t>
      </w:r>
    </w:p>
    <w:p w14:paraId="311AE6FD">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28F19FC7">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 xml:space="preserve"> （10）是否涉及节能产品：</w:t>
      </w:r>
    </w:p>
    <w:p w14:paraId="2A2B5FD6">
      <w:pPr>
        <w:widowControl/>
        <w:spacing w:line="520" w:lineRule="exact"/>
        <w:ind w:firstLine="480"/>
        <w:rPr>
          <w:rFonts w:ascii="宋体" w:hAnsi="宋体" w:cs="宋体"/>
          <w:color w:val="auto"/>
          <w:sz w:val="24"/>
          <w:szCs w:val="20"/>
          <w:u w:val="single"/>
        </w:rPr>
      </w:pPr>
      <w:r>
        <w:rPr>
          <w:rFonts w:hint="eastAsia" w:ascii="宋体" w:hAnsi="宋体" w:cs="宋体"/>
          <w:color w:val="auto"/>
          <w:sz w:val="24"/>
          <w:szCs w:val="20"/>
          <w:lang w:val="zh-CN"/>
        </w:rPr>
        <w:t></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是，《节能产品政府采购品目清单》的底级品目名称：</w:t>
      </w:r>
      <w:r>
        <w:rPr>
          <w:rFonts w:hint="eastAsia" w:ascii="宋体" w:hAnsi="宋体" w:cs="宋体"/>
          <w:color w:val="auto"/>
          <w:sz w:val="24"/>
          <w:szCs w:val="20"/>
          <w:u w:val="single"/>
        </w:rPr>
        <w:t xml:space="preserve">             </w:t>
      </w:r>
    </w:p>
    <w:p w14:paraId="121732E3">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强制采购</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优先采购</w:t>
      </w:r>
    </w:p>
    <w:p w14:paraId="2EEEE67A">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68A88860">
      <w:pPr>
        <w:widowControl/>
        <w:spacing w:line="520" w:lineRule="exact"/>
        <w:ind w:firstLine="787"/>
        <w:rPr>
          <w:rFonts w:ascii="宋体" w:hAnsi="宋体" w:cs="宋体"/>
          <w:color w:val="auto"/>
          <w:sz w:val="24"/>
          <w:szCs w:val="20"/>
          <w:lang w:val="zh-CN"/>
        </w:rPr>
      </w:pPr>
      <w:r>
        <w:rPr>
          <w:rFonts w:hint="eastAsia" w:ascii="宋体" w:hAnsi="宋体" w:cs="宋体"/>
          <w:color w:val="auto"/>
          <w:sz w:val="24"/>
          <w:szCs w:val="20"/>
          <w:lang w:val="zh-CN"/>
        </w:rPr>
        <w:t>是否涉及环境标志产品：</w:t>
      </w:r>
    </w:p>
    <w:p w14:paraId="3FF394B6">
      <w:pPr>
        <w:widowControl/>
        <w:spacing w:line="520" w:lineRule="exact"/>
        <w:ind w:firstLine="480"/>
        <w:rPr>
          <w:rFonts w:hint="default" w:ascii="宋体" w:hAnsi="宋体" w:eastAsiaTheme="minorEastAsia"/>
          <w:b/>
          <w:bCs/>
          <w:color w:val="auto"/>
          <w:sz w:val="24"/>
          <w:u w:val="single"/>
          <w:lang w:val="en-US" w:eastAsia="zh-CN"/>
        </w:rPr>
      </w:pPr>
      <w:r>
        <w:rPr>
          <w:rFonts w:hint="eastAsia" w:ascii="宋体" w:hAnsi="宋体" w:cs="宋体"/>
          <w:color w:val="auto"/>
          <w:sz w:val="24"/>
          <w:szCs w:val="20"/>
          <w:lang w:val="zh-CN"/>
        </w:rPr>
        <w:t></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是，《环境标志产品政府采购品目清单》的底级品目名称：</w:t>
      </w:r>
      <w:r>
        <w:rPr>
          <w:rFonts w:hint="eastAsia" w:ascii="宋体" w:hAnsi="宋体"/>
          <w:b/>
          <w:bCs/>
          <w:color w:val="auto"/>
          <w:sz w:val="24"/>
          <w:u w:val="single"/>
          <w:lang w:val="en-US" w:eastAsia="zh-CN"/>
        </w:rPr>
        <w:t xml:space="preserve">       </w:t>
      </w:r>
    </w:p>
    <w:p w14:paraId="7C061060">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强制采购</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优先采购</w:t>
      </w:r>
    </w:p>
    <w:p w14:paraId="63D6659A">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0A153ED8">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是否涉及绿色产品：</w:t>
      </w:r>
    </w:p>
    <w:p w14:paraId="56B6C43B">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是，绿色产品政府采购相关政策确定的底级品目名称：</w:t>
      </w:r>
    </w:p>
    <w:p w14:paraId="06C6F8F8">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强制采购</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优先采购</w:t>
      </w:r>
    </w:p>
    <w:p w14:paraId="7CF81D2E">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p>
    <w:p w14:paraId="492674B5">
      <w:pPr>
        <w:widowControl/>
        <w:numPr>
          <w:ilvl w:val="0"/>
          <w:numId w:val="3"/>
        </w:numPr>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涉及商品包装和快递包装的，是否参考《商品包装政府采购需求标准（试行）》、《快递包装政府采购需求标准（试行）》明确产品及相关快递服务的具体包装要求：</w:t>
      </w:r>
    </w:p>
    <w:p w14:paraId="752DDDB5">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是      </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否</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w:t>
      </w:r>
      <w:r>
        <w:rPr>
          <w:rFonts w:hint="eastAsia" w:ascii="宋体" w:hAnsi="宋体" w:cs="宋体"/>
          <w:color w:val="auto"/>
          <w:sz w:val="24"/>
          <w:szCs w:val="20"/>
          <w:lang w:val="zh-CN"/>
        </w:rPr>
        <w:t>不涉及</w:t>
      </w:r>
    </w:p>
    <w:p w14:paraId="0E25D822">
      <w:pPr>
        <w:widowControl/>
        <w:spacing w:line="520" w:lineRule="exact"/>
        <w:ind w:firstLine="480"/>
        <w:rPr>
          <w:rFonts w:ascii="宋体" w:hAnsi="宋体" w:cs="宋体"/>
          <w:b/>
          <w:bCs/>
          <w:color w:val="auto"/>
          <w:sz w:val="24"/>
          <w:szCs w:val="20"/>
          <w:lang w:val="zh-CN"/>
        </w:rPr>
      </w:pPr>
      <w:r>
        <w:rPr>
          <w:rFonts w:hint="eastAsia" w:ascii="宋体" w:hAnsi="宋体" w:cs="宋体"/>
          <w:b/>
          <w:bCs/>
          <w:color w:val="auto"/>
          <w:sz w:val="24"/>
          <w:szCs w:val="20"/>
        </w:rPr>
        <w:t>2.</w:t>
      </w:r>
      <w:r>
        <w:rPr>
          <w:rFonts w:hint="eastAsia" w:ascii="宋体" w:hAnsi="宋体" w:cs="宋体"/>
          <w:b/>
          <w:bCs/>
          <w:color w:val="auto"/>
          <w:sz w:val="24"/>
          <w:szCs w:val="20"/>
          <w:lang w:val="zh-CN"/>
        </w:rPr>
        <w:t>合同金额</w:t>
      </w:r>
    </w:p>
    <w:p w14:paraId="793737F9">
      <w:pPr>
        <w:widowControl/>
        <w:spacing w:line="520" w:lineRule="exact"/>
        <w:ind w:firstLine="480"/>
        <w:rPr>
          <w:rFonts w:ascii="宋体" w:hAnsi="宋体" w:cs="宋体"/>
          <w:color w:val="auto"/>
          <w:sz w:val="24"/>
          <w:szCs w:val="20"/>
        </w:rPr>
      </w:pPr>
      <w:r>
        <w:rPr>
          <w:rFonts w:hint="eastAsia" w:ascii="宋体" w:hAnsi="宋体" w:cs="宋体"/>
          <w:color w:val="auto"/>
          <w:sz w:val="24"/>
          <w:szCs w:val="20"/>
          <w:lang w:val="zh-CN"/>
        </w:rPr>
        <w:t>（1）合同金额小写：</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p>
    <w:p w14:paraId="134A22C1">
      <w:pPr>
        <w:widowControl/>
        <w:spacing w:line="520" w:lineRule="exact"/>
        <w:ind w:firstLine="1982"/>
        <w:rPr>
          <w:rFonts w:ascii="宋体" w:hAnsi="宋体" w:cs="宋体"/>
          <w:color w:val="auto"/>
          <w:sz w:val="24"/>
          <w:szCs w:val="20"/>
        </w:rPr>
      </w:pPr>
      <w:r>
        <w:rPr>
          <w:rFonts w:hint="eastAsia" w:ascii="宋体" w:hAnsi="宋体" w:cs="宋体"/>
          <w:color w:val="auto"/>
          <w:sz w:val="24"/>
          <w:szCs w:val="20"/>
          <w:lang w:val="zh-CN"/>
        </w:rPr>
        <w:t>大写：</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p>
    <w:p w14:paraId="5AE974C2">
      <w:pPr>
        <w:widowControl/>
        <w:spacing w:line="520" w:lineRule="exact"/>
        <w:ind w:firstLine="480"/>
        <w:rPr>
          <w:rFonts w:ascii="宋体" w:hAnsi="宋体" w:cs="宋体"/>
          <w:color w:val="auto"/>
          <w:sz w:val="24"/>
          <w:szCs w:val="20"/>
        </w:rPr>
      </w:pPr>
      <w:r>
        <w:rPr>
          <w:rFonts w:hint="eastAsia" w:ascii="宋体" w:hAnsi="宋体" w:cs="宋体"/>
          <w:color w:val="auto"/>
          <w:sz w:val="24"/>
          <w:szCs w:val="20"/>
          <w:lang w:val="zh-CN"/>
        </w:rPr>
        <w:t>分包金额（如有）小写：</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p>
    <w:p w14:paraId="72C1A5B8">
      <w:pPr>
        <w:widowControl/>
        <w:spacing w:line="520" w:lineRule="exact"/>
        <w:ind w:firstLine="2400"/>
        <w:rPr>
          <w:rFonts w:ascii="宋体" w:hAnsi="宋体" w:cs="宋体"/>
          <w:color w:val="auto"/>
          <w:sz w:val="24"/>
          <w:szCs w:val="20"/>
        </w:rPr>
      </w:pPr>
      <w:r>
        <w:rPr>
          <w:rFonts w:hint="eastAsia" w:ascii="宋体" w:hAnsi="宋体" w:cs="宋体"/>
          <w:color w:val="auto"/>
          <w:sz w:val="24"/>
          <w:szCs w:val="20"/>
          <w:lang w:val="zh-CN"/>
        </w:rPr>
        <w:t>大写：</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p>
    <w:p w14:paraId="55CA6217">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（2）付款方式</w:t>
      </w:r>
      <w:r>
        <w:rPr>
          <w:rFonts w:hint="eastAsia" w:ascii="宋体" w:hAnsi="宋体" w:cs="宋体"/>
          <w:color w:val="auto"/>
          <w:sz w:val="24"/>
          <w:szCs w:val="20"/>
          <w:u w:val="single"/>
          <w:lang w:val="zh-CN"/>
        </w:rPr>
        <w:t>（按项目实际勾选填写，具体详见专用条款第二节第12.2款）</w:t>
      </w:r>
      <w:r>
        <w:rPr>
          <w:rFonts w:hint="eastAsia" w:ascii="宋体" w:hAnsi="宋体" w:cs="宋体"/>
          <w:color w:val="auto"/>
          <w:sz w:val="24"/>
          <w:szCs w:val="20"/>
          <w:lang w:val="zh-CN"/>
        </w:rPr>
        <w:t>：</w:t>
      </w:r>
    </w:p>
    <w:p w14:paraId="6F14C854">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全额付款：</w:t>
      </w:r>
      <w:r>
        <w:rPr>
          <w:rFonts w:hint="eastAsia" w:ascii="宋体" w:hAnsi="宋体" w:cs="宋体"/>
          <w:color w:val="auto"/>
          <w:sz w:val="24"/>
          <w:szCs w:val="20"/>
          <w:u w:val="single"/>
          <w:lang w:val="zh-CN"/>
        </w:rPr>
        <w:t xml:space="preserve">  （应明确一次性支付合同款项的条件）</w:t>
      </w:r>
      <w:r>
        <w:rPr>
          <w:rFonts w:hint="eastAsia" w:ascii="宋体" w:hAnsi="宋体" w:cs="宋体"/>
          <w:color w:val="auto"/>
          <w:sz w:val="24"/>
          <w:szCs w:val="20"/>
          <w:lang w:val="zh-CN"/>
        </w:rPr>
        <w:t xml:space="preserve">                    </w:t>
      </w:r>
    </w:p>
    <w:p w14:paraId="5319019E">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 xml:space="preserve">分期付款： </w:t>
      </w:r>
      <w:r>
        <w:rPr>
          <w:rFonts w:hint="eastAsia" w:ascii="宋体" w:hAnsi="宋体" w:cs="宋体"/>
          <w:color w:val="auto"/>
          <w:sz w:val="24"/>
          <w:szCs w:val="20"/>
          <w:u w:val="single"/>
          <w:lang w:val="zh-CN"/>
        </w:rPr>
        <w:t xml:space="preserve"> （</w:t>
      </w:r>
      <w:r>
        <w:rPr>
          <w:rFonts w:hint="eastAsia" w:ascii="宋体" w:hAnsi="宋体" w:cs="宋体"/>
          <w:color w:val="auto"/>
          <w:sz w:val="24"/>
          <w:u w:val="single"/>
        </w:rPr>
        <w:t>具体详见专用条款第二节第12.2款</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，其中涉及预付款的：</w:t>
      </w:r>
      <w:r>
        <w:rPr>
          <w:rFonts w:hint="eastAsia" w:ascii="宋体" w:hAnsi="宋体" w:cs="宋体"/>
          <w:color w:val="auto"/>
          <w:sz w:val="24"/>
          <w:szCs w:val="20"/>
          <w:u w:val="single"/>
          <w:lang w:val="zh-CN"/>
        </w:rPr>
        <w:t xml:space="preserve"> （</w:t>
      </w:r>
      <w:r>
        <w:rPr>
          <w:rFonts w:hint="eastAsia" w:ascii="宋体" w:hAnsi="宋体" w:cs="宋体"/>
          <w:color w:val="auto"/>
          <w:sz w:val="24"/>
          <w:u w:val="single"/>
        </w:rPr>
        <w:t>具体详见专用条款第二节第12.2款</w:t>
      </w:r>
      <w:r>
        <w:rPr>
          <w:rFonts w:hint="eastAsia" w:ascii="宋体" w:hAnsi="宋体" w:cs="宋体"/>
          <w:color w:val="auto"/>
          <w:sz w:val="24"/>
          <w:szCs w:val="20"/>
          <w:u w:val="single"/>
          <w:lang w:val="zh-CN"/>
        </w:rPr>
        <w:t xml:space="preserve">） </w:t>
      </w:r>
    </w:p>
    <w:p w14:paraId="566D4D03">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成本补偿：</w:t>
      </w:r>
      <w:r>
        <w:rPr>
          <w:rFonts w:hint="eastAsia" w:ascii="宋体" w:hAnsi="宋体" w:cs="宋体"/>
          <w:color w:val="auto"/>
          <w:sz w:val="24"/>
          <w:szCs w:val="20"/>
          <w:u w:val="single"/>
          <w:lang w:val="zh-CN"/>
        </w:rPr>
        <w:t xml:space="preserve">  （应明确按照成本补偿方式的支付方式和支付条件）  </w:t>
      </w:r>
      <w:r>
        <w:rPr>
          <w:rFonts w:hint="eastAsia" w:ascii="宋体" w:hAnsi="宋体" w:cs="宋体"/>
          <w:color w:val="auto"/>
          <w:sz w:val="24"/>
          <w:szCs w:val="20"/>
          <w:lang w:val="zh-CN"/>
        </w:rPr>
        <w:t xml:space="preserve"> </w:t>
      </w:r>
    </w:p>
    <w:p w14:paraId="7000BBAE">
      <w:pPr>
        <w:widowControl/>
        <w:spacing w:line="520" w:lineRule="exact"/>
        <w:ind w:firstLine="480"/>
        <w:rPr>
          <w:rFonts w:ascii="宋体" w:hAnsi="宋体" w:cs="宋体"/>
          <w:color w:val="auto"/>
          <w:sz w:val="24"/>
          <w:szCs w:val="20"/>
          <w:lang w:val="zh-CN"/>
        </w:rPr>
      </w:pPr>
      <w:r>
        <w:rPr>
          <w:rFonts w:ascii="Wingdings" w:hAnsi="Wingdings" w:eastAsia="Wingdings" w:cs="Wingdings"/>
          <w:color w:val="auto"/>
          <w:sz w:val="24"/>
          <w:szCs w:val="20"/>
          <w:lang w:val="zh-CN"/>
        </w:rPr>
        <w:t></w:t>
      </w:r>
      <w:r>
        <w:rPr>
          <w:rFonts w:hint="eastAsia" w:ascii="宋体" w:hAnsi="宋体" w:cs="宋体"/>
          <w:color w:val="auto"/>
          <w:sz w:val="24"/>
          <w:szCs w:val="20"/>
          <w:lang w:val="zh-CN"/>
        </w:rPr>
        <w:t>绩效激励：</w:t>
      </w:r>
      <w:r>
        <w:rPr>
          <w:rFonts w:hint="eastAsia" w:ascii="宋体" w:hAnsi="宋体" w:cs="宋体"/>
          <w:color w:val="auto"/>
          <w:sz w:val="24"/>
          <w:szCs w:val="20"/>
          <w:u w:val="single"/>
          <w:lang w:val="zh-CN"/>
        </w:rPr>
        <w:t xml:space="preserve"> （应明确按照绩效激励方式的支付方式和支付条件）</w:t>
      </w:r>
      <w:r>
        <w:rPr>
          <w:rFonts w:hint="eastAsia" w:ascii="宋体" w:hAnsi="宋体" w:cs="宋体"/>
          <w:color w:val="auto"/>
          <w:sz w:val="24"/>
          <w:szCs w:val="20"/>
          <w:u w:val="single"/>
        </w:rPr>
        <w:t xml:space="preserve"> </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p>
    <w:p w14:paraId="03F4E2D2">
      <w:pPr>
        <w:widowControl/>
        <w:spacing w:line="520" w:lineRule="exact"/>
        <w:ind w:firstLine="482"/>
        <w:rPr>
          <w:rFonts w:ascii="宋体" w:hAnsi="宋体" w:cs="宋体"/>
          <w:b/>
          <w:bCs/>
          <w:color w:val="auto"/>
          <w:sz w:val="24"/>
          <w:lang w:val="zh-CN"/>
        </w:rPr>
      </w:pPr>
      <w:r>
        <w:rPr>
          <w:rFonts w:hint="eastAsia" w:ascii="宋体" w:hAnsi="宋体" w:cs="宋体"/>
          <w:b/>
          <w:bCs/>
          <w:color w:val="auto"/>
          <w:sz w:val="24"/>
          <w:szCs w:val="20"/>
        </w:rPr>
        <w:t>3.</w:t>
      </w:r>
      <w:r>
        <w:rPr>
          <w:rFonts w:hint="eastAsia" w:ascii="宋体" w:hAnsi="宋体" w:cs="宋体"/>
          <w:b/>
          <w:bCs/>
          <w:color w:val="auto"/>
          <w:sz w:val="24"/>
          <w:szCs w:val="20"/>
          <w:lang w:val="zh-CN"/>
        </w:rPr>
        <w:t>合同履行</w:t>
      </w:r>
    </w:p>
    <w:p w14:paraId="535B3AC1">
      <w:pPr>
        <w:widowControl/>
        <w:spacing w:line="520" w:lineRule="exact"/>
        <w:ind w:firstLine="480"/>
        <w:rPr>
          <w:rFonts w:ascii="宋体" w:hAnsi="宋体" w:cs="宋体"/>
          <w:color w:val="auto"/>
          <w:sz w:val="24"/>
        </w:rPr>
      </w:pPr>
      <w:r>
        <w:rPr>
          <w:rFonts w:hint="eastAsia" w:ascii="宋体" w:hAnsi="宋体" w:cs="宋体"/>
          <w:color w:val="auto"/>
          <w:sz w:val="24"/>
          <w:szCs w:val="20"/>
          <w:lang w:val="zh-CN"/>
        </w:rPr>
        <w:t>（1）起始日期：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日，完成日期：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183FA5D1">
      <w:pPr>
        <w:widowControl/>
        <w:spacing w:line="560" w:lineRule="exact"/>
        <w:ind w:firstLine="482"/>
        <w:jc w:val="left"/>
        <w:rPr>
          <w:rFonts w:hint="eastAsia" w:ascii="宋体" w:hAnsi="宋体" w:eastAsia="Arial" w:cs="宋体"/>
          <w:bCs w:val="0"/>
          <w:color w:val="auto"/>
          <w:sz w:val="24"/>
          <w:szCs w:val="20"/>
          <w:lang w:val="zh-CN"/>
        </w:rPr>
      </w:pPr>
      <w:r>
        <w:rPr>
          <w:rFonts w:hint="eastAsia" w:ascii="宋体" w:hAnsi="宋体" w:eastAsia="Arial" w:cs="宋体"/>
          <w:color w:val="auto"/>
          <w:sz w:val="24"/>
          <w:szCs w:val="20"/>
          <w:lang w:val="zh-CN"/>
        </w:rPr>
        <w:t>（2）履约地点</w:t>
      </w:r>
      <w:r>
        <w:rPr>
          <w:rFonts w:hint="eastAsia" w:ascii="宋体" w:hAnsi="宋体" w:eastAsia="Arial" w:cs="宋体"/>
          <w:bCs w:val="0"/>
          <w:color w:val="auto"/>
          <w:sz w:val="24"/>
          <w:szCs w:val="20"/>
          <w:lang w:val="zh-CN"/>
        </w:rPr>
        <w:t>：</w:t>
      </w:r>
      <w:r>
        <w:rPr>
          <w:rFonts w:hint="eastAsia" w:ascii="宋体" w:hAnsi="宋体" w:eastAsia="Arial" w:cs="宋体"/>
          <w:color w:val="auto"/>
          <w:sz w:val="24"/>
          <w:szCs w:val="20"/>
          <w:u w:val="single"/>
          <w:lang w:val="zh-CN" w:eastAsia="zh-CN"/>
        </w:rPr>
        <w:t>江苏省盐城技师学院</w:t>
      </w:r>
    </w:p>
    <w:p w14:paraId="5F793971">
      <w:pPr>
        <w:widowControl/>
        <w:spacing w:line="520" w:lineRule="exact"/>
        <w:ind w:firstLine="480"/>
        <w:rPr>
          <w:rFonts w:ascii="宋体" w:hAnsi="宋体" w:cs="宋体"/>
          <w:color w:val="auto"/>
          <w:sz w:val="24"/>
        </w:rPr>
      </w:pPr>
      <w:r>
        <w:rPr>
          <w:rFonts w:hint="eastAsia" w:ascii="宋体" w:hAnsi="宋体" w:cs="宋体"/>
          <w:bCs/>
          <w:color w:val="auto"/>
          <w:sz w:val="24"/>
        </w:rPr>
        <w:t>（3）</w:t>
      </w:r>
      <w:r>
        <w:rPr>
          <w:rFonts w:hint="eastAsia" w:ascii="宋体" w:hAnsi="宋体" w:cs="宋体"/>
          <w:color w:val="auto"/>
          <w:sz w:val="24"/>
        </w:rPr>
        <w:t>履约担保：履约担保：是否收取履约保证金：</w:t>
      </w:r>
      <w:r>
        <w:rPr>
          <w:rFonts w:ascii="Wingdings" w:hAnsi="Wingdings" w:eastAsia="Wingdings" w:cs="Wingdings"/>
          <w:color w:val="auto"/>
          <w:sz w:val="24"/>
        </w:rPr>
        <w:t>þ</w:t>
      </w:r>
      <w:r>
        <w:rPr>
          <w:rFonts w:hint="eastAsia" w:ascii="宋体" w:hAnsi="宋体" w:cs="宋体"/>
          <w:color w:val="auto"/>
          <w:sz w:val="24"/>
        </w:rPr>
        <w:t xml:space="preserve">是    </w:t>
      </w:r>
      <w:r>
        <w:rPr>
          <w:rFonts w:ascii="Wingdings" w:hAnsi="Wingdings" w:eastAsia="Wingdings" w:cs="Wingdings"/>
          <w:color w:val="auto"/>
          <w:sz w:val="24"/>
        </w:rPr>
        <w:t></w:t>
      </w:r>
      <w:r>
        <w:rPr>
          <w:rFonts w:hint="eastAsia" w:ascii="宋体" w:hAnsi="宋体" w:cs="宋体"/>
          <w:color w:val="auto"/>
          <w:sz w:val="24"/>
        </w:rPr>
        <w:t>否</w:t>
      </w:r>
    </w:p>
    <w:p w14:paraId="49ABD309">
      <w:pPr>
        <w:widowControl/>
        <w:spacing w:line="560" w:lineRule="exact"/>
        <w:ind w:firstLine="482"/>
        <w:jc w:val="left"/>
        <w:rPr>
          <w:rFonts w:hint="eastAsia" w:ascii="宋体" w:hAnsi="宋体" w:eastAsia="Arial" w:cs="宋体"/>
          <w:color w:val="auto"/>
          <w:sz w:val="24"/>
          <w:szCs w:val="20"/>
          <w:highlight w:val="none"/>
        </w:rPr>
      </w:pPr>
      <w:r>
        <w:rPr>
          <w:rFonts w:hint="eastAsia" w:ascii="宋体" w:hAnsi="宋体" w:cs="宋体"/>
          <w:color w:val="auto"/>
          <w:sz w:val="24"/>
        </w:rPr>
        <w:t xml:space="preserve">    </w:t>
      </w:r>
      <w:r>
        <w:rPr>
          <w:rFonts w:hint="eastAsia" w:ascii="宋体" w:hAnsi="宋体" w:cs="宋体"/>
          <w:color w:val="auto"/>
          <w:sz w:val="24"/>
          <w:szCs w:val="20"/>
        </w:rPr>
        <w:t xml:space="preserve"> </w:t>
      </w:r>
      <w:r>
        <w:rPr>
          <w:rFonts w:hint="eastAsia" w:ascii="宋体" w:hAnsi="宋体" w:eastAsia="Arial" w:cs="宋体"/>
          <w:color w:val="auto"/>
          <w:sz w:val="24"/>
          <w:szCs w:val="20"/>
        </w:rPr>
        <w:t>收取履约保证金形式：</w:t>
      </w:r>
      <w:r>
        <w:rPr>
          <w:rFonts w:hint="eastAsia" w:ascii="宋体" w:hAnsi="宋体" w:eastAsia="Arial" w:cs="宋体"/>
          <w:color w:val="auto"/>
          <w:sz w:val="24"/>
          <w:szCs w:val="20"/>
          <w:u w:val="single"/>
        </w:rPr>
        <w:t xml:space="preserve">       </w:t>
      </w:r>
      <w:r>
        <w:rPr>
          <w:rFonts w:hint="eastAsia" w:ascii="宋体" w:hAnsi="宋体" w:eastAsia="Arial" w:cs="宋体"/>
          <w:color w:val="auto"/>
          <w:sz w:val="24"/>
          <w:szCs w:val="20"/>
          <w:highlight w:val="none"/>
          <w:u w:val="single"/>
        </w:rPr>
        <w:t xml:space="preserve">见3.（4）      </w:t>
      </w:r>
      <w:r>
        <w:rPr>
          <w:rFonts w:hint="eastAsia" w:ascii="宋体" w:hAnsi="宋体" w:eastAsia="Arial" w:cs="宋体"/>
          <w:color w:val="auto"/>
          <w:sz w:val="24"/>
          <w:szCs w:val="20"/>
          <w:highlight w:val="none"/>
          <w:u w:val="none"/>
        </w:rPr>
        <w:t xml:space="preserve">  </w:t>
      </w:r>
      <w:r>
        <w:rPr>
          <w:rFonts w:hint="eastAsia" w:ascii="宋体" w:hAnsi="宋体" w:eastAsia="Arial" w:cs="宋体"/>
          <w:color w:val="auto"/>
          <w:sz w:val="24"/>
          <w:szCs w:val="20"/>
          <w:highlight w:val="none"/>
        </w:rPr>
        <w:t xml:space="preserve">                                                         </w:t>
      </w:r>
    </w:p>
    <w:p w14:paraId="504B0BF8">
      <w:pPr>
        <w:widowControl/>
        <w:spacing w:line="560" w:lineRule="exact"/>
        <w:ind w:firstLine="1027"/>
        <w:jc w:val="left"/>
        <w:rPr>
          <w:rFonts w:hint="eastAsia" w:ascii="宋体" w:hAnsi="宋体" w:eastAsia="Arial" w:cs="宋体"/>
          <w:color w:val="auto"/>
          <w:sz w:val="24"/>
          <w:szCs w:val="20"/>
        </w:rPr>
      </w:pPr>
      <w:r>
        <w:rPr>
          <w:rFonts w:hint="eastAsia" w:ascii="宋体" w:hAnsi="宋体" w:eastAsia="Arial" w:cs="宋体"/>
          <w:color w:val="auto"/>
          <w:sz w:val="24"/>
          <w:szCs w:val="20"/>
          <w:highlight w:val="none"/>
        </w:rPr>
        <w:t>收取履约保证金金额：</w:t>
      </w:r>
      <w:r>
        <w:rPr>
          <w:rFonts w:hint="eastAsia" w:ascii="宋体" w:hAnsi="宋体" w:eastAsia="Arial" w:cs="宋体"/>
          <w:color w:val="auto"/>
          <w:sz w:val="24"/>
          <w:szCs w:val="20"/>
          <w:highlight w:val="none"/>
          <w:u w:val="single"/>
        </w:rPr>
        <w:t xml:space="preserve">       </w:t>
      </w:r>
      <w:r>
        <w:rPr>
          <w:rFonts w:hint="eastAsia" w:ascii="宋体" w:hAnsi="宋体" w:eastAsia="Arial" w:cs="宋体"/>
          <w:color w:val="auto"/>
          <w:sz w:val="24"/>
          <w:szCs w:val="20"/>
          <w:u w:val="single"/>
        </w:rPr>
        <w:t xml:space="preserve">合同价的10%     </w:t>
      </w:r>
      <w:r>
        <w:rPr>
          <w:rFonts w:hint="eastAsia" w:ascii="宋体" w:hAnsi="宋体" w:eastAsia="Arial" w:cs="宋体"/>
          <w:color w:val="auto"/>
          <w:sz w:val="24"/>
          <w:szCs w:val="20"/>
          <w:u w:val="none"/>
        </w:rPr>
        <w:t xml:space="preserve"> </w:t>
      </w:r>
      <w:r>
        <w:rPr>
          <w:rFonts w:hint="eastAsia" w:ascii="宋体" w:hAnsi="宋体" w:eastAsia="Arial" w:cs="宋体"/>
          <w:color w:val="auto"/>
          <w:sz w:val="24"/>
          <w:szCs w:val="20"/>
        </w:rPr>
        <w:t xml:space="preserve">                                                         </w:t>
      </w:r>
    </w:p>
    <w:p w14:paraId="1F84F676">
      <w:pPr>
        <w:widowControl/>
        <w:spacing w:line="560" w:lineRule="exact"/>
        <w:ind w:firstLine="1027"/>
        <w:jc w:val="left"/>
        <w:rPr>
          <w:rFonts w:hint="eastAsia" w:ascii="宋体" w:hAnsi="宋体" w:eastAsia="Arial" w:cs="宋体"/>
          <w:bCs w:val="0"/>
          <w:color w:val="auto"/>
          <w:sz w:val="24"/>
          <w:szCs w:val="20"/>
          <w:u w:val="none"/>
        </w:rPr>
      </w:pPr>
      <w:r>
        <w:rPr>
          <w:rFonts w:hint="eastAsia" w:ascii="宋体" w:hAnsi="宋体" w:eastAsia="Arial" w:cs="宋体"/>
          <w:color w:val="auto"/>
          <w:sz w:val="24"/>
          <w:szCs w:val="20"/>
        </w:rPr>
        <w:t>履约担保期限：</w:t>
      </w:r>
      <w:r>
        <w:rPr>
          <w:rFonts w:hint="eastAsia" w:ascii="宋体" w:hAnsi="宋体" w:eastAsia="宋体" w:cs="宋体"/>
          <w:color w:val="auto"/>
          <w:sz w:val="24"/>
          <w:szCs w:val="20"/>
          <w:u w:val="single"/>
          <w:lang w:val="en-US" w:eastAsia="zh-CN"/>
        </w:rPr>
        <w:t xml:space="preserve">                              </w:t>
      </w:r>
      <w:r>
        <w:rPr>
          <w:rFonts w:hint="eastAsia" w:ascii="宋体" w:hAnsi="宋体" w:eastAsia="Arial" w:cs="宋体"/>
          <w:color w:val="auto"/>
          <w:sz w:val="24"/>
          <w:szCs w:val="20"/>
        </w:rPr>
        <w:t xml:space="preserve"> </w:t>
      </w:r>
      <w:r>
        <w:rPr>
          <w:rFonts w:hint="eastAsia" w:ascii="宋体" w:hAnsi="宋体" w:eastAsia="Arial" w:cs="宋体"/>
          <w:bCs w:val="0"/>
          <w:color w:val="auto"/>
          <w:sz w:val="24"/>
          <w:szCs w:val="20"/>
          <w:u w:val="none"/>
        </w:rPr>
        <w:t xml:space="preserve">                              </w:t>
      </w:r>
    </w:p>
    <w:p w14:paraId="46F7E27B">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w:t>
      </w:r>
      <w:r>
        <w:rPr>
          <w:rFonts w:hint="eastAsia" w:ascii="宋体" w:hAnsi="宋体" w:eastAsia="Arial" w:cs="宋体"/>
          <w:color w:val="auto"/>
          <w:sz w:val="24"/>
          <w:szCs w:val="20"/>
        </w:rPr>
        <w:t>4</w:t>
      </w:r>
      <w:r>
        <w:rPr>
          <w:rFonts w:hint="eastAsia" w:ascii="宋体" w:hAnsi="宋体" w:eastAsia="Arial" w:cs="宋体"/>
          <w:color w:val="auto"/>
          <w:sz w:val="24"/>
          <w:szCs w:val="20"/>
          <w:lang w:val="zh-CN"/>
        </w:rPr>
        <w:t>）确需收取履约保证金的，履约保证金的缴纳形式：</w:t>
      </w:r>
    </w:p>
    <w:p w14:paraId="25DE66DD">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6EE7684">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 如以履约保函（保险）形式缴纳履约保证金，供应商可通过政府采购电子履约保函（保险）平台（www.jsdzbh.com）在线申请履约保函（保险）。</w:t>
      </w:r>
    </w:p>
    <w:p w14:paraId="221743D5">
      <w:pPr>
        <w:widowControl/>
        <w:spacing w:line="560" w:lineRule="exact"/>
        <w:ind w:firstLine="482"/>
        <w:jc w:val="left"/>
        <w:rPr>
          <w:rFonts w:ascii="宋体" w:hAnsi="宋体" w:cs="宋体"/>
          <w:color w:val="auto"/>
          <w:sz w:val="24"/>
          <w:szCs w:val="20"/>
          <w:lang w:val="zh-CN"/>
        </w:rPr>
      </w:pPr>
      <w:r>
        <w:rPr>
          <w:rFonts w:hint="eastAsia" w:ascii="宋体" w:hAnsi="宋体" w:eastAsia="Arial" w:cs="宋体"/>
          <w:color w:val="auto"/>
          <w:sz w:val="24"/>
          <w:szCs w:val="20"/>
        </w:rPr>
        <w:t>履约保证金金额为合同金额的10%，采购人对第三方信用服务机构依据标准规范评定为 AA 级政府采购供应商</w:t>
      </w:r>
      <w:r>
        <w:rPr>
          <w:rFonts w:hint="eastAsia" w:ascii="宋体" w:hAnsi="宋体" w:eastAsia="Arial" w:cs="宋体"/>
          <w:color w:val="auto"/>
          <w:sz w:val="24"/>
          <w:szCs w:val="20"/>
          <w:lang w:val="zh-CN"/>
        </w:rPr>
        <w:t xml:space="preserve">（需在签订采购合同前提供信用管理 部门备案的第三方信用报告，且信用报告通过“信用盐城网”可查实），降低履约保证金缴纳比例为5%。  </w:t>
      </w:r>
      <w:r>
        <w:rPr>
          <w:rFonts w:hint="eastAsia" w:ascii="宋体" w:hAnsi="宋体" w:cs="宋体"/>
          <w:color w:val="auto"/>
          <w:sz w:val="24"/>
          <w:szCs w:val="20"/>
          <w:lang w:val="zh-CN"/>
        </w:rPr>
        <w:t xml:space="preserve">                                  </w:t>
      </w:r>
    </w:p>
    <w:p w14:paraId="2CC4CB5E">
      <w:pPr>
        <w:widowControl/>
        <w:numPr>
          <w:ilvl w:val="0"/>
          <w:numId w:val="4"/>
        </w:numPr>
        <w:spacing w:line="520" w:lineRule="exact"/>
        <w:ind w:firstLine="480"/>
        <w:rPr>
          <w:rFonts w:ascii="宋体" w:hAnsi="宋体" w:cs="宋体"/>
          <w:color w:val="auto"/>
          <w:sz w:val="24"/>
          <w:szCs w:val="20"/>
          <w:u w:val="single"/>
        </w:rPr>
      </w:pPr>
      <w:r>
        <w:rPr>
          <w:rFonts w:hint="eastAsia" w:ascii="宋体" w:hAnsi="宋体" w:cs="宋体"/>
          <w:color w:val="auto"/>
          <w:sz w:val="24"/>
          <w:szCs w:val="20"/>
          <w:lang w:val="zh-CN"/>
        </w:rPr>
        <w:t>分期履行要求：</w:t>
      </w:r>
      <w:r>
        <w:rPr>
          <w:rFonts w:hint="eastAsia" w:ascii="宋体" w:hAnsi="宋体" w:cs="宋体"/>
          <w:color w:val="auto"/>
          <w:sz w:val="24"/>
          <w:szCs w:val="20"/>
          <w:u w:val="single"/>
        </w:rPr>
        <w:t xml:space="preserve">                           </w:t>
      </w:r>
    </w:p>
    <w:p w14:paraId="1DFA4C3B">
      <w:pPr>
        <w:widowControl/>
        <w:spacing w:line="520" w:lineRule="exact"/>
        <w:ind w:firstLine="480"/>
        <w:rPr>
          <w:rFonts w:ascii="宋体" w:hAnsi="宋体" w:cs="宋体"/>
          <w:color w:val="auto"/>
          <w:sz w:val="24"/>
          <w:szCs w:val="20"/>
          <w:u w:val="single"/>
        </w:rPr>
      </w:pPr>
      <w:r>
        <w:rPr>
          <w:rFonts w:hint="eastAsia" w:ascii="宋体" w:hAnsi="宋体" w:cs="宋体"/>
          <w:color w:val="auto"/>
          <w:sz w:val="24"/>
          <w:szCs w:val="20"/>
          <w:lang w:val="zh-CN"/>
        </w:rPr>
        <w:t>（6）风险处置措施和替代方案：</w:t>
      </w:r>
      <w:r>
        <w:rPr>
          <w:rFonts w:hint="eastAsia" w:ascii="宋体" w:hAnsi="宋体" w:cs="宋体"/>
          <w:color w:val="auto"/>
          <w:sz w:val="24"/>
          <w:szCs w:val="20"/>
          <w:u w:val="single"/>
        </w:rPr>
        <w:t xml:space="preserve">                 </w:t>
      </w:r>
    </w:p>
    <w:p w14:paraId="7D70615D">
      <w:pPr>
        <w:widowControl/>
        <w:spacing w:line="520" w:lineRule="exact"/>
        <w:ind w:firstLine="480"/>
        <w:rPr>
          <w:rFonts w:ascii="宋体" w:hAnsi="宋体" w:cs="宋体"/>
          <w:b/>
          <w:bCs/>
          <w:color w:val="auto"/>
          <w:sz w:val="24"/>
          <w:szCs w:val="20"/>
          <w:lang w:val="zh-CN"/>
        </w:rPr>
      </w:pPr>
      <w:r>
        <w:rPr>
          <w:rFonts w:hint="eastAsia" w:ascii="宋体" w:hAnsi="宋体" w:cs="宋体"/>
          <w:b/>
          <w:bCs/>
          <w:color w:val="auto"/>
          <w:sz w:val="24"/>
          <w:szCs w:val="20"/>
        </w:rPr>
        <w:t>4.</w:t>
      </w:r>
      <w:r>
        <w:rPr>
          <w:rFonts w:hint="eastAsia" w:ascii="宋体" w:hAnsi="宋体" w:cs="宋体"/>
          <w:b/>
          <w:bCs/>
          <w:color w:val="auto"/>
          <w:sz w:val="24"/>
          <w:szCs w:val="20"/>
          <w:lang w:val="zh-CN"/>
        </w:rPr>
        <w:t>合同验收</w:t>
      </w:r>
    </w:p>
    <w:p w14:paraId="32A49FA5">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w:t>
      </w:r>
      <w:r>
        <w:rPr>
          <w:rFonts w:hint="eastAsia" w:ascii="宋体" w:hAnsi="宋体" w:cs="宋体"/>
          <w:color w:val="auto"/>
          <w:sz w:val="24"/>
          <w:szCs w:val="20"/>
        </w:rPr>
        <w:t>1</w:t>
      </w:r>
      <w:r>
        <w:rPr>
          <w:rFonts w:hint="eastAsia" w:ascii="宋体" w:hAnsi="宋体" w:cs="宋体"/>
          <w:color w:val="auto"/>
          <w:sz w:val="24"/>
          <w:szCs w:val="20"/>
          <w:lang w:val="zh-CN"/>
        </w:rPr>
        <w:t>）验收组织方式：</w:t>
      </w:r>
      <w:r>
        <w:rPr>
          <w:rFonts w:ascii="Wingdings" w:hAnsi="Wingdings" w:eastAsia="Wingdings" w:cs="Wingdings"/>
          <w:color w:val="auto"/>
          <w:sz w:val="24"/>
        </w:rPr>
        <w:t></w:t>
      </w:r>
      <w:r>
        <w:rPr>
          <w:rFonts w:hint="eastAsia" w:ascii="宋体" w:hAnsi="宋体" w:cs="宋体"/>
          <w:color w:val="auto"/>
          <w:sz w:val="24"/>
          <w:szCs w:val="20"/>
          <w:lang w:val="zh-CN"/>
        </w:rPr>
        <w:t>自行组织</w:t>
      </w:r>
      <w:r>
        <w:rPr>
          <w:rFonts w:hint="eastAsia" w:ascii="宋体" w:hAnsi="宋体" w:cs="宋体"/>
          <w:color w:val="auto"/>
          <w:sz w:val="24"/>
          <w:szCs w:val="20"/>
        </w:rPr>
        <w:t xml:space="preserve">  </w:t>
      </w:r>
      <w:r>
        <w:rPr>
          <w:rFonts w:ascii="Wingdings" w:hAnsi="Wingdings" w:eastAsia="Wingdings" w:cs="Wingdings"/>
          <w:color w:val="auto"/>
          <w:sz w:val="24"/>
        </w:rPr>
        <w:t></w:t>
      </w:r>
      <w:r>
        <w:rPr>
          <w:rFonts w:hint="eastAsia" w:ascii="宋体" w:hAnsi="宋体" w:cs="宋体"/>
          <w:color w:val="auto"/>
          <w:sz w:val="24"/>
          <w:szCs w:val="20"/>
          <w:lang w:val="zh-CN"/>
        </w:rPr>
        <w:t>委托第三方组织</w:t>
      </w:r>
    </w:p>
    <w:p w14:paraId="4DFADCF2">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验收主体：</w:t>
      </w:r>
      <w:r>
        <w:rPr>
          <w:rFonts w:hint="eastAsia" w:ascii="宋体" w:hAnsi="宋体" w:eastAsia="Arial" w:cs="宋体"/>
          <w:color w:val="auto"/>
          <w:sz w:val="24"/>
          <w:szCs w:val="20"/>
          <w:u w:val="none"/>
        </w:rPr>
        <w:t xml:space="preserve">                 </w:t>
      </w:r>
      <w:r>
        <w:rPr>
          <w:rFonts w:hint="eastAsia" w:ascii="宋体" w:hAnsi="宋体" w:eastAsia="Arial" w:cs="宋体"/>
          <w:color w:val="auto"/>
          <w:sz w:val="24"/>
          <w:szCs w:val="20"/>
          <w:lang w:val="zh-CN"/>
        </w:rPr>
        <w:t xml:space="preserve">                           </w:t>
      </w:r>
    </w:p>
    <w:p w14:paraId="27369E23">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是否邀请本项目的其他供应商参加验收：</w:t>
      </w:r>
      <w:r>
        <w:rPr>
          <w:rFonts w:ascii="Wingdings" w:hAnsi="Wingdings" w:eastAsia="Wingdings" w:cs="Wingdings"/>
          <w:color w:val="auto"/>
          <w:sz w:val="24"/>
        </w:rPr>
        <w:t></w:t>
      </w:r>
      <w:r>
        <w:rPr>
          <w:rFonts w:hint="eastAsia" w:ascii="宋体" w:hAnsi="宋体" w:eastAsia="Arial" w:cs="宋体"/>
          <w:color w:val="auto"/>
          <w:sz w:val="24"/>
          <w:szCs w:val="20"/>
          <w:lang w:val="zh-CN"/>
        </w:rPr>
        <w:t xml:space="preserve">是  </w:t>
      </w:r>
      <w:r>
        <w:rPr>
          <w:rFonts w:ascii="Wingdings" w:hAnsi="Wingdings" w:eastAsia="Wingdings" w:cs="Wingdings"/>
          <w:color w:val="auto"/>
          <w:sz w:val="24"/>
        </w:rPr>
        <w:t></w:t>
      </w:r>
      <w:r>
        <w:rPr>
          <w:rFonts w:hint="eastAsia" w:ascii="宋体" w:hAnsi="宋体" w:eastAsia="Arial" w:cs="宋体"/>
          <w:color w:val="auto"/>
          <w:sz w:val="24"/>
          <w:szCs w:val="20"/>
          <w:lang w:val="zh-CN"/>
        </w:rPr>
        <w:t>否</w:t>
      </w:r>
    </w:p>
    <w:p w14:paraId="2736C839">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是否邀请专家参加验收：</w:t>
      </w:r>
      <w:r>
        <w:rPr>
          <w:rFonts w:ascii="Wingdings" w:hAnsi="Wingdings" w:eastAsia="Wingdings" w:cs="Wingdings"/>
          <w:color w:val="auto"/>
          <w:sz w:val="24"/>
        </w:rPr>
        <w:t></w:t>
      </w:r>
      <w:r>
        <w:rPr>
          <w:rFonts w:hint="eastAsia" w:ascii="宋体" w:hAnsi="宋体" w:eastAsia="Arial" w:cs="宋体"/>
          <w:color w:val="auto"/>
          <w:sz w:val="24"/>
          <w:szCs w:val="20"/>
          <w:lang w:val="zh-CN"/>
        </w:rPr>
        <w:t xml:space="preserve">是  </w:t>
      </w:r>
      <w:r>
        <w:rPr>
          <w:rFonts w:hint="eastAsia" w:ascii="宋体" w:hAnsi="宋体" w:eastAsia="Arial" w:cs="宋体"/>
          <w:color w:val="auto"/>
          <w:sz w:val="24"/>
          <w:szCs w:val="20"/>
        </w:rPr>
        <w:t></w:t>
      </w:r>
      <w:r>
        <w:rPr>
          <w:rFonts w:ascii="Wingdings" w:hAnsi="Wingdings" w:eastAsia="Wingdings" w:cs="Wingdings"/>
          <w:color w:val="auto"/>
          <w:sz w:val="24"/>
        </w:rPr>
        <w:t></w:t>
      </w:r>
      <w:r>
        <w:rPr>
          <w:rFonts w:hint="eastAsia" w:ascii="宋体" w:hAnsi="宋体" w:eastAsia="Arial" w:cs="宋体"/>
          <w:color w:val="auto"/>
          <w:sz w:val="24"/>
          <w:szCs w:val="20"/>
          <w:lang w:val="zh-CN"/>
        </w:rPr>
        <w:t>否</w:t>
      </w:r>
    </w:p>
    <w:p w14:paraId="2495D565">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是否邀请服务对象参加验收：</w:t>
      </w:r>
      <w:r>
        <w:rPr>
          <w:rFonts w:ascii="Wingdings" w:hAnsi="Wingdings" w:eastAsia="Wingdings" w:cs="Wingdings"/>
          <w:color w:val="auto"/>
          <w:sz w:val="24"/>
        </w:rPr>
        <w:t></w:t>
      </w:r>
      <w:r>
        <w:rPr>
          <w:rFonts w:hint="eastAsia" w:ascii="宋体" w:hAnsi="宋体" w:eastAsia="Arial" w:cs="宋体"/>
          <w:color w:val="auto"/>
          <w:sz w:val="24"/>
          <w:szCs w:val="20"/>
          <w:lang w:val="zh-CN"/>
        </w:rPr>
        <w:t xml:space="preserve">是  </w:t>
      </w:r>
      <w:r>
        <w:rPr>
          <w:rFonts w:ascii="Wingdings" w:hAnsi="Wingdings" w:eastAsia="Wingdings" w:cs="Wingdings"/>
          <w:color w:val="auto"/>
          <w:sz w:val="24"/>
        </w:rPr>
        <w:t></w:t>
      </w:r>
      <w:r>
        <w:rPr>
          <w:rFonts w:hint="eastAsia" w:ascii="宋体" w:hAnsi="宋体" w:eastAsia="Arial" w:cs="宋体"/>
          <w:color w:val="auto"/>
          <w:sz w:val="24"/>
          <w:szCs w:val="20"/>
          <w:lang w:val="zh-CN"/>
        </w:rPr>
        <w:t>否</w:t>
      </w:r>
    </w:p>
    <w:p w14:paraId="0C092AFF">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是否邀请第三方检测机构参加验收：</w:t>
      </w:r>
      <w:r>
        <w:rPr>
          <w:rFonts w:ascii="Wingdings" w:hAnsi="Wingdings" w:eastAsia="Wingdings" w:cs="Wingdings"/>
          <w:color w:val="auto"/>
          <w:sz w:val="24"/>
        </w:rPr>
        <w:t></w:t>
      </w:r>
      <w:r>
        <w:rPr>
          <w:rFonts w:hint="eastAsia" w:ascii="宋体" w:hAnsi="宋体" w:eastAsia="Arial" w:cs="宋体"/>
          <w:color w:val="auto"/>
          <w:sz w:val="24"/>
          <w:szCs w:val="20"/>
          <w:lang w:val="zh-CN"/>
        </w:rPr>
        <w:t xml:space="preserve">是  </w:t>
      </w:r>
      <w:r>
        <w:rPr>
          <w:rFonts w:ascii="Wingdings" w:hAnsi="Wingdings" w:eastAsia="Wingdings" w:cs="Wingdings"/>
          <w:color w:val="auto"/>
          <w:sz w:val="24"/>
        </w:rPr>
        <w:t></w:t>
      </w:r>
      <w:r>
        <w:rPr>
          <w:rFonts w:hint="eastAsia" w:ascii="宋体" w:hAnsi="宋体" w:eastAsia="Arial" w:cs="宋体"/>
          <w:color w:val="auto"/>
          <w:sz w:val="24"/>
          <w:szCs w:val="20"/>
          <w:lang w:val="zh-CN"/>
        </w:rPr>
        <w:t>否</w:t>
      </w:r>
    </w:p>
    <w:p w14:paraId="0A6C9ACD">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是否进行抽查检测：是，抽查比例：</w:t>
      </w:r>
      <w:r>
        <w:rPr>
          <w:rFonts w:hint="eastAsia" w:ascii="宋体" w:hAnsi="宋体" w:eastAsia="Arial" w:cs="宋体"/>
          <w:color w:val="auto"/>
          <w:sz w:val="24"/>
          <w:szCs w:val="20"/>
          <w:u w:val="single"/>
          <w:lang w:val="zh-CN"/>
        </w:rPr>
        <w:t xml:space="preserve">         </w:t>
      </w:r>
      <w:r>
        <w:rPr>
          <w:rFonts w:hint="eastAsia" w:ascii="宋体" w:hAnsi="宋体" w:eastAsia="宋体" w:cs="宋体"/>
          <w:color w:val="auto"/>
          <w:sz w:val="24"/>
          <w:szCs w:val="20"/>
          <w:u w:val="single"/>
          <w:lang w:val="en-US" w:eastAsia="zh-CN"/>
        </w:rPr>
        <w:t xml:space="preserve"> </w:t>
      </w:r>
      <w:r>
        <w:rPr>
          <w:rFonts w:hint="eastAsia" w:ascii="宋体" w:hAnsi="宋体" w:eastAsia="Arial" w:cs="宋体"/>
          <w:color w:val="auto"/>
          <w:sz w:val="24"/>
          <w:szCs w:val="20"/>
          <w:lang w:val="zh-CN"/>
        </w:rPr>
        <w:t>否</w:t>
      </w:r>
    </w:p>
    <w:p w14:paraId="6ECD7D43">
      <w:pPr>
        <w:widowControl/>
        <w:spacing w:line="560" w:lineRule="exact"/>
        <w:ind w:left="0"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是否存在破坏性检测：</w:t>
      </w:r>
      <w:r>
        <w:rPr>
          <w:rFonts w:ascii="Wingdings" w:hAnsi="Wingdings" w:eastAsia="Wingdings" w:cs="Wingdings"/>
          <w:color w:val="auto"/>
          <w:sz w:val="24"/>
        </w:rPr>
        <w:t></w:t>
      </w:r>
      <w:r>
        <w:rPr>
          <w:rFonts w:hint="eastAsia" w:ascii="宋体" w:hAnsi="宋体" w:eastAsia="Arial" w:cs="宋体"/>
          <w:color w:val="auto"/>
          <w:sz w:val="24"/>
          <w:szCs w:val="20"/>
          <w:lang w:val="zh-CN"/>
        </w:rPr>
        <w:t>是，</w:t>
      </w:r>
      <w:r>
        <w:rPr>
          <w:rFonts w:hint="eastAsia" w:ascii="宋体" w:hAnsi="宋体" w:eastAsia="Arial" w:cs="宋体"/>
          <w:color w:val="auto"/>
          <w:sz w:val="24"/>
          <w:szCs w:val="20"/>
          <w:u w:val="none"/>
          <w:lang w:val="zh-CN"/>
        </w:rPr>
        <w:t xml:space="preserve">（应明确对被破坏的检测产品的处理方式    </w:t>
      </w:r>
      <w:r>
        <w:rPr>
          <w:rFonts w:hint="eastAsia" w:ascii="宋体" w:hAnsi="宋体" w:eastAsia="Arial" w:cs="宋体"/>
          <w:color w:val="auto"/>
          <w:sz w:val="24"/>
          <w:szCs w:val="20"/>
          <w:lang w:val="zh-CN"/>
        </w:rPr>
        <w:t xml:space="preserve">     否</w:t>
      </w:r>
    </w:p>
    <w:p w14:paraId="4C08611A">
      <w:pPr>
        <w:widowControl/>
        <w:spacing w:line="520" w:lineRule="exact"/>
        <w:ind w:firstLine="480"/>
        <w:rPr>
          <w:rFonts w:ascii="宋体" w:hAnsi="宋体" w:cs="宋体"/>
          <w:color w:val="auto"/>
          <w:sz w:val="24"/>
          <w:szCs w:val="20"/>
          <w:u w:val="single"/>
        </w:rPr>
      </w:pPr>
      <w:r>
        <w:rPr>
          <w:rFonts w:hint="eastAsia" w:ascii="宋体" w:hAnsi="宋体" w:cs="宋体"/>
          <w:color w:val="auto"/>
          <w:sz w:val="24"/>
          <w:szCs w:val="20"/>
          <w:lang w:val="zh-CN"/>
        </w:rPr>
        <w:t>验收组织的其他事项：</w:t>
      </w:r>
      <w:r>
        <w:rPr>
          <w:rFonts w:hint="eastAsia" w:ascii="宋体" w:hAnsi="宋体" w:cs="宋体"/>
          <w:color w:val="auto"/>
          <w:sz w:val="24"/>
          <w:szCs w:val="20"/>
          <w:u w:val="single"/>
        </w:rPr>
        <w:t xml:space="preserve">             </w:t>
      </w:r>
    </w:p>
    <w:p w14:paraId="4B69EFE0">
      <w:pPr>
        <w:widowControl/>
        <w:spacing w:line="520" w:lineRule="exact"/>
        <w:ind w:firstLine="480"/>
        <w:rPr>
          <w:rFonts w:ascii="宋体" w:hAnsi="宋体" w:cs="宋体"/>
          <w:color w:val="auto"/>
          <w:sz w:val="24"/>
          <w:szCs w:val="20"/>
          <w:u w:val="single"/>
          <w:lang w:val="zh-CN"/>
        </w:rPr>
      </w:pPr>
      <w:r>
        <w:rPr>
          <w:rFonts w:hint="eastAsia" w:ascii="宋体" w:hAnsi="宋体" w:cs="宋体"/>
          <w:color w:val="auto"/>
          <w:sz w:val="24"/>
          <w:szCs w:val="20"/>
          <w:lang w:val="zh-CN"/>
        </w:rPr>
        <w:t>（2）履约验收时间：</w:t>
      </w:r>
      <w:r>
        <w:rPr>
          <w:rFonts w:hint="eastAsia" w:ascii="宋体" w:hAnsi="宋体" w:cs="宋体"/>
          <w:color w:val="auto"/>
          <w:sz w:val="24"/>
          <w:szCs w:val="20"/>
          <w:u w:val="single"/>
          <w:lang w:val="zh-CN"/>
        </w:rPr>
        <w:t>（计划于何时验收/供应商提出验收申请之日起   日内组织验收）</w:t>
      </w:r>
    </w:p>
    <w:p w14:paraId="3D6E5FF8">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（3）履约验收方式：</w:t>
      </w:r>
      <w:r>
        <w:rPr>
          <w:rFonts w:ascii="Wingdings" w:hAnsi="Wingdings" w:eastAsia="Wingdings" w:cs="Wingdings"/>
          <w:color w:val="auto"/>
          <w:sz w:val="24"/>
        </w:rPr>
        <w:t></w:t>
      </w:r>
      <w:r>
        <w:rPr>
          <w:rFonts w:hint="eastAsia" w:ascii="宋体" w:hAnsi="宋体" w:cs="宋体"/>
          <w:color w:val="auto"/>
          <w:sz w:val="24"/>
          <w:szCs w:val="20"/>
          <w:lang w:val="zh-CN"/>
        </w:rPr>
        <w:t xml:space="preserve">一次性验收         </w:t>
      </w:r>
    </w:p>
    <w:p w14:paraId="700E8716">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w:t>
      </w:r>
      <w:r>
        <w:rPr>
          <w:rFonts w:hint="eastAsia" w:ascii="宋体" w:hAnsi="宋体" w:cs="宋体"/>
          <w:color w:val="auto"/>
          <w:sz w:val="24"/>
          <w:szCs w:val="20"/>
        </w:rPr>
        <w:t xml:space="preserve">                </w:t>
      </w:r>
      <w:r>
        <w:rPr>
          <w:rFonts w:hint="eastAsia" w:ascii="宋体" w:hAnsi="宋体" w:cs="宋体"/>
          <w:color w:val="auto"/>
          <w:sz w:val="24"/>
          <w:szCs w:val="20"/>
          <w:lang w:val="en-US" w:eastAsia="zh-CN"/>
        </w:rPr>
        <w:t xml:space="preserve"> </w:t>
      </w:r>
      <w:r>
        <w:rPr>
          <w:rFonts w:ascii="Wingdings" w:hAnsi="Wingdings" w:eastAsia="Wingdings" w:cs="Wingdings"/>
          <w:color w:val="auto"/>
          <w:sz w:val="24"/>
        </w:rPr>
        <w:t></w:t>
      </w:r>
      <w:r>
        <w:rPr>
          <w:rFonts w:hint="eastAsia" w:ascii="宋体" w:hAnsi="宋体" w:cs="宋体"/>
          <w:color w:val="auto"/>
          <w:sz w:val="24"/>
          <w:szCs w:val="20"/>
          <w:lang w:val="zh-CN"/>
        </w:rPr>
        <w:t>分期/分项验收：</w:t>
      </w:r>
      <w:r>
        <w:rPr>
          <w:rFonts w:hint="eastAsia" w:ascii="宋体" w:hAnsi="宋体" w:cs="宋体"/>
          <w:color w:val="auto"/>
          <w:sz w:val="24"/>
          <w:szCs w:val="20"/>
          <w:u w:val="single"/>
          <w:lang w:val="zh-CN"/>
        </w:rPr>
        <w:t>（应明确分期/分项验收的工作安排）</w:t>
      </w:r>
    </w:p>
    <w:p w14:paraId="6B9628A9">
      <w:pPr>
        <w:widowControl/>
        <w:spacing w:line="520" w:lineRule="exact"/>
        <w:ind w:firstLine="480"/>
        <w:rPr>
          <w:rFonts w:ascii="宋体" w:hAnsi="宋体" w:cs="宋体"/>
          <w:color w:val="auto"/>
          <w:sz w:val="24"/>
          <w:szCs w:val="20"/>
          <w:u w:val="single"/>
        </w:rPr>
      </w:pPr>
      <w:r>
        <w:rPr>
          <w:rFonts w:hint="eastAsia" w:ascii="宋体" w:hAnsi="宋体" w:cs="宋体"/>
          <w:color w:val="auto"/>
          <w:sz w:val="24"/>
          <w:szCs w:val="20"/>
          <w:lang w:val="zh-CN"/>
        </w:rPr>
        <w:t>（4）履约验收程序：</w:t>
      </w:r>
      <w:r>
        <w:rPr>
          <w:rFonts w:hint="eastAsia" w:ascii="宋体" w:hAnsi="宋体" w:cs="宋体"/>
          <w:color w:val="auto"/>
          <w:sz w:val="24"/>
          <w:szCs w:val="20"/>
          <w:u w:val="single"/>
        </w:rPr>
        <w:t xml:space="preserve">                                                 </w:t>
      </w:r>
    </w:p>
    <w:p w14:paraId="54D2ACDA">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（5）履约验收的内容：</w:t>
      </w:r>
      <w:r>
        <w:rPr>
          <w:rFonts w:hint="eastAsia" w:ascii="宋体" w:hAnsi="宋体" w:cs="宋体"/>
          <w:color w:val="auto"/>
          <w:sz w:val="24"/>
          <w:szCs w:val="20"/>
          <w:u w:val="single"/>
          <w:lang w:val="zh-CN"/>
        </w:rPr>
        <w:t>（应当包括每一项技术和商务要求的履约情况，特别是落实政府采购扶持中小企业，支持绿色发展和乡村振兴等政策情况）</w:t>
      </w:r>
    </w:p>
    <w:p w14:paraId="22F1C4BC">
      <w:pPr>
        <w:widowControl/>
        <w:spacing w:line="520" w:lineRule="exact"/>
        <w:ind w:firstLine="480"/>
        <w:rPr>
          <w:rFonts w:ascii="宋体" w:hAnsi="宋体" w:cs="宋体"/>
          <w:color w:val="auto"/>
          <w:sz w:val="24"/>
          <w:szCs w:val="20"/>
          <w:u w:val="single"/>
        </w:rPr>
      </w:pPr>
      <w:r>
        <w:rPr>
          <w:rFonts w:hint="eastAsia" w:ascii="宋体" w:hAnsi="宋体" w:cs="宋体"/>
          <w:color w:val="auto"/>
          <w:sz w:val="24"/>
          <w:szCs w:val="20"/>
          <w:lang w:val="zh-CN"/>
        </w:rPr>
        <w:t>（6）履约验收标准：</w:t>
      </w:r>
      <w:r>
        <w:rPr>
          <w:rFonts w:hint="eastAsia" w:ascii="宋体" w:hAnsi="宋体" w:cs="宋体"/>
          <w:color w:val="auto"/>
          <w:sz w:val="24"/>
          <w:szCs w:val="20"/>
          <w:u w:val="single"/>
        </w:rPr>
        <w:t xml:space="preserve">                                               </w:t>
      </w:r>
    </w:p>
    <w:p w14:paraId="4E2F7089">
      <w:pPr>
        <w:widowControl/>
        <w:spacing w:line="520" w:lineRule="exact"/>
        <w:ind w:firstLine="480"/>
        <w:rPr>
          <w:rFonts w:ascii="宋体" w:hAnsi="宋体" w:cs="宋体"/>
          <w:color w:val="auto"/>
          <w:sz w:val="24"/>
          <w:szCs w:val="20"/>
          <w:lang w:val="zh-CN"/>
        </w:rPr>
      </w:pPr>
      <w:r>
        <w:rPr>
          <w:rFonts w:hint="eastAsia" w:ascii="宋体" w:hAnsi="宋体" w:cs="宋体"/>
          <w:color w:val="auto"/>
          <w:sz w:val="24"/>
          <w:szCs w:val="20"/>
          <w:lang w:val="zh-CN"/>
        </w:rPr>
        <w:t>（7）是否以采购活动中供应商提供的样品作为参考：</w:t>
      </w:r>
      <w:r>
        <w:rPr>
          <w:rFonts w:ascii="Wingdings" w:hAnsi="Wingdings" w:eastAsia="Wingdings" w:cs="Wingdings"/>
          <w:color w:val="auto"/>
          <w:sz w:val="24"/>
        </w:rPr>
        <w:t></w:t>
      </w:r>
      <w:r>
        <w:rPr>
          <w:rFonts w:hint="eastAsia" w:ascii="宋体" w:hAnsi="宋体" w:cs="宋体"/>
          <w:color w:val="auto"/>
          <w:sz w:val="24"/>
          <w:szCs w:val="20"/>
          <w:lang w:val="zh-CN"/>
        </w:rPr>
        <w:t xml:space="preserve">是  </w:t>
      </w:r>
      <w:r>
        <w:rPr>
          <w:rFonts w:ascii="Wingdings" w:hAnsi="Wingdings" w:eastAsia="Wingdings" w:cs="Wingdings"/>
          <w:color w:val="auto"/>
          <w:sz w:val="24"/>
        </w:rPr>
        <w:t></w:t>
      </w:r>
      <w:r>
        <w:rPr>
          <w:rFonts w:hint="eastAsia" w:ascii="宋体" w:hAnsi="宋体" w:cs="宋体"/>
          <w:color w:val="auto"/>
          <w:sz w:val="24"/>
          <w:szCs w:val="20"/>
          <w:lang w:val="zh-CN"/>
        </w:rPr>
        <w:t>否</w:t>
      </w:r>
    </w:p>
    <w:p w14:paraId="06540415">
      <w:pPr>
        <w:widowControl/>
        <w:spacing w:line="520" w:lineRule="exact"/>
        <w:ind w:firstLine="480"/>
        <w:rPr>
          <w:rFonts w:ascii="宋体" w:hAnsi="宋体" w:cs="宋体"/>
          <w:color w:val="auto"/>
          <w:sz w:val="24"/>
          <w:szCs w:val="20"/>
        </w:rPr>
      </w:pPr>
      <w:r>
        <w:rPr>
          <w:rFonts w:hint="eastAsia" w:ascii="宋体" w:hAnsi="宋体" w:cs="宋体"/>
          <w:color w:val="auto"/>
          <w:sz w:val="24"/>
          <w:szCs w:val="20"/>
          <w:lang w:val="zh-CN"/>
        </w:rPr>
        <w:t>（8）履约验收其他事项：</w:t>
      </w:r>
      <w:r>
        <w:rPr>
          <w:rFonts w:hint="eastAsia" w:ascii="宋体" w:hAnsi="宋体" w:cs="宋体"/>
          <w:color w:val="auto"/>
          <w:sz w:val="24"/>
          <w:szCs w:val="20"/>
          <w:u w:val="single"/>
        </w:rPr>
        <w:t xml:space="preserve">        </w:t>
      </w:r>
      <w:r>
        <w:rPr>
          <w:rFonts w:hint="eastAsia" w:ascii="宋体" w:hAnsi="宋体" w:cs="宋体"/>
          <w:color w:val="auto"/>
          <w:sz w:val="24"/>
          <w:szCs w:val="20"/>
          <w:u w:val="single"/>
          <w:lang w:val="zh-CN"/>
        </w:rPr>
        <w:t>（产权过户登记等）</w:t>
      </w:r>
      <w:r>
        <w:rPr>
          <w:rFonts w:hint="eastAsia" w:ascii="宋体" w:hAnsi="宋体" w:cs="宋体"/>
          <w:color w:val="auto"/>
          <w:sz w:val="24"/>
          <w:szCs w:val="20"/>
          <w:u w:val="single"/>
        </w:rPr>
        <w:t xml:space="preserve">                </w:t>
      </w:r>
    </w:p>
    <w:p w14:paraId="610F515D">
      <w:pPr>
        <w:widowControl/>
        <w:spacing w:line="560" w:lineRule="exact"/>
        <w:ind w:firstLine="482"/>
        <w:jc w:val="left"/>
        <w:rPr>
          <w:rFonts w:hint="eastAsia" w:ascii="宋体" w:hAnsi="宋体" w:eastAsia="Arial" w:cs="宋体"/>
          <w:b/>
          <w:bCs/>
          <w:color w:val="auto"/>
          <w:sz w:val="24"/>
          <w:szCs w:val="20"/>
          <w:lang w:val="zh-CN"/>
        </w:rPr>
      </w:pPr>
      <w:r>
        <w:rPr>
          <w:rFonts w:hint="eastAsia" w:ascii="宋体" w:hAnsi="宋体" w:eastAsia="Arial" w:cs="宋体"/>
          <w:b/>
          <w:bCs/>
          <w:color w:val="auto"/>
          <w:sz w:val="24"/>
          <w:szCs w:val="20"/>
          <w:lang w:val="zh-CN"/>
        </w:rPr>
        <w:t>5.组成合同的文件</w:t>
      </w:r>
    </w:p>
    <w:p w14:paraId="4D6ECE71">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本协议书与下列文件一起构成合同文件，如下述文件之间有任何抵触、矛盾或歧义，应按以下顺序解释：</w:t>
      </w:r>
    </w:p>
    <w:p w14:paraId="2364F7C0">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（1）政府采购合同协议书及其变更、补充协议</w:t>
      </w:r>
    </w:p>
    <w:p w14:paraId="0E0E5913">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（2）政府采购合同专用条款</w:t>
      </w:r>
    </w:p>
    <w:p w14:paraId="0280548C">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（3）政府采购合同通用条款</w:t>
      </w:r>
    </w:p>
    <w:p w14:paraId="124ED0D0">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（4）中标（成交）通知书</w:t>
      </w:r>
    </w:p>
    <w:p w14:paraId="081C6BE1">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（5）投标（响应）文件</w:t>
      </w:r>
    </w:p>
    <w:p w14:paraId="0F6C1C7D">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（6）采购文件</w:t>
      </w:r>
    </w:p>
    <w:p w14:paraId="71A00E0D">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（7）有关技术文件，图纸</w:t>
      </w:r>
    </w:p>
    <w:p w14:paraId="0E798C94">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（8）国家法律、行政法规和规章制度规定或合同约定的作为合同组成部分的其他文件</w:t>
      </w:r>
    </w:p>
    <w:p w14:paraId="4E31860E">
      <w:pPr>
        <w:widowControl/>
        <w:spacing w:line="560" w:lineRule="exact"/>
        <w:ind w:firstLine="482"/>
        <w:jc w:val="left"/>
        <w:rPr>
          <w:rFonts w:hint="eastAsia" w:ascii="宋体" w:hAnsi="宋体" w:eastAsia="Arial" w:cs="宋体"/>
          <w:b/>
          <w:bCs/>
          <w:color w:val="auto"/>
          <w:sz w:val="24"/>
          <w:szCs w:val="20"/>
          <w:lang w:val="zh-CN"/>
        </w:rPr>
      </w:pPr>
      <w:r>
        <w:rPr>
          <w:rFonts w:hint="eastAsia" w:ascii="宋体" w:hAnsi="宋体" w:eastAsia="Arial" w:cs="宋体"/>
          <w:b/>
          <w:bCs/>
          <w:color w:val="auto"/>
          <w:sz w:val="24"/>
          <w:szCs w:val="20"/>
          <w:lang w:val="zh-CN"/>
        </w:rPr>
        <w:t>6.合同生效</w:t>
      </w:r>
    </w:p>
    <w:p w14:paraId="0CD9E143">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本合同自</w:t>
      </w:r>
      <w:r>
        <w:rPr>
          <w:rFonts w:hint="eastAsia" w:ascii="宋体" w:hAnsi="宋体" w:eastAsia="Arial" w:cs="宋体"/>
          <w:color w:val="auto"/>
          <w:sz w:val="24"/>
          <w:szCs w:val="20"/>
          <w:u w:val="single"/>
          <w:lang w:val="zh-CN"/>
        </w:rPr>
        <w:t xml:space="preserve">    </w:t>
      </w:r>
      <w:r>
        <w:rPr>
          <w:rFonts w:hint="eastAsia" w:ascii="宋体" w:hAnsi="宋体" w:eastAsia="Arial" w:cs="宋体"/>
          <w:color w:val="auto"/>
          <w:sz w:val="24"/>
          <w:szCs w:val="20"/>
          <w:lang w:val="zh-CN"/>
        </w:rPr>
        <w:t>年</w:t>
      </w:r>
      <w:r>
        <w:rPr>
          <w:rFonts w:hint="eastAsia" w:ascii="宋体" w:hAnsi="宋体" w:eastAsia="Arial" w:cs="宋体"/>
          <w:color w:val="auto"/>
          <w:sz w:val="24"/>
          <w:szCs w:val="20"/>
          <w:u w:val="single"/>
          <w:lang w:val="zh-CN"/>
        </w:rPr>
        <w:t xml:space="preserve">    </w:t>
      </w:r>
      <w:r>
        <w:rPr>
          <w:rFonts w:hint="eastAsia" w:ascii="宋体" w:hAnsi="宋体" w:eastAsia="Arial" w:cs="宋体"/>
          <w:color w:val="auto"/>
          <w:sz w:val="24"/>
          <w:szCs w:val="20"/>
          <w:lang w:val="zh-CN"/>
        </w:rPr>
        <w:t>月</w:t>
      </w:r>
      <w:r>
        <w:rPr>
          <w:rFonts w:hint="eastAsia" w:ascii="宋体" w:hAnsi="宋体" w:eastAsia="Arial" w:cs="宋体"/>
          <w:color w:val="auto"/>
          <w:sz w:val="24"/>
          <w:szCs w:val="20"/>
          <w:u w:val="single"/>
          <w:lang w:val="zh-CN"/>
        </w:rPr>
        <w:t xml:space="preserve">    </w:t>
      </w:r>
      <w:r>
        <w:rPr>
          <w:rFonts w:hint="eastAsia" w:ascii="宋体" w:hAnsi="宋体" w:eastAsia="Arial" w:cs="宋体"/>
          <w:color w:val="auto"/>
          <w:sz w:val="24"/>
          <w:szCs w:val="20"/>
          <w:lang w:val="zh-CN"/>
        </w:rPr>
        <w:t>日生效。</w:t>
      </w:r>
    </w:p>
    <w:p w14:paraId="0D8C6F4A">
      <w:pPr>
        <w:widowControl/>
        <w:spacing w:line="520" w:lineRule="exact"/>
        <w:ind w:firstLine="480"/>
        <w:rPr>
          <w:rFonts w:ascii="宋体" w:hAnsi="宋体" w:cs="宋体"/>
          <w:b/>
          <w:bCs/>
          <w:color w:val="auto"/>
          <w:sz w:val="24"/>
          <w:szCs w:val="20"/>
          <w:lang w:val="zh-CN"/>
        </w:rPr>
      </w:pPr>
      <w:r>
        <w:rPr>
          <w:rFonts w:hint="eastAsia" w:ascii="宋体" w:hAnsi="宋体" w:cs="宋体"/>
          <w:b/>
          <w:bCs/>
          <w:color w:val="auto"/>
          <w:sz w:val="24"/>
          <w:szCs w:val="20"/>
          <w:lang w:val="zh-CN"/>
        </w:rPr>
        <w:t>7.合同份数</w:t>
      </w:r>
    </w:p>
    <w:p w14:paraId="1040ACC2">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本合同一式</w:t>
      </w:r>
      <w:r>
        <w:rPr>
          <w:rFonts w:hint="eastAsia" w:ascii="宋体" w:hAnsi="宋体" w:eastAsia="Arial" w:cs="宋体"/>
          <w:color w:val="auto"/>
          <w:sz w:val="24"/>
          <w:szCs w:val="20"/>
          <w:u w:val="single"/>
          <w:lang w:val="zh-CN"/>
        </w:rPr>
        <w:t xml:space="preserve">    </w:t>
      </w:r>
      <w:r>
        <w:rPr>
          <w:rFonts w:hint="eastAsia" w:ascii="宋体" w:hAnsi="宋体" w:eastAsia="Arial" w:cs="宋体"/>
          <w:color w:val="auto"/>
          <w:sz w:val="24"/>
          <w:szCs w:val="20"/>
          <w:lang w:val="zh-CN"/>
        </w:rPr>
        <w:t>份，甲方执</w:t>
      </w:r>
      <w:r>
        <w:rPr>
          <w:rFonts w:hint="eastAsia" w:ascii="宋体" w:hAnsi="宋体" w:eastAsia="Arial" w:cs="宋体"/>
          <w:color w:val="auto"/>
          <w:sz w:val="24"/>
          <w:szCs w:val="20"/>
          <w:u w:val="single"/>
          <w:lang w:val="zh-CN"/>
        </w:rPr>
        <w:t xml:space="preserve">    </w:t>
      </w:r>
      <w:r>
        <w:rPr>
          <w:rFonts w:hint="eastAsia" w:ascii="宋体" w:hAnsi="宋体" w:eastAsia="Arial" w:cs="宋体"/>
          <w:color w:val="auto"/>
          <w:sz w:val="24"/>
          <w:szCs w:val="20"/>
          <w:lang w:val="zh-CN"/>
        </w:rPr>
        <w:t>份，乙方执</w:t>
      </w:r>
      <w:r>
        <w:rPr>
          <w:rFonts w:hint="eastAsia" w:ascii="宋体" w:hAnsi="宋体" w:eastAsia="Arial" w:cs="宋体"/>
          <w:color w:val="auto"/>
          <w:sz w:val="24"/>
          <w:szCs w:val="20"/>
          <w:u w:val="single"/>
          <w:lang w:val="zh-CN"/>
        </w:rPr>
        <w:t xml:space="preserve">    </w:t>
      </w:r>
      <w:r>
        <w:rPr>
          <w:rFonts w:hint="eastAsia" w:ascii="宋体" w:hAnsi="宋体" w:eastAsia="Arial" w:cs="宋体"/>
          <w:color w:val="auto"/>
          <w:sz w:val="24"/>
          <w:szCs w:val="20"/>
          <w:lang w:val="zh-CN"/>
        </w:rPr>
        <w:t>份，均具有同等法律效力。</w:t>
      </w:r>
    </w:p>
    <w:p w14:paraId="65AE8CC9">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合同订立时间：</w:t>
      </w:r>
      <w:r>
        <w:rPr>
          <w:rFonts w:hint="eastAsia" w:ascii="宋体" w:hAnsi="宋体" w:eastAsia="Arial" w:cs="宋体"/>
          <w:color w:val="auto"/>
          <w:sz w:val="24"/>
          <w:szCs w:val="20"/>
          <w:u w:val="single"/>
          <w:lang w:val="zh-CN"/>
        </w:rPr>
        <w:t xml:space="preserve">    </w:t>
      </w:r>
      <w:r>
        <w:rPr>
          <w:rFonts w:hint="eastAsia" w:ascii="宋体" w:hAnsi="宋体" w:eastAsia="Arial" w:cs="宋体"/>
          <w:color w:val="auto"/>
          <w:sz w:val="24"/>
          <w:szCs w:val="20"/>
          <w:lang w:val="zh-CN"/>
        </w:rPr>
        <w:t>年</w:t>
      </w:r>
      <w:r>
        <w:rPr>
          <w:rFonts w:hint="eastAsia" w:ascii="宋体" w:hAnsi="宋体" w:eastAsia="Arial" w:cs="宋体"/>
          <w:color w:val="auto"/>
          <w:sz w:val="24"/>
          <w:szCs w:val="20"/>
          <w:u w:val="none"/>
          <w:lang w:val="zh-CN"/>
        </w:rPr>
        <w:t xml:space="preserve"> </w:t>
      </w:r>
      <w:r>
        <w:rPr>
          <w:rFonts w:hint="eastAsia" w:ascii="宋体" w:hAnsi="宋体" w:eastAsia="Arial" w:cs="宋体"/>
          <w:color w:val="auto"/>
          <w:sz w:val="24"/>
          <w:szCs w:val="20"/>
          <w:u w:val="single"/>
          <w:lang w:val="zh-CN"/>
        </w:rPr>
        <w:t xml:space="preserve">    </w:t>
      </w:r>
      <w:r>
        <w:rPr>
          <w:rFonts w:hint="eastAsia" w:ascii="宋体" w:hAnsi="宋体" w:eastAsia="Arial" w:cs="宋体"/>
          <w:color w:val="auto"/>
          <w:sz w:val="24"/>
          <w:szCs w:val="20"/>
          <w:lang w:val="zh-CN"/>
        </w:rPr>
        <w:t>月</w:t>
      </w:r>
      <w:r>
        <w:rPr>
          <w:rFonts w:hint="eastAsia" w:ascii="宋体" w:hAnsi="宋体" w:eastAsia="Arial" w:cs="宋体"/>
          <w:color w:val="auto"/>
          <w:sz w:val="24"/>
          <w:szCs w:val="20"/>
          <w:u w:val="none"/>
          <w:lang w:val="zh-CN"/>
        </w:rPr>
        <w:t xml:space="preserve"> </w:t>
      </w:r>
      <w:r>
        <w:rPr>
          <w:rFonts w:hint="eastAsia" w:ascii="宋体" w:hAnsi="宋体" w:eastAsia="Arial" w:cs="宋体"/>
          <w:color w:val="auto"/>
          <w:sz w:val="24"/>
          <w:szCs w:val="20"/>
          <w:u w:val="single"/>
          <w:lang w:val="zh-CN"/>
        </w:rPr>
        <w:t xml:space="preserve">    </w:t>
      </w:r>
      <w:r>
        <w:rPr>
          <w:rFonts w:hint="eastAsia" w:ascii="宋体" w:hAnsi="宋体" w:eastAsia="Arial" w:cs="宋体"/>
          <w:color w:val="auto"/>
          <w:sz w:val="24"/>
          <w:szCs w:val="20"/>
          <w:lang w:val="zh-CN"/>
        </w:rPr>
        <w:t>日</w:t>
      </w:r>
    </w:p>
    <w:p w14:paraId="78FBB014">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合同订立地点：</w:t>
      </w:r>
      <w:r>
        <w:rPr>
          <w:rFonts w:hint="eastAsia" w:ascii="宋体" w:hAnsi="宋体" w:eastAsia="Arial" w:cs="宋体"/>
          <w:color w:val="auto"/>
          <w:sz w:val="24"/>
          <w:szCs w:val="20"/>
          <w:u w:val="single"/>
          <w:lang w:eastAsia="zh-CN"/>
        </w:rPr>
        <w:t>江苏省盐城技师学院</w:t>
      </w:r>
    </w:p>
    <w:p w14:paraId="60C9884B">
      <w:pPr>
        <w:widowControl/>
        <w:spacing w:line="560" w:lineRule="exact"/>
        <w:ind w:firstLine="482"/>
        <w:jc w:val="left"/>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附件：具体标的及其技术要求和商务要求、联合协议、分包意向协议等。</w:t>
      </w:r>
    </w:p>
    <w:p w14:paraId="48635D59">
      <w:pPr>
        <w:pStyle w:val="224"/>
        <w:spacing w:before="156"/>
        <w:rPr>
          <w:rFonts w:hint="default" w:ascii="黑体" w:hAnsi="黑体" w:eastAsia="黑体"/>
          <w:b w:val="0"/>
          <w:bCs w:val="0"/>
          <w:color w:val="auto"/>
          <w:sz w:val="28"/>
          <w:szCs w:val="28"/>
        </w:rPr>
      </w:pPr>
      <w:r>
        <w:rPr>
          <w:rFonts w:ascii="黑体" w:hAnsi="黑体" w:eastAsia="黑体"/>
          <w:b w:val="0"/>
          <w:bCs w:val="0"/>
          <w:color w:val="auto"/>
          <w:sz w:val="28"/>
          <w:szCs w:val="28"/>
        </w:rPr>
        <w:br w:type="page" w:clear="all"/>
      </w:r>
    </w:p>
    <w:tbl>
      <w:tblPr>
        <w:tblStyle w:val="40"/>
        <w:tblW w:w="4824" w:type="pct"/>
        <w:tblInd w:w="181"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846"/>
        <w:gridCol w:w="2495"/>
        <w:gridCol w:w="2118"/>
        <w:gridCol w:w="2195"/>
      </w:tblGrid>
      <w:tr w14:paraId="3A54C3F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287" w:type="dxa"/>
            <w:gridSpan w:val="2"/>
            <w:tcBorders>
              <w:bottom w:val="single" w:color="000000" w:sz="2" w:space="0"/>
              <w:right w:val="single" w:color="000000" w:sz="2" w:space="0"/>
            </w:tcBorders>
            <w:noWrap w:val="0"/>
            <w:vAlign w:val="center"/>
          </w:tcPr>
          <w:p w14:paraId="4804501B">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甲方（采购人</w:t>
            </w:r>
            <w:r>
              <w:rPr>
                <w:rFonts w:hint="eastAsia" w:ascii="宋体" w:hAnsi="宋体"/>
                <w:color w:val="auto"/>
                <w:sz w:val="24"/>
              </w:rPr>
              <w:t>、受采购人委托签订合同的单位或</w:t>
            </w:r>
            <w:r>
              <w:rPr>
                <w:rFonts w:hint="eastAsia"/>
                <w:color w:val="auto"/>
                <w:sz w:val="24"/>
              </w:rPr>
              <w:t>采购文件约定的合同甲方）</w:t>
            </w:r>
          </w:p>
        </w:tc>
        <w:tc>
          <w:tcPr>
            <w:tcW w:w="4259" w:type="dxa"/>
            <w:gridSpan w:val="2"/>
            <w:tcBorders>
              <w:left w:val="single" w:color="000000" w:sz="2" w:space="0"/>
              <w:bottom w:val="single" w:color="000000" w:sz="2" w:space="0"/>
            </w:tcBorders>
            <w:noWrap w:val="0"/>
            <w:vAlign w:val="center"/>
          </w:tcPr>
          <w:p w14:paraId="0734FFDB">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乙方（供应商）</w:t>
            </w:r>
          </w:p>
        </w:tc>
      </w:tr>
      <w:tr w14:paraId="45FFE2D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823" w:type="dxa"/>
            <w:tcBorders>
              <w:top w:val="single" w:color="000000" w:sz="2" w:space="0"/>
              <w:bottom w:val="single" w:color="000000" w:sz="2" w:space="0"/>
              <w:right w:val="single" w:color="000000" w:sz="2" w:space="0"/>
            </w:tcBorders>
            <w:noWrap w:val="0"/>
            <w:vAlign w:val="center"/>
          </w:tcPr>
          <w:p w14:paraId="64396502">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单位名称（公章或合同章）</w:t>
            </w: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4C90D262">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5F48DFBD">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单位名称（公章或合同章）</w:t>
            </w:r>
          </w:p>
        </w:tc>
        <w:tc>
          <w:tcPr>
            <w:tcW w:w="2167" w:type="dxa"/>
            <w:tcBorders>
              <w:top w:val="single" w:color="000000" w:sz="2" w:space="0"/>
              <w:left w:val="single" w:color="000000" w:sz="2" w:space="0"/>
              <w:bottom w:val="single" w:color="000000" w:sz="2" w:space="0"/>
            </w:tcBorders>
            <w:noWrap w:val="0"/>
            <w:vAlign w:val="center"/>
          </w:tcPr>
          <w:p w14:paraId="02FE476B">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1D4FE78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1823" w:type="dxa"/>
            <w:vMerge w:val="restart"/>
            <w:tcBorders>
              <w:top w:val="single" w:color="000000" w:sz="2" w:space="0"/>
              <w:right w:val="single" w:color="000000" w:sz="2" w:space="0"/>
            </w:tcBorders>
            <w:noWrap w:val="0"/>
            <w:vAlign w:val="center"/>
          </w:tcPr>
          <w:p w14:paraId="1A6D02FA">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法定代表人</w:t>
            </w:r>
          </w:p>
          <w:p w14:paraId="4E8EF0F3">
            <w:pPr>
              <w:keepNext w:val="0"/>
              <w:keepLines w:val="0"/>
              <w:suppressLineNumbers w:val="0"/>
              <w:spacing w:before="0" w:beforeAutospacing="0" w:after="0" w:afterAutospacing="0" w:line="360" w:lineRule="auto"/>
              <w:ind w:left="0" w:right="0" w:firstLine="115"/>
              <w:jc w:val="center"/>
              <w:rPr>
                <w:rFonts w:hint="eastAsia"/>
                <w:color w:val="auto"/>
                <w:sz w:val="24"/>
              </w:rPr>
            </w:pPr>
            <w:r>
              <w:rPr>
                <w:rFonts w:hint="eastAsia"/>
                <w:color w:val="auto"/>
                <w:sz w:val="24"/>
              </w:rPr>
              <w:t>或其委托代理人（签章）</w:t>
            </w:r>
          </w:p>
        </w:tc>
        <w:tc>
          <w:tcPr>
            <w:tcW w:w="2464" w:type="dxa"/>
            <w:vMerge w:val="restart"/>
            <w:tcBorders>
              <w:top w:val="single" w:color="000000" w:sz="2" w:space="0"/>
              <w:left w:val="single" w:color="000000" w:sz="2" w:space="0"/>
              <w:right w:val="single" w:color="000000" w:sz="2" w:space="0"/>
            </w:tcBorders>
            <w:noWrap w:val="0"/>
            <w:vAlign w:val="center"/>
          </w:tcPr>
          <w:p w14:paraId="0A8CC767">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right w:val="single" w:color="000000" w:sz="2" w:space="0"/>
            </w:tcBorders>
            <w:noWrap w:val="0"/>
            <w:vAlign w:val="center"/>
          </w:tcPr>
          <w:p w14:paraId="7A26C303">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法定代表人</w:t>
            </w:r>
          </w:p>
          <w:p w14:paraId="658BA3F3">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或其委托代理人（签章）</w:t>
            </w:r>
          </w:p>
        </w:tc>
        <w:tc>
          <w:tcPr>
            <w:tcW w:w="2167" w:type="dxa"/>
            <w:tcBorders>
              <w:top w:val="single" w:color="000000" w:sz="2" w:space="0"/>
              <w:left w:val="single" w:color="000000" w:sz="2" w:space="0"/>
              <w:bottom w:val="single" w:color="000000" w:sz="2" w:space="0"/>
            </w:tcBorders>
            <w:noWrap w:val="0"/>
            <w:vAlign w:val="center"/>
          </w:tcPr>
          <w:p w14:paraId="17EE16EF">
            <w:pPr>
              <w:keepNext w:val="0"/>
              <w:keepLines w:val="0"/>
              <w:suppressLineNumbers w:val="0"/>
              <w:spacing w:before="0" w:beforeAutospacing="0" w:after="0" w:afterAutospacing="0" w:line="360" w:lineRule="auto"/>
              <w:ind w:left="0" w:right="0"/>
              <w:jc w:val="center"/>
              <w:rPr>
                <w:rFonts w:hint="eastAsia"/>
                <w:color w:val="auto"/>
                <w:sz w:val="24"/>
              </w:rPr>
            </w:pPr>
          </w:p>
        </w:tc>
      </w:tr>
      <w:tr w14:paraId="46D8655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1823" w:type="dxa"/>
            <w:vMerge w:val="continue"/>
            <w:tcBorders>
              <w:bottom w:val="single" w:color="000000" w:sz="2" w:space="0"/>
              <w:right w:val="single" w:color="000000" w:sz="2" w:space="0"/>
            </w:tcBorders>
            <w:noWrap w:val="0"/>
            <w:vAlign w:val="center"/>
          </w:tcPr>
          <w:p w14:paraId="3BC1998F">
            <w:pPr>
              <w:keepNext w:val="0"/>
              <w:keepLines w:val="0"/>
              <w:suppressLineNumbers w:val="0"/>
              <w:spacing w:before="0" w:beforeAutospacing="0" w:after="0" w:afterAutospacing="0" w:line="360" w:lineRule="auto"/>
              <w:ind w:left="0" w:right="0"/>
              <w:jc w:val="center"/>
              <w:rPr>
                <w:rFonts w:hint="eastAsia"/>
                <w:color w:val="auto"/>
                <w:sz w:val="24"/>
              </w:rPr>
            </w:pPr>
          </w:p>
        </w:tc>
        <w:tc>
          <w:tcPr>
            <w:tcW w:w="2464" w:type="dxa"/>
            <w:vMerge w:val="continue"/>
            <w:tcBorders>
              <w:left w:val="single" w:color="000000" w:sz="2" w:space="0"/>
              <w:bottom w:val="single" w:color="000000" w:sz="2" w:space="0"/>
              <w:right w:val="single" w:color="000000" w:sz="2" w:space="0"/>
            </w:tcBorders>
            <w:noWrap w:val="0"/>
            <w:vAlign w:val="center"/>
          </w:tcPr>
          <w:p w14:paraId="5DE084D1">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1BF6AD83">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拥有者性别</w:t>
            </w:r>
          </w:p>
        </w:tc>
        <w:tc>
          <w:tcPr>
            <w:tcW w:w="2167" w:type="dxa"/>
            <w:tcBorders>
              <w:top w:val="single" w:color="000000" w:sz="2" w:space="0"/>
              <w:left w:val="single" w:color="000000" w:sz="2" w:space="0"/>
              <w:bottom w:val="single" w:color="000000" w:sz="2" w:space="0"/>
            </w:tcBorders>
            <w:noWrap w:val="0"/>
            <w:vAlign w:val="center"/>
          </w:tcPr>
          <w:p w14:paraId="22CD2B15">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626A3ED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4BCC350F">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住所</w:t>
            </w: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79E48125">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0B7154E6">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住所</w:t>
            </w:r>
          </w:p>
        </w:tc>
        <w:tc>
          <w:tcPr>
            <w:tcW w:w="2167" w:type="dxa"/>
            <w:tcBorders>
              <w:top w:val="single" w:color="000000" w:sz="2" w:space="0"/>
              <w:left w:val="single" w:color="000000" w:sz="2" w:space="0"/>
              <w:bottom w:val="single" w:color="000000" w:sz="2" w:space="0"/>
            </w:tcBorders>
            <w:noWrap w:val="0"/>
            <w:vAlign w:val="center"/>
          </w:tcPr>
          <w:p w14:paraId="05270D8A">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2726CAB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6A908867">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联 系 人</w:t>
            </w: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74F481EB">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4F9D1690">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联 系 人</w:t>
            </w:r>
          </w:p>
        </w:tc>
        <w:tc>
          <w:tcPr>
            <w:tcW w:w="2167" w:type="dxa"/>
            <w:tcBorders>
              <w:top w:val="single" w:color="000000" w:sz="2" w:space="0"/>
              <w:left w:val="single" w:color="000000" w:sz="2" w:space="0"/>
              <w:bottom w:val="single" w:color="000000" w:sz="2" w:space="0"/>
            </w:tcBorders>
            <w:noWrap w:val="0"/>
            <w:vAlign w:val="center"/>
          </w:tcPr>
          <w:p w14:paraId="3D1B1979">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1342E8F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4FCD7810">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联系电话</w:t>
            </w: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0B319F95">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6D8ABAB5">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联系电话</w:t>
            </w:r>
          </w:p>
        </w:tc>
        <w:tc>
          <w:tcPr>
            <w:tcW w:w="2167" w:type="dxa"/>
            <w:tcBorders>
              <w:top w:val="single" w:color="000000" w:sz="2" w:space="0"/>
              <w:left w:val="single" w:color="000000" w:sz="2" w:space="0"/>
              <w:bottom w:val="single" w:color="000000" w:sz="2" w:space="0"/>
            </w:tcBorders>
            <w:noWrap w:val="0"/>
            <w:vAlign w:val="center"/>
          </w:tcPr>
          <w:p w14:paraId="54C9DE94">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2D3952E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5CF83852">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通信地址</w:t>
            </w: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5FC5F1F8">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147C8877">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通信地址</w:t>
            </w:r>
          </w:p>
        </w:tc>
        <w:tc>
          <w:tcPr>
            <w:tcW w:w="2167" w:type="dxa"/>
            <w:tcBorders>
              <w:top w:val="single" w:color="000000" w:sz="2" w:space="0"/>
              <w:left w:val="single" w:color="000000" w:sz="2" w:space="0"/>
              <w:bottom w:val="single" w:color="000000" w:sz="2" w:space="0"/>
            </w:tcBorders>
            <w:noWrap w:val="0"/>
            <w:vAlign w:val="center"/>
          </w:tcPr>
          <w:p w14:paraId="2E6DB3D2">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021B34C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1947707F">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邮政编码</w:t>
            </w: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77F1C7FD">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4F54057A">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邮政编码</w:t>
            </w:r>
          </w:p>
        </w:tc>
        <w:tc>
          <w:tcPr>
            <w:tcW w:w="2167" w:type="dxa"/>
            <w:tcBorders>
              <w:top w:val="single" w:color="000000" w:sz="2" w:space="0"/>
              <w:left w:val="single" w:color="000000" w:sz="2" w:space="0"/>
              <w:bottom w:val="single" w:color="000000" w:sz="2" w:space="0"/>
            </w:tcBorders>
            <w:noWrap w:val="0"/>
            <w:vAlign w:val="center"/>
          </w:tcPr>
          <w:p w14:paraId="5D1A622F">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72BFCBE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3247B3EE">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电子邮箱</w:t>
            </w: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40DB77F2">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07B6799C">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电子邮箱</w:t>
            </w:r>
          </w:p>
        </w:tc>
        <w:tc>
          <w:tcPr>
            <w:tcW w:w="2167" w:type="dxa"/>
            <w:tcBorders>
              <w:top w:val="single" w:color="000000" w:sz="2" w:space="0"/>
              <w:left w:val="single" w:color="000000" w:sz="2" w:space="0"/>
              <w:bottom w:val="single" w:color="000000" w:sz="2" w:space="0"/>
            </w:tcBorders>
            <w:noWrap w:val="0"/>
            <w:vAlign w:val="center"/>
          </w:tcPr>
          <w:p w14:paraId="446E7271">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3BE2479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1FA52A21">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统一社会信用代码</w:t>
            </w: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4073E174">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01EC5297">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统一社会信用代码</w:t>
            </w:r>
          </w:p>
        </w:tc>
        <w:tc>
          <w:tcPr>
            <w:tcW w:w="2167" w:type="dxa"/>
            <w:tcBorders>
              <w:top w:val="single" w:color="000000" w:sz="2" w:space="0"/>
              <w:left w:val="single" w:color="000000" w:sz="2" w:space="0"/>
              <w:bottom w:val="single" w:color="000000" w:sz="2" w:space="0"/>
            </w:tcBorders>
            <w:noWrap w:val="0"/>
            <w:vAlign w:val="center"/>
          </w:tcPr>
          <w:p w14:paraId="2747304B">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78F0014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431FE6A0">
            <w:pPr>
              <w:keepNext w:val="0"/>
              <w:keepLines w:val="0"/>
              <w:suppressLineNumbers w:val="0"/>
              <w:spacing w:before="0" w:beforeAutospacing="0" w:after="0" w:afterAutospacing="0" w:line="360" w:lineRule="auto"/>
              <w:ind w:left="0" w:right="0"/>
              <w:jc w:val="center"/>
              <w:rPr>
                <w:rFonts w:hint="eastAsia"/>
                <w:color w:val="auto"/>
                <w:sz w:val="24"/>
              </w:rPr>
            </w:pP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08996164">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0330C6BF">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开户名称</w:t>
            </w:r>
          </w:p>
        </w:tc>
        <w:tc>
          <w:tcPr>
            <w:tcW w:w="2167" w:type="dxa"/>
            <w:tcBorders>
              <w:top w:val="single" w:color="000000" w:sz="2" w:space="0"/>
              <w:left w:val="single" w:color="000000" w:sz="2" w:space="0"/>
              <w:bottom w:val="single" w:color="000000" w:sz="2" w:space="0"/>
            </w:tcBorders>
            <w:noWrap w:val="0"/>
            <w:vAlign w:val="center"/>
          </w:tcPr>
          <w:p w14:paraId="4C6A4D85">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621F67C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773C380F">
            <w:pPr>
              <w:keepNext w:val="0"/>
              <w:keepLines w:val="0"/>
              <w:suppressLineNumbers w:val="0"/>
              <w:spacing w:before="0" w:beforeAutospacing="0" w:after="0" w:afterAutospacing="0" w:line="360" w:lineRule="auto"/>
              <w:ind w:left="0" w:right="0"/>
              <w:jc w:val="center"/>
              <w:rPr>
                <w:rFonts w:hint="eastAsia"/>
                <w:color w:val="auto"/>
                <w:sz w:val="24"/>
              </w:rPr>
            </w:pP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7FA689DC">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44BD4C54">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开户银行</w:t>
            </w:r>
          </w:p>
        </w:tc>
        <w:tc>
          <w:tcPr>
            <w:tcW w:w="2167" w:type="dxa"/>
            <w:tcBorders>
              <w:top w:val="single" w:color="000000" w:sz="2" w:space="0"/>
              <w:left w:val="single" w:color="000000" w:sz="2" w:space="0"/>
              <w:bottom w:val="single" w:color="000000" w:sz="2" w:space="0"/>
            </w:tcBorders>
            <w:noWrap w:val="0"/>
            <w:vAlign w:val="center"/>
          </w:tcPr>
          <w:p w14:paraId="7A2E51D8">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3725F29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23" w:type="dxa"/>
            <w:tcBorders>
              <w:top w:val="single" w:color="000000" w:sz="2" w:space="0"/>
              <w:bottom w:val="single" w:color="000000" w:sz="2" w:space="0"/>
              <w:right w:val="single" w:color="000000" w:sz="2" w:space="0"/>
            </w:tcBorders>
            <w:noWrap w:val="0"/>
            <w:vAlign w:val="center"/>
          </w:tcPr>
          <w:p w14:paraId="35EA7A70">
            <w:pPr>
              <w:keepNext w:val="0"/>
              <w:keepLines w:val="0"/>
              <w:suppressLineNumbers w:val="0"/>
              <w:spacing w:before="0" w:beforeAutospacing="0" w:after="0" w:afterAutospacing="0" w:line="360" w:lineRule="auto"/>
              <w:ind w:left="0" w:right="0"/>
              <w:jc w:val="center"/>
              <w:rPr>
                <w:rFonts w:hint="eastAsia"/>
                <w:color w:val="auto"/>
                <w:sz w:val="24"/>
              </w:rPr>
            </w:pPr>
          </w:p>
        </w:tc>
        <w:tc>
          <w:tcPr>
            <w:tcW w:w="2464" w:type="dxa"/>
            <w:tcBorders>
              <w:top w:val="single" w:color="000000" w:sz="2" w:space="0"/>
              <w:left w:val="single" w:color="000000" w:sz="2" w:space="0"/>
              <w:bottom w:val="single" w:color="000000" w:sz="2" w:space="0"/>
              <w:right w:val="single" w:color="000000" w:sz="2" w:space="0"/>
            </w:tcBorders>
            <w:noWrap w:val="0"/>
            <w:vAlign w:val="center"/>
          </w:tcPr>
          <w:p w14:paraId="57412122">
            <w:pPr>
              <w:keepNext w:val="0"/>
              <w:keepLines w:val="0"/>
              <w:suppressLineNumbers w:val="0"/>
              <w:spacing w:before="0" w:beforeAutospacing="0" w:after="0" w:afterAutospacing="0" w:line="360" w:lineRule="auto"/>
              <w:ind w:left="0" w:right="0"/>
              <w:jc w:val="center"/>
              <w:rPr>
                <w:rFonts w:hint="eastAsia"/>
                <w:color w:val="auto"/>
                <w:sz w:val="24"/>
              </w:rPr>
            </w:pPr>
          </w:p>
        </w:tc>
        <w:tc>
          <w:tcPr>
            <w:tcW w:w="2092" w:type="dxa"/>
            <w:tcBorders>
              <w:top w:val="single" w:color="000000" w:sz="2" w:space="0"/>
              <w:left w:val="single" w:color="000000" w:sz="2" w:space="0"/>
              <w:bottom w:val="single" w:color="000000" w:sz="2" w:space="0"/>
              <w:right w:val="single" w:color="000000" w:sz="2" w:space="0"/>
            </w:tcBorders>
            <w:noWrap w:val="0"/>
            <w:vAlign w:val="center"/>
          </w:tcPr>
          <w:p w14:paraId="6CB96914">
            <w:pPr>
              <w:keepNext w:val="0"/>
              <w:keepLines w:val="0"/>
              <w:suppressLineNumbers w:val="0"/>
              <w:spacing w:before="0" w:beforeAutospacing="0" w:after="0" w:afterAutospacing="0" w:line="360" w:lineRule="auto"/>
              <w:ind w:left="0" w:right="0"/>
              <w:jc w:val="center"/>
              <w:rPr>
                <w:rFonts w:hint="eastAsia"/>
                <w:color w:val="auto"/>
                <w:sz w:val="24"/>
              </w:rPr>
            </w:pPr>
            <w:r>
              <w:rPr>
                <w:rFonts w:hint="eastAsia"/>
                <w:color w:val="auto"/>
                <w:sz w:val="24"/>
              </w:rPr>
              <w:t>银行账号</w:t>
            </w:r>
          </w:p>
        </w:tc>
        <w:tc>
          <w:tcPr>
            <w:tcW w:w="2167" w:type="dxa"/>
            <w:tcBorders>
              <w:top w:val="single" w:color="000000" w:sz="2" w:space="0"/>
              <w:left w:val="single" w:color="000000" w:sz="2" w:space="0"/>
              <w:bottom w:val="single" w:color="000000" w:sz="2" w:space="0"/>
            </w:tcBorders>
            <w:noWrap w:val="0"/>
            <w:vAlign w:val="center"/>
          </w:tcPr>
          <w:p w14:paraId="029FD88D">
            <w:pPr>
              <w:keepNext w:val="0"/>
              <w:keepLines w:val="0"/>
              <w:suppressLineNumbers w:val="0"/>
              <w:spacing w:before="0" w:beforeAutospacing="0" w:after="0" w:afterAutospacing="0" w:line="360" w:lineRule="auto"/>
              <w:ind w:left="0" w:right="0"/>
              <w:jc w:val="center"/>
              <w:rPr>
                <w:rFonts w:hint="eastAsia"/>
                <w:color w:val="auto"/>
                <w:spacing w:val="20"/>
                <w:sz w:val="24"/>
              </w:rPr>
            </w:pPr>
          </w:p>
        </w:tc>
      </w:tr>
      <w:tr w14:paraId="17B4EAC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8546" w:type="dxa"/>
            <w:gridSpan w:val="4"/>
            <w:tcBorders>
              <w:top w:val="single" w:color="000000" w:sz="2" w:space="0"/>
            </w:tcBorders>
            <w:noWrap w:val="0"/>
            <w:vAlign w:val="center"/>
          </w:tcPr>
          <w:p w14:paraId="585688B5">
            <w:pPr>
              <w:keepNext w:val="0"/>
              <w:keepLines w:val="0"/>
              <w:suppressLineNumbers w:val="0"/>
              <w:spacing w:before="0" w:beforeAutospacing="0" w:after="0" w:afterAutospacing="0" w:line="360" w:lineRule="auto"/>
              <w:ind w:left="0" w:right="0"/>
              <w:jc w:val="center"/>
              <w:rPr>
                <w:rFonts w:hint="eastAsia"/>
                <w:color w:val="auto"/>
                <w:spacing w:val="20"/>
                <w:sz w:val="24"/>
              </w:rPr>
            </w:pPr>
            <w:r>
              <w:rPr>
                <w:rFonts w:hint="eastAsia" w:ascii="宋体" w:hAnsi="宋体"/>
                <w:color w:val="auto"/>
                <w:sz w:val="24"/>
              </w:rPr>
              <w:t>注：涉及联合体或其他合同主体的信息应按上表格式加列。</w:t>
            </w:r>
          </w:p>
        </w:tc>
      </w:tr>
    </w:tbl>
    <w:p w14:paraId="6A8AEA53">
      <w:pPr>
        <w:pStyle w:val="224"/>
        <w:spacing w:before="156" w:afterAutospacing="0" w:line="400" w:lineRule="exact"/>
        <w:jc w:val="center"/>
        <w:rPr>
          <w:rFonts w:hint="default" w:ascii="黑体" w:hAnsi="黑体" w:eastAsia="黑体"/>
          <w:color w:val="auto"/>
          <w:sz w:val="28"/>
          <w:szCs w:val="28"/>
        </w:rPr>
      </w:pPr>
      <w:r>
        <w:rPr>
          <w:rFonts w:ascii="黑体" w:hAnsi="黑体" w:eastAsia="黑体"/>
          <w:b w:val="0"/>
          <w:bCs w:val="0"/>
          <w:color w:val="auto"/>
          <w:sz w:val="28"/>
          <w:szCs w:val="28"/>
        </w:rPr>
        <w:br w:type="page" w:clear="all"/>
      </w:r>
      <w:r>
        <w:rPr>
          <w:rFonts w:ascii="黑体" w:hAnsi="黑体" w:eastAsia="黑体"/>
          <w:b w:val="0"/>
          <w:bCs w:val="0"/>
          <w:color w:val="auto"/>
          <w:sz w:val="28"/>
          <w:szCs w:val="28"/>
        </w:rPr>
        <w:t>第二节 政府采购合同通用条款</w:t>
      </w:r>
      <w:bookmarkEnd w:id="163"/>
    </w:p>
    <w:p w14:paraId="2513F50D">
      <w:pPr>
        <w:keepNext w:val="0"/>
        <w:keepLines w:val="0"/>
        <w:pageBreakBefore w:val="0"/>
        <w:widowControl w:val="0"/>
        <w:spacing w:line="40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rPr>
        <w:t>1.</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定义</w:t>
      </w:r>
    </w:p>
    <w:p w14:paraId="70B9521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1.1合同当事人</w:t>
      </w:r>
    </w:p>
    <w:p w14:paraId="096524AD">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（1）采购人（以下称甲方）是指使用财政性资金，通过政府采购方式向供应商购买货物及其相关服务的国家机关、事业单位、团体组织。</w:t>
      </w:r>
    </w:p>
    <w:p w14:paraId="3F30B76F">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（2）供应商（以下称乙方）是指参加政府采购活动并且中标（成交），向采购人提供合同约定的货物及其相关服务的法人、非法人组织或者自然人。</w:t>
      </w:r>
    </w:p>
    <w:p w14:paraId="31B951F0">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（3）其他合同主体是指除采购人和供应商以外，依法参与合同缔结或履行，享有权利、承担义务的合同当事人。</w:t>
      </w:r>
    </w:p>
    <w:p w14:paraId="62A80DEE">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1.2本合同下列术语应解释为：</w:t>
      </w:r>
    </w:p>
    <w:p w14:paraId="25AAE38E">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19AFE096">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（2）“合同价款”系指根据本合同规定乙方在全面履行合同义务后甲方应支付给乙方的价款。</w:t>
      </w:r>
    </w:p>
    <w:p w14:paraId="7476EE19">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0"/>
        </w:rPr>
        <w:t>其他</w:t>
      </w:r>
      <w:r>
        <w:rPr>
          <w:rFonts w:hint="eastAsia" w:ascii="宋体" w:hAnsi="宋体" w:eastAsia="宋体" w:cs="宋体"/>
          <w:color w:val="auto"/>
          <w:sz w:val="24"/>
          <w:szCs w:val="20"/>
          <w:lang w:val="zh-CN"/>
        </w:rPr>
        <w:t>技术资料和材料等。</w:t>
      </w:r>
    </w:p>
    <w:p w14:paraId="6608E5C9">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（4）“相关服务”系指根据合同规定，乙方应提供的与货物有关的技术、管理和</w:t>
      </w:r>
      <w:r>
        <w:rPr>
          <w:rFonts w:hint="eastAsia" w:ascii="宋体" w:hAnsi="宋体" w:eastAsia="宋体" w:cs="宋体"/>
          <w:color w:val="auto"/>
          <w:sz w:val="24"/>
          <w:szCs w:val="20"/>
        </w:rPr>
        <w:t>其他</w:t>
      </w:r>
      <w:r>
        <w:rPr>
          <w:rFonts w:hint="eastAsia" w:ascii="宋体" w:hAnsi="宋体" w:eastAsia="宋体" w:cs="宋体"/>
          <w:color w:val="auto"/>
          <w:sz w:val="24"/>
          <w:szCs w:val="20"/>
          <w:lang w:val="zh-CN"/>
        </w:rPr>
        <w:t>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0"/>
        </w:rPr>
        <w:t>其他</w:t>
      </w:r>
      <w:r>
        <w:rPr>
          <w:rFonts w:hint="eastAsia" w:ascii="宋体" w:hAnsi="宋体" w:eastAsia="宋体" w:cs="宋体"/>
          <w:color w:val="auto"/>
          <w:sz w:val="24"/>
          <w:szCs w:val="20"/>
          <w:lang w:val="zh-CN"/>
        </w:rPr>
        <w:t>义务。</w:t>
      </w:r>
    </w:p>
    <w:p w14:paraId="661502E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（5）“分包”系指中标（成交）供应商按采购文件、投标（响应）文件的规定，根据分包意向协议，将中标（成交）项目中的部分履约内容，分给具有相应资质条件的供应商履行合同的行为。</w:t>
      </w:r>
    </w:p>
    <w:p w14:paraId="55F5B0E5">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w:t>
      </w:r>
    </w:p>
    <w:p w14:paraId="48C3EBD6">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（7）其他术语解释，见</w:t>
      </w:r>
      <w:r>
        <w:rPr>
          <w:rFonts w:hint="eastAsia" w:ascii="宋体" w:hAnsi="宋体" w:eastAsia="宋体" w:cs="宋体"/>
          <w:b/>
          <w:bCs/>
          <w:color w:val="auto"/>
          <w:sz w:val="24"/>
          <w:szCs w:val="20"/>
          <w:lang w:val="zh-CN"/>
        </w:rPr>
        <w:t>【政府采购合同专用条款】</w:t>
      </w:r>
      <w:r>
        <w:rPr>
          <w:rFonts w:hint="eastAsia" w:ascii="宋体" w:hAnsi="宋体" w:eastAsia="宋体" w:cs="宋体"/>
          <w:b w:val="0"/>
          <w:bCs w:val="0"/>
          <w:color w:val="auto"/>
          <w:sz w:val="24"/>
          <w:szCs w:val="20"/>
          <w:lang w:val="zh-CN"/>
        </w:rPr>
        <w:t>。</w:t>
      </w:r>
    </w:p>
    <w:p w14:paraId="0897BEA4">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2.</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合同标的及金额</w:t>
      </w:r>
    </w:p>
    <w:p w14:paraId="7C4E382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2.1 合同标的及金额应与中标（成交）结果一致。乙方为履行本合同而发生的所有费用均应包含在合同价款中，甲方不再另行支付其他任何费用。</w:t>
      </w:r>
    </w:p>
    <w:p w14:paraId="60FB9A7A">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3.</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履行合同的时间、地点和方式</w:t>
      </w:r>
    </w:p>
    <w:p w14:paraId="2645B46A">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3.1 乙方应当在约定的时间、地点，按照约定方式履行合同。</w:t>
      </w:r>
    </w:p>
    <w:p w14:paraId="085D4D5A">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4.</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甲方的权利和义务</w:t>
      </w:r>
    </w:p>
    <w:p w14:paraId="024B9581">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4.1 签署合同后，甲方应确定项目负责人（或项目联系人），负责与本合同有关的事务。甲方有权对乙方的履约行为进行检查，并及时确认乙方提交的事项。甲方应当配合乙方完成相关项目实施工作。</w:t>
      </w:r>
    </w:p>
    <w:p w14:paraId="1FB47ED9">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4.2 甲方有权要求乙方按时提交各阶段有关安排计划，并有权定期核对乙方提供货物数量、规格、质量等内容。甲方有权督促乙方工作并要求乙方更换不符合要求的货物。</w:t>
      </w:r>
    </w:p>
    <w:p w14:paraId="12350A16">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4.3 甲方有权要求乙方对缺陷部分予以修复，并按合同约定享有货物保修及其他合同约定的权利。</w:t>
      </w:r>
    </w:p>
    <w:p w14:paraId="4B0E61BF">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4.4 甲方应当按照合同约定及时对交付的货物进行验收，未在【</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】约定的期限内对乙方履约提出任何异议或者向乙方作出任何说明的，视为验收通过。</w:t>
      </w:r>
    </w:p>
    <w:p w14:paraId="0EEEF74D">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4.5 甲方应当根据合同约定及时向乙方支付合同价款，不得以内部人员变更、履行内部付款流程等为由，拒绝或迟延支付。</w:t>
      </w:r>
    </w:p>
    <w:p w14:paraId="3872333A">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4.6 国家法律法规规定及【</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】约定应由甲方承担的其他义务和责任。</w:t>
      </w:r>
    </w:p>
    <w:p w14:paraId="70C197FA">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5.</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乙方的权利和义务</w:t>
      </w:r>
    </w:p>
    <w:p w14:paraId="3567EAA0">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5.1 签署合同后，乙方应确定项目负责人（或项目联系人），负责与本合同有关的事务。</w:t>
      </w:r>
    </w:p>
    <w:p w14:paraId="40062ADE">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C385AA4">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5.3乙方有权根据合同约定向甲方收取合同价款。</w:t>
      </w:r>
    </w:p>
    <w:p w14:paraId="47F43874">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5.4国家法律法规规定及【</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】约定应由乙方承担的其他义务和责任。</w:t>
      </w:r>
    </w:p>
    <w:p w14:paraId="4932CF23">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6.</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合同履行</w:t>
      </w:r>
    </w:p>
    <w:p w14:paraId="05B541C9">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6.1 甲乙双方应当按照【</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】约定顺序履行合同义务；如果没有先后顺序的，应当同时履行。</w:t>
      </w:r>
    </w:p>
    <w:p w14:paraId="6DD05DAD">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6.2 甲乙双方按照合同约定顺序履行合同义务时，应当先履行一方未履行的，后履行一方有权拒绝其履行请求。先履行一方履行不符合约定的，后履行一方有权拒绝其相应的履行请求。</w:t>
      </w:r>
    </w:p>
    <w:p w14:paraId="571B58D1">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7.</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货物包装、运输、保险和交付要求</w:t>
      </w:r>
    </w:p>
    <w:p w14:paraId="050BCA44">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7.1 本合同涉及商品包装、快递包装的，除【</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】另有约定外，包装应适应远距离运输、防潮、防震、防锈和防野蛮装卸等要求，确保货物安全无损地运抵【</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约定的指定现场。</w:t>
      </w:r>
    </w:p>
    <w:p w14:paraId="0403B91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7.2 除【</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】另有约定外，乙方负责办理将货物运抵本合同规定的交货地点，并装卸、交付至甲方的一切运输事项，相关费用应包含在合同价款中。</w:t>
      </w:r>
    </w:p>
    <w:p w14:paraId="5B872851">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7.3 货物保险要求按【</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】规定执行。</w:t>
      </w:r>
    </w:p>
    <w:p w14:paraId="58A412A4">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0B6E57D">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7.5 乙方在运输到达之前应提前通知甲方，并提示货物运输装卸的注意事项，甲方配合乙方做好货物的接收工作。</w:t>
      </w:r>
    </w:p>
    <w:p w14:paraId="771B32DC">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7.6 如因包装、运输问题导致货物损毁、丢失或者品质下降，甲方有权要求降价、换货、拒收部分或整批货物，由此产生的费用和损失，均由乙方承担。</w:t>
      </w:r>
    </w:p>
    <w:p w14:paraId="524EC960">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8.</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质量标准和保证</w:t>
      </w:r>
    </w:p>
    <w:p w14:paraId="353455C8">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8.1 质量标准</w:t>
      </w:r>
    </w:p>
    <w:p w14:paraId="6AE88E06">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D1EDD46">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（2）采用中华人民共和国法定计量单位。</w:t>
      </w:r>
    </w:p>
    <w:p w14:paraId="5946B2BE">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（3）乙方所提供的货物应符合国家有关安全、环保、卫生的规定。</w:t>
      </w:r>
    </w:p>
    <w:p w14:paraId="10A159B6">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（4）乙方应向甲方提交所提供货物的技术文件，包括相应的中文技术文件，如：产品目录、图纸、操作手册、使用说明、维护手册或服务指南等。上述文件应包装好随货物一同发运。</w:t>
      </w:r>
    </w:p>
    <w:p w14:paraId="2787833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8.2 保证</w:t>
      </w:r>
    </w:p>
    <w:p w14:paraId="008A5D96">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】规定或乙方书面承诺（两者以较长的为准）的质量保证期内，本保证保持有效。</w:t>
      </w:r>
    </w:p>
    <w:p w14:paraId="05A56AC5">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（2）在质量保证期内所发现的缺陷，甲方应尽快以书面形式通知乙方。</w:t>
      </w:r>
    </w:p>
    <w:p w14:paraId="3ED874F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（3）乙方收到通知后，应在【</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】规定的响应时间内以合理的速度免费维修或更换有缺陷的货物或部件。</w:t>
      </w:r>
    </w:p>
    <w:p w14:paraId="350A4902">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（4）在质量保证期内，如果货物的质量或规格与合同不符，或证实货物是有缺陷的，包括潜在的缺陷或使用不符合要求的材料等，甲方可以根据本合同第15.1条规定以书面形式追究乙方的违约责任。</w:t>
      </w:r>
    </w:p>
    <w:p w14:paraId="3E965460">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（5）乙方在约定的时间内未能弥补缺陷，甲方可采取必要的补救措施，但其风险和费用将由乙方承担，甲方根据合同约定对乙方行使的其他权利不受影响。</w:t>
      </w:r>
    </w:p>
    <w:p w14:paraId="3E616DA1">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9. 权利瑕疵担保</w:t>
      </w:r>
    </w:p>
    <w:p w14:paraId="612684DF">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9.1 乙方保证对其出售的货物享有合法的权利。</w:t>
      </w:r>
    </w:p>
    <w:p w14:paraId="413D48C4">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9.2 乙方保证在交付的货物上不存在抵押权等担保物权。</w:t>
      </w:r>
    </w:p>
    <w:p w14:paraId="6DEB5132">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9.3 如甲方使用上述货物构成对第三人侵权的，则由乙方承担全部责任。</w:t>
      </w:r>
    </w:p>
    <w:p w14:paraId="09768774">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10. 知识产权保护</w:t>
      </w:r>
    </w:p>
    <w:p w14:paraId="2BBACAD4">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10.1 乙方对其所销售的货物应当享有知识产权或经权利人合法授权，保证没有侵犯任何第三人的知识产权等权利。</w:t>
      </w:r>
      <w:bookmarkStart w:id="164" w:name="_Hlk163047038"/>
      <w:r>
        <w:rPr>
          <w:rFonts w:hint="eastAsia" w:ascii="宋体" w:hAnsi="宋体" w:eastAsia="宋体" w:cs="宋体"/>
          <w:color w:val="auto"/>
          <w:sz w:val="24"/>
          <w:szCs w:val="20"/>
          <w:lang w:val="zh-CN"/>
        </w:rPr>
        <w:t>因违反前述约定对第三人构成侵权的，应当由乙方向第三人承担法律责任；甲方依法向第三人赔偿后，有权向乙方追偿。甲方有其他损失的，乙方应当赔偿</w:t>
      </w:r>
      <w:bookmarkEnd w:id="164"/>
      <w:r>
        <w:rPr>
          <w:rFonts w:hint="eastAsia" w:ascii="宋体" w:hAnsi="宋体" w:eastAsia="宋体" w:cs="宋体"/>
          <w:color w:val="auto"/>
          <w:sz w:val="24"/>
          <w:szCs w:val="20"/>
          <w:lang w:val="zh-CN"/>
        </w:rPr>
        <w:t>。</w:t>
      </w:r>
    </w:p>
    <w:p w14:paraId="1BDA86E4">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11. 保密义务</w:t>
      </w:r>
    </w:p>
    <w:p w14:paraId="7C4FE565">
      <w:pPr>
        <w:keepNext w:val="0"/>
        <w:keepLines w:val="0"/>
        <w:pageBreakBefore w:val="0"/>
        <w:widowControl w:val="0"/>
        <w:spacing w:line="560" w:lineRule="exact"/>
        <w:ind w:firstLine="482"/>
        <w:jc w:val="left"/>
        <w:rPr>
          <w:rFonts w:ascii="宋体" w:hAnsi="宋体" w:cs="宋体"/>
          <w:color w:val="auto"/>
          <w:sz w:val="24"/>
          <w:szCs w:val="20"/>
          <w:lang w:val="zh-CN"/>
        </w:rPr>
      </w:pPr>
      <w:r>
        <w:rPr>
          <w:rFonts w:hint="eastAsia" w:ascii="宋体" w:hAnsi="宋体" w:eastAsia="宋体" w:cs="宋体"/>
          <w:color w:val="auto"/>
          <w:sz w:val="24"/>
          <w:szCs w:val="20"/>
          <w:lang w:val="zh-CN"/>
        </w:rPr>
        <w:t>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color w:val="auto"/>
          <w:sz w:val="24"/>
          <w:szCs w:val="20"/>
          <w:lang w:val="zh-CN"/>
        </w:rPr>
        <w:t>【</w:t>
      </w:r>
      <w:r>
        <w:rPr>
          <w:rFonts w:hint="eastAsia" w:ascii="宋体" w:hAnsi="宋体" w:cs="宋体"/>
          <w:b/>
          <w:bCs/>
          <w:color w:val="auto"/>
          <w:sz w:val="24"/>
          <w:szCs w:val="20"/>
          <w:lang w:val="zh-CN"/>
        </w:rPr>
        <w:t>政府采购合同专用条款</w:t>
      </w:r>
      <w:r>
        <w:rPr>
          <w:rFonts w:hint="eastAsia" w:ascii="宋体" w:hAnsi="宋体" w:cs="宋体"/>
          <w:color w:val="auto"/>
          <w:sz w:val="24"/>
          <w:szCs w:val="20"/>
          <w:lang w:val="zh-CN"/>
        </w:rPr>
        <w:t>】中约定。</w:t>
      </w:r>
    </w:p>
    <w:p w14:paraId="05098B02">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12. 合同价款支付</w:t>
      </w:r>
    </w:p>
    <w:p w14:paraId="2D06C7E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12.1 合同价款支付按照国库集中支付制度及财政管理相关规定执行。</w:t>
      </w:r>
    </w:p>
    <w:p w14:paraId="6F15422E">
      <w:pPr>
        <w:keepNext w:val="0"/>
        <w:keepLines w:val="0"/>
        <w:pageBreakBefore w:val="0"/>
        <w:widowControl w:val="0"/>
        <w:spacing w:line="560" w:lineRule="exact"/>
        <w:ind w:firstLine="482"/>
        <w:jc w:val="left"/>
        <w:rPr>
          <w:rFonts w:hint="eastAsia" w:ascii="宋体" w:hAnsi="宋体" w:eastAsia="Arial" w:cs="宋体"/>
          <w:color w:val="auto"/>
          <w:sz w:val="24"/>
          <w:szCs w:val="20"/>
          <w:lang w:val="zh-CN"/>
        </w:rPr>
      </w:pPr>
      <w:r>
        <w:rPr>
          <w:rFonts w:hint="eastAsia" w:ascii="宋体" w:hAnsi="宋体" w:eastAsia="宋体" w:cs="宋体"/>
          <w:color w:val="auto"/>
          <w:sz w:val="24"/>
          <w:szCs w:val="20"/>
          <w:lang w:val="zh-CN"/>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Arial" w:cs="宋体"/>
          <w:color w:val="auto"/>
          <w:sz w:val="24"/>
          <w:szCs w:val="20"/>
          <w:lang w:val="zh-CN"/>
        </w:rPr>
        <w:t>【</w:t>
      </w:r>
      <w:r>
        <w:rPr>
          <w:rFonts w:hint="eastAsia" w:ascii="宋体" w:hAnsi="宋体" w:eastAsia="Arial" w:cs="宋体"/>
          <w:b/>
          <w:bCs/>
          <w:color w:val="auto"/>
          <w:sz w:val="24"/>
          <w:szCs w:val="20"/>
          <w:lang w:val="zh-CN"/>
        </w:rPr>
        <w:t>政府采购合同专用条款</w:t>
      </w:r>
      <w:r>
        <w:rPr>
          <w:rFonts w:hint="eastAsia" w:ascii="宋体" w:hAnsi="宋体" w:eastAsia="Arial" w:cs="宋体"/>
          <w:color w:val="auto"/>
          <w:sz w:val="24"/>
          <w:szCs w:val="20"/>
          <w:lang w:val="zh-CN"/>
        </w:rPr>
        <w:t>】中约定。</w:t>
      </w:r>
    </w:p>
    <w:p w14:paraId="339F5F11">
      <w:pPr>
        <w:keepNext w:val="0"/>
        <w:keepLines w:val="0"/>
        <w:pageBreakBefore w:val="0"/>
        <w:widowControl w:val="0"/>
        <w:spacing w:line="520" w:lineRule="exact"/>
        <w:ind w:firstLine="480"/>
        <w:rPr>
          <w:rFonts w:hint="eastAsia" w:ascii="宋体" w:hAnsi="宋体" w:eastAsia="Arial" w:cs="宋体"/>
          <w:b/>
          <w:bCs/>
          <w:color w:val="auto"/>
          <w:sz w:val="24"/>
          <w:szCs w:val="20"/>
          <w:lang w:val="zh-CN"/>
        </w:rPr>
      </w:pPr>
      <w:r>
        <w:rPr>
          <w:rFonts w:hint="eastAsia" w:ascii="宋体" w:hAnsi="宋体" w:eastAsia="Arial" w:cs="宋体"/>
          <w:b/>
          <w:bCs/>
          <w:color w:val="auto"/>
          <w:sz w:val="24"/>
          <w:szCs w:val="20"/>
          <w:lang w:val="zh-CN"/>
        </w:rPr>
        <w:t>13. 履约保证金</w:t>
      </w:r>
    </w:p>
    <w:p w14:paraId="46A9FE7C">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13.1 乙方应当以支票、汇票、本票或者金融机构、担保机构出具的保函等非现金形式提交。</w:t>
      </w:r>
    </w:p>
    <w:p w14:paraId="780A0D6C">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13.2 如果乙方出现【</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】约定情形的，履约保证金不予退还；如果乙方未能按合同约定全面履行义务，甲方有权从履约保证金中取得补偿或赔偿，且不影响甲方要求乙方承担合同约定的超过履约保证金的违约责任的权利。</w:t>
      </w:r>
    </w:p>
    <w:p w14:paraId="21138E6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13.3 甲方在项目通过验收后按照【</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】规定的时间内将履约保证金退还乙方；逾期退还的，乙方可要求甲方支付违约金，违约金按照【</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】规定支付。</w:t>
      </w:r>
    </w:p>
    <w:p w14:paraId="28440B6A">
      <w:pPr>
        <w:keepNext w:val="0"/>
        <w:keepLines w:val="0"/>
        <w:pageBreakBefore w:val="0"/>
        <w:widowControl w:val="0"/>
        <w:spacing w:line="520" w:lineRule="exact"/>
        <w:ind w:firstLine="480"/>
        <w:rPr>
          <w:rFonts w:ascii="宋体" w:hAnsi="宋体" w:cs="宋体"/>
          <w:b/>
          <w:bCs/>
          <w:color w:val="auto"/>
          <w:sz w:val="24"/>
          <w:szCs w:val="20"/>
          <w:lang w:val="zh-CN"/>
        </w:rPr>
      </w:pPr>
      <w:r>
        <w:rPr>
          <w:rFonts w:hint="eastAsia" w:ascii="宋体" w:hAnsi="宋体" w:cs="宋体"/>
          <w:b/>
          <w:bCs/>
          <w:color w:val="auto"/>
          <w:sz w:val="24"/>
          <w:szCs w:val="20"/>
          <w:lang w:val="zh-CN"/>
        </w:rPr>
        <w:t>14. 售后服务</w:t>
      </w:r>
    </w:p>
    <w:p w14:paraId="5A3A17B0">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14.1 除项目不涉及或采购活动中明确约定无须承担外，乙方还应提供下列服务：</w:t>
      </w:r>
    </w:p>
    <w:p w14:paraId="58958FB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（1）货物的现场移动、安装、调试、启动监督及技术支持；</w:t>
      </w:r>
    </w:p>
    <w:p w14:paraId="5B8476C4">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（2）提供货物组装和维修所需的专用工具和辅助材料；</w:t>
      </w:r>
    </w:p>
    <w:p w14:paraId="0BDE9F8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（3）在【</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】约定的期限内对所有的货物实施运行监督、维修，但前提条件是该服务并不能免除乙方在质量保证期内所承担的义务；</w:t>
      </w:r>
    </w:p>
    <w:p w14:paraId="66CEBB43">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（4）在制造商所在地或指定现场就货物的安装、启动、运营、维护、废弃处置等对甲方操作人员进行培训；</w:t>
      </w:r>
    </w:p>
    <w:p w14:paraId="1F87FA6C">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（5）依照法律、行政法规的规定或者按照【</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】约定，货物在有效使用年限届满后应予回收的，乙方负有自行或者委托第三人对货物予以回收的义务；</w:t>
      </w:r>
    </w:p>
    <w:p w14:paraId="559A0C68">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（6）</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】规定由乙方提供的其他服务。</w:t>
      </w:r>
    </w:p>
    <w:p w14:paraId="77FB4572">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14.2 乙方提供的售后服务的费用已包含在合同价款中，甲方不再另行支付。</w:t>
      </w:r>
    </w:p>
    <w:p w14:paraId="4E1354DC">
      <w:pPr>
        <w:keepNext w:val="0"/>
        <w:keepLines w:val="0"/>
        <w:pageBreakBefore w:val="0"/>
        <w:widowControl w:val="0"/>
        <w:spacing w:line="560" w:lineRule="exact"/>
        <w:ind w:firstLine="482"/>
        <w:jc w:val="left"/>
        <w:rPr>
          <w:rFonts w:hint="eastAsia" w:ascii="宋体" w:hAnsi="宋体" w:eastAsia="宋体" w:cs="宋体"/>
          <w:b w:val="0"/>
          <w:bCs w:val="0"/>
          <w:color w:val="auto"/>
          <w:sz w:val="24"/>
          <w:szCs w:val="20"/>
          <w:lang w:val="zh-CN"/>
        </w:rPr>
      </w:pPr>
      <w:r>
        <w:rPr>
          <w:rFonts w:hint="eastAsia" w:ascii="宋体" w:hAnsi="宋体" w:eastAsia="宋体" w:cs="宋体"/>
          <w:b w:val="0"/>
          <w:bCs w:val="0"/>
          <w:color w:val="auto"/>
          <w:sz w:val="24"/>
          <w:szCs w:val="20"/>
          <w:lang w:val="zh-CN"/>
        </w:rPr>
        <w:t>15. 违约责任</w:t>
      </w:r>
    </w:p>
    <w:p w14:paraId="5D56D0C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15.1质量瑕疵的违约责任</w:t>
      </w:r>
    </w:p>
    <w:p w14:paraId="1CB1A66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乙方提供的产品不符合合同约定的质量标准或存在产品质量缺陷，甲方有权要求乙方根据【</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】要求及时修理、重作、更换，并承担由此给甲方造成的损失。</w:t>
      </w:r>
    </w:p>
    <w:p w14:paraId="1374B98F">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15.2 迟延交货的违约责任</w:t>
      </w:r>
    </w:p>
    <w:p w14:paraId="6D7F5DA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86C147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（2）如果乙方没有按照合同规定的时间交货和提供相关服务，甲方有权从货款中扣除误期赔偿费而不影响合同项下的其他补救方法，赔偿费按【</w:t>
      </w:r>
      <w:r>
        <w:rPr>
          <w:rFonts w:hint="eastAsia" w:ascii="宋体" w:hAnsi="宋体" w:eastAsia="宋体" w:cs="宋体"/>
          <w:b w:val="0"/>
          <w:bCs w:val="0"/>
          <w:color w:val="auto"/>
          <w:sz w:val="24"/>
          <w:szCs w:val="20"/>
          <w:lang w:val="zh-CN"/>
        </w:rPr>
        <w:t>政府采购合同专用条款</w:t>
      </w:r>
      <w:r>
        <w:rPr>
          <w:rFonts w:hint="eastAsia" w:ascii="宋体" w:hAnsi="宋体" w:eastAsia="宋体" w:cs="宋体"/>
          <w:color w:val="auto"/>
          <w:sz w:val="24"/>
          <w:szCs w:val="20"/>
          <w:lang w:val="zh-CN"/>
        </w:rPr>
        <w:t>】规定执行。如果涉及公共利益，且赔偿金额无法弥补公共利益损失，甲方可要求继续履行或者采取其他补救措施。</w:t>
      </w:r>
    </w:p>
    <w:p w14:paraId="212D43E4">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15.3 迟延支付的违约责任</w:t>
      </w:r>
    </w:p>
    <w:p w14:paraId="24393C5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甲方存在迟延支付乙方合同款项的，应当承担【</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】规定的逾期付款利息。</w:t>
      </w:r>
    </w:p>
    <w:p w14:paraId="1AC95D99">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15.4其他违约责任根据项目实际需要按【</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】规定执行。</w:t>
      </w:r>
    </w:p>
    <w:p w14:paraId="6107F554">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16.合同变更、中止与终止</w:t>
      </w:r>
    </w:p>
    <w:p w14:paraId="283298E8">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16.1合同的变更</w:t>
      </w:r>
    </w:p>
    <w:p w14:paraId="7BDE5A11">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政府采购合同履行中，在不改变合同其他条款的前提下，甲方可以在合同价款10%的范围内追加与合同标的相同的货物，并就此与乙方协商一致后签订补充协议。</w:t>
      </w:r>
    </w:p>
    <w:p w14:paraId="7DD583D8">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16.2合同的中止</w:t>
      </w:r>
    </w:p>
    <w:p w14:paraId="6DA178A2">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（1）合同履行过程中因供应商就采购文件、采购过程或结果提起投诉的，甲方认为有必要的，可以中止合同的履行。</w:t>
      </w:r>
    </w:p>
    <w:p w14:paraId="269B7B2F">
      <w:pPr>
        <w:keepNext w:val="0"/>
        <w:keepLines w:val="0"/>
        <w:pageBreakBefore w:val="0"/>
        <w:widowControl w:val="0"/>
        <w:spacing w:line="560" w:lineRule="exact"/>
        <w:ind w:left="0"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2313E1C">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（3）乙方分立、合并或者变更住所的，应当及时以书面形式告知甲方。乙方没有及时告知甲方，致使合同履行发生困难的，甲方可以中止合同履行并要求乙方承担由此给甲方造成的损失。</w:t>
      </w:r>
    </w:p>
    <w:p w14:paraId="31153C38">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（4）甲方不得以行政区划调整、政府换届、机构或者职能调整以及相关责任人更替为由中止合同。</w:t>
      </w:r>
    </w:p>
    <w:p w14:paraId="2D178123">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16.3合同的终止</w:t>
      </w:r>
    </w:p>
    <w:p w14:paraId="30221E8A">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（1）合同因有效期限届满而终止；</w:t>
      </w:r>
    </w:p>
    <w:p w14:paraId="1D5E8623">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（2）乙方未按合同约定履行，构成根本性违约的，甲方有权终止合同，并追究乙方的违约责任。</w:t>
      </w:r>
    </w:p>
    <w:p w14:paraId="4DFA8F3C">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16.4 涉及国家利益、社会公共利益的情形</w:t>
      </w:r>
    </w:p>
    <w:p w14:paraId="6599D28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政府采购合同继续履行将损害国家利益和社会公共利益的，双方当事人应当变更、中止或者终止合同。有过错的一方应当承担赔偿责任，双方都有过错的，各自承担相应的责任。</w:t>
      </w:r>
    </w:p>
    <w:p w14:paraId="560AB9DA">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17. 合同分包</w:t>
      </w:r>
    </w:p>
    <w:p w14:paraId="377C0EE1">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17.1 乙方不得将合同转包给其他供应商。涉及合同分包的，乙方应根据采购文件和投标（响应）文件规定进行合同分包。</w:t>
      </w:r>
    </w:p>
    <w:p w14:paraId="4E47E70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17.2 乙方执行政府采购政策向中小企业依法分包的，乙方应当按采购文件和投标（响应）文件签订分包意向协议，分包意向协议属于本合同组成部分。</w:t>
      </w:r>
    </w:p>
    <w:p w14:paraId="5C5A0D92">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18. 不可抗力</w:t>
      </w:r>
    </w:p>
    <w:p w14:paraId="003AB63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18.1 不可抗力是指合同双方不能预见、不能避免且不能克服的客观情况。</w:t>
      </w:r>
    </w:p>
    <w:p w14:paraId="272FB67C">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18.2 任何一方对由于不可抗力造成的部分或全部不能履行合同不承担违约责任。但迟延履行后发生不可抗力的，不能免除责任。</w:t>
      </w:r>
    </w:p>
    <w:p w14:paraId="6C4A31DA">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71F0410">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19. 解决争议的方法</w:t>
      </w:r>
    </w:p>
    <w:p w14:paraId="7020650B">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19.1 因本合同及合同有关事项发生的争议，由甲乙双方友好协商解决。协商不成时，可以向有关组织申请调解。合同一方或双方不愿调解或调解不成的，可以通过仲裁或诉讼的方式解决争议。</w:t>
      </w:r>
    </w:p>
    <w:p w14:paraId="7F8E1F4F">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19.2 选择仲裁的，应在【</w:t>
      </w:r>
      <w:r>
        <w:rPr>
          <w:rFonts w:hint="eastAsia" w:ascii="宋体" w:hAnsi="宋体" w:eastAsia="宋体" w:cs="宋体"/>
          <w:b w:val="0"/>
          <w:bCs w:val="0"/>
          <w:color w:val="auto"/>
          <w:sz w:val="24"/>
          <w:szCs w:val="20"/>
          <w:lang w:val="zh-CN"/>
        </w:rPr>
        <w:t>政府采购合同专用条款</w:t>
      </w:r>
      <w:r>
        <w:rPr>
          <w:rFonts w:hint="eastAsia" w:ascii="宋体" w:hAnsi="宋体" w:eastAsia="宋体" w:cs="宋体"/>
          <w:color w:val="auto"/>
          <w:sz w:val="24"/>
          <w:szCs w:val="20"/>
          <w:lang w:val="zh-CN"/>
        </w:rPr>
        <w:t>】中明确仲裁机构及仲裁地；通过诉讼方式解决的，可以在【</w:t>
      </w:r>
      <w:r>
        <w:rPr>
          <w:rFonts w:hint="eastAsia" w:ascii="宋体" w:hAnsi="宋体" w:eastAsia="宋体" w:cs="宋体"/>
          <w:b w:val="0"/>
          <w:bCs w:val="0"/>
          <w:color w:val="auto"/>
          <w:sz w:val="24"/>
          <w:szCs w:val="20"/>
          <w:lang w:val="zh-CN"/>
        </w:rPr>
        <w:t>政府采购合同专用条款</w:t>
      </w:r>
      <w:r>
        <w:rPr>
          <w:rFonts w:hint="eastAsia" w:ascii="宋体" w:hAnsi="宋体" w:eastAsia="宋体" w:cs="宋体"/>
          <w:color w:val="auto"/>
          <w:sz w:val="24"/>
          <w:szCs w:val="20"/>
          <w:lang w:val="zh-CN"/>
        </w:rPr>
        <w:t>】中进一步约定选择与争议有实际联系的地点的人民法院管辖，但管辖法院的约定不得违反级别管辖和专属管辖的规定。</w:t>
      </w:r>
    </w:p>
    <w:p w14:paraId="60EA0C5F">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19.3 如甲乙双方有争议的事项不影响合同其他部分的履行，在争议解决期间，合同其他部分应当继续履行。</w:t>
      </w:r>
    </w:p>
    <w:p w14:paraId="0E28B811">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20. 政府采购政策</w:t>
      </w:r>
    </w:p>
    <w:p w14:paraId="4569A8B7">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20.1 本合同应当按照规定执行政府采购政策。</w:t>
      </w:r>
    </w:p>
    <w:p w14:paraId="6C12EC9D">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152336C0">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CC9CDC7">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21. 法律适用</w:t>
      </w:r>
    </w:p>
    <w:p w14:paraId="242DA359">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21.1 本合同的订立、生效、解释、履行及与本合同有关的争议解决，均适用法律、行政法规。</w:t>
      </w:r>
    </w:p>
    <w:p w14:paraId="375E1D1F">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21.2 本合同条款与法律、行政法规的强制性规定不一致的，双方当事人应按照法律、行政法规的强制性规定修改本合同的相关条款。</w:t>
      </w:r>
    </w:p>
    <w:p w14:paraId="5EF37F2E">
      <w:pPr>
        <w:keepNext w:val="0"/>
        <w:keepLines w:val="0"/>
        <w:pageBreakBefore w:val="0"/>
        <w:widowControl w:val="0"/>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22. 通知</w:t>
      </w:r>
    </w:p>
    <w:p w14:paraId="735B03D1">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22.1 本合同任何一方向对方发出的通知、信件、数据电文等，应当发送至本合同第一部分《政府采购合同协议书》所约定的通讯地址、联系人、联系电话或电子邮箱。</w:t>
      </w:r>
    </w:p>
    <w:p w14:paraId="490E7435">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22.2 一方当事人变更名称、住所、联系人、联系电话或电子邮箱等信息的，应当在变更后3日内及时书面通知对方，对方实际收到变更通知前的送达仍为有效送达。</w:t>
      </w:r>
    </w:p>
    <w:p w14:paraId="6786ABC1">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22.3本合同一方给另一方的通知均应采用书面形式，传真或快递送到本合同中规定的对方的地址和办理签收手续。</w:t>
      </w:r>
    </w:p>
    <w:p w14:paraId="7FB2FA68">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22.4通知以送达之日或通知书中规定的生效之日起生效，两者中以较迟之日为准。</w:t>
      </w:r>
    </w:p>
    <w:p w14:paraId="116AA919">
      <w:pPr>
        <w:keepNext w:val="0"/>
        <w:keepLines w:val="0"/>
        <w:pageBreakBefore w:val="0"/>
        <w:widowControl w:val="0"/>
        <w:numPr>
          <w:ilvl w:val="0"/>
          <w:numId w:val="5"/>
        </w:numPr>
        <w:spacing w:line="560" w:lineRule="exact"/>
        <w:ind w:firstLine="482"/>
        <w:jc w:val="left"/>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合同未尽事项</w:t>
      </w:r>
    </w:p>
    <w:p w14:paraId="507231BA">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23.1合同未尽事项见</w:t>
      </w:r>
      <w:r>
        <w:rPr>
          <w:rFonts w:hint="eastAsia" w:ascii="宋体" w:hAnsi="宋体" w:eastAsia="宋体" w:cs="宋体"/>
          <w:b/>
          <w:bCs/>
          <w:color w:val="auto"/>
          <w:sz w:val="24"/>
          <w:szCs w:val="20"/>
          <w:lang w:val="zh-CN"/>
        </w:rPr>
        <w:t>【政府采购合同专用条款】</w:t>
      </w:r>
      <w:r>
        <w:rPr>
          <w:rFonts w:hint="eastAsia" w:ascii="宋体" w:hAnsi="宋体" w:eastAsia="宋体" w:cs="宋体"/>
          <w:color w:val="auto"/>
          <w:sz w:val="24"/>
          <w:szCs w:val="20"/>
          <w:lang w:val="zh-CN"/>
        </w:rPr>
        <w:t>。</w:t>
      </w:r>
    </w:p>
    <w:p w14:paraId="60D44B7C">
      <w:pPr>
        <w:keepNext w:val="0"/>
        <w:keepLines w:val="0"/>
        <w:pageBreakBefore w:val="0"/>
        <w:widowControl w:val="0"/>
        <w:spacing w:line="560" w:lineRule="exact"/>
        <w:ind w:firstLine="482"/>
        <w:jc w:val="left"/>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23.2 合同附件与合同正文具有同等的法律效力。</w:t>
      </w:r>
    </w:p>
    <w:p w14:paraId="6E43FC74">
      <w:pPr>
        <w:keepNext/>
        <w:keepLines/>
        <w:spacing w:line="360" w:lineRule="auto"/>
        <w:jc w:val="center"/>
        <w:outlineLvl w:val="1"/>
        <w:rPr>
          <w:rFonts w:hint="eastAsia" w:ascii="黑体" w:hAnsi="华文中宋" w:eastAsia="黑体"/>
          <w:color w:val="auto"/>
          <w:sz w:val="24"/>
        </w:rPr>
      </w:pPr>
      <w:r>
        <w:rPr>
          <w:rFonts w:hint="eastAsia" w:ascii="黑体" w:hAnsi="华文中宋" w:eastAsia="黑体"/>
          <w:color w:val="auto"/>
          <w:sz w:val="24"/>
        </w:rPr>
        <w:br w:type="page" w:clear="all"/>
      </w:r>
      <w:r>
        <w:rPr>
          <w:rFonts w:hint="eastAsia" w:ascii="黑体" w:hAnsi="华文中宋" w:eastAsia="黑体"/>
          <w:color w:val="auto"/>
          <w:sz w:val="24"/>
        </w:rPr>
        <w:t>第三节 政府采购合同专用条款</w:t>
      </w:r>
    </w:p>
    <w:tbl>
      <w:tblPr>
        <w:tblStyle w:val="40"/>
        <w:tblW w:w="914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301"/>
        <w:gridCol w:w="1476"/>
        <w:gridCol w:w="6367"/>
      </w:tblGrid>
      <w:tr w14:paraId="0FBB57D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50" w:hRule="atLeast"/>
          <w:jc w:val="center"/>
        </w:trPr>
        <w:tc>
          <w:tcPr>
            <w:tcW w:w="1301" w:type="dxa"/>
            <w:noWrap w:val="0"/>
            <w:vAlign w:val="center"/>
          </w:tcPr>
          <w:p w14:paraId="4DF447BF">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01311CC1">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第1.2（6）项</w:t>
            </w:r>
          </w:p>
        </w:tc>
        <w:tc>
          <w:tcPr>
            <w:tcW w:w="1476" w:type="dxa"/>
            <w:noWrap w:val="0"/>
            <w:vAlign w:val="center"/>
          </w:tcPr>
          <w:p w14:paraId="2A4425E2">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联合体具体要求</w:t>
            </w:r>
          </w:p>
        </w:tc>
        <w:tc>
          <w:tcPr>
            <w:tcW w:w="6367" w:type="dxa"/>
            <w:noWrap w:val="0"/>
            <w:vAlign w:val="center"/>
          </w:tcPr>
          <w:p w14:paraId="09E1494C">
            <w:pPr>
              <w:keepNext w:val="0"/>
              <w:keepLines w:val="0"/>
              <w:suppressLineNumbers w:val="0"/>
              <w:spacing w:before="0" w:beforeAutospacing="0" w:after="0" w:afterAutospacing="0"/>
              <w:ind w:left="0" w:right="0"/>
              <w:jc w:val="left"/>
              <w:rPr>
                <w:rFonts w:hint="eastAsia" w:ascii="宋体" w:hAnsi="宋体" w:eastAsiaTheme="minorEastAsia"/>
                <w:color w:val="auto"/>
                <w:sz w:val="24"/>
                <w:lang w:val="en-US" w:eastAsia="zh-CN"/>
              </w:rPr>
            </w:pPr>
            <w:r>
              <w:rPr>
                <w:rFonts w:hint="eastAsia" w:ascii="宋体" w:hAnsi="宋体"/>
                <w:color w:val="auto"/>
                <w:sz w:val="24"/>
                <w:lang w:val="en-US" w:eastAsia="zh-CN"/>
              </w:rPr>
              <w:t>/</w:t>
            </w:r>
          </w:p>
        </w:tc>
      </w:tr>
      <w:tr w14:paraId="06C5C42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54" w:hRule="atLeast"/>
          <w:jc w:val="center"/>
        </w:trPr>
        <w:tc>
          <w:tcPr>
            <w:tcW w:w="1301" w:type="dxa"/>
            <w:noWrap w:val="0"/>
            <w:vAlign w:val="center"/>
          </w:tcPr>
          <w:p w14:paraId="504EE45F">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0161B95A">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第1.2（7）项</w:t>
            </w:r>
          </w:p>
        </w:tc>
        <w:tc>
          <w:tcPr>
            <w:tcW w:w="1476" w:type="dxa"/>
            <w:noWrap w:val="0"/>
            <w:vAlign w:val="center"/>
          </w:tcPr>
          <w:p w14:paraId="4567115C">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其他术语解释</w:t>
            </w:r>
          </w:p>
        </w:tc>
        <w:tc>
          <w:tcPr>
            <w:tcW w:w="6367" w:type="dxa"/>
            <w:noWrap w:val="0"/>
            <w:vAlign w:val="center"/>
          </w:tcPr>
          <w:p w14:paraId="6F5F3732">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同合同通用条款</w:t>
            </w:r>
          </w:p>
        </w:tc>
      </w:tr>
      <w:tr w14:paraId="178CDE3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415" w:hRule="atLeast"/>
          <w:jc w:val="center"/>
        </w:trPr>
        <w:tc>
          <w:tcPr>
            <w:tcW w:w="1301" w:type="dxa"/>
            <w:noWrap w:val="0"/>
            <w:vAlign w:val="center"/>
          </w:tcPr>
          <w:p w14:paraId="3FFB60FE">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30EF252E">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第4.4款</w:t>
            </w:r>
          </w:p>
        </w:tc>
        <w:tc>
          <w:tcPr>
            <w:tcW w:w="1476" w:type="dxa"/>
            <w:noWrap w:val="0"/>
            <w:vAlign w:val="center"/>
          </w:tcPr>
          <w:p w14:paraId="52D50552">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履约验收中甲方提出异议或作出说明的期限</w:t>
            </w:r>
          </w:p>
        </w:tc>
        <w:tc>
          <w:tcPr>
            <w:tcW w:w="6367" w:type="dxa"/>
            <w:noWrap w:val="0"/>
            <w:vAlign w:val="center"/>
          </w:tcPr>
          <w:p w14:paraId="0D7CAA5C">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十五个工作日内</w:t>
            </w:r>
          </w:p>
        </w:tc>
      </w:tr>
      <w:tr w14:paraId="3D3159F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135" w:hRule="atLeast"/>
          <w:jc w:val="center"/>
        </w:trPr>
        <w:tc>
          <w:tcPr>
            <w:tcW w:w="1301" w:type="dxa"/>
            <w:noWrap w:val="0"/>
            <w:vAlign w:val="center"/>
          </w:tcPr>
          <w:p w14:paraId="103EE353">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65A32D37">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第4.6款</w:t>
            </w:r>
          </w:p>
        </w:tc>
        <w:tc>
          <w:tcPr>
            <w:tcW w:w="1476" w:type="dxa"/>
            <w:noWrap w:val="0"/>
            <w:vAlign w:val="center"/>
          </w:tcPr>
          <w:p w14:paraId="0AE36991">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约定甲方承担的其他义务和责任</w:t>
            </w:r>
          </w:p>
        </w:tc>
        <w:tc>
          <w:tcPr>
            <w:tcW w:w="6367" w:type="dxa"/>
            <w:noWrap w:val="0"/>
            <w:vAlign w:val="center"/>
          </w:tcPr>
          <w:p w14:paraId="36B3F808">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同合同通用条款</w:t>
            </w:r>
          </w:p>
        </w:tc>
      </w:tr>
      <w:tr w14:paraId="0EE66C2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135" w:hRule="atLeast"/>
          <w:jc w:val="center"/>
        </w:trPr>
        <w:tc>
          <w:tcPr>
            <w:tcW w:w="1301" w:type="dxa"/>
            <w:noWrap w:val="0"/>
            <w:vAlign w:val="center"/>
          </w:tcPr>
          <w:p w14:paraId="535FE39E">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031E0A15">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第5.4款</w:t>
            </w:r>
          </w:p>
        </w:tc>
        <w:tc>
          <w:tcPr>
            <w:tcW w:w="1476" w:type="dxa"/>
            <w:noWrap w:val="0"/>
            <w:vAlign w:val="center"/>
          </w:tcPr>
          <w:p w14:paraId="6BF35452">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约定乙方承担的其他义务和责任</w:t>
            </w:r>
          </w:p>
        </w:tc>
        <w:tc>
          <w:tcPr>
            <w:tcW w:w="6367" w:type="dxa"/>
            <w:noWrap w:val="0"/>
            <w:vAlign w:val="center"/>
          </w:tcPr>
          <w:p w14:paraId="36CD9C75">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同合同通用条款</w:t>
            </w:r>
          </w:p>
        </w:tc>
      </w:tr>
      <w:tr w14:paraId="6276986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54" w:hRule="atLeast"/>
          <w:jc w:val="center"/>
        </w:trPr>
        <w:tc>
          <w:tcPr>
            <w:tcW w:w="1301" w:type="dxa"/>
            <w:noWrap w:val="0"/>
            <w:vAlign w:val="center"/>
          </w:tcPr>
          <w:p w14:paraId="0001E704">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4B671816">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第6.1款</w:t>
            </w:r>
          </w:p>
        </w:tc>
        <w:tc>
          <w:tcPr>
            <w:tcW w:w="1476" w:type="dxa"/>
            <w:noWrap w:val="0"/>
            <w:vAlign w:val="center"/>
          </w:tcPr>
          <w:p w14:paraId="08E06B3B">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履行合同义务的顺序</w:t>
            </w:r>
          </w:p>
        </w:tc>
        <w:tc>
          <w:tcPr>
            <w:tcW w:w="6367" w:type="dxa"/>
            <w:noWrap w:val="0"/>
            <w:vAlign w:val="center"/>
          </w:tcPr>
          <w:p w14:paraId="149EBB68">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同协议书</w:t>
            </w:r>
          </w:p>
        </w:tc>
      </w:tr>
      <w:tr w14:paraId="3AAB31B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545" w:hRule="atLeast"/>
          <w:jc w:val="center"/>
        </w:trPr>
        <w:tc>
          <w:tcPr>
            <w:tcW w:w="1301" w:type="dxa"/>
            <w:vMerge w:val="restart"/>
            <w:noWrap w:val="0"/>
            <w:vAlign w:val="center"/>
          </w:tcPr>
          <w:p w14:paraId="4DA61D0B">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323F0FB0">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第7.1款</w:t>
            </w:r>
          </w:p>
        </w:tc>
        <w:tc>
          <w:tcPr>
            <w:tcW w:w="1476" w:type="dxa"/>
            <w:noWrap w:val="0"/>
            <w:vAlign w:val="center"/>
          </w:tcPr>
          <w:p w14:paraId="748311AA">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包装特殊要求</w:t>
            </w:r>
          </w:p>
        </w:tc>
        <w:tc>
          <w:tcPr>
            <w:tcW w:w="6367" w:type="dxa"/>
            <w:noWrap w:val="0"/>
            <w:vAlign w:val="center"/>
          </w:tcPr>
          <w:p w14:paraId="1A80A3B1">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05D50B1A">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1.商品包装层数不得超过3 层，空隙率不大于40%；</w:t>
            </w:r>
          </w:p>
          <w:p w14:paraId="18538A19">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2.商品包装尽可能使用单一材质的包装材料，如因功能需求必需使用不同材质，不同材质间应便于分离；</w:t>
            </w:r>
          </w:p>
          <w:p w14:paraId="48641B39">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3.商品包装中铅、汞、镉、六价铬的总含量应不大于100mg/kg；</w:t>
            </w:r>
          </w:p>
          <w:p w14:paraId="65B91E3C">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4.商品包装印刷使用的油墨中挥发性有机化合物(VOCs)含量应不大于5%（以重量计）；</w:t>
            </w:r>
          </w:p>
          <w:p w14:paraId="0323DB46">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5.塑料材质商品包装上呈现的印刷颜色不得超过6色；</w:t>
            </w:r>
          </w:p>
          <w:p w14:paraId="4B0E7F39">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6.纸质商品包装应使用75%以上的可再生纤维原料生产；</w:t>
            </w:r>
          </w:p>
          <w:p w14:paraId="4EE693EC">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7.木质商品包装的原料应来源于可持续性森林。</w:t>
            </w:r>
          </w:p>
          <w:p w14:paraId="65E7F5AF">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61A943DA">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9每件包装箱内应附一份详细装箱单和质量合格凭证。</w:t>
            </w:r>
          </w:p>
        </w:tc>
      </w:tr>
      <w:tr w14:paraId="5B3035E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17" w:hRule="atLeast"/>
          <w:jc w:val="center"/>
        </w:trPr>
        <w:tc>
          <w:tcPr>
            <w:tcW w:w="1301" w:type="dxa"/>
            <w:vMerge w:val="continue"/>
            <w:noWrap w:val="0"/>
            <w:vAlign w:val="center"/>
          </w:tcPr>
          <w:p w14:paraId="6B0C80F7">
            <w:pPr>
              <w:keepNext w:val="0"/>
              <w:keepLines w:val="0"/>
              <w:suppressLineNumbers w:val="0"/>
              <w:spacing w:before="0" w:beforeAutospacing="0" w:after="0" w:afterAutospacing="0"/>
              <w:ind w:left="0" w:right="0"/>
              <w:jc w:val="center"/>
              <w:rPr>
                <w:rFonts w:hint="eastAsia" w:ascii="宋体" w:hAnsi="宋体"/>
                <w:color w:val="auto"/>
                <w:sz w:val="24"/>
              </w:rPr>
            </w:pPr>
          </w:p>
        </w:tc>
        <w:tc>
          <w:tcPr>
            <w:tcW w:w="1476" w:type="dxa"/>
            <w:noWrap w:val="0"/>
            <w:vAlign w:val="center"/>
          </w:tcPr>
          <w:p w14:paraId="61AED4D9">
            <w:pPr>
              <w:keepNext w:val="0"/>
              <w:keepLines w:val="0"/>
              <w:suppressLineNumbers w:val="0"/>
              <w:spacing w:before="0" w:beforeAutospacing="0" w:after="0" w:afterAutospacing="0"/>
              <w:ind w:left="0" w:right="0"/>
              <w:jc w:val="left"/>
              <w:rPr>
                <w:rFonts w:hint="eastAsia" w:ascii="宋体" w:hAnsi="宋体"/>
                <w:color w:val="auto"/>
                <w:sz w:val="24"/>
              </w:rPr>
            </w:pPr>
            <w:r>
              <w:rPr>
                <w:rFonts w:hint="eastAsia" w:ascii="宋体" w:hAnsi="宋体"/>
                <w:color w:val="auto"/>
                <w:sz w:val="24"/>
              </w:rPr>
              <w:t>指定现场</w:t>
            </w:r>
          </w:p>
        </w:tc>
        <w:tc>
          <w:tcPr>
            <w:tcW w:w="6367" w:type="dxa"/>
            <w:noWrap w:val="0"/>
            <w:vAlign w:val="center"/>
          </w:tcPr>
          <w:p w14:paraId="2CBE7C2F">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同协议书</w:t>
            </w:r>
          </w:p>
        </w:tc>
      </w:tr>
      <w:tr w14:paraId="4C47263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534" w:hRule="atLeast"/>
          <w:jc w:val="center"/>
        </w:trPr>
        <w:tc>
          <w:tcPr>
            <w:tcW w:w="1301" w:type="dxa"/>
            <w:noWrap w:val="0"/>
            <w:vAlign w:val="center"/>
          </w:tcPr>
          <w:p w14:paraId="770D07C4">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5987AF4F">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第7.2款</w:t>
            </w:r>
          </w:p>
        </w:tc>
        <w:tc>
          <w:tcPr>
            <w:tcW w:w="1476" w:type="dxa"/>
            <w:noWrap w:val="0"/>
            <w:vAlign w:val="center"/>
          </w:tcPr>
          <w:p w14:paraId="2A837E00">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运输特殊要求</w:t>
            </w:r>
          </w:p>
        </w:tc>
        <w:tc>
          <w:tcPr>
            <w:tcW w:w="6367" w:type="dxa"/>
            <w:noWrap w:val="0"/>
            <w:vAlign w:val="center"/>
          </w:tcPr>
          <w:p w14:paraId="0FA0A1DA">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1.货物验收合格、交付使用并提供所需单据的日期视为交货日期。</w:t>
            </w:r>
          </w:p>
          <w:p w14:paraId="38D11A41">
            <w:pPr>
              <w:keepNext w:val="0"/>
              <w:keepLines w:val="0"/>
              <w:numPr>
                <w:ilvl w:val="0"/>
                <w:numId w:val="0"/>
              </w:numPr>
              <w:suppressLineNumbers w:val="0"/>
              <w:spacing w:before="0" w:beforeAutospacing="0" w:after="0" w:afterAutospacing="0" w:line="560" w:lineRule="exact"/>
              <w:ind w:left="0" w:right="0" w:firstLine="482"/>
              <w:rPr>
                <w:rFonts w:hint="eastAsia" w:ascii="宋体" w:hAnsi="宋体" w:eastAsia="宋体" w:cs="宋体"/>
                <w:color w:val="auto"/>
                <w:sz w:val="24"/>
                <w:szCs w:val="20"/>
              </w:rPr>
            </w:pPr>
            <w:r>
              <w:rPr>
                <w:rFonts w:hint="eastAsia" w:ascii="宋体" w:hAnsi="宋体" w:eastAsia="宋体" w:cs="宋体"/>
                <w:color w:val="auto"/>
                <w:sz w:val="24"/>
                <w:szCs w:val="20"/>
              </w:rPr>
              <w:t>2.乙方在货物发运手续办理完毕后24小时内或货到48小时前通知甲方，以准备接货。</w:t>
            </w:r>
          </w:p>
          <w:p w14:paraId="162B32E5">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3.乙方装运的货物不应超过合同规定的数量或重量。乙方应对超交数量或超重而产生的一切后果负责。</w:t>
            </w:r>
          </w:p>
          <w:p w14:paraId="1AB66021">
            <w:pPr>
              <w:keepNext w:val="0"/>
              <w:keepLines w:val="0"/>
              <w:numPr>
                <w:ilvl w:val="0"/>
                <w:numId w:val="0"/>
              </w:numPr>
              <w:suppressLineNumbers w:val="0"/>
              <w:spacing w:before="0" w:beforeAutospacing="0" w:after="0" w:afterAutospacing="0" w:line="560" w:lineRule="exact"/>
              <w:ind w:left="0" w:right="0" w:firstLine="482"/>
              <w:rPr>
                <w:rFonts w:hint="eastAsia" w:ascii="宋体" w:hAnsi="宋体" w:eastAsia="宋体" w:cs="宋体"/>
                <w:color w:val="auto"/>
                <w:sz w:val="24"/>
                <w:szCs w:val="20"/>
              </w:rPr>
            </w:pPr>
            <w:r>
              <w:rPr>
                <w:rFonts w:hint="eastAsia" w:ascii="宋体" w:hAnsi="宋体" w:eastAsia="宋体" w:cs="宋体"/>
                <w:color w:val="auto"/>
                <w:sz w:val="24"/>
                <w:szCs w:val="20"/>
              </w:rPr>
              <w:t>4.货物在交付甲方前发生的风险均由乙方负责。</w:t>
            </w:r>
          </w:p>
        </w:tc>
      </w:tr>
      <w:tr w14:paraId="34B4BAE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74" w:hRule="atLeast"/>
          <w:jc w:val="center"/>
        </w:trPr>
        <w:tc>
          <w:tcPr>
            <w:tcW w:w="1301" w:type="dxa"/>
            <w:noWrap w:val="0"/>
            <w:vAlign w:val="center"/>
          </w:tcPr>
          <w:p w14:paraId="3DF4F86E">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4435EDA9">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第7.3款</w:t>
            </w:r>
          </w:p>
        </w:tc>
        <w:tc>
          <w:tcPr>
            <w:tcW w:w="1476" w:type="dxa"/>
            <w:noWrap w:val="0"/>
            <w:vAlign w:val="center"/>
          </w:tcPr>
          <w:p w14:paraId="126225B0">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保险要求</w:t>
            </w:r>
          </w:p>
        </w:tc>
        <w:tc>
          <w:tcPr>
            <w:tcW w:w="6367" w:type="dxa"/>
            <w:noWrap w:val="0"/>
            <w:vAlign w:val="center"/>
          </w:tcPr>
          <w:p w14:paraId="7F3D594E">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货物交货前由乙方承担保险义务</w:t>
            </w:r>
          </w:p>
        </w:tc>
      </w:tr>
      <w:tr w14:paraId="5E915DA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241" w:hRule="atLeast"/>
          <w:jc w:val="center"/>
        </w:trPr>
        <w:tc>
          <w:tcPr>
            <w:tcW w:w="1301" w:type="dxa"/>
            <w:noWrap w:val="0"/>
            <w:vAlign w:val="center"/>
          </w:tcPr>
          <w:p w14:paraId="4FC111DB">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5F34CC61">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第8.2（1）项</w:t>
            </w:r>
          </w:p>
        </w:tc>
        <w:tc>
          <w:tcPr>
            <w:tcW w:w="1476" w:type="dxa"/>
            <w:noWrap w:val="0"/>
            <w:vAlign w:val="center"/>
          </w:tcPr>
          <w:p w14:paraId="12AC2CDD">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质量保证期</w:t>
            </w:r>
          </w:p>
        </w:tc>
        <w:tc>
          <w:tcPr>
            <w:tcW w:w="6367" w:type="dxa"/>
            <w:noWrap w:val="0"/>
            <w:vAlign w:val="center"/>
          </w:tcPr>
          <w:p w14:paraId="48327F4F">
            <w:pPr>
              <w:keepNext w:val="0"/>
              <w:keepLines w:val="0"/>
              <w:widowControl/>
              <w:numPr>
                <w:ilvl w:val="0"/>
                <w:numId w:val="0"/>
              </w:numPr>
              <w:suppressLineNumbers w:val="0"/>
              <w:spacing w:before="120" w:beforeAutospacing="0" w:after="12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1.货物免费质保期</w:t>
            </w:r>
            <w:r>
              <w:rPr>
                <w:rFonts w:hint="eastAsia" w:ascii="宋体" w:hAnsi="宋体" w:eastAsia="宋体" w:cs="宋体"/>
                <w:color w:val="auto"/>
                <w:sz w:val="24"/>
                <w:szCs w:val="20"/>
                <w:u w:val="single"/>
                <w:lang w:val="en-US" w:eastAsia="zh-CN"/>
              </w:rPr>
              <w:t>不少于三</w:t>
            </w:r>
            <w:r>
              <w:rPr>
                <w:rFonts w:hint="eastAsia" w:ascii="宋体" w:hAnsi="宋体" w:eastAsia="宋体" w:cs="宋体"/>
                <w:color w:val="auto"/>
                <w:sz w:val="24"/>
                <w:szCs w:val="20"/>
              </w:rPr>
              <w:t>年</w:t>
            </w:r>
            <w:r>
              <w:rPr>
                <w:rStyle w:val="43"/>
                <w:rFonts w:hint="eastAsia" w:ascii="Segoe UI" w:hAnsi="Segoe UI" w:eastAsia="Segoe UI" w:cs="Segoe UI"/>
                <w:b/>
                <w:bCs/>
                <w:i w:val="0"/>
                <w:iCs w:val="0"/>
                <w:caps w:val="0"/>
                <w:color w:val="auto"/>
                <w:spacing w:val="0"/>
                <w:sz w:val="24"/>
                <w:szCs w:val="24"/>
                <w:shd w:val="clear" w:color="auto" w:fill="FFFFFF"/>
              </w:rPr>
              <w:t>（由中标供应商在投标文件中承诺并填写）</w:t>
            </w:r>
            <w:r>
              <w:rPr>
                <w:rFonts w:hint="eastAsia" w:ascii="宋体" w:hAnsi="宋体" w:eastAsia="宋体" w:cs="宋体"/>
                <w:color w:val="auto"/>
                <w:sz w:val="24"/>
                <w:szCs w:val="20"/>
              </w:rPr>
              <w:t>。（自交货验收合格之日起计），因人为因素出现的故障不在免费保修范围内。超过保修期的机器设备，终生维修，维修时只收部件成本费。</w:t>
            </w:r>
          </w:p>
        </w:tc>
      </w:tr>
      <w:tr w14:paraId="0B7ACAD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020" w:hRule="atLeast"/>
          <w:jc w:val="center"/>
        </w:trPr>
        <w:tc>
          <w:tcPr>
            <w:tcW w:w="1301" w:type="dxa"/>
            <w:noWrap w:val="0"/>
            <w:vAlign w:val="center"/>
          </w:tcPr>
          <w:p w14:paraId="55D3BB63">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2B61983E">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第8.2（3）项</w:t>
            </w:r>
          </w:p>
        </w:tc>
        <w:tc>
          <w:tcPr>
            <w:tcW w:w="1476" w:type="dxa"/>
            <w:noWrap w:val="0"/>
            <w:vAlign w:val="center"/>
          </w:tcPr>
          <w:p w14:paraId="317F3289">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货物质量缺陷</w:t>
            </w:r>
          </w:p>
          <w:p w14:paraId="67ADE397">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响应时间</w:t>
            </w:r>
          </w:p>
        </w:tc>
        <w:tc>
          <w:tcPr>
            <w:tcW w:w="6367" w:type="dxa"/>
            <w:noWrap w:val="0"/>
            <w:vAlign w:val="center"/>
          </w:tcPr>
          <w:p w14:paraId="1FC39C4F">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如在使用过程中发生质量问题，乙方在接到甲方通知后在</w:t>
            </w:r>
            <w:r>
              <w:rPr>
                <w:rFonts w:hint="eastAsia" w:ascii="宋体" w:hAnsi="宋体" w:eastAsia="宋体" w:cs="宋体"/>
                <w:color w:val="auto"/>
                <w:sz w:val="24"/>
                <w:szCs w:val="20"/>
                <w:u w:val="none"/>
              </w:rPr>
              <w:t>8</w:t>
            </w:r>
            <w:r>
              <w:rPr>
                <w:rFonts w:hint="eastAsia" w:ascii="宋体" w:hAnsi="宋体" w:eastAsia="宋体" w:cs="宋体"/>
                <w:color w:val="auto"/>
                <w:sz w:val="24"/>
                <w:szCs w:val="20"/>
              </w:rPr>
              <w:t>小时内到达甲方现场。</w:t>
            </w:r>
          </w:p>
        </w:tc>
      </w:tr>
      <w:tr w14:paraId="08243AF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562" w:hRule="atLeast"/>
          <w:jc w:val="center"/>
        </w:trPr>
        <w:tc>
          <w:tcPr>
            <w:tcW w:w="1301" w:type="dxa"/>
            <w:noWrap w:val="0"/>
            <w:vAlign w:val="center"/>
          </w:tcPr>
          <w:p w14:paraId="68CC08FF">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50CB2B51">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第8款补充</w:t>
            </w:r>
          </w:p>
        </w:tc>
        <w:tc>
          <w:tcPr>
            <w:tcW w:w="1476" w:type="dxa"/>
            <w:noWrap w:val="0"/>
            <w:vAlign w:val="center"/>
          </w:tcPr>
          <w:p w14:paraId="1F71867E">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质量保证要求</w:t>
            </w:r>
          </w:p>
        </w:tc>
        <w:tc>
          <w:tcPr>
            <w:tcW w:w="6367" w:type="dxa"/>
            <w:noWrap w:val="0"/>
            <w:vAlign w:val="center"/>
          </w:tcPr>
          <w:p w14:paraId="2C616621">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rPr>
              <w:t>1. 在质保期内，乙方应对货物出现的质量及安全问题负责处理解决并承担一切费用</w:t>
            </w:r>
            <w:r>
              <w:rPr>
                <w:rFonts w:hint="eastAsia" w:ascii="宋体" w:hAnsi="宋体" w:eastAsia="宋体" w:cs="宋体"/>
                <w:color w:val="auto"/>
                <w:sz w:val="24"/>
                <w:szCs w:val="20"/>
                <w:highlight w:val="none"/>
              </w:rPr>
              <w:t>（因甲方不当使用的除外）。</w:t>
            </w:r>
          </w:p>
          <w:p w14:paraId="73646FBD">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2.乙方应按照国家有关法律法规规章和“三包”规定以及招标文件售后服务要求及投标文件售后服务承诺提供售后服务。</w:t>
            </w:r>
          </w:p>
          <w:p w14:paraId="744531A4">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3.所有货物保修服务方式均为乙方上门保修，由乙方派员到货物使用现场维修，所产生的一切费用由乙方承担。</w:t>
            </w:r>
          </w:p>
          <w:p w14:paraId="0551163A">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668F199E">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5.甲方有权对乙方进行飞行检查，如果发现任何问题乙方必须无条件返工，甚至可以终止合同，乙方需赔偿甲方因此而造成的所有损失，飞行检查过程中发生的食宿、交通等费用由甲方自行承担。</w:t>
            </w:r>
          </w:p>
          <w:p w14:paraId="4EA3000D">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21B4934A">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5D9A73DF">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1205AFC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54" w:hRule="atLeast"/>
          <w:jc w:val="center"/>
        </w:trPr>
        <w:tc>
          <w:tcPr>
            <w:tcW w:w="1301" w:type="dxa"/>
            <w:noWrap w:val="0"/>
            <w:vAlign w:val="center"/>
          </w:tcPr>
          <w:p w14:paraId="6AC126AD">
            <w:pPr>
              <w:keepNext w:val="0"/>
              <w:keepLines w:val="0"/>
              <w:suppressLineNumbers w:val="0"/>
              <w:spacing w:before="0" w:beforeAutospacing="0" w:after="0" w:afterAutospacing="0"/>
              <w:ind w:left="0" w:right="0"/>
              <w:jc w:val="center"/>
              <w:rPr>
                <w:rFonts w:hint="eastAsia" w:ascii="宋体" w:hAnsi="宋体" w:cstheme="minorBidi"/>
                <w:color w:val="auto"/>
                <w:sz w:val="24"/>
              </w:rPr>
            </w:pPr>
            <w:r>
              <w:rPr>
                <w:rFonts w:hint="eastAsia" w:ascii="宋体" w:hAnsi="宋体" w:cstheme="minorBidi"/>
                <w:color w:val="auto"/>
                <w:sz w:val="24"/>
              </w:rPr>
              <w:t>第二节</w:t>
            </w:r>
          </w:p>
          <w:p w14:paraId="3E706CBD">
            <w:pPr>
              <w:keepNext w:val="0"/>
              <w:keepLines w:val="0"/>
              <w:widowControl/>
              <w:suppressLineNumbers w:val="0"/>
              <w:spacing w:before="0" w:beforeAutospacing="0" w:after="0" w:afterAutospacing="0" w:line="240" w:lineRule="auto"/>
              <w:ind w:left="0" w:right="0"/>
              <w:jc w:val="center"/>
              <w:rPr>
                <w:rFonts w:hint="eastAsia" w:ascii="宋体" w:hAnsi="宋体" w:eastAsiaTheme="minorEastAsia" w:cstheme="minorBidi"/>
                <w:color w:val="auto"/>
                <w:sz w:val="24"/>
              </w:rPr>
            </w:pPr>
            <w:r>
              <w:rPr>
                <w:rFonts w:hint="eastAsia" w:ascii="宋体" w:hAnsi="宋体" w:cstheme="minorBidi"/>
                <w:color w:val="auto"/>
                <w:sz w:val="24"/>
              </w:rPr>
              <w:t>第11.1款</w:t>
            </w:r>
          </w:p>
        </w:tc>
        <w:tc>
          <w:tcPr>
            <w:tcW w:w="1476" w:type="dxa"/>
            <w:noWrap w:val="0"/>
            <w:vAlign w:val="center"/>
          </w:tcPr>
          <w:p w14:paraId="01AEACFD">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其他应当保密的信息</w:t>
            </w:r>
          </w:p>
        </w:tc>
        <w:tc>
          <w:tcPr>
            <w:tcW w:w="6367" w:type="dxa"/>
            <w:noWrap w:val="0"/>
            <w:vAlign w:val="center"/>
          </w:tcPr>
          <w:p w14:paraId="5CBFBD93">
            <w:pPr>
              <w:keepNext w:val="0"/>
              <w:keepLines w:val="0"/>
              <w:suppressLineNumbers w:val="0"/>
              <w:spacing w:before="0" w:beforeAutospacing="0" w:after="0" w:afterAutospacing="0"/>
              <w:ind w:left="0" w:right="0"/>
              <w:jc w:val="left"/>
              <w:rPr>
                <w:rFonts w:hint="eastAsia" w:ascii="宋体" w:hAnsi="宋体" w:eastAsiaTheme="minorEastAsia"/>
                <w:color w:val="auto"/>
                <w:sz w:val="24"/>
                <w:lang w:val="en-US" w:eastAsia="zh-CN"/>
              </w:rPr>
            </w:pPr>
            <w:r>
              <w:rPr>
                <w:rFonts w:hint="eastAsia" w:ascii="宋体" w:hAnsi="宋体"/>
                <w:color w:val="auto"/>
                <w:sz w:val="24"/>
                <w:lang w:val="en-US" w:eastAsia="zh-CN"/>
              </w:rPr>
              <w:t>/</w:t>
            </w:r>
          </w:p>
        </w:tc>
      </w:tr>
      <w:tr w14:paraId="2420869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528" w:hRule="atLeast"/>
          <w:jc w:val="center"/>
        </w:trPr>
        <w:tc>
          <w:tcPr>
            <w:tcW w:w="1301" w:type="dxa"/>
            <w:noWrap w:val="0"/>
            <w:vAlign w:val="center"/>
          </w:tcPr>
          <w:p w14:paraId="425B514F">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61DEEE18">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第12.2款</w:t>
            </w:r>
          </w:p>
        </w:tc>
        <w:tc>
          <w:tcPr>
            <w:tcW w:w="1476" w:type="dxa"/>
            <w:noWrap w:val="0"/>
            <w:vAlign w:val="center"/>
          </w:tcPr>
          <w:p w14:paraId="01E07F28">
            <w:pPr>
              <w:keepNext w:val="0"/>
              <w:keepLines w:val="0"/>
              <w:suppressLineNumbers w:val="0"/>
              <w:spacing w:before="0" w:beforeAutospacing="0" w:after="0" w:afterAutospacing="0"/>
              <w:ind w:left="0" w:right="0"/>
              <w:jc w:val="center"/>
              <w:rPr>
                <w:rFonts w:hint="eastAsia" w:ascii="宋体" w:hAnsi="宋体"/>
                <w:color w:val="auto"/>
                <w:sz w:val="24"/>
                <w:highlight w:val="none"/>
              </w:rPr>
            </w:pPr>
            <w:r>
              <w:rPr>
                <w:rFonts w:hint="eastAsia" w:ascii="宋体" w:hAnsi="宋体"/>
                <w:color w:val="auto"/>
                <w:sz w:val="24"/>
              </w:rPr>
              <w:t>合同价款支付时</w:t>
            </w:r>
            <w:r>
              <w:rPr>
                <w:rFonts w:hint="eastAsia" w:ascii="宋体" w:hAnsi="宋体"/>
                <w:color w:val="auto"/>
                <w:sz w:val="24"/>
                <w:highlight w:val="none"/>
              </w:rPr>
              <w:t>间及要求</w:t>
            </w:r>
          </w:p>
        </w:tc>
        <w:tc>
          <w:tcPr>
            <w:tcW w:w="6367" w:type="dxa"/>
            <w:noWrap w:val="0"/>
            <w:vAlign w:val="center"/>
          </w:tcPr>
          <w:p w14:paraId="78F77BB3">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rPr>
              <w:t>1.合同款</w:t>
            </w:r>
            <w:r>
              <w:rPr>
                <w:rFonts w:hint="eastAsia" w:ascii="宋体" w:hAnsi="宋体" w:eastAsia="宋体" w:cs="宋体"/>
                <w:color w:val="auto"/>
                <w:sz w:val="24"/>
                <w:szCs w:val="20"/>
                <w:highlight w:val="none"/>
              </w:rPr>
              <w:t>项的支付方式及进度安排：</w:t>
            </w:r>
          </w:p>
          <w:p w14:paraId="76379B7D">
            <w:pPr>
              <w:keepNext w:val="0"/>
              <w:keepLines w:val="0"/>
              <w:widowControl/>
              <w:numPr>
                <w:ilvl w:val="0"/>
                <w:numId w:val="6"/>
              </w:numPr>
              <w:suppressLineNumbers w:val="0"/>
              <w:spacing w:before="0" w:beforeAutospacing="0" w:after="0" w:afterAutospacing="0" w:line="560" w:lineRule="exact"/>
              <w:ind w:left="0" w:right="0" w:firstLine="480"/>
              <w:jc w:val="left"/>
              <w:rPr>
                <w:rFonts w:hint="eastAsia" w:ascii="宋体" w:hAnsi="宋体" w:eastAsia="宋体" w:cs="宋体"/>
                <w:color w:val="auto"/>
                <w:sz w:val="24"/>
                <w:szCs w:val="20"/>
                <w:u w:val="single"/>
              </w:rPr>
            </w:pPr>
            <w:r>
              <w:rPr>
                <w:rFonts w:hint="eastAsia" w:ascii="宋体" w:hAnsi="宋体" w:eastAsia="宋体" w:cs="宋体"/>
                <w:color w:val="auto"/>
                <w:sz w:val="24"/>
                <w:szCs w:val="20"/>
                <w:u w:val="single"/>
              </w:rPr>
              <w:t>预付款：合同签订生效并收到合规发票后10个工作日内，支付合同总价的30%；</w:t>
            </w:r>
          </w:p>
          <w:p w14:paraId="68698159">
            <w:pPr>
              <w:keepNext w:val="0"/>
              <w:keepLines w:val="0"/>
              <w:widowControl/>
              <w:numPr>
                <w:ilvl w:val="0"/>
                <w:numId w:val="6"/>
              </w:numPr>
              <w:suppressLineNumbers w:val="0"/>
              <w:spacing w:before="0" w:beforeAutospacing="0" w:after="0" w:afterAutospacing="0" w:line="560" w:lineRule="exact"/>
              <w:ind w:left="0" w:right="0" w:firstLine="480"/>
              <w:jc w:val="left"/>
              <w:rPr>
                <w:rFonts w:hint="eastAsia" w:ascii="宋体" w:hAnsi="宋体" w:eastAsia="宋体" w:cs="宋体"/>
                <w:color w:val="auto"/>
                <w:sz w:val="24"/>
                <w:szCs w:val="20"/>
                <w:u w:val="single"/>
              </w:rPr>
            </w:pPr>
            <w:r>
              <w:rPr>
                <w:rFonts w:hint="eastAsia" w:ascii="宋体" w:hAnsi="宋体" w:eastAsia="宋体" w:cs="宋体"/>
                <w:color w:val="auto"/>
                <w:sz w:val="24"/>
                <w:szCs w:val="20"/>
                <w:u w:val="single"/>
              </w:rPr>
              <w:t>进度款：货物安装调试完毕并初步验收合格后，收到合规发票后 10个工作日内，支付至合同总价的</w:t>
            </w:r>
            <w:r>
              <w:rPr>
                <w:rFonts w:hint="eastAsia" w:ascii="宋体" w:hAnsi="宋体" w:eastAsia="宋体" w:cs="宋体"/>
                <w:color w:val="auto"/>
                <w:sz w:val="24"/>
                <w:szCs w:val="20"/>
                <w:u w:val="single"/>
                <w:lang w:val="en-US" w:eastAsia="zh-CN"/>
              </w:rPr>
              <w:t>100</w:t>
            </w:r>
            <w:r>
              <w:rPr>
                <w:rFonts w:hint="eastAsia" w:ascii="宋体" w:hAnsi="宋体" w:eastAsia="宋体" w:cs="宋体"/>
                <w:color w:val="auto"/>
                <w:sz w:val="24"/>
                <w:szCs w:val="20"/>
                <w:u w:val="single"/>
              </w:rPr>
              <w:t>%；</w:t>
            </w:r>
          </w:p>
          <w:p w14:paraId="4E997CC4">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47B5BCEE">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(1) 发票；</w:t>
            </w:r>
          </w:p>
          <w:p w14:paraId="1F4A20B5">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(2) 制造厂家出具的质量检验证书等；</w:t>
            </w:r>
          </w:p>
          <w:p w14:paraId="79ED5E36">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(3) 装箱单；</w:t>
            </w:r>
          </w:p>
          <w:p w14:paraId="4329D0FB">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color w:val="auto"/>
                <w:sz w:val="24"/>
              </w:rPr>
            </w:pPr>
            <w:r>
              <w:rPr>
                <w:rFonts w:hint="eastAsia" w:ascii="宋体" w:hAnsi="宋体" w:eastAsia="宋体" w:cs="宋体"/>
                <w:color w:val="auto"/>
                <w:sz w:val="24"/>
                <w:szCs w:val="20"/>
              </w:rPr>
              <w:t>(4) 甲方加盖公章证明交付使用合格的验收单。</w:t>
            </w:r>
          </w:p>
        </w:tc>
      </w:tr>
      <w:tr w14:paraId="43264B8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054" w:hRule="atLeast"/>
          <w:jc w:val="center"/>
        </w:trPr>
        <w:tc>
          <w:tcPr>
            <w:tcW w:w="1301" w:type="dxa"/>
            <w:noWrap w:val="0"/>
            <w:vAlign w:val="center"/>
          </w:tcPr>
          <w:p w14:paraId="1F8D95BB">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13182B0B">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第13.2款</w:t>
            </w:r>
          </w:p>
        </w:tc>
        <w:tc>
          <w:tcPr>
            <w:tcW w:w="1476" w:type="dxa"/>
            <w:noWrap w:val="0"/>
            <w:vAlign w:val="center"/>
          </w:tcPr>
          <w:p w14:paraId="29EAF9C8">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履约保证金不予退还的情形</w:t>
            </w:r>
          </w:p>
        </w:tc>
        <w:tc>
          <w:tcPr>
            <w:tcW w:w="6367" w:type="dxa"/>
            <w:noWrap w:val="0"/>
            <w:vAlign w:val="center"/>
          </w:tcPr>
          <w:p w14:paraId="4395ECEC">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除不可抗力情况外，投标人出现下列情形之一的，其履约保证金，招标人将视情节决定不予退还或部分不予退还。</w:t>
            </w:r>
          </w:p>
          <w:p w14:paraId="616F2851">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（1）中标人无正当理由拒绝签订合同的，或者在签订合同时向采购人提出附加条件或者更改合同实质性内容要求的；</w:t>
            </w:r>
          </w:p>
          <w:p w14:paraId="290091FA">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（2）中标人不履行与采购人订立的合同的；</w:t>
            </w:r>
          </w:p>
          <w:p w14:paraId="5AB8D901">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（3）中标人所供货物或服务不符合招标文件规定要求的；</w:t>
            </w:r>
          </w:p>
          <w:p w14:paraId="5C7BCB44">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（4）中标人采取欺骗、弄虚作假方式投标的或与其它投标人串通投标的；</w:t>
            </w:r>
          </w:p>
          <w:p w14:paraId="698E37A0">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（5）中标人将合同内容转包、违法分包的；</w:t>
            </w:r>
          </w:p>
          <w:p w14:paraId="0810465A">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（6）中标人故意捏造事实或伪造证明材料，进行虚假恶意投诉或反映的。</w:t>
            </w:r>
          </w:p>
        </w:tc>
      </w:tr>
      <w:tr w14:paraId="0090D97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545" w:hRule="atLeast"/>
          <w:jc w:val="center"/>
        </w:trPr>
        <w:tc>
          <w:tcPr>
            <w:tcW w:w="1301" w:type="dxa"/>
            <w:noWrap w:val="0"/>
            <w:vAlign w:val="center"/>
          </w:tcPr>
          <w:p w14:paraId="602DC006">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080C5BE3">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第13.3款</w:t>
            </w:r>
          </w:p>
        </w:tc>
        <w:tc>
          <w:tcPr>
            <w:tcW w:w="1476" w:type="dxa"/>
            <w:noWrap w:val="0"/>
            <w:vAlign w:val="center"/>
          </w:tcPr>
          <w:p w14:paraId="3C57CC32">
            <w:pPr>
              <w:keepNext w:val="0"/>
              <w:keepLines w:val="0"/>
              <w:suppressLineNumbers w:val="0"/>
              <w:spacing w:before="0" w:beforeAutospacing="0" w:after="0" w:afterAutospacing="0"/>
              <w:ind w:left="0" w:right="0"/>
              <w:jc w:val="center"/>
              <w:rPr>
                <w:rFonts w:hint="eastAsia" w:ascii="宋体" w:hAnsi="宋体" w:cstheme="minorBidi"/>
                <w:color w:val="auto"/>
                <w:sz w:val="24"/>
              </w:rPr>
            </w:pPr>
            <w:r>
              <w:rPr>
                <w:rFonts w:hint="eastAsia" w:ascii="宋体" w:hAnsi="宋体" w:cstheme="minorBidi"/>
                <w:color w:val="auto"/>
                <w:sz w:val="24"/>
              </w:rPr>
              <w:t>履约保证金退还时间及逾期退还的违约金</w:t>
            </w:r>
          </w:p>
        </w:tc>
        <w:tc>
          <w:tcPr>
            <w:tcW w:w="6367" w:type="dxa"/>
            <w:noWrap w:val="0"/>
            <w:vAlign w:val="center"/>
          </w:tcPr>
          <w:p w14:paraId="2E194769">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1、合同履行结束后，甲方应及时退还交纳的履约保证金。</w:t>
            </w:r>
          </w:p>
          <w:p w14:paraId="756E60FC">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2、退还方式：无息退还至投标人缴纳履约保证金的账户。如为保函，在到期时自行失效。</w:t>
            </w:r>
          </w:p>
          <w:p w14:paraId="153BE47C">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rPr>
              <w:t>3、退还时间：</w:t>
            </w:r>
            <w:r>
              <w:rPr>
                <w:rFonts w:hint="eastAsia" w:ascii="宋体" w:hAnsi="宋体" w:eastAsia="宋体" w:cs="宋体"/>
                <w:color w:val="auto"/>
                <w:sz w:val="24"/>
                <w:szCs w:val="20"/>
                <w:highlight w:val="none"/>
              </w:rPr>
              <w:t>验收合格且甲方收到发票后30日内。</w:t>
            </w:r>
          </w:p>
          <w:p w14:paraId="4E33ECBF">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4、退还条件：按合同要求全部履约完成并经采购人验收合格，且采购人收到中标人出具的发票。</w:t>
            </w:r>
          </w:p>
          <w:p w14:paraId="11F84E99">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5、逾期退还的违约责任：采购人逾期无故未退还履约保证金的，按中国人民银行同期贷款基准利率上浮20%后的利率支付超期资金占用费，但因供应商自身原因导致无法及时退还的除外。</w:t>
            </w:r>
          </w:p>
        </w:tc>
      </w:tr>
      <w:tr w14:paraId="263D482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523" w:hRule="atLeast"/>
          <w:jc w:val="center"/>
        </w:trPr>
        <w:tc>
          <w:tcPr>
            <w:tcW w:w="1301" w:type="dxa"/>
            <w:noWrap w:val="0"/>
            <w:vAlign w:val="center"/>
          </w:tcPr>
          <w:p w14:paraId="2D545990">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67A69E76">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第14.1（3）项</w:t>
            </w:r>
          </w:p>
        </w:tc>
        <w:tc>
          <w:tcPr>
            <w:tcW w:w="1476" w:type="dxa"/>
            <w:noWrap w:val="0"/>
            <w:vAlign w:val="center"/>
          </w:tcPr>
          <w:p w14:paraId="137E1818">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运行监督、维修期限</w:t>
            </w:r>
          </w:p>
        </w:tc>
        <w:tc>
          <w:tcPr>
            <w:tcW w:w="6367" w:type="dxa"/>
            <w:noWrap w:val="0"/>
            <w:vAlign w:val="center"/>
          </w:tcPr>
          <w:p w14:paraId="2CC1F528">
            <w:pPr>
              <w:keepNext w:val="0"/>
              <w:keepLines w:val="0"/>
              <w:widowControl/>
              <w:numPr>
                <w:ilvl w:val="0"/>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上述的货物免费保修期为</w:t>
            </w:r>
            <w:r>
              <w:rPr>
                <w:rFonts w:hint="eastAsia" w:ascii="宋体" w:hAnsi="宋体" w:eastAsia="宋体" w:cs="宋体"/>
                <w:color w:val="auto"/>
                <w:sz w:val="24"/>
                <w:szCs w:val="20"/>
                <w:u w:val="single"/>
                <w:lang w:val="en-US" w:eastAsia="zh-CN"/>
              </w:rPr>
              <w:t xml:space="preserve"> 不少于三 </w:t>
            </w:r>
            <w:r>
              <w:rPr>
                <w:rFonts w:hint="eastAsia" w:ascii="宋体" w:hAnsi="宋体" w:eastAsia="宋体" w:cs="宋体"/>
                <w:color w:val="auto"/>
                <w:sz w:val="24"/>
                <w:szCs w:val="20"/>
              </w:rPr>
              <w:t>年，在质保期内，乙方应对货物出现的质量及安全问题负责处理解决并承担一切费用。</w:t>
            </w:r>
          </w:p>
        </w:tc>
      </w:tr>
      <w:tr w14:paraId="3350401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54" w:hRule="atLeast"/>
          <w:jc w:val="center"/>
        </w:trPr>
        <w:tc>
          <w:tcPr>
            <w:tcW w:w="1301" w:type="dxa"/>
            <w:noWrap w:val="0"/>
            <w:vAlign w:val="center"/>
          </w:tcPr>
          <w:p w14:paraId="7186B860">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0ED75262">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第14.1（5）项</w:t>
            </w:r>
          </w:p>
        </w:tc>
        <w:tc>
          <w:tcPr>
            <w:tcW w:w="1476" w:type="dxa"/>
            <w:noWrap w:val="0"/>
            <w:vAlign w:val="center"/>
          </w:tcPr>
          <w:p w14:paraId="638D83DC">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货物回收的约定</w:t>
            </w:r>
          </w:p>
        </w:tc>
        <w:tc>
          <w:tcPr>
            <w:tcW w:w="6367" w:type="dxa"/>
            <w:noWrap w:val="0"/>
            <w:vAlign w:val="center"/>
          </w:tcPr>
          <w:p w14:paraId="30139233">
            <w:pPr>
              <w:keepNext w:val="0"/>
              <w:keepLines w:val="0"/>
              <w:suppressLineNumbers w:val="0"/>
              <w:spacing w:before="0" w:beforeAutospacing="0" w:after="0" w:afterAutospacing="0"/>
              <w:ind w:left="0" w:right="0"/>
              <w:jc w:val="left"/>
              <w:rPr>
                <w:rFonts w:hint="eastAsia" w:ascii="宋体" w:hAnsi="宋体" w:eastAsiaTheme="minorEastAsia"/>
                <w:color w:val="auto"/>
                <w:sz w:val="24"/>
                <w:lang w:val="en-US" w:eastAsia="zh-CN"/>
              </w:rPr>
            </w:pPr>
            <w:r>
              <w:rPr>
                <w:rFonts w:hint="eastAsia" w:ascii="宋体" w:hAnsi="宋体"/>
                <w:color w:val="auto"/>
                <w:sz w:val="24"/>
                <w:lang w:val="en-US" w:eastAsia="zh-CN"/>
              </w:rPr>
              <w:t>/</w:t>
            </w:r>
          </w:p>
        </w:tc>
      </w:tr>
      <w:tr w14:paraId="496ED07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020" w:hRule="atLeast"/>
          <w:jc w:val="center"/>
        </w:trPr>
        <w:tc>
          <w:tcPr>
            <w:tcW w:w="1301" w:type="dxa"/>
            <w:noWrap w:val="0"/>
            <w:vAlign w:val="center"/>
          </w:tcPr>
          <w:p w14:paraId="34630FE2">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2A2BC2FA">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第14.1（6）项</w:t>
            </w:r>
          </w:p>
        </w:tc>
        <w:tc>
          <w:tcPr>
            <w:tcW w:w="1476" w:type="dxa"/>
            <w:noWrap w:val="0"/>
            <w:vAlign w:val="center"/>
          </w:tcPr>
          <w:p w14:paraId="6FCA0686">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乙方提供的其他服务</w:t>
            </w:r>
          </w:p>
        </w:tc>
        <w:tc>
          <w:tcPr>
            <w:tcW w:w="6367" w:type="dxa"/>
            <w:noWrap w:val="0"/>
            <w:vAlign w:val="center"/>
          </w:tcPr>
          <w:p w14:paraId="3AD6EC49">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超过保修期的货物，终生维修，维修时只收部件成本费。</w:t>
            </w:r>
          </w:p>
        </w:tc>
      </w:tr>
      <w:tr w14:paraId="45FFA43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534" w:hRule="atLeast"/>
          <w:jc w:val="center"/>
        </w:trPr>
        <w:tc>
          <w:tcPr>
            <w:tcW w:w="1301" w:type="dxa"/>
            <w:noWrap w:val="0"/>
            <w:vAlign w:val="center"/>
          </w:tcPr>
          <w:p w14:paraId="40AACA55">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6D88D4B6">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第15.1款</w:t>
            </w:r>
          </w:p>
        </w:tc>
        <w:tc>
          <w:tcPr>
            <w:tcW w:w="1476" w:type="dxa"/>
            <w:noWrap w:val="0"/>
            <w:vAlign w:val="center"/>
          </w:tcPr>
          <w:p w14:paraId="580188E5">
            <w:pPr>
              <w:keepNext w:val="0"/>
              <w:keepLines w:val="0"/>
              <w:suppressLineNumbers w:val="0"/>
              <w:spacing w:before="0" w:beforeAutospacing="0" w:after="0" w:afterAutospacing="0"/>
              <w:ind w:left="0" w:right="0"/>
              <w:jc w:val="center"/>
              <w:rPr>
                <w:rFonts w:hint="eastAsia" w:ascii="宋体" w:hAnsi="宋体"/>
                <w:color w:val="auto"/>
                <w:sz w:val="24"/>
                <w:highlight w:val="none"/>
              </w:rPr>
            </w:pPr>
            <w:r>
              <w:rPr>
                <w:rFonts w:hint="eastAsia" w:ascii="宋体" w:hAnsi="宋体"/>
                <w:color w:val="auto"/>
                <w:sz w:val="24"/>
                <w:highlight w:val="none"/>
              </w:rPr>
              <w:t>修理、重作、更换相关具体规定</w:t>
            </w:r>
          </w:p>
        </w:tc>
        <w:tc>
          <w:tcPr>
            <w:tcW w:w="6367" w:type="dxa"/>
            <w:noWrap w:val="0"/>
            <w:vAlign w:val="center"/>
          </w:tcPr>
          <w:p w14:paraId="791050B4">
            <w:pPr>
              <w:keepNext w:val="0"/>
              <w:keepLines w:val="0"/>
              <w:widowControl/>
              <w:numPr>
                <w:ilvl w:val="-1"/>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详见合同通用条款8.2条款、合同专用条款第二节第8款补充条款及合同专用条款中索赔条款。</w:t>
            </w:r>
          </w:p>
          <w:p w14:paraId="299550FA">
            <w:pPr>
              <w:keepNext w:val="0"/>
              <w:keepLines w:val="0"/>
              <w:widowControl/>
              <w:numPr>
                <w:ilvl w:val="-1"/>
                <w:numId w:val="0"/>
              </w:numPr>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32099E2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139" w:hRule="atLeast"/>
          <w:jc w:val="center"/>
        </w:trPr>
        <w:tc>
          <w:tcPr>
            <w:tcW w:w="1301" w:type="dxa"/>
            <w:noWrap w:val="0"/>
            <w:vAlign w:val="center"/>
          </w:tcPr>
          <w:p w14:paraId="62443AB6">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19F24D7A">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第15.2（2）项</w:t>
            </w:r>
          </w:p>
        </w:tc>
        <w:tc>
          <w:tcPr>
            <w:tcW w:w="1476" w:type="dxa"/>
            <w:noWrap w:val="0"/>
            <w:vAlign w:val="center"/>
          </w:tcPr>
          <w:p w14:paraId="5AD5C7AC">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迟延交货赔偿费</w:t>
            </w:r>
          </w:p>
        </w:tc>
        <w:tc>
          <w:tcPr>
            <w:tcW w:w="6367" w:type="dxa"/>
            <w:noWrap w:val="0"/>
            <w:vAlign w:val="center"/>
          </w:tcPr>
          <w:p w14:paraId="5C4A2A1A">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1.乙方应按照“开标（报价）一览表”中规定的交货期或承诺交货和提供服务，并交付甲方验收使用。</w:t>
            </w:r>
          </w:p>
          <w:p w14:paraId="4BA04A99">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2.如果乙方无正当理由拖延交货，将受到以下制裁：加收误期赔偿或终止合同。</w:t>
            </w:r>
          </w:p>
          <w:p w14:paraId="03485D1A">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 乙方逾期交付货物的，乙方应按逾期交货总额每日</w:t>
            </w:r>
            <w:r>
              <w:rPr>
                <w:rFonts w:hint="eastAsia" w:ascii="宋体" w:hAnsi="宋体" w:eastAsia="宋体" w:cs="宋体"/>
                <w:color w:val="auto"/>
                <w:sz w:val="24"/>
                <w:szCs w:val="20"/>
                <w:highlight w:val="none"/>
                <w:u w:val="single"/>
              </w:rPr>
              <w:t xml:space="preserve">6‰ </w:t>
            </w:r>
            <w:r>
              <w:rPr>
                <w:rFonts w:hint="eastAsia" w:ascii="宋体" w:hAnsi="宋体" w:eastAsia="宋体" w:cs="宋体"/>
                <w:color w:val="auto"/>
                <w:sz w:val="24"/>
                <w:szCs w:val="20"/>
                <w:highlight w:val="none"/>
              </w:rPr>
              <w:t>向甲方支付违约金，由甲方从待付货款中扣除。逾期超过约定日期</w:t>
            </w:r>
            <w:r>
              <w:rPr>
                <w:rFonts w:hint="eastAsia" w:ascii="宋体" w:hAnsi="宋体" w:eastAsia="宋体" w:cs="宋体"/>
                <w:color w:val="auto"/>
                <w:sz w:val="24"/>
                <w:szCs w:val="20"/>
                <w:highlight w:val="none"/>
                <w:u w:val="none"/>
              </w:rPr>
              <w:t xml:space="preserve"> 10 </w:t>
            </w:r>
            <w:r>
              <w:rPr>
                <w:rFonts w:hint="eastAsia" w:ascii="宋体" w:hAnsi="宋体" w:eastAsia="宋体" w:cs="宋体"/>
                <w:color w:val="auto"/>
                <w:sz w:val="24"/>
                <w:szCs w:val="20"/>
                <w:highlight w:val="none"/>
              </w:rPr>
              <w:t>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0"/>
                <w:highlight w:val="none"/>
                <w:u w:val="single"/>
              </w:rPr>
              <w:t xml:space="preserve">5% </w:t>
            </w:r>
            <w:r>
              <w:rPr>
                <w:rFonts w:hint="eastAsia" w:ascii="宋体" w:hAnsi="宋体" w:eastAsia="宋体" w:cs="宋体"/>
                <w:color w:val="auto"/>
                <w:sz w:val="24"/>
                <w:szCs w:val="20"/>
                <w:highlight w:val="none"/>
              </w:rPr>
              <w:t xml:space="preserve">的违约金，如造成甲方损失超过违约金的，超出部分由乙方继续承担赔偿责任。 </w:t>
            </w:r>
          </w:p>
          <w:p w14:paraId="3F2CCD3E">
            <w:pPr>
              <w:keepNext w:val="0"/>
              <w:keepLines w:val="0"/>
              <w:widowControl/>
              <w:suppressLineNumbers w:val="0"/>
              <w:spacing w:before="0" w:beforeAutospacing="0" w:after="0" w:afterAutospacing="0" w:line="560" w:lineRule="exact"/>
              <w:ind w:left="0" w:right="0" w:firstLine="482"/>
              <w:jc w:val="left"/>
              <w:rPr>
                <w:rFonts w:hint="eastAsia" w:ascii="宋体" w:hAnsi="宋体"/>
                <w:color w:val="auto"/>
                <w:sz w:val="24"/>
                <w:highlight w:val="white"/>
                <w:u w:val="single"/>
              </w:rPr>
            </w:pPr>
            <w:r>
              <w:rPr>
                <w:rFonts w:hint="eastAsia" w:ascii="宋体" w:hAnsi="宋体" w:eastAsia="宋体" w:cs="宋体"/>
                <w:color w:val="auto"/>
                <w:sz w:val="24"/>
                <w:szCs w:val="20"/>
                <w:highlight w:val="none"/>
              </w:rPr>
              <w:t>4.如乙方不能交付货物，或者有违法转包他人情形，乙方应向甲方支付合同总价</w:t>
            </w:r>
            <w:r>
              <w:rPr>
                <w:rFonts w:hint="eastAsia" w:ascii="宋体" w:hAnsi="宋体" w:eastAsia="宋体" w:cs="宋体"/>
                <w:color w:val="auto"/>
                <w:sz w:val="24"/>
                <w:szCs w:val="20"/>
                <w:highlight w:val="none"/>
                <w:u w:val="single"/>
              </w:rPr>
              <w:t xml:space="preserve"> 5% </w:t>
            </w:r>
            <w:r>
              <w:rPr>
                <w:rFonts w:hint="eastAsia" w:ascii="宋体" w:hAnsi="宋体" w:eastAsia="宋体" w:cs="宋体"/>
                <w:color w:val="auto"/>
                <w:sz w:val="24"/>
                <w:szCs w:val="20"/>
                <w:highlight w:val="none"/>
              </w:rPr>
              <w:t>的滞纳金。</w:t>
            </w:r>
          </w:p>
        </w:tc>
      </w:tr>
      <w:tr w14:paraId="1670E0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025" w:hRule="atLeast"/>
          <w:jc w:val="center"/>
        </w:trPr>
        <w:tc>
          <w:tcPr>
            <w:tcW w:w="1301" w:type="dxa"/>
            <w:noWrap w:val="0"/>
            <w:vAlign w:val="center"/>
          </w:tcPr>
          <w:p w14:paraId="58C8617A">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1AC3614F">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第15.3款</w:t>
            </w:r>
          </w:p>
        </w:tc>
        <w:tc>
          <w:tcPr>
            <w:tcW w:w="1476" w:type="dxa"/>
            <w:noWrap w:val="0"/>
            <w:vAlign w:val="center"/>
          </w:tcPr>
          <w:p w14:paraId="0B37A7D1">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逾期付款利息</w:t>
            </w:r>
          </w:p>
        </w:tc>
        <w:tc>
          <w:tcPr>
            <w:tcW w:w="6367" w:type="dxa"/>
            <w:noWrap w:val="0"/>
            <w:vAlign w:val="center"/>
          </w:tcPr>
          <w:p w14:paraId="6C667892">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1.甲方无正当理由拒收货物的，甲方向乙方偿付拒收货款总值5%的违约金。</w:t>
            </w:r>
          </w:p>
          <w:p w14:paraId="5A038F2B">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white"/>
                <w:u w:val="none"/>
              </w:rPr>
            </w:pPr>
            <w:r>
              <w:rPr>
                <w:rFonts w:hint="eastAsia" w:ascii="宋体" w:hAnsi="宋体" w:eastAsia="宋体" w:cs="宋体"/>
                <w:color w:val="auto"/>
                <w:sz w:val="24"/>
                <w:szCs w:val="20"/>
                <w:highlight w:val="none"/>
              </w:rPr>
              <w:t>2.甲方无故逾期验收和办理货款支付手续的,甲方应按逾期付款总额每日5‰向乙方支付违约金。</w:t>
            </w:r>
          </w:p>
        </w:tc>
      </w:tr>
      <w:tr w14:paraId="542CAB4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523" w:hRule="atLeast"/>
          <w:jc w:val="center"/>
        </w:trPr>
        <w:tc>
          <w:tcPr>
            <w:tcW w:w="1301" w:type="dxa"/>
            <w:tcBorders>
              <w:bottom w:val="single" w:color="000000" w:sz="2" w:space="0"/>
              <w:right w:val="single" w:color="000000" w:sz="2" w:space="0"/>
            </w:tcBorders>
            <w:noWrap w:val="0"/>
            <w:vAlign w:val="center"/>
          </w:tcPr>
          <w:p w14:paraId="49CB859B">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7F6F6B14">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第15.4款</w:t>
            </w:r>
          </w:p>
        </w:tc>
        <w:tc>
          <w:tcPr>
            <w:tcW w:w="1476" w:type="dxa"/>
            <w:tcBorders>
              <w:left w:val="single" w:color="000000" w:sz="2" w:space="0"/>
              <w:bottom w:val="single" w:color="000000" w:sz="2" w:space="0"/>
              <w:right w:val="single" w:color="000000" w:sz="2" w:space="0"/>
            </w:tcBorders>
            <w:noWrap w:val="0"/>
            <w:vAlign w:val="center"/>
          </w:tcPr>
          <w:p w14:paraId="3CE738EE">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其他违约责任</w:t>
            </w:r>
          </w:p>
        </w:tc>
        <w:tc>
          <w:tcPr>
            <w:tcW w:w="6367" w:type="dxa"/>
            <w:tcBorders>
              <w:left w:val="single" w:color="000000" w:sz="2" w:space="0"/>
              <w:bottom w:val="single" w:color="000000" w:sz="2" w:space="0"/>
            </w:tcBorders>
            <w:noWrap w:val="0"/>
            <w:vAlign w:val="center"/>
          </w:tcPr>
          <w:p w14:paraId="645EA42D">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u w:val="none"/>
              </w:rPr>
            </w:pPr>
            <w:r>
              <w:rPr>
                <w:rFonts w:hint="eastAsia" w:ascii="宋体" w:hAnsi="宋体" w:eastAsia="宋体" w:cs="宋体"/>
                <w:color w:val="auto"/>
                <w:sz w:val="24"/>
                <w:szCs w:val="20"/>
                <w:highlight w:val="none"/>
              </w:rPr>
              <w:t>乙方交付合同标的的标准不符合合同规定及招标文件规定标准的，甲方有权拒绝接受合同标的，并可单方面解除合同。</w:t>
            </w:r>
          </w:p>
        </w:tc>
      </w:tr>
      <w:tr w14:paraId="3ABA25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016" w:hRule="atLeast"/>
          <w:jc w:val="center"/>
        </w:trPr>
        <w:tc>
          <w:tcPr>
            <w:tcW w:w="1301" w:type="dxa"/>
            <w:tcBorders>
              <w:top w:val="single" w:color="000000" w:sz="2" w:space="0"/>
              <w:right w:val="single" w:color="000000" w:sz="2" w:space="0"/>
            </w:tcBorders>
            <w:noWrap w:val="0"/>
            <w:vAlign w:val="center"/>
          </w:tcPr>
          <w:p w14:paraId="43DB6D4A">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596805C0">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第19.2款</w:t>
            </w:r>
          </w:p>
        </w:tc>
        <w:tc>
          <w:tcPr>
            <w:tcW w:w="1476" w:type="dxa"/>
            <w:tcBorders>
              <w:top w:val="single" w:color="000000" w:sz="2" w:space="0"/>
              <w:left w:val="single" w:color="000000" w:sz="2" w:space="0"/>
              <w:right w:val="single" w:color="000000" w:sz="2" w:space="0"/>
            </w:tcBorders>
            <w:noWrap w:val="0"/>
            <w:vAlign w:val="center"/>
          </w:tcPr>
          <w:p w14:paraId="5B78B736">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解决争议的方法</w:t>
            </w:r>
          </w:p>
        </w:tc>
        <w:tc>
          <w:tcPr>
            <w:tcW w:w="6367" w:type="dxa"/>
            <w:tcBorders>
              <w:top w:val="single" w:color="000000" w:sz="2" w:space="0"/>
              <w:left w:val="single" w:color="000000" w:sz="2" w:space="0"/>
            </w:tcBorders>
            <w:noWrap w:val="0"/>
            <w:vAlign w:val="center"/>
          </w:tcPr>
          <w:p w14:paraId="10890A03">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1.因本合同及合同有关事项发生的争议，由双方协商解决，协商不成时，按下列第</w:t>
            </w:r>
            <w:r>
              <w:rPr>
                <w:rFonts w:hint="eastAsia" w:ascii="宋体" w:hAnsi="宋体" w:eastAsia="宋体" w:cs="宋体"/>
                <w:color w:val="auto"/>
                <w:sz w:val="24"/>
                <w:szCs w:val="20"/>
                <w:highlight w:val="none"/>
                <w:u w:val="single"/>
              </w:rPr>
              <w:t xml:space="preserve"> 2 </w:t>
            </w:r>
            <w:r>
              <w:rPr>
                <w:rFonts w:hint="eastAsia" w:ascii="宋体" w:hAnsi="宋体" w:eastAsia="宋体" w:cs="宋体"/>
                <w:color w:val="auto"/>
                <w:sz w:val="24"/>
                <w:szCs w:val="20"/>
                <w:highlight w:val="none"/>
              </w:rPr>
              <w:t>种方式解决：</w:t>
            </w:r>
          </w:p>
          <w:p w14:paraId="0F7D23AC">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（1）向仲裁委员会申请仲裁，仲裁地点为</w:t>
            </w:r>
            <w:r>
              <w:rPr>
                <w:rFonts w:hint="eastAsia" w:ascii="宋体" w:hAnsi="宋体" w:eastAsia="宋体" w:cs="宋体"/>
                <w:color w:val="auto"/>
                <w:sz w:val="24"/>
                <w:szCs w:val="20"/>
                <w:highlight w:val="none"/>
                <w:u w:val="single"/>
              </w:rPr>
              <w:t>盐城市</w:t>
            </w:r>
            <w:r>
              <w:rPr>
                <w:rFonts w:hint="eastAsia" w:ascii="宋体" w:hAnsi="宋体" w:eastAsia="宋体" w:cs="宋体"/>
                <w:color w:val="auto"/>
                <w:sz w:val="24"/>
                <w:szCs w:val="20"/>
                <w:highlight w:val="none"/>
              </w:rPr>
              <w:t>；</w:t>
            </w:r>
          </w:p>
          <w:p w14:paraId="464081AB">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（2）向甲方所在地人民法院起诉。</w:t>
            </w:r>
          </w:p>
          <w:p w14:paraId="111020F2">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 纠纷解决办法</w:t>
            </w:r>
          </w:p>
          <w:p w14:paraId="3C1DC8D2">
            <w:pPr>
              <w:keepNext w:val="0"/>
              <w:keepLines w:val="0"/>
              <w:widowControl/>
              <w:suppressLineNumbers w:val="0"/>
              <w:spacing w:before="0" w:beforeAutospacing="0" w:after="0" w:afterAutospacing="0" w:line="560" w:lineRule="exact"/>
              <w:ind w:left="0" w:right="0" w:firstLine="482"/>
              <w:jc w:val="left"/>
              <w:rPr>
                <w:rFonts w:hint="eastAsia" w:ascii="宋体" w:hAnsi="宋体"/>
                <w:color w:val="auto"/>
                <w:sz w:val="24"/>
                <w:highlight w:val="white"/>
              </w:rPr>
            </w:pPr>
            <w:r>
              <w:rPr>
                <w:rFonts w:hint="eastAsia" w:ascii="宋体" w:hAnsi="宋体" w:eastAsia="宋体" w:cs="宋体"/>
                <w:color w:val="auto"/>
                <w:sz w:val="24"/>
                <w:szCs w:val="20"/>
                <w:highlight w:val="none"/>
              </w:rPr>
              <w:t>2.1因货物的质量问题发生争议的，应当邀请国家认可的质量检测机构对货物质量进行鉴定。货物符合标准的，鉴定费由甲方承担；货物不符合质量标准的，鉴定费由乙方承担，并更换问题货物。</w:t>
            </w:r>
          </w:p>
        </w:tc>
      </w:tr>
      <w:tr w14:paraId="34E1DD1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568" w:hRule="atLeast"/>
          <w:jc w:val="center"/>
        </w:trPr>
        <w:tc>
          <w:tcPr>
            <w:tcW w:w="1301" w:type="dxa"/>
            <w:noWrap w:val="0"/>
            <w:vAlign w:val="center"/>
          </w:tcPr>
          <w:p w14:paraId="7E317085">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第二节</w:t>
            </w:r>
          </w:p>
          <w:p w14:paraId="7FD20BCB">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第23.1款</w:t>
            </w:r>
          </w:p>
        </w:tc>
        <w:tc>
          <w:tcPr>
            <w:tcW w:w="1476" w:type="dxa"/>
            <w:noWrap w:val="0"/>
            <w:vAlign w:val="center"/>
          </w:tcPr>
          <w:p w14:paraId="158CB4DE">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bCs w:val="0"/>
                <w:color w:val="auto"/>
                <w:sz w:val="24"/>
              </w:rPr>
              <w:t>其他专用条款</w:t>
            </w:r>
          </w:p>
        </w:tc>
        <w:tc>
          <w:tcPr>
            <w:tcW w:w="6367" w:type="dxa"/>
            <w:noWrap w:val="0"/>
            <w:vAlign w:val="center"/>
          </w:tcPr>
          <w:p w14:paraId="2639497F">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01AD3B2C">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27E2BC1A">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3.验收不合格的货物，乙方应在</w:t>
            </w:r>
            <w:r>
              <w:rPr>
                <w:rFonts w:hint="eastAsia" w:ascii="宋体" w:hAnsi="宋体" w:eastAsia="宋体" w:cs="宋体"/>
                <w:color w:val="auto"/>
                <w:sz w:val="24"/>
                <w:szCs w:val="20"/>
                <w:highlight w:val="none"/>
                <w:u w:val="single"/>
              </w:rPr>
              <w:t>三个工作日</w:t>
            </w:r>
            <w:r>
              <w:rPr>
                <w:rFonts w:hint="eastAsia" w:ascii="宋体" w:hAnsi="宋体" w:eastAsia="宋体" w:cs="宋体"/>
                <w:color w:val="auto"/>
                <w:sz w:val="24"/>
                <w:szCs w:val="20"/>
                <w:highlight w:val="none"/>
              </w:rPr>
              <w:t>内予以更换，逾期按交货延误予以处罚。乙方所交付的货物品种、型号、规格不符合合同规定的，甲方有权拒收。甲方拒收的，乙方向甲方支付货款总额</w:t>
            </w:r>
            <w:r>
              <w:rPr>
                <w:rFonts w:hint="eastAsia" w:ascii="宋体" w:hAnsi="宋体" w:eastAsia="宋体" w:cs="宋体"/>
                <w:color w:val="auto"/>
                <w:sz w:val="24"/>
                <w:szCs w:val="20"/>
                <w:u w:val="single"/>
                <w:lang w:val="en-US" w:eastAsia="zh-CN"/>
              </w:rPr>
              <w:t xml:space="preserve">  </w:t>
            </w:r>
            <w:r>
              <w:rPr>
                <w:rFonts w:hint="eastAsia" w:ascii="宋体" w:hAnsi="宋体" w:eastAsia="宋体" w:cs="宋体"/>
                <w:color w:val="auto"/>
                <w:sz w:val="24"/>
                <w:szCs w:val="20"/>
                <w:highlight w:val="none"/>
                <w:u w:val="single"/>
              </w:rPr>
              <w:t>5</w:t>
            </w:r>
            <w:r>
              <w:rPr>
                <w:rFonts w:hint="eastAsia" w:ascii="宋体" w:hAnsi="宋体" w:eastAsia="宋体" w:cs="宋体"/>
                <w:color w:val="auto"/>
                <w:sz w:val="24"/>
                <w:szCs w:val="20"/>
                <w:u w:val="single"/>
                <w:lang w:val="en-US" w:eastAsia="zh-CN"/>
              </w:rPr>
              <w:t xml:space="preserve"> </w:t>
            </w:r>
            <w:r>
              <w:rPr>
                <w:rFonts w:hint="eastAsia" w:ascii="宋体" w:hAnsi="宋体" w:eastAsia="宋体" w:cs="宋体"/>
                <w:color w:val="auto"/>
                <w:sz w:val="24"/>
                <w:szCs w:val="20"/>
                <w:highlight w:val="none"/>
                <w:u w:val="single"/>
              </w:rPr>
              <w:t>%</w:t>
            </w:r>
            <w:r>
              <w:rPr>
                <w:rFonts w:hint="eastAsia" w:ascii="宋体" w:hAnsi="宋体" w:eastAsia="宋体" w:cs="宋体"/>
                <w:color w:val="auto"/>
                <w:sz w:val="24"/>
                <w:szCs w:val="20"/>
                <w:highlight w:val="none"/>
              </w:rPr>
              <w:t>的违约金。在乙方承诺的或国家规定的质量保证期内，若经乙方维修或更换，货物仍不能达到合同约定的质量标准，甲方有权退货，乙方应退回全部货款，同时，乙方还须赔偿甲方因此遭受的损失。</w:t>
            </w:r>
          </w:p>
          <w:p w14:paraId="2838795C">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4.货物验收要求</w:t>
            </w:r>
          </w:p>
          <w:p w14:paraId="129412E6">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（1）依照招标文件要求对全部货物、型号、规格、数量、外型、外观、包装及资料、文件（如装箱单、保修单、随箱介质等）进行验收。</w:t>
            </w:r>
          </w:p>
          <w:p w14:paraId="451D2707">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（2）甲方与乙方对货物到货后共同进行开箱检查，出现损坏、数量不全或产品不对等问题时，由乙方负责解决。</w:t>
            </w:r>
          </w:p>
          <w:p w14:paraId="40B1E374">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（3）甲方有权从乙方所送货物中任意抽出不同型号的产品送采购人所在地的质检部门检验，如果检验合格，检验费由甲方负担；如果检验不合格，则检验费由乙方负担。</w:t>
            </w:r>
          </w:p>
          <w:p w14:paraId="6A1A4B3B">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（4）乙方应按照本合同规定的时间、地点和方式向乙方交付货物。</w:t>
            </w:r>
          </w:p>
          <w:p w14:paraId="4E3D2179">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u w:val="single"/>
                <w:lang w:eastAsia="zh-CN"/>
              </w:rPr>
            </w:pPr>
            <w:r>
              <w:rPr>
                <w:rFonts w:hint="eastAsia" w:ascii="宋体" w:hAnsi="宋体" w:eastAsia="宋体" w:cs="宋体"/>
                <w:color w:val="auto"/>
                <w:sz w:val="24"/>
                <w:szCs w:val="20"/>
                <w:highlight w:val="none"/>
              </w:rPr>
              <w:t>交货时间：</w:t>
            </w:r>
            <w:r>
              <w:rPr>
                <w:rFonts w:hint="eastAsia" w:ascii="宋体" w:hAnsi="宋体" w:eastAsia="宋体" w:cs="宋体"/>
                <w:color w:val="auto"/>
                <w:sz w:val="24"/>
                <w:szCs w:val="20"/>
                <w:highlight w:val="none"/>
                <w:u w:val="single"/>
              </w:rPr>
              <w:t>合同生效后60个日历天（此期限不包括采购人验收时间），供应商应在此期限内完成全部货物的交付、安装与调试</w:t>
            </w:r>
            <w:r>
              <w:rPr>
                <w:rFonts w:hint="eastAsia" w:ascii="宋体" w:hAnsi="宋体" w:eastAsia="宋体" w:cs="宋体"/>
                <w:color w:val="auto"/>
                <w:sz w:val="24"/>
                <w:szCs w:val="20"/>
                <w:highlight w:val="none"/>
                <w:u w:val="single"/>
                <w:lang w:eastAsia="zh-CN"/>
              </w:rPr>
              <w:t>。</w:t>
            </w:r>
          </w:p>
          <w:p w14:paraId="02ADEE73">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u w:val="single"/>
                <w:lang w:val="en-US" w:eastAsia="zh-CN"/>
              </w:rPr>
              <w:t>注：</w:t>
            </w:r>
            <w:r>
              <w:rPr>
                <w:rFonts w:hint="eastAsia" w:ascii="宋体" w:hAnsi="宋体" w:eastAsia="宋体" w:cs="宋体"/>
                <w:color w:val="auto"/>
                <w:sz w:val="24"/>
                <w:szCs w:val="20"/>
                <w:highlight w:val="none"/>
                <w:u w:val="single"/>
              </w:rPr>
              <w:t>若因不可抗力（需提供县级及以上相关部门出具的不可抗力证明）或采购人场地、需求变更等非中标人原因需延期，中标人可提前10个工作日向采购人提交书面延期申请，说明延期理由及预计完成时间，经采购人书面同意后可调整交付时间，延期时间最长不超过30个日历日；因中标人自身原因导致延期的，按合同约定承担违约责任。</w:t>
            </w:r>
          </w:p>
          <w:p w14:paraId="5FDC8306">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交货地点：</w:t>
            </w:r>
            <w:r>
              <w:rPr>
                <w:rFonts w:hint="eastAsia" w:ascii="宋体" w:hAnsi="宋体" w:eastAsia="宋体" w:cs="宋体"/>
                <w:color w:val="auto"/>
                <w:sz w:val="24"/>
                <w:szCs w:val="20"/>
                <w:highlight w:val="none"/>
                <w:u w:val="single"/>
                <w:lang w:eastAsia="zh-CN"/>
              </w:rPr>
              <w:t>江苏省盐城技师学院</w:t>
            </w:r>
            <w:r>
              <w:rPr>
                <w:rFonts w:hint="eastAsia" w:ascii="宋体" w:hAnsi="宋体" w:eastAsia="宋体" w:cs="宋体"/>
                <w:color w:val="auto"/>
                <w:sz w:val="24"/>
                <w:szCs w:val="20"/>
                <w:highlight w:val="none"/>
                <w:u w:val="single"/>
              </w:rPr>
              <w:t>指定地点</w:t>
            </w:r>
            <w:r>
              <w:rPr>
                <w:rFonts w:hint="eastAsia" w:ascii="宋体" w:hAnsi="宋体" w:eastAsia="宋体" w:cs="宋体"/>
                <w:color w:val="auto"/>
                <w:sz w:val="24"/>
                <w:szCs w:val="20"/>
                <w:highlight w:val="none"/>
              </w:rPr>
              <w:t>。</w:t>
            </w:r>
          </w:p>
          <w:p w14:paraId="25DC38F0">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（5）甲方应在全部货物到货安装完毕后的</w:t>
            </w:r>
            <w:r>
              <w:rPr>
                <w:rFonts w:hint="eastAsia" w:ascii="宋体" w:hAnsi="宋体" w:eastAsia="宋体" w:cs="宋体"/>
                <w:color w:val="auto"/>
                <w:sz w:val="24"/>
                <w:szCs w:val="20"/>
                <w:highlight w:val="none"/>
                <w:u w:val="single"/>
              </w:rPr>
              <w:t>五个工作日</w:t>
            </w:r>
            <w:r>
              <w:rPr>
                <w:rFonts w:hint="eastAsia" w:ascii="宋体" w:hAnsi="宋体" w:eastAsia="宋体" w:cs="宋体"/>
                <w:color w:val="auto"/>
                <w:sz w:val="24"/>
                <w:szCs w:val="20"/>
                <w:highlight w:val="none"/>
              </w:rPr>
              <w:t>内进行验收，验收包括：型号、规格、数量、外观是否完好，安装调试是否合格等。验收合格后甲方应在验收报告上签字盖章，初步验收合格且</w:t>
            </w:r>
            <w:r>
              <w:rPr>
                <w:rFonts w:hint="eastAsia" w:ascii="宋体" w:hAnsi="宋体" w:eastAsia="宋体" w:cs="宋体"/>
                <w:color w:val="auto"/>
                <w:sz w:val="24"/>
                <w:szCs w:val="20"/>
                <w:highlight w:val="none"/>
                <w:lang w:val="en-US" w:eastAsia="zh-CN"/>
              </w:rPr>
              <w:t>按合同要求</w:t>
            </w:r>
            <w:r>
              <w:rPr>
                <w:rFonts w:hint="eastAsia" w:ascii="宋体" w:hAnsi="宋体" w:eastAsia="宋体" w:cs="宋体"/>
                <w:color w:val="auto"/>
                <w:sz w:val="24"/>
                <w:szCs w:val="20"/>
                <w:highlight w:val="none"/>
              </w:rPr>
              <w:t>项目运行</w:t>
            </w:r>
            <w:r>
              <w:rPr>
                <w:rFonts w:hint="eastAsia" w:ascii="宋体" w:hAnsi="宋体" w:eastAsia="宋体" w:cs="宋体"/>
                <w:color w:val="auto"/>
                <w:sz w:val="24"/>
                <w:szCs w:val="20"/>
                <w:highlight w:val="none"/>
                <w:lang w:val="en-US" w:eastAsia="zh-CN"/>
              </w:rPr>
              <w:t>期</w:t>
            </w:r>
            <w:r>
              <w:rPr>
                <w:rFonts w:hint="eastAsia" w:ascii="宋体" w:hAnsi="宋体" w:eastAsia="宋体" w:cs="宋体"/>
                <w:color w:val="auto"/>
                <w:sz w:val="24"/>
                <w:szCs w:val="20"/>
                <w:highlight w:val="none"/>
              </w:rPr>
              <w:t>满后，甲方组织对货物的质量及使用状况等进行最终验收。</w:t>
            </w:r>
          </w:p>
          <w:p w14:paraId="6A61EFF0">
            <w:pPr>
              <w:keepNext w:val="0"/>
              <w:keepLines w:val="0"/>
              <w:widowControl/>
              <w:suppressLineNumbers w:val="0"/>
              <w:spacing w:before="0" w:beforeAutospacing="0" w:after="0" w:afterAutospacing="0" w:line="560" w:lineRule="exact"/>
              <w:ind w:left="0" w:right="0" w:firstLine="482"/>
              <w:jc w:val="left"/>
              <w:rPr>
                <w:rFonts w:hint="eastAsia" w:ascii="宋体" w:hAnsi="宋体"/>
                <w:color w:val="auto"/>
                <w:sz w:val="24"/>
                <w:highlight w:val="white"/>
              </w:rPr>
            </w:pPr>
            <w:r>
              <w:rPr>
                <w:rFonts w:hint="eastAsia" w:ascii="宋体" w:hAnsi="宋体" w:eastAsia="宋体" w:cs="宋体"/>
                <w:color w:val="auto"/>
                <w:sz w:val="24"/>
                <w:szCs w:val="20"/>
                <w:highlight w:val="none"/>
              </w:rPr>
              <w:t>（6）货到现场后，甲方人员根据招标要求，对包装物进行视检和抽检，如包装物不符合招标要求，甲方有权将包装物送至市级及以上检测机构送检。因检测不合格延误了交付进度，乙方应承担相应的违约责任。供货时须提供所供货物的原厂合格</w:t>
            </w:r>
            <w:r>
              <w:rPr>
                <w:rFonts w:hint="eastAsia" w:ascii="宋体" w:hAnsi="宋体" w:eastAsia="宋体" w:cs="宋体"/>
                <w:color w:val="auto"/>
                <w:sz w:val="24"/>
                <w:szCs w:val="20"/>
              </w:rPr>
              <w:t>证明，否则将会被拒收；</w:t>
            </w:r>
            <w:r>
              <w:rPr>
                <w:rFonts w:hint="eastAsia" w:ascii="宋体" w:hAnsi="宋体" w:eastAsia="宋体" w:cs="宋体"/>
                <w:color w:val="auto"/>
                <w:sz w:val="24"/>
                <w:szCs w:val="20"/>
                <w:lang w:val="en-US" w:eastAsia="zh-CN"/>
              </w:rPr>
              <w:t>采购人有权</w:t>
            </w:r>
            <w:r>
              <w:rPr>
                <w:rFonts w:hint="eastAsia" w:ascii="宋体" w:hAnsi="宋体" w:eastAsia="宋体" w:cs="宋体"/>
                <w:color w:val="auto"/>
                <w:sz w:val="24"/>
                <w:szCs w:val="20"/>
              </w:rPr>
              <w:t>到货后的7日内组织对货物进行验收，</w:t>
            </w:r>
            <w:r>
              <w:rPr>
                <w:rFonts w:hint="eastAsia" w:ascii="宋体" w:hAnsi="宋体" w:eastAsia="宋体" w:cs="宋体"/>
                <w:color w:val="auto"/>
                <w:sz w:val="24"/>
                <w:szCs w:val="20"/>
                <w:lang w:val="en-US" w:eastAsia="zh-CN"/>
              </w:rPr>
              <w:t>采购人有权</w:t>
            </w:r>
            <w:r>
              <w:rPr>
                <w:rFonts w:hint="eastAsia" w:ascii="宋体" w:hAnsi="宋体" w:eastAsia="宋体" w:cs="宋体"/>
                <w:color w:val="auto"/>
                <w:sz w:val="24"/>
                <w:szCs w:val="20"/>
              </w:rPr>
              <w:t>每批次随机抽取两套送至具备资质的第三方检测机构进行检验、检测。检验、检测的各种参数和指标都要符合国家标准和采购文件要求。若第三方检测机构的检验、检测为不合格，必须无条件整改，对</w:t>
            </w:r>
            <w:r>
              <w:rPr>
                <w:rFonts w:hint="eastAsia" w:ascii="宋体" w:hAnsi="宋体" w:eastAsia="宋体" w:cs="宋体"/>
                <w:color w:val="auto"/>
                <w:sz w:val="24"/>
                <w:szCs w:val="20"/>
                <w:lang w:val="en-US" w:eastAsia="zh-CN"/>
              </w:rPr>
              <w:t>中标供应商</w:t>
            </w:r>
            <w:r>
              <w:rPr>
                <w:rFonts w:hint="eastAsia" w:ascii="宋体" w:hAnsi="宋体" w:eastAsia="宋体" w:cs="宋体"/>
                <w:color w:val="auto"/>
                <w:sz w:val="24"/>
                <w:szCs w:val="20"/>
              </w:rPr>
              <w:t>处以书面警告，并依据合同约定处以合同总价5%的违约金。该违约金系对采购人因此遭受的管理成本增加、风险扩大等损失的预先估算。若该违约金不足以弥补采购人因此遭受的全部实际损失（包括但不限于第三方检测费、工期延误损失等），</w:t>
            </w:r>
            <w:r>
              <w:rPr>
                <w:rFonts w:hint="eastAsia" w:ascii="宋体" w:hAnsi="宋体" w:eastAsia="宋体" w:cs="宋体"/>
                <w:color w:val="auto"/>
                <w:sz w:val="24"/>
                <w:szCs w:val="20"/>
                <w:lang w:val="en-US" w:eastAsia="zh-CN"/>
              </w:rPr>
              <w:t>中标</w:t>
            </w:r>
            <w:r>
              <w:rPr>
                <w:rFonts w:hint="eastAsia" w:ascii="宋体" w:hAnsi="宋体" w:eastAsia="宋体" w:cs="宋体"/>
                <w:color w:val="auto"/>
                <w:sz w:val="24"/>
                <w:szCs w:val="20"/>
              </w:rPr>
              <w:t>供应商应继续赔偿。并将有关结果报相关职能部门对所涉企业进行相关行政和刑事处罚</w:t>
            </w:r>
            <w:r>
              <w:rPr>
                <w:rFonts w:hint="eastAsia" w:ascii="宋体" w:hAnsi="宋体" w:eastAsia="宋体" w:cs="宋体"/>
                <w:color w:val="auto"/>
                <w:sz w:val="24"/>
                <w:szCs w:val="20"/>
                <w:lang w:eastAsia="zh-CN"/>
              </w:rPr>
              <w:t>。</w:t>
            </w:r>
          </w:p>
        </w:tc>
      </w:tr>
      <w:tr w14:paraId="2FE2826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528" w:hRule="atLeast"/>
          <w:jc w:val="center"/>
        </w:trPr>
        <w:tc>
          <w:tcPr>
            <w:tcW w:w="1301" w:type="dxa"/>
            <w:noWrap w:val="0"/>
            <w:vAlign w:val="center"/>
          </w:tcPr>
          <w:p w14:paraId="64D98B20">
            <w:pPr>
              <w:keepNext w:val="0"/>
              <w:keepLines w:val="0"/>
              <w:suppressLineNumbers w:val="0"/>
              <w:spacing w:before="0" w:beforeAutospacing="0" w:after="0" w:afterAutospacing="0"/>
              <w:ind w:left="0" w:right="0"/>
              <w:jc w:val="center"/>
              <w:rPr>
                <w:rFonts w:hint="eastAsia" w:ascii="宋体" w:hAnsi="宋体"/>
                <w:color w:val="auto"/>
                <w:sz w:val="24"/>
              </w:rPr>
            </w:pPr>
          </w:p>
        </w:tc>
        <w:tc>
          <w:tcPr>
            <w:tcW w:w="1476" w:type="dxa"/>
            <w:noWrap w:val="0"/>
            <w:vAlign w:val="center"/>
          </w:tcPr>
          <w:p w14:paraId="1624511D">
            <w:pPr>
              <w:keepNext w:val="0"/>
              <w:keepLines w:val="0"/>
              <w:suppressLineNumbers w:val="0"/>
              <w:spacing w:before="0" w:beforeAutospacing="0" w:after="0" w:afterAutospacing="0"/>
              <w:ind w:left="0" w:right="0"/>
              <w:jc w:val="center"/>
              <w:rPr>
                <w:rFonts w:hint="eastAsia" w:ascii="宋体" w:hAnsi="宋体"/>
                <w:bCs/>
                <w:color w:val="auto"/>
                <w:sz w:val="24"/>
              </w:rPr>
            </w:pPr>
            <w:r>
              <w:rPr>
                <w:rFonts w:hint="eastAsia" w:ascii="宋体" w:hAnsi="宋体"/>
                <w:bCs/>
                <w:color w:val="auto"/>
                <w:sz w:val="24"/>
              </w:rPr>
              <w:t>税费</w:t>
            </w:r>
          </w:p>
        </w:tc>
        <w:tc>
          <w:tcPr>
            <w:tcW w:w="6367" w:type="dxa"/>
            <w:noWrap w:val="0"/>
            <w:vAlign w:val="center"/>
          </w:tcPr>
          <w:p w14:paraId="1E3E2957">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1.中国政府根据现行税法规定对甲方征收的与本合同有关的一切税费均由甲方负担（免税部分除外），招标文件另有规定的除外。</w:t>
            </w:r>
          </w:p>
          <w:p w14:paraId="0125649B">
            <w:pPr>
              <w:keepNext w:val="0"/>
              <w:keepLines w:val="0"/>
              <w:widowControl/>
              <w:suppressLineNumbers w:val="0"/>
              <w:spacing w:before="0" w:beforeAutospacing="0" w:after="0" w:afterAutospacing="0" w:line="560" w:lineRule="exact"/>
              <w:ind w:left="0" w:right="0" w:firstLine="482"/>
              <w:jc w:val="left"/>
              <w:rPr>
                <w:rFonts w:hint="eastAsia" w:ascii="宋体" w:hAnsi="宋体"/>
                <w:color w:val="auto"/>
                <w:sz w:val="24"/>
                <w:highlight w:val="white"/>
              </w:rPr>
            </w:pPr>
            <w:r>
              <w:rPr>
                <w:rFonts w:hint="eastAsia" w:ascii="宋体" w:hAnsi="宋体" w:eastAsia="宋体" w:cs="宋体"/>
                <w:color w:val="auto"/>
                <w:sz w:val="24"/>
                <w:szCs w:val="20"/>
                <w:highlight w:val="none"/>
              </w:rPr>
              <w:t>2.中国政府根据现行税法规定对乙方征收的与本合同有关的一切税费均由乙方负担（免税部分除外）。</w:t>
            </w:r>
          </w:p>
        </w:tc>
      </w:tr>
      <w:tr w14:paraId="4B5738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054" w:hRule="atLeast"/>
          <w:jc w:val="center"/>
        </w:trPr>
        <w:tc>
          <w:tcPr>
            <w:tcW w:w="1301" w:type="dxa"/>
            <w:noWrap w:val="0"/>
            <w:vAlign w:val="center"/>
          </w:tcPr>
          <w:p w14:paraId="638E0554">
            <w:pPr>
              <w:keepNext w:val="0"/>
              <w:keepLines w:val="0"/>
              <w:suppressLineNumbers w:val="0"/>
              <w:spacing w:before="0" w:beforeAutospacing="0" w:after="0" w:afterAutospacing="0"/>
              <w:ind w:left="0" w:right="0"/>
              <w:jc w:val="center"/>
              <w:rPr>
                <w:rFonts w:hint="eastAsia" w:ascii="宋体" w:hAnsi="宋体"/>
                <w:color w:val="auto"/>
                <w:sz w:val="24"/>
                <w:highlight w:val="yellow"/>
              </w:rPr>
            </w:pPr>
          </w:p>
        </w:tc>
        <w:tc>
          <w:tcPr>
            <w:tcW w:w="1476" w:type="dxa"/>
            <w:noWrap w:val="0"/>
            <w:vAlign w:val="center"/>
          </w:tcPr>
          <w:p w14:paraId="3731DCC5">
            <w:pPr>
              <w:keepNext w:val="0"/>
              <w:keepLines w:val="0"/>
              <w:suppressLineNumbers w:val="0"/>
              <w:spacing w:before="0" w:beforeAutospacing="0" w:after="0" w:afterAutospacing="0"/>
              <w:ind w:left="0" w:right="0"/>
              <w:jc w:val="center"/>
              <w:rPr>
                <w:rFonts w:hint="eastAsia" w:ascii="宋体" w:hAnsi="宋体"/>
                <w:bCs/>
                <w:color w:val="auto"/>
                <w:sz w:val="24"/>
              </w:rPr>
            </w:pPr>
            <w:r>
              <w:rPr>
                <w:rFonts w:hint="eastAsia" w:ascii="宋体" w:hAnsi="宋体"/>
                <w:bCs/>
                <w:color w:val="auto"/>
                <w:sz w:val="24"/>
              </w:rPr>
              <w:t>伴随服务</w:t>
            </w:r>
          </w:p>
        </w:tc>
        <w:tc>
          <w:tcPr>
            <w:tcW w:w="6367" w:type="dxa"/>
            <w:noWrap w:val="0"/>
            <w:vAlign w:val="center"/>
          </w:tcPr>
          <w:p w14:paraId="7F8B7BF5">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1.乙方应按照国家</w:t>
            </w:r>
            <w:r>
              <w:rPr>
                <w:rFonts w:hint="eastAsia" w:ascii="宋体" w:hAnsi="宋体" w:eastAsia="宋体" w:cs="宋体"/>
                <w:b w:val="0"/>
                <w:color w:val="auto"/>
                <w:sz w:val="24"/>
                <w:szCs w:val="20"/>
                <w:highlight w:val="none"/>
              </w:rPr>
              <w:t>“</w:t>
            </w:r>
            <w:r>
              <w:rPr>
                <w:rFonts w:hint="eastAsia" w:ascii="宋体" w:hAnsi="宋体" w:eastAsia="宋体" w:cs="宋体"/>
                <w:b/>
                <w:bCs/>
                <w:color w:val="auto"/>
                <w:sz w:val="24"/>
                <w:szCs w:val="20"/>
                <w:highlight w:val="none"/>
              </w:rPr>
              <w:t>新三包</w:t>
            </w:r>
            <w:r>
              <w:rPr>
                <w:rFonts w:hint="eastAsia" w:ascii="宋体" w:hAnsi="宋体" w:eastAsia="宋体" w:cs="宋体"/>
                <w:b w:val="0"/>
                <w:color w:val="auto"/>
                <w:sz w:val="24"/>
                <w:szCs w:val="20"/>
                <w:highlight w:val="none"/>
              </w:rPr>
              <w:t>”</w:t>
            </w:r>
            <w:r>
              <w:rPr>
                <w:rFonts w:hint="eastAsia" w:ascii="宋体" w:hAnsi="宋体" w:eastAsia="宋体" w:cs="宋体"/>
                <w:color w:val="auto"/>
                <w:sz w:val="24"/>
                <w:szCs w:val="20"/>
                <w:highlight w:val="none"/>
              </w:rPr>
              <w:t>规定和合同中所附的服务承诺提供服务。</w:t>
            </w:r>
          </w:p>
          <w:p w14:paraId="3F689D2E">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2.除第1条规定外，乙方还应提供下列服务：</w:t>
            </w:r>
          </w:p>
          <w:p w14:paraId="09FF9E50">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b w:val="0"/>
                <w:color w:val="auto"/>
                <w:sz w:val="24"/>
                <w:szCs w:val="20"/>
                <w:highlight w:val="none"/>
              </w:rPr>
            </w:pPr>
            <w:r>
              <w:rPr>
                <w:rFonts w:hint="eastAsia" w:ascii="宋体" w:hAnsi="宋体" w:eastAsia="宋体" w:cs="宋体"/>
                <w:b w:val="0"/>
                <w:color w:val="auto"/>
                <w:sz w:val="24"/>
                <w:szCs w:val="20"/>
                <w:highlight w:val="none"/>
              </w:rPr>
              <w:t xml:space="preserve"> </w:t>
            </w:r>
            <w:r>
              <w:rPr>
                <w:rFonts w:hint="eastAsia" w:ascii="宋体" w:hAnsi="宋体" w:eastAsia="宋体" w:cs="宋体"/>
                <w:b/>
                <w:bCs/>
                <w:color w:val="auto"/>
                <w:sz w:val="24"/>
                <w:szCs w:val="20"/>
                <w:highlight w:val="none"/>
              </w:rPr>
              <w:t>(1) 招标文件中的“服务要求”所规定的服务内容以及投标文件承诺提供的其他服务内容；</w:t>
            </w:r>
          </w:p>
          <w:p w14:paraId="7FAF0771">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(2) 负责货物的开孔，货物的现场安装；</w:t>
            </w:r>
          </w:p>
          <w:p w14:paraId="4099089D">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(3) 提供货物组装和维修所需的工具；</w:t>
            </w:r>
          </w:p>
          <w:p w14:paraId="501291DF">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(4) 在合同中乙方承诺的质保期限内对所提供货物正常使用实施监督、维修，但前提条件是该服务并不能免除乙方在质量保证期内应承担的义务；</w:t>
            </w:r>
          </w:p>
          <w:p w14:paraId="102E2AB1">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(5) 在货物交货现场就货物的安装、启用、维护等对甲方人员进行培训。</w:t>
            </w:r>
          </w:p>
          <w:p w14:paraId="7FD017B7">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highlight w:val="white"/>
              </w:rPr>
            </w:pPr>
            <w:r>
              <w:rPr>
                <w:rFonts w:hint="eastAsia" w:ascii="宋体" w:hAnsi="宋体" w:eastAsia="宋体" w:cs="宋体"/>
                <w:color w:val="auto"/>
                <w:sz w:val="24"/>
                <w:szCs w:val="20"/>
                <w:highlight w:val="none"/>
              </w:rPr>
              <w:t>3.伴随服务的费用应含在合同价中，不单独进行支付。</w:t>
            </w:r>
          </w:p>
        </w:tc>
      </w:tr>
      <w:tr w14:paraId="4A722D7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528" w:hRule="atLeast"/>
          <w:jc w:val="center"/>
        </w:trPr>
        <w:tc>
          <w:tcPr>
            <w:tcW w:w="1301" w:type="dxa"/>
            <w:noWrap w:val="0"/>
            <w:vAlign w:val="center"/>
          </w:tcPr>
          <w:p w14:paraId="20CCB2F1">
            <w:pPr>
              <w:keepNext w:val="0"/>
              <w:keepLines w:val="0"/>
              <w:suppressLineNumbers w:val="0"/>
              <w:spacing w:before="0" w:beforeAutospacing="0" w:after="0" w:afterAutospacing="0"/>
              <w:ind w:left="0" w:right="0"/>
              <w:jc w:val="center"/>
              <w:rPr>
                <w:rFonts w:hint="eastAsia" w:ascii="宋体" w:hAnsi="宋体"/>
                <w:color w:val="auto"/>
                <w:sz w:val="24"/>
              </w:rPr>
            </w:pPr>
          </w:p>
        </w:tc>
        <w:tc>
          <w:tcPr>
            <w:tcW w:w="1476" w:type="dxa"/>
            <w:noWrap w:val="0"/>
            <w:vAlign w:val="center"/>
          </w:tcPr>
          <w:p w14:paraId="0DF3EC8A">
            <w:pPr>
              <w:keepNext w:val="0"/>
              <w:keepLines w:val="0"/>
              <w:suppressLineNumbers w:val="0"/>
              <w:spacing w:before="0" w:beforeAutospacing="0" w:after="0" w:afterAutospacing="0"/>
              <w:ind w:left="0" w:right="0"/>
              <w:jc w:val="center"/>
              <w:rPr>
                <w:rFonts w:hint="eastAsia" w:ascii="宋体" w:hAnsi="宋体"/>
                <w:color w:val="auto"/>
                <w:sz w:val="24"/>
              </w:rPr>
            </w:pPr>
            <w:r>
              <w:rPr>
                <w:rFonts w:hint="eastAsia" w:ascii="宋体" w:hAnsi="宋体"/>
                <w:color w:val="auto"/>
                <w:sz w:val="24"/>
              </w:rPr>
              <w:t>索赔</w:t>
            </w:r>
          </w:p>
        </w:tc>
        <w:tc>
          <w:tcPr>
            <w:tcW w:w="6367" w:type="dxa"/>
            <w:noWrap w:val="0"/>
            <w:vAlign w:val="center"/>
          </w:tcPr>
          <w:p w14:paraId="7CAA690C">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1.甲方有权根据当地质检部门出具的检验报告，向乙方提出索赔。</w:t>
            </w:r>
          </w:p>
          <w:p w14:paraId="7A092DA4">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2.根据合同规定的检验期和质量保证期内，如果乙方对甲方提出的索赔和差异负有责任，乙方应按照甲方同意的下列一种或多种方式解决索赔事宜：</w:t>
            </w:r>
          </w:p>
          <w:p w14:paraId="6E2B00F8">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3631880E">
            <w:pPr>
              <w:keepNext w:val="0"/>
              <w:keepLines w:val="0"/>
              <w:widowControl/>
              <w:suppressLineNumbers w:val="0"/>
              <w:spacing w:before="0" w:beforeAutospacing="0" w:after="0" w:afterAutospacing="0" w:line="560" w:lineRule="exact"/>
              <w:ind w:left="0" w:right="0"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 根据货物的低劣程度、损坏程度以及甲方所遭受损失的数额，乙方必须降低货物的价格。</w:t>
            </w:r>
          </w:p>
          <w:p w14:paraId="293AC0F5">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39688E6B">
            <w:pPr>
              <w:keepNext w:val="0"/>
              <w:keepLines w:val="0"/>
              <w:widowControl/>
              <w:suppressLineNumbers w:val="0"/>
              <w:spacing w:before="0" w:beforeAutospacing="0" w:after="0" w:afterAutospacing="0" w:line="560" w:lineRule="exact"/>
              <w:ind w:left="0" w:right="0" w:firstLine="482"/>
              <w:jc w:val="left"/>
              <w:rPr>
                <w:rFonts w:hint="eastAsia" w:ascii="宋体" w:hAnsi="宋体" w:eastAsia="宋体" w:cs="宋体"/>
                <w:color w:val="auto"/>
                <w:sz w:val="24"/>
                <w:highlight w:val="white"/>
              </w:rPr>
            </w:pPr>
            <w:r>
              <w:rPr>
                <w:rFonts w:hint="eastAsia" w:ascii="宋体" w:hAnsi="宋体" w:eastAsia="宋体" w:cs="宋体"/>
                <w:color w:val="auto"/>
                <w:sz w:val="24"/>
                <w:szCs w:val="20"/>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77A2D92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758" w:hRule="atLeast"/>
          <w:jc w:val="center"/>
        </w:trPr>
        <w:tc>
          <w:tcPr>
            <w:tcW w:w="1301" w:type="dxa"/>
            <w:noWrap w:val="0"/>
            <w:vAlign w:val="center"/>
          </w:tcPr>
          <w:p w14:paraId="5D1516BE">
            <w:pPr>
              <w:keepNext w:val="0"/>
              <w:keepLines w:val="0"/>
              <w:suppressLineNumbers w:val="0"/>
              <w:spacing w:before="0" w:beforeAutospacing="0" w:after="0" w:afterAutospacing="0"/>
              <w:ind w:left="0" w:right="0"/>
              <w:jc w:val="center"/>
              <w:rPr>
                <w:rFonts w:hint="eastAsia" w:ascii="宋体" w:hAnsi="宋体"/>
                <w:color w:val="auto"/>
                <w:sz w:val="24"/>
                <w:highlight w:val="white"/>
              </w:rPr>
            </w:pPr>
          </w:p>
        </w:tc>
        <w:tc>
          <w:tcPr>
            <w:tcW w:w="1476" w:type="dxa"/>
            <w:noWrap w:val="0"/>
            <w:vAlign w:val="center"/>
          </w:tcPr>
          <w:p w14:paraId="043D9BD3">
            <w:pPr>
              <w:keepNext w:val="0"/>
              <w:keepLines w:val="0"/>
              <w:suppressLineNumbers w:val="0"/>
              <w:spacing w:before="0" w:beforeAutospacing="0" w:after="0" w:afterAutospacing="0"/>
              <w:ind w:left="0" w:right="0"/>
              <w:jc w:val="center"/>
              <w:rPr>
                <w:rFonts w:hint="eastAsia" w:ascii="宋体" w:hAnsi="宋体"/>
                <w:bCs/>
                <w:color w:val="auto"/>
                <w:sz w:val="24"/>
                <w:highlight w:val="white"/>
              </w:rPr>
            </w:pPr>
            <w:r>
              <w:rPr>
                <w:rFonts w:hint="eastAsia" w:ascii="宋体" w:hAnsi="宋体" w:eastAsia="Arial" w:cs="宋体"/>
                <w:color w:val="auto"/>
                <w:sz w:val="24"/>
                <w:szCs w:val="20"/>
                <w:highlight w:val="none"/>
              </w:rPr>
              <w:t>合同生效及其它</w:t>
            </w:r>
          </w:p>
        </w:tc>
        <w:tc>
          <w:tcPr>
            <w:tcW w:w="6367" w:type="dxa"/>
            <w:noWrap w:val="0"/>
            <w:vAlign w:val="center"/>
          </w:tcPr>
          <w:p w14:paraId="2D6D6ABF">
            <w:pPr>
              <w:keepNext w:val="0"/>
              <w:keepLines w:val="0"/>
              <w:widowControl/>
              <w:suppressLineNumbers w:val="0"/>
              <w:spacing w:before="0" w:beforeAutospacing="0" w:after="0" w:afterAutospacing="0" w:line="560" w:lineRule="exact"/>
              <w:ind w:left="0" w:right="0" w:firstLine="482"/>
              <w:jc w:val="left"/>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1.合同经甲方、乙方盖章后生效。</w:t>
            </w:r>
          </w:p>
          <w:p w14:paraId="26BED13B">
            <w:pPr>
              <w:keepNext w:val="0"/>
              <w:keepLines w:val="0"/>
              <w:widowControl/>
              <w:suppressLineNumbers w:val="0"/>
              <w:spacing w:before="0" w:beforeAutospacing="0" w:after="0" w:afterAutospacing="0" w:line="560" w:lineRule="exact"/>
              <w:ind w:left="0" w:right="0" w:firstLine="482"/>
              <w:jc w:val="left"/>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2.货物交付使用后所发生的合同纠纷，由甲方与乙方协商处理。</w:t>
            </w:r>
          </w:p>
          <w:p w14:paraId="2642D477">
            <w:pPr>
              <w:keepNext w:val="0"/>
              <w:keepLines w:val="0"/>
              <w:widowControl/>
              <w:suppressLineNumbers w:val="0"/>
              <w:spacing w:before="0" w:beforeAutospacing="0" w:after="0" w:afterAutospacing="0" w:line="560" w:lineRule="exact"/>
              <w:ind w:left="0" w:right="0" w:firstLine="482"/>
              <w:jc w:val="left"/>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6339422B">
            <w:pPr>
              <w:keepNext w:val="0"/>
              <w:keepLines w:val="0"/>
              <w:widowControl/>
              <w:suppressLineNumbers w:val="0"/>
              <w:spacing w:before="0" w:beforeAutospacing="0" w:after="0" w:afterAutospacing="0" w:line="560" w:lineRule="exact"/>
              <w:ind w:left="0" w:right="0" w:firstLine="482"/>
              <w:jc w:val="left"/>
              <w:rPr>
                <w:rFonts w:hint="eastAsia" w:ascii="宋体" w:hAnsi="宋体"/>
                <w:color w:val="auto"/>
                <w:sz w:val="24"/>
                <w:highlight w:val="white"/>
              </w:rPr>
            </w:pPr>
            <w:r>
              <w:rPr>
                <w:rFonts w:hint="eastAsia" w:ascii="宋体" w:hAnsi="宋体" w:eastAsia="Arial" w:cs="宋体"/>
                <w:color w:val="auto"/>
                <w:sz w:val="24"/>
                <w:szCs w:val="20"/>
                <w:highlight w:val="none"/>
              </w:rPr>
              <w:t>4.本合同应按照中华人民共和国的现行法律进行解释。本合同未尽事宜，遵照《</w:t>
            </w:r>
            <w:r>
              <w:rPr>
                <w:rFonts w:hint="eastAsia" w:ascii="宋体" w:hAnsi="宋体" w:eastAsia="Arial" w:cs="宋体"/>
                <w:color w:val="auto"/>
                <w:sz w:val="24"/>
                <w:szCs w:val="20"/>
                <w:highlight w:val="none"/>
                <w:lang w:val="en-US" w:eastAsia="zh-CN"/>
              </w:rPr>
              <w:t>中华人民共和国</w:t>
            </w:r>
            <w:r>
              <w:rPr>
                <w:rFonts w:hint="eastAsia" w:ascii="宋体" w:hAnsi="宋体" w:eastAsia="Arial" w:cs="宋体"/>
                <w:color w:val="auto"/>
                <w:sz w:val="24"/>
                <w:szCs w:val="20"/>
                <w:highlight w:val="none"/>
              </w:rPr>
              <w:t>民法典》、《</w:t>
            </w:r>
            <w:r>
              <w:rPr>
                <w:rFonts w:hint="eastAsia" w:ascii="宋体" w:hAnsi="宋体" w:eastAsia="Arial" w:cs="宋体"/>
                <w:color w:val="auto"/>
                <w:sz w:val="24"/>
                <w:szCs w:val="20"/>
                <w:highlight w:val="none"/>
                <w:lang w:val="en-US" w:eastAsia="zh-CN"/>
              </w:rPr>
              <w:t>中华人民共和国</w:t>
            </w:r>
            <w:r>
              <w:rPr>
                <w:rFonts w:hint="eastAsia" w:ascii="宋体" w:hAnsi="宋体" w:eastAsia="Arial" w:cs="宋体"/>
                <w:color w:val="auto"/>
                <w:sz w:val="24"/>
                <w:szCs w:val="20"/>
                <w:highlight w:val="none"/>
              </w:rPr>
              <w:t>政府采购法》等有关条文执行。</w:t>
            </w:r>
          </w:p>
        </w:tc>
      </w:tr>
    </w:tbl>
    <w:p w14:paraId="239E9C84">
      <w:pPr>
        <w:pStyle w:val="34"/>
        <w:spacing w:before="120" w:beforeAutospacing="0" w:after="120" w:afterAutospacing="0" w:line="0" w:lineRule="atLeast"/>
        <w:jc w:val="center"/>
        <w:rPr>
          <w:rFonts w:ascii="黑体" w:hAnsi="宋体" w:eastAsia="黑体" w:cs="黑体"/>
          <w:color w:val="auto"/>
          <w:sz w:val="44"/>
          <w:szCs w:val="44"/>
        </w:rPr>
      </w:pPr>
    </w:p>
    <w:p w14:paraId="516DA78F">
      <w:pPr>
        <w:pStyle w:val="207"/>
        <w:rPr>
          <w:rFonts w:ascii="宋体" w:hAnsi="宋体" w:eastAsia="宋体" w:cs="宋体"/>
          <w:color w:val="auto"/>
        </w:rPr>
      </w:pPr>
      <w:bookmarkStart w:id="165" w:name="_Toc234256916"/>
      <w:r>
        <w:rPr>
          <w:rFonts w:hint="eastAsia"/>
          <w:color w:val="auto"/>
        </w:rPr>
        <w:t>第</w:t>
      </w:r>
      <w:bookmarkEnd w:id="154"/>
      <w:r>
        <w:rPr>
          <w:rFonts w:hint="eastAsia"/>
          <w:color w:val="auto"/>
        </w:rPr>
        <w:t>四章 采购需求</w:t>
      </w:r>
      <w:bookmarkEnd w:id="155"/>
      <w:bookmarkEnd w:id="156"/>
      <w:bookmarkEnd w:id="157"/>
      <w:bookmarkEnd w:id="158"/>
      <w:bookmarkEnd w:id="159"/>
      <w:bookmarkEnd w:id="165"/>
    </w:p>
    <w:p w14:paraId="34672668">
      <w:pPr>
        <w:pStyle w:val="34"/>
        <w:spacing w:beforeAutospacing="0" w:afterAutospacing="0" w:line="360" w:lineRule="auto"/>
        <w:jc w:val="both"/>
        <w:rPr>
          <w:rFonts w:ascii="宋体" w:hAnsi="宋体" w:eastAsia="宋体"/>
          <w:b/>
          <w:color w:val="auto"/>
          <w:szCs w:val="21"/>
        </w:rPr>
      </w:pPr>
      <w:r>
        <w:rPr>
          <w:rFonts w:hint="eastAsia" w:ascii="宋体" w:hAnsi="宋体" w:eastAsia="宋体"/>
          <w:b/>
          <w:color w:val="auto"/>
          <w:szCs w:val="21"/>
          <w:lang w:val="zh-CN"/>
        </w:rPr>
        <w:t>一、</w:t>
      </w:r>
      <w:r>
        <w:rPr>
          <w:rFonts w:hint="eastAsia" w:ascii="宋体" w:hAnsi="宋体" w:eastAsia="宋体"/>
          <w:b/>
          <w:color w:val="auto"/>
          <w:szCs w:val="21"/>
        </w:rPr>
        <w:t>项目概况</w:t>
      </w:r>
    </w:p>
    <w:p w14:paraId="485607DB">
      <w:pPr>
        <w:pStyle w:val="34"/>
        <w:spacing w:beforeAutospacing="0" w:afterAutospacing="0" w:line="360" w:lineRule="auto"/>
        <w:ind w:firstLine="48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1.项目编号：JSZC-320900-DNGC-G2026-0007</w:t>
      </w:r>
    </w:p>
    <w:p w14:paraId="307BD960">
      <w:pPr>
        <w:pStyle w:val="34"/>
        <w:spacing w:beforeAutospacing="0" w:afterAutospacing="0" w:line="360" w:lineRule="auto"/>
        <w:ind w:firstLine="480"/>
        <w:jc w:val="both"/>
        <w:rPr>
          <w:rFonts w:hint="eastAsia" w:ascii="宋体" w:hAnsi="宋体" w:eastAsia="宋体" w:cs="宋体"/>
          <w:color w:val="auto"/>
          <w:shd w:val="clear" w:color="auto" w:fill="FFFFFF"/>
          <w:lang w:eastAsia="zh-CN"/>
        </w:rPr>
      </w:pPr>
      <w:r>
        <w:rPr>
          <w:rFonts w:hint="eastAsia" w:ascii="宋体" w:hAnsi="宋体" w:eastAsia="宋体" w:cs="宋体"/>
          <w:color w:val="auto"/>
          <w:shd w:val="clear" w:color="auto" w:fill="FFFFFF"/>
        </w:rPr>
        <w:t>2.项目名称：</w:t>
      </w:r>
      <w:r>
        <w:rPr>
          <w:rFonts w:hint="eastAsia" w:ascii="宋体" w:hAnsi="宋体" w:eastAsia="宋体" w:cs="宋体"/>
          <w:color w:val="auto"/>
          <w:shd w:val="clear" w:color="auto" w:fill="FFFFFF"/>
          <w:lang w:eastAsia="zh-CN"/>
        </w:rPr>
        <w:t>江苏省盐城技师学院药品生产技术专业(化工仪表及自动化方向)教学设备添置采购项目、交通工程学院智慧物流实训中心采购项目</w:t>
      </w:r>
    </w:p>
    <w:p w14:paraId="7A5ABD9A">
      <w:pPr>
        <w:pStyle w:val="34"/>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3.采购方式：公开招标</w:t>
      </w:r>
    </w:p>
    <w:p w14:paraId="2C71BF10">
      <w:pPr>
        <w:pStyle w:val="34"/>
        <w:spacing w:beforeAutospacing="0" w:afterAutospacing="0" w:line="360" w:lineRule="auto"/>
        <w:ind w:firstLine="480"/>
        <w:jc w:val="both"/>
        <w:rPr>
          <w:rFonts w:hint="eastAsia" w:ascii="宋体" w:hAnsi="宋体" w:eastAsia="宋体" w:cs="宋体"/>
          <w:color w:val="auto"/>
          <w:shd w:val="clear" w:color="auto" w:fill="FFFFFF"/>
          <w:lang w:eastAsia="zh-CN"/>
        </w:rPr>
      </w:pPr>
      <w:r>
        <w:rPr>
          <w:rFonts w:hint="eastAsia" w:ascii="宋体" w:hAnsi="宋体" w:eastAsia="宋体" w:cs="宋体"/>
          <w:color w:val="auto"/>
          <w:shd w:val="clear" w:color="auto" w:fill="FFFFFF"/>
        </w:rPr>
        <w:t>4.预算金额：</w:t>
      </w:r>
      <w:r>
        <w:rPr>
          <w:rFonts w:hint="eastAsia" w:ascii="宋体" w:hAnsi="宋体" w:eastAsia="宋体" w:cs="宋体"/>
          <w:color w:val="auto"/>
          <w:shd w:val="clear" w:color="auto" w:fill="FFFFFF"/>
          <w:lang w:val="en-US" w:eastAsia="zh-CN"/>
        </w:rPr>
        <w:t>350.69</w:t>
      </w:r>
      <w:r>
        <w:rPr>
          <w:rFonts w:hint="eastAsia" w:ascii="宋体" w:hAnsi="宋体" w:eastAsia="宋体" w:cs="宋体"/>
          <w:color w:val="auto"/>
          <w:shd w:val="clear" w:color="auto" w:fill="FFFFFF"/>
        </w:rPr>
        <w:t>万元</w:t>
      </w:r>
      <w:r>
        <w:rPr>
          <w:rFonts w:hint="eastAsia" w:ascii="宋体" w:hAnsi="宋体" w:eastAsia="宋体" w:cs="宋体"/>
          <w:color w:val="auto"/>
          <w:shd w:val="clear" w:color="auto" w:fill="FFFFFF"/>
          <w:lang w:eastAsia="zh-CN"/>
        </w:rPr>
        <w:t>（采购包</w:t>
      </w:r>
      <w:r>
        <w:rPr>
          <w:rFonts w:hint="eastAsia" w:ascii="宋体" w:hAnsi="宋体" w:eastAsia="宋体" w:cs="宋体"/>
          <w:color w:val="auto"/>
          <w:shd w:val="clear" w:color="auto" w:fill="FFFFFF"/>
          <w:lang w:val="en-US" w:eastAsia="zh-CN"/>
        </w:rPr>
        <w:t>一</w:t>
      </w:r>
      <w:r>
        <w:rPr>
          <w:rFonts w:hint="eastAsia" w:ascii="宋体" w:hAnsi="宋体" w:eastAsia="宋体" w:cs="宋体"/>
          <w:color w:val="auto"/>
          <w:shd w:val="clear" w:color="auto" w:fill="FFFFFF"/>
          <w:lang w:eastAsia="zh-CN"/>
        </w:rPr>
        <w:t>：</w:t>
      </w:r>
      <w:r>
        <w:rPr>
          <w:rFonts w:hint="eastAsia" w:ascii="宋体" w:hAnsi="宋体" w:eastAsia="宋体" w:cs="宋体"/>
          <w:color w:val="auto"/>
          <w:shd w:val="clear" w:color="auto" w:fill="FFFFFF"/>
          <w:lang w:val="en-US" w:eastAsia="zh-CN"/>
        </w:rPr>
        <w:t>191.49</w:t>
      </w:r>
      <w:r>
        <w:rPr>
          <w:rFonts w:hint="eastAsia" w:ascii="宋体" w:hAnsi="宋体" w:eastAsia="宋体" w:cs="宋体"/>
          <w:color w:val="auto"/>
          <w:shd w:val="clear" w:color="auto" w:fill="FFFFFF"/>
          <w:lang w:eastAsia="zh-CN"/>
        </w:rPr>
        <w:t>万元；采购包</w:t>
      </w:r>
      <w:r>
        <w:rPr>
          <w:rFonts w:hint="eastAsia" w:ascii="宋体" w:hAnsi="宋体" w:eastAsia="宋体" w:cs="宋体"/>
          <w:color w:val="auto"/>
          <w:shd w:val="clear" w:color="auto" w:fill="FFFFFF"/>
          <w:lang w:val="en-US" w:eastAsia="zh-CN"/>
        </w:rPr>
        <w:t>二:159.2</w:t>
      </w:r>
      <w:r>
        <w:rPr>
          <w:rFonts w:hint="eastAsia" w:ascii="宋体" w:hAnsi="宋体" w:eastAsia="宋体" w:cs="宋体"/>
          <w:color w:val="auto"/>
          <w:shd w:val="clear" w:color="auto" w:fill="FFFFFF"/>
          <w:lang w:eastAsia="zh-CN"/>
        </w:rPr>
        <w:t>万元；）</w:t>
      </w:r>
    </w:p>
    <w:p w14:paraId="2691A5F6">
      <w:pPr>
        <w:pStyle w:val="34"/>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5.最高限价（如有）：包一：</w:t>
      </w:r>
      <w:r>
        <w:rPr>
          <w:rFonts w:hint="eastAsia" w:ascii="宋体" w:hAnsi="宋体" w:eastAsia="宋体" w:cs="宋体"/>
          <w:color w:val="auto"/>
          <w:shd w:val="clear" w:color="auto" w:fill="FFFFFF"/>
          <w:lang w:eastAsia="zh-CN"/>
        </w:rPr>
        <w:t>江苏省盐城技师学院药品生产技术专业(化工仪表及自动化方向)教学设备添置采购项目</w:t>
      </w:r>
      <w:r>
        <w:rPr>
          <w:rFonts w:hint="eastAsia" w:ascii="宋体" w:hAnsi="宋体" w:eastAsia="宋体" w:cs="宋体"/>
          <w:color w:val="auto"/>
          <w:shd w:val="clear" w:color="auto" w:fill="FFFFFF"/>
          <w:lang w:val="en-US" w:eastAsia="zh-CN"/>
        </w:rPr>
        <w:t>181.85</w:t>
      </w:r>
      <w:r>
        <w:rPr>
          <w:rFonts w:hint="eastAsia" w:ascii="宋体" w:hAnsi="宋体" w:eastAsia="宋体" w:cs="宋体"/>
          <w:color w:val="auto"/>
          <w:shd w:val="clear" w:color="auto" w:fill="FFFFFF"/>
        </w:rPr>
        <w:t>万元；包二：</w:t>
      </w:r>
      <w:r>
        <w:rPr>
          <w:rFonts w:hint="eastAsia" w:ascii="宋体" w:hAnsi="宋体" w:eastAsia="宋体" w:cs="宋体"/>
          <w:color w:val="auto"/>
          <w:shd w:val="clear" w:color="auto" w:fill="FFFFFF"/>
          <w:lang w:eastAsia="zh-CN"/>
        </w:rPr>
        <w:t>交通工程学院智慧物流实训中心采购项目</w:t>
      </w:r>
      <w:r>
        <w:rPr>
          <w:rFonts w:hint="eastAsia" w:ascii="宋体" w:hAnsi="宋体" w:eastAsia="宋体" w:cs="宋体"/>
          <w:color w:val="auto"/>
          <w:shd w:val="clear" w:color="auto" w:fill="FFFFFF"/>
          <w:lang w:val="en-US" w:eastAsia="zh-CN"/>
        </w:rPr>
        <w:t>159.2</w:t>
      </w:r>
      <w:r>
        <w:rPr>
          <w:rFonts w:hint="eastAsia" w:ascii="宋体" w:hAnsi="宋体" w:eastAsia="宋体" w:cs="宋体"/>
          <w:color w:val="auto"/>
          <w:shd w:val="clear" w:color="auto" w:fill="FFFFFF"/>
        </w:rPr>
        <w:t xml:space="preserve">万元。 本项目兼投兼中，定标顺序为包一 →包二。  </w:t>
      </w:r>
    </w:p>
    <w:p w14:paraId="3446CDA7">
      <w:pPr>
        <w:pStyle w:val="34"/>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6.采购需求（简介）：</w:t>
      </w:r>
      <w:r>
        <w:rPr>
          <w:rFonts w:hint="eastAsia" w:ascii="宋体" w:hAnsi="宋体" w:eastAsia="宋体" w:cs="宋体"/>
          <w:color w:val="auto"/>
          <w:shd w:val="clear" w:color="auto" w:fill="FFFFFF"/>
          <w:lang w:eastAsia="zh-CN"/>
        </w:rPr>
        <w:t>江苏省盐城技师学院药品生产技术专业(化工仪表及自动化方向)教学设备添置采购项目、交通工程学院智慧物流实训中心采购项目</w:t>
      </w:r>
      <w:r>
        <w:rPr>
          <w:rFonts w:hint="eastAsia" w:ascii="宋体" w:hAnsi="宋体" w:eastAsia="宋体" w:cs="宋体"/>
          <w:color w:val="auto"/>
          <w:shd w:val="clear" w:color="auto" w:fill="FFFFFF"/>
        </w:rPr>
        <w:t>，</w:t>
      </w:r>
      <w:r>
        <w:rPr>
          <w:rFonts w:hint="eastAsia" w:ascii="宋体" w:hAnsi="宋体" w:eastAsia="宋体" w:cs="宋体"/>
          <w:color w:val="auto"/>
          <w:shd w:val="clear" w:color="auto" w:fill="FFFFFF"/>
          <w:lang w:val="en-US" w:eastAsia="zh-CN"/>
        </w:rPr>
        <w:t>本项目分二个包：（包一）</w:t>
      </w:r>
      <w:r>
        <w:rPr>
          <w:rFonts w:hint="eastAsia" w:ascii="宋体" w:hAnsi="宋体" w:eastAsia="宋体" w:cs="宋体"/>
          <w:color w:val="auto"/>
          <w:shd w:val="clear" w:color="auto" w:fill="FFFFFF"/>
          <w:lang w:eastAsia="zh-CN"/>
        </w:rPr>
        <w:t>江苏省盐城技师学院药品生产技术专业(化工仪表及自动化方向)教学设备添置采购项目；</w:t>
      </w:r>
      <w:r>
        <w:rPr>
          <w:rFonts w:hint="eastAsia" w:ascii="宋体" w:hAnsi="宋体" w:eastAsia="宋体" w:cs="宋体"/>
          <w:color w:val="auto"/>
          <w:shd w:val="clear" w:color="auto" w:fill="FFFFFF"/>
          <w:lang w:val="en-US" w:eastAsia="zh-CN"/>
        </w:rPr>
        <w:t>（包二）</w:t>
      </w:r>
      <w:r>
        <w:rPr>
          <w:rFonts w:hint="eastAsia" w:ascii="宋体" w:hAnsi="宋体" w:eastAsia="宋体" w:cs="宋体"/>
          <w:color w:val="auto"/>
          <w:shd w:val="clear" w:color="auto" w:fill="FFFFFF"/>
          <w:lang w:eastAsia="zh-CN"/>
        </w:rPr>
        <w:t>交通工程学院智慧物流实训中心采购项目</w:t>
      </w:r>
      <w:r>
        <w:rPr>
          <w:rFonts w:hint="eastAsia" w:ascii="宋体" w:hAnsi="宋体" w:eastAsia="宋体" w:cs="宋体"/>
          <w:color w:val="auto"/>
          <w:shd w:val="clear" w:color="auto" w:fill="FFFFFF"/>
          <w:lang w:val="en-US" w:eastAsia="zh-CN"/>
        </w:rPr>
        <w:t>。</w:t>
      </w:r>
      <w:r>
        <w:rPr>
          <w:rFonts w:hint="eastAsia" w:ascii="宋体" w:hAnsi="宋体" w:eastAsia="宋体" w:cs="宋体"/>
          <w:color w:val="auto"/>
          <w:shd w:val="clear" w:color="auto" w:fill="FFFFFF"/>
        </w:rPr>
        <w:t>详见本招标文件第四章采购需求。</w:t>
      </w:r>
    </w:p>
    <w:p w14:paraId="29ACD869">
      <w:pPr>
        <w:pStyle w:val="34"/>
        <w:spacing w:beforeAutospacing="0" w:afterAutospacing="0" w:line="360" w:lineRule="auto"/>
        <w:ind w:firstLine="48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7.合同履行期限：合同履行期限：合同生效后60个日历天（此期限不包括采购人验收时间），供应商应在此期限内完成全部货物的交付、安装与调试。</w:t>
      </w:r>
    </w:p>
    <w:p w14:paraId="11723B73">
      <w:pPr>
        <w:pStyle w:val="34"/>
        <w:spacing w:beforeAutospacing="0" w:afterAutospacing="0" w:line="360" w:lineRule="auto"/>
        <w:jc w:val="both"/>
        <w:rPr>
          <w:rFonts w:ascii="宋体" w:hAnsi="宋体" w:eastAsia="宋体" w:cs="宋体"/>
          <w:bCs/>
          <w:color w:val="auto"/>
        </w:rPr>
      </w:pPr>
      <w:r>
        <w:rPr>
          <w:rFonts w:hint="eastAsia" w:ascii="宋体" w:hAnsi="宋体" w:eastAsia="宋体" w:cs="宋体"/>
          <w:color w:val="auto"/>
          <w:shd w:val="clear" w:color="auto" w:fill="FFFFFF"/>
        </w:rPr>
        <w:t>8.本项目（是/否）接受联合体：不接受联合体</w:t>
      </w:r>
      <w:r>
        <w:rPr>
          <w:rFonts w:hint="eastAsia" w:ascii="宋体" w:hAnsi="宋体" w:eastAsia="宋体" w:cs="Times New Roman"/>
          <w:bCs/>
          <w:color w:val="auto"/>
          <w:sz w:val="24"/>
          <w:szCs w:val="21"/>
        </w:rPr>
        <w:t>。</w:t>
      </w:r>
    </w:p>
    <w:p w14:paraId="715C456B">
      <w:pPr>
        <w:spacing w:line="360" w:lineRule="auto"/>
        <w:rPr>
          <w:rFonts w:hint="default" w:ascii="宋体" w:hAnsi="宋体" w:eastAsia="宋体" w:cs="Times New Roman"/>
          <w:b/>
          <w:color w:val="auto"/>
          <w:sz w:val="24"/>
          <w:szCs w:val="21"/>
          <w:lang w:val="en-US" w:eastAsia="zh-CN"/>
        </w:rPr>
      </w:pPr>
    </w:p>
    <w:p w14:paraId="538DFFD3">
      <w:pPr>
        <w:pStyle w:val="207"/>
        <w:rPr>
          <w:rFonts w:hint="eastAsia"/>
          <w:color w:val="auto"/>
        </w:rPr>
      </w:pPr>
      <w:bookmarkStart w:id="166" w:name="_Toc120614281"/>
      <w:r>
        <w:rPr>
          <w:rFonts w:hint="eastAsia" w:hAnsi="宋体"/>
          <w:color w:val="auto"/>
          <w:sz w:val="36"/>
          <w:szCs w:val="36"/>
          <w:lang w:val="en-US" w:eastAsia="zh-CN"/>
        </w:rPr>
        <w:t>项目具体要求（</w:t>
      </w:r>
      <w:r>
        <w:rPr>
          <w:rFonts w:hint="eastAsia"/>
          <w:color w:val="auto"/>
          <w:sz w:val="36"/>
          <w:szCs w:val="36"/>
          <w:lang w:val="en-US" w:eastAsia="zh-CN"/>
        </w:rPr>
        <w:t>分包一）</w:t>
      </w:r>
      <w:r>
        <w:rPr>
          <w:rFonts w:hint="eastAsia"/>
          <w:color w:val="auto"/>
          <w:sz w:val="36"/>
          <w:szCs w:val="36"/>
        </w:rPr>
        <w:t xml:space="preserve"> </w:t>
      </w:r>
      <w:r>
        <w:rPr>
          <w:rFonts w:hint="eastAsia"/>
          <w:color w:val="auto"/>
        </w:rPr>
        <w:t xml:space="preserve">   </w:t>
      </w:r>
      <w:bookmarkStart w:id="167" w:name="_Toc49090575"/>
      <w:bookmarkStart w:id="168" w:name="_Toc26554093"/>
      <w:bookmarkStart w:id="169" w:name="_Toc234256917"/>
    </w:p>
    <w:p w14:paraId="6FF73164">
      <w:pPr>
        <w:pStyle w:val="207"/>
        <w:jc w:val="left"/>
        <w:rPr>
          <w:rFonts w:hint="eastAsia"/>
          <w:color w:val="auto"/>
        </w:rPr>
      </w:pPr>
      <w:r>
        <w:rPr>
          <w:rFonts w:hint="eastAsia" w:ascii="宋体" w:hAnsi="宋体" w:eastAsia="宋体" w:cs="宋体"/>
          <w:color w:val="auto"/>
          <w:sz w:val="24"/>
          <w:szCs w:val="24"/>
          <w:highlight w:val="none"/>
        </w:rPr>
        <w:t>项目属性:货物类项目</w:t>
      </w:r>
      <w:r>
        <w:rPr>
          <w:rFonts w:hint="eastAsia" w:ascii="宋体" w:hAnsi="宋体" w:eastAsia="宋体" w:cs="宋体"/>
          <w:color w:val="auto"/>
          <w:sz w:val="24"/>
          <w:szCs w:val="24"/>
          <w:highlight w:val="none"/>
          <w:shd w:val="clear" w:color="auto" w:fill="auto"/>
        </w:rPr>
        <w:t>。</w:t>
      </w:r>
      <w:bookmarkEnd w:id="167"/>
      <w:bookmarkEnd w:id="168"/>
    </w:p>
    <w:p w14:paraId="4579248C">
      <w:pPr>
        <w:pStyle w:val="225"/>
        <w:keepNext w:val="0"/>
        <w:keepLines w:val="0"/>
        <w:pageBreakBefore w:val="0"/>
        <w:widowControl w:val="0"/>
        <w:spacing w:beforeAutospacing="0" w:afterAutospacing="0" w:line="480" w:lineRule="exact"/>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一、核心产品</w:t>
      </w:r>
      <w:r>
        <w:rPr>
          <w:rFonts w:hint="eastAsia" w:ascii="宋体" w:hAnsi="宋体" w:eastAsia="宋体" w:cs="宋体"/>
          <w:b/>
          <w:bCs/>
          <w:color w:val="auto"/>
          <w:sz w:val="24"/>
          <w:szCs w:val="24"/>
          <w:highlight w:val="none"/>
        </w:rPr>
        <w:t>：</w:t>
      </w:r>
    </w:p>
    <w:p w14:paraId="3FB3924F">
      <w:pPr>
        <w:pStyle w:val="225"/>
        <w:keepNext w:val="0"/>
        <w:keepLines w:val="0"/>
        <w:pageBreakBefore w:val="0"/>
        <w:widowControl w:val="0"/>
        <w:spacing w:beforeAutospacing="0" w:afterAutospacing="0" w:line="480" w:lineRule="exact"/>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本项目核心产品为</w:t>
      </w:r>
      <w:r>
        <w:rPr>
          <w:rFonts w:hint="eastAsia" w:ascii="宋体" w:hAnsi="宋体" w:cs="宋体"/>
          <w:b/>
          <w:bCs/>
          <w:color w:val="auto"/>
          <w:sz w:val="24"/>
          <w:szCs w:val="24"/>
          <w:highlight w:val="none"/>
          <w:lang w:val="en-US" w:eastAsia="zh-CN"/>
        </w:rPr>
        <w:t>_</w:t>
      </w:r>
      <w:r>
        <w:rPr>
          <w:rFonts w:hint="eastAsia" w:ascii="宋体" w:hAnsi="宋体" w:cs="宋体"/>
          <w:b/>
          <w:bCs/>
          <w:color w:val="auto"/>
          <w:sz w:val="24"/>
          <w:szCs w:val="24"/>
          <w:highlight w:val="none"/>
          <w:u w:val="single"/>
          <w:lang w:val="en-US" w:eastAsia="zh-CN"/>
        </w:rPr>
        <w:t>工业仪表自动控制实训平台</w:t>
      </w:r>
      <w:r>
        <w:rPr>
          <w:rFonts w:hint="eastAsia" w:ascii="宋体" w:hAnsi="宋体" w:cs="宋体"/>
          <w:b/>
          <w:bCs/>
          <w:color w:val="auto"/>
          <w:sz w:val="24"/>
          <w:szCs w:val="24"/>
          <w:highlight w:val="none"/>
          <w:lang w:val="en-US" w:eastAsia="zh-CN"/>
        </w:rPr>
        <w:t>_</w:t>
      </w:r>
      <w:r>
        <w:rPr>
          <w:rFonts w:hint="eastAsia" w:ascii="宋体" w:hAnsi="宋体" w:eastAsia="宋体" w:cs="宋体"/>
          <w:b/>
          <w:bCs/>
          <w:color w:val="auto"/>
          <w:sz w:val="24"/>
          <w:szCs w:val="24"/>
          <w:highlight w:val="none"/>
        </w:rPr>
        <w:t>。</w:t>
      </w:r>
    </w:p>
    <w:p w14:paraId="411D4620">
      <w:pPr>
        <w:pStyle w:val="225"/>
        <w:keepNext w:val="0"/>
        <w:keepLines w:val="0"/>
        <w:pageBreakBefore w:val="0"/>
        <w:widowControl w:val="0"/>
        <w:numPr>
          <w:ilvl w:val="0"/>
          <w:numId w:val="7"/>
        </w:numPr>
        <w:spacing w:beforeAutospacing="0" w:afterAutospacing="0" w:line="480" w:lineRule="exact"/>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技术要求</w:t>
      </w:r>
    </w:p>
    <w:tbl>
      <w:tblPr>
        <w:tblStyle w:val="40"/>
        <w:tblW w:w="5282" w:type="pct"/>
        <w:tblInd w:w="0" w:type="dxa"/>
        <w:tblLayout w:type="autofit"/>
        <w:tblCellMar>
          <w:top w:w="0" w:type="dxa"/>
          <w:left w:w="108" w:type="dxa"/>
          <w:bottom w:w="0" w:type="dxa"/>
          <w:right w:w="108" w:type="dxa"/>
        </w:tblCellMar>
      </w:tblPr>
      <w:tblGrid>
        <w:gridCol w:w="438"/>
        <w:gridCol w:w="997"/>
        <w:gridCol w:w="6618"/>
        <w:gridCol w:w="693"/>
        <w:gridCol w:w="740"/>
      </w:tblGrid>
      <w:tr w14:paraId="7FAF8238">
        <w:tblPrEx>
          <w:tblCellMar>
            <w:top w:w="0" w:type="dxa"/>
            <w:left w:w="108" w:type="dxa"/>
            <w:bottom w:w="0" w:type="dxa"/>
            <w:right w:w="108" w:type="dxa"/>
          </w:tblCellMar>
        </w:tblPrEx>
        <w:trPr>
          <w:trHeight w:val="20" w:hRule="atLeast"/>
        </w:trPr>
        <w:tc>
          <w:tcPr>
            <w:tcW w:w="231" w:type="pct"/>
            <w:tcBorders>
              <w:top w:val="single" w:color="auto" w:sz="4" w:space="0"/>
              <w:left w:val="single" w:color="auto" w:sz="4" w:space="0"/>
              <w:bottom w:val="single" w:color="auto" w:sz="4" w:space="0"/>
              <w:right w:val="single" w:color="auto" w:sz="4" w:space="0"/>
            </w:tcBorders>
            <w:noWrap w:val="0"/>
            <w:vAlign w:val="center"/>
          </w:tcPr>
          <w:p w14:paraId="7EEB000C">
            <w:pPr>
              <w:keepNext w:val="0"/>
              <w:keepLines w:val="0"/>
              <w:suppressLineNumbers w:val="0"/>
              <w:spacing w:before="0" w:beforeAutospacing="0" w:after="0" w:afterAutospacing="0"/>
              <w:ind w:left="0" w:right="0"/>
              <w:jc w:val="center"/>
              <w:rPr>
                <w:rFonts w:hint="eastAsia"/>
                <w:b w:val="0"/>
                <w:bCs w:val="0"/>
                <w:color w:val="auto"/>
                <w:highlight w:val="none"/>
              </w:rPr>
            </w:pPr>
            <w:r>
              <w:rPr>
                <w:rFonts w:hint="eastAsia"/>
                <w:b w:val="0"/>
                <w:bCs w:val="0"/>
                <w:color w:val="auto"/>
                <w:highlight w:val="none"/>
              </w:rPr>
              <w:t>序号</w:t>
            </w:r>
          </w:p>
        </w:tc>
        <w:tc>
          <w:tcPr>
            <w:tcW w:w="525" w:type="pct"/>
            <w:tcBorders>
              <w:top w:val="single" w:color="auto" w:sz="4" w:space="0"/>
              <w:left w:val="nil"/>
              <w:bottom w:val="single" w:color="auto" w:sz="4" w:space="0"/>
              <w:right w:val="single" w:color="auto" w:sz="4" w:space="0"/>
            </w:tcBorders>
            <w:noWrap w:val="0"/>
            <w:vAlign w:val="center"/>
          </w:tcPr>
          <w:p w14:paraId="095E8A56">
            <w:pPr>
              <w:keepNext w:val="0"/>
              <w:keepLines w:val="0"/>
              <w:suppressLineNumbers w:val="0"/>
              <w:spacing w:before="0" w:beforeAutospacing="0" w:after="0" w:afterAutospacing="0"/>
              <w:ind w:left="0" w:right="0"/>
              <w:jc w:val="center"/>
              <w:rPr>
                <w:rFonts w:hint="eastAsia"/>
                <w:b w:val="0"/>
                <w:bCs w:val="0"/>
                <w:color w:val="auto"/>
                <w:highlight w:val="none"/>
              </w:rPr>
            </w:pPr>
            <w:r>
              <w:rPr>
                <w:rFonts w:hint="eastAsia"/>
                <w:b w:val="0"/>
                <w:bCs w:val="0"/>
                <w:color w:val="auto"/>
                <w:highlight w:val="none"/>
              </w:rPr>
              <w:t>设备名称</w:t>
            </w:r>
          </w:p>
        </w:tc>
        <w:tc>
          <w:tcPr>
            <w:tcW w:w="3486" w:type="pct"/>
            <w:tcBorders>
              <w:top w:val="single" w:color="auto" w:sz="4" w:space="0"/>
              <w:left w:val="nil"/>
              <w:bottom w:val="single" w:color="auto" w:sz="4" w:space="0"/>
              <w:right w:val="single" w:color="auto" w:sz="4" w:space="0"/>
            </w:tcBorders>
            <w:noWrap w:val="0"/>
            <w:vAlign w:val="center"/>
          </w:tcPr>
          <w:p w14:paraId="32F0B79D">
            <w:pPr>
              <w:keepNext w:val="0"/>
              <w:keepLines w:val="0"/>
              <w:suppressLineNumbers w:val="0"/>
              <w:spacing w:before="0" w:beforeAutospacing="0" w:after="0" w:afterAutospacing="0"/>
              <w:ind w:left="0" w:right="0"/>
              <w:jc w:val="center"/>
              <w:rPr>
                <w:rFonts w:hint="eastAsia"/>
                <w:b w:val="0"/>
                <w:bCs w:val="0"/>
                <w:color w:val="auto"/>
                <w:highlight w:val="none"/>
              </w:rPr>
            </w:pPr>
            <w:r>
              <w:rPr>
                <w:rFonts w:hint="eastAsia"/>
                <w:b w:val="0"/>
                <w:bCs w:val="0"/>
                <w:color w:val="auto"/>
                <w:highlight w:val="none"/>
              </w:rPr>
              <w:t>技术参数</w:t>
            </w:r>
          </w:p>
        </w:tc>
        <w:tc>
          <w:tcPr>
            <w:tcW w:w="365" w:type="pct"/>
            <w:tcBorders>
              <w:top w:val="single" w:color="auto" w:sz="4" w:space="0"/>
              <w:left w:val="nil"/>
              <w:bottom w:val="single" w:color="auto" w:sz="4" w:space="0"/>
              <w:right w:val="single" w:color="auto" w:sz="4" w:space="0"/>
            </w:tcBorders>
            <w:noWrap w:val="0"/>
            <w:vAlign w:val="center"/>
          </w:tcPr>
          <w:p w14:paraId="0A56D008">
            <w:pPr>
              <w:keepNext w:val="0"/>
              <w:keepLines w:val="0"/>
              <w:suppressLineNumbers w:val="0"/>
              <w:spacing w:before="0" w:beforeAutospacing="0" w:after="0" w:afterAutospacing="0"/>
              <w:ind w:left="0" w:right="0"/>
              <w:jc w:val="center"/>
              <w:rPr>
                <w:rFonts w:hint="eastAsia"/>
                <w:b w:val="0"/>
                <w:bCs w:val="0"/>
                <w:color w:val="auto"/>
                <w:highlight w:val="none"/>
              </w:rPr>
            </w:pPr>
            <w:r>
              <w:rPr>
                <w:rFonts w:hint="eastAsia"/>
                <w:b w:val="0"/>
                <w:bCs w:val="0"/>
                <w:color w:val="auto"/>
                <w:highlight w:val="none"/>
              </w:rPr>
              <w:t>单位</w:t>
            </w:r>
          </w:p>
        </w:tc>
        <w:tc>
          <w:tcPr>
            <w:tcW w:w="390" w:type="pct"/>
            <w:tcBorders>
              <w:top w:val="single" w:color="auto" w:sz="4" w:space="0"/>
              <w:left w:val="nil"/>
              <w:bottom w:val="single" w:color="auto" w:sz="4" w:space="0"/>
              <w:right w:val="single" w:color="auto" w:sz="4" w:space="0"/>
            </w:tcBorders>
            <w:noWrap w:val="0"/>
            <w:vAlign w:val="center"/>
          </w:tcPr>
          <w:p w14:paraId="789ACAB7">
            <w:pPr>
              <w:keepNext w:val="0"/>
              <w:keepLines w:val="0"/>
              <w:suppressLineNumbers w:val="0"/>
              <w:spacing w:before="0" w:beforeAutospacing="0" w:after="0" w:afterAutospacing="0"/>
              <w:ind w:left="0" w:right="0"/>
              <w:jc w:val="center"/>
              <w:rPr>
                <w:rFonts w:hint="eastAsia"/>
                <w:b w:val="0"/>
                <w:bCs w:val="0"/>
                <w:color w:val="auto"/>
                <w:highlight w:val="none"/>
              </w:rPr>
            </w:pPr>
            <w:r>
              <w:rPr>
                <w:rFonts w:hint="eastAsia"/>
                <w:b w:val="0"/>
                <w:bCs w:val="0"/>
                <w:color w:val="auto"/>
                <w:highlight w:val="none"/>
              </w:rPr>
              <w:t>数量</w:t>
            </w:r>
          </w:p>
        </w:tc>
      </w:tr>
      <w:tr w14:paraId="246A6FC9">
        <w:tblPrEx>
          <w:tblCellMar>
            <w:top w:w="0" w:type="dxa"/>
            <w:left w:w="108" w:type="dxa"/>
            <w:bottom w:w="0" w:type="dxa"/>
            <w:right w:w="108" w:type="dxa"/>
          </w:tblCellMar>
        </w:tblPrEx>
        <w:trPr>
          <w:trHeight w:val="20" w:hRule="atLeast"/>
        </w:trPr>
        <w:tc>
          <w:tcPr>
            <w:tcW w:w="231" w:type="pct"/>
            <w:tcBorders>
              <w:top w:val="nil"/>
              <w:left w:val="single" w:color="auto" w:sz="4" w:space="0"/>
              <w:bottom w:val="single" w:color="auto" w:sz="4" w:space="0"/>
              <w:right w:val="single" w:color="auto" w:sz="4" w:space="0"/>
            </w:tcBorders>
            <w:noWrap w:val="0"/>
            <w:vAlign w:val="center"/>
          </w:tcPr>
          <w:p w14:paraId="281A52E3">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w:t>
            </w:r>
          </w:p>
        </w:tc>
        <w:tc>
          <w:tcPr>
            <w:tcW w:w="525" w:type="pct"/>
            <w:tcBorders>
              <w:top w:val="nil"/>
              <w:left w:val="nil"/>
              <w:bottom w:val="single" w:color="auto" w:sz="4" w:space="0"/>
              <w:right w:val="single" w:color="auto" w:sz="4" w:space="0"/>
            </w:tcBorders>
            <w:noWrap w:val="0"/>
            <w:vAlign w:val="center"/>
          </w:tcPr>
          <w:p w14:paraId="4C84B62A">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工业仪表自动控制实训平台</w:t>
            </w:r>
          </w:p>
        </w:tc>
        <w:tc>
          <w:tcPr>
            <w:tcW w:w="3486" w:type="pct"/>
            <w:tcBorders>
              <w:top w:val="nil"/>
              <w:left w:val="nil"/>
              <w:bottom w:val="single" w:color="auto" w:sz="4" w:space="0"/>
              <w:right w:val="single" w:color="auto" w:sz="4" w:space="0"/>
            </w:tcBorders>
            <w:noWrap w:val="0"/>
            <w:vAlign w:val="center"/>
          </w:tcPr>
          <w:p w14:paraId="2338B744">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一、技术性能要求：</w:t>
            </w:r>
          </w:p>
          <w:p w14:paraId="549E40CE">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1.供电电源：单相三线 220V±10%，50Hz；</w:t>
            </w:r>
          </w:p>
          <w:p w14:paraId="19C8A781">
            <w:pPr>
              <w:keepNext w:val="0"/>
              <w:keepLines w:val="0"/>
              <w:suppressLineNumbers w:val="0"/>
              <w:spacing w:before="0" w:beforeAutospacing="0" w:after="0" w:afterAutospacing="0"/>
              <w:ind w:left="0" w:right="0"/>
              <w:jc w:val="left"/>
              <w:rPr>
                <w:rFonts w:hint="eastAsia"/>
                <w:b w:val="0"/>
                <w:bCs w:val="0"/>
                <w:color w:val="auto"/>
                <w:highlight w:val="none"/>
                <w:shd w:val="clear" w:color="auto" w:fill="FFFFFF"/>
              </w:rPr>
            </w:pPr>
            <w:r>
              <w:rPr>
                <w:rFonts w:hint="eastAsia"/>
                <w:b w:val="0"/>
                <w:bCs w:val="0"/>
                <w:color w:val="auto"/>
                <w:highlight w:val="none"/>
              </w:rPr>
              <w:t>2.装置容量：不低于2.5kVA；</w:t>
            </w:r>
          </w:p>
          <w:p w14:paraId="1F6AF0CB">
            <w:pPr>
              <w:keepNext w:val="0"/>
              <w:keepLines w:val="0"/>
              <w:suppressLineNumbers w:val="0"/>
              <w:spacing w:before="0" w:beforeAutospacing="0" w:after="0" w:afterAutospacing="0"/>
              <w:ind w:left="0" w:right="0"/>
              <w:jc w:val="left"/>
              <w:rPr>
                <w:rFonts w:hint="eastAsia"/>
                <w:b w:val="0"/>
                <w:bCs w:val="0"/>
                <w:color w:val="auto"/>
                <w:highlight w:val="none"/>
                <w:shd w:val="clear" w:color="auto" w:fill="FFFFFF"/>
              </w:rPr>
            </w:pPr>
            <w:r>
              <w:rPr>
                <w:rFonts w:hint="eastAsia"/>
                <w:b w:val="0"/>
                <w:bCs w:val="0"/>
                <w:color w:val="auto"/>
                <w:highlight w:val="none"/>
              </w:rPr>
              <w:t>3.环境要求：温度0～50</w:t>
            </w:r>
            <w:r>
              <w:rPr>
                <w:rFonts w:hint="eastAsia" w:ascii="Cambria Math" w:hAnsi="Cambria Math" w:cs="Cambria Math"/>
                <w:b w:val="0"/>
                <w:bCs w:val="0"/>
                <w:color w:val="auto"/>
                <w:highlight w:val="none"/>
              </w:rPr>
              <w:t>℃</w:t>
            </w:r>
            <w:r>
              <w:rPr>
                <w:rFonts w:hint="eastAsia"/>
                <w:b w:val="0"/>
                <w:bCs w:val="0"/>
                <w:color w:val="auto"/>
                <w:highlight w:val="none"/>
              </w:rPr>
              <w:t>，相对湿度≤85%，海拔≤4000m；</w:t>
            </w:r>
          </w:p>
          <w:p w14:paraId="79F18CEC">
            <w:pPr>
              <w:keepNext w:val="0"/>
              <w:keepLines w:val="0"/>
              <w:suppressLineNumbers w:val="0"/>
              <w:spacing w:before="0" w:beforeAutospacing="0" w:after="0" w:afterAutospacing="0"/>
              <w:ind w:left="0" w:right="0"/>
              <w:jc w:val="left"/>
              <w:rPr>
                <w:rFonts w:hint="eastAsia"/>
                <w:b w:val="0"/>
                <w:bCs w:val="0"/>
                <w:color w:val="auto"/>
                <w:highlight w:val="none"/>
                <w:shd w:val="clear" w:color="auto" w:fill="FFFFFF"/>
              </w:rPr>
            </w:pPr>
            <w:r>
              <w:rPr>
                <w:rFonts w:hint="eastAsia"/>
                <w:b w:val="0"/>
                <w:bCs w:val="0"/>
                <w:color w:val="auto"/>
                <w:highlight w:val="none"/>
              </w:rPr>
              <w:t>4.重量：不低于300kg；</w:t>
            </w:r>
          </w:p>
          <w:p w14:paraId="6F6E34F8">
            <w:pPr>
              <w:keepNext w:val="0"/>
              <w:keepLines w:val="0"/>
              <w:suppressLineNumbers w:val="0"/>
              <w:spacing w:before="0" w:beforeAutospacing="0" w:after="0" w:afterAutospacing="0"/>
              <w:ind w:left="0" w:right="0"/>
              <w:jc w:val="left"/>
              <w:rPr>
                <w:rFonts w:hint="eastAsia"/>
                <w:b w:val="0"/>
                <w:bCs w:val="0"/>
                <w:color w:val="auto"/>
                <w:highlight w:val="none"/>
                <w:shd w:val="clear" w:color="auto" w:fill="FFFFFF"/>
              </w:rPr>
            </w:pPr>
            <w:r>
              <w:rPr>
                <w:rFonts w:hint="eastAsia"/>
                <w:b w:val="0"/>
                <w:bCs w:val="0"/>
                <w:color w:val="auto"/>
                <w:highlight w:val="none"/>
              </w:rPr>
              <w:t>5.外形尺寸：控制柜长×宽×高=900mm×600mm×1980mm (±200mm)；对象系统长×宽×高=1750mm×800mm×1980mm (±200mm)；</w:t>
            </w:r>
          </w:p>
          <w:p w14:paraId="2D18D780">
            <w:pPr>
              <w:keepNext w:val="0"/>
              <w:keepLines w:val="0"/>
              <w:suppressLineNumbers w:val="0"/>
              <w:spacing w:before="0" w:beforeAutospacing="0" w:after="0" w:afterAutospacing="0"/>
              <w:ind w:left="0" w:right="0"/>
              <w:jc w:val="left"/>
              <w:rPr>
                <w:rFonts w:hint="eastAsia"/>
                <w:b w:val="0"/>
                <w:bCs w:val="0"/>
                <w:color w:val="auto"/>
                <w:highlight w:val="none"/>
                <w:shd w:val="clear" w:color="auto" w:fill="FFFFFF"/>
              </w:rPr>
            </w:pPr>
            <w:r>
              <w:rPr>
                <w:rFonts w:hint="eastAsia"/>
                <w:b w:val="0"/>
                <w:bCs w:val="0"/>
                <w:color w:val="auto"/>
                <w:highlight w:val="none"/>
              </w:rPr>
              <w:t>6.安全防护：漏电保护功能：</w:t>
            </w:r>
            <w:r>
              <w:rPr>
                <w:rFonts w:hint="eastAsia"/>
                <w:b w:val="0"/>
                <w:bCs w:val="0"/>
                <w:color w:val="auto"/>
                <w:highlight w:val="none"/>
                <w:shd w:val="clear" w:color="auto" w:fill="FFFFFF"/>
              </w:rPr>
              <w:t>配置带漏电保护的断路器，漏电动作电流≤30mA，动作时间≤0.1s，高于GB/T 16895.21-2020标准；防</w:t>
            </w:r>
            <w:r>
              <w:rPr>
                <w:rFonts w:hint="eastAsia"/>
                <w:b w:val="0"/>
                <w:bCs w:val="0"/>
                <w:color w:val="auto"/>
                <w:highlight w:val="none"/>
              </w:rPr>
              <w:t>干烧报警功能：</w:t>
            </w:r>
            <w:r>
              <w:rPr>
                <w:rFonts w:hint="eastAsia"/>
                <w:b w:val="0"/>
                <w:bCs w:val="0"/>
                <w:color w:val="auto"/>
                <w:highlight w:val="none"/>
                <w:shd w:val="clear" w:color="auto" w:fill="FFFFFF"/>
              </w:rPr>
              <w:t>反应釜内置液位监测装置，当液位低于安全阈值时，立即切断加热模块电源并触发声光报警，防止器件损坏。</w:t>
            </w:r>
          </w:p>
          <w:p w14:paraId="26135C49">
            <w:pPr>
              <w:keepNext w:val="0"/>
              <w:keepLines w:val="0"/>
              <w:suppressLineNumbers w:val="0"/>
              <w:spacing w:before="0" w:beforeAutospacing="0" w:after="0" w:afterAutospacing="0"/>
              <w:ind w:left="0" w:right="0"/>
              <w:jc w:val="left"/>
              <w:rPr>
                <w:rFonts w:hint="eastAsia"/>
                <w:b w:val="0"/>
                <w:bCs w:val="0"/>
                <w:color w:val="auto"/>
                <w:highlight w:val="none"/>
                <w:shd w:val="clear" w:color="auto" w:fill="FFFFFF"/>
              </w:rPr>
            </w:pPr>
            <w:r>
              <w:rPr>
                <w:rFonts w:hint="eastAsia"/>
                <w:b w:val="0"/>
                <w:bCs w:val="0"/>
                <w:color w:val="auto"/>
                <w:highlight w:val="none"/>
                <w:shd w:val="clear" w:color="auto" w:fill="FFFFFF"/>
              </w:rPr>
              <w:t>二、</w:t>
            </w:r>
            <w:r>
              <w:rPr>
                <w:rFonts w:hint="eastAsia"/>
                <w:b w:val="0"/>
                <w:bCs w:val="0"/>
                <w:color w:val="auto"/>
                <w:highlight w:val="none"/>
              </w:rPr>
              <w:t>装置结构及组成要求：</w:t>
            </w:r>
          </w:p>
          <w:p w14:paraId="6C002092">
            <w:pPr>
              <w:keepNext w:val="0"/>
              <w:keepLines w:val="0"/>
              <w:suppressLineNumbers w:val="0"/>
              <w:spacing w:before="0" w:beforeAutospacing="0" w:after="0" w:afterAutospacing="0"/>
              <w:ind w:left="0" w:right="0"/>
              <w:jc w:val="left"/>
              <w:rPr>
                <w:rFonts w:hint="eastAsia"/>
                <w:b w:val="0"/>
                <w:bCs w:val="0"/>
                <w:color w:val="auto"/>
                <w:highlight w:val="none"/>
                <w:shd w:val="clear" w:color="auto" w:fill="FFFFFF"/>
              </w:rPr>
            </w:pPr>
            <w:r>
              <w:rPr>
                <w:rFonts w:hint="eastAsia"/>
                <w:b w:val="0"/>
                <w:bCs w:val="0"/>
                <w:color w:val="auto"/>
                <w:highlight w:val="none"/>
              </w:rPr>
              <w:t>（一）对象系统</w:t>
            </w:r>
          </w:p>
          <w:p w14:paraId="68EC778D">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对象系统必须包含铝型材钣金框架、水箱、卧式储罐、反应釜、供水管路、信号转接箱等组成。</w:t>
            </w:r>
          </w:p>
          <w:p w14:paraId="6D66EC7E">
            <w:pPr>
              <w:keepNext w:val="0"/>
              <w:keepLines w:val="0"/>
              <w:suppressLineNumbers w:val="0"/>
              <w:spacing w:before="0" w:beforeAutospacing="0" w:after="0" w:afterAutospacing="0"/>
              <w:ind w:left="0" w:right="0"/>
              <w:jc w:val="left"/>
              <w:rPr>
                <w:rFonts w:hint="eastAsia"/>
                <w:b w:val="0"/>
                <w:bCs w:val="0"/>
                <w:color w:val="auto"/>
                <w:highlight w:val="none"/>
                <w:shd w:val="clear" w:color="auto" w:fill="FFFFFF"/>
              </w:rPr>
            </w:pPr>
            <w:r>
              <w:rPr>
                <w:rFonts w:hint="eastAsia"/>
                <w:b w:val="0"/>
                <w:bCs w:val="0"/>
                <w:color w:val="auto"/>
                <w:highlight w:val="none"/>
              </w:rPr>
              <w:t>1.铝型材钣金框架：</w:t>
            </w:r>
            <w:r>
              <w:rPr>
                <w:rFonts w:hint="eastAsia"/>
                <w:b w:val="0"/>
                <w:bCs w:val="0"/>
                <w:color w:val="auto"/>
                <w:highlight w:val="none"/>
                <w:shd w:val="clear" w:color="auto" w:fill="FFFFFF"/>
              </w:rPr>
              <w:t>尺寸长×宽×高=</w:t>
            </w:r>
            <w:r>
              <w:rPr>
                <w:rFonts w:hint="eastAsia"/>
                <w:b w:val="0"/>
                <w:bCs w:val="0"/>
                <w:color w:val="auto"/>
                <w:highlight w:val="none"/>
              </w:rPr>
              <w:t>175cm×80cm×198cm (±5%)；</w:t>
            </w:r>
            <w:r>
              <w:rPr>
                <w:rFonts w:hint="eastAsia"/>
                <w:b w:val="0"/>
                <w:bCs w:val="0"/>
                <w:color w:val="auto"/>
                <w:highlight w:val="none"/>
                <w:shd w:val="clear" w:color="auto" w:fill="FFFFFF"/>
              </w:rPr>
              <w:t>主体采用</w:t>
            </w:r>
            <w:r>
              <w:rPr>
                <w:rFonts w:hint="eastAsia"/>
                <w:b w:val="0"/>
                <w:bCs w:val="0"/>
                <w:color w:val="auto"/>
                <w:highlight w:val="none"/>
                <w:shd w:val="clear" w:color="auto" w:fill="FFFFFF"/>
                <w:lang w:val="en-US" w:eastAsia="zh-CN"/>
              </w:rPr>
              <w:t>≥</w:t>
            </w:r>
            <w:r>
              <w:rPr>
                <w:rFonts w:hint="eastAsia"/>
                <w:b w:val="0"/>
                <w:bCs w:val="0"/>
                <w:strike w:val="0"/>
                <w:color w:val="auto"/>
                <w:highlight w:val="none"/>
                <w:shd w:val="clear" w:color="auto" w:fill="FFFFFF"/>
              </w:rPr>
              <w:t>4</w:t>
            </w:r>
            <w:r>
              <w:rPr>
                <w:rFonts w:hint="eastAsia"/>
                <w:b w:val="0"/>
                <w:bCs w:val="0"/>
                <w:strike w:val="0"/>
                <w:color w:val="auto"/>
                <w:highlight w:val="none"/>
                <w:shd w:val="clear" w:color="auto" w:fill="FFFFFF"/>
                <w:lang w:val="en-US" w:eastAsia="zh-CN"/>
              </w:rPr>
              <w:t>0</w:t>
            </w:r>
            <w:r>
              <w:rPr>
                <w:rFonts w:hint="eastAsia"/>
                <w:b w:val="0"/>
                <w:bCs w:val="0"/>
                <w:strike w:val="0"/>
                <w:color w:val="auto"/>
                <w:highlight w:val="none"/>
                <w:shd w:val="clear" w:color="auto" w:fill="FFFFFF"/>
              </w:rPr>
              <w:t>mm×4</w:t>
            </w:r>
            <w:r>
              <w:rPr>
                <w:rFonts w:hint="eastAsia"/>
                <w:b w:val="0"/>
                <w:bCs w:val="0"/>
                <w:strike w:val="0"/>
                <w:color w:val="auto"/>
                <w:highlight w:val="none"/>
                <w:shd w:val="clear" w:color="auto" w:fill="FFFFFF"/>
                <w:lang w:val="en-US" w:eastAsia="zh-CN"/>
              </w:rPr>
              <w:t>0</w:t>
            </w:r>
            <w:r>
              <w:rPr>
                <w:rFonts w:hint="eastAsia"/>
                <w:b w:val="0"/>
                <w:bCs w:val="0"/>
                <w:strike w:val="0"/>
                <w:color w:val="auto"/>
                <w:highlight w:val="none"/>
                <w:shd w:val="clear" w:color="auto" w:fill="FFFFFF"/>
              </w:rPr>
              <w:t>mm</w:t>
            </w:r>
            <w:r>
              <w:rPr>
                <w:rFonts w:hint="eastAsia"/>
                <w:b w:val="0"/>
                <w:bCs w:val="0"/>
                <w:color w:val="auto"/>
                <w:highlight w:val="none"/>
              </w:rPr>
              <w:t xml:space="preserve"> (±5%)</w:t>
            </w:r>
            <w:r>
              <w:rPr>
                <w:rFonts w:hint="eastAsia"/>
                <w:b w:val="0"/>
                <w:bCs w:val="0"/>
                <w:color w:val="auto"/>
                <w:highlight w:val="none"/>
                <w:shd w:val="clear" w:color="auto" w:fill="FFFFFF"/>
              </w:rPr>
              <w:t>工业铝型材搭建，</w:t>
            </w:r>
            <w:r>
              <w:rPr>
                <w:rFonts w:hint="eastAsia"/>
                <w:b w:val="0"/>
                <w:bCs w:val="0"/>
                <w:strike w:val="0"/>
                <w:color w:val="auto"/>
                <w:highlight w:val="none"/>
                <w:shd w:val="clear" w:color="auto" w:fill="FFFFFF"/>
              </w:rPr>
              <w:t>底部托盘≥</w:t>
            </w:r>
            <w:r>
              <w:rPr>
                <w:rFonts w:hint="eastAsia"/>
                <w:b w:val="0"/>
                <w:bCs w:val="0"/>
                <w:strike w:val="0"/>
                <w:color w:val="auto"/>
                <w:highlight w:val="none"/>
                <w:shd w:val="clear" w:color="auto" w:fill="FFFFFF"/>
                <w:lang w:val="en-US" w:eastAsia="zh-CN"/>
              </w:rPr>
              <w:t>1.</w:t>
            </w:r>
            <w:r>
              <w:rPr>
                <w:rFonts w:hint="eastAsia"/>
                <w:b w:val="0"/>
                <w:bCs w:val="0"/>
                <w:strike w:val="0"/>
                <w:color w:val="auto"/>
                <w:highlight w:val="none"/>
                <w:shd w:val="clear" w:color="auto" w:fill="FFFFFF"/>
              </w:rPr>
              <w:t>2mm厚不锈钢板</w:t>
            </w:r>
            <w:r>
              <w:rPr>
                <w:rFonts w:hint="eastAsia"/>
                <w:b w:val="0"/>
                <w:bCs w:val="0"/>
                <w:color w:val="auto"/>
                <w:highlight w:val="none"/>
                <w:shd w:val="clear" w:color="auto" w:fill="FFFFFF"/>
              </w:rPr>
              <w:t>，承重≥200kg，1套。</w:t>
            </w:r>
          </w:p>
          <w:p w14:paraId="572E5D39">
            <w:pPr>
              <w:keepNext w:val="0"/>
              <w:keepLines w:val="0"/>
              <w:suppressLineNumbers w:val="0"/>
              <w:spacing w:before="0" w:beforeAutospacing="0" w:after="0" w:afterAutospacing="0"/>
              <w:ind w:left="0" w:right="0"/>
              <w:jc w:val="left"/>
              <w:rPr>
                <w:rFonts w:hint="eastAsia" w:eastAsiaTheme="minorEastAsia"/>
                <w:b w:val="0"/>
                <w:bCs w:val="0"/>
                <w:strike/>
                <w:color w:val="auto"/>
                <w:highlight w:val="none"/>
                <w:shd w:val="clear" w:color="auto" w:fill="FFFFFF"/>
                <w:lang w:eastAsia="zh-CN"/>
              </w:rPr>
            </w:pPr>
            <w:r>
              <w:rPr>
                <w:rFonts w:hint="eastAsia"/>
                <w:b w:val="0"/>
                <w:bCs w:val="0"/>
                <w:color w:val="auto"/>
                <w:highlight w:val="none"/>
              </w:rPr>
              <w:t>2.水箱循环：</w:t>
            </w:r>
            <w:r>
              <w:rPr>
                <w:rFonts w:hint="eastAsia"/>
                <w:b w:val="0"/>
                <w:bCs w:val="0"/>
                <w:color w:val="auto"/>
                <w:highlight w:val="none"/>
                <w:shd w:val="clear" w:color="auto" w:fill="FFFFFF"/>
              </w:rPr>
              <w:t>尺寸</w:t>
            </w:r>
            <w:r>
              <w:rPr>
                <w:rFonts w:hint="eastAsia"/>
                <w:b w:val="0"/>
                <w:bCs w:val="0"/>
                <w:color w:val="auto"/>
                <w:highlight w:val="none"/>
              </w:rPr>
              <w:t>长×宽×高</w:t>
            </w:r>
            <w:r>
              <w:rPr>
                <w:rFonts w:hint="eastAsia"/>
                <w:b w:val="0"/>
                <w:bCs w:val="0"/>
                <w:color w:val="auto"/>
                <w:highlight w:val="none"/>
                <w:lang w:val="en-US" w:eastAsia="zh-CN"/>
              </w:rPr>
              <w:t>≥</w:t>
            </w:r>
            <w:r>
              <w:rPr>
                <w:rFonts w:hint="eastAsia"/>
                <w:b w:val="0"/>
                <w:bCs w:val="0"/>
                <w:strike w:val="0"/>
                <w:color w:val="auto"/>
                <w:highlight w:val="none"/>
              </w:rPr>
              <w:t>744mm×4</w:t>
            </w:r>
            <w:r>
              <w:rPr>
                <w:rFonts w:hint="eastAsia"/>
                <w:b w:val="0"/>
                <w:bCs w:val="0"/>
                <w:strike w:val="0"/>
                <w:color w:val="auto"/>
                <w:highlight w:val="none"/>
                <w:lang w:val="en-US" w:eastAsia="zh-CN"/>
              </w:rPr>
              <w:t>0</w:t>
            </w:r>
            <w:r>
              <w:rPr>
                <w:rFonts w:hint="eastAsia"/>
                <w:b w:val="0"/>
                <w:bCs w:val="0"/>
                <w:strike w:val="0"/>
                <w:color w:val="auto"/>
                <w:highlight w:val="none"/>
              </w:rPr>
              <w:t>0mm×460mm</w:t>
            </w:r>
            <w:r>
              <w:rPr>
                <w:rFonts w:hint="eastAsia"/>
                <w:b w:val="0"/>
                <w:bCs w:val="0"/>
                <w:color w:val="auto"/>
                <w:highlight w:val="none"/>
              </w:rPr>
              <w:t xml:space="preserve"> (±5%)；</w:t>
            </w:r>
            <w:r>
              <w:rPr>
                <w:rFonts w:hint="eastAsia"/>
                <w:b w:val="0"/>
                <w:bCs w:val="0"/>
                <w:strike w:val="0"/>
                <w:color w:val="auto"/>
                <w:highlight w:val="none"/>
                <w:shd w:val="clear" w:color="auto" w:fill="FFFFFF"/>
              </w:rPr>
              <w:t>采用</w:t>
            </w:r>
            <w:r>
              <w:rPr>
                <w:rFonts w:hint="eastAsia"/>
                <w:b/>
                <w:bCs w:val="0"/>
                <w:color w:val="FF0000"/>
                <w:shd w:val="clear" w:color="auto" w:fill="FFFFFF"/>
              </w:rPr>
              <w:t>透明有机玻璃或304不锈钢材质</w:t>
            </w:r>
            <w:r>
              <w:rPr>
                <w:rFonts w:hint="eastAsia"/>
                <w:b w:val="0"/>
                <w:bCs w:val="0"/>
                <w:color w:val="auto"/>
                <w:shd w:val="clear" w:color="auto" w:fill="FFFFFF"/>
              </w:rPr>
              <w:t>，</w:t>
            </w:r>
            <w:r>
              <w:rPr>
                <w:rFonts w:hint="eastAsia"/>
                <w:b w:val="0"/>
                <w:bCs w:val="0"/>
                <w:color w:val="auto"/>
                <w:highlight w:val="none"/>
                <w:shd w:val="clear" w:color="auto" w:fill="FFFFFF"/>
              </w:rPr>
              <w:t>便于液位观测</w:t>
            </w:r>
            <w:r>
              <w:rPr>
                <w:rFonts w:hint="eastAsia"/>
                <w:b w:val="0"/>
                <w:bCs w:val="0"/>
                <w:color w:val="auto"/>
                <w:highlight w:val="none"/>
                <w:shd w:val="clear" w:color="auto" w:fill="FFFFFF"/>
                <w:lang w:eastAsia="zh-CN"/>
              </w:rPr>
              <w:t>。</w:t>
            </w:r>
          </w:p>
          <w:p w14:paraId="53691F54">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3.高位水箱：</w:t>
            </w:r>
            <w:r>
              <w:rPr>
                <w:rFonts w:hint="eastAsia"/>
                <w:b w:val="0"/>
                <w:bCs w:val="0"/>
                <w:strike w:val="0"/>
                <w:color w:val="auto"/>
                <w:highlight w:val="none"/>
                <w:shd w:val="clear" w:color="auto" w:fill="FFFFFF"/>
              </w:rPr>
              <w:t>尺寸</w:t>
            </w:r>
            <w:r>
              <w:rPr>
                <w:rFonts w:hint="eastAsia"/>
                <w:b w:val="0"/>
                <w:bCs w:val="0"/>
                <w:strike w:val="0"/>
                <w:color w:val="auto"/>
                <w:highlight w:val="none"/>
              </w:rPr>
              <w:t>长×宽×高=430mm×450mm×375mm (±5%)</w:t>
            </w:r>
            <w:r>
              <w:rPr>
                <w:rFonts w:hint="eastAsia"/>
                <w:b w:val="0"/>
                <w:bCs w:val="0"/>
                <w:color w:val="auto"/>
                <w:highlight w:val="none"/>
                <w:lang w:val="en-US" w:eastAsia="zh-CN"/>
              </w:rPr>
              <w:t>或</w:t>
            </w:r>
            <w:r>
              <w:rPr>
                <w:rFonts w:hint="eastAsia"/>
                <w:b w:val="0"/>
                <w:bCs w:val="0"/>
                <w:color w:val="auto"/>
                <w:shd w:val="clear" w:color="auto" w:fill="FFFFFF"/>
              </w:rPr>
              <w:t>尺寸</w:t>
            </w:r>
            <w:r>
              <w:rPr>
                <w:rFonts w:hint="eastAsia"/>
                <w:b w:val="0"/>
                <w:bCs w:val="0"/>
                <w:color w:val="auto"/>
              </w:rPr>
              <w:t>：Ф250mm，高度的250mm (±5%)；</w:t>
            </w:r>
            <w:r>
              <w:rPr>
                <w:rFonts w:hint="eastAsia"/>
                <w:b w:val="0"/>
                <w:bCs w:val="0"/>
                <w:color w:val="auto"/>
                <w:highlight w:val="none"/>
                <w:lang w:eastAsia="zh-CN"/>
              </w:rPr>
              <w:t>）</w:t>
            </w:r>
            <w:r>
              <w:rPr>
                <w:rFonts w:hint="eastAsia"/>
                <w:b w:val="0"/>
                <w:bCs w:val="0"/>
                <w:color w:val="auto"/>
                <w:highlight w:val="none"/>
              </w:rPr>
              <w:t>透明有机玻璃材质，底部设测压孔，可兼容压力及液位信号检测；水箱容积可调节，1 只。</w:t>
            </w:r>
          </w:p>
          <w:p w14:paraId="05CCEBEB">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4.卧式储罐：外形尺寸：Ф306mm×480mm (±5%);</w:t>
            </w:r>
            <w:r>
              <w:rPr>
                <w:rFonts w:hint="eastAsia"/>
                <w:b/>
                <w:bCs w:val="0"/>
                <w:color w:val="FF0000"/>
                <w:highlight w:val="none"/>
              </w:rPr>
              <w:t>304不锈钢或同等及以上耐腐蚀材质</w:t>
            </w:r>
            <w:r>
              <w:rPr>
                <w:rFonts w:hint="eastAsia"/>
                <w:b w:val="0"/>
                <w:bCs w:val="0"/>
                <w:color w:val="auto"/>
                <w:highlight w:val="none"/>
              </w:rPr>
              <w:t>，密封结构；底部配置压力检测装置,1个。</w:t>
            </w:r>
          </w:p>
          <w:p w14:paraId="0C0A163A">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5.反应釜：</w:t>
            </w:r>
            <w:r>
              <w:rPr>
                <w:rFonts w:hint="eastAsia"/>
                <w:b w:val="0"/>
                <w:bCs w:val="0"/>
                <w:color w:val="auto"/>
                <w:highlight w:val="none"/>
                <w:shd w:val="clear" w:color="auto" w:fill="FFFFFF"/>
              </w:rPr>
              <w:t>尺寸</w:t>
            </w:r>
            <w:r>
              <w:rPr>
                <w:rFonts w:hint="eastAsia"/>
                <w:b w:val="0"/>
                <w:bCs w:val="0"/>
                <w:color w:val="auto"/>
                <w:highlight w:val="none"/>
              </w:rPr>
              <w:t>Ф300mm×500m (±5%);整体高度765mm (±5%);</w:t>
            </w:r>
            <w:r>
              <w:rPr>
                <w:rFonts w:hint="eastAsia"/>
                <w:b/>
                <w:bCs w:val="0"/>
                <w:color w:val="FF0000"/>
                <w:highlight w:val="none"/>
              </w:rPr>
              <w:t>304不锈钢或同等及以上耐腐蚀材质</w:t>
            </w:r>
            <w:r>
              <w:rPr>
                <w:rFonts w:hint="eastAsia"/>
                <w:b w:val="0"/>
                <w:bCs w:val="0"/>
                <w:color w:val="auto"/>
                <w:highlight w:val="none"/>
              </w:rPr>
              <w:t>，顶部配置调速搅拌装置及温度检测元件（支持Cu50/Pt100等常用热电阻信号）；内置防干烧保护系统，1套。</w:t>
            </w:r>
          </w:p>
          <w:p w14:paraId="54F2E220">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6.供水管路:采用多级管道工艺，溢流段为透明PVC管件，</w:t>
            </w:r>
            <w:r>
              <w:rPr>
                <w:rFonts w:hint="eastAsia"/>
                <w:b w:val="0"/>
                <w:bCs w:val="0"/>
                <w:strike w:val="0"/>
                <w:color w:val="auto"/>
                <w:highlight w:val="none"/>
              </w:rPr>
              <w:t>下部管路为卡压式不锈钢管件，上部为敷塑不锈钢管；阀门采用黄铜球阀，管接件为卡箍式快接结构，拆装便捷，1 套。</w:t>
            </w:r>
            <w:r>
              <w:rPr>
                <w:rFonts w:hint="eastAsia"/>
                <w:b w:val="0"/>
                <w:bCs w:val="0"/>
                <w:strike w:val="0"/>
                <w:color w:val="auto"/>
                <w:highlight w:val="none"/>
              </w:rPr>
              <w:br w:type="textWrapping"/>
            </w:r>
            <w:r>
              <w:rPr>
                <w:rFonts w:hint="eastAsia"/>
                <w:b w:val="0"/>
                <w:bCs w:val="0"/>
                <w:color w:val="auto"/>
                <w:highlight w:val="none"/>
              </w:rPr>
              <w:t>7.信号转接箱：钣金喷塑结构，内置航空插座及端子排，可集中转接传感器与执行器信号，支持信号远传及数据交互，1个。</w:t>
            </w:r>
          </w:p>
          <w:p w14:paraId="7343D327">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（二）测量仪表</w:t>
            </w:r>
          </w:p>
          <w:p w14:paraId="3B933601">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要求针对化工及热工典型参数配置了液位测量仪表、压力测量仪表、流量测量仪表、温度测量仪表，每个种类的测量仪表均配置了多种类型，以便帮助学员掌握多种测量仪表的工作原理、安装接线、调试与检修。</w:t>
            </w:r>
          </w:p>
          <w:p w14:paraId="6683E222">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1.液位测量：超声波物位计量程不低于0～1m；盲区≤0.06m；供电：DC24V；输出：4～20mA，1个。</w:t>
            </w:r>
          </w:p>
          <w:p w14:paraId="0E3CCA8E">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2.数显式液位变送器：测量范围不低于0～1mH</w:t>
            </w:r>
            <w:r>
              <w:rPr>
                <w:rFonts w:hint="eastAsia"/>
                <w:b w:val="0"/>
                <w:bCs w:val="0"/>
                <w:color w:val="auto"/>
                <w:highlight w:val="none"/>
                <w:vertAlign w:val="subscript"/>
              </w:rPr>
              <w:t>2</w:t>
            </w:r>
            <w:r>
              <w:rPr>
                <w:rFonts w:hint="eastAsia"/>
                <w:b w:val="0"/>
                <w:bCs w:val="0"/>
                <w:color w:val="auto"/>
                <w:highlight w:val="none"/>
              </w:rPr>
              <w:t>O；供电电源：24VDC；输出信号：4～20mA；LED显示，2个。</w:t>
            </w:r>
          </w:p>
          <w:p w14:paraId="6ED25F75">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3.压力测量：压力变送器量程不低于0～200kPa；精度≤0.5级；供电：DC24V；输出：4～20mA；螺纹：G1/2，1只。</w:t>
            </w:r>
          </w:p>
          <w:p w14:paraId="68807C4F">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4.智能差压变送器：量程不低于0～100kPa；支持HART通讯，内置数显屏及参数校准功能，1只。</w:t>
            </w:r>
          </w:p>
          <w:p w14:paraId="3C6D0FD0">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5.流量测量：电磁流量计采用分体式结构，量程不低于0～4.0m³/h，精度≤0.5 级，公称通径DN15，衬里PTFE，电极316L，支持RS485通讯，1套；</w:t>
            </w:r>
          </w:p>
          <w:p w14:paraId="278468D6">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涡轮流量计：两线制接线，量程不低于0.2～1.2m³/h，精度≤1.0 级，公称通径 DN10，1只；</w:t>
            </w:r>
          </w:p>
          <w:p w14:paraId="116C4B55">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孔板流量计：标准孔板节流件，角接取压，最大流量2.0m³/h，适配Ф20×2.5 管道，1个。</w:t>
            </w:r>
          </w:p>
          <w:p w14:paraId="6BAA897C">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6.温度测量：</w:t>
            </w:r>
            <w:r>
              <w:rPr>
                <w:rFonts w:hint="eastAsia"/>
                <w:b/>
                <w:bCs w:val="0"/>
                <w:color w:val="FF0000"/>
                <w:highlight w:val="none"/>
              </w:rPr>
              <w:t>Cu50热电阻1支，安装尺寸（长度、螺纹）按系统实际需求配置</w:t>
            </w:r>
            <w:r>
              <w:rPr>
                <w:rFonts w:hint="eastAsia"/>
                <w:b w:val="0"/>
                <w:bCs w:val="0"/>
                <w:color w:val="auto"/>
                <w:highlight w:val="none"/>
              </w:rPr>
              <w:t>，</w:t>
            </w:r>
            <w:r>
              <w:rPr>
                <w:rFonts w:hint="eastAsia"/>
                <w:b w:val="0"/>
                <w:bCs w:val="0"/>
                <w:strike w:val="0"/>
                <w:color w:val="auto"/>
                <w:highlight w:val="none"/>
              </w:rPr>
              <w:t>长度150mm，螺纹M12×1.5，1支</w:t>
            </w:r>
            <w:r>
              <w:rPr>
                <w:rFonts w:hint="eastAsia"/>
                <w:b w:val="0"/>
                <w:bCs w:val="0"/>
                <w:strike w:val="0"/>
                <w:color w:val="auto"/>
                <w:highlight w:val="none"/>
                <w:lang w:val="en-US" w:eastAsia="zh-CN"/>
              </w:rPr>
              <w:t>或Pt100热电阻：</w:t>
            </w:r>
            <w:r>
              <w:rPr>
                <w:rFonts w:hint="eastAsia"/>
                <w:b w:val="0"/>
                <w:bCs w:val="0"/>
                <w:strike w:val="0"/>
                <w:color w:val="auto"/>
                <w:highlight w:val="none"/>
              </w:rPr>
              <w:t>型号兼容</w:t>
            </w:r>
            <w:r>
              <w:rPr>
                <w:rFonts w:hint="eastAsia" w:eastAsia="宋体"/>
                <w:b/>
                <w:bCs/>
                <w:strike w:val="0"/>
                <w:color w:val="FF0000"/>
                <w:highlight w:val="none"/>
                <w:lang w:val="en-US" w:eastAsia="zh-CN"/>
              </w:rPr>
              <w:t>设备</w:t>
            </w:r>
            <w:r>
              <w:rPr>
                <w:rFonts w:hint="eastAsia"/>
                <w:b w:val="0"/>
                <w:bCs w:val="0"/>
                <w:strike w:val="0"/>
                <w:color w:val="auto"/>
                <w:highlight w:val="none"/>
              </w:rPr>
              <w:t>，</w:t>
            </w:r>
            <w:r>
              <w:rPr>
                <w:rFonts w:hint="eastAsia"/>
                <w:b w:val="0"/>
                <w:bCs w:val="0"/>
                <w:color w:val="auto"/>
                <w:highlight w:val="none"/>
              </w:rPr>
              <w:t>长度47mm，螺纹 G1/4，1支。</w:t>
            </w:r>
          </w:p>
          <w:p w14:paraId="4AEBE1E1">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（三）执行器</w:t>
            </w:r>
          </w:p>
          <w:p w14:paraId="6F6A9F13">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要求执行器主机包含：调节阀、加热装置、流体输送设备、搅拌装置等。</w:t>
            </w:r>
          </w:p>
          <w:p w14:paraId="747CE3F9">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1.电动调节球阀：智能型三片式不锈钢电动调节阀，阀体材质：不锈钢；阀芯材质：不锈钢；额定扭矩：20N.m；额定电压：AC220V；控制方式：4～20mA；反馈方式：4～20mA；电机内置过载保护；防护等级：IP67，1台。</w:t>
            </w:r>
          </w:p>
          <w:p w14:paraId="0EC8B846">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2.公称通径：DN15；公称压力：1.6MPa；控制信号：4～20mA；气源压力：0.25MPa；行程：16mm；流量特性：线性；阀芯材质：304，国标法兰安装；配套阀门定位器，1套。</w:t>
            </w:r>
          </w:p>
          <w:p w14:paraId="4A1E4E66">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3.交流移相调压模块：控制参数：可输入0～5V、0～10V、4～20mA，1套。</w:t>
            </w:r>
          </w:p>
          <w:p w14:paraId="2AEF299C">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4.单相加热管：供电电压AC0～220V，最大加热功率</w:t>
            </w:r>
            <w:r>
              <w:rPr>
                <w:rFonts w:hint="eastAsia"/>
                <w:b w:val="0"/>
                <w:bCs w:val="0"/>
                <w:strike w:val="0"/>
                <w:color w:val="auto"/>
                <w:highlight w:val="none"/>
                <w:lang w:val="en-US" w:eastAsia="zh-CN"/>
              </w:rPr>
              <w:t>≥1.6KW</w:t>
            </w:r>
            <w:r>
              <w:rPr>
                <w:rFonts w:hint="eastAsia"/>
                <w:b w:val="0"/>
                <w:bCs w:val="0"/>
                <w:color w:val="auto"/>
                <w:highlight w:val="none"/>
              </w:rPr>
              <w:t>，1个。</w:t>
            </w:r>
          </w:p>
          <w:p w14:paraId="149BB134">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5.水泵：流量为30L/min，扬程为8m，三相220V供电，功率为180W。泵体采用</w:t>
            </w:r>
            <w:r>
              <w:rPr>
                <w:rFonts w:hint="eastAsia"/>
                <w:b/>
                <w:bCs w:val="0"/>
                <w:color w:val="FF0000"/>
                <w:highlight w:val="none"/>
              </w:rPr>
              <w:t>304不锈钢或同等及以上耐腐蚀材质</w:t>
            </w:r>
            <w:r>
              <w:rPr>
                <w:rFonts w:hint="eastAsia"/>
                <w:b w:val="0"/>
                <w:bCs w:val="0"/>
                <w:color w:val="auto"/>
                <w:highlight w:val="none"/>
              </w:rPr>
              <w:t>，1台。</w:t>
            </w:r>
          </w:p>
          <w:p w14:paraId="62692022">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6.增压泵：最大流量为20L/min，最高扬程10m，单相220V供电，特点：小功率、大扬程、效率高，2台。</w:t>
            </w:r>
          </w:p>
          <w:p w14:paraId="36C0B6AA">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7.调速电机：AC220V，50Hz，40W，1个。</w:t>
            </w:r>
          </w:p>
          <w:p w14:paraId="234F5F51">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8.供电电源：220VAC；最高功率：200W；1个。</w:t>
            </w:r>
          </w:p>
          <w:p w14:paraId="1850E1CA">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9.调速器：</w:t>
            </w:r>
            <w:r>
              <w:rPr>
                <w:rFonts w:hint="eastAsia"/>
                <w:b w:val="0"/>
                <w:bCs w:val="0"/>
                <w:color w:val="ED7D31" w:themeColor="accent2"/>
                <w:highlight w:val="none"/>
                <w14:textFill>
                  <w14:solidFill>
                    <w14:schemeClr w14:val="accent2"/>
                  </w14:solidFill>
                </w14:textFill>
              </w:rPr>
              <w:t>含变频器，功率:0.4kW，</w:t>
            </w:r>
            <w:r>
              <w:rPr>
                <w:rFonts w:hint="eastAsia"/>
                <w:b w:val="0"/>
                <w:bCs w:val="0"/>
                <w:color w:val="auto"/>
                <w:highlight w:val="none"/>
              </w:rPr>
              <w:t>电源电压：单相200V至240V±5%，额定电流2.5A。采用封闭式（IP20）保护结构，控制信号输入为4～20mADC或0～5VDC，交流220V变频输出用来驱动三相磁力驱动泵，1个。</w:t>
            </w:r>
          </w:p>
          <w:p w14:paraId="2ECDDED4">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（四）控制柜</w:t>
            </w:r>
          </w:p>
          <w:p w14:paraId="72CDFEA8">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控制柜要求包含控制柜柜体、电源控制模块、显示仪表模块、仪表控制系统模块、I/O信号接口模块、校验仪器等组成。</w:t>
            </w:r>
          </w:p>
          <w:p w14:paraId="5C2EBD45">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1.控制柜柜体：工业铝型材+钣金结构，正面为网孔安装板，底部带可制动万向脚轮，1套。</w:t>
            </w:r>
          </w:p>
          <w:p w14:paraId="1655AC66">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2.电源控制模块：含漏电保护断路器、电压指示表、电源指示灯、钥匙开关、DC24V 开关电源及 AC220V/DC24V 接口，1 个。</w:t>
            </w:r>
          </w:p>
          <w:p w14:paraId="63604DB3">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3.显示仪表模块：闪光报警仪：≥8通道；支持参数越限报警，1只。</w:t>
            </w:r>
          </w:p>
          <w:p w14:paraId="34C26AA4">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4.无纸记录仪：≥4通道，兼容电流、电压、热电阻等信号，支持历史曲线回放及数据查询，1 只；</w:t>
            </w:r>
          </w:p>
          <w:p w14:paraId="2C126042">
            <w:pPr>
              <w:keepNext w:val="0"/>
              <w:keepLines w:val="0"/>
              <w:suppressLineNumbers w:val="0"/>
              <w:spacing w:before="0" w:beforeAutospacing="0" w:after="0" w:afterAutospacing="0"/>
              <w:ind w:left="0" w:right="0"/>
              <w:jc w:val="left"/>
              <w:rPr>
                <w:rFonts w:hint="eastAsia" w:eastAsiaTheme="minorEastAsia"/>
                <w:b w:val="0"/>
                <w:bCs w:val="0"/>
                <w:strike w:val="0"/>
                <w:color w:val="auto"/>
                <w:highlight w:val="none"/>
                <w:lang w:eastAsia="zh-CN"/>
              </w:rPr>
            </w:pPr>
            <w:r>
              <w:rPr>
                <w:rFonts w:hint="eastAsia"/>
                <w:b w:val="0"/>
                <w:bCs w:val="0"/>
                <w:color w:val="auto"/>
                <w:highlight w:val="none"/>
              </w:rPr>
              <w:t>5.智能巡检仪：≥4通道，支持 4～20mA、Cu50/Pt100 信号检测，带 2 路报警输出，1 只；</w:t>
            </w:r>
            <w:r>
              <w:rPr>
                <w:rFonts w:hint="eastAsia"/>
                <w:b w:val="0"/>
                <w:bCs w:val="0"/>
                <w:color w:val="auto"/>
                <w:highlight w:val="none"/>
              </w:rPr>
              <w:br w:type="textWrapping"/>
            </w:r>
            <w:r>
              <w:rPr>
                <w:rFonts w:hint="eastAsia"/>
                <w:b w:val="0"/>
                <w:bCs w:val="0"/>
                <w:strike w:val="0"/>
                <w:color w:val="auto"/>
                <w:highlight w:val="none"/>
                <w:lang w:val="en-US" w:eastAsia="zh-CN"/>
              </w:rPr>
              <w:t>6</w:t>
            </w:r>
            <w:r>
              <w:rPr>
                <w:rFonts w:hint="eastAsia"/>
                <w:b w:val="0"/>
                <w:bCs w:val="0"/>
                <w:strike w:val="0"/>
                <w:color w:val="auto"/>
                <w:highlight w:val="none"/>
              </w:rPr>
              <w:t>.氧量分析仪：支持烟气含氧量在线检测</w:t>
            </w:r>
            <w:r>
              <w:rPr>
                <w:rFonts w:hint="eastAsia"/>
                <w:b w:val="0"/>
                <w:bCs w:val="0"/>
                <w:strike w:val="0"/>
                <w:color w:val="auto"/>
                <w:highlight w:val="none"/>
                <w:lang w:val="en-US" w:eastAsia="zh-CN"/>
              </w:rPr>
              <w:t>或包含含氧量智能分析仪表</w:t>
            </w:r>
            <w:r>
              <w:rPr>
                <w:rFonts w:hint="eastAsia"/>
                <w:b w:val="0"/>
                <w:bCs w:val="0"/>
                <w:strike w:val="0"/>
                <w:color w:val="auto"/>
                <w:highlight w:val="none"/>
              </w:rPr>
              <w:t>，可与 DCS/PLC 系统兼容，1 只。</w:t>
            </w:r>
          </w:p>
          <w:p w14:paraId="20C68F83">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lang w:val="en-US" w:eastAsia="zh-CN"/>
              </w:rPr>
              <w:t>7</w:t>
            </w:r>
            <w:r>
              <w:rPr>
                <w:rFonts w:hint="eastAsia"/>
                <w:b w:val="0"/>
                <w:bCs w:val="0"/>
                <w:color w:val="auto"/>
                <w:highlight w:val="none"/>
              </w:rPr>
              <w:t>.仪表控制系统模块</w:t>
            </w:r>
            <w:r>
              <w:rPr>
                <w:rFonts w:hint="eastAsia" w:eastAsia="宋体"/>
                <w:b w:val="0"/>
                <w:bCs w:val="0"/>
                <w:color w:val="ED7D31" w:themeColor="accent2"/>
                <w:highlight w:val="none"/>
                <w:lang w:val="en-US" w:eastAsia="zh-CN"/>
                <w14:textFill>
                  <w14:solidFill>
                    <w14:schemeClr w14:val="accent2"/>
                  </w14:solidFill>
                </w14:textFill>
              </w:rPr>
              <w:t>：</w:t>
            </w:r>
            <w:r>
              <w:rPr>
                <w:rFonts w:hint="eastAsia"/>
                <w:b/>
                <w:bCs w:val="0"/>
                <w:strike w:val="0"/>
                <w:color w:val="FF0000"/>
                <w:highlight w:val="none"/>
              </w:rPr>
              <w:t>PLC可编程序控制器：数字量输入≥12路、数字量输出≥8路，具备以太网及RS485通讯接口，支持程序在线下载</w:t>
            </w:r>
            <w:r>
              <w:rPr>
                <w:rFonts w:hint="eastAsia"/>
                <w:b w:val="0"/>
                <w:bCs w:val="0"/>
                <w:strike w:val="0"/>
                <w:color w:val="auto"/>
                <w:highlight w:val="none"/>
              </w:rPr>
              <w:t>（通过以太网口进行程序下载，自带一个RS485接口，12路数量输入，8路数字量输出）1套。模拟量输入输出模块，4路模拟量输入和2路模拟量输出和4路模拟量输出</w:t>
            </w:r>
            <w:r>
              <w:rPr>
                <w:rFonts w:hint="eastAsia"/>
                <w:b w:val="0"/>
                <w:bCs w:val="0"/>
                <w:strike w:val="0"/>
                <w:color w:val="auto"/>
                <w:highlight w:val="none"/>
                <w:lang w:eastAsia="zh-CN"/>
              </w:rPr>
              <w:t>。</w:t>
            </w:r>
            <w:r>
              <w:rPr>
                <w:rFonts w:hint="eastAsia"/>
                <w:b w:val="0"/>
                <w:bCs w:val="0"/>
                <w:strike w:val="0"/>
                <w:color w:val="auto"/>
                <w:highlight w:val="none"/>
              </w:rPr>
              <w:br w:type="textWrapping"/>
            </w:r>
            <w:r>
              <w:rPr>
                <w:rFonts w:hint="eastAsia"/>
                <w:b w:val="0"/>
                <w:bCs w:val="0"/>
                <w:strike w:val="0"/>
                <w:color w:val="auto"/>
                <w:highlight w:val="none"/>
                <w:lang w:val="en-US" w:eastAsia="zh-CN"/>
              </w:rPr>
              <w:t>8</w:t>
            </w:r>
            <w:r>
              <w:rPr>
                <w:rFonts w:hint="eastAsia"/>
                <w:b w:val="0"/>
                <w:bCs w:val="0"/>
                <w:strike w:val="0"/>
                <w:color w:val="auto"/>
                <w:highlight w:val="none"/>
              </w:rPr>
              <w:t>.触摸屏：≥10.2″TFT液晶屏，分辨率≥800×480，接口含 RS232、USB、RJ45，1只；</w:t>
            </w:r>
            <w:r>
              <w:rPr>
                <w:rFonts w:hint="eastAsia"/>
                <w:b w:val="0"/>
                <w:bCs w:val="0"/>
                <w:strike/>
                <w:color w:val="auto"/>
                <w:highlight w:val="none"/>
              </w:rPr>
              <w:br w:type="textWrapping"/>
            </w:r>
            <w:r>
              <w:rPr>
                <w:rFonts w:hint="eastAsia"/>
                <w:b w:val="0"/>
                <w:bCs w:val="0"/>
                <w:strike w:val="0"/>
                <w:color w:val="auto"/>
                <w:highlight w:val="none"/>
                <w:lang w:val="en-US" w:eastAsia="zh-CN"/>
              </w:rPr>
              <w:t>9</w:t>
            </w:r>
            <w:r>
              <w:rPr>
                <w:rFonts w:hint="eastAsia"/>
                <w:b w:val="0"/>
                <w:bCs w:val="0"/>
                <w:strike w:val="0"/>
                <w:color w:val="auto"/>
                <w:highlight w:val="none"/>
              </w:rPr>
              <w:t>.智能调节仪：输出 4～20mA，具备 AI 调节算法及参数自整定功能，带2路报警输出，支持通用通讯协议，3只；</w:t>
            </w:r>
            <w:r>
              <w:rPr>
                <w:rFonts w:hint="eastAsia"/>
                <w:b w:val="0"/>
                <w:bCs w:val="0"/>
                <w:strike/>
                <w:color w:val="auto"/>
                <w:highlight w:val="none"/>
              </w:rPr>
              <w:br w:type="textWrapping"/>
            </w:r>
            <w:r>
              <w:rPr>
                <w:rFonts w:hint="eastAsia"/>
                <w:b w:val="0"/>
                <w:bCs w:val="0"/>
                <w:color w:val="auto"/>
                <w:highlight w:val="none"/>
              </w:rPr>
              <w:t>1</w:t>
            </w:r>
            <w:r>
              <w:rPr>
                <w:rFonts w:hint="eastAsia"/>
                <w:b w:val="0"/>
                <w:bCs w:val="0"/>
                <w:color w:val="auto"/>
                <w:highlight w:val="none"/>
                <w:lang w:val="en-US" w:eastAsia="zh-CN"/>
              </w:rPr>
              <w:t>0</w:t>
            </w:r>
            <w:r>
              <w:rPr>
                <w:rFonts w:hint="eastAsia"/>
                <w:b w:val="0"/>
                <w:bCs w:val="0"/>
                <w:color w:val="auto"/>
                <w:highlight w:val="none"/>
              </w:rPr>
              <w:t>.流量积算仪：支持流量信号累积及批量控制，带 RS485 通讯，1 只。</w:t>
            </w:r>
          </w:p>
          <w:p w14:paraId="709C3B47">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w:t>
            </w:r>
            <w:r>
              <w:rPr>
                <w:rFonts w:hint="eastAsia"/>
                <w:b w:val="0"/>
                <w:bCs w:val="0"/>
                <w:color w:val="auto"/>
                <w:highlight w:val="none"/>
                <w:lang w:val="en-US" w:eastAsia="zh-CN"/>
              </w:rPr>
              <w:t>1</w:t>
            </w:r>
            <w:r>
              <w:rPr>
                <w:rFonts w:hint="eastAsia"/>
                <w:b w:val="0"/>
                <w:bCs w:val="0"/>
                <w:color w:val="auto"/>
                <w:highlight w:val="none"/>
              </w:rPr>
              <w:t>.I/O信号接口模块：采用高绝缘的安全型工业接线端子，1个。</w:t>
            </w:r>
          </w:p>
          <w:p w14:paraId="5114433C">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w:t>
            </w:r>
            <w:r>
              <w:rPr>
                <w:rFonts w:hint="eastAsia"/>
                <w:b w:val="0"/>
                <w:bCs w:val="0"/>
                <w:color w:val="auto"/>
                <w:highlight w:val="none"/>
                <w:lang w:val="en-US" w:eastAsia="zh-CN"/>
              </w:rPr>
              <w:t>2</w:t>
            </w:r>
            <w:r>
              <w:rPr>
                <w:rFonts w:hint="eastAsia"/>
                <w:b w:val="0"/>
                <w:bCs w:val="0"/>
                <w:color w:val="auto"/>
                <w:highlight w:val="none"/>
              </w:rPr>
              <w:t>.压力校验装置：校验量程0-6MPa，以标准精密压力表作为基准，校验其它压力仪表设备。配套精密压力表、被校压力变送器等，1套。</w:t>
            </w:r>
          </w:p>
          <w:p w14:paraId="012DC3F5">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w:t>
            </w:r>
            <w:r>
              <w:rPr>
                <w:rFonts w:hint="eastAsia"/>
                <w:b w:val="0"/>
                <w:bCs w:val="0"/>
                <w:color w:val="auto"/>
                <w:highlight w:val="none"/>
                <w:lang w:val="en-US" w:eastAsia="zh-CN"/>
              </w:rPr>
              <w:t>3</w:t>
            </w:r>
            <w:r>
              <w:rPr>
                <w:rFonts w:hint="eastAsia"/>
                <w:b w:val="0"/>
                <w:bCs w:val="0"/>
                <w:color w:val="auto"/>
                <w:highlight w:val="none"/>
              </w:rPr>
              <w:t>.手操器：</w:t>
            </w:r>
            <w:r>
              <w:rPr>
                <w:rFonts w:hint="eastAsia"/>
                <w:b/>
                <w:bCs w:val="0"/>
                <w:color w:val="FF0000"/>
                <w:highlight w:val="none"/>
              </w:rPr>
              <w:t>适用于HART协议智能变送器的通讯操作</w:t>
            </w:r>
            <w:r>
              <w:rPr>
                <w:rFonts w:hint="eastAsia"/>
                <w:b w:val="0"/>
                <w:bCs w:val="0"/>
                <w:color w:val="auto"/>
                <w:highlight w:val="none"/>
              </w:rPr>
              <w:t>与HART275、HART375、HART475兼容，具有极好的兼容性，</w:t>
            </w:r>
            <w:r>
              <w:rPr>
                <w:rFonts w:hint="eastAsia"/>
                <w:b/>
                <w:bCs w:val="0"/>
                <w:color w:val="FF0000"/>
                <w:highlight w:val="none"/>
              </w:rPr>
              <w:t>支持HART协议（含HART5/6/7版本）的智能通讯手操器，兼容主流HART智能变送器与流量仪表</w:t>
            </w:r>
            <w:r>
              <w:rPr>
                <w:rFonts w:hint="eastAsia"/>
                <w:b w:val="0"/>
                <w:bCs w:val="0"/>
                <w:color w:val="auto"/>
                <w:highlight w:val="none"/>
              </w:rPr>
              <w:t>。完全兼容国产的各种智能变送器，1套。</w:t>
            </w:r>
          </w:p>
          <w:p w14:paraId="3BC5341A">
            <w:pPr>
              <w:keepNext w:val="0"/>
              <w:keepLines w:val="0"/>
              <w:suppressLineNumbers w:val="0"/>
              <w:spacing w:before="0" w:beforeAutospacing="0" w:after="0" w:afterAutospacing="0"/>
              <w:ind w:left="0" w:right="0"/>
              <w:jc w:val="left"/>
              <w:rPr>
                <w:rFonts w:hint="eastAsia"/>
                <w:b w:val="0"/>
                <w:bCs w:val="0"/>
                <w:strike/>
                <w:color w:val="auto"/>
                <w:highlight w:val="none"/>
              </w:rPr>
            </w:pPr>
            <w:r>
              <w:rPr>
                <w:rFonts w:hint="eastAsia"/>
                <w:b w:val="0"/>
                <w:bCs w:val="0"/>
                <w:color w:val="auto"/>
                <w:highlight w:val="none"/>
              </w:rPr>
              <w:t>★</w:t>
            </w:r>
            <w:r>
              <w:rPr>
                <w:rFonts w:hint="eastAsia"/>
                <w:b w:val="0"/>
                <w:bCs w:val="0"/>
                <w:strike w:val="0"/>
                <w:color w:val="auto"/>
                <w:highlight w:val="none"/>
              </w:rPr>
              <w:t>1</w:t>
            </w:r>
            <w:r>
              <w:rPr>
                <w:rFonts w:hint="eastAsia"/>
                <w:b w:val="0"/>
                <w:bCs w:val="0"/>
                <w:strike w:val="0"/>
                <w:color w:val="auto"/>
                <w:highlight w:val="none"/>
                <w:lang w:val="en-US" w:eastAsia="zh-CN"/>
              </w:rPr>
              <w:t>4</w:t>
            </w:r>
            <w:r>
              <w:rPr>
                <w:rFonts w:hint="eastAsia"/>
                <w:b w:val="0"/>
                <w:bCs w:val="0"/>
                <w:strike w:val="0"/>
                <w:color w:val="auto"/>
                <w:highlight w:val="none"/>
              </w:rPr>
              <w:t>.配套教学资源：要求自动化仪表应用仿真实训软件</w:t>
            </w:r>
            <w:r>
              <w:rPr>
                <w:rFonts w:hint="eastAsia"/>
                <w:b w:val="0"/>
                <w:bCs w:val="0"/>
                <w:strike w:val="0"/>
                <w:color w:val="auto"/>
                <w:lang w:val="en-US" w:eastAsia="zh-CN"/>
              </w:rPr>
              <w:t>含</w:t>
            </w:r>
            <w:r>
              <w:rPr>
                <w:rFonts w:hint="eastAsia"/>
                <w:b w:val="0"/>
                <w:bCs w:val="0"/>
                <w:strike w:val="0"/>
                <w:color w:val="auto"/>
              </w:rPr>
              <w:t>过程控制传感器及过程检测仪表3D仿真软件</w:t>
            </w:r>
            <w:r>
              <w:rPr>
                <w:rFonts w:hint="eastAsia"/>
                <w:b w:val="0"/>
                <w:bCs w:val="0"/>
                <w:strike w:val="0"/>
                <w:color w:val="auto"/>
                <w:highlight w:val="none"/>
              </w:rPr>
              <w:t>，针对自动化仪表、过程自动化控制、过程装备与控制工程等相关专业教学。可实现流量计结构与原理仿真；物位计结构与原理仿真；调节阀结构与原理仿真（单座和双座）；提供最新中文版本，</w:t>
            </w:r>
            <w:r>
              <w:rPr>
                <w:rFonts w:hint="eastAsia"/>
                <w:b w:val="0"/>
                <w:bCs w:val="0"/>
                <w:color w:val="auto"/>
                <w:lang w:val="en-US" w:eastAsia="zh-CN"/>
              </w:rPr>
              <w:t>含</w:t>
            </w:r>
            <w:r>
              <w:rPr>
                <w:rFonts w:hint="eastAsia"/>
                <w:b w:val="0"/>
                <w:bCs w:val="0"/>
                <w:color w:val="auto"/>
              </w:rPr>
              <w:t>3D 传感器仿真系统，教学仿真资源（包括3D传感器仿真系统和传感器实验教学视频）要求提供不少于15种传感器及过程检测仪表的网络教学资源包。其中必含浮子液位传感器、齿轮式转速传感器、电容式液位传感器、浮子液位电阻传感器、动态扭矩传感器、超声波、热释电报警传感器等7种传感器以及压力、流量、物位</w:t>
            </w:r>
            <w:r>
              <w:rPr>
                <w:rFonts w:hint="eastAsia"/>
                <w:b w:val="0"/>
                <w:bCs w:val="0"/>
                <w:color w:val="auto"/>
                <w:highlight w:val="none"/>
              </w:rPr>
              <w:t>与温度检测仪表，并提供手机APP截图（</w:t>
            </w:r>
            <w:r>
              <w:rPr>
                <w:rFonts w:hint="eastAsia"/>
                <w:b w:val="0"/>
                <w:bCs w:val="0"/>
                <w:color w:val="auto"/>
                <w:highlight w:val="none"/>
                <w:lang w:val="en-US" w:eastAsia="zh-CN"/>
              </w:rPr>
              <w:t>投标时</w:t>
            </w:r>
            <w:r>
              <w:rPr>
                <w:rFonts w:hint="eastAsia"/>
                <w:b w:val="0"/>
                <w:bCs w:val="0"/>
                <w:color w:val="auto"/>
                <w:highlight w:val="none"/>
              </w:rPr>
              <w:t>须提供产品说明、零件展示、装配、应用展示四个方面的相关证明材料。</w:t>
            </w:r>
            <w:r>
              <w:rPr>
                <w:rFonts w:hint="eastAsia"/>
                <w:b w:val="0"/>
                <w:bCs w:val="0"/>
                <w:color w:val="auto"/>
                <w:highlight w:val="none"/>
                <w:lang w:eastAsia="zh-CN"/>
              </w:rPr>
              <w:t>）</w:t>
            </w:r>
            <w:r>
              <w:rPr>
                <w:rFonts w:hint="eastAsia"/>
                <w:b w:val="0"/>
                <w:bCs w:val="0"/>
                <w:color w:val="auto"/>
                <w:highlight w:val="none"/>
                <w:lang w:eastAsia="zh-CN"/>
              </w:rPr>
              <w:br w:type="textWrapping"/>
            </w:r>
            <w:r>
              <w:rPr>
                <w:rFonts w:hint="eastAsia"/>
                <w:b w:val="0"/>
                <w:bCs w:val="0"/>
                <w:strike w:val="0"/>
                <w:color w:val="auto"/>
                <w:highlight w:val="none"/>
              </w:rPr>
              <w:t>1</w:t>
            </w:r>
            <w:r>
              <w:rPr>
                <w:rFonts w:hint="eastAsia"/>
                <w:b w:val="0"/>
                <w:bCs w:val="0"/>
                <w:strike w:val="0"/>
                <w:color w:val="auto"/>
                <w:highlight w:val="none"/>
                <w:lang w:val="en-US" w:eastAsia="zh-CN"/>
              </w:rPr>
              <w:t>5</w:t>
            </w:r>
            <w:r>
              <w:rPr>
                <w:rFonts w:hint="eastAsia"/>
                <w:b w:val="0"/>
                <w:bCs w:val="0"/>
                <w:strike w:val="0"/>
                <w:color w:val="auto"/>
                <w:highlight w:val="none"/>
              </w:rPr>
              <w:t>.三冲量汽包水位</w:t>
            </w:r>
            <w:r>
              <w:rPr>
                <w:rFonts w:hint="eastAsia"/>
                <w:b w:val="0"/>
                <w:bCs w:val="0"/>
                <w:color w:val="auto"/>
                <w:highlight w:val="none"/>
                <w:lang w:val="en-US" w:eastAsia="zh-CN"/>
              </w:rPr>
              <w:t>或过程控制</w:t>
            </w:r>
            <w:r>
              <w:rPr>
                <w:rFonts w:hint="eastAsia"/>
                <w:b w:val="0"/>
                <w:bCs w:val="0"/>
                <w:strike w:val="0"/>
                <w:color w:val="auto"/>
                <w:highlight w:val="none"/>
              </w:rPr>
              <w:t>仿真教学软件：包括操作组态界面、底层控制系统和数据通讯接口，1套。</w:t>
            </w:r>
          </w:p>
          <w:p w14:paraId="6DB98E92">
            <w:pPr>
              <w:keepNext w:val="0"/>
              <w:keepLines w:val="0"/>
              <w:suppressLineNumbers w:val="0"/>
              <w:spacing w:before="0" w:beforeAutospacing="0" w:after="0" w:afterAutospacing="0"/>
              <w:ind w:left="0" w:right="0"/>
              <w:jc w:val="left"/>
              <w:rPr>
                <w:rFonts w:hint="eastAsia"/>
                <w:b w:val="0"/>
                <w:bCs w:val="0"/>
                <w:strike/>
                <w:color w:val="auto"/>
                <w:highlight w:val="none"/>
              </w:rPr>
            </w:pPr>
            <w:r>
              <w:rPr>
                <w:rFonts w:hint="eastAsia"/>
                <w:b w:val="0"/>
                <w:bCs w:val="0"/>
                <w:strike w:val="0"/>
                <w:color w:val="auto"/>
                <w:highlight w:val="none"/>
              </w:rPr>
              <w:t>★1</w:t>
            </w:r>
            <w:r>
              <w:rPr>
                <w:rFonts w:hint="eastAsia"/>
                <w:b w:val="0"/>
                <w:bCs w:val="0"/>
                <w:strike w:val="0"/>
                <w:color w:val="auto"/>
                <w:highlight w:val="none"/>
                <w:lang w:val="en-US" w:eastAsia="zh-CN"/>
              </w:rPr>
              <w:t>6</w:t>
            </w:r>
            <w:r>
              <w:rPr>
                <w:rFonts w:hint="eastAsia"/>
                <w:b w:val="0"/>
                <w:bCs w:val="0"/>
                <w:strike w:val="0"/>
                <w:color w:val="auto"/>
                <w:highlight w:val="none"/>
              </w:rPr>
              <w:t>.过程控制可视化教学系统</w:t>
            </w:r>
            <w:r>
              <w:rPr>
                <w:rFonts w:hint="eastAsia"/>
                <w:b w:val="0"/>
                <w:bCs w:val="0"/>
                <w:strike w:val="0"/>
                <w:color w:val="auto"/>
                <w:sz w:val="18"/>
                <w:szCs w:val="18"/>
                <w:highlight w:val="none"/>
              </w:rPr>
              <w:t>，</w:t>
            </w:r>
            <w:r>
              <w:rPr>
                <w:rFonts w:hint="eastAsia"/>
                <w:b w:val="0"/>
                <w:bCs w:val="0"/>
                <w:color w:val="auto"/>
                <w:highlight w:val="none"/>
              </w:rPr>
              <w:t>支持工业过程控制虚拟仿真相关实训项目8个以上</w:t>
            </w:r>
            <w:r>
              <w:rPr>
                <w:rFonts w:hint="eastAsia" w:eastAsia="宋体"/>
                <w:b w:val="0"/>
                <w:bCs w:val="0"/>
                <w:color w:val="auto"/>
                <w:highlight w:val="none"/>
                <w:lang w:val="en-US" w:eastAsia="zh-CN"/>
              </w:rPr>
              <w:t>实验项目</w:t>
            </w:r>
            <w:r>
              <w:rPr>
                <w:rFonts w:hint="eastAsia"/>
                <w:b w:val="0"/>
                <w:bCs w:val="0"/>
                <w:color w:val="auto"/>
                <w:highlight w:val="none"/>
              </w:rPr>
              <w:t>。</w:t>
            </w:r>
            <w:r>
              <w:rPr>
                <w:rFonts w:hint="eastAsia" w:eastAsia="宋体"/>
                <w:b w:val="0"/>
                <w:bCs w:val="0"/>
                <w:color w:val="auto"/>
                <w:highlight w:val="none"/>
                <w:lang w:eastAsia="zh-CN"/>
              </w:rPr>
              <w:t>（</w:t>
            </w:r>
            <w:r>
              <w:rPr>
                <w:rFonts w:hint="eastAsia" w:eastAsia="宋体"/>
                <w:b w:val="0"/>
                <w:bCs w:val="0"/>
                <w:color w:val="auto"/>
                <w:highlight w:val="none"/>
                <w:lang w:val="en-US" w:eastAsia="zh-CN"/>
              </w:rPr>
              <w:t>投标时提供上下水箱</w:t>
            </w:r>
            <w:r>
              <w:rPr>
                <w:rFonts w:hint="eastAsia" w:eastAsia="宋体"/>
                <w:b w:val="0"/>
                <w:bCs w:val="0"/>
                <w:color w:val="auto"/>
                <w:highlight w:val="none"/>
                <w:lang w:eastAsia="zh-CN"/>
              </w:rPr>
              <w:t>）</w:t>
            </w:r>
            <w:r>
              <w:rPr>
                <w:rFonts w:hint="eastAsia"/>
                <w:b w:val="0"/>
                <w:bCs w:val="0"/>
                <w:strike w:val="0"/>
                <w:color w:val="auto"/>
                <w:highlight w:val="none"/>
              </w:rPr>
              <w:t>软件模块要求：(1)建立3D虚拟实训场景，画面中的监控数据除用数字、动画等形式表示外，部分重要的数据应以实时趋势的方式展现。(2)软件包括设备认识、设备运行、接线原理、过程控制实验。可完成包含“单容水箱对象模型测试”、“加热水箱对象模型特性测试”、“单容水箱液位定值控制实验”、“管道流量定值控制实验”、“加热水箱温度定值控制实验”、“水箱液位串级控制实验”、“加热水箱温度与进水流量串级控制实验”</w:t>
            </w:r>
            <w:r>
              <w:rPr>
                <w:rFonts w:hint="eastAsia"/>
                <w:b w:val="0"/>
                <w:bCs w:val="0"/>
                <w:strike w:val="0"/>
                <w:color w:val="auto"/>
                <w:highlight w:val="none"/>
                <w:lang w:val="en-US" w:eastAsia="zh-CN"/>
              </w:rPr>
              <w:t>8</w:t>
            </w:r>
            <w:r>
              <w:rPr>
                <w:rFonts w:hint="eastAsia"/>
                <w:b w:val="0"/>
                <w:bCs w:val="0"/>
                <w:strike w:val="0"/>
                <w:color w:val="auto"/>
                <w:highlight w:val="none"/>
              </w:rPr>
              <w:t>个以上实验项目。</w:t>
            </w:r>
            <w:r>
              <w:rPr>
                <w:rFonts w:hint="eastAsia"/>
                <w:b w:val="0"/>
                <w:bCs w:val="0"/>
                <w:color w:val="auto"/>
                <w:highlight w:val="none"/>
                <w:lang w:eastAsia="zh-CN"/>
              </w:rPr>
              <w:t>（</w:t>
            </w:r>
            <w:r>
              <w:rPr>
                <w:rFonts w:hint="eastAsia"/>
                <w:b w:val="0"/>
                <w:bCs w:val="0"/>
                <w:color w:val="auto"/>
                <w:highlight w:val="none"/>
                <w:lang w:val="en-US" w:eastAsia="zh-CN"/>
              </w:rPr>
              <w:t>投标时</w:t>
            </w:r>
            <w:r>
              <w:rPr>
                <w:rFonts w:hint="eastAsia"/>
                <w:b w:val="0"/>
                <w:bCs w:val="0"/>
                <w:color w:val="auto"/>
                <w:highlight w:val="none"/>
              </w:rPr>
              <w:t>提供上下水箱串级控制、比值控制、流量液位串级控制系统3 种实验的仿真控制软件建模界面、建模响应曲线、控制响应曲线的相关截图。没有满足采购需求或没有提供截图的，按一项负偏离处理</w:t>
            </w:r>
            <w:r>
              <w:rPr>
                <w:rFonts w:hint="eastAsia"/>
                <w:b w:val="0"/>
                <w:bCs w:val="0"/>
                <w:color w:val="auto"/>
                <w:highlight w:val="none"/>
                <w:lang w:eastAsia="zh-CN"/>
              </w:rPr>
              <w:t>）</w:t>
            </w:r>
            <w:r>
              <w:rPr>
                <w:rFonts w:hint="eastAsia"/>
                <w:b w:val="0"/>
                <w:bCs w:val="0"/>
                <w:color w:val="auto"/>
                <w:highlight w:val="none"/>
              </w:rPr>
              <w:t>。</w:t>
            </w:r>
            <w:r>
              <w:rPr>
                <w:rFonts w:hint="eastAsia"/>
                <w:b w:val="0"/>
                <w:bCs w:val="0"/>
                <w:color w:val="auto"/>
                <w:highlight w:val="none"/>
              </w:rPr>
              <w:br w:type="textWrapping"/>
            </w:r>
            <w:r>
              <w:rPr>
                <w:rFonts w:hint="eastAsia"/>
                <w:b w:val="0"/>
                <w:bCs w:val="0"/>
                <w:strike w:val="0"/>
                <w:color w:val="auto"/>
                <w:highlight w:val="none"/>
              </w:rPr>
              <w:t>1</w:t>
            </w:r>
            <w:r>
              <w:rPr>
                <w:rFonts w:hint="eastAsia"/>
                <w:b w:val="0"/>
                <w:bCs w:val="0"/>
                <w:strike w:val="0"/>
                <w:color w:val="auto"/>
                <w:highlight w:val="none"/>
                <w:lang w:val="en-US" w:eastAsia="zh-CN"/>
              </w:rPr>
              <w:t>7</w:t>
            </w:r>
            <w:r>
              <w:rPr>
                <w:rFonts w:hint="eastAsia"/>
                <w:b w:val="0"/>
                <w:bCs w:val="0"/>
                <w:strike w:val="0"/>
                <w:color w:val="auto"/>
                <w:highlight w:val="none"/>
              </w:rPr>
              <w:t>.传感器技术AR仿真实训教学APP软件：要求通过位移测量、振动测量、转速测量、环境测量等具体应用实例来展示传感器的基本原理，动态显示实验结果；单独展示传感器的各个组成元件，观察零件的结构、材质以及材质类型；以3D仿真的形式展示传感器的装配过程，具有快速装配、慢速装配、放大、缩小、旋转视图等功能；支持常用传感器。</w:t>
            </w:r>
          </w:p>
          <w:p w14:paraId="68A91D5A">
            <w:pPr>
              <w:keepNext w:val="0"/>
              <w:keepLines w:val="0"/>
              <w:suppressLineNumbers w:val="0"/>
              <w:spacing w:before="0" w:beforeAutospacing="0" w:after="0" w:afterAutospacing="0"/>
              <w:ind w:left="0" w:right="0"/>
              <w:jc w:val="left"/>
              <w:rPr>
                <w:rFonts w:hint="eastAsia" w:eastAsiaTheme="minorEastAsia"/>
                <w:b w:val="0"/>
                <w:bCs w:val="0"/>
                <w:strike/>
                <w:color w:val="auto"/>
                <w:highlight w:val="none"/>
                <w:lang w:eastAsia="zh-CN"/>
              </w:rPr>
            </w:pPr>
            <w:r>
              <w:rPr>
                <w:rFonts w:hint="eastAsia"/>
                <w:b w:val="0"/>
                <w:bCs w:val="0"/>
                <w:strike w:val="0"/>
                <w:color w:val="auto"/>
                <w:highlight w:val="none"/>
              </w:rPr>
              <w:t>1</w:t>
            </w:r>
            <w:r>
              <w:rPr>
                <w:rFonts w:hint="eastAsia"/>
                <w:b w:val="0"/>
                <w:bCs w:val="0"/>
                <w:strike w:val="0"/>
                <w:color w:val="auto"/>
                <w:highlight w:val="none"/>
                <w:lang w:val="en-US" w:eastAsia="zh-CN"/>
              </w:rPr>
              <w:t>8</w:t>
            </w:r>
            <w:r>
              <w:rPr>
                <w:rFonts w:hint="eastAsia"/>
                <w:b w:val="0"/>
                <w:bCs w:val="0"/>
                <w:strike w:val="0"/>
                <w:color w:val="auto"/>
                <w:highlight w:val="none"/>
              </w:rPr>
              <w:t>.PLC技术AR仿真实训教学APP软件，</w:t>
            </w:r>
            <w:r>
              <w:rPr>
                <w:rFonts w:hint="eastAsia" w:eastAsia="宋体"/>
                <w:b w:val="0"/>
                <w:bCs w:val="0"/>
                <w:strike w:val="0"/>
                <w:color w:val="auto"/>
                <w:highlight w:val="none"/>
                <w:lang w:val="en-US" w:eastAsia="zh-CN"/>
              </w:rPr>
              <w:t>具备</w:t>
            </w:r>
            <w:r>
              <w:rPr>
                <w:rFonts w:hint="eastAsia"/>
                <w:b w:val="0"/>
                <w:bCs w:val="0"/>
                <w:strike w:val="0"/>
                <w:color w:val="auto"/>
                <w:highlight w:val="none"/>
              </w:rPr>
              <w:t>以下功能：包含电梯控制模块、扶梯模块、水泵排水模块、刀库捷径模块等不少于12个PLC实训模块。内置AI智能语音助手，点击模型相应位置，自动语音讲解其功能</w:t>
            </w:r>
            <w:r>
              <w:rPr>
                <w:rFonts w:hint="eastAsia"/>
                <w:b w:val="0"/>
                <w:bCs w:val="0"/>
                <w:strike w:val="0"/>
                <w:color w:val="auto"/>
                <w:highlight w:val="none"/>
                <w:lang w:eastAsia="zh-CN"/>
              </w:rPr>
              <w:t>（</w:t>
            </w:r>
            <w:r>
              <w:rPr>
                <w:rFonts w:hint="eastAsia"/>
                <w:b w:val="0"/>
                <w:bCs w:val="0"/>
                <w:strike w:val="0"/>
                <w:color w:val="auto"/>
                <w:highlight w:val="none"/>
                <w:lang w:val="en-US" w:eastAsia="zh-CN"/>
              </w:rPr>
              <w:t>投标时提供视频演示</w:t>
            </w:r>
            <w:r>
              <w:rPr>
                <w:rFonts w:hint="eastAsia"/>
                <w:b w:val="0"/>
                <w:bCs w:val="0"/>
                <w:strike w:val="0"/>
                <w:color w:val="auto"/>
                <w:highlight w:val="none"/>
                <w:lang w:eastAsia="zh-CN"/>
              </w:rPr>
              <w:t>）</w:t>
            </w:r>
            <w:r>
              <w:rPr>
                <w:rFonts w:hint="eastAsia"/>
                <w:b w:val="0"/>
                <w:bCs w:val="0"/>
                <w:strike w:val="0"/>
                <w:color w:val="auto"/>
                <w:highlight w:val="none"/>
                <w:lang w:val="en-US" w:eastAsia="zh-CN"/>
              </w:rPr>
              <w:t>或</w:t>
            </w:r>
            <w:r>
              <w:rPr>
                <w:rFonts w:hint="eastAsia"/>
                <w:b w:val="0"/>
                <w:bCs w:val="0"/>
                <w:strike w:val="0"/>
                <w:color w:val="auto"/>
                <w:highlight w:val="none"/>
              </w:rPr>
              <w:t>PLC技术实训装置的动画演示；可编程控制器的介绍；变频器的介绍；工业触摸屏的介绍；PLC控制LED仿真实训；PLC控制继电接触电路仿真实训；PLC控制变频调速仿真实训。</w:t>
            </w:r>
          </w:p>
          <w:p w14:paraId="07DAEC07">
            <w:pPr>
              <w:keepNext w:val="0"/>
              <w:keepLines w:val="0"/>
              <w:suppressLineNumbers w:val="0"/>
              <w:spacing w:before="0" w:beforeAutospacing="0" w:after="0" w:afterAutospacing="0" w:line="240" w:lineRule="auto"/>
              <w:ind w:left="0" w:right="0"/>
              <w:jc w:val="left"/>
              <w:rPr>
                <w:rFonts w:hint="eastAsia" w:cs="宋体" w:asciiTheme="minorEastAsia" w:hAnsiTheme="minorEastAsia"/>
                <w:b w:val="0"/>
                <w:bCs w:val="0"/>
                <w:color w:val="auto"/>
                <w:szCs w:val="21"/>
                <w:highlight w:val="none"/>
              </w:rPr>
            </w:pPr>
            <w:r>
              <w:rPr>
                <w:rFonts w:hint="eastAsia"/>
                <w:b w:val="0"/>
                <w:bCs w:val="0"/>
                <w:strike w:val="0"/>
                <w:color w:val="auto"/>
                <w:highlight w:val="none"/>
                <w:lang w:val="en-US" w:eastAsia="zh-CN"/>
              </w:rPr>
              <w:t>19</w:t>
            </w:r>
            <w:r>
              <w:rPr>
                <w:rFonts w:hint="eastAsia"/>
                <w:b w:val="0"/>
                <w:bCs w:val="0"/>
                <w:strike w:val="0"/>
                <w:color w:val="auto"/>
                <w:highlight w:val="none"/>
              </w:rPr>
              <w:t>.DCS系统编程组态及仿真运行软件平台：由工程总控软件、操作员在线软件、操作员在线配置工具软件、离线查询软件、仿真启动管理软件等组成，1套。</w:t>
            </w:r>
          </w:p>
          <w:p w14:paraId="153357BA">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（五）配套附件</w:t>
            </w:r>
          </w:p>
          <w:p w14:paraId="36001ECE">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1.专用操作台2张。其中第一张：长×宽×高</w:t>
            </w:r>
            <w:r>
              <w:rPr>
                <w:rFonts w:hint="eastAsia"/>
                <w:b w:val="0"/>
                <w:bCs w:val="0"/>
                <w:color w:val="auto"/>
                <w:highlight w:val="none"/>
                <w:lang w:val="en-US" w:eastAsia="zh-CN"/>
              </w:rPr>
              <w:t>≥</w:t>
            </w:r>
            <w:r>
              <w:rPr>
                <w:rFonts w:hint="eastAsia"/>
                <w:b w:val="0"/>
                <w:bCs w:val="0"/>
                <w:color w:val="auto"/>
                <w:highlight w:val="none"/>
              </w:rPr>
              <w:t>1200mm×760mm×820mm (±100mm)。配有两个抽屉，配三节静音导轨和拉手。第二张：长×宽×高</w:t>
            </w:r>
            <w:r>
              <w:rPr>
                <w:rFonts w:hint="eastAsia"/>
                <w:b w:val="0"/>
                <w:bCs w:val="0"/>
                <w:color w:val="auto"/>
                <w:highlight w:val="none"/>
                <w:lang w:val="en-US" w:eastAsia="zh-CN"/>
              </w:rPr>
              <w:t>≥</w:t>
            </w:r>
            <w:r>
              <w:rPr>
                <w:rFonts w:hint="eastAsia"/>
                <w:b w:val="0"/>
                <w:bCs w:val="0"/>
                <w:color w:val="auto"/>
                <w:highlight w:val="none"/>
              </w:rPr>
              <w:t>625mm×600mm×1045mm (±100mm)。配四只</w:t>
            </w:r>
            <w:bookmarkStart w:id="170" w:name="OLE_LINK5"/>
            <w:r>
              <w:rPr>
                <w:rFonts w:hint="eastAsia"/>
                <w:b w:val="0"/>
                <w:bCs w:val="0"/>
                <w:color w:val="auto"/>
                <w:highlight w:val="none"/>
              </w:rPr>
              <w:t>1.5寸</w:t>
            </w:r>
            <w:bookmarkEnd w:id="170"/>
            <w:r>
              <w:rPr>
                <w:rFonts w:hint="eastAsia"/>
                <w:b w:val="0"/>
                <w:bCs w:val="0"/>
                <w:color w:val="auto"/>
                <w:highlight w:val="none"/>
              </w:rPr>
              <w:t>万向脚轮。</w:t>
            </w:r>
          </w:p>
          <w:p w14:paraId="016602EE">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2.空气压缩机:要求采用静音且具有气量自动调节系统的空压机，1台。</w:t>
            </w:r>
          </w:p>
          <w:p w14:paraId="6125FCA5">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3.实验导线：3号和4号护套叠插导线，1套。</w:t>
            </w:r>
          </w:p>
          <w:p w14:paraId="665D0D5E">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4.导线架，1套。</w:t>
            </w:r>
          </w:p>
        </w:tc>
        <w:tc>
          <w:tcPr>
            <w:tcW w:w="365" w:type="pct"/>
            <w:tcBorders>
              <w:top w:val="nil"/>
              <w:left w:val="nil"/>
              <w:bottom w:val="single" w:color="auto" w:sz="4" w:space="0"/>
              <w:right w:val="single" w:color="auto" w:sz="4" w:space="0"/>
            </w:tcBorders>
            <w:noWrap w:val="0"/>
            <w:vAlign w:val="center"/>
          </w:tcPr>
          <w:p w14:paraId="1DDA88D3">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套</w:t>
            </w:r>
          </w:p>
        </w:tc>
        <w:tc>
          <w:tcPr>
            <w:tcW w:w="390" w:type="pct"/>
            <w:tcBorders>
              <w:top w:val="nil"/>
              <w:left w:val="nil"/>
              <w:bottom w:val="single" w:color="auto" w:sz="4" w:space="0"/>
              <w:right w:val="single" w:color="auto" w:sz="4" w:space="0"/>
            </w:tcBorders>
            <w:noWrap w:val="0"/>
            <w:vAlign w:val="center"/>
          </w:tcPr>
          <w:p w14:paraId="56367DC4">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w:t>
            </w:r>
          </w:p>
        </w:tc>
      </w:tr>
      <w:tr w14:paraId="76B7DD81">
        <w:tblPrEx>
          <w:tblCellMar>
            <w:top w:w="0" w:type="dxa"/>
            <w:left w:w="108" w:type="dxa"/>
            <w:bottom w:w="0" w:type="dxa"/>
            <w:right w:w="108" w:type="dxa"/>
          </w:tblCellMar>
        </w:tblPrEx>
        <w:trPr>
          <w:trHeight w:val="20" w:hRule="atLeast"/>
        </w:trPr>
        <w:tc>
          <w:tcPr>
            <w:tcW w:w="231" w:type="pct"/>
            <w:tcBorders>
              <w:top w:val="nil"/>
              <w:left w:val="single" w:color="auto" w:sz="4" w:space="0"/>
              <w:bottom w:val="single" w:color="auto" w:sz="4" w:space="0"/>
              <w:right w:val="single" w:color="auto" w:sz="4" w:space="0"/>
            </w:tcBorders>
            <w:noWrap w:val="0"/>
            <w:vAlign w:val="center"/>
          </w:tcPr>
          <w:p w14:paraId="1DA4AFF1">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w:t>
            </w:r>
          </w:p>
        </w:tc>
        <w:tc>
          <w:tcPr>
            <w:tcW w:w="525" w:type="pct"/>
            <w:tcBorders>
              <w:top w:val="nil"/>
              <w:left w:val="nil"/>
              <w:bottom w:val="single" w:color="auto" w:sz="4" w:space="0"/>
              <w:right w:val="single" w:color="auto" w:sz="4" w:space="0"/>
            </w:tcBorders>
            <w:noWrap w:val="0"/>
            <w:vAlign w:val="center"/>
          </w:tcPr>
          <w:p w14:paraId="5B7EC2D2">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仪器仪表安装调试实训台</w:t>
            </w:r>
          </w:p>
        </w:tc>
        <w:tc>
          <w:tcPr>
            <w:tcW w:w="3486" w:type="pct"/>
            <w:tcBorders>
              <w:top w:val="nil"/>
              <w:left w:val="nil"/>
              <w:bottom w:val="single" w:color="auto" w:sz="4" w:space="0"/>
              <w:right w:val="single" w:color="auto" w:sz="4" w:space="0"/>
            </w:tcBorders>
            <w:noWrap w:val="0"/>
            <w:vAlign w:val="center"/>
          </w:tcPr>
          <w:p w14:paraId="5DDC55D1">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一、技术性能要求：</w:t>
            </w:r>
          </w:p>
          <w:p w14:paraId="5A7BA6FA">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1.外形尺寸：长×宽1200mm×800mm (±5%)，高度为1700mm±10mm；</w:t>
            </w:r>
          </w:p>
          <w:p w14:paraId="03DE94E6">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安全防护要求：(1)漏电保护功能：装置配有带漏电保护断路器，当有学生误操作造成电流过大，漏电保护系统立即动作，切断控制箱电源，安全性符合相关的国标标准；(2)绝缘保护功能：采用高绝缘的安全型插座，高绝缘的安全型工业接线端子，可根据实际教学需求采用工程压接预绝缘管端子连接系统，各种电源及仪表要求均有可靠的自保护功能。</w:t>
            </w:r>
          </w:p>
          <w:p w14:paraId="5E09A678">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二、结构与组成要求：</w:t>
            </w:r>
          </w:p>
          <w:p w14:paraId="11EC3576">
            <w:pPr>
              <w:keepNext w:val="0"/>
              <w:keepLines w:val="0"/>
              <w:suppressLineNumbers w:val="0"/>
              <w:spacing w:before="0" w:beforeAutospacing="0" w:after="0" w:afterAutospacing="0"/>
              <w:ind w:left="0" w:right="0" w:firstLine="420"/>
              <w:jc w:val="left"/>
              <w:rPr>
                <w:rFonts w:hint="eastAsia"/>
                <w:b w:val="0"/>
                <w:bCs w:val="0"/>
                <w:color w:val="auto"/>
                <w:highlight w:val="none"/>
              </w:rPr>
            </w:pPr>
            <w:r>
              <w:rPr>
                <w:rFonts w:hint="eastAsia"/>
                <w:b w:val="0"/>
                <w:bCs w:val="0"/>
                <w:color w:val="auto"/>
                <w:highlight w:val="none"/>
              </w:rPr>
              <w:t>实训台由工业型材实训桌、水箱模型、管道、阀门、一次测量仪表（液位、流量和压力）、执行器、智能调节仪表等组成，可实现对工业过程控制中的三个典型指标的测量与控制。</w:t>
            </w:r>
          </w:p>
          <w:p w14:paraId="5C99ED98">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实训桌由工业铝型材及钣金组成，水箱模型、管道、阀门、测量仪表、执行器等安装在实训桌台面上。水箱模型包含循环水箱和高位水箱，循环水箱直接安装于实训桌台面上，为系统提供循环水源，高位水箱安装在上方位置，方便出水自动流回循环水箱，用作对液位信号的测量与控制。执行器包括直流调速水泵和电动调节阀，用以控制管道压力和流量。管道采用不锈钢管道、卡箍式管接头及优质球阀进行连接，方便拆装。仪表控制系统采用智能调节仪表，具备人工智能调节算法及参数自整定功能，用于过程信号的测量与控制。</w:t>
            </w:r>
          </w:p>
          <w:p w14:paraId="7BD54079">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（一）实训台基本配置要求</w:t>
            </w:r>
          </w:p>
          <w:p w14:paraId="654E3F1E">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1.实训桌整体采用铝型材框架结构，桌体封板采用≥1.5mm厚的钢板机械加工成型，桌面采用≥20×80mm工业铝型材拼接成型。底部装有四只带刹车万向脚轮，便于设备整体移动和固定，1套。</w:t>
            </w:r>
          </w:p>
          <w:p w14:paraId="49AFD47C">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电源箱：喷塑电源箱集成于装置顶部，设单相带漏电保护断路器、电源指示灯、钥匙开关、按钮开关、开关电源、急停按钮、数字交流电压表、数字直流电流表、双联插座等，用于实训台的电源控制与显示，1套。</w:t>
            </w:r>
          </w:p>
          <w:p w14:paraId="64AB8654">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3.水箱对象模型：采用</w:t>
            </w:r>
            <w:r>
              <w:rPr>
                <w:rFonts w:hint="eastAsia"/>
                <w:b/>
                <w:bCs w:val="0"/>
                <w:color w:val="FF0000"/>
                <w:highlight w:val="none"/>
              </w:rPr>
              <w:t>≥</w:t>
            </w:r>
            <w:r>
              <w:rPr>
                <w:rFonts w:hint="eastAsia"/>
                <w:b w:val="0"/>
                <w:bCs w:val="0"/>
                <w:color w:val="auto"/>
                <w:highlight w:val="none"/>
              </w:rPr>
              <w:t>8mm</w:t>
            </w:r>
            <w:r>
              <w:rPr>
                <w:rFonts w:hint="eastAsia" w:eastAsia="宋体"/>
                <w:b w:val="0"/>
                <w:bCs w:val="0"/>
                <w:color w:val="auto"/>
                <w:highlight w:val="none"/>
                <w:lang w:val="en-US" w:eastAsia="zh-CN"/>
              </w:rPr>
              <w:t>厚</w:t>
            </w:r>
            <w:r>
              <w:rPr>
                <w:rFonts w:hint="eastAsia"/>
                <w:b/>
                <w:bCs w:val="0"/>
                <w:color w:val="FF0000"/>
                <w:highlight w:val="none"/>
              </w:rPr>
              <w:t>透明有机玻璃方形水箱（容积≥15L）</w:t>
            </w:r>
            <w:r>
              <w:rPr>
                <w:rFonts w:hint="eastAsia"/>
                <w:b w:val="0"/>
                <w:bCs w:val="0"/>
                <w:color w:val="auto"/>
                <w:highlight w:val="none"/>
              </w:rPr>
              <w:t>，色泽鲜明，透明度好，实训中对水位的观测直观明了。为实训系统提供循环水源，1只。</w:t>
            </w:r>
          </w:p>
          <w:p w14:paraId="64DB4341">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4.高作水箱:采用</w:t>
            </w:r>
            <w:r>
              <w:rPr>
                <w:rFonts w:hint="eastAsia"/>
                <w:b/>
                <w:bCs w:val="0"/>
                <w:color w:val="FF0000"/>
                <w:highlight w:val="none"/>
              </w:rPr>
              <w:t>≥</w:t>
            </w:r>
            <w:r>
              <w:rPr>
                <w:rFonts w:hint="eastAsia"/>
                <w:b w:val="0"/>
                <w:bCs w:val="0"/>
                <w:color w:val="auto"/>
                <w:highlight w:val="none"/>
              </w:rPr>
              <w:t>8mm</w:t>
            </w:r>
            <w:r>
              <w:rPr>
                <w:rFonts w:hint="eastAsia" w:eastAsia="宋体"/>
                <w:b w:val="0"/>
                <w:bCs w:val="0"/>
                <w:color w:val="auto"/>
                <w:highlight w:val="none"/>
                <w:lang w:val="en-US" w:eastAsia="zh-CN"/>
              </w:rPr>
              <w:t>厚</w:t>
            </w:r>
            <w:r>
              <w:rPr>
                <w:rFonts w:hint="eastAsia"/>
                <w:b/>
                <w:bCs w:val="0"/>
                <w:color w:val="FF0000"/>
                <w:highlight w:val="none"/>
              </w:rPr>
              <w:t>透明有机玻璃方形水箱（容积≥11.5L）</w:t>
            </w:r>
            <w:r>
              <w:rPr>
                <w:rFonts w:hint="eastAsia"/>
                <w:b w:val="0"/>
                <w:bCs w:val="0"/>
                <w:color w:val="auto"/>
                <w:highlight w:val="none"/>
              </w:rPr>
              <w:t>，色泽鲜明，透明度好，实训中对水位的观测直观明了，1只。</w:t>
            </w:r>
          </w:p>
          <w:p w14:paraId="456B3799">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5.液位变送器:量程涵盖以下范围：0～5kPa；精度：±1.0%FS；供电：DC24V；输出：4～20mA；螺纹：G1/2,1个。</w:t>
            </w:r>
          </w:p>
          <w:p w14:paraId="7EC155DB">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6.压力变送器:量程涵盖以下范围：0～200kPa；精度：0.5级； 供电：DC24V；输出：4～20mA；螺纹：G1/2,1只。</w:t>
            </w:r>
          </w:p>
          <w:p w14:paraId="10E75C2D">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7.涡轮流量计:标准两线制接线，电源：24VDC；输出：4～20mA；量程：0.2～1.2m3/h；精度：1.0级；公称通径：DN10,1只。</w:t>
            </w:r>
          </w:p>
          <w:p w14:paraId="2EB70FBC">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8.直流调速水泵:电位器调速，G1/2"螺纹接口，采用流量：1080L/H；压头：8m；功率：48W，供电：DC24V，控制信号输入：0～5VDC，驱动方式：无刷直流磁力隔离；水泵壳体材料：</w:t>
            </w:r>
            <w:r>
              <w:rPr>
                <w:rFonts w:hint="eastAsia"/>
                <w:b/>
                <w:bCs w:val="0"/>
                <w:color w:val="FF0000"/>
                <w:highlight w:val="none"/>
              </w:rPr>
              <w:t>耐腐蚀工程塑料壳体</w:t>
            </w:r>
            <w:r>
              <w:rPr>
                <w:rFonts w:hint="eastAsia"/>
                <w:b w:val="0"/>
                <w:bCs w:val="0"/>
                <w:color w:val="auto"/>
                <w:highlight w:val="none"/>
              </w:rPr>
              <w:t>,1台。</w:t>
            </w:r>
          </w:p>
          <w:p w14:paraId="3D5678D1">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9电动调节阀:智能型三片式不锈钢电动调节阀，阀体材质：不锈钢；阀芯材质：不锈钢；执行机构：额定扭矩：20N.m；额定电压：AC220V；控制方式：4～20mA；反馈方式：4～20mA；电机内置过载保护；防护等级：IP67,1只。</w:t>
            </w:r>
          </w:p>
          <w:p w14:paraId="0A873381">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strike w:val="0"/>
                <w:color w:val="auto"/>
                <w:highlight w:val="none"/>
              </w:rPr>
              <w:t>10.智能调节仪:线性电流4～20mA电流输出，具备人工智能调节算法及参数自整定功能，具备两路报警输出，通用的85～246VAC电源供电，先进计算机通讯功能，采用</w:t>
            </w:r>
            <w:r>
              <w:rPr>
                <w:rFonts w:hint="eastAsia"/>
                <w:b/>
                <w:bCs w:val="0"/>
                <w:strike w:val="0"/>
                <w:color w:val="FF0000"/>
                <w:highlight w:val="none"/>
              </w:rPr>
              <w:t>支持RS485通讯接口，兼容Modbus-RTU等通用通讯协议</w:t>
            </w:r>
            <w:r>
              <w:rPr>
                <w:rFonts w:hint="eastAsia"/>
                <w:b w:val="0"/>
                <w:bCs w:val="0"/>
                <w:strike w:val="0"/>
                <w:color w:val="auto"/>
                <w:highlight w:val="none"/>
              </w:rPr>
              <w:t>,2只。</w:t>
            </w:r>
            <w:r>
              <w:rPr>
                <w:rFonts w:hint="eastAsia"/>
                <w:b w:val="0"/>
                <w:bCs w:val="0"/>
                <w:strike/>
                <w:color w:val="auto"/>
                <w:highlight w:val="none"/>
              </w:rPr>
              <w:br w:type="textWrapping"/>
            </w:r>
            <w:r>
              <w:rPr>
                <w:rFonts w:hint="eastAsia"/>
                <w:b w:val="0"/>
                <w:bCs w:val="0"/>
                <w:color w:val="auto"/>
                <w:highlight w:val="none"/>
              </w:rPr>
              <w:t>11.流量积算仪：可对流量信号进行时间轴上的累积，进行相应的流量批量控制实训，具有RS485通讯功能,1只。</w:t>
            </w:r>
          </w:p>
          <w:p w14:paraId="289E4224">
            <w:pPr>
              <w:keepNext w:val="0"/>
              <w:keepLines w:val="0"/>
              <w:suppressLineNumbers w:val="0"/>
              <w:spacing w:before="0" w:beforeAutospacing="0" w:after="0" w:afterAutospacing="0"/>
              <w:ind w:left="0" w:right="0"/>
              <w:jc w:val="left"/>
              <w:rPr>
                <w:rFonts w:hint="eastAsia" w:eastAsiaTheme="minorEastAsia"/>
                <w:b w:val="0"/>
                <w:bCs w:val="0"/>
                <w:strike/>
                <w:color w:val="auto"/>
                <w:highlight w:val="none"/>
                <w:lang w:eastAsia="zh-CN"/>
              </w:rPr>
            </w:pPr>
            <w:r>
              <w:rPr>
                <w:rFonts w:hint="eastAsia"/>
                <w:b w:val="0"/>
                <w:bCs w:val="0"/>
                <w:strike w:val="0"/>
                <w:color w:val="auto"/>
                <w:highlight w:val="none"/>
              </w:rPr>
              <w:t>12.触摸屏：分辨率：不低于800x480；接口：RS232、USB、RJ45,1只。</w:t>
            </w:r>
            <w:r>
              <w:rPr>
                <w:rFonts w:hint="eastAsia"/>
                <w:b w:val="0"/>
                <w:bCs w:val="0"/>
                <w:strike/>
                <w:color w:val="auto"/>
                <w:highlight w:val="none"/>
              </w:rPr>
              <w:br w:type="textWrapping"/>
            </w:r>
            <w:r>
              <w:rPr>
                <w:rFonts w:hint="eastAsia"/>
                <w:b w:val="0"/>
                <w:bCs w:val="0"/>
                <w:strike w:val="0"/>
                <w:color w:val="auto"/>
                <w:highlight w:val="none"/>
              </w:rPr>
              <w:t>13.配套教学资源:要求自动化仪表应用仿真实训软件</w:t>
            </w:r>
            <w:r>
              <w:rPr>
                <w:rFonts w:hint="eastAsia"/>
                <w:b w:val="0"/>
                <w:bCs w:val="0"/>
                <w:strike w:val="0"/>
                <w:color w:val="auto"/>
                <w:lang w:val="en-US" w:eastAsia="zh-CN"/>
              </w:rPr>
              <w:t>含</w:t>
            </w:r>
            <w:r>
              <w:rPr>
                <w:rFonts w:hint="eastAsia"/>
                <w:b w:val="0"/>
                <w:bCs w:val="0"/>
                <w:strike w:val="0"/>
                <w:color w:val="auto"/>
              </w:rPr>
              <w:t>过程控制传感器及过程检测仪表3D仿真软件</w:t>
            </w:r>
            <w:r>
              <w:rPr>
                <w:rFonts w:hint="eastAsia"/>
                <w:b w:val="0"/>
                <w:bCs w:val="0"/>
                <w:strike w:val="0"/>
                <w:color w:val="auto"/>
                <w:highlight w:val="none"/>
              </w:rPr>
              <w:t>，针对自动化仪表、过程自动化控制、过程装备与控制工程等相关专业教学。可实现流量计结构与原理仿真；物位计结构与原理仿真；调节阀结构与原理仿真（单座和双座）；提供最新中文版本，</w:t>
            </w:r>
            <w:r>
              <w:rPr>
                <w:rFonts w:hint="eastAsia"/>
                <w:b w:val="0"/>
                <w:bCs w:val="0"/>
                <w:color w:val="auto"/>
                <w:lang w:val="en-US" w:eastAsia="zh-CN"/>
              </w:rPr>
              <w:t>含</w:t>
            </w:r>
            <w:r>
              <w:rPr>
                <w:rFonts w:hint="eastAsia"/>
                <w:b w:val="0"/>
                <w:bCs w:val="0"/>
                <w:color w:val="auto"/>
              </w:rPr>
              <w:t>3D 传感器仿真系统，教学仿真资源（包</w:t>
            </w:r>
            <w:r>
              <w:rPr>
                <w:rFonts w:hint="eastAsia"/>
                <w:b w:val="0"/>
                <w:bCs w:val="0"/>
                <w:color w:val="auto"/>
                <w:highlight w:val="none"/>
              </w:rPr>
              <w:t>括3D传感器仿真系统和传感器实验教学视频）要求提供不少于15种传感器及过程检测仪表的网络教学资源包。其中必含浮子液位传感器、齿轮式转速传感器、电容式液位传感器、浮子液位电阻传感器、动态扭矩传感器、超声波、热释电报警传感器等7种传感器以及压力、流量、物位与温度检测仪表</w:t>
            </w:r>
            <w:r>
              <w:rPr>
                <w:rFonts w:hint="eastAsia"/>
                <w:b w:val="0"/>
                <w:bCs w:val="0"/>
                <w:color w:val="auto"/>
                <w:highlight w:val="none"/>
                <w:lang w:eastAsia="zh-CN"/>
              </w:rPr>
              <w:t>。</w:t>
            </w:r>
          </w:p>
          <w:p w14:paraId="33C302FB">
            <w:pPr>
              <w:keepNext w:val="0"/>
              <w:keepLines w:val="0"/>
              <w:suppressLineNumbers w:val="0"/>
              <w:spacing w:before="0" w:beforeAutospacing="0" w:after="0" w:afterAutospacing="0"/>
              <w:ind w:left="0" w:right="0"/>
              <w:jc w:val="left"/>
              <w:rPr>
                <w:rFonts w:hint="eastAsia" w:eastAsiaTheme="minorEastAsia"/>
                <w:b w:val="0"/>
                <w:bCs w:val="0"/>
                <w:strike w:val="0"/>
                <w:color w:val="auto"/>
                <w:highlight w:val="none"/>
                <w:lang w:eastAsia="zh-CN"/>
              </w:rPr>
            </w:pPr>
            <w:r>
              <w:rPr>
                <w:rFonts w:hint="eastAsia"/>
                <w:b w:val="0"/>
                <w:bCs w:val="0"/>
                <w:strike w:val="0"/>
                <w:color w:val="auto"/>
                <w:highlight w:val="none"/>
              </w:rPr>
              <w:t>14.三冲量汽包水位控制</w:t>
            </w:r>
            <w:r>
              <w:rPr>
                <w:rFonts w:hint="eastAsia"/>
                <w:b w:val="0"/>
                <w:bCs w:val="0"/>
                <w:color w:val="auto"/>
                <w:highlight w:val="none"/>
                <w:lang w:val="en-US" w:eastAsia="zh-CN"/>
              </w:rPr>
              <w:t>或过程控制</w:t>
            </w:r>
            <w:r>
              <w:rPr>
                <w:rFonts w:hint="eastAsia"/>
                <w:b w:val="0"/>
                <w:bCs w:val="0"/>
                <w:strike w:val="0"/>
                <w:color w:val="auto"/>
                <w:highlight w:val="none"/>
              </w:rPr>
              <w:t>仿真教学软件：包括操作组态界面、底层控制系统和数据通讯接口。</w:t>
            </w:r>
          </w:p>
          <w:p w14:paraId="078A6C71">
            <w:pPr>
              <w:keepNext w:val="0"/>
              <w:keepLines w:val="0"/>
              <w:suppressLineNumbers w:val="0"/>
              <w:spacing w:before="0" w:beforeAutospacing="0" w:after="0" w:afterAutospacing="0"/>
              <w:ind w:left="0" w:right="0"/>
              <w:jc w:val="left"/>
              <w:rPr>
                <w:rFonts w:hint="eastAsia" w:eastAsiaTheme="minorEastAsia"/>
                <w:b w:val="0"/>
                <w:bCs w:val="0"/>
                <w:strike/>
                <w:color w:val="auto"/>
                <w:highlight w:val="none"/>
                <w:lang w:eastAsia="zh-CN"/>
              </w:rPr>
            </w:pPr>
            <w:r>
              <w:rPr>
                <w:rFonts w:hint="eastAsia"/>
                <w:b w:val="0"/>
                <w:bCs w:val="0"/>
                <w:strike w:val="0"/>
                <w:color w:val="auto"/>
                <w:highlight w:val="none"/>
              </w:rPr>
              <w:t>15.传感器技术AR仿真实训教学APP软件，单独展示传感器的各个组成元件，观察零件的结构、材质以及材质类型；以3D仿真的形式展示传感器的装配过程，具有快速装配、慢速装配、放大、缩小、旋转视图等功能；支持常用传感器。</w:t>
            </w:r>
          </w:p>
          <w:p w14:paraId="54F88743">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strike w:val="0"/>
                <w:color w:val="auto"/>
                <w:highlight w:val="none"/>
              </w:rPr>
              <w:t>16.过程控制可视化教学系统。</w:t>
            </w:r>
            <w:r>
              <w:rPr>
                <w:rFonts w:hint="eastAsia"/>
                <w:b w:val="0"/>
                <w:bCs w:val="0"/>
                <w:color w:val="auto"/>
                <w:highlight w:val="none"/>
              </w:rPr>
              <w:t>支持工业过程控制虚拟仿真相关实训项目8个以上。</w:t>
            </w:r>
            <w:r>
              <w:rPr>
                <w:rFonts w:hint="eastAsia"/>
                <w:b w:val="0"/>
                <w:bCs w:val="0"/>
                <w:strike w:val="0"/>
                <w:color w:val="auto"/>
                <w:highlight w:val="none"/>
              </w:rPr>
              <w:t>软件模块要求：(1)建立3D虚拟实训场景，画面中的监控数据除用数字、动画等形式表示外，部分重要的数据应以实时趋势的方式展现。(2)软件包括设备认识、设备运行、接线原理、过程控制实验。可完成包含“单容水箱对象模型测试”、“加热水箱对象模型特性测试”、“单容水箱液位定值控制实验”、“管道流量定值控制实验”、“加热水箱温度定值控制实验”、“水箱液位串级控制实验”、“加热水箱温度与进水流量串级控制实验”</w:t>
            </w:r>
            <w:r>
              <w:rPr>
                <w:rFonts w:hint="eastAsia"/>
                <w:b w:val="0"/>
                <w:bCs w:val="0"/>
                <w:strike w:val="0"/>
                <w:color w:val="auto"/>
                <w:highlight w:val="none"/>
                <w:lang w:val="en-US" w:eastAsia="zh-CN"/>
              </w:rPr>
              <w:t>8</w:t>
            </w:r>
            <w:r>
              <w:rPr>
                <w:rFonts w:hint="eastAsia"/>
                <w:b w:val="0"/>
                <w:bCs w:val="0"/>
                <w:strike w:val="0"/>
                <w:color w:val="auto"/>
                <w:highlight w:val="none"/>
              </w:rPr>
              <w:t>个以上实验项目。</w:t>
            </w:r>
            <w:r>
              <w:rPr>
                <w:rFonts w:hint="eastAsia"/>
                <w:b w:val="0"/>
                <w:bCs w:val="0"/>
                <w:strike w:val="0"/>
                <w:color w:val="auto"/>
                <w:highlight w:val="none"/>
                <w:lang w:val="en-US" w:eastAsia="zh-CN"/>
              </w:rPr>
              <w:t>17、配套</w:t>
            </w:r>
            <w:r>
              <w:rPr>
                <w:rFonts w:hint="eastAsia" w:ascii="宋体" w:hAnsi="宋体" w:eastAsia="宋体" w:cs="Times New Roman"/>
                <w:b w:val="0"/>
                <w:bCs w:val="0"/>
                <w:strike w:val="0"/>
                <w:color w:val="auto"/>
                <w:sz w:val="21"/>
                <w:szCs w:val="21"/>
                <w:highlight w:val="none"/>
                <w:lang w:val="en-US" w:eastAsia="zh-CN" w:bidi="ar-SA"/>
              </w:rPr>
              <w:t>课程资源平台含</w:t>
            </w:r>
            <w:r>
              <w:rPr>
                <w:rFonts w:hint="eastAsia"/>
                <w:b w:val="0"/>
                <w:bCs w:val="0"/>
                <w:strike w:val="0"/>
                <w:color w:val="auto"/>
                <w:highlight w:val="none"/>
              </w:rPr>
              <w:t>多种电机在环实时仿真实验系统</w:t>
            </w:r>
            <w:r>
              <w:rPr>
                <w:rFonts w:hint="eastAsia" w:ascii="宋体" w:hAnsi="宋体" w:eastAsia="宋体" w:cs="Times New Roman"/>
                <w:b w:val="0"/>
                <w:bCs w:val="0"/>
                <w:strike w:val="0"/>
                <w:color w:val="auto"/>
                <w:sz w:val="21"/>
                <w:szCs w:val="21"/>
                <w:highlight w:val="none"/>
                <w:lang w:val="en-US" w:eastAsia="zh-CN" w:bidi="ar-SA"/>
              </w:rPr>
              <w:t>及智能主机监测单元</w:t>
            </w:r>
            <w:r>
              <w:rPr>
                <w:rFonts w:hint="eastAsia"/>
                <w:b w:val="0"/>
                <w:bCs w:val="0"/>
                <w:strike w:val="0"/>
                <w:color w:val="auto"/>
                <w:highlight w:val="none"/>
              </w:rPr>
              <w:t>。仿真实验系统演示实验功能：3D电机结构展示；电机磁场和磁势分布线；电机运行实验；工作特性和机械特性实验；起动、调速、制动实验</w:t>
            </w:r>
            <w:r>
              <w:rPr>
                <w:rFonts w:hint="eastAsia"/>
                <w:b w:val="0"/>
                <w:bCs w:val="0"/>
                <w:strike w:val="0"/>
                <w:color w:val="auto"/>
                <w:highlight w:val="none"/>
                <w:lang w:eastAsia="zh-CN"/>
              </w:rPr>
              <w:t>。</w:t>
            </w:r>
            <w:r>
              <w:rPr>
                <w:rFonts w:hint="eastAsia"/>
                <w:b w:val="0"/>
                <w:bCs w:val="0"/>
                <w:strike w:val="0"/>
                <w:color w:val="auto"/>
                <w:highlight w:val="none"/>
              </w:rPr>
              <w:br w:type="textWrapping"/>
            </w:r>
            <w:r>
              <w:rPr>
                <w:rFonts w:hint="eastAsia"/>
                <w:b w:val="0"/>
                <w:bCs w:val="0"/>
                <w:strike w:val="0"/>
                <w:color w:val="auto"/>
                <w:highlight w:val="none"/>
                <w:lang w:val="en-US" w:eastAsia="zh-CN"/>
              </w:rPr>
              <w:t>▲</w:t>
            </w:r>
            <w:r>
              <w:rPr>
                <w:rFonts w:hint="eastAsia"/>
                <w:b w:val="0"/>
                <w:bCs w:val="0"/>
                <w:color w:val="auto"/>
                <w:highlight w:val="none"/>
                <w:lang w:val="en-US" w:eastAsia="zh-CN"/>
              </w:rPr>
              <w:t>智能主机监测单元</w:t>
            </w:r>
            <w:r>
              <w:rPr>
                <w:rFonts w:hint="eastAsia"/>
                <w:b w:val="0"/>
                <w:bCs w:val="0"/>
                <w:color w:val="auto"/>
                <w:highlight w:val="none"/>
              </w:rPr>
              <w:t>采用超薄可折叠导电材料技术，实时检测主机多路运行状况（4路以上），并且带液晶显示和报警设置显示，主机检测单元可反复折叠不损坏电路，支持手机无线采集数据，并可用手机APP采集数据。</w:t>
            </w:r>
          </w:p>
          <w:p w14:paraId="4B835C05">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主机监测单元演示功能要求：</w:t>
            </w:r>
          </w:p>
          <w:p w14:paraId="63B880D4">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（1）利用手机APP采集传感器输出电压。</w:t>
            </w:r>
          </w:p>
          <w:p w14:paraId="1DD027FD">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（2）在主机检测单元上面可以显示每个通道采集的电压。</w:t>
            </w:r>
          </w:p>
          <w:p w14:paraId="0586D94A">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（3）可以在主机检测单元上面设置超限电压，且能输出报警，不得少于4通道测量。</w:t>
            </w:r>
            <w:r>
              <w:rPr>
                <w:rFonts w:hint="eastAsia"/>
                <w:b w:val="0"/>
                <w:bCs w:val="0"/>
                <w:color w:val="auto"/>
                <w:highlight w:val="none"/>
              </w:rPr>
              <w:br w:type="textWrapping"/>
            </w:r>
            <w:r>
              <w:rPr>
                <w:rFonts w:hint="eastAsia"/>
                <w:b w:val="0"/>
                <w:bCs w:val="0"/>
                <w:color w:val="auto"/>
                <w:highlight w:val="none"/>
              </w:rPr>
              <w:t>（以</w:t>
            </w:r>
            <w:r>
              <w:rPr>
                <w:rFonts w:hint="eastAsia"/>
                <w:b w:val="0"/>
                <w:bCs w:val="0"/>
                <w:color w:val="auto"/>
                <w:highlight w:val="none"/>
                <w:lang w:val="en-US" w:eastAsia="zh-CN"/>
              </w:rPr>
              <w:t>上智能主机监测单元投标时</w:t>
            </w:r>
            <w:r>
              <w:rPr>
                <w:rFonts w:hint="eastAsia"/>
                <w:b w:val="0"/>
                <w:bCs w:val="0"/>
                <w:color w:val="auto"/>
                <w:highlight w:val="none"/>
              </w:rPr>
              <w:t>需提供真实的投标产品视频演示</w:t>
            </w:r>
            <w:r>
              <w:rPr>
                <w:rFonts w:hint="eastAsia"/>
                <w:b w:val="0"/>
                <w:bCs w:val="0"/>
                <w:color w:val="auto"/>
                <w:highlight w:val="none"/>
                <w:lang w:eastAsia="zh-CN"/>
              </w:rPr>
              <w:t>。</w:t>
            </w:r>
            <w:r>
              <w:rPr>
                <w:rFonts w:hint="eastAsia"/>
                <w:b w:val="0"/>
                <w:bCs w:val="0"/>
                <w:color w:val="auto"/>
                <w:highlight w:val="none"/>
              </w:rPr>
              <w:t xml:space="preserve">）： </w:t>
            </w:r>
          </w:p>
          <w:p w14:paraId="24072153">
            <w:pPr>
              <w:keepNext w:val="0"/>
              <w:keepLines w:val="0"/>
              <w:numPr>
                <w:ilvl w:val="0"/>
                <w:numId w:val="0"/>
              </w:numPr>
              <w:suppressLineNumbers w:val="0"/>
              <w:spacing w:before="0" w:beforeAutospacing="0" w:after="0" w:afterAutospacing="0"/>
              <w:ind w:left="0" w:right="0"/>
              <w:jc w:val="left"/>
              <w:rPr>
                <w:rFonts w:hint="eastAsia"/>
                <w:b w:val="0"/>
                <w:bCs w:val="0"/>
                <w:color w:val="auto"/>
                <w:highlight w:val="none"/>
              </w:rPr>
            </w:pPr>
            <w:r>
              <w:rPr>
                <w:rFonts w:hint="eastAsia"/>
                <w:b w:val="0"/>
                <w:bCs w:val="0"/>
                <w:strike w:val="0"/>
                <w:color w:val="auto"/>
                <w:highlight w:val="none"/>
              </w:rPr>
              <w:t>18.配件：系统运行的使用手册，主要器件的说明书、维护用生料带出水管等，1套。</w:t>
            </w:r>
            <w:r>
              <w:rPr>
                <w:rFonts w:hint="eastAsia"/>
                <w:b w:val="0"/>
                <w:bCs w:val="0"/>
                <w:strike/>
                <w:color w:val="auto"/>
                <w:highlight w:val="none"/>
              </w:rPr>
              <w:br w:type="textWrapping"/>
            </w:r>
            <w:r>
              <w:rPr>
                <w:rFonts w:hint="eastAsia"/>
                <w:b w:val="0"/>
                <w:bCs w:val="0"/>
                <w:color w:val="auto"/>
                <w:highlight w:val="none"/>
              </w:rPr>
              <w:t>（二）配套工量具</w:t>
            </w:r>
          </w:p>
          <w:p w14:paraId="66405799">
            <w:pPr>
              <w:keepNext w:val="0"/>
              <w:keepLines w:val="0"/>
              <w:suppressLineNumbers w:val="0"/>
              <w:spacing w:before="0" w:beforeAutospacing="0" w:after="0" w:afterAutospacing="0"/>
              <w:ind w:left="0" w:right="0" w:firstLine="420"/>
              <w:jc w:val="left"/>
              <w:rPr>
                <w:rFonts w:hint="eastAsia"/>
                <w:b w:val="0"/>
                <w:bCs w:val="0"/>
                <w:color w:val="auto"/>
                <w:highlight w:val="none"/>
              </w:rPr>
            </w:pPr>
            <w:r>
              <w:rPr>
                <w:rFonts w:hint="eastAsia"/>
                <w:b w:val="0"/>
                <w:bCs w:val="0"/>
                <w:color w:val="auto"/>
                <w:highlight w:val="none"/>
              </w:rPr>
              <w:t>配套工量具要包含以下项目，具体为：1个万用表（测交直流电压 / 电流、电阻，基本DC精度0.005，LCD显示、自动量程）；1把电子剪切钳；1把尖嘴钳（剪铜丝φ2.2mm、铁丝φ2.0mm、硬钢丝φ1.6mm，全长150mm）；1把万用剥线钳（线径 φ0.5-6.0mm，全长170mm）；1把欧式端子压线钳（压接0.08-10mm²，全长178mm）；1把旋转剥皮器；1把网络接头压著钳（压接 4P/6P/8P 及相关子规格）；1把2m公制钢卷尺；1把水平尺（全长300mm，2个水泡）；1把大十字螺丝批（#2，150mm）、1把小十字螺丝批（#1，100mm）；1把大一字螺丝批（6mm，150mm）、1把小一字螺丝批（3mm，100mm）；1套内六角扳手（1.5-17mm）；1把活动扳手（150mm，开口 20mm）；1支测电笔、1把气管钳、1把300mm钢直尺、1 把割刀、1 只黑色记号笔、1只网络电缆测试仪。</w:t>
            </w:r>
          </w:p>
          <w:p w14:paraId="3854895B">
            <w:pPr>
              <w:keepNext w:val="0"/>
              <w:keepLines w:val="0"/>
              <w:numPr>
                <w:ilvl w:val="0"/>
                <w:numId w:val="8"/>
              </w:numPr>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配件要求</w:t>
            </w:r>
            <w:r>
              <w:rPr>
                <w:rFonts w:hint="eastAsia"/>
                <w:b w:val="0"/>
                <w:bCs w:val="0"/>
                <w:color w:val="auto"/>
                <w:highlight w:val="none"/>
              </w:rPr>
              <w:br w:type="textWrapping"/>
            </w:r>
            <w:r>
              <w:rPr>
                <w:rFonts w:hint="eastAsia"/>
                <w:b w:val="0"/>
                <w:bCs w:val="0"/>
                <w:color w:val="auto"/>
                <w:highlight w:val="none"/>
              </w:rPr>
              <w:t>专用操作台2张。其中第一张：长×宽×高=1200mm×760mm×820mm (±100mm)。配有两个抽屉，配三节静音导轨和拉手。第二张：长×宽×高=625mm×600mm×1045mm (±100mm)。配四只1.5寸万向脚轮。</w:t>
            </w:r>
          </w:p>
        </w:tc>
        <w:tc>
          <w:tcPr>
            <w:tcW w:w="365" w:type="pct"/>
            <w:tcBorders>
              <w:top w:val="nil"/>
              <w:left w:val="nil"/>
              <w:bottom w:val="single" w:color="auto" w:sz="4" w:space="0"/>
              <w:right w:val="single" w:color="auto" w:sz="4" w:space="0"/>
            </w:tcBorders>
            <w:noWrap w:val="0"/>
            <w:vAlign w:val="center"/>
          </w:tcPr>
          <w:p w14:paraId="5A08D016">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套</w:t>
            </w:r>
          </w:p>
        </w:tc>
        <w:tc>
          <w:tcPr>
            <w:tcW w:w="390" w:type="pct"/>
            <w:tcBorders>
              <w:top w:val="nil"/>
              <w:left w:val="nil"/>
              <w:bottom w:val="single" w:color="auto" w:sz="4" w:space="0"/>
              <w:right w:val="single" w:color="auto" w:sz="4" w:space="0"/>
            </w:tcBorders>
            <w:noWrap w:val="0"/>
            <w:vAlign w:val="center"/>
          </w:tcPr>
          <w:p w14:paraId="08CD9591">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4</w:t>
            </w:r>
          </w:p>
        </w:tc>
      </w:tr>
      <w:tr w14:paraId="39AD74FC">
        <w:tblPrEx>
          <w:tblCellMar>
            <w:top w:w="0" w:type="dxa"/>
            <w:left w:w="108" w:type="dxa"/>
            <w:bottom w:w="0" w:type="dxa"/>
            <w:right w:w="108" w:type="dxa"/>
          </w:tblCellMar>
        </w:tblPrEx>
        <w:trPr>
          <w:trHeight w:val="20" w:hRule="atLeast"/>
        </w:trPr>
        <w:tc>
          <w:tcPr>
            <w:tcW w:w="231" w:type="pct"/>
            <w:tcBorders>
              <w:top w:val="nil"/>
              <w:left w:val="single" w:color="auto" w:sz="4" w:space="0"/>
              <w:bottom w:val="single" w:color="auto" w:sz="4" w:space="0"/>
              <w:right w:val="single" w:color="auto" w:sz="4" w:space="0"/>
            </w:tcBorders>
            <w:noWrap w:val="0"/>
            <w:vAlign w:val="center"/>
          </w:tcPr>
          <w:p w14:paraId="2A49AFB8">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w:t>
            </w:r>
          </w:p>
        </w:tc>
        <w:tc>
          <w:tcPr>
            <w:tcW w:w="525" w:type="pct"/>
            <w:tcBorders>
              <w:top w:val="nil"/>
              <w:left w:val="nil"/>
              <w:bottom w:val="single" w:color="auto" w:sz="4" w:space="0"/>
              <w:right w:val="single" w:color="auto" w:sz="4" w:space="0"/>
            </w:tcBorders>
            <w:noWrap w:val="0"/>
            <w:vAlign w:val="center"/>
          </w:tcPr>
          <w:p w14:paraId="434852B0">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智能检测与控制技术实训平台</w:t>
            </w:r>
          </w:p>
        </w:tc>
        <w:tc>
          <w:tcPr>
            <w:tcW w:w="3486" w:type="pct"/>
            <w:tcBorders>
              <w:top w:val="nil"/>
              <w:left w:val="nil"/>
              <w:bottom w:val="single" w:color="auto" w:sz="4" w:space="0"/>
              <w:right w:val="single" w:color="auto" w:sz="4" w:space="0"/>
            </w:tcBorders>
            <w:noWrap w:val="0"/>
            <w:vAlign w:val="center"/>
          </w:tcPr>
          <w:p w14:paraId="70CF52E6">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一、技术性能要求：</w:t>
            </w:r>
          </w:p>
          <w:p w14:paraId="10E3F7A4">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1.输入电源：单相三线制～220V±10% 50Hz</w:t>
            </w:r>
          </w:p>
          <w:p w14:paraId="1495E157">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2.工作环境：室温相对湿度＜85%(25</w:t>
            </w:r>
            <w:r>
              <w:rPr>
                <w:rFonts w:hint="eastAsia" w:ascii="Cambria Math" w:hAnsi="Cambria Math" w:cs="Cambria Math"/>
                <w:b w:val="0"/>
                <w:bCs w:val="0"/>
                <w:color w:val="auto"/>
                <w:highlight w:val="none"/>
              </w:rPr>
              <w:t>℃</w:t>
            </w:r>
            <w:r>
              <w:rPr>
                <w:rFonts w:hint="eastAsia"/>
                <w:b w:val="0"/>
                <w:bCs w:val="0"/>
                <w:color w:val="auto"/>
                <w:highlight w:val="none"/>
              </w:rPr>
              <w:t>)，海拔&lt;4000m</w:t>
            </w:r>
          </w:p>
          <w:p w14:paraId="4B3F74AD">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3.装置容量：≤4kVA</w:t>
            </w:r>
          </w:p>
          <w:p w14:paraId="4BC8CC51">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4.工艺设备外形尺寸：长×宽×高</w:t>
            </w:r>
            <w:r>
              <w:rPr>
                <w:rFonts w:hint="eastAsia"/>
                <w:b w:val="0"/>
                <w:bCs w:val="0"/>
                <w:strike w:val="0"/>
                <w:color w:val="auto"/>
                <w:lang w:val="en-US" w:eastAsia="zh-CN"/>
              </w:rPr>
              <w:t>≥</w:t>
            </w:r>
            <w:r>
              <w:rPr>
                <w:rFonts w:hint="eastAsia"/>
                <w:b w:val="0"/>
                <w:bCs w:val="0"/>
                <w:color w:val="auto"/>
                <w:highlight w:val="none"/>
              </w:rPr>
              <w:t>1550mm×980mm×1990mm</w:t>
            </w:r>
          </w:p>
          <w:p w14:paraId="6B4C71D8">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电气控制柜：长×宽×高</w:t>
            </w:r>
            <w:r>
              <w:rPr>
                <w:rFonts w:hint="eastAsia"/>
                <w:b w:val="0"/>
                <w:bCs w:val="0"/>
                <w:strike w:val="0"/>
                <w:color w:val="auto"/>
                <w:lang w:val="en-US" w:eastAsia="zh-CN"/>
              </w:rPr>
              <w:t>≥</w:t>
            </w:r>
            <w:r>
              <w:rPr>
                <w:rFonts w:hint="eastAsia"/>
                <w:b w:val="0"/>
                <w:bCs w:val="0"/>
                <w:strike w:val="0"/>
                <w:color w:val="auto"/>
              </w:rPr>
              <w:t>800mm×600mm×1800mm</w:t>
            </w:r>
            <w:r>
              <w:rPr>
                <w:rFonts w:hint="eastAsia"/>
                <w:b w:val="0"/>
                <w:bCs w:val="0"/>
                <w:strike w:val="0"/>
                <w:color w:val="auto"/>
              </w:rPr>
              <w:br w:type="textWrapping"/>
            </w:r>
            <w:r>
              <w:rPr>
                <w:rFonts w:hint="eastAsia"/>
                <w:b w:val="0"/>
                <w:bCs w:val="0"/>
                <w:color w:val="auto"/>
                <w:highlight w:val="none"/>
              </w:rPr>
              <w:t>5.安全保护：具有漏电保护装置，符合国家安全标准</w:t>
            </w:r>
          </w:p>
          <w:p w14:paraId="3BA32DEF">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二、装置结构及组成要求：</w:t>
            </w:r>
          </w:p>
          <w:p w14:paraId="07948EE7">
            <w:pPr>
              <w:keepNext w:val="0"/>
              <w:keepLines w:val="0"/>
              <w:suppressLineNumbers w:val="0"/>
              <w:spacing w:before="0" w:beforeAutospacing="0" w:after="0" w:afterAutospacing="0"/>
              <w:ind w:left="0" w:right="0" w:firstLine="420"/>
              <w:jc w:val="left"/>
              <w:rPr>
                <w:rFonts w:hint="eastAsia" w:eastAsiaTheme="minorEastAsia"/>
                <w:b w:val="0"/>
                <w:bCs w:val="0"/>
                <w:strike w:val="0"/>
                <w:color w:val="auto"/>
                <w:highlight w:val="none"/>
                <w:lang w:eastAsia="zh-CN"/>
              </w:rPr>
            </w:pPr>
            <w:r>
              <w:rPr>
                <w:rFonts w:hint="eastAsia"/>
                <w:b w:val="0"/>
                <w:bCs w:val="0"/>
                <w:strike w:val="0"/>
                <w:color w:val="auto"/>
                <w:highlight w:val="none"/>
              </w:rPr>
              <w:t>由配料与加工单元、数字化网络化智能控制平台、数字孪生仿真系统、生产过程可视化系统、制造系统能源管理平台等组成。</w:t>
            </w:r>
          </w:p>
          <w:p w14:paraId="454E5EDF">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（一）配料及加工单元</w:t>
            </w:r>
          </w:p>
          <w:p w14:paraId="313BB01B">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1.设备框架尺寸：长×宽×高=1500mm×980mm×1990mm (±5%)，上下两层结构，底部安装轮子，固定框架以铝型材拼接而成，1套</w:t>
            </w:r>
          </w:p>
          <w:p w14:paraId="35DCE902">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2.原料罐A/B：高强度有机玻璃材质，长×宽×高=350mm×230mm×440mm</w:t>
            </w:r>
            <w:bookmarkStart w:id="171" w:name="OLE_LINK6"/>
            <w:r>
              <w:rPr>
                <w:rFonts w:hint="eastAsia"/>
                <w:b w:val="0"/>
                <w:bCs w:val="0"/>
                <w:color w:val="auto"/>
                <w:highlight w:val="none"/>
              </w:rPr>
              <w:t xml:space="preserve"> (±5%)</w:t>
            </w:r>
            <w:bookmarkEnd w:id="171"/>
            <w:r>
              <w:rPr>
                <w:rFonts w:hint="eastAsia"/>
                <w:b w:val="0"/>
                <w:bCs w:val="0"/>
                <w:color w:val="auto"/>
                <w:highlight w:val="none"/>
              </w:rPr>
              <w:t>，装有液位开关及液位检测仪表,2台。</w:t>
            </w:r>
          </w:p>
          <w:p w14:paraId="46060D07">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3.原料罐C：304不锈钢材质，Ф200mm×300mm (±5%)，装有铝合金外壳液位计、液位开关及液位检测仪表,1台。</w:t>
            </w:r>
          </w:p>
          <w:p w14:paraId="5268AEA6">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4.混合罐：304不锈钢材质，Ф250mm×300mm (±5%)，装有铝合金外壳液位计、液位开关及液位检测仪表，内部配有搅拌桨，1台。</w:t>
            </w:r>
          </w:p>
          <w:p w14:paraId="2501D14D">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5.反应釜：双层夹套式，304不锈钢材质，Ф300mm×400mm (±5%)，装有铝合金外壳液位计、液位开关及液位检测仪表，内部配有搅拌桨，内置电加热器，加热功率3×800W，功率连续可调，防干烧，外层夹套，配有安全阀，1台。</w:t>
            </w:r>
          </w:p>
          <w:p w14:paraId="396AC09E">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6.换热器：304不锈钢材质，Ф114mm×400mm (±5%)，换热面积不低于0.6m</w:t>
            </w:r>
            <w:r>
              <w:rPr>
                <w:rFonts w:hint="eastAsia"/>
                <w:b w:val="0"/>
                <w:bCs w:val="0"/>
                <w:color w:val="auto"/>
                <w:highlight w:val="none"/>
                <w:vertAlign w:val="superscript"/>
              </w:rPr>
              <w:t>2</w:t>
            </w:r>
            <w:r>
              <w:rPr>
                <w:rFonts w:hint="eastAsia"/>
                <w:b w:val="0"/>
                <w:bCs w:val="0"/>
                <w:color w:val="auto"/>
                <w:highlight w:val="none"/>
              </w:rPr>
              <w:t>，1台。</w:t>
            </w:r>
          </w:p>
          <w:p w14:paraId="06B73E8A">
            <w:pPr>
              <w:keepNext w:val="0"/>
              <w:keepLines w:val="0"/>
              <w:suppressLineNumbers w:val="0"/>
              <w:spacing w:before="0" w:beforeAutospacing="0" w:after="0" w:afterAutospacing="0"/>
              <w:ind w:left="0" w:right="0"/>
              <w:jc w:val="left"/>
              <w:rPr>
                <w:rFonts w:hint="eastAsia" w:eastAsiaTheme="minorEastAsia"/>
                <w:b w:val="0"/>
                <w:bCs w:val="0"/>
                <w:strike/>
                <w:color w:val="auto"/>
                <w:highlight w:val="none"/>
                <w:lang w:val="en-US" w:eastAsia="zh-CN"/>
              </w:rPr>
            </w:pPr>
            <w:r>
              <w:rPr>
                <w:rFonts w:hint="eastAsia"/>
                <w:b w:val="0"/>
                <w:bCs w:val="0"/>
                <w:strike w:val="0"/>
                <w:color w:val="auto"/>
                <w:highlight w:val="none"/>
              </w:rPr>
              <w:t>7.冷媒恒温槽：容积不低于20L，温度范围：0</w:t>
            </w:r>
            <w:r>
              <w:rPr>
                <w:rFonts w:hint="eastAsia" w:ascii="Cambria Math" w:hAnsi="Cambria Math" w:cs="Cambria Math"/>
                <w:b w:val="0"/>
                <w:bCs w:val="0"/>
                <w:strike w:val="0"/>
                <w:color w:val="auto"/>
                <w:highlight w:val="none"/>
              </w:rPr>
              <w:t>℃</w:t>
            </w:r>
            <w:r>
              <w:rPr>
                <w:rFonts w:hint="eastAsia"/>
                <w:b w:val="0"/>
                <w:bCs w:val="0"/>
                <w:strike w:val="0"/>
                <w:color w:val="auto"/>
                <w:highlight w:val="none"/>
              </w:rPr>
              <w:t>～室温，1台。</w:t>
            </w:r>
          </w:p>
          <w:p w14:paraId="3FD0C4EB">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8.水泵：DC24V，功率不低于28.8W，最大流量不低于900L/min，扬程不低于6m，3台。</w:t>
            </w:r>
          </w:p>
          <w:p w14:paraId="6ACC16E6">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9.直流减速电机：DC24V，功率不低于40W，转速不低于100rpm，配有减速箱，2台。</w:t>
            </w:r>
          </w:p>
          <w:p w14:paraId="3D7C79CC">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10.调速电机：AC220V，变频调节，最大转速不低于200rpm，配有减速箱，1台。</w:t>
            </w:r>
          </w:p>
          <w:p w14:paraId="2B2C5E5D">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11.涡轮流量计：测量范围：0～0.6m</w:t>
            </w:r>
            <w:r>
              <w:rPr>
                <w:rFonts w:hint="eastAsia"/>
                <w:b w:val="0"/>
                <w:bCs w:val="0"/>
                <w:color w:val="auto"/>
                <w:highlight w:val="none"/>
                <w:vertAlign w:val="superscript"/>
              </w:rPr>
              <w:t>3</w:t>
            </w:r>
            <w:r>
              <w:rPr>
                <w:rFonts w:hint="eastAsia"/>
                <w:b w:val="0"/>
                <w:bCs w:val="0"/>
                <w:color w:val="auto"/>
                <w:highlight w:val="none"/>
              </w:rPr>
              <w:t>/h，介质：水，精度不低于±0.5，2台。</w:t>
            </w:r>
          </w:p>
          <w:p w14:paraId="2B9FEDCC">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12.超声波流量计：测量范围：0～20L/min，精度不低于±0.5，1台。</w:t>
            </w:r>
          </w:p>
          <w:p w14:paraId="74132070">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13.一体式电磁流量计（带数显）：精度不低于±0.5，测量范围不低于0.14～1.4m</w:t>
            </w:r>
            <w:r>
              <w:rPr>
                <w:rFonts w:hint="eastAsia"/>
                <w:b w:val="0"/>
                <w:bCs w:val="0"/>
                <w:color w:val="auto"/>
                <w:highlight w:val="none"/>
                <w:vertAlign w:val="superscript"/>
              </w:rPr>
              <w:t>3</w:t>
            </w:r>
            <w:r>
              <w:rPr>
                <w:rFonts w:hint="eastAsia"/>
                <w:b w:val="0"/>
                <w:bCs w:val="0"/>
                <w:color w:val="auto"/>
                <w:highlight w:val="none"/>
              </w:rPr>
              <w:t>/h，1台。</w:t>
            </w:r>
          </w:p>
          <w:p w14:paraId="18200129">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14.投入式液位变送器（带数显）：测量范围不低于0～1m，精度不低于±0.5，1台。</w:t>
            </w:r>
          </w:p>
          <w:p w14:paraId="732E7D07">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15.超声波液位传感器（带数显）：测量范围不低于0～1m，精度不低于±0.5，2台。</w:t>
            </w:r>
          </w:p>
          <w:p w14:paraId="6DA4457D">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16.差压变送器（带数显）：测量范围不低于0～1m，精度不低于±0.5，2台。</w:t>
            </w:r>
          </w:p>
          <w:p w14:paraId="5326D840">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17.压力传感器（带数显）：测量范围不低于0～250kPa，精度不低于±0.5，2台。</w:t>
            </w:r>
          </w:p>
          <w:p w14:paraId="311B8D8C">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18.称重传感器：测量范围不低于0～20g，精度不低于±0.5，3台。</w:t>
            </w:r>
          </w:p>
          <w:p w14:paraId="55D18D08">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19.称重传感器变送器：304不锈钢外壳，1台。</w:t>
            </w:r>
          </w:p>
          <w:p w14:paraId="3456B009">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20.称重传感器显示表：2路输入，带RS485通讯，精度不低于±0.5，1台。</w:t>
            </w:r>
          </w:p>
          <w:p w14:paraId="06796D64">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21.加热器：不锈钢材质，加热功率不低于3×800W，1台。</w:t>
            </w:r>
          </w:p>
          <w:p w14:paraId="5EF9937B">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22.浮球液位开关：液位下限报警，2台。</w:t>
            </w:r>
          </w:p>
          <w:p w14:paraId="2902A1F2">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23.侧装式浮球开关：液位上限报警，3台。</w:t>
            </w:r>
          </w:p>
          <w:p w14:paraId="42E1B85B">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24.定温温度开关：常闭，温度控制70</w:t>
            </w:r>
            <w:r>
              <w:rPr>
                <w:rFonts w:hint="eastAsia" w:ascii="Cambria Math" w:hAnsi="Cambria Math" w:cs="Cambria Math"/>
                <w:b w:val="0"/>
                <w:bCs w:val="0"/>
                <w:color w:val="auto"/>
                <w:highlight w:val="none"/>
              </w:rPr>
              <w:t>℃</w:t>
            </w:r>
            <w:r>
              <w:rPr>
                <w:rFonts w:hint="eastAsia"/>
                <w:b w:val="0"/>
                <w:bCs w:val="0"/>
                <w:color w:val="auto"/>
                <w:highlight w:val="none"/>
              </w:rPr>
              <w:t xml:space="preserve"> ，1台。</w:t>
            </w:r>
          </w:p>
          <w:p w14:paraId="09075B41">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25.电磁阀：DC24V，常闭，5台。</w:t>
            </w:r>
          </w:p>
          <w:p w14:paraId="095031A9">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26.电动调节阀：DN15，2台。</w:t>
            </w:r>
          </w:p>
          <w:p w14:paraId="097CDFE3">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27.安全阀：DN15，1台。</w:t>
            </w:r>
          </w:p>
          <w:p w14:paraId="15EB6256">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28.不锈钢管路：DN15、DN20，1批。</w:t>
            </w:r>
          </w:p>
          <w:p w14:paraId="08007535">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29.阀门：DN15止回阀、DN15铜球阀 ，1批。</w:t>
            </w:r>
          </w:p>
          <w:p w14:paraId="772CCCC0">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30.分布式通信网关：支持RS485通讯，1台。</w:t>
            </w:r>
          </w:p>
          <w:p w14:paraId="12088CB6">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31.数字量输入模块：8通道，1台。</w:t>
            </w:r>
          </w:p>
          <w:p w14:paraId="06AB709A">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32.数字量输出模块：16通道，1台。</w:t>
            </w:r>
          </w:p>
          <w:p w14:paraId="5AB0EADE">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33.模拟量模块：8通道，1台。</w:t>
            </w:r>
          </w:p>
          <w:p w14:paraId="654F5625">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34.工业以太网交换机：8口，1台。</w:t>
            </w:r>
          </w:p>
          <w:p w14:paraId="68B9D8CD">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（二）数字化网络化智能控制平台</w:t>
            </w:r>
          </w:p>
          <w:p w14:paraId="6B080D1A">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1.电气控制柜：尺寸范围900mm×800mm×2000mm (±200mm)，</w:t>
            </w:r>
            <w:r>
              <w:rPr>
                <w:rFonts w:hint="eastAsia"/>
                <w:b w:val="0"/>
                <w:bCs w:val="0"/>
                <w:strike w:val="0"/>
                <w:color w:val="auto"/>
                <w:highlight w:val="none"/>
              </w:rPr>
              <w:t>柜体采用铝合金框架，左右安装有机玻璃板</w:t>
            </w:r>
            <w:r>
              <w:rPr>
                <w:rFonts w:hint="eastAsia"/>
                <w:b w:val="0"/>
                <w:bCs w:val="0"/>
                <w:strike w:val="0"/>
                <w:color w:val="auto"/>
                <w:highlight w:val="none"/>
                <w:lang w:val="en-US" w:eastAsia="zh-CN"/>
              </w:rPr>
              <w:t>或</w:t>
            </w:r>
            <w:r>
              <w:rPr>
                <w:rFonts w:hint="eastAsia"/>
                <w:b w:val="0"/>
                <w:bCs w:val="0"/>
                <w:color w:val="auto"/>
                <w:highlight w:val="none"/>
              </w:rPr>
              <w:t>采用钢制喷塑材质（可拆卸），底部安装万向轮，1台。</w:t>
            </w:r>
          </w:p>
          <w:p w14:paraId="073F9E40">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2.控制模块PLC</w:t>
            </w:r>
            <w:r>
              <w:rPr>
                <w:rFonts w:hint="eastAsia"/>
                <w:b/>
                <w:bCs w:val="0"/>
                <w:color w:val="FF0000"/>
                <w:highlight w:val="none"/>
              </w:rPr>
              <w:t>控制器：数字量I/O、模拟量I/O点数及以太网、RS485接口满足工艺控制要求</w:t>
            </w:r>
            <w:r>
              <w:rPr>
                <w:rFonts w:hint="eastAsia"/>
                <w:b w:val="0"/>
                <w:bCs w:val="0"/>
                <w:color w:val="auto"/>
                <w:highlight w:val="none"/>
              </w:rPr>
              <w:t>，1台。</w:t>
            </w:r>
          </w:p>
          <w:p w14:paraId="07CB60F7">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3.隔离安全栅（检测端）：1路输入，1路输出，支持4～20mA电流信号和0～5V电压信号，2台。</w:t>
            </w:r>
          </w:p>
          <w:p w14:paraId="0C853B4B">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4.隔离安全栅（操作端）：1路输入，1路输出，支持4～20mA电流信号和0～5V电压信号，2台。</w:t>
            </w:r>
          </w:p>
          <w:p w14:paraId="0BCFE508">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5.触摸屏≥10"TFT液晶屏，分辨率≥800×480，</w:t>
            </w:r>
            <w:r>
              <w:rPr>
                <w:rFonts w:hint="eastAsia"/>
                <w:b/>
                <w:bCs w:val="0"/>
                <w:color w:val="FF0000"/>
                <w:highlight w:val="none"/>
              </w:rPr>
              <w:t>具备RS232/RS485、USB及以太网接口</w:t>
            </w:r>
            <w:r>
              <w:rPr>
                <w:rFonts w:hint="eastAsia"/>
                <w:b w:val="0"/>
                <w:bCs w:val="0"/>
                <w:color w:val="auto"/>
                <w:highlight w:val="none"/>
              </w:rPr>
              <w:t>，系统存储128M；串行接口：C0M1（232）, COM2（485）, COM3（485）；USB 接口：l×Host；以太网口：1×10/100MS。符合CE/FCC认证标准，前面板符合IP65防护等级，工业三级电磁兼容，1台。</w:t>
            </w:r>
          </w:p>
          <w:p w14:paraId="0AECD21F">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6.变频器：AC220V，0.25kW，支持RS485通讯，1台。</w:t>
            </w:r>
          </w:p>
          <w:p w14:paraId="32DA4543">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7.工业智能无线网关：带Wifi模块，1台。</w:t>
            </w:r>
          </w:p>
          <w:p w14:paraId="433126AC">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8.工业无线路由器：DC24V供电，配外置天线款，1台。</w:t>
            </w:r>
          </w:p>
          <w:p w14:paraId="3188ED71">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9.工业以太网交换机：8口，1台。</w:t>
            </w:r>
          </w:p>
          <w:p w14:paraId="3AB8DF6F">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10.全隔离单相交流调压模块：单相AC220V，支持4-20mA、0-5VDC、0-10VDC、1-5VDC、0-10mA等输入自动控制模式，也可用手动控制，1台。</w:t>
            </w:r>
          </w:p>
          <w:p w14:paraId="5288EEDC">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11.频率变送器：0～10Hz，精度：0.5%FS，输出信号：4～20mA，1台。</w:t>
            </w:r>
          </w:p>
          <w:p w14:paraId="2E05D06A">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12.开关电源：240W，1台。</w:t>
            </w:r>
          </w:p>
          <w:p w14:paraId="3A922747">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13.开关电源：120W，2台。</w:t>
            </w:r>
          </w:p>
          <w:p w14:paraId="71D86EF9">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14.转接线路板：带预制线，1套。</w:t>
            </w:r>
          </w:p>
          <w:p w14:paraId="37FEFB9B">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15.塑壳断路器/漏电保护器、导轨式插座、接触器、线缆等，1套。</w:t>
            </w:r>
          </w:p>
          <w:p w14:paraId="7E28744B">
            <w:pPr>
              <w:keepNext w:val="0"/>
              <w:keepLines w:val="0"/>
              <w:suppressLineNumbers w:val="0"/>
              <w:spacing w:before="0" w:beforeAutospacing="0" w:after="0" w:afterAutospacing="0"/>
              <w:ind w:left="0" w:right="0"/>
              <w:jc w:val="left"/>
              <w:rPr>
                <w:rFonts w:hint="eastAsia"/>
                <w:b w:val="0"/>
                <w:bCs w:val="0"/>
                <w:strike w:val="0"/>
                <w:color w:val="auto"/>
                <w:highlight w:val="none"/>
              </w:rPr>
            </w:pPr>
            <w:r>
              <w:rPr>
                <w:rFonts w:hint="eastAsia"/>
                <w:b w:val="0"/>
                <w:bCs w:val="0"/>
                <w:strike w:val="0"/>
                <w:color w:val="auto"/>
                <w:highlight w:val="none"/>
              </w:rPr>
              <w:t>（三）数字孪生仿真系统</w:t>
            </w:r>
          </w:p>
          <w:p w14:paraId="662E089C">
            <w:pPr>
              <w:keepNext w:val="0"/>
              <w:keepLines w:val="0"/>
              <w:suppressLineNumbers w:val="0"/>
              <w:spacing w:before="0" w:beforeAutospacing="0" w:after="0" w:afterAutospacing="0"/>
              <w:ind w:left="0" w:right="0" w:firstLine="420"/>
              <w:jc w:val="left"/>
              <w:rPr>
                <w:rFonts w:hint="eastAsia"/>
                <w:b w:val="0"/>
                <w:bCs w:val="0"/>
                <w:strike w:val="0"/>
                <w:color w:val="auto"/>
                <w:highlight w:val="none"/>
                <w:lang w:val="en-US" w:eastAsia="zh-CN"/>
              </w:rPr>
            </w:pPr>
            <w:r>
              <w:rPr>
                <w:rFonts w:hint="eastAsia"/>
                <w:b w:val="0"/>
                <w:bCs w:val="0"/>
                <w:strike w:val="0"/>
                <w:color w:val="auto"/>
                <w:highlight w:val="none"/>
              </w:rPr>
              <w:t>★结合数字模型和实时数据</w:t>
            </w:r>
            <w:r>
              <w:rPr>
                <w:rFonts w:hint="eastAsia"/>
                <w:b w:val="0"/>
                <w:bCs w:val="0"/>
                <w:strike w:val="0"/>
                <w:color w:val="auto"/>
                <w:highlight w:val="none"/>
                <w:lang w:eastAsia="zh-CN"/>
              </w:rPr>
              <w:t>，</w:t>
            </w:r>
            <w:r>
              <w:rPr>
                <w:rFonts w:hint="eastAsia"/>
                <w:b w:val="0"/>
                <w:bCs w:val="0"/>
                <w:strike w:val="0"/>
                <w:color w:val="auto"/>
                <w:highlight w:val="none"/>
              </w:rPr>
              <w:t>提供</w:t>
            </w:r>
            <w:r>
              <w:rPr>
                <w:rFonts w:hint="eastAsia"/>
                <w:b w:val="0"/>
                <w:bCs w:val="0"/>
                <w:strike w:val="0"/>
                <w:color w:val="auto"/>
                <w:highlight w:val="none"/>
                <w:lang w:val="en-US" w:eastAsia="zh-CN"/>
              </w:rPr>
              <w:t>≥</w:t>
            </w:r>
            <w:r>
              <w:rPr>
                <w:rFonts w:hint="eastAsia"/>
                <w:b w:val="0"/>
                <w:bCs w:val="0"/>
                <w:strike w:val="0"/>
                <w:color w:val="auto"/>
                <w:highlight w:val="none"/>
              </w:rPr>
              <w:t>5种</w:t>
            </w:r>
            <w:r>
              <w:rPr>
                <w:rFonts w:hint="eastAsia"/>
                <w:b w:val="0"/>
                <w:bCs w:val="0"/>
                <w:strike w:val="0"/>
                <w:color w:val="auto"/>
                <w:highlight w:val="none"/>
                <w:lang w:val="en-US" w:eastAsia="zh-CN"/>
              </w:rPr>
              <w:t>类型可编程控制器的数字孪生仿真实验，包含学习平台的交互按钮（</w:t>
            </w:r>
            <w:r>
              <w:rPr>
                <w:rFonts w:hint="eastAsia"/>
                <w:b w:val="0"/>
                <w:bCs w:val="0"/>
                <w:strike w:val="0"/>
                <w:color w:val="auto"/>
                <w:highlight w:val="none"/>
              </w:rPr>
              <w:t>投标文件中须需提供呈现</w:t>
            </w:r>
            <w:r>
              <w:rPr>
                <w:rFonts w:hint="eastAsia"/>
                <w:b w:val="0"/>
                <w:bCs w:val="0"/>
                <w:strike w:val="0"/>
                <w:color w:val="auto"/>
                <w:highlight w:val="none"/>
                <w:lang w:eastAsia="zh-CN"/>
              </w:rPr>
              <w:t>以上功能要求</w:t>
            </w:r>
            <w:r>
              <w:rPr>
                <w:rFonts w:hint="eastAsia"/>
                <w:b w:val="0"/>
                <w:bCs w:val="0"/>
                <w:strike w:val="0"/>
                <w:color w:val="auto"/>
                <w:highlight w:val="none"/>
              </w:rPr>
              <w:t>完整界面的彩色高清照片，须呈现展示设备的完整外观，包括屏边</w:t>
            </w:r>
            <w:r>
              <w:rPr>
                <w:rFonts w:hint="eastAsia"/>
                <w:b w:val="0"/>
                <w:bCs w:val="0"/>
                <w:strike w:val="0"/>
                <w:color w:val="auto"/>
                <w:highlight w:val="none"/>
                <w:lang w:eastAsia="zh-CN"/>
              </w:rPr>
              <w:t>）。</w:t>
            </w:r>
          </w:p>
          <w:p w14:paraId="34BF0A61">
            <w:pPr>
              <w:keepNext w:val="0"/>
              <w:keepLines w:val="0"/>
              <w:suppressLineNumbers w:val="0"/>
              <w:spacing w:before="0" w:beforeAutospacing="0" w:after="0" w:afterAutospacing="0"/>
              <w:ind w:left="0" w:right="0"/>
              <w:jc w:val="left"/>
              <w:rPr>
                <w:rFonts w:hint="eastAsia"/>
                <w:b w:val="0"/>
                <w:bCs w:val="0"/>
                <w:strike/>
                <w:color w:val="auto"/>
                <w:highlight w:val="none"/>
              </w:rPr>
            </w:pPr>
            <w:r>
              <w:rPr>
                <w:rFonts w:hint="eastAsia"/>
                <w:b w:val="0"/>
                <w:bCs w:val="0"/>
                <w:strike w:val="0"/>
                <w:color w:val="auto"/>
                <w:highlight w:val="none"/>
              </w:rPr>
              <w:t>以模拟、分析和优化生产线的运行和维护过程，拥有惯性、碰撞、重力、摩擦等物理行为仿真，支持柔性线束电缆仿真，</w:t>
            </w:r>
            <w:r>
              <w:rPr>
                <w:rFonts w:hint="eastAsia"/>
                <w:b/>
                <w:bCs w:val="0"/>
                <w:strike w:val="0"/>
                <w:color w:val="FF0000"/>
                <w:highlight w:val="none"/>
              </w:rPr>
              <w:t>支持与主流三维仿真引擎的实时数据交互</w:t>
            </w:r>
            <w:r>
              <w:rPr>
                <w:rFonts w:hint="eastAsia"/>
                <w:b w:val="0"/>
                <w:bCs w:val="0"/>
                <w:strike w:val="0"/>
                <w:color w:val="auto"/>
                <w:highlight w:val="none"/>
              </w:rPr>
              <w:t>，模型组件、设备动作、设备联机信号的全面集成。</w:t>
            </w:r>
            <w:r>
              <w:rPr>
                <w:rFonts w:hint="eastAsia"/>
                <w:b w:val="0"/>
                <w:bCs w:val="0"/>
                <w:strike w:val="0"/>
                <w:color w:val="auto"/>
                <w:highlight w:val="none"/>
                <w:lang w:val="en-US" w:eastAsia="zh-CN"/>
              </w:rPr>
              <w:t>或者</w:t>
            </w:r>
            <w:r>
              <w:rPr>
                <w:rFonts w:hint="eastAsia"/>
                <w:b w:val="0"/>
                <w:bCs w:val="0"/>
                <w:strike w:val="0"/>
                <w:color w:val="auto"/>
                <w:highlight w:val="none"/>
              </w:rPr>
              <w:t>提供</w:t>
            </w:r>
            <w:r>
              <w:rPr>
                <w:rFonts w:hint="eastAsia"/>
                <w:b w:val="0"/>
                <w:bCs w:val="0"/>
                <w:color w:val="auto"/>
                <w:highlight w:val="none"/>
                <w:lang w:val="en-US" w:eastAsia="zh-CN"/>
              </w:rPr>
              <w:t>可编程控制器的数字孪生仿真实验</w:t>
            </w:r>
            <w:r>
              <w:rPr>
                <w:rFonts w:hint="eastAsia"/>
                <w:b w:val="0"/>
                <w:bCs w:val="0"/>
                <w:color w:val="auto"/>
                <w:highlight w:val="none"/>
              </w:rPr>
              <w:t>不少于</w:t>
            </w:r>
            <w:r>
              <w:rPr>
                <w:rFonts w:hint="eastAsia"/>
                <w:b w:val="0"/>
                <w:bCs w:val="0"/>
                <w:color w:val="auto"/>
                <w:highlight w:val="none"/>
                <w:lang w:val="en-US" w:eastAsia="zh-CN"/>
              </w:rPr>
              <w:t>12</w:t>
            </w:r>
            <w:r>
              <w:rPr>
                <w:rFonts w:hint="eastAsia"/>
                <w:b w:val="0"/>
                <w:bCs w:val="0"/>
                <w:color w:val="auto"/>
                <w:highlight w:val="none"/>
              </w:rPr>
              <w:t>个</w:t>
            </w:r>
            <w:r>
              <w:rPr>
                <w:rFonts w:hint="eastAsia"/>
                <w:b w:val="0"/>
                <w:bCs w:val="0"/>
                <w:color w:val="auto"/>
                <w:highlight w:val="none"/>
                <w:lang w:val="en-US" w:eastAsia="zh-CN"/>
              </w:rPr>
              <w:t>基础训练实训项目（</w:t>
            </w:r>
            <w:r>
              <w:rPr>
                <w:rFonts w:hint="eastAsia"/>
                <w:b w:val="0"/>
                <w:bCs w:val="0"/>
                <w:color w:val="auto"/>
                <w:highlight w:val="none"/>
              </w:rPr>
              <w:t>模型采用LED指示灯、按钮开关、接线端子、喷绘图形的形式进行展现</w:t>
            </w:r>
            <w:r>
              <w:rPr>
                <w:rFonts w:hint="eastAsia"/>
                <w:b w:val="0"/>
                <w:bCs w:val="0"/>
                <w:color w:val="auto"/>
                <w:highlight w:val="none"/>
                <w:lang w:val="en-US" w:eastAsia="zh-CN"/>
              </w:rPr>
              <w:t>）</w:t>
            </w:r>
            <w:r>
              <w:rPr>
                <w:rFonts w:hint="eastAsia"/>
                <w:b w:val="0"/>
                <w:bCs w:val="0"/>
                <w:color w:val="auto"/>
                <w:highlight w:val="none"/>
              </w:rPr>
              <w:t>，涵盖了装配流水线</w:t>
            </w:r>
            <w:r>
              <w:rPr>
                <w:rFonts w:hint="eastAsia"/>
                <w:b w:val="0"/>
                <w:bCs w:val="0"/>
                <w:color w:val="auto"/>
                <w:highlight w:val="none"/>
                <w:lang w:val="en-US" w:eastAsia="zh-CN"/>
              </w:rPr>
              <w:t>模拟</w:t>
            </w:r>
            <w:r>
              <w:rPr>
                <w:rFonts w:hint="eastAsia"/>
                <w:b w:val="0"/>
                <w:bCs w:val="0"/>
                <w:color w:val="auto"/>
                <w:highlight w:val="none"/>
              </w:rPr>
              <w:t>、十字路口交通灯</w:t>
            </w:r>
            <w:r>
              <w:rPr>
                <w:rFonts w:hint="eastAsia"/>
                <w:b w:val="0"/>
                <w:bCs w:val="0"/>
                <w:color w:val="auto"/>
                <w:highlight w:val="none"/>
                <w:lang w:val="en-US" w:eastAsia="zh-CN"/>
              </w:rPr>
              <w:t>模拟</w:t>
            </w:r>
            <w:r>
              <w:rPr>
                <w:rFonts w:hint="eastAsia"/>
                <w:b w:val="0"/>
                <w:bCs w:val="0"/>
                <w:color w:val="auto"/>
                <w:highlight w:val="none"/>
              </w:rPr>
              <w:t>、天塔之光</w:t>
            </w:r>
            <w:r>
              <w:rPr>
                <w:rFonts w:hint="eastAsia"/>
                <w:b w:val="0"/>
                <w:bCs w:val="0"/>
                <w:color w:val="auto"/>
                <w:highlight w:val="none"/>
                <w:lang w:val="en-US" w:eastAsia="zh-CN"/>
              </w:rPr>
              <w:t>模拟</w:t>
            </w:r>
            <w:r>
              <w:rPr>
                <w:rFonts w:hint="eastAsia"/>
                <w:b w:val="0"/>
                <w:bCs w:val="0"/>
                <w:color w:val="auto"/>
                <w:highlight w:val="none"/>
              </w:rPr>
              <w:t>、水塔水位</w:t>
            </w:r>
            <w:r>
              <w:rPr>
                <w:rFonts w:hint="eastAsia"/>
                <w:b w:val="0"/>
                <w:bCs w:val="0"/>
                <w:color w:val="auto"/>
                <w:highlight w:val="none"/>
                <w:lang w:val="en-US" w:eastAsia="zh-CN"/>
              </w:rPr>
              <w:t>模拟</w:t>
            </w:r>
            <w:r>
              <w:rPr>
                <w:rFonts w:hint="eastAsia"/>
                <w:b w:val="0"/>
                <w:bCs w:val="0"/>
                <w:color w:val="auto"/>
                <w:highlight w:val="none"/>
              </w:rPr>
              <w:t>、步进电机</w:t>
            </w:r>
            <w:r>
              <w:rPr>
                <w:rFonts w:hint="eastAsia"/>
                <w:b w:val="0"/>
                <w:bCs w:val="0"/>
                <w:color w:val="auto"/>
                <w:highlight w:val="none"/>
                <w:lang w:val="en-US" w:eastAsia="zh-CN"/>
              </w:rPr>
              <w:t>模拟模拟</w:t>
            </w:r>
            <w:r>
              <w:rPr>
                <w:rFonts w:hint="eastAsia"/>
                <w:b w:val="0"/>
                <w:bCs w:val="0"/>
                <w:color w:val="auto"/>
                <w:highlight w:val="none"/>
              </w:rPr>
              <w:t>、电动机星三角启动</w:t>
            </w:r>
            <w:r>
              <w:rPr>
                <w:rFonts w:hint="eastAsia"/>
                <w:b w:val="0"/>
                <w:bCs w:val="0"/>
                <w:color w:val="auto"/>
                <w:highlight w:val="none"/>
                <w:lang w:val="en-US" w:eastAsia="zh-CN"/>
              </w:rPr>
              <w:t>模拟</w:t>
            </w:r>
            <w:r>
              <w:rPr>
                <w:rFonts w:hint="eastAsia"/>
                <w:b w:val="0"/>
                <w:bCs w:val="0"/>
                <w:color w:val="auto"/>
                <w:highlight w:val="none"/>
              </w:rPr>
              <w:t>、三层电梯</w:t>
            </w:r>
            <w:r>
              <w:rPr>
                <w:rFonts w:hint="eastAsia"/>
                <w:b w:val="0"/>
                <w:bCs w:val="0"/>
                <w:color w:val="auto"/>
                <w:highlight w:val="none"/>
                <w:lang w:val="en-US" w:eastAsia="zh-CN"/>
              </w:rPr>
              <w:t>模拟</w:t>
            </w:r>
            <w:r>
              <w:rPr>
                <w:rFonts w:hint="eastAsia"/>
                <w:b w:val="0"/>
                <w:bCs w:val="0"/>
                <w:color w:val="auto"/>
                <w:highlight w:val="none"/>
              </w:rPr>
              <w:t>、自动配料装车</w:t>
            </w:r>
            <w:r>
              <w:rPr>
                <w:rFonts w:hint="eastAsia"/>
                <w:b w:val="0"/>
                <w:bCs w:val="0"/>
                <w:color w:val="auto"/>
                <w:highlight w:val="none"/>
                <w:lang w:val="en-US" w:eastAsia="zh-CN"/>
              </w:rPr>
              <w:t>模拟</w:t>
            </w:r>
            <w:r>
              <w:rPr>
                <w:rFonts w:hint="eastAsia"/>
                <w:b w:val="0"/>
                <w:bCs w:val="0"/>
                <w:color w:val="auto"/>
                <w:highlight w:val="none"/>
              </w:rPr>
              <w:t>、四节传送带</w:t>
            </w:r>
            <w:r>
              <w:rPr>
                <w:rFonts w:hint="eastAsia"/>
                <w:b w:val="0"/>
                <w:bCs w:val="0"/>
                <w:color w:val="auto"/>
                <w:highlight w:val="none"/>
                <w:lang w:val="en-US" w:eastAsia="zh-CN"/>
              </w:rPr>
              <w:t>模拟</w:t>
            </w:r>
            <w:r>
              <w:rPr>
                <w:rFonts w:hint="eastAsia"/>
                <w:b w:val="0"/>
                <w:bCs w:val="0"/>
                <w:color w:val="auto"/>
                <w:highlight w:val="none"/>
              </w:rPr>
              <w:t>、刀库捷径选择</w:t>
            </w:r>
            <w:r>
              <w:rPr>
                <w:rFonts w:hint="eastAsia"/>
                <w:b w:val="0"/>
                <w:bCs w:val="0"/>
                <w:color w:val="auto"/>
                <w:highlight w:val="none"/>
                <w:lang w:val="en-US" w:eastAsia="zh-CN"/>
              </w:rPr>
              <w:t>模拟</w:t>
            </w:r>
            <w:r>
              <w:rPr>
                <w:rFonts w:hint="eastAsia"/>
                <w:b w:val="0"/>
                <w:bCs w:val="0"/>
                <w:color w:val="auto"/>
                <w:highlight w:val="none"/>
              </w:rPr>
              <w:t>、数码显示</w:t>
            </w:r>
            <w:r>
              <w:rPr>
                <w:rFonts w:hint="eastAsia"/>
                <w:b w:val="0"/>
                <w:bCs w:val="0"/>
                <w:color w:val="auto"/>
                <w:highlight w:val="none"/>
                <w:lang w:val="en-US" w:eastAsia="zh-CN"/>
              </w:rPr>
              <w:t>模拟</w:t>
            </w:r>
            <w:r>
              <w:rPr>
                <w:rFonts w:hint="eastAsia"/>
                <w:b w:val="0"/>
                <w:bCs w:val="0"/>
                <w:color w:val="auto"/>
                <w:highlight w:val="none"/>
              </w:rPr>
              <w:t>、自动扶梯</w:t>
            </w:r>
            <w:r>
              <w:rPr>
                <w:rFonts w:hint="eastAsia"/>
                <w:b w:val="0"/>
                <w:bCs w:val="0"/>
                <w:color w:val="auto"/>
                <w:highlight w:val="none"/>
                <w:lang w:val="en-US" w:eastAsia="zh-CN"/>
              </w:rPr>
              <w:t>模拟；</w:t>
            </w:r>
            <w:r>
              <w:rPr>
                <w:rFonts w:hint="eastAsia"/>
                <w:b w:val="0"/>
                <w:bCs w:val="0"/>
                <w:color w:val="auto"/>
                <w:highlight w:val="none"/>
              </w:rPr>
              <w:t>不少于</w:t>
            </w:r>
            <w:r>
              <w:rPr>
                <w:rFonts w:hint="eastAsia"/>
                <w:b w:val="0"/>
                <w:bCs w:val="0"/>
                <w:color w:val="auto"/>
                <w:highlight w:val="none"/>
                <w:lang w:val="en-US" w:eastAsia="zh-CN"/>
              </w:rPr>
              <w:t>20</w:t>
            </w:r>
            <w:r>
              <w:rPr>
                <w:rFonts w:hint="eastAsia"/>
                <w:b w:val="0"/>
                <w:bCs w:val="0"/>
                <w:color w:val="auto"/>
                <w:highlight w:val="none"/>
              </w:rPr>
              <w:t>个</w:t>
            </w:r>
            <w:r>
              <w:rPr>
                <w:rFonts w:hint="eastAsia"/>
                <w:b w:val="0"/>
                <w:bCs w:val="0"/>
                <w:color w:val="auto"/>
                <w:highlight w:val="none"/>
                <w:lang w:val="en-US" w:eastAsia="zh-CN"/>
              </w:rPr>
              <w:t>场景训练实训项目（</w:t>
            </w:r>
            <w:r>
              <w:rPr>
                <w:rFonts w:hint="eastAsia"/>
                <w:b w:val="0"/>
                <w:bCs w:val="0"/>
                <w:color w:val="auto"/>
                <w:highlight w:val="none"/>
              </w:rPr>
              <w:t>模型采用三维立体空间形式，通过实景式情景化的场景展现，真实的反应工业/生活中的应用场景</w:t>
            </w:r>
            <w:r>
              <w:rPr>
                <w:rFonts w:hint="eastAsia"/>
                <w:b w:val="0"/>
                <w:bCs w:val="0"/>
                <w:color w:val="auto"/>
                <w:highlight w:val="none"/>
                <w:lang w:val="en-US" w:eastAsia="zh-CN"/>
              </w:rPr>
              <w:t>）</w:t>
            </w:r>
            <w:r>
              <w:rPr>
                <w:rFonts w:hint="eastAsia"/>
                <w:b w:val="0"/>
                <w:bCs w:val="0"/>
                <w:color w:val="auto"/>
                <w:highlight w:val="none"/>
              </w:rPr>
              <w:t>，涵盖了工业机器人协调控制、气动冲压机控制、自动上料机控制、自动封装控制、工业流水线控制、小区水塔供水控制、智能配料控制、楼宇电梯控制</w:t>
            </w:r>
            <w:r>
              <w:rPr>
                <w:rFonts w:hint="eastAsia"/>
                <w:b w:val="0"/>
                <w:bCs w:val="0"/>
                <w:color w:val="auto"/>
                <w:highlight w:val="none"/>
                <w:lang w:eastAsia="zh-CN"/>
              </w:rPr>
              <w:t>、</w:t>
            </w:r>
            <w:r>
              <w:rPr>
                <w:rFonts w:hint="eastAsia"/>
                <w:b w:val="0"/>
                <w:bCs w:val="0"/>
                <w:color w:val="auto"/>
                <w:highlight w:val="none"/>
                <w:lang w:val="en-US" w:eastAsia="zh-CN"/>
              </w:rPr>
              <w:t>电机星三角启动控制</w:t>
            </w:r>
            <w:r>
              <w:rPr>
                <w:rFonts w:hint="eastAsia"/>
                <w:b w:val="0"/>
                <w:bCs w:val="0"/>
                <w:color w:val="auto"/>
                <w:highlight w:val="none"/>
              </w:rPr>
              <w:t>、</w:t>
            </w:r>
            <w:r>
              <w:rPr>
                <w:rFonts w:hint="eastAsia"/>
                <w:b w:val="0"/>
                <w:bCs w:val="0"/>
                <w:color w:val="auto"/>
                <w:highlight w:val="none"/>
                <w:lang w:val="en-US" w:eastAsia="zh-CN"/>
              </w:rPr>
              <w:t>数码显示控制、</w:t>
            </w:r>
            <w:r>
              <w:rPr>
                <w:rFonts w:hint="eastAsia"/>
                <w:b w:val="0"/>
                <w:bCs w:val="0"/>
                <w:color w:val="auto"/>
                <w:highlight w:val="none"/>
              </w:rPr>
              <w:t>水泵控制、机械手搬运控制、物料分拣控制、数控冲压机控制、立体仓库控制、十字路口交通灯</w:t>
            </w:r>
            <w:r>
              <w:rPr>
                <w:rFonts w:hint="eastAsia"/>
                <w:b w:val="0"/>
                <w:bCs w:val="0"/>
                <w:color w:val="auto"/>
                <w:highlight w:val="none"/>
                <w:lang w:val="en-US" w:eastAsia="zh-CN"/>
              </w:rPr>
              <w:t>控制</w:t>
            </w:r>
            <w:r>
              <w:rPr>
                <w:rFonts w:hint="eastAsia"/>
                <w:b w:val="0"/>
                <w:bCs w:val="0"/>
                <w:color w:val="auto"/>
                <w:highlight w:val="none"/>
                <w:lang w:eastAsia="zh-CN"/>
              </w:rPr>
              <w:t>、</w:t>
            </w:r>
            <w:r>
              <w:rPr>
                <w:rFonts w:hint="eastAsia"/>
                <w:b w:val="0"/>
                <w:bCs w:val="0"/>
                <w:color w:val="auto"/>
                <w:highlight w:val="none"/>
                <w:lang w:val="en-US" w:eastAsia="zh-CN"/>
              </w:rPr>
              <w:t>天塔控制、</w:t>
            </w:r>
            <w:r>
              <w:rPr>
                <w:rFonts w:hint="eastAsia"/>
                <w:b w:val="0"/>
                <w:bCs w:val="0"/>
                <w:color w:val="auto"/>
                <w:highlight w:val="none"/>
              </w:rPr>
              <w:t>多段输送带控制、</w:t>
            </w:r>
            <w:r>
              <w:rPr>
                <w:rFonts w:hint="eastAsia"/>
                <w:b w:val="0"/>
                <w:bCs w:val="0"/>
                <w:color w:val="auto"/>
                <w:highlight w:val="none"/>
                <w:lang w:val="en-US" w:eastAsia="zh-CN"/>
              </w:rPr>
              <w:t>步进电机控制、</w:t>
            </w:r>
            <w:r>
              <w:rPr>
                <w:rFonts w:hint="eastAsia"/>
                <w:b w:val="0"/>
                <w:bCs w:val="0"/>
                <w:color w:val="auto"/>
                <w:highlight w:val="none"/>
              </w:rPr>
              <w:t>多功能刀架控制等实训仿真画面。</w:t>
            </w:r>
            <w:r>
              <w:rPr>
                <w:rFonts w:hint="eastAsia"/>
                <w:b w:val="0"/>
                <w:bCs w:val="0"/>
                <w:color w:val="auto"/>
                <w:highlight w:val="none"/>
                <w:lang w:val="en-US" w:eastAsia="zh-CN"/>
              </w:rPr>
              <w:t>数字孪生仿真功能</w:t>
            </w:r>
            <w:r>
              <w:rPr>
                <w:rFonts w:hint="eastAsia"/>
                <w:b w:val="0"/>
                <w:bCs w:val="0"/>
                <w:color w:val="auto"/>
                <w:highlight w:val="none"/>
              </w:rPr>
              <w:t>：</w:t>
            </w:r>
            <w:r>
              <w:rPr>
                <w:rFonts w:hint="eastAsia"/>
                <w:b w:val="0"/>
                <w:bCs w:val="0"/>
                <w:color w:val="auto"/>
                <w:highlight w:val="none"/>
                <w:lang w:val="en-US" w:eastAsia="zh-CN"/>
              </w:rPr>
              <w:t>通过对虚拟PLC主机的PLC程序编写将相关模型</w:t>
            </w:r>
            <w:r>
              <w:rPr>
                <w:rFonts w:hint="eastAsia"/>
                <w:b w:val="0"/>
                <w:bCs w:val="0"/>
                <w:color w:val="auto"/>
                <w:highlight w:val="none"/>
              </w:rPr>
              <w:t>按固定的流程模拟运行，可以根据任务要求或者模拟运行流程，实现PLC编程的在线仿真控制；</w:t>
            </w:r>
          </w:p>
          <w:p w14:paraId="1404976A">
            <w:pPr>
              <w:keepNext w:val="0"/>
              <w:keepLines w:val="0"/>
              <w:suppressLineNumbers w:val="0"/>
              <w:spacing w:before="0" w:beforeAutospacing="0" w:after="0" w:afterAutospacing="0"/>
              <w:ind w:left="0" w:right="0"/>
              <w:jc w:val="left"/>
              <w:rPr>
                <w:rFonts w:hint="eastAsia"/>
                <w:b w:val="0"/>
                <w:bCs w:val="0"/>
                <w:strike w:val="0"/>
                <w:color w:val="auto"/>
                <w:highlight w:val="none"/>
              </w:rPr>
            </w:pPr>
            <w:r>
              <w:rPr>
                <w:rFonts w:hint="eastAsia"/>
                <w:b w:val="0"/>
                <w:bCs w:val="0"/>
                <w:strike w:val="0"/>
                <w:color w:val="auto"/>
                <w:highlight w:val="none"/>
              </w:rPr>
              <w:t>（四）生产过程可视化系统</w:t>
            </w:r>
          </w:p>
          <w:p w14:paraId="0CB1F180">
            <w:pPr>
              <w:keepNext w:val="0"/>
              <w:keepLines w:val="0"/>
              <w:suppressLineNumbers w:val="0"/>
              <w:spacing w:before="0" w:beforeAutospacing="0" w:after="0" w:afterAutospacing="0"/>
              <w:ind w:left="0" w:right="0" w:firstLine="420"/>
              <w:jc w:val="left"/>
              <w:rPr>
                <w:rFonts w:hint="eastAsia" w:eastAsiaTheme="minorEastAsia"/>
                <w:b w:val="0"/>
                <w:bCs w:val="0"/>
                <w:strike w:val="0"/>
                <w:color w:val="auto"/>
                <w:highlight w:val="none"/>
                <w:lang w:eastAsia="zh-CN"/>
              </w:rPr>
            </w:pPr>
            <w:r>
              <w:rPr>
                <w:rFonts w:hint="eastAsia"/>
                <w:b w:val="0"/>
                <w:bCs w:val="0"/>
                <w:strike w:val="0"/>
                <w:color w:val="auto"/>
                <w:highlight w:val="none"/>
              </w:rPr>
              <w:t>包含生产过程看板、过程仪表在线数据看板、控制系统运行控制看板、过程报警联锁信息看板、智慧用电及能耗管理看板，1套。</w:t>
            </w:r>
          </w:p>
          <w:p w14:paraId="197A067F">
            <w:pPr>
              <w:keepNext w:val="0"/>
              <w:keepLines w:val="0"/>
              <w:suppressLineNumbers w:val="0"/>
              <w:spacing w:before="0" w:beforeAutospacing="0" w:after="0" w:afterAutospacing="0"/>
              <w:ind w:left="0" w:right="0"/>
              <w:jc w:val="left"/>
              <w:rPr>
                <w:rFonts w:hint="eastAsia"/>
                <w:b w:val="0"/>
                <w:bCs w:val="0"/>
                <w:strike w:val="0"/>
                <w:color w:val="auto"/>
                <w:highlight w:val="none"/>
              </w:rPr>
            </w:pPr>
            <w:r>
              <w:rPr>
                <w:rFonts w:hint="eastAsia"/>
                <w:b w:val="0"/>
                <w:bCs w:val="0"/>
                <w:strike w:val="0"/>
                <w:color w:val="auto"/>
                <w:highlight w:val="none"/>
              </w:rPr>
              <w:t>（五）制造系统能源管理平台</w:t>
            </w:r>
          </w:p>
          <w:p w14:paraId="638934B8">
            <w:pPr>
              <w:keepNext w:val="0"/>
              <w:keepLines w:val="0"/>
              <w:suppressLineNumbers w:val="0"/>
              <w:spacing w:before="0" w:beforeAutospacing="0" w:after="0" w:afterAutospacing="0"/>
              <w:ind w:left="0" w:right="0" w:firstLine="420"/>
              <w:jc w:val="left"/>
              <w:rPr>
                <w:rFonts w:hint="eastAsia"/>
                <w:b w:val="0"/>
                <w:bCs w:val="0"/>
                <w:strike w:val="0"/>
                <w:color w:val="auto"/>
                <w:highlight w:val="none"/>
              </w:rPr>
            </w:pPr>
            <w:r>
              <w:rPr>
                <w:rFonts w:hint="eastAsia"/>
                <w:b w:val="0"/>
                <w:bCs w:val="0"/>
                <w:strike w:val="0"/>
                <w:color w:val="auto"/>
                <w:highlight w:val="none"/>
              </w:rPr>
              <w:t>实时监测一路剩余电流、四路温度、电流、电压、功率、电能等电参量，遥信输入、遥信输岀、谐波分析、RS485通讯，1套。</w:t>
            </w:r>
          </w:p>
          <w:p w14:paraId="56549984">
            <w:pPr>
              <w:keepNext w:val="0"/>
              <w:keepLines w:val="0"/>
              <w:suppressLineNumbers w:val="0"/>
              <w:spacing w:before="0" w:beforeAutospacing="0" w:after="0" w:afterAutospacing="0"/>
              <w:ind w:left="0" w:right="0"/>
              <w:jc w:val="left"/>
              <w:rPr>
                <w:rFonts w:hint="eastAsia"/>
                <w:b w:val="0"/>
                <w:bCs w:val="0"/>
                <w:strike w:val="0"/>
                <w:color w:val="auto"/>
                <w:highlight w:val="none"/>
              </w:rPr>
            </w:pPr>
            <w:r>
              <w:rPr>
                <w:rFonts w:hint="eastAsia"/>
                <w:b w:val="0"/>
                <w:bCs w:val="0"/>
                <w:strike w:val="0"/>
                <w:color w:val="auto"/>
                <w:highlight w:val="none"/>
              </w:rPr>
              <w:t>三、实训软件资源包要求：</w:t>
            </w:r>
          </w:p>
          <w:p w14:paraId="196F28A2">
            <w:pPr>
              <w:keepNext w:val="0"/>
              <w:keepLines w:val="0"/>
              <w:suppressLineNumbers w:val="0"/>
              <w:spacing w:before="0" w:beforeAutospacing="0" w:after="0" w:afterAutospacing="0"/>
              <w:ind w:left="0" w:right="0" w:firstLine="420"/>
              <w:jc w:val="left"/>
              <w:rPr>
                <w:rFonts w:hint="eastAsia"/>
                <w:b w:val="0"/>
                <w:bCs w:val="0"/>
                <w:strike w:val="0"/>
                <w:color w:val="auto"/>
                <w:highlight w:val="green"/>
                <w:lang w:eastAsia="zh-CN"/>
              </w:rPr>
            </w:pPr>
            <w:r>
              <w:rPr>
                <w:rFonts w:hint="eastAsia"/>
                <w:b w:val="0"/>
                <w:bCs w:val="0"/>
                <w:strike w:val="0"/>
                <w:color w:val="auto"/>
                <w:highlight w:val="none"/>
              </w:rPr>
              <w:t>停电应急处置模拟演练系统软件、传感器技术AR仿真实训教学APP软件、PLC技术AR仿真实训教学APP软件、多种电机在环实时仿真实验系统。</w:t>
            </w:r>
          </w:p>
          <w:p w14:paraId="72E8C4B8">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四、其他配置要求：</w:t>
            </w:r>
          </w:p>
          <w:p w14:paraId="4E46FD52">
            <w:pPr>
              <w:keepNext w:val="0"/>
              <w:keepLines w:val="0"/>
              <w:suppressLineNumbers w:val="0"/>
              <w:spacing w:before="0" w:beforeAutospacing="0" w:after="0" w:afterAutospacing="0"/>
              <w:ind w:left="0" w:right="0" w:firstLine="420"/>
              <w:jc w:val="left"/>
              <w:rPr>
                <w:rFonts w:hint="eastAsia"/>
                <w:b w:val="0"/>
                <w:bCs w:val="0"/>
                <w:color w:val="auto"/>
                <w:highlight w:val="none"/>
              </w:rPr>
            </w:pPr>
            <w:r>
              <w:rPr>
                <w:rFonts w:hint="eastAsia"/>
                <w:b w:val="0"/>
                <w:bCs w:val="0"/>
                <w:color w:val="auto"/>
                <w:highlight w:val="none"/>
              </w:rPr>
              <w:t>1.工具1套包含以下项目：万用表，1个、压线钳，1把、剥线钳，1把、剪线钳，1把、尖嘴钳，1把、活动扳手（6”，1把、10”，1把）、内六角扳手(公制)1套（1.5mm、2mm、2.5mm、3mm、4mm、5mm、6mm、8mm、10mm）、十字螺丝刀（6*12.5cm，1把、3*7.5cm，1把、2*5.0cm，1把）、一字螺丝刀（6*12.5，1把、3*7.5，1把、2*5.0cm，1把）、工具箱（空箱）。</w:t>
            </w:r>
          </w:p>
          <w:p w14:paraId="080BA8EE">
            <w:pPr>
              <w:keepNext w:val="0"/>
              <w:keepLines w:val="0"/>
              <w:suppressLineNumbers w:val="0"/>
              <w:spacing w:before="0" w:beforeAutospacing="0" w:after="0" w:afterAutospacing="0"/>
              <w:ind w:left="0" w:right="0" w:firstLine="420"/>
              <w:jc w:val="left"/>
              <w:rPr>
                <w:rFonts w:hint="eastAsia"/>
                <w:b w:val="0"/>
                <w:bCs w:val="0"/>
                <w:color w:val="auto"/>
                <w:highlight w:val="none"/>
              </w:rPr>
            </w:pPr>
            <w:r>
              <w:rPr>
                <w:rFonts w:hint="eastAsia"/>
                <w:b w:val="0"/>
                <w:bCs w:val="0"/>
                <w:color w:val="auto"/>
                <w:highlight w:val="none"/>
              </w:rPr>
              <w:t>2.监控中心1套：框架表面喷塑处理，配备1.5寸万向脚轮；电源：AC220V；55寸显示器，用于监测数据显示。</w:t>
            </w:r>
          </w:p>
          <w:p w14:paraId="0F7C38D3">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五、配件要求</w:t>
            </w:r>
          </w:p>
          <w:p w14:paraId="62F096F7">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专用操作台2张。其中第一张：长×宽×高=1200mm×760mm×820mm (±100mm)。配有两个抽屉，配三节静音导轨和拉手。第二张：长×宽×高=625mm×600mm×1045mm (±100mm)。配四只1.5寸万向脚轮。</w:t>
            </w:r>
          </w:p>
        </w:tc>
        <w:tc>
          <w:tcPr>
            <w:tcW w:w="365" w:type="pct"/>
            <w:tcBorders>
              <w:top w:val="nil"/>
              <w:left w:val="nil"/>
              <w:bottom w:val="single" w:color="auto" w:sz="4" w:space="0"/>
              <w:right w:val="single" w:color="auto" w:sz="4" w:space="0"/>
            </w:tcBorders>
            <w:noWrap w:val="0"/>
            <w:vAlign w:val="center"/>
          </w:tcPr>
          <w:p w14:paraId="35D68D40">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套</w:t>
            </w:r>
          </w:p>
        </w:tc>
        <w:tc>
          <w:tcPr>
            <w:tcW w:w="390" w:type="pct"/>
            <w:tcBorders>
              <w:top w:val="nil"/>
              <w:left w:val="nil"/>
              <w:bottom w:val="single" w:color="auto" w:sz="4" w:space="0"/>
              <w:right w:val="single" w:color="auto" w:sz="4" w:space="0"/>
            </w:tcBorders>
            <w:noWrap w:val="0"/>
            <w:vAlign w:val="center"/>
          </w:tcPr>
          <w:p w14:paraId="3B813757">
            <w:pPr>
              <w:keepNext w:val="0"/>
              <w:keepLines w:val="0"/>
              <w:suppressLineNumbers w:val="0"/>
              <w:spacing w:before="0" w:beforeAutospacing="0" w:after="0" w:afterAutospacing="0"/>
              <w:ind w:left="0" w:right="0"/>
              <w:jc w:val="left"/>
              <w:rPr>
                <w:rFonts w:hint="eastAsia" w:eastAsiaTheme="minorEastAsia"/>
                <w:b w:val="0"/>
                <w:bCs w:val="0"/>
                <w:color w:val="auto"/>
                <w:highlight w:val="none"/>
                <w:lang w:eastAsia="zh-CN"/>
              </w:rPr>
            </w:pPr>
            <w:r>
              <w:rPr>
                <w:rFonts w:hint="eastAsia"/>
                <w:b w:val="0"/>
                <w:bCs w:val="0"/>
                <w:color w:val="auto"/>
                <w:highlight w:val="none"/>
                <w:lang w:val="en-US" w:eastAsia="zh-CN"/>
              </w:rPr>
              <w:t>3</w:t>
            </w:r>
          </w:p>
        </w:tc>
      </w:tr>
      <w:tr w14:paraId="67F51413">
        <w:tblPrEx>
          <w:tblCellMar>
            <w:top w:w="0" w:type="dxa"/>
            <w:left w:w="108" w:type="dxa"/>
            <w:bottom w:w="0" w:type="dxa"/>
            <w:right w:w="108" w:type="dxa"/>
          </w:tblCellMar>
        </w:tblPrEx>
        <w:trPr>
          <w:trHeight w:val="20" w:hRule="atLeast"/>
        </w:trPr>
        <w:tc>
          <w:tcPr>
            <w:tcW w:w="231" w:type="pct"/>
            <w:tcBorders>
              <w:top w:val="nil"/>
              <w:left w:val="single" w:color="auto" w:sz="4" w:space="0"/>
              <w:bottom w:val="nil"/>
              <w:right w:val="single" w:color="auto" w:sz="4" w:space="0"/>
            </w:tcBorders>
            <w:noWrap w:val="0"/>
            <w:vAlign w:val="center"/>
          </w:tcPr>
          <w:p w14:paraId="16A2E753">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4</w:t>
            </w:r>
          </w:p>
        </w:tc>
        <w:tc>
          <w:tcPr>
            <w:tcW w:w="525" w:type="pct"/>
            <w:tcBorders>
              <w:top w:val="nil"/>
              <w:left w:val="nil"/>
              <w:bottom w:val="nil"/>
              <w:right w:val="single" w:color="auto" w:sz="4" w:space="0"/>
            </w:tcBorders>
            <w:noWrap w:val="0"/>
            <w:vAlign w:val="center"/>
          </w:tcPr>
          <w:p w14:paraId="7FAC35E9">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化工设备检维修作业操作平台</w:t>
            </w:r>
          </w:p>
        </w:tc>
        <w:tc>
          <w:tcPr>
            <w:tcW w:w="3486" w:type="pct"/>
            <w:tcBorders>
              <w:top w:val="nil"/>
              <w:left w:val="nil"/>
              <w:bottom w:val="nil"/>
              <w:right w:val="single" w:color="auto" w:sz="4" w:space="0"/>
            </w:tcBorders>
            <w:noWrap w:val="0"/>
            <w:vAlign w:val="center"/>
          </w:tcPr>
          <w:p w14:paraId="1381D54A">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一、硬件对象组成：</w:t>
            </w:r>
          </w:p>
          <w:p w14:paraId="0F7E796C">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1.膨胀罐：数量1台，材质：304不锈钢；壁厚：不小于2mm；实际灌装容积不小于72L(灌装系数不高于0.9)；。</w:t>
            </w:r>
          </w:p>
          <w:p w14:paraId="3BEF8698">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2.循环冷却器：数量：1台；材质：304不锈钢；壁厚（壳程直径不小于φ219壁厚不小于2mm，介质：水，换热管壁厚不小于φ14×1.5）；换热面积：不小于0.6m</w:t>
            </w:r>
            <w:r>
              <w:rPr>
                <w:rFonts w:hint="eastAsia"/>
                <w:b w:val="0"/>
                <w:bCs w:val="0"/>
                <w:color w:val="auto"/>
                <w:highlight w:val="none"/>
                <w:vertAlign w:val="superscript"/>
              </w:rPr>
              <w:t>2</w:t>
            </w:r>
            <w:r>
              <w:rPr>
                <w:rFonts w:hint="eastAsia"/>
                <w:b w:val="0"/>
                <w:bCs w:val="0"/>
                <w:color w:val="auto"/>
                <w:highlight w:val="none"/>
              </w:rPr>
              <w:t>；外形尺寸：不小于φ219×1250mm</w:t>
            </w:r>
          </w:p>
          <w:p w14:paraId="7C619191">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3.地台，尺寸长×宽×高=3500mm×800mm×200mm (±5%)（内置集液盘（壁厚不小于1.5mm），水槽（壁厚不小于1.5mm））；数量1台</w:t>
            </w:r>
          </w:p>
          <w:p w14:paraId="6B0796CA">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4.不锈钢固定架：304不锈钢材质，型材固定架方形管长×宽×高=40mm×40mm×3mm (±5%)，外形尺寸：长×宽×高=590mm×300mm×660mm (±5%)；主要功能：为换热器、阀门、管路等提供支撑，数量1台</w:t>
            </w:r>
          </w:p>
          <w:p w14:paraId="53D782AE">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5.卧式多级泵，流量不小于3.75m</w:t>
            </w:r>
            <w:r>
              <w:rPr>
                <w:rFonts w:hint="eastAsia"/>
                <w:b w:val="0"/>
                <w:bCs w:val="0"/>
                <w:color w:val="auto"/>
                <w:highlight w:val="none"/>
                <w:vertAlign w:val="superscript"/>
              </w:rPr>
              <w:t>3</w:t>
            </w:r>
            <w:r>
              <w:rPr>
                <w:rFonts w:hint="eastAsia"/>
                <w:b w:val="0"/>
                <w:bCs w:val="0"/>
                <w:color w:val="auto"/>
                <w:highlight w:val="none"/>
              </w:rPr>
              <w:t>/h，扬程不小于100m，转速不小于2950r/min；数量1台；</w:t>
            </w:r>
          </w:p>
          <w:p w14:paraId="7549C283">
            <w:pPr>
              <w:keepNext w:val="0"/>
              <w:keepLines w:val="0"/>
              <w:suppressLineNumbers w:val="0"/>
              <w:spacing w:before="0" w:beforeAutospacing="0" w:after="0" w:afterAutospacing="0"/>
              <w:ind w:left="0" w:right="0"/>
              <w:jc w:val="left"/>
              <w:rPr>
                <w:rFonts w:hint="eastAsia" w:eastAsiaTheme="minorEastAsia"/>
                <w:b w:val="0"/>
                <w:bCs w:val="0"/>
                <w:color w:val="auto"/>
                <w:highlight w:val="none"/>
                <w:lang w:eastAsia="zh-CN"/>
              </w:rPr>
            </w:pPr>
            <w:r>
              <w:rPr>
                <w:rFonts w:hint="eastAsia"/>
                <w:b w:val="0"/>
                <w:bCs w:val="0"/>
                <w:color w:val="auto"/>
                <w:highlight w:val="none"/>
              </w:rPr>
              <w:t>6.RFID智能货柜：智能柜可通过标签绑定比赛中所用到的工具，在比赛中具有工具存放、智能开锁、工具快速绑定、工具清单检验、工具智能识别、自动判分等功能。（尺寸：高×宽×深=2020×1100×550mm (±5%)，材质：不小于1.2mm厚碳钢板），数量1台；</w:t>
            </w:r>
          </w:p>
          <w:p w14:paraId="1DD8E6A3">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7.安全帽：数量：4顶，材质：高强度ABS工程塑料；</w:t>
            </w:r>
          </w:p>
          <w:p w14:paraId="0F80993E">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8.管路：以下装置中的管道、支撑件304不锈钢材质，管件如下：管道、弯头、三通、大小头、金属软管、管道法兰、阀门支架、配套螺栓、垫片等一批；</w:t>
            </w:r>
          </w:p>
          <w:p w14:paraId="61B99248">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9.电磁流量计：测量范围不低于0.9-20m</w:t>
            </w:r>
            <w:r>
              <w:rPr>
                <w:rFonts w:hint="eastAsia"/>
                <w:b w:val="0"/>
                <w:bCs w:val="0"/>
                <w:color w:val="auto"/>
                <w:highlight w:val="none"/>
                <w:vertAlign w:val="superscript"/>
              </w:rPr>
              <w:t>3</w:t>
            </w:r>
            <w:r>
              <w:rPr>
                <w:rFonts w:hint="eastAsia"/>
                <w:b w:val="0"/>
                <w:bCs w:val="0"/>
                <w:color w:val="auto"/>
                <w:highlight w:val="none"/>
              </w:rPr>
              <w:t>/h；数量：1台；</w:t>
            </w:r>
          </w:p>
          <w:p w14:paraId="4F2DAD68">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10.螺纹球阀：304不锈钢材质，球阀1/2"，不少于1台；球阀1/4"，不少于2台；球阀3/4"，不少于2台；快拧接头1/2"-φ16，不少于2台</w:t>
            </w:r>
          </w:p>
          <w:p w14:paraId="2C67BB3E">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11.法兰式阀门：304不锈钢材质，法兰式闸阀DN50PN16，不少于1台；法兰式截止阀DN32PN16，不少于1台；法兰式截止阀DN25PN16，不少于1台；法兰式过滤阀DN50 PN16，不少于1台；</w:t>
            </w:r>
          </w:p>
          <w:p w14:paraId="0CF6AF20">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12.安全阀：法兰式304不锈钢材质，安全阀 DN25 PN16，（起跳压力为1.6MPa），1台；</w:t>
            </w:r>
          </w:p>
          <w:p w14:paraId="20C4E604">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13.压力表：（1）耐震压力表，测量范围：0-2.5MPa，精度：2.5级，表盘直径：100mm，安装方式：径向，数量：1只；（2）耐震压力表，测量范围：-0.1-0.06MPa，精度：2.5级，表盘直径：100mm，安装方式：径向，数量：1只；</w:t>
            </w:r>
          </w:p>
          <w:p w14:paraId="46604E94">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14.单工位操作台，尺寸长×宽×高=800mm×700mm×750mm (±5%)；</w:t>
            </w:r>
          </w:p>
          <w:p w14:paraId="6C371F7C">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15.工程师站：采用6核12线程及以上规格的x86架构处理器，性能核基础主频不低于3.0GHz，加速频率不低于4.6GHz，高速缓存容量不低于18MB。配置16GB及以上容量的RAM。搭载512GB及以上容量的固态硬盘。配备4GB独立显存的主流级独立显卡，显存位宽不低于128bit。显示器不低于23.8寸；</w:t>
            </w:r>
          </w:p>
          <w:p w14:paraId="70B4DA22">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16.安装立杆：数量：1台，总高2.3m，横臂1m（碳钢材质、喷塑处理，外观白色，配安装板、螺栓,尺寸分别为</w:t>
            </w:r>
            <w:r>
              <w:rPr>
                <w:rFonts w:hint="eastAsia"/>
                <w:b w:val="0"/>
                <w:bCs w:val="0"/>
                <w:color w:val="auto"/>
                <w:highlight w:val="none"/>
                <w:shd w:val="clear" w:color="auto" w:fill="FFFFFF"/>
              </w:rPr>
              <w:t>长×宽×高=</w:t>
            </w:r>
            <w:r>
              <w:rPr>
                <w:rFonts w:hint="eastAsia"/>
                <w:b w:val="0"/>
                <w:bCs w:val="0"/>
                <w:color w:val="auto"/>
                <w:highlight w:val="none"/>
              </w:rPr>
              <w:t>100×100×3mm，</w:t>
            </w:r>
            <w:r>
              <w:rPr>
                <w:rFonts w:hint="eastAsia"/>
                <w:b w:val="0"/>
                <w:bCs w:val="0"/>
                <w:color w:val="auto"/>
                <w:highlight w:val="none"/>
                <w:shd w:val="clear" w:color="auto" w:fill="FFFFFF"/>
              </w:rPr>
              <w:t>长×宽×高=</w:t>
            </w:r>
            <w:r>
              <w:rPr>
                <w:rFonts w:hint="eastAsia"/>
                <w:b w:val="0"/>
                <w:bCs w:val="0"/>
                <w:color w:val="auto"/>
                <w:highlight w:val="none"/>
              </w:rPr>
              <w:t>150mm×150mm×3mm），可移动，底座（</w:t>
            </w:r>
            <w:r>
              <w:rPr>
                <w:rFonts w:hint="eastAsia"/>
                <w:b w:val="0"/>
                <w:bCs w:val="0"/>
                <w:color w:val="auto"/>
                <w:highlight w:val="none"/>
                <w:shd w:val="clear" w:color="auto" w:fill="FFFFFF"/>
              </w:rPr>
              <w:t>长×宽×高=</w:t>
            </w:r>
            <w:r>
              <w:rPr>
                <w:rFonts w:hint="eastAsia"/>
                <w:b w:val="0"/>
                <w:bCs w:val="0"/>
                <w:color w:val="auto"/>
                <w:highlight w:val="none"/>
              </w:rPr>
              <w:t>500mm×600mm×100mm (±5%)，壁厚不小于6mm）配重；</w:t>
            </w:r>
          </w:p>
          <w:p w14:paraId="2190EA38">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17.智能警示灯：红蓝黄三色常亮，供电方式：DC24V，音频输出：设置为静音，安装形式：螺纹安装，数量：1只；</w:t>
            </w:r>
          </w:p>
          <w:p w14:paraId="08E84E56">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18.工机具配件：配置总数不低于40种常用拆装工具，不低于5种以上的专有工具，每一种工具加工有特殊标签，可以实现智能化管理的功能；1套</w:t>
            </w:r>
          </w:p>
          <w:p w14:paraId="4E14579C">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19.供电箱：箱体</w:t>
            </w:r>
            <w:r>
              <w:rPr>
                <w:rFonts w:hint="eastAsia"/>
                <w:b w:val="0"/>
                <w:bCs w:val="0"/>
                <w:color w:val="auto"/>
                <w:highlight w:val="none"/>
                <w:shd w:val="clear" w:color="auto" w:fill="FFFFFF"/>
              </w:rPr>
              <w:t>长×宽×高=</w:t>
            </w:r>
            <w:r>
              <w:rPr>
                <w:rFonts w:hint="eastAsia"/>
                <w:b w:val="0"/>
                <w:bCs w:val="0"/>
                <w:color w:val="auto"/>
                <w:highlight w:val="none"/>
              </w:rPr>
              <w:t>600mm×400mm×200mm (±5%)，430不锈钢，厚度不小于1.2mm，静电喷塑工艺，集成PLC、变频器等，数量：1台。</w:t>
            </w:r>
          </w:p>
          <w:p w14:paraId="32047C36">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20.手持触摸操作盒：规格：7寸屏，3孔（按需），数量1台；</w:t>
            </w:r>
          </w:p>
          <w:p w14:paraId="2D456B7F">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21.工位显示板：不小于18.5寸，高清，数量1台；</w:t>
            </w:r>
          </w:p>
          <w:p w14:paraId="048CE7CE">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22.转速传感器：一体化磁敏转速传感器（不低于以下配置：测量范围：3000r/min，工作温度：-30～+130</w:t>
            </w:r>
            <w:r>
              <w:rPr>
                <w:rFonts w:hint="eastAsia" w:ascii="Cambria Math" w:hAnsi="Cambria Math" w:cs="Cambria Math"/>
                <w:b w:val="0"/>
                <w:bCs w:val="0"/>
                <w:color w:val="auto"/>
                <w:highlight w:val="none"/>
              </w:rPr>
              <w:t>℃</w:t>
            </w:r>
            <w:r>
              <w:rPr>
                <w:rFonts w:hint="eastAsia"/>
                <w:b w:val="0"/>
                <w:bCs w:val="0"/>
                <w:color w:val="auto"/>
                <w:highlight w:val="none"/>
              </w:rPr>
              <w:t>，输出信号：4-20mA，工作电压：DC24V），数量1台；</w:t>
            </w:r>
          </w:p>
          <w:p w14:paraId="22E35C9E">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23.一体化振动传感器，水平或者垂直（不低于以下配置：测量范围：0-50mm/s，输出信号：4-20mA，工作电压：DC24V，接线方式：两线制，工作温度：-40～85</w:t>
            </w:r>
            <w:r>
              <w:rPr>
                <w:rFonts w:hint="eastAsia" w:ascii="Cambria Math" w:hAnsi="Cambria Math" w:cs="Cambria Math"/>
                <w:b w:val="0"/>
                <w:bCs w:val="0"/>
                <w:color w:val="auto"/>
                <w:highlight w:val="none"/>
              </w:rPr>
              <w:t>℃</w:t>
            </w:r>
            <w:r>
              <w:rPr>
                <w:rFonts w:hint="eastAsia"/>
                <w:b w:val="0"/>
                <w:bCs w:val="0"/>
                <w:color w:val="auto"/>
                <w:highlight w:val="none"/>
              </w:rPr>
              <w:t>，防护等级：IP67），电缆长度：不小于3m。数量：2台</w:t>
            </w:r>
          </w:p>
          <w:p w14:paraId="7458F7BA">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24.球形摄像机：</w:t>
            </w:r>
            <w:r>
              <w:rPr>
                <w:rFonts w:hint="eastAsia"/>
                <w:b/>
                <w:bCs w:val="0"/>
                <w:color w:val="FF0000"/>
                <w:highlight w:val="none"/>
              </w:rPr>
              <w:t>高清红外球型摄像机，≥200万像素，≥16倍光学变焦，水平360°连续旋转，支持夜视</w:t>
            </w:r>
            <w:r>
              <w:rPr>
                <w:rFonts w:hint="eastAsia"/>
                <w:b w:val="0"/>
                <w:bCs w:val="0"/>
                <w:color w:val="auto"/>
                <w:highlight w:val="none"/>
              </w:rPr>
              <w:t>，黑白夜视100米，水平360°，电源供电DC12V；</w:t>
            </w:r>
          </w:p>
          <w:p w14:paraId="25E4F830">
            <w:pPr>
              <w:keepNext w:val="0"/>
              <w:keepLines w:val="0"/>
              <w:suppressLineNumbers w:val="0"/>
              <w:spacing w:before="0" w:beforeAutospacing="0" w:after="0" w:afterAutospacing="0"/>
              <w:ind w:left="0" w:right="0"/>
              <w:jc w:val="left"/>
              <w:rPr>
                <w:rFonts w:hint="eastAsia" w:eastAsia="宋体"/>
                <w:b w:val="0"/>
                <w:bCs w:val="0"/>
                <w:color w:val="auto"/>
                <w:highlight w:val="none"/>
                <w:lang w:eastAsia="zh-CN"/>
              </w:rPr>
            </w:pPr>
            <w:r>
              <w:rPr>
                <w:rFonts w:hint="eastAsia"/>
                <w:b w:val="0"/>
                <w:bCs w:val="0"/>
                <w:color w:val="0000FF"/>
                <w:highlight w:val="none"/>
              </w:rPr>
              <w:t>25.组态触摸屏，规格：24VDC 7"TFTLED屏</w:t>
            </w:r>
            <w:r>
              <w:rPr>
                <w:rFonts w:hint="eastAsia" w:eastAsia="宋体"/>
                <w:b w:val="0"/>
                <w:bCs w:val="0"/>
                <w:color w:val="0000FF"/>
                <w:highlight w:val="none"/>
                <w:lang w:eastAsia="zh-CN"/>
              </w:rPr>
              <w:t>，</w:t>
            </w:r>
            <w:r>
              <w:rPr>
                <w:rFonts w:hint="eastAsia" w:eastAsia="宋体"/>
                <w:b w:val="0"/>
                <w:bCs w:val="0"/>
                <w:color w:val="FF0000"/>
                <w:highlight w:val="none"/>
                <w:lang w:val="en-US" w:eastAsia="zh-CN"/>
              </w:rPr>
              <w:t>≥</w:t>
            </w:r>
            <w:r>
              <w:rPr>
                <w:rFonts w:hint="eastAsia"/>
                <w:b w:val="0"/>
                <w:bCs w:val="0"/>
                <w:color w:val="FF0000"/>
                <w:highlight w:val="none"/>
              </w:rPr>
              <w:t>7寸</w:t>
            </w:r>
            <w:r>
              <w:rPr>
                <w:rFonts w:hint="eastAsia" w:eastAsia="宋体"/>
                <w:b w:val="0"/>
                <w:bCs w:val="0"/>
                <w:color w:val="0000FF"/>
                <w:highlight w:val="none"/>
                <w:lang w:eastAsia="zh-CN"/>
              </w:rPr>
              <w:t>（</w:t>
            </w:r>
            <w:r>
              <w:rPr>
                <w:rFonts w:hint="eastAsia" w:eastAsia="宋体"/>
                <w:b w:val="0"/>
                <w:bCs w:val="0"/>
                <w:color w:val="0000FF"/>
                <w:highlight w:val="none"/>
                <w:lang w:val="en-US" w:eastAsia="zh-CN"/>
              </w:rPr>
              <w:t>设备配套，嵌入屏</w:t>
            </w:r>
            <w:r>
              <w:rPr>
                <w:rFonts w:hint="eastAsia" w:eastAsia="宋体"/>
                <w:b w:val="0"/>
                <w:bCs w:val="0"/>
                <w:color w:val="0000FF"/>
                <w:highlight w:val="none"/>
                <w:lang w:eastAsia="zh-CN"/>
              </w:rPr>
              <w:t>）</w:t>
            </w:r>
          </w:p>
          <w:p w14:paraId="38B44814">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26.接口：2×485\1×USB\1×100M以太网。数量：1台</w:t>
            </w:r>
          </w:p>
          <w:p w14:paraId="7EFA24BB">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27.空开操作箱：空开盒1、空气开关1、导轨1。数量：1台</w:t>
            </w:r>
          </w:p>
          <w:p w14:paraId="58474677">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28.辅助拆装台：可移动式辅助台，台面尺寸</w:t>
            </w:r>
            <w:r>
              <w:rPr>
                <w:rFonts w:hint="eastAsia"/>
                <w:b w:val="0"/>
                <w:bCs w:val="0"/>
                <w:color w:val="auto"/>
                <w:highlight w:val="none"/>
                <w:shd w:val="clear" w:color="auto" w:fill="FFFFFF"/>
              </w:rPr>
              <w:t>长×宽</w:t>
            </w:r>
            <w:r>
              <w:rPr>
                <w:rFonts w:hint="eastAsia"/>
                <w:b w:val="0"/>
                <w:bCs w:val="0"/>
                <w:color w:val="auto"/>
                <w:highlight w:val="none"/>
              </w:rPr>
              <w:t>=900mm×600mm (±5%)，带T型安装槽；数量：1台</w:t>
            </w:r>
          </w:p>
          <w:p w14:paraId="24067913">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29.小型龙门架：规格</w:t>
            </w:r>
            <w:r>
              <w:rPr>
                <w:rFonts w:hint="eastAsia"/>
                <w:b w:val="0"/>
                <w:bCs w:val="0"/>
                <w:color w:val="auto"/>
                <w:highlight w:val="none"/>
                <w:shd w:val="clear" w:color="auto" w:fill="FFFFFF"/>
              </w:rPr>
              <w:t>长×宽=</w:t>
            </w:r>
            <w:r>
              <w:rPr>
                <w:rFonts w:hint="eastAsia"/>
                <w:b w:val="0"/>
                <w:bCs w:val="0"/>
                <w:color w:val="auto"/>
                <w:highlight w:val="none"/>
              </w:rPr>
              <w:t>2m×2m (±5%)，宽度0.8m (±5%)，手拉葫芦、跑车，最大起重不低于0.5t，数量1台</w:t>
            </w:r>
          </w:p>
          <w:p w14:paraId="2AEF76C5">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30.手动试压泵，</w:t>
            </w:r>
            <w:r>
              <w:rPr>
                <w:rFonts w:hint="eastAsia"/>
                <w:b/>
                <w:bCs w:val="0"/>
                <w:color w:val="FF0000"/>
                <w:highlight w:val="none"/>
              </w:rPr>
              <w:t>手动试压泵，最高工作压力≥1.6MPa</w:t>
            </w:r>
            <w:r>
              <w:rPr>
                <w:rFonts w:hint="eastAsia"/>
                <w:b w:val="0"/>
                <w:bCs w:val="0"/>
                <w:color w:val="auto"/>
                <w:highlight w:val="none"/>
              </w:rPr>
              <w:t>，数量：1台</w:t>
            </w:r>
          </w:p>
          <w:p w14:paraId="1432BC05">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31.试压管路配件，DN40-DN40，304材质，数量：2件</w:t>
            </w:r>
          </w:p>
          <w:p w14:paraId="63E74F8F">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 xml:space="preserve">32.机泵零部件备品备件：多级泵机械密封（2件）、垫片、螺栓等 </w:t>
            </w:r>
          </w:p>
          <w:p w14:paraId="04F80061">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33.轴承加热器：加热板尺寸：</w:t>
            </w:r>
            <w:r>
              <w:rPr>
                <w:rFonts w:hint="eastAsia"/>
                <w:b w:val="0"/>
                <w:bCs w:val="0"/>
                <w:color w:val="auto"/>
                <w:highlight w:val="none"/>
                <w:shd w:val="clear" w:color="auto" w:fill="FFFFFF"/>
              </w:rPr>
              <w:t>长×宽=</w:t>
            </w:r>
            <w:r>
              <w:rPr>
                <w:rFonts w:hint="eastAsia"/>
                <w:b w:val="0"/>
                <w:bCs w:val="0"/>
                <w:color w:val="auto"/>
                <w:highlight w:val="none"/>
              </w:rPr>
              <w:t>330mm×290mm (±5%)，工作电源：10A，外形尺寸：</w:t>
            </w:r>
            <w:r>
              <w:rPr>
                <w:rFonts w:hint="eastAsia"/>
                <w:b w:val="0"/>
                <w:bCs w:val="0"/>
                <w:color w:val="auto"/>
                <w:highlight w:val="none"/>
                <w:shd w:val="clear" w:color="auto" w:fill="FFFFFF"/>
              </w:rPr>
              <w:t>长×宽×高=</w:t>
            </w:r>
            <w:r>
              <w:rPr>
                <w:rFonts w:hint="eastAsia"/>
                <w:b w:val="0"/>
                <w:bCs w:val="0"/>
                <w:color w:val="auto"/>
                <w:highlight w:val="none"/>
              </w:rPr>
              <w:t>535mm×335mm×160mm (±5%)；</w:t>
            </w:r>
          </w:p>
          <w:p w14:paraId="38631ABB">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34.联轴器加热器：油浴锅实验室高温二甲基硅油加热炉，碳钢材质，板厚：不小于1.2mm；</w:t>
            </w:r>
          </w:p>
          <w:p w14:paraId="6124FFA3">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二、软件部分：</w:t>
            </w:r>
          </w:p>
          <w:p w14:paraId="08FF999E">
            <w:pPr>
              <w:keepNext w:val="0"/>
              <w:keepLines w:val="0"/>
              <w:suppressLineNumbers w:val="0"/>
              <w:spacing w:before="0" w:beforeAutospacing="0" w:after="0" w:afterAutospacing="0"/>
              <w:ind w:left="0" w:right="0"/>
              <w:jc w:val="left"/>
              <w:rPr>
                <w:rFonts w:hint="eastAsia"/>
                <w:b w:val="0"/>
                <w:bCs w:val="0"/>
                <w:color w:val="auto"/>
                <w:highlight w:val="none"/>
                <w:lang w:val="en-US" w:eastAsia="zh-CN"/>
              </w:rPr>
            </w:pPr>
            <w:r>
              <w:rPr>
                <w:rFonts w:hint="eastAsia"/>
                <w:b w:val="0"/>
                <w:bCs w:val="0"/>
                <w:color w:val="auto"/>
                <w:highlight w:val="none"/>
                <w:lang w:val="en-US" w:eastAsia="zh-CN"/>
              </w:rPr>
              <w:t>（1）考核评分系统</w:t>
            </w:r>
          </w:p>
          <w:p w14:paraId="2A5281B9">
            <w:pPr>
              <w:keepNext w:val="0"/>
              <w:keepLines w:val="0"/>
              <w:suppressLineNumbers w:val="0"/>
              <w:spacing w:before="0" w:beforeAutospacing="0" w:after="0" w:afterAutospacing="0"/>
              <w:ind w:left="0" w:right="0"/>
              <w:jc w:val="left"/>
              <w:rPr>
                <w:rFonts w:hint="eastAsia"/>
                <w:b w:val="0"/>
                <w:bCs w:val="0"/>
                <w:color w:val="auto"/>
                <w:highlight w:val="none"/>
                <w:lang w:val="en-US" w:eastAsia="zh-CN"/>
              </w:rPr>
            </w:pPr>
            <w:r>
              <w:rPr>
                <w:rFonts w:hint="eastAsia"/>
                <w:b w:val="0"/>
                <w:bCs w:val="0"/>
                <w:color w:val="auto"/>
                <w:highlight w:val="none"/>
                <w:lang w:val="en-US" w:eastAsia="zh-CN"/>
              </w:rPr>
              <w:t>1具备手持终端打分与自动评分两大核心功能，旨在实现高效、准确的赛场管理。</w:t>
            </w:r>
          </w:p>
          <w:p w14:paraId="7F22A61A">
            <w:pPr>
              <w:keepNext w:val="0"/>
              <w:keepLines w:val="0"/>
              <w:suppressLineNumbers w:val="0"/>
              <w:spacing w:before="0" w:beforeAutospacing="0" w:after="0" w:afterAutospacing="0"/>
              <w:ind w:left="0" w:right="0"/>
              <w:jc w:val="left"/>
              <w:rPr>
                <w:rFonts w:hint="eastAsia"/>
                <w:b w:val="0"/>
                <w:bCs w:val="0"/>
                <w:color w:val="auto"/>
                <w:highlight w:val="none"/>
                <w:lang w:val="en-US" w:eastAsia="zh-CN"/>
              </w:rPr>
            </w:pPr>
            <w:r>
              <w:rPr>
                <w:rFonts w:hint="eastAsia"/>
                <w:b w:val="0"/>
                <w:bCs w:val="0"/>
                <w:color w:val="auto"/>
                <w:highlight w:val="none"/>
                <w:lang w:val="en-US" w:eastAsia="zh-CN"/>
              </w:rPr>
              <w:t>2通过后端管理模块，系统可全面掌控整个赛场的考核场次、考核队伍、裁判团队以及考题等关键信息，确保考核过程的规范性和透明度 。</w:t>
            </w:r>
          </w:p>
          <w:p w14:paraId="1D61585F">
            <w:pPr>
              <w:keepNext w:val="0"/>
              <w:keepLines w:val="0"/>
              <w:suppressLineNumbers w:val="0"/>
              <w:spacing w:before="0" w:beforeAutospacing="0" w:after="0" w:afterAutospacing="0"/>
              <w:ind w:left="0" w:right="0"/>
              <w:jc w:val="left"/>
              <w:rPr>
                <w:rFonts w:hint="eastAsia"/>
                <w:b w:val="0"/>
                <w:bCs w:val="0"/>
                <w:color w:val="auto"/>
                <w:highlight w:val="none"/>
                <w:lang w:val="en-US" w:eastAsia="zh-CN"/>
              </w:rPr>
            </w:pPr>
            <w:r>
              <w:rPr>
                <w:rFonts w:hint="eastAsia"/>
                <w:b w:val="0"/>
                <w:bCs w:val="0"/>
                <w:color w:val="auto"/>
                <w:highlight w:val="none"/>
                <w:lang w:val="en-US" w:eastAsia="zh-CN"/>
              </w:rPr>
              <w:t>3在数据处理方面，系统应采用多种先进的数据分析方法，不仅支持设备信息的实时采集，还能实现智能货柜物联网的集成，从而进一步提升考核工作的智能化水平。</w:t>
            </w:r>
          </w:p>
          <w:p w14:paraId="10AF63DD">
            <w:pPr>
              <w:keepNext w:val="0"/>
              <w:keepLines w:val="0"/>
              <w:suppressLineNumbers w:val="0"/>
              <w:spacing w:before="0" w:beforeAutospacing="0" w:after="0" w:afterAutospacing="0"/>
              <w:ind w:left="0" w:right="0"/>
              <w:jc w:val="left"/>
              <w:rPr>
                <w:rFonts w:hint="eastAsia"/>
                <w:b w:val="0"/>
                <w:bCs w:val="0"/>
                <w:color w:val="auto"/>
                <w:highlight w:val="none"/>
                <w:lang w:val="en-US" w:eastAsia="zh-CN"/>
              </w:rPr>
            </w:pPr>
            <w:r>
              <w:rPr>
                <w:rFonts w:hint="eastAsia"/>
                <w:b w:val="0"/>
                <w:bCs w:val="0"/>
                <w:color w:val="auto"/>
                <w:highlight w:val="none"/>
                <w:lang w:val="en-US" w:eastAsia="zh-CN"/>
              </w:rPr>
              <w:t>4系统还应具备对裁判评分进行深入分析的能力，通过科学的数据分析，为优化评分机制提供有力支持。</w:t>
            </w:r>
          </w:p>
          <w:p w14:paraId="18BD1B52">
            <w:pPr>
              <w:keepNext w:val="0"/>
              <w:keepLines w:val="0"/>
              <w:suppressLineNumbers w:val="0"/>
              <w:spacing w:before="0" w:beforeAutospacing="0" w:after="0" w:afterAutospacing="0"/>
              <w:ind w:left="0" w:right="0"/>
              <w:jc w:val="left"/>
              <w:rPr>
                <w:rFonts w:hint="eastAsia"/>
                <w:b w:val="0"/>
                <w:bCs w:val="0"/>
                <w:color w:val="auto"/>
                <w:highlight w:val="none"/>
                <w:lang w:val="en-US" w:eastAsia="zh-CN"/>
              </w:rPr>
            </w:pPr>
            <w:r>
              <w:rPr>
                <w:rFonts w:hint="eastAsia"/>
                <w:b w:val="0"/>
                <w:bCs w:val="0"/>
                <w:color w:val="auto"/>
                <w:highlight w:val="none"/>
                <w:lang w:val="en-US" w:eastAsia="zh-CN"/>
              </w:rPr>
              <w:t>▲提供评分后台管理系统功能、裁判评分系统功能、评分题库功能、成绩查询功能、设备管理功能模块视频。</w:t>
            </w:r>
          </w:p>
          <w:p w14:paraId="51609E8A">
            <w:pPr>
              <w:keepNext w:val="0"/>
              <w:keepLines w:val="0"/>
              <w:suppressLineNumbers w:val="0"/>
              <w:spacing w:before="0" w:beforeAutospacing="0" w:after="0" w:afterAutospacing="0"/>
              <w:ind w:left="0" w:right="0"/>
              <w:jc w:val="left"/>
              <w:rPr>
                <w:rFonts w:hint="eastAsia"/>
                <w:b w:val="0"/>
                <w:bCs w:val="0"/>
                <w:color w:val="auto"/>
                <w:highlight w:val="none"/>
                <w:lang w:val="en-US" w:eastAsia="zh-CN"/>
              </w:rPr>
            </w:pPr>
            <w:r>
              <w:rPr>
                <w:rFonts w:hint="eastAsia"/>
                <w:b w:val="0"/>
                <w:bCs w:val="0"/>
                <w:color w:val="auto"/>
                <w:highlight w:val="none"/>
                <w:lang w:val="en-US" w:eastAsia="zh-CN"/>
              </w:rPr>
              <w:t>（2）3D拆装软件：该软件包含教师端和学生端两大模块。教师端具备导入学生名单及查看学生信息的功能，以满足教师对学生信息的有效管理。而学生端则提供结构认知和虚拟拆装两大核心功能，旨在丰富学生的学习体验和提升学习效果。虚拟拆装模块包含拆卸与组装两大核心环节，旨在使学员亲身体验设备拆装的全过程。在拆装实践中，软件会提供工具的选择，学生需要选择正确的工具进行拆装，在拆装过程中会适时播放实物拆装视频，以直观形象的方式展示拆装的精细环节与注意事项，从而辅助学生熟练掌握正确的拆装技能。此外，该模块还具备设备自动拆卸、设备自动组装以及单步骤跳转等辅助功能。学员在手动拆装前，可通过自动拆装和单步骤跳转功能，深入了解并学习具体的拆装步骤，为实际操作奠定坚实基础。</w:t>
            </w:r>
          </w:p>
          <w:p w14:paraId="25CF00EA">
            <w:pPr>
              <w:keepNext w:val="0"/>
              <w:keepLines w:val="0"/>
              <w:suppressLineNumbers w:val="0"/>
              <w:spacing w:before="0" w:beforeAutospacing="0" w:after="0" w:afterAutospacing="0"/>
              <w:ind w:left="0" w:right="0"/>
              <w:jc w:val="left"/>
              <w:rPr>
                <w:rFonts w:hint="eastAsia"/>
                <w:b w:val="0"/>
                <w:bCs w:val="0"/>
                <w:color w:val="auto"/>
                <w:highlight w:val="none"/>
                <w:lang w:val="en-US" w:eastAsia="zh-CN"/>
              </w:rPr>
            </w:pPr>
            <w:r>
              <w:rPr>
                <w:rFonts w:hint="eastAsia"/>
                <w:b w:val="0"/>
                <w:bCs w:val="0"/>
                <w:color w:val="auto"/>
                <w:highlight w:val="none"/>
                <w:lang w:val="en-US" w:eastAsia="zh-CN"/>
              </w:rPr>
              <w:t>软件应具备但不限于如下功能：</w:t>
            </w:r>
          </w:p>
          <w:p w14:paraId="3085C1F8">
            <w:pPr>
              <w:keepNext w:val="0"/>
              <w:keepLines w:val="0"/>
              <w:suppressLineNumbers w:val="0"/>
              <w:spacing w:before="0" w:beforeAutospacing="0" w:after="0" w:afterAutospacing="0"/>
              <w:ind w:left="0" w:right="0"/>
              <w:jc w:val="left"/>
              <w:rPr>
                <w:rFonts w:hint="eastAsia"/>
                <w:b w:val="0"/>
                <w:bCs w:val="0"/>
                <w:color w:val="auto"/>
                <w:highlight w:val="none"/>
                <w:lang w:val="en-US" w:eastAsia="zh-CN"/>
              </w:rPr>
            </w:pPr>
            <w:r>
              <w:rPr>
                <w:rFonts w:hint="eastAsia"/>
                <w:b w:val="0"/>
                <w:bCs w:val="0"/>
                <w:color w:val="auto"/>
                <w:highlight w:val="none"/>
                <w:lang w:val="en-US" w:eastAsia="zh-CN"/>
              </w:rPr>
              <w:t>1结构认知包含装置认知、机泵介绍、爆炸演示三部分内容。</w:t>
            </w:r>
          </w:p>
          <w:p w14:paraId="6502BCCE">
            <w:pPr>
              <w:keepNext w:val="0"/>
              <w:keepLines w:val="0"/>
              <w:suppressLineNumbers w:val="0"/>
              <w:spacing w:before="0" w:beforeAutospacing="0" w:after="0" w:afterAutospacing="0"/>
              <w:ind w:left="0" w:right="0"/>
              <w:jc w:val="left"/>
              <w:rPr>
                <w:rFonts w:hint="eastAsia"/>
                <w:b w:val="0"/>
                <w:bCs w:val="0"/>
                <w:color w:val="auto"/>
                <w:highlight w:val="none"/>
                <w:lang w:val="en-US" w:eastAsia="zh-CN"/>
              </w:rPr>
            </w:pPr>
            <w:r>
              <w:rPr>
                <w:rFonts w:hint="eastAsia"/>
                <w:b w:val="0"/>
                <w:bCs w:val="0"/>
                <w:color w:val="auto"/>
                <w:highlight w:val="none"/>
                <w:lang w:val="en-US" w:eastAsia="zh-CN"/>
              </w:rPr>
              <w:t>2装备穿戴：支持学生对头部、面部、手部、躯干、足部防护用品的认知与穿戴练习。</w:t>
            </w:r>
          </w:p>
          <w:p w14:paraId="317F7872">
            <w:pPr>
              <w:keepNext w:val="0"/>
              <w:keepLines w:val="0"/>
              <w:suppressLineNumbers w:val="0"/>
              <w:spacing w:before="0" w:beforeAutospacing="0" w:after="0" w:afterAutospacing="0"/>
              <w:ind w:left="0" w:right="0"/>
              <w:jc w:val="left"/>
              <w:rPr>
                <w:rFonts w:hint="eastAsia"/>
                <w:b w:val="0"/>
                <w:bCs w:val="0"/>
                <w:color w:val="auto"/>
                <w:highlight w:val="none"/>
                <w:lang w:val="en-US" w:eastAsia="zh-CN"/>
              </w:rPr>
            </w:pPr>
            <w:r>
              <w:rPr>
                <w:rFonts w:hint="eastAsia"/>
                <w:b w:val="0"/>
                <w:bCs w:val="0"/>
                <w:color w:val="auto"/>
                <w:highlight w:val="none"/>
                <w:lang w:val="en-US" w:eastAsia="zh-CN"/>
              </w:rPr>
              <w:t>3虚拟拆装：支持学生对离心泵进行虚拟拆卸和虚拟组装模拟操作，在虚拟拆装过程中包含对工具的选择，且交互步骤不得少于10个。</w:t>
            </w:r>
          </w:p>
          <w:p w14:paraId="24E3EF75">
            <w:pPr>
              <w:keepNext w:val="0"/>
              <w:keepLines w:val="0"/>
              <w:suppressLineNumbers w:val="0"/>
              <w:spacing w:before="0" w:beforeAutospacing="0" w:after="0" w:afterAutospacing="0"/>
              <w:ind w:left="0" w:right="0"/>
              <w:jc w:val="left"/>
              <w:rPr>
                <w:rFonts w:hint="eastAsia"/>
                <w:b w:val="0"/>
                <w:bCs w:val="0"/>
                <w:color w:val="auto"/>
                <w:highlight w:val="none"/>
                <w:lang w:val="en-US" w:eastAsia="zh-CN"/>
              </w:rPr>
            </w:pPr>
            <w:r>
              <w:rPr>
                <w:rFonts w:hint="eastAsia"/>
                <w:b w:val="0"/>
                <w:bCs w:val="0"/>
                <w:color w:val="auto"/>
                <w:highlight w:val="none"/>
                <w:lang w:val="en-US" w:eastAsia="zh-CN"/>
              </w:rPr>
              <w:t>4在训练模式下，系统提供自动拆卸和自动组装功能，并允许单步骤、多步骤跳转等辅助功能。</w:t>
            </w:r>
          </w:p>
          <w:p w14:paraId="6F2071B1">
            <w:pPr>
              <w:keepNext w:val="0"/>
              <w:keepLines w:val="0"/>
              <w:suppressLineNumbers w:val="0"/>
              <w:spacing w:before="0" w:beforeAutospacing="0" w:after="0" w:afterAutospacing="0"/>
              <w:ind w:left="0" w:right="0"/>
              <w:jc w:val="left"/>
              <w:rPr>
                <w:rFonts w:hint="eastAsia"/>
                <w:b w:val="0"/>
                <w:bCs w:val="0"/>
                <w:color w:val="auto"/>
                <w:highlight w:val="none"/>
                <w:lang w:val="en-US" w:eastAsia="zh-CN"/>
              </w:rPr>
            </w:pPr>
            <w:r>
              <w:rPr>
                <w:rFonts w:hint="eastAsia"/>
                <w:color w:val="auto"/>
                <w:highlight w:val="none"/>
                <w:lang w:val="en-US" w:eastAsia="zh-CN"/>
              </w:rPr>
              <w:t>▲</w:t>
            </w:r>
            <w:r>
              <w:rPr>
                <w:rFonts w:hint="eastAsia"/>
                <w:b w:val="0"/>
                <w:bCs w:val="0"/>
                <w:color w:val="auto"/>
                <w:highlight w:val="none"/>
                <w:lang w:val="en-US" w:eastAsia="zh-CN"/>
              </w:rPr>
              <w:t>投标时需要提供3D拆装软件的功能视频。</w:t>
            </w:r>
          </w:p>
          <w:p w14:paraId="502D7CA0">
            <w:pPr>
              <w:keepNext w:val="0"/>
              <w:keepLines w:val="0"/>
              <w:suppressLineNumbers w:val="0"/>
              <w:spacing w:before="0" w:beforeAutospacing="0" w:after="0" w:afterAutospacing="0"/>
              <w:ind w:left="0" w:right="0"/>
              <w:jc w:val="left"/>
              <w:rPr>
                <w:rFonts w:hint="eastAsia"/>
                <w:b w:val="0"/>
                <w:bCs w:val="0"/>
                <w:color w:val="auto"/>
                <w:highlight w:val="none"/>
                <w:lang w:val="en-US" w:eastAsia="zh-CN"/>
              </w:rPr>
            </w:pPr>
            <w:r>
              <w:rPr>
                <w:rFonts w:hint="eastAsia"/>
                <w:color w:val="auto"/>
                <w:highlight w:val="none"/>
                <w:lang w:val="en-US" w:eastAsia="zh-CN"/>
              </w:rPr>
              <w:t>▲</w:t>
            </w:r>
            <w:r>
              <w:rPr>
                <w:rFonts w:hint="eastAsia"/>
                <w:b w:val="0"/>
                <w:bCs w:val="0"/>
                <w:color w:val="auto"/>
                <w:highlight w:val="none"/>
                <w:lang w:val="en-US" w:eastAsia="zh-CN"/>
              </w:rPr>
              <w:t>（3）智能 AI 行为分析系统：支持火焰检测、烟雾检测、抽烟检测、打电话检测、佩戴口罩检测、人员离岗、睡岗检测、人员摔倒检测、人员静电消除、区域人数统计、区域入侵检测、工服检测、工帽检测、安全帽、反光衣检测、电瓶车检测、规范停车(车辆违停)、出入口客流统计、周界翻越入侵、异常位移、安全挂网、消防通道占用，逃生通道堵塞等算法；（投标时提供算法选择功能视频演示）</w:t>
            </w:r>
          </w:p>
        </w:tc>
        <w:tc>
          <w:tcPr>
            <w:tcW w:w="365" w:type="pct"/>
            <w:tcBorders>
              <w:top w:val="nil"/>
              <w:left w:val="nil"/>
              <w:bottom w:val="nil"/>
              <w:right w:val="single" w:color="auto" w:sz="4" w:space="0"/>
            </w:tcBorders>
            <w:noWrap w:val="0"/>
            <w:vAlign w:val="center"/>
          </w:tcPr>
          <w:p w14:paraId="6C70B921">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套</w:t>
            </w:r>
          </w:p>
        </w:tc>
        <w:tc>
          <w:tcPr>
            <w:tcW w:w="390" w:type="pct"/>
            <w:tcBorders>
              <w:top w:val="nil"/>
              <w:left w:val="nil"/>
              <w:bottom w:val="nil"/>
              <w:right w:val="single" w:color="auto" w:sz="4" w:space="0"/>
            </w:tcBorders>
            <w:noWrap w:val="0"/>
            <w:vAlign w:val="center"/>
          </w:tcPr>
          <w:p w14:paraId="66394A36">
            <w:pPr>
              <w:keepNext w:val="0"/>
              <w:keepLines w:val="0"/>
              <w:suppressLineNumbers w:val="0"/>
              <w:spacing w:before="0" w:beforeAutospacing="0" w:after="0" w:afterAutospacing="0"/>
              <w:ind w:left="0" w:right="0"/>
              <w:jc w:val="left"/>
              <w:rPr>
                <w:rFonts w:hint="eastAsia"/>
                <w:b w:val="0"/>
                <w:bCs w:val="0"/>
                <w:color w:val="auto"/>
                <w:highlight w:val="none"/>
              </w:rPr>
            </w:pPr>
            <w:r>
              <w:rPr>
                <w:rFonts w:hint="eastAsia"/>
                <w:b w:val="0"/>
                <w:bCs w:val="0"/>
                <w:color w:val="auto"/>
                <w:highlight w:val="none"/>
              </w:rPr>
              <w:t>2</w:t>
            </w:r>
          </w:p>
        </w:tc>
      </w:tr>
      <w:tr w14:paraId="7D34CE71">
        <w:tblPrEx>
          <w:tblCellMar>
            <w:top w:w="0" w:type="dxa"/>
            <w:left w:w="108" w:type="dxa"/>
            <w:bottom w:w="0" w:type="dxa"/>
            <w:right w:w="108" w:type="dxa"/>
          </w:tblCellMar>
        </w:tblPrEx>
        <w:trPr>
          <w:trHeight w:val="20" w:hRule="atLeast"/>
        </w:trPr>
        <w:tc>
          <w:tcPr>
            <w:tcW w:w="231" w:type="pct"/>
            <w:tcBorders>
              <w:top w:val="nil"/>
              <w:left w:val="single" w:color="auto" w:sz="4" w:space="0"/>
              <w:bottom w:val="single" w:color="auto" w:sz="4" w:space="0"/>
              <w:right w:val="single" w:color="auto" w:sz="4" w:space="0"/>
            </w:tcBorders>
            <w:noWrap w:val="0"/>
            <w:vAlign w:val="center"/>
          </w:tcPr>
          <w:p w14:paraId="34282815">
            <w:pPr>
              <w:keepNext w:val="0"/>
              <w:keepLines w:val="0"/>
              <w:suppressLineNumbers w:val="0"/>
              <w:spacing w:before="0" w:beforeAutospacing="0" w:after="0" w:afterAutospacing="0"/>
              <w:ind w:left="0" w:right="0"/>
              <w:jc w:val="left"/>
              <w:rPr>
                <w:rFonts w:hint="eastAsia"/>
                <w:b w:val="0"/>
                <w:bCs w:val="0"/>
                <w:color w:val="auto"/>
                <w:highlight w:val="none"/>
              </w:rPr>
            </w:pPr>
          </w:p>
        </w:tc>
        <w:tc>
          <w:tcPr>
            <w:tcW w:w="525" w:type="pct"/>
            <w:tcBorders>
              <w:top w:val="nil"/>
              <w:left w:val="nil"/>
              <w:bottom w:val="single" w:color="auto" w:sz="4" w:space="0"/>
              <w:right w:val="single" w:color="auto" w:sz="4" w:space="0"/>
            </w:tcBorders>
            <w:noWrap w:val="0"/>
            <w:vAlign w:val="center"/>
          </w:tcPr>
          <w:p w14:paraId="076D145C">
            <w:pPr>
              <w:keepNext w:val="0"/>
              <w:keepLines w:val="0"/>
              <w:suppressLineNumbers w:val="0"/>
              <w:spacing w:before="0" w:beforeAutospacing="0" w:after="0" w:afterAutospacing="0"/>
              <w:ind w:left="0" w:right="0"/>
              <w:jc w:val="left"/>
              <w:rPr>
                <w:rFonts w:hint="eastAsia"/>
                <w:b w:val="0"/>
                <w:bCs w:val="0"/>
                <w:color w:val="auto"/>
                <w:highlight w:val="none"/>
              </w:rPr>
            </w:pPr>
          </w:p>
        </w:tc>
        <w:tc>
          <w:tcPr>
            <w:tcW w:w="3486" w:type="pct"/>
            <w:tcBorders>
              <w:top w:val="nil"/>
              <w:left w:val="nil"/>
              <w:bottom w:val="single" w:color="auto" w:sz="4" w:space="0"/>
              <w:right w:val="single" w:color="auto" w:sz="4" w:space="0"/>
            </w:tcBorders>
            <w:noWrap w:val="0"/>
            <w:vAlign w:val="center"/>
          </w:tcPr>
          <w:p w14:paraId="472FC21C">
            <w:pPr>
              <w:keepNext w:val="0"/>
              <w:keepLines w:val="0"/>
              <w:suppressLineNumbers w:val="0"/>
              <w:spacing w:before="0" w:beforeAutospacing="0" w:after="0" w:afterAutospacing="0"/>
              <w:ind w:left="0" w:right="0"/>
              <w:jc w:val="left"/>
              <w:rPr>
                <w:rFonts w:hint="eastAsia"/>
                <w:color w:val="auto"/>
                <w:highlight w:val="none"/>
                <w:lang w:val="en-US" w:eastAsia="zh-CN"/>
              </w:rPr>
            </w:pPr>
          </w:p>
        </w:tc>
        <w:tc>
          <w:tcPr>
            <w:tcW w:w="365" w:type="pct"/>
            <w:tcBorders>
              <w:top w:val="nil"/>
              <w:left w:val="nil"/>
              <w:bottom w:val="nil"/>
              <w:right w:val="single" w:color="auto" w:sz="4" w:space="0"/>
            </w:tcBorders>
            <w:noWrap w:val="0"/>
            <w:vAlign w:val="center"/>
          </w:tcPr>
          <w:p w14:paraId="5BAF019E">
            <w:pPr>
              <w:keepNext w:val="0"/>
              <w:keepLines w:val="0"/>
              <w:suppressLineNumbers w:val="0"/>
              <w:spacing w:before="0" w:beforeAutospacing="0" w:after="0" w:afterAutospacing="0"/>
              <w:ind w:left="0" w:right="0"/>
              <w:jc w:val="left"/>
              <w:rPr>
                <w:rFonts w:hint="eastAsia"/>
                <w:b w:val="0"/>
                <w:bCs w:val="0"/>
                <w:color w:val="auto"/>
                <w:highlight w:val="none"/>
              </w:rPr>
            </w:pPr>
          </w:p>
        </w:tc>
        <w:tc>
          <w:tcPr>
            <w:tcW w:w="390" w:type="pct"/>
            <w:tcBorders>
              <w:top w:val="nil"/>
              <w:left w:val="nil"/>
              <w:bottom w:val="nil"/>
              <w:right w:val="single" w:color="auto" w:sz="4" w:space="0"/>
            </w:tcBorders>
            <w:noWrap w:val="0"/>
            <w:vAlign w:val="center"/>
          </w:tcPr>
          <w:p w14:paraId="741BC547">
            <w:pPr>
              <w:keepNext w:val="0"/>
              <w:keepLines w:val="0"/>
              <w:suppressLineNumbers w:val="0"/>
              <w:spacing w:before="0" w:beforeAutospacing="0" w:after="0" w:afterAutospacing="0"/>
              <w:ind w:left="0" w:right="0"/>
              <w:jc w:val="left"/>
              <w:rPr>
                <w:rFonts w:hint="eastAsia"/>
                <w:b w:val="0"/>
                <w:bCs w:val="0"/>
                <w:color w:val="auto"/>
                <w:highlight w:val="none"/>
              </w:rPr>
            </w:pPr>
          </w:p>
        </w:tc>
      </w:tr>
    </w:tbl>
    <w:p w14:paraId="71E0724E">
      <w:pPr>
        <w:pStyle w:val="225"/>
        <w:keepNext w:val="0"/>
        <w:keepLines w:val="0"/>
        <w:pageBreakBefore w:val="0"/>
        <w:widowControl w:val="0"/>
        <w:numPr>
          <w:ilvl w:val="0"/>
          <w:numId w:val="0"/>
        </w:numPr>
        <w:spacing w:beforeAutospacing="0" w:afterAutospacing="0" w:line="480" w:lineRule="exact"/>
        <w:jc w:val="both"/>
        <w:rPr>
          <w:rFonts w:hint="eastAsia" w:ascii="宋体" w:hAnsi="宋体" w:eastAsia="宋体" w:cs="宋体"/>
          <w:b/>
          <w:bCs/>
          <w:color w:val="auto"/>
          <w:sz w:val="24"/>
          <w:szCs w:val="24"/>
          <w:highlight w:val="none"/>
        </w:rPr>
      </w:pPr>
    </w:p>
    <w:p w14:paraId="38F9799F">
      <w:pPr>
        <w:pStyle w:val="196"/>
        <w:keepNext w:val="0"/>
        <w:keepLines w:val="0"/>
        <w:pageBreakBefore w:val="0"/>
        <w:widowControl w:val="0"/>
        <w:spacing w:line="480" w:lineRule="exact"/>
        <w:ind w:left="0" w:firstLine="482"/>
        <w:jc w:val="left"/>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sz w:val="24"/>
          <w:szCs w:val="24"/>
          <w:lang w:val="en-US" w:eastAsia="zh-CN"/>
        </w:rPr>
        <w:t>三</w:t>
      </w:r>
      <w:r>
        <w:rPr>
          <w:rFonts w:hint="eastAsia" w:ascii="宋体" w:hAnsi="宋体" w:eastAsia="宋体" w:cs="宋体"/>
          <w:b/>
          <w:bCs/>
          <w:i w:val="0"/>
          <w:iCs w:val="0"/>
          <w:caps w:val="0"/>
          <w:color w:val="auto"/>
          <w:spacing w:val="0"/>
          <w:sz w:val="24"/>
          <w:szCs w:val="24"/>
        </w:rPr>
        <w:t>、技术参数响应与偏离</w:t>
      </w:r>
    </w:p>
    <w:p w14:paraId="4CB436E5">
      <w:pPr>
        <w:keepNext w:val="0"/>
        <w:keepLines w:val="0"/>
        <w:pageBreakBefore w:val="0"/>
        <w:widowControl w:val="0"/>
        <w:spacing w:line="440" w:lineRule="exact"/>
        <w:ind w:left="0" w:firstLine="480"/>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供应商须针对本项目“技术参数要求”中未标注“★”和“▲”所有条款，逐条编制《技术参数响应及偏离表》，</w:t>
      </w:r>
      <w:r>
        <w:rPr>
          <w:rFonts w:hint="eastAsia" w:ascii="宋体" w:hAnsi="宋体" w:eastAsia="宋体" w:cs="宋体"/>
          <w:b/>
          <w:bCs/>
          <w:i/>
          <w:iCs/>
          <w:color w:val="auto"/>
          <w:sz w:val="24"/>
          <w:szCs w:val="24"/>
          <w:highlight w:val="none"/>
          <w:u w:val="single"/>
        </w:rPr>
        <w:t>负偏离项总数不得超过</w:t>
      </w:r>
      <w:r>
        <w:rPr>
          <w:rFonts w:hint="eastAsia" w:ascii="宋体" w:hAnsi="宋体" w:eastAsia="宋体" w:cs="宋体"/>
          <w:b/>
          <w:bCs/>
          <w:i/>
          <w:iCs/>
          <w:color w:val="auto"/>
          <w:sz w:val="24"/>
          <w:szCs w:val="24"/>
          <w:highlight w:val="none"/>
          <w:u w:val="single"/>
          <w:lang w:val="en-US" w:eastAsia="zh-CN"/>
        </w:rPr>
        <w:t>10条</w:t>
      </w:r>
      <w:r>
        <w:rPr>
          <w:rFonts w:hint="eastAsia" w:ascii="宋体" w:hAnsi="宋体" w:eastAsia="宋体" w:cs="宋体"/>
          <w:b w:val="0"/>
          <w:bCs w:val="0"/>
          <w:i/>
          <w:iCs/>
          <w:color w:val="auto"/>
          <w:sz w:val="24"/>
          <w:szCs w:val="24"/>
          <w:highlight w:val="none"/>
          <w:u w:val="single"/>
        </w:rPr>
        <w:t>（以技术参数表中最末级序号为独立计数单位，每项计一条），若超出此限，将被视为未实质性响应采购要求</w:t>
      </w:r>
      <w:r>
        <w:rPr>
          <w:rFonts w:hint="eastAsia" w:ascii="宋体" w:hAnsi="宋体" w:eastAsia="宋体" w:cs="宋体"/>
          <w:b/>
          <w:bCs/>
          <w:i/>
          <w:iCs/>
          <w:color w:val="auto"/>
          <w:sz w:val="24"/>
          <w:szCs w:val="24"/>
          <w:highlight w:val="none"/>
          <w:u w:val="single"/>
        </w:rPr>
        <w:t>，作无效响应处理。</w:t>
      </w:r>
    </w:p>
    <w:p w14:paraId="4BD9D5F7">
      <w:pPr>
        <w:keepNext w:val="0"/>
        <w:keepLines w:val="0"/>
        <w:pageBreakBefore w:val="0"/>
        <w:widowControl w:val="0"/>
        <w:spacing w:line="440" w:lineRule="exact"/>
        <w:ind w:left="0" w:firstLine="48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eastAsia="zh-CN"/>
        </w:rPr>
        <w:t>正偏离</w:t>
      </w:r>
      <w:r>
        <w:rPr>
          <w:rFonts w:hint="eastAsia" w:ascii="宋体" w:hAnsi="宋体" w:eastAsia="宋体" w:cs="宋体"/>
          <w:b w:val="0"/>
          <w:bCs w:val="0"/>
          <w:color w:val="auto"/>
          <w:sz w:val="24"/>
          <w:szCs w:val="24"/>
        </w:rPr>
        <w:t>”指优于招标文件要求；“负偏离”指低于招标文件要求；“符合”指满足招标文件要求。投标人应在《技术参数响应及偏离表》（格式详见第六章投标文件格式）中，对招标文件采购清单内的所有技术参数逐条明确其响应状态，即明确填写“</w:t>
      </w:r>
      <w:r>
        <w:rPr>
          <w:rFonts w:hint="eastAsia" w:ascii="宋体" w:hAnsi="宋体" w:eastAsia="宋体" w:cs="宋体"/>
          <w:b w:val="0"/>
          <w:bCs w:val="0"/>
          <w:color w:val="auto"/>
          <w:sz w:val="24"/>
          <w:szCs w:val="24"/>
          <w:lang w:eastAsia="zh-CN"/>
        </w:rPr>
        <w:t>正偏离</w:t>
      </w:r>
      <w:r>
        <w:rPr>
          <w:rFonts w:hint="eastAsia" w:ascii="宋体" w:hAnsi="宋体" w:eastAsia="宋体" w:cs="宋体"/>
          <w:b w:val="0"/>
          <w:bCs w:val="0"/>
          <w:color w:val="auto"/>
          <w:sz w:val="24"/>
          <w:szCs w:val="24"/>
        </w:rPr>
        <w:t>”、“负偏离”或“符合”，不得遗漏。凡未在《技术参数响应及偏离表》中声明偏离情况的技术条款，均视为“符合”。中标人须在合同履行阶段严格遵守招标文件中对应条款的约定。</w:t>
      </w:r>
    </w:p>
    <w:p w14:paraId="72DD5935">
      <w:pPr>
        <w:keepNext w:val="0"/>
        <w:keepLines w:val="0"/>
        <w:pageBreakBefore w:val="0"/>
        <w:widowControl w:val="0"/>
        <w:spacing w:line="440" w:lineRule="exact"/>
        <w:ind w:left="0" w:firstLine="48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对于非评分项的技术参数，投标人可选择在投标时提供证明材料，亦可于中标通知书发出后、正式签订合同前补充提供（补充材料须在合同签订前</w:t>
      </w:r>
      <w:r>
        <w:rPr>
          <w:rFonts w:hint="eastAsia" w:ascii="宋体" w:hAnsi="宋体" w:eastAsia="宋体" w:cs="宋体"/>
          <w:b w:val="0"/>
          <w:bCs w:val="0"/>
          <w:color w:val="auto"/>
          <w:sz w:val="24"/>
          <w:szCs w:val="24"/>
          <w:lang w:val="en-US" w:eastAsia="zh-CN"/>
        </w:rPr>
        <w:t>7</w:t>
      </w:r>
      <w:r>
        <w:rPr>
          <w:rFonts w:hint="eastAsia" w:ascii="宋体" w:hAnsi="宋体" w:eastAsia="宋体" w:cs="宋体"/>
          <w:b w:val="0"/>
          <w:bCs w:val="0"/>
          <w:color w:val="auto"/>
          <w:sz w:val="24"/>
          <w:szCs w:val="24"/>
        </w:rPr>
        <w:t>个工作日内提交）。所提供的材料将作为合同履约验收的依据之一。</w:t>
      </w:r>
    </w:p>
    <w:p w14:paraId="47A60F10">
      <w:pPr>
        <w:pStyle w:val="196"/>
        <w:keepNext w:val="0"/>
        <w:keepLines w:val="0"/>
        <w:pageBreakBefore w:val="0"/>
        <w:widowControl w:val="0"/>
        <w:spacing w:line="480" w:lineRule="exact"/>
        <w:ind w:left="0" w:firstLine="482"/>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sz w:val="24"/>
          <w:szCs w:val="24"/>
          <w:lang w:val="en-US" w:eastAsia="zh-CN"/>
        </w:rPr>
        <w:t>四</w:t>
      </w:r>
      <w:r>
        <w:rPr>
          <w:rFonts w:hint="eastAsia" w:ascii="宋体" w:hAnsi="宋体" w:eastAsia="宋体" w:cs="宋体"/>
          <w:b/>
          <w:bCs/>
          <w:i w:val="0"/>
          <w:iCs w:val="0"/>
          <w:caps w:val="0"/>
          <w:color w:val="auto"/>
          <w:spacing w:val="0"/>
          <w:sz w:val="24"/>
          <w:szCs w:val="24"/>
        </w:rPr>
        <w:t>、商务要求响应及偏离</w:t>
      </w:r>
    </w:p>
    <w:p w14:paraId="27F58F77">
      <w:pPr>
        <w:pStyle w:val="196"/>
        <w:keepNext w:val="0"/>
        <w:keepLines w:val="0"/>
        <w:pageBreakBefore w:val="0"/>
        <w:widowControl w:val="0"/>
        <w:numPr>
          <w:ilvl w:val="0"/>
          <w:numId w:val="0"/>
        </w:numPr>
        <w:spacing w:line="440" w:lineRule="exact"/>
        <w:ind w:left="0" w:firstLine="480"/>
        <w:rPr>
          <w:rFonts w:hint="eastAsia" w:ascii="宋体" w:hAnsi="宋体" w:eastAsia="宋体" w:cs="宋体"/>
          <w:b w:val="0"/>
          <w:bCs w:val="0"/>
          <w:i/>
          <w:iCs/>
          <w:caps w:val="0"/>
          <w:color w:val="auto"/>
          <w:spacing w:val="0"/>
          <w:sz w:val="24"/>
          <w:szCs w:val="24"/>
          <w:highlight w:val="none"/>
          <w:u w:val="single"/>
        </w:rPr>
      </w:pPr>
      <w:r>
        <w:rPr>
          <w:rFonts w:hint="default" w:ascii="宋体" w:hAnsi="宋体" w:eastAsia="宋体" w:cs="宋体"/>
          <w:b w:val="0"/>
          <w:bCs w:val="0"/>
          <w:i/>
          <w:iCs/>
          <w:caps w:val="0"/>
          <w:color w:val="auto"/>
          <w:spacing w:val="0"/>
          <w:sz w:val="24"/>
          <w:szCs w:val="24"/>
          <w:lang w:val="en-US" w:eastAsia="zh-CN" w:bidi="ar-SA"/>
        </w:rPr>
        <w:t>1．</w:t>
      </w:r>
      <w:r>
        <w:rPr>
          <w:rFonts w:hint="eastAsia" w:ascii="宋体" w:hAnsi="宋体" w:eastAsia="宋体" w:cs="宋体"/>
          <w:b w:val="0"/>
          <w:bCs w:val="0"/>
          <w:i/>
          <w:iCs/>
          <w:caps w:val="0"/>
          <w:color w:val="auto"/>
          <w:spacing w:val="0"/>
          <w:sz w:val="24"/>
          <w:szCs w:val="24"/>
          <w:highlight w:val="none"/>
          <w:u w:val="single"/>
        </w:rPr>
        <w:t>交付时间：合同生效后60个日历天（此期限不包括采购人验收时间），供应商应在此期限内完成全部货物的交付、安装与调试。</w:t>
      </w:r>
    </w:p>
    <w:p w14:paraId="2A4819ED">
      <w:pPr>
        <w:pStyle w:val="196"/>
        <w:keepNext w:val="0"/>
        <w:keepLines w:val="0"/>
        <w:pageBreakBefore w:val="0"/>
        <w:widowControl w:val="0"/>
        <w:numPr>
          <w:ilvl w:val="0"/>
          <w:numId w:val="0"/>
        </w:numPr>
        <w:spacing w:line="440" w:lineRule="exact"/>
        <w:ind w:left="0" w:firstLine="480"/>
        <w:rPr>
          <w:rFonts w:hint="eastAsia" w:ascii="宋体" w:hAnsi="宋体" w:eastAsia="宋体" w:cs="宋体"/>
          <w:b w:val="0"/>
          <w:bCs w:val="0"/>
          <w:i/>
          <w:iCs/>
          <w:caps w:val="0"/>
          <w:color w:val="auto"/>
          <w:spacing w:val="0"/>
          <w:sz w:val="24"/>
          <w:szCs w:val="24"/>
          <w:highlight w:val="none"/>
          <w:u w:val="single"/>
        </w:rPr>
      </w:pPr>
      <w:r>
        <w:rPr>
          <w:rFonts w:hint="eastAsia" w:ascii="宋体" w:hAnsi="宋体" w:eastAsia="宋体" w:cs="宋体"/>
          <w:b w:val="0"/>
          <w:bCs w:val="0"/>
          <w:i/>
          <w:iCs/>
          <w:caps w:val="0"/>
          <w:color w:val="auto"/>
          <w:spacing w:val="0"/>
          <w:sz w:val="24"/>
          <w:szCs w:val="24"/>
          <w:highlight w:val="none"/>
          <w:u w:val="single"/>
          <w:lang w:val="en-US" w:eastAsia="zh-CN"/>
        </w:rPr>
        <w:t>注：</w:t>
      </w:r>
      <w:r>
        <w:rPr>
          <w:rFonts w:hint="eastAsia" w:ascii="宋体" w:hAnsi="宋体" w:eastAsia="宋体" w:cs="宋体"/>
          <w:b w:val="0"/>
          <w:bCs w:val="0"/>
          <w:i/>
          <w:iCs/>
          <w:caps w:val="0"/>
          <w:color w:val="auto"/>
          <w:spacing w:val="0"/>
          <w:sz w:val="24"/>
          <w:szCs w:val="24"/>
          <w:highlight w:val="none"/>
          <w:u w:val="single"/>
        </w:rPr>
        <w:t>若因不可抗力（需提供县级及以上相关部门出具的不可抗力证明）或采购人场地、需求变更等非中标人原因需延期，中标人可提前10个工作日向采购人提交书面延期申请，说明延期理由及预计完成时间，经采购人书面同意后可调整交付时间，延期时间最长不超过30个日历日；因中标人自身原因导致延期的，按合同约定承担违约责任。</w:t>
      </w:r>
    </w:p>
    <w:p w14:paraId="4E5048AB">
      <w:pPr>
        <w:pStyle w:val="196"/>
        <w:keepNext w:val="0"/>
        <w:keepLines w:val="0"/>
        <w:pageBreakBefore w:val="0"/>
        <w:widowControl w:val="0"/>
        <w:numPr>
          <w:ilvl w:val="0"/>
          <w:numId w:val="0"/>
        </w:numPr>
        <w:spacing w:line="440" w:lineRule="exact"/>
        <w:ind w:left="0" w:firstLine="480"/>
        <w:rPr>
          <w:rFonts w:hint="eastAsia" w:ascii="宋体" w:hAnsi="宋体" w:eastAsia="宋体" w:cs="宋体"/>
          <w:i/>
          <w:iCs/>
          <w:caps w:val="0"/>
          <w:color w:val="auto"/>
          <w:spacing w:val="0"/>
          <w:sz w:val="24"/>
          <w:szCs w:val="24"/>
          <w:highlight w:val="none"/>
          <w:u w:val="single"/>
        </w:rPr>
      </w:pPr>
      <w:r>
        <w:rPr>
          <w:rFonts w:hint="default" w:ascii="宋体" w:hAnsi="宋体" w:eastAsia="宋体" w:cs="宋体"/>
          <w:i/>
          <w:iCs/>
          <w:caps w:val="0"/>
          <w:color w:val="auto"/>
          <w:spacing w:val="0"/>
          <w:sz w:val="24"/>
          <w:szCs w:val="24"/>
          <w:lang w:val="en-US" w:eastAsia="zh-CN" w:bidi="ar-SA"/>
        </w:rPr>
        <w:t>2．</w:t>
      </w:r>
      <w:r>
        <w:rPr>
          <w:rFonts w:hint="eastAsia" w:ascii="宋体" w:hAnsi="宋体" w:eastAsia="宋体" w:cs="宋体"/>
          <w:i/>
          <w:iCs/>
          <w:caps w:val="0"/>
          <w:color w:val="auto"/>
          <w:spacing w:val="0"/>
          <w:sz w:val="24"/>
          <w:szCs w:val="24"/>
          <w:highlight w:val="none"/>
          <w:u w:val="single"/>
        </w:rPr>
        <w:t>交付地点：江苏省盐城技师学院采购人指定地点。</w:t>
      </w:r>
    </w:p>
    <w:p w14:paraId="7AE0409C">
      <w:pPr>
        <w:pStyle w:val="196"/>
        <w:keepNext w:val="0"/>
        <w:keepLines w:val="0"/>
        <w:pageBreakBefore w:val="0"/>
        <w:widowControl w:val="0"/>
        <w:numPr>
          <w:ilvl w:val="0"/>
          <w:numId w:val="0"/>
        </w:numPr>
        <w:spacing w:line="440" w:lineRule="exact"/>
        <w:ind w:left="0" w:firstLine="480"/>
        <w:rPr>
          <w:rFonts w:hint="eastAsia" w:ascii="宋体" w:hAnsi="宋体" w:eastAsia="宋体" w:cs="宋体"/>
          <w:i/>
          <w:iCs/>
          <w:caps w:val="0"/>
          <w:color w:val="auto"/>
          <w:spacing w:val="0"/>
          <w:sz w:val="24"/>
          <w:szCs w:val="24"/>
          <w:highlight w:val="none"/>
          <w:u w:val="single"/>
        </w:rPr>
      </w:pPr>
      <w:r>
        <w:rPr>
          <w:rFonts w:hint="default" w:ascii="宋体" w:hAnsi="宋体" w:eastAsia="宋体" w:cs="宋体"/>
          <w:i/>
          <w:iCs/>
          <w:caps w:val="0"/>
          <w:color w:val="auto"/>
          <w:spacing w:val="0"/>
          <w:sz w:val="24"/>
          <w:szCs w:val="24"/>
          <w:lang w:val="en-US" w:eastAsia="zh-CN" w:bidi="ar-SA"/>
        </w:rPr>
        <w:t>3．</w:t>
      </w:r>
      <w:r>
        <w:rPr>
          <w:rFonts w:hint="eastAsia" w:ascii="宋体" w:hAnsi="宋体" w:eastAsia="宋体" w:cs="宋体"/>
          <w:i/>
          <w:iCs/>
          <w:caps w:val="0"/>
          <w:color w:val="auto"/>
          <w:spacing w:val="0"/>
          <w:sz w:val="24"/>
          <w:szCs w:val="24"/>
          <w:highlight w:val="none"/>
          <w:u w:val="single"/>
        </w:rPr>
        <w:t>验收：采购人依据相关规定、招标文件、投标文件及合同组织验收。若因服务质量产生争议，应由双方共同认可的具备资质的第三方检测机构进行鉴定。符合标准的，鉴定费由采购人承担；不符合标准的，鉴定费由中标人承担，且中标人须在鉴定结果出具后15个工作日内完成整改并重新申请验收。</w:t>
      </w:r>
    </w:p>
    <w:p w14:paraId="33CD7EAC">
      <w:pPr>
        <w:pStyle w:val="196"/>
        <w:keepNext w:val="0"/>
        <w:keepLines w:val="0"/>
        <w:pageBreakBefore w:val="0"/>
        <w:widowControl w:val="0"/>
        <w:numPr>
          <w:ilvl w:val="0"/>
          <w:numId w:val="0"/>
        </w:numPr>
        <w:spacing w:line="440" w:lineRule="exact"/>
        <w:ind w:left="0" w:firstLine="480"/>
        <w:rPr>
          <w:rFonts w:hint="eastAsia" w:ascii="宋体" w:hAnsi="宋体" w:eastAsia="宋体" w:cs="宋体"/>
          <w:i/>
          <w:iCs/>
          <w:caps w:val="0"/>
          <w:color w:val="auto"/>
          <w:spacing w:val="0"/>
          <w:sz w:val="24"/>
          <w:szCs w:val="24"/>
          <w:highlight w:val="none"/>
          <w:u w:val="single"/>
        </w:rPr>
      </w:pPr>
      <w:r>
        <w:rPr>
          <w:rFonts w:hint="default" w:ascii="宋体" w:hAnsi="宋体" w:eastAsia="宋体" w:cs="宋体"/>
          <w:i/>
          <w:iCs/>
          <w:caps w:val="0"/>
          <w:color w:val="auto"/>
          <w:spacing w:val="0"/>
          <w:sz w:val="24"/>
          <w:szCs w:val="24"/>
          <w:lang w:val="en-US" w:eastAsia="zh-CN" w:bidi="ar-SA"/>
        </w:rPr>
        <w:t>4．</w:t>
      </w:r>
      <w:r>
        <w:rPr>
          <w:rFonts w:hint="eastAsia" w:ascii="宋体" w:hAnsi="宋体" w:eastAsia="宋体" w:cs="宋体"/>
          <w:i/>
          <w:iCs/>
          <w:caps w:val="0"/>
          <w:color w:val="auto"/>
          <w:spacing w:val="0"/>
          <w:sz w:val="24"/>
          <w:szCs w:val="24"/>
          <w:highlight w:val="none"/>
          <w:u w:val="single"/>
        </w:rPr>
        <w:t>质量保证：所供货物及软件应为成熟、稳定的在售型号。免费质保期不少于三年，自最终验收合格之日起计算。质保期内，提供7×24小时技术支持，故障1小时内电话响应，24小时内现场到位（如需），并免费提供系统升级与技术服务。质保期外，应能提供持续的技术支持与维护服务，收费标准不高于其官方公示价格或同期市场公允价格。</w:t>
      </w:r>
    </w:p>
    <w:p w14:paraId="74D7CE48">
      <w:pPr>
        <w:pStyle w:val="196"/>
        <w:keepNext w:val="0"/>
        <w:keepLines w:val="0"/>
        <w:pageBreakBefore w:val="0"/>
        <w:widowControl w:val="0"/>
        <w:numPr>
          <w:ilvl w:val="0"/>
          <w:numId w:val="0"/>
        </w:numPr>
        <w:spacing w:line="440" w:lineRule="exact"/>
        <w:ind w:left="0" w:firstLine="480"/>
        <w:rPr>
          <w:rFonts w:hint="eastAsia" w:ascii="宋体" w:hAnsi="宋体" w:eastAsia="宋体" w:cs="宋体"/>
          <w:i/>
          <w:iCs/>
          <w:caps w:val="0"/>
          <w:color w:val="auto"/>
          <w:spacing w:val="0"/>
          <w:sz w:val="24"/>
          <w:szCs w:val="24"/>
          <w:highlight w:val="none"/>
          <w:u w:val="single"/>
        </w:rPr>
      </w:pPr>
      <w:r>
        <w:rPr>
          <w:rFonts w:hint="default" w:ascii="宋体" w:hAnsi="宋体" w:eastAsia="宋体" w:cs="宋体"/>
          <w:i/>
          <w:iCs/>
          <w:caps w:val="0"/>
          <w:color w:val="auto"/>
          <w:spacing w:val="0"/>
          <w:sz w:val="24"/>
          <w:szCs w:val="24"/>
          <w:lang w:val="en-US" w:eastAsia="zh-CN" w:bidi="ar-SA"/>
        </w:rPr>
        <w:t>5．</w:t>
      </w:r>
      <w:r>
        <w:rPr>
          <w:rFonts w:hint="eastAsia" w:ascii="宋体" w:hAnsi="宋体" w:eastAsia="宋体" w:cs="宋体"/>
          <w:i/>
          <w:iCs/>
          <w:caps w:val="0"/>
          <w:color w:val="auto"/>
          <w:spacing w:val="0"/>
          <w:sz w:val="24"/>
          <w:szCs w:val="24"/>
          <w:highlight w:val="none"/>
          <w:u w:val="single"/>
        </w:rPr>
        <w:t>付款方式：</w:t>
      </w:r>
    </w:p>
    <w:p w14:paraId="734458A8">
      <w:pPr>
        <w:pStyle w:val="196"/>
        <w:keepNext w:val="0"/>
        <w:keepLines w:val="0"/>
        <w:pageBreakBefore w:val="0"/>
        <w:widowControl w:val="0"/>
        <w:numPr>
          <w:ilvl w:val="0"/>
          <w:numId w:val="0"/>
        </w:numPr>
        <w:spacing w:line="440" w:lineRule="exact"/>
        <w:ind w:left="0" w:firstLine="480"/>
        <w:rPr>
          <w:rFonts w:hint="eastAsia" w:ascii="宋体" w:hAnsi="宋体" w:eastAsia="宋体" w:cs="宋体"/>
          <w:i/>
          <w:iCs/>
          <w:caps w:val="0"/>
          <w:color w:val="auto"/>
          <w:spacing w:val="0"/>
          <w:sz w:val="24"/>
          <w:szCs w:val="24"/>
          <w:highlight w:val="none"/>
          <w:u w:val="single"/>
          <w:lang w:eastAsia="zh-CN"/>
        </w:rPr>
      </w:pPr>
      <w:r>
        <w:rPr>
          <w:rFonts w:hint="eastAsia" w:ascii="宋体" w:hAnsi="宋体" w:eastAsia="宋体" w:cs="宋体"/>
          <w:i/>
          <w:iCs/>
          <w:caps w:val="0"/>
          <w:color w:val="auto"/>
          <w:spacing w:val="0"/>
          <w:sz w:val="24"/>
          <w:szCs w:val="24"/>
          <w:highlight w:val="none"/>
          <w:u w:val="single"/>
        </w:rPr>
        <w:t>预付款：合同签订生效并收到合规发票后10个工作日内</w:t>
      </w:r>
      <w:r>
        <w:rPr>
          <w:rFonts w:hint="eastAsia" w:ascii="宋体" w:hAnsi="宋体" w:eastAsia="宋体" w:cs="宋体"/>
          <w:i/>
          <w:iCs/>
          <w:caps w:val="0"/>
          <w:color w:val="auto"/>
          <w:spacing w:val="0"/>
          <w:sz w:val="24"/>
          <w:szCs w:val="24"/>
          <w:highlight w:val="none"/>
          <w:u w:val="single"/>
          <w:lang w:eastAsia="zh-CN"/>
        </w:rPr>
        <w:t>，</w:t>
      </w:r>
      <w:r>
        <w:rPr>
          <w:rFonts w:hint="eastAsia" w:ascii="宋体" w:hAnsi="宋体" w:eastAsia="宋体" w:cs="宋体"/>
          <w:i/>
          <w:iCs/>
          <w:caps w:val="0"/>
          <w:color w:val="auto"/>
          <w:spacing w:val="0"/>
          <w:sz w:val="24"/>
          <w:szCs w:val="24"/>
          <w:highlight w:val="none"/>
          <w:u w:val="single"/>
        </w:rPr>
        <w:t>支付合同总价的30%</w:t>
      </w:r>
      <w:r>
        <w:rPr>
          <w:rFonts w:hint="eastAsia" w:ascii="宋体" w:hAnsi="宋体" w:eastAsia="宋体" w:cs="宋体"/>
          <w:i/>
          <w:iCs/>
          <w:caps w:val="0"/>
          <w:color w:val="auto"/>
          <w:spacing w:val="0"/>
          <w:sz w:val="24"/>
          <w:szCs w:val="24"/>
          <w:highlight w:val="none"/>
          <w:u w:val="single"/>
          <w:lang w:eastAsia="zh-CN"/>
        </w:rPr>
        <w:t>；</w:t>
      </w:r>
    </w:p>
    <w:p w14:paraId="0E2B57EE">
      <w:pPr>
        <w:pStyle w:val="196"/>
        <w:keepNext w:val="0"/>
        <w:keepLines w:val="0"/>
        <w:pageBreakBefore w:val="0"/>
        <w:widowControl w:val="0"/>
        <w:numPr>
          <w:ilvl w:val="0"/>
          <w:numId w:val="0"/>
        </w:numPr>
        <w:spacing w:line="440" w:lineRule="exact"/>
        <w:ind w:left="0" w:firstLine="480"/>
        <w:rPr>
          <w:rFonts w:hint="eastAsia" w:ascii="宋体" w:hAnsi="宋体" w:eastAsia="宋体" w:cs="宋体"/>
          <w:i/>
          <w:iCs/>
          <w:caps w:val="0"/>
          <w:color w:val="auto"/>
          <w:spacing w:val="0"/>
          <w:sz w:val="24"/>
          <w:szCs w:val="24"/>
          <w:highlight w:val="none"/>
          <w:u w:val="single"/>
          <w:lang w:eastAsia="zh-CN"/>
        </w:rPr>
      </w:pPr>
      <w:r>
        <w:rPr>
          <w:rFonts w:hint="eastAsia" w:ascii="宋体" w:hAnsi="宋体" w:eastAsia="宋体" w:cs="宋体"/>
          <w:i/>
          <w:iCs/>
          <w:caps w:val="0"/>
          <w:color w:val="auto"/>
          <w:spacing w:val="0"/>
          <w:sz w:val="24"/>
          <w:szCs w:val="24"/>
          <w:highlight w:val="none"/>
          <w:u w:val="single"/>
        </w:rPr>
        <w:t>进度款：货物安装调试完毕并初步验收合格后，收到合规发票后 10个工作日内</w:t>
      </w:r>
      <w:r>
        <w:rPr>
          <w:rFonts w:hint="eastAsia" w:ascii="宋体" w:hAnsi="宋体" w:eastAsia="宋体" w:cs="宋体"/>
          <w:i/>
          <w:iCs/>
          <w:caps w:val="0"/>
          <w:color w:val="auto"/>
          <w:spacing w:val="0"/>
          <w:sz w:val="24"/>
          <w:szCs w:val="24"/>
          <w:highlight w:val="none"/>
          <w:u w:val="single"/>
          <w:lang w:eastAsia="zh-CN"/>
        </w:rPr>
        <w:t>，</w:t>
      </w:r>
      <w:r>
        <w:rPr>
          <w:rFonts w:hint="eastAsia" w:ascii="宋体" w:hAnsi="宋体" w:eastAsia="宋体" w:cs="宋体"/>
          <w:i/>
          <w:iCs/>
          <w:caps w:val="0"/>
          <w:color w:val="auto"/>
          <w:spacing w:val="0"/>
          <w:sz w:val="24"/>
          <w:szCs w:val="24"/>
          <w:highlight w:val="none"/>
          <w:u w:val="single"/>
        </w:rPr>
        <w:t>支付至合同总价的</w:t>
      </w:r>
      <w:r>
        <w:rPr>
          <w:rFonts w:hint="eastAsia" w:ascii="宋体" w:hAnsi="宋体" w:eastAsia="宋体" w:cs="宋体"/>
          <w:i/>
          <w:iCs/>
          <w:caps w:val="0"/>
          <w:color w:val="auto"/>
          <w:spacing w:val="0"/>
          <w:sz w:val="24"/>
          <w:szCs w:val="24"/>
          <w:highlight w:val="none"/>
          <w:u w:val="single"/>
          <w:lang w:val="en-US" w:eastAsia="zh-CN"/>
        </w:rPr>
        <w:t>100</w:t>
      </w:r>
      <w:r>
        <w:rPr>
          <w:rFonts w:hint="eastAsia" w:ascii="宋体" w:hAnsi="宋体" w:eastAsia="宋体" w:cs="宋体"/>
          <w:i/>
          <w:iCs/>
          <w:caps w:val="0"/>
          <w:color w:val="auto"/>
          <w:spacing w:val="0"/>
          <w:sz w:val="24"/>
          <w:szCs w:val="24"/>
          <w:highlight w:val="none"/>
          <w:u w:val="single"/>
        </w:rPr>
        <w:t>%</w:t>
      </w:r>
      <w:r>
        <w:rPr>
          <w:rFonts w:hint="eastAsia" w:ascii="宋体" w:hAnsi="宋体" w:eastAsia="宋体" w:cs="宋体"/>
          <w:i/>
          <w:iCs/>
          <w:caps w:val="0"/>
          <w:color w:val="auto"/>
          <w:spacing w:val="0"/>
          <w:sz w:val="24"/>
          <w:szCs w:val="24"/>
          <w:highlight w:val="none"/>
          <w:u w:val="single"/>
          <w:lang w:eastAsia="zh-CN"/>
        </w:rPr>
        <w:t>；</w:t>
      </w:r>
    </w:p>
    <w:p w14:paraId="763E19E3">
      <w:pPr>
        <w:pStyle w:val="196"/>
        <w:keepNext w:val="0"/>
        <w:keepLines w:val="0"/>
        <w:pageBreakBefore w:val="0"/>
        <w:widowControl w:val="0"/>
        <w:numPr>
          <w:ilvl w:val="0"/>
          <w:numId w:val="0"/>
        </w:numPr>
        <w:spacing w:line="440" w:lineRule="exact"/>
        <w:ind w:left="0" w:firstLine="480"/>
        <w:rPr>
          <w:rFonts w:hint="eastAsia" w:ascii="宋体" w:hAnsi="宋体" w:eastAsia="宋体" w:cs="宋体"/>
          <w:i/>
          <w:iCs/>
          <w:caps w:val="0"/>
          <w:color w:val="auto"/>
          <w:spacing w:val="0"/>
          <w:sz w:val="24"/>
          <w:szCs w:val="24"/>
          <w:highlight w:val="none"/>
          <w:u w:val="single"/>
        </w:rPr>
      </w:pPr>
      <w:r>
        <w:rPr>
          <w:rFonts w:hint="default" w:ascii="宋体" w:hAnsi="宋体" w:eastAsia="宋体" w:cs="宋体"/>
          <w:i/>
          <w:iCs/>
          <w:caps w:val="0"/>
          <w:color w:val="auto"/>
          <w:spacing w:val="0"/>
          <w:sz w:val="24"/>
          <w:szCs w:val="24"/>
          <w:lang w:val="en-US" w:eastAsia="zh-CN" w:bidi="ar-SA"/>
        </w:rPr>
        <w:t>6．</w:t>
      </w:r>
      <w:r>
        <w:rPr>
          <w:rFonts w:hint="eastAsia" w:ascii="宋体" w:hAnsi="宋体" w:eastAsia="宋体" w:cs="宋体"/>
          <w:i/>
          <w:iCs/>
          <w:caps w:val="0"/>
          <w:color w:val="auto"/>
          <w:spacing w:val="0"/>
          <w:sz w:val="24"/>
          <w:szCs w:val="24"/>
          <w:highlight w:val="none"/>
          <w:u w:val="single"/>
        </w:rPr>
        <w:t xml:space="preserve">方案完整性要求：投标人应确保其投标方案（包括必要的扩展内容）能完整实现招标文件的全部功能需求。如需增补清单外内容，应在投标文件中明确列出并计入总价。未列明者，视为现有清单已完全满足需求，因缺失导致的补充及整改责任由中标人承担。 </w:t>
      </w:r>
    </w:p>
    <w:p w14:paraId="671A682D">
      <w:pPr>
        <w:pStyle w:val="196"/>
        <w:keepNext w:val="0"/>
        <w:keepLines w:val="0"/>
        <w:pageBreakBefore w:val="0"/>
        <w:widowControl w:val="0"/>
        <w:numPr>
          <w:ilvl w:val="0"/>
          <w:numId w:val="0"/>
        </w:numPr>
        <w:spacing w:line="440" w:lineRule="exact"/>
        <w:ind w:left="0" w:firstLine="480"/>
        <w:rPr>
          <w:rFonts w:hint="eastAsia" w:ascii="宋体" w:hAnsi="宋体" w:eastAsia="宋体" w:cs="宋体"/>
          <w:i/>
          <w:iCs/>
          <w:caps w:val="0"/>
          <w:color w:val="auto"/>
          <w:spacing w:val="0"/>
          <w:sz w:val="24"/>
          <w:szCs w:val="24"/>
          <w:highlight w:val="yellow"/>
          <w:u w:val="single"/>
        </w:rPr>
      </w:pPr>
      <w:r>
        <w:rPr>
          <w:rFonts w:hint="default" w:ascii="宋体" w:hAnsi="宋体" w:eastAsia="宋体" w:cs="宋体"/>
          <w:i/>
          <w:iCs/>
          <w:caps w:val="0"/>
          <w:color w:val="auto"/>
          <w:spacing w:val="0"/>
          <w:sz w:val="24"/>
          <w:szCs w:val="24"/>
          <w:lang w:val="en-US" w:eastAsia="zh-CN" w:bidi="ar-SA"/>
        </w:rPr>
        <w:t>7．</w:t>
      </w:r>
      <w:r>
        <w:rPr>
          <w:rFonts w:hint="eastAsia" w:ascii="宋体" w:hAnsi="宋体" w:eastAsia="宋体" w:cs="宋体"/>
          <w:i/>
          <w:iCs/>
          <w:caps w:val="0"/>
          <w:color w:val="auto"/>
          <w:spacing w:val="0"/>
          <w:sz w:val="24"/>
          <w:szCs w:val="24"/>
          <w:highlight w:val="yellow"/>
          <w:u w:val="single"/>
          <w:lang w:val="en-US" w:eastAsia="zh-CN"/>
        </w:rPr>
        <w:t>供应商承诺提供的货物及软件免费质保期不低于3年（自最终验收合格之日起计算）的优先。</w:t>
      </w:r>
    </w:p>
    <w:p w14:paraId="47660C04">
      <w:pPr>
        <w:pStyle w:val="196"/>
        <w:keepNext w:val="0"/>
        <w:keepLines w:val="0"/>
        <w:pageBreakBefore w:val="0"/>
        <w:widowControl w:val="0"/>
        <w:spacing w:line="440" w:lineRule="exact"/>
        <w:ind w:left="0" w:firstLine="480"/>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标准与费用包干：投标人应确保其产品与实施符合国家及项目所在地的强制性标准与规范。为满足所有要求及实现项目功能所产生的一切费用（包括但不限于货物采购费、运输费、安装调试费、培训费、税费、质保期内服务费等）、风险（包括市场价格波动、政策调整等风险）及税金均已包含在投标总价内，中标后不予调整。</w:t>
      </w:r>
    </w:p>
    <w:p w14:paraId="2885F091">
      <w:pPr>
        <w:pStyle w:val="196"/>
        <w:keepNext w:val="0"/>
        <w:keepLines w:val="0"/>
        <w:pageBreakBefore w:val="0"/>
        <w:widowControl w:val="0"/>
        <w:spacing w:line="440" w:lineRule="exact"/>
        <w:ind w:left="0" w:firstLine="482"/>
        <w:rPr>
          <w:rFonts w:hint="eastAsia" w:ascii="宋体" w:hAnsi="宋体" w:eastAsia="宋体" w:cs="宋体"/>
          <w:b/>
          <w:bCs w:val="0"/>
          <w:i/>
          <w:iCs w:val="0"/>
          <w:color w:val="auto"/>
          <w:sz w:val="24"/>
          <w:szCs w:val="24"/>
          <w:highlight w:val="none"/>
          <w:u w:val="single"/>
          <w:lang w:val="en-US" w:eastAsia="zh-CN"/>
        </w:rPr>
      </w:pPr>
      <w:r>
        <w:rPr>
          <w:rFonts w:hint="eastAsia" w:ascii="宋体" w:hAnsi="宋体" w:eastAsia="宋体" w:cs="宋体"/>
          <w:b/>
          <w:bCs w:val="0"/>
          <w:i/>
          <w:iCs w:val="0"/>
          <w:color w:val="auto"/>
          <w:sz w:val="24"/>
          <w:szCs w:val="24"/>
          <w:highlight w:val="none"/>
          <w:u w:val="single"/>
          <w:lang w:val="en-US" w:eastAsia="zh-CN"/>
        </w:rPr>
        <w:t>注：本招标文件中斜体且有下划线部分均为实质性要求和条件。对任何一条实质性要求条款的负偏离，都将导致其投标被视为无效。</w:t>
      </w:r>
    </w:p>
    <w:p w14:paraId="24AC1F3F">
      <w:pPr>
        <w:pStyle w:val="196"/>
        <w:keepNext w:val="0"/>
        <w:keepLines w:val="0"/>
        <w:pageBreakBefore w:val="0"/>
        <w:widowControl w:val="0"/>
        <w:spacing w:line="480" w:lineRule="exact"/>
        <w:ind w:left="0" w:firstLine="482"/>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sz w:val="24"/>
          <w:szCs w:val="24"/>
          <w:lang w:val="en-US" w:eastAsia="zh-CN"/>
        </w:rPr>
        <w:t>五</w:t>
      </w:r>
      <w:r>
        <w:rPr>
          <w:rFonts w:hint="eastAsia" w:ascii="宋体" w:hAnsi="宋体" w:eastAsia="宋体" w:cs="宋体"/>
          <w:b/>
          <w:bCs/>
          <w:i w:val="0"/>
          <w:iCs w:val="0"/>
          <w:caps w:val="0"/>
          <w:color w:val="auto"/>
          <w:spacing w:val="0"/>
          <w:sz w:val="24"/>
          <w:szCs w:val="24"/>
        </w:rPr>
        <w:t>、现场踏勘</w:t>
      </w:r>
    </w:p>
    <w:p w14:paraId="711789B1">
      <w:pPr>
        <w:pStyle w:val="196"/>
        <w:keepNext w:val="0"/>
        <w:keepLines w:val="0"/>
        <w:pageBreakBefore w:val="0"/>
        <w:widowControl w:val="0"/>
        <w:spacing w:line="480" w:lineRule="exact"/>
        <w:ind w:left="0" w:firstLine="48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 xml:space="preserve">供应商应在报价前充分了解项目现场条件及所有可能影响成本和实施的因素。鼓励供应商自行进行现场踏勘。 踏勘现场所发生的一切费用及人身财产安全责任，均由供应商自行承担。供应商未踏勘现场，将被视为已充分了解并接受所有现场条件与风险，成交后不得因此提出任何费用或工期索赔。 </w:t>
      </w:r>
    </w:p>
    <w:p w14:paraId="4DEBB7C1">
      <w:pPr>
        <w:pStyle w:val="196"/>
        <w:keepNext w:val="0"/>
        <w:keepLines w:val="0"/>
        <w:pageBreakBefore w:val="0"/>
        <w:widowControl w:val="0"/>
        <w:spacing w:line="480" w:lineRule="exact"/>
        <w:ind w:left="0" w:firstLine="482"/>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sz w:val="24"/>
          <w:szCs w:val="24"/>
          <w:lang w:val="en-US" w:eastAsia="zh-CN"/>
        </w:rPr>
        <w:t>六</w:t>
      </w:r>
      <w:r>
        <w:rPr>
          <w:rFonts w:hint="eastAsia" w:ascii="宋体" w:hAnsi="宋体" w:eastAsia="宋体" w:cs="宋体"/>
          <w:b/>
          <w:bCs/>
          <w:i w:val="0"/>
          <w:iCs w:val="0"/>
          <w:caps w:val="0"/>
          <w:color w:val="auto"/>
          <w:spacing w:val="0"/>
          <w:sz w:val="24"/>
          <w:szCs w:val="24"/>
        </w:rPr>
        <w:t>、</w:t>
      </w:r>
      <w:r>
        <w:rPr>
          <w:rFonts w:hint="eastAsia" w:ascii="宋体" w:hAnsi="宋体" w:cs="宋体"/>
          <w:b/>
          <w:bCs/>
          <w:i/>
          <w:iCs/>
          <w:color w:val="auto"/>
          <w:sz w:val="24"/>
          <w:szCs w:val="24"/>
          <w:u w:val="single"/>
          <w:lang w:eastAsia="zh-CN"/>
        </w:rPr>
        <w:t>本项目</w:t>
      </w:r>
      <w:r>
        <w:rPr>
          <w:rFonts w:hint="eastAsia" w:ascii="宋体" w:hAnsi="宋体" w:cs="宋体"/>
          <w:b/>
          <w:bCs/>
          <w:i/>
          <w:iCs/>
          <w:color w:val="auto"/>
          <w:sz w:val="24"/>
          <w:szCs w:val="24"/>
          <w:u w:val="single"/>
          <w:lang w:val="en-US" w:eastAsia="zh-CN"/>
        </w:rPr>
        <w:t xml:space="preserve"> </w:t>
      </w:r>
      <w:r>
        <w:rPr>
          <w:rFonts w:hint="eastAsia" w:ascii="宋体" w:hAnsi="宋体" w:cs="宋体"/>
          <w:b/>
          <w:bCs/>
          <w:i/>
          <w:iCs/>
          <w:color w:val="auto"/>
          <w:sz w:val="24"/>
          <w:szCs w:val="24"/>
          <w:u w:val="single"/>
          <w:lang w:eastAsia="zh-CN"/>
        </w:rPr>
        <w:t>不接受</w:t>
      </w:r>
      <w:r>
        <w:rPr>
          <w:rFonts w:hint="eastAsia" w:ascii="宋体" w:hAnsi="宋体" w:cs="宋体"/>
          <w:b/>
          <w:bCs/>
          <w:i/>
          <w:iCs/>
          <w:color w:val="auto"/>
          <w:sz w:val="24"/>
          <w:szCs w:val="24"/>
          <w:u w:val="single"/>
          <w:lang w:val="en-US" w:eastAsia="zh-CN"/>
        </w:rPr>
        <w:t xml:space="preserve"> </w:t>
      </w:r>
      <w:r>
        <w:rPr>
          <w:rFonts w:hint="eastAsia" w:ascii="宋体" w:hAnsi="宋体" w:cs="宋体"/>
          <w:b/>
          <w:bCs/>
          <w:i/>
          <w:iCs/>
          <w:color w:val="auto"/>
          <w:sz w:val="24"/>
          <w:szCs w:val="24"/>
          <w:u w:val="single"/>
          <w:lang w:eastAsia="zh-CN"/>
        </w:rPr>
        <w:t>进口产品投标</w:t>
      </w:r>
      <w:r>
        <w:rPr>
          <w:rFonts w:hint="eastAsia" w:ascii="宋体" w:hAnsi="宋体" w:cs="宋体"/>
          <w:b/>
          <w:bCs/>
          <w:color w:val="auto"/>
          <w:sz w:val="24"/>
          <w:szCs w:val="24"/>
          <w:lang w:eastAsia="zh-CN"/>
        </w:rPr>
        <w:t>。</w:t>
      </w:r>
    </w:p>
    <w:p w14:paraId="69AC9891">
      <w:pPr>
        <w:widowControl/>
        <w:tabs>
          <w:tab w:val="left" w:pos="5250"/>
        </w:tabs>
        <w:spacing w:line="440" w:lineRule="exact"/>
        <w:ind w:firstLine="480"/>
        <w:jc w:val="left"/>
        <w:rPr>
          <w:rFonts w:hint="eastAsia" w:ascii="宋体" w:hAnsi="宋体" w:eastAsia="宋体" w:cs="宋体"/>
          <w:b/>
          <w:bCs/>
          <w:color w:val="auto"/>
          <w:sz w:val="24"/>
          <w:szCs w:val="24"/>
          <w:u w:val="none"/>
          <w:lang w:val="en-US" w:eastAsia="zh-CN"/>
        </w:rPr>
      </w:pPr>
      <w:r>
        <w:rPr>
          <w:rFonts w:hint="eastAsia" w:ascii="宋体" w:hAnsi="宋体" w:eastAsia="宋体" w:cs="宋体"/>
          <w:b/>
          <w:bCs/>
          <w:i w:val="0"/>
          <w:iCs w:val="0"/>
          <w:caps w:val="0"/>
          <w:color w:val="auto"/>
          <w:spacing w:val="0"/>
          <w:sz w:val="24"/>
          <w:szCs w:val="24"/>
          <w:lang w:val="en-US" w:eastAsia="zh-CN"/>
        </w:rPr>
        <w:t>七</w:t>
      </w:r>
      <w:r>
        <w:rPr>
          <w:rFonts w:hint="eastAsia" w:ascii="宋体" w:hAnsi="宋体" w:eastAsia="宋体" w:cs="宋体"/>
          <w:b/>
          <w:bCs/>
          <w:i w:val="0"/>
          <w:iCs w:val="0"/>
          <w:caps w:val="0"/>
          <w:color w:val="auto"/>
          <w:spacing w:val="0"/>
          <w:sz w:val="24"/>
          <w:szCs w:val="24"/>
        </w:rPr>
        <w:t>、</w:t>
      </w:r>
      <w:r>
        <w:rPr>
          <w:rFonts w:hint="eastAsia" w:ascii="宋体" w:hAnsi="宋体" w:eastAsia="宋体" w:cs="宋体"/>
          <w:b/>
          <w:bCs/>
          <w:color w:val="auto"/>
          <w:sz w:val="24"/>
          <w:szCs w:val="24"/>
          <w:u w:val="none"/>
          <w:lang w:val="en-US" w:eastAsia="zh-CN"/>
        </w:rPr>
        <w:t>其他要求</w:t>
      </w:r>
    </w:p>
    <w:p w14:paraId="2F8AF739">
      <w:pPr>
        <w:keepNext w:val="0"/>
        <w:keepLines w:val="0"/>
        <w:pageBreakBefore w:val="0"/>
        <w:widowControl w:val="0"/>
        <w:spacing w:line="440" w:lineRule="exact"/>
        <w:ind w:firstLine="480"/>
        <w:jc w:val="left"/>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（一）投标人或产品制造商自2022年1月1日（以合同签订时间为准）以来，承担过与本项目核心内容类似的项目业绩【类似项目指：1、仪表自动控制类，如：过程控制（液位 / 流量 / 压力 / 温度）实训装置，2、智能检测、传感控制类，如：工业传感器综合检测实训平台3、化工设备检修、化工工艺实训类，如：设备拆装维修】的</w:t>
      </w:r>
      <w:r>
        <w:rPr>
          <w:rFonts w:hint="eastAsia" w:ascii="宋体" w:hAnsi="宋体" w:eastAsia="宋体" w:cs="宋体"/>
          <w:b/>
          <w:bCs/>
          <w:color w:val="auto"/>
          <w:sz w:val="24"/>
          <w:szCs w:val="22"/>
          <w:lang w:val="en-US" w:eastAsia="zh-CN" w:bidi="ar-SA"/>
        </w:rPr>
        <w:t>优先</w:t>
      </w:r>
      <w:r>
        <w:rPr>
          <w:rFonts w:hint="eastAsia" w:ascii="宋体" w:hAnsi="宋体" w:eastAsia="宋体" w:cs="宋体"/>
          <w:color w:val="auto"/>
          <w:sz w:val="24"/>
          <w:szCs w:val="22"/>
          <w:lang w:val="en-US" w:eastAsia="zh-CN" w:bidi="ar-SA"/>
        </w:rPr>
        <w:t>。</w:t>
      </w:r>
    </w:p>
    <w:p w14:paraId="5853E94F">
      <w:pPr>
        <w:keepNext w:val="0"/>
        <w:keepLines w:val="0"/>
        <w:pageBreakBefore w:val="0"/>
        <w:widowControl w:val="0"/>
        <w:spacing w:line="440" w:lineRule="exact"/>
        <w:ind w:firstLine="482"/>
        <w:jc w:val="left"/>
        <w:rPr>
          <w:rFonts w:hint="eastAsia" w:ascii="宋体" w:hAnsi="宋体" w:eastAsia="宋体" w:cs="宋体"/>
          <w:b/>
          <w:bCs/>
          <w:color w:val="auto"/>
          <w:sz w:val="24"/>
          <w:szCs w:val="22"/>
          <w:lang w:val="en-US" w:eastAsia="zh-CN" w:bidi="ar-SA"/>
        </w:rPr>
      </w:pPr>
      <w:r>
        <w:rPr>
          <w:rFonts w:hint="eastAsia" w:ascii="宋体" w:hAnsi="宋体" w:eastAsia="宋体" w:cs="宋体"/>
          <w:b/>
          <w:bCs/>
          <w:color w:val="auto"/>
          <w:sz w:val="24"/>
          <w:szCs w:val="22"/>
          <w:lang w:val="en-US" w:eastAsia="zh-CN" w:bidi="ar-SA"/>
        </w:rPr>
        <w:t>（二）</w:t>
      </w:r>
      <w:r>
        <w:rPr>
          <w:rFonts w:hint="eastAsia" w:ascii="宋体" w:hAnsi="宋体"/>
          <w:bCs/>
          <w:color w:val="auto"/>
          <w:sz w:val="24"/>
          <w:lang w:val="en"/>
        </w:rPr>
        <w:t>投标产品属于财政部、国家发改委公布的“节能产品品目清单”范围内的优先；投标产品属于财政部、生态环境部公布的“环境标志产品品目清单”范围内的</w:t>
      </w:r>
      <w:r>
        <w:rPr>
          <w:rFonts w:hint="eastAsia" w:ascii="宋体" w:hAnsi="宋体"/>
          <w:b/>
          <w:bCs w:val="0"/>
          <w:color w:val="auto"/>
          <w:sz w:val="24"/>
          <w:lang w:val="en"/>
        </w:rPr>
        <w:t>优先</w:t>
      </w:r>
      <w:r>
        <w:rPr>
          <w:rFonts w:hint="eastAsia" w:ascii="宋体" w:hAnsi="宋体"/>
          <w:bCs/>
          <w:color w:val="auto"/>
          <w:sz w:val="24"/>
          <w:lang w:val="en"/>
        </w:rPr>
        <w:t>。</w:t>
      </w:r>
    </w:p>
    <w:p w14:paraId="47CD714A">
      <w:pPr>
        <w:keepNext w:val="0"/>
        <w:keepLines w:val="0"/>
        <w:pageBreakBefore w:val="0"/>
        <w:widowControl w:val="0"/>
        <w:spacing w:line="440" w:lineRule="exact"/>
        <w:ind w:firstLine="482"/>
        <w:jc w:val="left"/>
        <w:rPr>
          <w:rFonts w:hint="default" w:ascii="宋体" w:hAnsi="宋体"/>
          <w:bCs/>
          <w:color w:val="auto"/>
          <w:sz w:val="24"/>
          <w:lang w:val="en-US" w:eastAsia="zh-CN"/>
        </w:rPr>
      </w:pPr>
      <w:r>
        <w:rPr>
          <w:rFonts w:hint="eastAsia" w:ascii="宋体" w:hAnsi="宋体" w:eastAsia="宋体" w:cs="宋体"/>
          <w:b/>
          <w:bCs/>
          <w:color w:val="auto"/>
          <w:sz w:val="24"/>
          <w:szCs w:val="22"/>
          <w:lang w:val="en-US" w:eastAsia="zh-CN" w:bidi="ar-SA"/>
        </w:rPr>
        <w:t xml:space="preserve">（三）质保期承诺 </w:t>
      </w:r>
      <w:r>
        <w:rPr>
          <w:rFonts w:hint="eastAsia" w:ascii="宋体" w:hAnsi="宋体"/>
          <w:bCs/>
          <w:color w:val="auto"/>
          <w:sz w:val="24"/>
          <w:lang w:val="en-US" w:eastAsia="zh-CN"/>
        </w:rPr>
        <w:t>供应商承诺提供的货物及软件免费质保期不低于3年（自最终验收合格之日起计算）</w:t>
      </w:r>
      <w:r>
        <w:rPr>
          <w:rFonts w:hint="eastAsia" w:ascii="宋体" w:hAnsi="宋体"/>
          <w:bCs/>
          <w:color w:val="auto"/>
          <w:sz w:val="24"/>
          <w:lang w:val="en"/>
        </w:rPr>
        <w:t>。</w:t>
      </w:r>
    </w:p>
    <w:p w14:paraId="78386AF3">
      <w:pPr>
        <w:keepNext w:val="0"/>
        <w:keepLines w:val="0"/>
        <w:pageBreakBefore w:val="0"/>
        <w:widowControl/>
        <w:spacing w:line="480" w:lineRule="exact"/>
        <w:ind w:firstLine="482"/>
        <w:jc w:val="left"/>
        <w:rPr>
          <w:rFonts w:hint="eastAsia" w:ascii="宋体" w:hAnsi="宋体" w:eastAsia="宋体" w:cs="宋体"/>
          <w:color w:val="auto"/>
          <w:sz w:val="24"/>
          <w:szCs w:val="22"/>
          <w:lang w:val="en-US" w:eastAsia="zh-CN" w:bidi="ar-SA"/>
        </w:rPr>
      </w:pPr>
      <w:r>
        <w:rPr>
          <w:rFonts w:hint="eastAsia" w:ascii="宋体" w:hAnsi="宋体" w:eastAsia="宋体" w:cs="宋体"/>
          <w:b/>
          <w:bCs/>
          <w:color w:val="auto"/>
          <w:sz w:val="24"/>
          <w:szCs w:val="22"/>
          <w:lang w:val="en-US" w:eastAsia="zh-CN" w:bidi="ar-SA"/>
        </w:rPr>
        <w:t>（四）项目实施及售后服务方案</w:t>
      </w:r>
    </w:p>
    <w:p w14:paraId="37824FCF">
      <w:pPr>
        <w:keepNext w:val="0"/>
        <w:keepLines w:val="0"/>
        <w:pageBreakBefore w:val="0"/>
        <w:widowControl/>
        <w:spacing w:line="48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为保障设备高质量交付、稳定运行及长期服务，投标人须针对本项目制定</w:t>
      </w:r>
      <w:r>
        <w:rPr>
          <w:rFonts w:hint="eastAsia" w:ascii="宋体" w:hAnsi="宋体" w:eastAsia="宋体" w:cs="宋体"/>
          <w:b/>
          <w:bCs/>
          <w:color w:val="auto"/>
          <w:sz w:val="24"/>
          <w:szCs w:val="24"/>
        </w:rPr>
        <w:t>可落地、可追溯、可考核</w:t>
      </w:r>
      <w:r>
        <w:rPr>
          <w:rFonts w:hint="eastAsia" w:ascii="宋体" w:hAnsi="宋体" w:eastAsia="宋体" w:cs="宋体"/>
          <w:color w:val="auto"/>
          <w:sz w:val="24"/>
          <w:szCs w:val="24"/>
        </w:rPr>
        <w:t>的方案，结合</w:t>
      </w:r>
      <w:r>
        <w:rPr>
          <w:rFonts w:hint="eastAsia" w:ascii="宋体" w:hAnsi="宋体" w:eastAsia="宋体" w:cs="宋体"/>
          <w:color w:val="auto"/>
          <w:sz w:val="24"/>
          <w:szCs w:val="24"/>
          <w:lang w:val="en-US" w:eastAsia="zh-CN"/>
        </w:rPr>
        <w:t>本项目</w:t>
      </w:r>
      <w:r>
        <w:rPr>
          <w:rFonts w:hint="eastAsia" w:ascii="宋体" w:hAnsi="宋体" w:eastAsia="宋体" w:cs="宋体"/>
          <w:color w:val="auto"/>
          <w:sz w:val="24"/>
          <w:szCs w:val="24"/>
        </w:rPr>
        <w:t>特</w:t>
      </w:r>
      <w:r>
        <w:rPr>
          <w:rFonts w:hint="eastAsia" w:ascii="宋体" w:hAnsi="宋体" w:eastAsia="宋体" w:cs="宋体"/>
          <w:color w:val="auto"/>
          <w:sz w:val="24"/>
          <w:szCs w:val="24"/>
          <w:lang w:val="en-US" w:eastAsia="zh-CN"/>
        </w:rPr>
        <w:t>点</w:t>
      </w:r>
      <w:r>
        <w:rPr>
          <w:rFonts w:hint="eastAsia" w:ascii="宋体" w:hAnsi="宋体" w:eastAsia="宋体" w:cs="宋体"/>
          <w:color w:val="auto"/>
          <w:sz w:val="24"/>
          <w:szCs w:val="24"/>
        </w:rPr>
        <w:t>，明确全流程责任与时限</w:t>
      </w:r>
      <w:r>
        <w:rPr>
          <w:rFonts w:hint="eastAsia" w:ascii="宋体" w:hAnsi="宋体" w:eastAsia="宋体" w:cs="宋体"/>
          <w:b/>
          <w:bCs/>
          <w:color w:val="auto"/>
          <w:sz w:val="24"/>
          <w:szCs w:val="24"/>
        </w:rPr>
        <w:t>，</w:t>
      </w:r>
      <w:r>
        <w:rPr>
          <w:rFonts w:ascii="Segoe UI" w:hAnsi="Segoe UI" w:eastAsia="Segoe UI" w:cs="Segoe UI"/>
          <w:b/>
          <w:bCs/>
          <w:i w:val="0"/>
          <w:iCs w:val="0"/>
          <w:caps w:val="0"/>
          <w:color w:val="auto"/>
          <w:spacing w:val="0"/>
          <w:sz w:val="24"/>
          <w:szCs w:val="24"/>
          <w:shd w:val="clear" w:color="auto" w:fill="FFFFFF"/>
        </w:rPr>
        <w:t>方案至少应</w:t>
      </w:r>
      <w:r>
        <w:rPr>
          <w:rFonts w:hint="eastAsia" w:ascii="Segoe UI" w:hAnsi="Segoe UI" w:cs="Segoe UI"/>
          <w:b/>
          <w:bCs/>
          <w:i w:val="0"/>
          <w:iCs w:val="0"/>
          <w:caps w:val="0"/>
          <w:color w:val="auto"/>
          <w:spacing w:val="0"/>
          <w:sz w:val="24"/>
          <w:szCs w:val="24"/>
          <w:shd w:val="clear" w:color="auto" w:fill="FFFFFF"/>
          <w:lang w:val="en-US" w:eastAsia="zh-CN"/>
        </w:rPr>
        <w:t>包含</w:t>
      </w:r>
      <w:r>
        <w:rPr>
          <w:rFonts w:ascii="Segoe UI" w:hAnsi="Segoe UI" w:eastAsia="Segoe UI" w:cs="Segoe UI"/>
          <w:b/>
          <w:bCs/>
          <w:i w:val="0"/>
          <w:iCs w:val="0"/>
          <w:caps w:val="0"/>
          <w:color w:val="auto"/>
          <w:spacing w:val="0"/>
          <w:sz w:val="24"/>
          <w:szCs w:val="24"/>
          <w:shd w:val="clear" w:color="auto" w:fill="FFFFFF"/>
        </w:rPr>
        <w:t>以下</w:t>
      </w:r>
      <w:r>
        <w:rPr>
          <w:rFonts w:hint="eastAsia" w:ascii="Segoe UI" w:hAnsi="Segoe UI" w:cs="Segoe UI"/>
          <w:b/>
          <w:bCs/>
          <w:i w:val="0"/>
          <w:iCs w:val="0"/>
          <w:caps w:val="0"/>
          <w:color w:val="auto"/>
          <w:spacing w:val="0"/>
          <w:sz w:val="24"/>
          <w:szCs w:val="24"/>
          <w:shd w:val="clear" w:color="auto" w:fill="FFFFFF"/>
          <w:lang w:val="en-US" w:eastAsia="zh-CN"/>
        </w:rPr>
        <w:t>内容</w:t>
      </w:r>
      <w:r>
        <w:rPr>
          <w:rFonts w:ascii="Segoe UI" w:hAnsi="Segoe UI" w:eastAsia="Segoe UI" w:cs="Segoe UI"/>
          <w:b/>
          <w:bCs/>
          <w:i w:val="0"/>
          <w:iCs w:val="0"/>
          <w:caps w:val="0"/>
          <w:color w:val="auto"/>
          <w:spacing w:val="0"/>
          <w:sz w:val="24"/>
          <w:szCs w:val="24"/>
          <w:shd w:val="clear" w:color="auto" w:fill="FFFFFF"/>
        </w:rPr>
        <w:t>：</w:t>
      </w:r>
    </w:p>
    <w:p w14:paraId="4DE39DA8">
      <w:pPr>
        <w:keepNext w:val="0"/>
        <w:keepLines w:val="0"/>
        <w:pageBreakBefore w:val="0"/>
        <w:widowControl/>
        <w:spacing w:line="480" w:lineRule="exact"/>
        <w:ind w:firstLine="482"/>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安装、调试及验收方案</w:t>
      </w:r>
    </w:p>
    <w:p w14:paraId="73E47E9D">
      <w:pPr>
        <w:keepNext w:val="0"/>
        <w:keepLines w:val="0"/>
        <w:pageBreakBefore w:val="0"/>
        <w:widowControl/>
        <w:spacing w:line="480" w:lineRule="exact"/>
        <w:ind w:firstLine="480"/>
        <w:rPr>
          <w:rFonts w:hint="eastAsia" w:ascii="宋体" w:hAnsi="宋体" w:eastAsia="宋体" w:cs="宋体"/>
          <w:color w:val="auto"/>
          <w:sz w:val="24"/>
          <w:szCs w:val="24"/>
        </w:rPr>
      </w:pPr>
      <w:r>
        <w:rPr>
          <w:rFonts w:hint="default" w:ascii="宋体" w:hAnsi="宋体" w:eastAsia="宋体" w:cs="宋体"/>
          <w:color w:val="auto"/>
          <w:sz w:val="24"/>
          <w:szCs w:val="24"/>
        </w:rPr>
        <w:t>聚焦“标准化流程与专业化交付”，本方案至少应包含以下内容：</w:t>
      </w:r>
    </w:p>
    <w:p w14:paraId="6990974C">
      <w:pPr>
        <w:keepNext w:val="0"/>
        <w:keepLines w:val="0"/>
        <w:pageBreakBefore w:val="0"/>
        <w:widowControl/>
        <w:spacing w:line="480" w:lineRule="exact"/>
        <w:ind w:firstLine="482"/>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安装计划</w:t>
      </w:r>
    </w:p>
    <w:p w14:paraId="6540F476">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1.前期准备</w:t>
      </w:r>
    </w:p>
    <w:p w14:paraId="46AFD3B7">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到货前 3 个工作日，我方技术人员现场勘查：实验室供电、接地、操作台、通风、气源、网络、安全防护条件，确认符合化工仪表及自动化设备安装规范。</w:t>
      </w:r>
    </w:p>
    <w:p w14:paraId="64A41221">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编制《设备安装就位平面图》《接线图》《管路布置图》，经校方确认后实施。</w:t>
      </w:r>
    </w:p>
    <w:p w14:paraId="59EA1144">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ED7D31" w:themeColor="accent2"/>
          <w:sz w:val="24"/>
          <w:szCs w:val="24"/>
          <w:lang w:val="en-US" w:eastAsia="zh-CN"/>
          <w14:textFill>
            <w14:solidFill>
              <w14:schemeClr w14:val="accent2"/>
            </w14:solidFill>
          </w14:textFill>
        </w:rPr>
        <w:t>卖方负责在买方现场安装、调试仪器并交付使用。安装（包括电线、管线等）、调试及所派人员的一切费用由卖方承担；仪器到达买方指定地点后，一周内执行安装调试直至达到验收指标。设备场地准备一：提供现场仪器应用的220平方的水电气路搭建以及完成现有场地物品搬运整理工作。设备场地准备二：提供现场仪器应用的80平方的水电气路搭建以及现场物品搬运整理工作。</w:t>
      </w:r>
    </w:p>
    <w:p w14:paraId="5B490E2E">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2.到货与开箱</w:t>
      </w:r>
    </w:p>
    <w:p w14:paraId="26E939F7">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设备送达指定地点，双方共同开箱清点：型号、数量、附件、说明书、合格证、检定证书、备品备件。</w:t>
      </w:r>
    </w:p>
    <w:p w14:paraId="3E53E02A">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做好开箱记录，拍照留档，缺损件立即补发。</w:t>
      </w:r>
    </w:p>
    <w:p w14:paraId="3101CD23">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3.安装实施</w:t>
      </w:r>
    </w:p>
    <w:p w14:paraId="652637FF">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按 “先主机后附件、先硬件后软件、先固定后接线” 顺序施工。</w:t>
      </w:r>
    </w:p>
    <w:p w14:paraId="45532209">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设备固定、水平校准、电气接线、信号线缆敷设、气源/管路连接规范整齐，标识清晰，符合教学实验室安全与实训要求。</w:t>
      </w:r>
    </w:p>
    <w:p w14:paraId="184041A0">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4.工期保障</w:t>
      </w:r>
    </w:p>
    <w:p w14:paraId="7AFBBB3B">
      <w:pPr>
        <w:keepNext w:val="0"/>
        <w:keepLines w:val="0"/>
        <w:pageBreakBefore w:val="0"/>
        <w:widowControl/>
        <w:spacing w:line="480" w:lineRule="exact"/>
        <w:ind w:firstLine="48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安装工期严格按合同约定执行，不影响教学秩序，尽量安排在周末 / 课余时间施工。投标人需制定详细的项目实施时间表，进度计划分解到各阶段时间点，明确各阶段工作内容及时间节点。项目整体周期不超过60日历天，从合同签订之日起计算。</w:t>
      </w:r>
    </w:p>
    <w:p w14:paraId="2E1E4905">
      <w:pPr>
        <w:keepNext w:val="0"/>
        <w:keepLines w:val="0"/>
        <w:pageBreakBefore w:val="0"/>
        <w:widowControl/>
        <w:spacing w:line="480" w:lineRule="exact"/>
        <w:ind w:firstLine="482"/>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（2）安装及维护人员配置</w:t>
      </w:r>
    </w:p>
    <w:p w14:paraId="2B8288EA">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1.项目负责人：1 名，全面统筹进度、质量、沟通协调。</w:t>
      </w:r>
    </w:p>
    <w:p w14:paraId="581A73C1">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2.现场安装工程师：2 名，负责硬件安装、就位、接线、管路施工。</w:t>
      </w:r>
    </w:p>
    <w:p w14:paraId="6F03AA20">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3.调试工程师：2 名，负责仪表校准、系统联调、软件部署、参数配置。</w:t>
      </w:r>
    </w:p>
    <w:p w14:paraId="1AB8CE2B">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4.售后维保工程师：2 名（驻场 / 快速响应），负责质保期内维修、巡检、保障教学使用。</w:t>
      </w:r>
    </w:p>
    <w:p w14:paraId="168B4B56">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5.所有人员持证上岗，具备化工仪表、自动化控制、教学设备安装调试经验。</w:t>
      </w:r>
    </w:p>
    <w:p w14:paraId="6DFCD6EC">
      <w:pPr>
        <w:keepNext w:val="0"/>
        <w:keepLines w:val="0"/>
        <w:pageBreakBefore w:val="0"/>
        <w:widowControl/>
        <w:spacing w:line="480" w:lineRule="exact"/>
        <w:ind w:firstLine="482"/>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（3）调试方案</w:t>
      </w:r>
    </w:p>
    <w:p w14:paraId="388E32FA">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1.硬件调试</w:t>
      </w:r>
    </w:p>
    <w:p w14:paraId="2E249A69">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供电、接地、绝缘、安全保护测试；仪表零点 / 量程校准；传感器、执行器、控制器单体测试。</w:t>
      </w:r>
    </w:p>
    <w:p w14:paraId="69BC2F83">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2.系统调试</w:t>
      </w:r>
    </w:p>
    <w:p w14:paraId="1CF4C970">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通讯组网、数据采集、控制逻辑、报警功能、画面显示、历史曲线、报表输出调试。</w:t>
      </w:r>
    </w:p>
    <w:p w14:paraId="1BE961E2">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模拟化工过程工况：温度、压力、流量、液位闭环控制调试，确保与教学实训内容一致。</w:t>
      </w:r>
    </w:p>
    <w:p w14:paraId="5CC5FA45">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3.软件调试</w:t>
      </w:r>
    </w:p>
    <w:p w14:paraId="4AEABA29">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操作系统、驱动、实训软件、组态软件、题库 / 实验指导软件安装激活，运行稳定。</w:t>
      </w:r>
    </w:p>
    <w:p w14:paraId="2496D4CC">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4.连续试运行</w:t>
      </w:r>
    </w:p>
    <w:p w14:paraId="5624A899">
      <w:pPr>
        <w:keepNext w:val="0"/>
        <w:keepLines w:val="0"/>
        <w:pageBreakBefore w:val="0"/>
        <w:widowControl/>
        <w:spacing w:line="480" w:lineRule="exact"/>
        <w:ind w:firstLine="48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整体系统连续试运行≥24 小时无故障，达到教学使用标准。</w:t>
      </w:r>
    </w:p>
    <w:p w14:paraId="00B5494E">
      <w:pPr>
        <w:keepNext w:val="0"/>
        <w:keepLines w:val="0"/>
        <w:pageBreakBefore w:val="0"/>
        <w:widowControl/>
        <w:spacing w:line="480" w:lineRule="exact"/>
        <w:ind w:firstLine="482"/>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（4）验收程序</w:t>
      </w:r>
    </w:p>
    <w:p w14:paraId="38636A61">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1.预验收（我方自检）</w:t>
      </w:r>
    </w:p>
    <w:p w14:paraId="3B7A185E">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安装调试完成后，我方完成全项自检，出具自检报告，提交验收申请。</w:t>
      </w:r>
    </w:p>
    <w:p w14:paraId="65AD1159">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2.资料验收</w:t>
      </w:r>
    </w:p>
    <w:p w14:paraId="774A4921">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提供完整资料：清单、说明书、合格证、检定 / 校准证书、软件光盘、图纸、维保手册、培训教材等。</w:t>
      </w:r>
    </w:p>
    <w:p w14:paraId="2ACADBDF">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3.现场验收</w:t>
      </w:r>
    </w:p>
    <w:p w14:paraId="5CCF145A">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校方组织验收小组，按招标文件、合同、技术参数逐项核对：外观、数量、功能、精度、稳定性、安全性。</w:t>
      </w:r>
    </w:p>
    <w:p w14:paraId="5568D151">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现场演示操作、实验项目验证、系统联动测试。</w:t>
      </w:r>
    </w:p>
    <w:p w14:paraId="56D2779D">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4.最终验收</w:t>
      </w:r>
    </w:p>
    <w:p w14:paraId="441BE0DC">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验收合格，双方签署《验收合格证书》，项目正式交付使用，进入质保期。</w:t>
      </w:r>
    </w:p>
    <w:p w14:paraId="464C242E">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5.不合格处理</w:t>
      </w:r>
    </w:p>
    <w:p w14:paraId="72132199">
      <w:pPr>
        <w:keepNext w:val="0"/>
        <w:keepLines w:val="0"/>
        <w:pageBreakBefore w:val="0"/>
        <w:widowControl/>
        <w:spacing w:line="48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立即整改，限期复验，直至完全满足教学要求。</w:t>
      </w:r>
    </w:p>
    <w:p w14:paraId="7C2B4D04">
      <w:pPr>
        <w:keepNext w:val="0"/>
        <w:keepLines w:val="0"/>
        <w:pageBreakBefore w:val="0"/>
        <w:widowControl/>
        <w:spacing w:line="48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rPr>
        <w:t>2.培训方案</w:t>
      </w:r>
    </w:p>
    <w:p w14:paraId="71063AA3">
      <w:pPr>
        <w:keepNext w:val="0"/>
        <w:keepLines w:val="0"/>
        <w:pageBreakBefore w:val="0"/>
        <w:widowControl/>
        <w:spacing w:line="480" w:lineRule="exact"/>
        <w:ind w:firstLine="482"/>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highlight w:val="none"/>
          <w:lang w:val="en-US" w:eastAsia="zh-CN"/>
        </w:rPr>
        <w:t>本方案聚焦相关设备操作与维护培训，</w:t>
      </w:r>
      <w:r>
        <w:rPr>
          <w:rFonts w:hint="eastAsia" w:ascii="宋体" w:hAnsi="宋体" w:eastAsia="宋体" w:cs="宋体"/>
          <w:b/>
          <w:bCs/>
          <w:color w:val="auto"/>
          <w:sz w:val="24"/>
          <w:szCs w:val="24"/>
          <w:lang w:val="en-US" w:eastAsia="zh-CN"/>
        </w:rPr>
        <w:t>方案至少应包含以下内容：</w:t>
      </w:r>
    </w:p>
    <w:p w14:paraId="02076AC5">
      <w:pPr>
        <w:keepNext w:val="0"/>
        <w:keepLines w:val="0"/>
        <w:pageBreakBefore w:val="0"/>
        <w:widowControl/>
        <w:spacing w:line="480" w:lineRule="exact"/>
        <w:ind w:firstLine="482"/>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（一）培训计划与目标</w:t>
      </w:r>
    </w:p>
    <w:p w14:paraId="69180A77">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培训对象：授课教师、实验员、相关教学管理人员。</w:t>
      </w:r>
    </w:p>
    <w:p w14:paraId="7CB1EF6F">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培训目标</w:t>
      </w:r>
    </w:p>
    <w:p w14:paraId="65FB1158">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教师：熟练掌握设备操作、实训项目开设、软件使用、实验指导与考核。</w:t>
      </w:r>
    </w:p>
    <w:p w14:paraId="350991EC">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实验员：掌握日常维护、简单故障处理、设备管理与安全规范。</w:t>
      </w:r>
    </w:p>
    <w:p w14:paraId="09DABE7C">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确保设备 “会用、用好、用安全”，满足课程教学与实训需求。</w:t>
      </w:r>
    </w:p>
    <w:p w14:paraId="76056158">
      <w:pPr>
        <w:keepNext w:val="0"/>
        <w:keepLines w:val="0"/>
        <w:pageBreakBefore w:val="0"/>
        <w:widowControl/>
        <w:spacing w:line="480" w:lineRule="exact"/>
        <w:ind w:firstLine="482"/>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（二）培训师资配置</w:t>
      </w:r>
    </w:p>
    <w:p w14:paraId="3AC6F1C8">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高级培训讲师：1 名（自动化 / 仪表专业，5 年以上教学设备培训经验）。</w:t>
      </w:r>
    </w:p>
    <w:p w14:paraId="6C6A2AEA">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实操培训工程师：2 名（负责现场演示、一对一指导、实训演练）。</w:t>
      </w:r>
    </w:p>
    <w:p w14:paraId="299E3A41">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（三）培训安排</w:t>
      </w:r>
    </w:p>
    <w:p w14:paraId="4F4B7229">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本次培训结合设备到货验收、安装调试进度开展，分批次、分阶段落地，不占用正常教学课时，培训周期为3天，具体安排如下：</w:t>
      </w:r>
    </w:p>
    <w:p w14:paraId="6838FCF1">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p>
    <w:tbl>
      <w:tblPr>
        <w:tblStyle w:val="40"/>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928"/>
        <w:gridCol w:w="1928"/>
        <w:gridCol w:w="1928"/>
        <w:gridCol w:w="1928"/>
        <w:gridCol w:w="1928"/>
      </w:tblGrid>
      <w:tr w14:paraId="1C59A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97" w:hRule="atLeast"/>
          <w:jc w:val="center"/>
        </w:trPr>
        <w:tc>
          <w:tcPr>
            <w:tcW w:w="1928" w:type="dxa"/>
            <w:tcMar>
              <w:top w:w="60" w:type="dxa"/>
              <w:left w:w="120" w:type="dxa"/>
              <w:bottom w:w="30" w:type="dxa"/>
              <w:right w:w="120" w:type="dxa"/>
            </w:tcMar>
            <w:vAlign w:val="center"/>
          </w:tcPr>
          <w:p w14:paraId="7E00E485">
            <w:pPr>
              <w:keepNext w:val="0"/>
              <w:keepLines w:val="0"/>
              <w:pageBreakBefore w:val="0"/>
              <w:widowControl/>
              <w:suppressLineNumbers w:val="0"/>
              <w:spacing w:before="0" w:beforeAutospacing="0" w:after="0" w:afterAutospacing="0" w:line="480" w:lineRule="exact"/>
              <w:ind w:left="0" w:right="0"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培训阶段</w:t>
            </w:r>
          </w:p>
        </w:tc>
        <w:tc>
          <w:tcPr>
            <w:tcW w:w="1928" w:type="dxa"/>
            <w:tcMar>
              <w:top w:w="60" w:type="dxa"/>
              <w:left w:w="120" w:type="dxa"/>
              <w:bottom w:w="30" w:type="dxa"/>
              <w:right w:w="120" w:type="dxa"/>
            </w:tcMar>
            <w:vAlign w:val="center"/>
          </w:tcPr>
          <w:p w14:paraId="2B4AE9D5">
            <w:pPr>
              <w:keepNext w:val="0"/>
              <w:keepLines w:val="0"/>
              <w:pageBreakBefore w:val="0"/>
              <w:widowControl/>
              <w:suppressLineNumbers w:val="0"/>
              <w:spacing w:before="0" w:beforeAutospacing="0" w:after="0" w:afterAutospacing="0" w:line="480" w:lineRule="exact"/>
              <w:ind w:left="0" w:right="0"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培训时间</w:t>
            </w:r>
          </w:p>
        </w:tc>
        <w:tc>
          <w:tcPr>
            <w:tcW w:w="1928" w:type="dxa"/>
            <w:tcMar>
              <w:top w:w="60" w:type="dxa"/>
              <w:left w:w="120" w:type="dxa"/>
              <w:bottom w:w="30" w:type="dxa"/>
              <w:right w:w="120" w:type="dxa"/>
            </w:tcMar>
            <w:vAlign w:val="center"/>
          </w:tcPr>
          <w:p w14:paraId="007D3E71">
            <w:pPr>
              <w:keepNext w:val="0"/>
              <w:keepLines w:val="0"/>
              <w:pageBreakBefore w:val="0"/>
              <w:widowControl/>
              <w:suppressLineNumbers w:val="0"/>
              <w:spacing w:before="0" w:beforeAutospacing="0" w:after="0" w:afterAutospacing="0" w:line="480" w:lineRule="exact"/>
              <w:ind w:left="0" w:right="0"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参训人员</w:t>
            </w:r>
          </w:p>
        </w:tc>
        <w:tc>
          <w:tcPr>
            <w:tcW w:w="1928" w:type="dxa"/>
            <w:tcMar>
              <w:top w:w="60" w:type="dxa"/>
              <w:left w:w="120" w:type="dxa"/>
              <w:bottom w:w="30" w:type="dxa"/>
              <w:right w:w="120" w:type="dxa"/>
            </w:tcMar>
            <w:vAlign w:val="center"/>
          </w:tcPr>
          <w:p w14:paraId="0654E2E3">
            <w:pPr>
              <w:keepNext w:val="0"/>
              <w:keepLines w:val="0"/>
              <w:pageBreakBefore w:val="0"/>
              <w:widowControl/>
              <w:suppressLineNumbers w:val="0"/>
              <w:spacing w:before="0" w:beforeAutospacing="0" w:after="0" w:afterAutospacing="0" w:line="480" w:lineRule="exact"/>
              <w:ind w:left="0" w:right="0"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培训场地</w:t>
            </w:r>
          </w:p>
        </w:tc>
        <w:tc>
          <w:tcPr>
            <w:tcW w:w="1928" w:type="dxa"/>
            <w:tcMar>
              <w:top w:w="60" w:type="dxa"/>
              <w:left w:w="120" w:type="dxa"/>
              <w:bottom w:w="30" w:type="dxa"/>
              <w:right w:w="120" w:type="dxa"/>
            </w:tcMar>
            <w:vAlign w:val="center"/>
          </w:tcPr>
          <w:p w14:paraId="70962477">
            <w:pPr>
              <w:keepNext w:val="0"/>
              <w:keepLines w:val="0"/>
              <w:pageBreakBefore w:val="0"/>
              <w:widowControl/>
              <w:suppressLineNumbers w:val="0"/>
              <w:spacing w:before="0" w:beforeAutospacing="0" w:after="0" w:afterAutospacing="0" w:line="480" w:lineRule="exact"/>
              <w:ind w:left="0" w:right="0"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核心工作</w:t>
            </w:r>
          </w:p>
        </w:tc>
      </w:tr>
      <w:tr w14:paraId="25E93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999" w:hRule="atLeast"/>
          <w:jc w:val="center"/>
        </w:trPr>
        <w:tc>
          <w:tcPr>
            <w:tcW w:w="1928" w:type="dxa"/>
            <w:tcMar>
              <w:top w:w="60" w:type="dxa"/>
              <w:left w:w="120" w:type="dxa"/>
              <w:bottom w:w="30" w:type="dxa"/>
              <w:right w:w="120" w:type="dxa"/>
            </w:tcMar>
            <w:vAlign w:val="center"/>
          </w:tcPr>
          <w:p w14:paraId="1F19B698">
            <w:pPr>
              <w:keepNext w:val="0"/>
              <w:keepLines w:val="0"/>
              <w:pageBreakBefore w:val="0"/>
              <w:widowControl/>
              <w:suppressLineNumbers w:val="0"/>
              <w:spacing w:before="0" w:beforeAutospacing="0" w:after="0" w:afterAutospacing="0" w:line="480" w:lineRule="exact"/>
              <w:ind w:left="0" w:right="0" w:firstLine="48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第一阶段：理论+设备初识</w:t>
            </w:r>
          </w:p>
        </w:tc>
        <w:tc>
          <w:tcPr>
            <w:tcW w:w="1928" w:type="dxa"/>
            <w:tcMar>
              <w:top w:w="60" w:type="dxa"/>
              <w:left w:w="120" w:type="dxa"/>
              <w:bottom w:w="30" w:type="dxa"/>
              <w:right w:w="120" w:type="dxa"/>
            </w:tcMar>
            <w:vAlign w:val="center"/>
          </w:tcPr>
          <w:p w14:paraId="577D0270">
            <w:pPr>
              <w:keepNext w:val="0"/>
              <w:keepLines w:val="0"/>
              <w:pageBreakBefore w:val="0"/>
              <w:widowControl/>
              <w:suppressLineNumbers w:val="0"/>
              <w:spacing w:before="0" w:beforeAutospacing="0" w:after="0" w:afterAutospacing="0" w:line="480" w:lineRule="exact"/>
              <w:ind w:left="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设备安装调试当日 14:00-17:00</w:t>
            </w:r>
          </w:p>
        </w:tc>
        <w:tc>
          <w:tcPr>
            <w:tcW w:w="1928" w:type="dxa"/>
            <w:tcMar>
              <w:top w:w="60" w:type="dxa"/>
              <w:left w:w="120" w:type="dxa"/>
              <w:bottom w:w="30" w:type="dxa"/>
              <w:right w:w="120" w:type="dxa"/>
            </w:tcMar>
            <w:vAlign w:val="center"/>
          </w:tcPr>
          <w:p w14:paraId="57944E04">
            <w:pPr>
              <w:keepNext w:val="0"/>
              <w:keepLines w:val="0"/>
              <w:pageBreakBefore w:val="0"/>
              <w:widowControl/>
              <w:suppressLineNumbers w:val="0"/>
              <w:spacing w:before="0" w:beforeAutospacing="0" w:after="0" w:afterAutospacing="0" w:line="480" w:lineRule="exact"/>
              <w:ind w:left="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全体参训人员</w:t>
            </w:r>
          </w:p>
        </w:tc>
        <w:tc>
          <w:tcPr>
            <w:tcW w:w="1928" w:type="dxa"/>
            <w:tcMar>
              <w:top w:w="60" w:type="dxa"/>
              <w:left w:w="120" w:type="dxa"/>
              <w:bottom w:w="30" w:type="dxa"/>
              <w:right w:w="120" w:type="dxa"/>
            </w:tcMar>
            <w:vAlign w:val="center"/>
          </w:tcPr>
          <w:p w14:paraId="5B7F1408">
            <w:pPr>
              <w:keepNext w:val="0"/>
              <w:keepLines w:val="0"/>
              <w:pageBreakBefore w:val="0"/>
              <w:widowControl/>
              <w:suppressLineNumbers w:val="0"/>
              <w:spacing w:before="0" w:beforeAutospacing="0" w:after="0" w:afterAutospacing="0" w:line="480" w:lineRule="exact"/>
              <w:ind w:left="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专业实训教室/会议室</w:t>
            </w:r>
          </w:p>
        </w:tc>
        <w:tc>
          <w:tcPr>
            <w:tcW w:w="1928" w:type="dxa"/>
            <w:tcMar>
              <w:top w:w="60" w:type="dxa"/>
              <w:left w:w="120" w:type="dxa"/>
              <w:bottom w:w="30" w:type="dxa"/>
              <w:right w:w="120" w:type="dxa"/>
            </w:tcMar>
            <w:vAlign w:val="center"/>
          </w:tcPr>
          <w:p w14:paraId="6C1FE468">
            <w:pPr>
              <w:keepNext w:val="0"/>
              <w:keepLines w:val="0"/>
              <w:pageBreakBefore w:val="0"/>
              <w:widowControl/>
              <w:suppressLineNumbers w:val="0"/>
              <w:spacing w:before="0" w:beforeAutospacing="0" w:after="0" w:afterAutospacing="0" w:line="480" w:lineRule="exact"/>
              <w:ind w:left="0" w:right="0" w:firstLine="48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设备原理讲解、安全规范、整体功能介绍</w:t>
            </w:r>
          </w:p>
        </w:tc>
      </w:tr>
      <w:tr w14:paraId="4BA2A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50" w:hRule="atLeast"/>
          <w:jc w:val="center"/>
        </w:trPr>
        <w:tc>
          <w:tcPr>
            <w:tcW w:w="1928" w:type="dxa"/>
            <w:tcMar>
              <w:top w:w="60" w:type="dxa"/>
              <w:left w:w="120" w:type="dxa"/>
              <w:bottom w:w="30" w:type="dxa"/>
              <w:right w:w="120" w:type="dxa"/>
            </w:tcMar>
            <w:vAlign w:val="center"/>
          </w:tcPr>
          <w:p w14:paraId="0E1FB229">
            <w:pPr>
              <w:keepNext w:val="0"/>
              <w:keepLines w:val="0"/>
              <w:pageBreakBefore w:val="0"/>
              <w:widowControl/>
              <w:suppressLineNumbers w:val="0"/>
              <w:spacing w:before="0" w:beforeAutospacing="0" w:after="0" w:afterAutospacing="0" w:line="480" w:lineRule="exact"/>
              <w:ind w:left="0" w:right="0" w:firstLine="48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第二阶段：实操分岗培训</w:t>
            </w:r>
          </w:p>
        </w:tc>
        <w:tc>
          <w:tcPr>
            <w:tcW w:w="1928" w:type="dxa"/>
            <w:tcMar>
              <w:top w:w="60" w:type="dxa"/>
              <w:left w:w="120" w:type="dxa"/>
              <w:bottom w:w="30" w:type="dxa"/>
              <w:right w:w="120" w:type="dxa"/>
            </w:tcMar>
            <w:vAlign w:val="center"/>
          </w:tcPr>
          <w:p w14:paraId="63E14D07">
            <w:pPr>
              <w:keepNext w:val="0"/>
              <w:keepLines w:val="0"/>
              <w:pageBreakBefore w:val="0"/>
              <w:widowControl/>
              <w:suppressLineNumbers w:val="0"/>
              <w:spacing w:before="0" w:beforeAutospacing="0" w:after="0" w:afterAutospacing="0" w:line="480" w:lineRule="exact"/>
              <w:ind w:left="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设备调试次日 09:00-12:00、14:00-17:00</w:t>
            </w:r>
          </w:p>
        </w:tc>
        <w:tc>
          <w:tcPr>
            <w:tcW w:w="1928" w:type="dxa"/>
            <w:tcMar>
              <w:top w:w="60" w:type="dxa"/>
              <w:left w:w="120" w:type="dxa"/>
              <w:bottom w:w="30" w:type="dxa"/>
              <w:right w:w="120" w:type="dxa"/>
            </w:tcMar>
            <w:vAlign w:val="center"/>
          </w:tcPr>
          <w:p w14:paraId="61692B19">
            <w:pPr>
              <w:keepNext w:val="0"/>
              <w:keepLines w:val="0"/>
              <w:pageBreakBefore w:val="0"/>
              <w:widowControl/>
              <w:suppressLineNumbers w:val="0"/>
              <w:spacing w:before="0" w:beforeAutospacing="0" w:after="0" w:afterAutospacing="0" w:line="480" w:lineRule="exact"/>
              <w:ind w:left="0" w:right="0" w:firstLine="48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教师组、运维组分批参训</w:t>
            </w:r>
          </w:p>
        </w:tc>
        <w:tc>
          <w:tcPr>
            <w:tcW w:w="1928" w:type="dxa"/>
            <w:tcMar>
              <w:top w:w="60" w:type="dxa"/>
              <w:left w:w="120" w:type="dxa"/>
              <w:bottom w:w="30" w:type="dxa"/>
              <w:right w:w="120" w:type="dxa"/>
            </w:tcMar>
            <w:vAlign w:val="center"/>
          </w:tcPr>
          <w:p w14:paraId="48BABF60">
            <w:pPr>
              <w:keepNext w:val="0"/>
              <w:keepLines w:val="0"/>
              <w:pageBreakBefore w:val="0"/>
              <w:widowControl/>
              <w:suppressLineNumbers w:val="0"/>
              <w:spacing w:before="0" w:beforeAutospacing="0" w:after="0" w:afterAutospacing="0" w:line="480" w:lineRule="exact"/>
              <w:ind w:left="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设备实操实训场地</w:t>
            </w:r>
          </w:p>
        </w:tc>
        <w:tc>
          <w:tcPr>
            <w:tcW w:w="1928" w:type="dxa"/>
            <w:tcMar>
              <w:top w:w="60" w:type="dxa"/>
              <w:left w:w="120" w:type="dxa"/>
              <w:bottom w:w="30" w:type="dxa"/>
              <w:right w:w="120" w:type="dxa"/>
            </w:tcMar>
            <w:vAlign w:val="center"/>
          </w:tcPr>
          <w:p w14:paraId="7C9364C4">
            <w:pPr>
              <w:keepNext w:val="0"/>
              <w:keepLines w:val="0"/>
              <w:pageBreakBefore w:val="0"/>
              <w:widowControl/>
              <w:suppressLineNumbers w:val="0"/>
              <w:spacing w:before="0" w:beforeAutospacing="0" w:after="0" w:afterAutospacing="0" w:line="480" w:lineRule="exact"/>
              <w:ind w:left="0" w:right="0" w:firstLine="48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实操教学、运维保养、故障实操演练</w:t>
            </w:r>
          </w:p>
        </w:tc>
      </w:tr>
      <w:tr w14:paraId="7D66C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18" w:hRule="atLeast"/>
          <w:jc w:val="center"/>
        </w:trPr>
        <w:tc>
          <w:tcPr>
            <w:tcW w:w="1928" w:type="dxa"/>
            <w:tcMar>
              <w:top w:w="60" w:type="dxa"/>
              <w:left w:w="120" w:type="dxa"/>
              <w:bottom w:w="30" w:type="dxa"/>
              <w:right w:w="120" w:type="dxa"/>
            </w:tcMar>
            <w:vAlign w:val="center"/>
          </w:tcPr>
          <w:p w14:paraId="4C966F30">
            <w:pPr>
              <w:keepNext w:val="0"/>
              <w:keepLines w:val="0"/>
              <w:pageBreakBefore w:val="0"/>
              <w:widowControl/>
              <w:suppressLineNumbers w:val="0"/>
              <w:spacing w:before="0" w:beforeAutospacing="0" w:after="0" w:afterAutospacing="0" w:line="480" w:lineRule="exact"/>
              <w:ind w:left="0" w:right="0" w:firstLine="48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第三阶段：答疑+考核验收</w:t>
            </w:r>
          </w:p>
        </w:tc>
        <w:tc>
          <w:tcPr>
            <w:tcW w:w="1928" w:type="dxa"/>
            <w:tcMar>
              <w:top w:w="60" w:type="dxa"/>
              <w:left w:w="120" w:type="dxa"/>
              <w:bottom w:w="30" w:type="dxa"/>
              <w:right w:w="120" w:type="dxa"/>
            </w:tcMar>
            <w:vAlign w:val="center"/>
          </w:tcPr>
          <w:p w14:paraId="677458A6">
            <w:pPr>
              <w:keepNext w:val="0"/>
              <w:keepLines w:val="0"/>
              <w:pageBreakBefore w:val="0"/>
              <w:widowControl/>
              <w:suppressLineNumbers w:val="0"/>
              <w:spacing w:before="0" w:beforeAutospacing="0" w:after="0" w:afterAutospacing="0" w:line="480" w:lineRule="exact"/>
              <w:ind w:left="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培训第三日 10:00-16:00</w:t>
            </w:r>
          </w:p>
        </w:tc>
        <w:tc>
          <w:tcPr>
            <w:tcW w:w="1928" w:type="dxa"/>
            <w:tcMar>
              <w:top w:w="60" w:type="dxa"/>
              <w:left w:w="120" w:type="dxa"/>
              <w:bottom w:w="30" w:type="dxa"/>
              <w:right w:w="120" w:type="dxa"/>
            </w:tcMar>
            <w:vAlign w:val="center"/>
          </w:tcPr>
          <w:p w14:paraId="7A88777C">
            <w:pPr>
              <w:keepNext w:val="0"/>
              <w:keepLines w:val="0"/>
              <w:pageBreakBefore w:val="0"/>
              <w:widowControl/>
              <w:suppressLineNumbers w:val="0"/>
              <w:spacing w:before="0" w:beforeAutospacing="0" w:after="0" w:afterAutospacing="0" w:line="480" w:lineRule="exact"/>
              <w:ind w:left="0" w:right="0" w:firstLine="48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全体核心参训人员</w:t>
            </w:r>
          </w:p>
        </w:tc>
        <w:tc>
          <w:tcPr>
            <w:tcW w:w="1928" w:type="dxa"/>
            <w:tcMar>
              <w:top w:w="60" w:type="dxa"/>
              <w:left w:w="120" w:type="dxa"/>
              <w:bottom w:w="30" w:type="dxa"/>
              <w:right w:w="120" w:type="dxa"/>
            </w:tcMar>
            <w:vAlign w:val="center"/>
          </w:tcPr>
          <w:p w14:paraId="7B8FCF46">
            <w:pPr>
              <w:keepNext w:val="0"/>
              <w:keepLines w:val="0"/>
              <w:pageBreakBefore w:val="0"/>
              <w:widowControl/>
              <w:suppressLineNumbers w:val="0"/>
              <w:spacing w:before="0" w:beforeAutospacing="0" w:after="0" w:afterAutospacing="0" w:line="480" w:lineRule="exact"/>
              <w:ind w:left="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设备实操实训场地</w:t>
            </w:r>
          </w:p>
        </w:tc>
        <w:tc>
          <w:tcPr>
            <w:tcW w:w="1928" w:type="dxa"/>
            <w:tcMar>
              <w:top w:w="60" w:type="dxa"/>
              <w:left w:w="120" w:type="dxa"/>
              <w:bottom w:w="30" w:type="dxa"/>
              <w:right w:w="120" w:type="dxa"/>
            </w:tcMar>
            <w:vAlign w:val="center"/>
          </w:tcPr>
          <w:p w14:paraId="78F98090">
            <w:pPr>
              <w:keepNext w:val="0"/>
              <w:keepLines w:val="0"/>
              <w:pageBreakBefore w:val="0"/>
              <w:widowControl/>
              <w:suppressLineNumbers w:val="0"/>
              <w:spacing w:before="0" w:beforeAutospacing="0" w:after="0" w:afterAutospacing="0" w:line="480" w:lineRule="exact"/>
              <w:ind w:left="0" w:right="0" w:firstLine="48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问题答疑、一对一指导、实操+理论考核</w:t>
            </w:r>
          </w:p>
        </w:tc>
      </w:tr>
    </w:tbl>
    <w:p w14:paraId="7F5184C2">
      <w:pPr>
        <w:keepNext w:val="0"/>
        <w:keepLines w:val="0"/>
        <w:pageBreakBefore w:val="0"/>
        <w:widowControl/>
        <w:spacing w:line="480" w:lineRule="exact"/>
        <w:ind w:firstLine="48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（四）培训内容</w:t>
      </w:r>
    </w:p>
    <w:p w14:paraId="64132AD8">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设备结构原理、技术参数、安全操作规程。</w:t>
      </w:r>
    </w:p>
    <w:p w14:paraId="31D6837C">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仪表校准、传感器调试、控制系统操作。</w:t>
      </w:r>
    </w:p>
    <w:p w14:paraId="0269F4F2">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实训软件 / 组态软件使用、实验项目开设流程。</w:t>
      </w:r>
    </w:p>
    <w:p w14:paraId="6742C2F4">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日常保养、简单故障判断与排除、应急处理。</w:t>
      </w:r>
    </w:p>
    <w:p w14:paraId="0A019C41">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实验室安全、用电用气安全、防护与管理要求。</w:t>
      </w:r>
    </w:p>
    <w:p w14:paraId="2F9AD56C">
      <w:pPr>
        <w:keepNext w:val="0"/>
        <w:keepLines w:val="0"/>
        <w:pageBreakBefore w:val="0"/>
        <w:widowControl/>
        <w:spacing w:line="480" w:lineRule="exact"/>
        <w:ind w:firstLine="48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（五）培训质量控制</w:t>
      </w:r>
    </w:p>
    <w:p w14:paraId="2849EBE7">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提供培训教材 / PPT / 操作手册。</w:t>
      </w:r>
    </w:p>
    <w:p w14:paraId="2FEFCA89">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现场实操考核，人人过关。</w:t>
      </w:r>
    </w:p>
    <w:p w14:paraId="240FC9D3">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培训签到、记录、拍照存档，出具《培训合格确认单》。</w:t>
      </w:r>
    </w:p>
    <w:p w14:paraId="056516BA">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培训后长期提供技术咨询，支持教师开发实训课程。</w:t>
      </w:r>
    </w:p>
    <w:p w14:paraId="04A4BB18">
      <w:pPr>
        <w:keepNext w:val="0"/>
        <w:keepLines w:val="0"/>
        <w:pageBreakBefore w:val="0"/>
        <w:widowControl/>
        <w:spacing w:line="480" w:lineRule="exact"/>
        <w:ind w:firstLine="482"/>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3.售后服务方案 </w:t>
      </w:r>
    </w:p>
    <w:p w14:paraId="48A583FF">
      <w:pPr>
        <w:keepNext w:val="0"/>
        <w:keepLines w:val="0"/>
        <w:pageBreakBefore w:val="0"/>
        <w:widowControl/>
        <w:numPr>
          <w:ilvl w:val="0"/>
          <w:numId w:val="0"/>
        </w:numPr>
        <w:spacing w:line="480" w:lineRule="exact"/>
        <w:ind w:firstLine="482"/>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聚焦“快速响应与长效运维”，本方案至少应包含以下内容：</w:t>
      </w:r>
    </w:p>
    <w:p w14:paraId="0E5295A5">
      <w:pPr>
        <w:keepNext w:val="0"/>
        <w:keepLines w:val="0"/>
        <w:pageBreakBefore w:val="0"/>
        <w:widowControl/>
        <w:spacing w:line="480" w:lineRule="exact"/>
        <w:ind w:firstLine="48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（一）售后服务响应时间、服务流程</w:t>
      </w:r>
    </w:p>
    <w:p w14:paraId="3E0D6F05">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响应时间</w:t>
      </w:r>
    </w:p>
    <w:p w14:paraId="506E2F7D">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承诺10分钟予以电话支持响应，4小时到达现场， 8小时以内完成采购人提出的免费维修要求；修理、更换费用由中标人负责。如中标人在接到通知后8小时内没有答复或处理问题，则视为中标人承认质量问题并承担由此而发生的一切费用,采购人有权自行派人进行修复，发生的费用在质量保修金内按实扣除，另扣双倍费用作为违约赔偿。</w:t>
      </w:r>
    </w:p>
    <w:p w14:paraId="5F5ED8C5">
      <w:pPr>
        <w:keepNext w:val="0"/>
        <w:keepLines w:val="0"/>
        <w:pageBreakBefore w:val="0"/>
        <w:widowControl/>
        <w:spacing w:line="480" w:lineRule="exact"/>
        <w:ind w:firstLine="48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服务流程</w:t>
      </w:r>
    </w:p>
    <w:p w14:paraId="3831744D">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报修→登记派单→工程师响应→远程指导→现场维修→故障排除→验收确认→回访归档。</w:t>
      </w:r>
    </w:p>
    <w:p w14:paraId="698C10D4">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备用保障</w:t>
      </w:r>
    </w:p>
    <w:p w14:paraId="6BB62495">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教学设备如遇重大故障，优先提供备用件 / 替代方案，保障教学不中断。</w:t>
      </w:r>
    </w:p>
    <w:p w14:paraId="73D7E08D">
      <w:pPr>
        <w:keepNext w:val="0"/>
        <w:keepLines w:val="0"/>
        <w:pageBreakBefore w:val="0"/>
        <w:widowControl w:val="0"/>
        <w:spacing w:line="500" w:lineRule="exact"/>
        <w:ind w:firstLine="482"/>
        <w:jc w:val="left"/>
        <w:rPr>
          <w:rFonts w:hint="eastAsia" w:ascii="宋体" w:hAnsi="宋体" w:cs="宋体"/>
          <w:b/>
          <w:bCs/>
          <w:sz w:val="24"/>
        </w:rPr>
      </w:pPr>
      <w:r>
        <w:rPr>
          <w:rFonts w:hint="eastAsia" w:ascii="宋体" w:hAnsi="宋体" w:cs="宋体"/>
          <w:b/>
          <w:bCs/>
          <w:sz w:val="24"/>
        </w:rPr>
        <w:t>退换货与更换服务</w:t>
      </w:r>
    </w:p>
    <w:p w14:paraId="4D3F4033">
      <w:pPr>
        <w:keepNext w:val="0"/>
        <w:keepLines w:val="0"/>
        <w:pageBreakBefore w:val="0"/>
        <w:widowControl/>
        <w:spacing w:line="480" w:lineRule="exact"/>
        <w:ind w:firstLine="480"/>
        <w:rPr>
          <w:rFonts w:hint="eastAsia" w:ascii="宋体" w:hAnsi="宋体" w:eastAsia="宋体" w:cs="宋体"/>
          <w:b/>
          <w:bCs/>
          <w:color w:val="auto"/>
          <w:sz w:val="24"/>
          <w:szCs w:val="24"/>
          <w:lang w:val="en-US" w:eastAsia="zh-CN"/>
        </w:rPr>
      </w:pPr>
      <w:r>
        <w:rPr>
          <w:rFonts w:hint="eastAsia" w:ascii="宋体" w:hAnsi="宋体" w:cs="宋体"/>
          <w:sz w:val="24"/>
        </w:rPr>
        <w:t>针对“设备验收不合格”，根据产品质量问题的严重程度，需明确退换货/更换的条件、流程及时效，并承诺赔偿因此造成的损失。</w:t>
      </w:r>
    </w:p>
    <w:p w14:paraId="2E72947E">
      <w:pPr>
        <w:keepNext w:val="0"/>
        <w:keepLines w:val="0"/>
        <w:pageBreakBefore w:val="0"/>
        <w:widowControl w:val="0"/>
        <w:spacing w:line="500" w:lineRule="exact"/>
        <w:ind w:firstLine="482"/>
        <w:jc w:val="left"/>
        <w:rPr>
          <w:rFonts w:hint="eastAsia" w:ascii="宋体" w:hAnsi="宋体" w:cs="宋体"/>
          <w:b/>
          <w:bCs/>
          <w:sz w:val="24"/>
        </w:rPr>
      </w:pPr>
      <w:r>
        <w:rPr>
          <w:rFonts w:hint="eastAsia" w:ascii="宋体" w:hAnsi="宋体" w:cs="宋体"/>
          <w:b/>
          <w:bCs/>
          <w:sz w:val="24"/>
        </w:rPr>
        <w:t>定期巡检与预防性维护</w:t>
      </w:r>
    </w:p>
    <w:p w14:paraId="41512A08">
      <w:pPr>
        <w:keepNext w:val="0"/>
        <w:keepLines w:val="0"/>
        <w:pageBreakBefore w:val="0"/>
        <w:widowControl w:val="0"/>
        <w:spacing w:line="500" w:lineRule="exact"/>
        <w:ind w:firstLine="482"/>
        <w:jc w:val="left"/>
        <w:rPr>
          <w:rFonts w:hint="eastAsia" w:ascii="宋体" w:hAnsi="宋体" w:cs="宋体"/>
          <w:sz w:val="24"/>
        </w:rPr>
      </w:pPr>
      <w:r>
        <w:rPr>
          <w:rFonts w:hint="eastAsia" w:ascii="宋体" w:hAnsi="宋体" w:cs="宋体"/>
          <w:sz w:val="24"/>
        </w:rPr>
        <w:t>需在设备安装验收后至少每季度至少电话回访1次，了解设备使用情况并记录；每半年至少上门定期维护1次，对设备进行全面巡检，包括设备运行检查、安全隐患排查等，重点关注设备核心部件损耗情况。</w:t>
      </w:r>
    </w:p>
    <w:p w14:paraId="0F63A15E">
      <w:pPr>
        <w:keepNext w:val="0"/>
        <w:keepLines w:val="0"/>
        <w:pageBreakBefore w:val="0"/>
        <w:widowControl w:val="0"/>
        <w:spacing w:line="500" w:lineRule="exact"/>
        <w:ind w:firstLine="482"/>
        <w:jc w:val="left"/>
        <w:rPr>
          <w:rFonts w:hint="eastAsia" w:ascii="宋体" w:hAnsi="宋体" w:cs="宋体"/>
          <w:sz w:val="24"/>
        </w:rPr>
      </w:pPr>
      <w:r>
        <w:rPr>
          <w:rFonts w:hint="eastAsia" w:ascii="宋体" w:hAnsi="宋体" w:cs="宋体"/>
          <w:b/>
          <w:bCs/>
          <w:sz w:val="24"/>
        </w:rPr>
        <w:t>售后保障承诺</w:t>
      </w:r>
    </w:p>
    <w:p w14:paraId="607AF10E">
      <w:pPr>
        <w:keepNext w:val="0"/>
        <w:keepLines w:val="0"/>
        <w:pageBreakBefore w:val="0"/>
        <w:widowControl w:val="0"/>
        <w:spacing w:line="500" w:lineRule="exact"/>
        <w:ind w:firstLine="482"/>
        <w:jc w:val="left"/>
        <w:rPr>
          <w:rFonts w:hint="eastAsia" w:ascii="宋体" w:hAnsi="宋体" w:eastAsia="宋体" w:cs="宋体"/>
          <w:b/>
          <w:bCs/>
          <w:color w:val="auto"/>
          <w:sz w:val="24"/>
          <w:szCs w:val="24"/>
          <w:lang w:val="en-US" w:eastAsia="zh-CN"/>
        </w:rPr>
      </w:pPr>
      <w:r>
        <w:rPr>
          <w:rFonts w:hint="eastAsia" w:ascii="宋体" w:hAnsi="宋体" w:cs="宋体"/>
          <w:sz w:val="24"/>
        </w:rPr>
        <w:t>需明确质保期服务、正品保障、损失赔偿等承诺，严格遵循招标文件“不低于三年免费质保”等条款，保修期自甲方验收合格之日算起，保修范围包括所有配置。</w:t>
      </w:r>
    </w:p>
    <w:p w14:paraId="1AFBF235">
      <w:pPr>
        <w:keepNext w:val="0"/>
        <w:keepLines w:val="0"/>
        <w:pageBreakBefore w:val="0"/>
        <w:widowControl/>
        <w:spacing w:line="480" w:lineRule="exact"/>
        <w:ind w:firstLine="48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（二）售后维保服务人员</w:t>
      </w:r>
    </w:p>
    <w:p w14:paraId="28D94C4F">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固定售后维保工程师 2 名以上，专人对接项目。</w:t>
      </w:r>
    </w:p>
    <w:p w14:paraId="7FB6AF1C">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提供人员姓名、电话、邮箱，确保联系畅通。</w:t>
      </w:r>
    </w:p>
    <w:p w14:paraId="149043FF">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定期上门巡检、保养、校准，建立维保档案。</w:t>
      </w:r>
    </w:p>
    <w:p w14:paraId="41CF0791">
      <w:pPr>
        <w:keepNext w:val="0"/>
        <w:keepLines w:val="0"/>
        <w:pageBreakBefore w:val="0"/>
        <w:widowControl/>
        <w:spacing w:line="480" w:lineRule="exact"/>
        <w:ind w:firstLine="48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（三）服务监督改进措施</w:t>
      </w:r>
    </w:p>
    <w:p w14:paraId="711DCF49">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质量监督：设立服务投诉电话 / 邮箱，全程跟踪处理。</w:t>
      </w:r>
    </w:p>
    <w:p w14:paraId="6B27DF43">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定期回访：每月回访，每季度现场巡检，听取校方意见。</w:t>
      </w:r>
    </w:p>
    <w:p w14:paraId="0479A344">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持续改进：建立问题台账，闭环管理，不断提升服务质量。</w:t>
      </w:r>
    </w:p>
    <w:p w14:paraId="263B4603">
      <w:pPr>
        <w:keepNext w:val="0"/>
        <w:keepLines w:val="0"/>
        <w:pageBreakBefore w:val="0"/>
        <w:widowControl/>
        <w:spacing w:line="480" w:lineRule="exact"/>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质保承诺：严格按合同承诺提供质保，质保期内免费维修、免费更换非人为损坏配件。</w:t>
      </w:r>
    </w:p>
    <w:p w14:paraId="63F8611B">
      <w:pPr>
        <w:keepNext w:val="0"/>
        <w:keepLines w:val="0"/>
        <w:pageBreakBefore w:val="0"/>
        <w:widowControl/>
        <w:spacing w:line="480" w:lineRule="exact"/>
        <w:ind w:firstLine="482"/>
        <w:jc w:val="left"/>
        <w:rPr>
          <w:rFonts w:hint="eastAsia" w:ascii="宋体" w:hAnsi="宋体" w:cs="宋体"/>
          <w:b/>
          <w:bCs/>
          <w:color w:val="auto"/>
          <w:sz w:val="24"/>
          <w:szCs w:val="24"/>
          <w:lang w:val="en-US" w:eastAsia="zh-CN"/>
          <w14:ligatures w14:val="none"/>
        </w:rPr>
      </w:pPr>
      <w:r>
        <w:rPr>
          <w:rFonts w:hint="eastAsia" w:ascii="宋体" w:hAnsi="宋体" w:cs="宋体"/>
          <w:b/>
          <w:bCs/>
          <w:color w:val="auto"/>
          <w:sz w:val="24"/>
          <w:szCs w:val="24"/>
          <w:lang w:val="en-US" w:eastAsia="zh-CN"/>
        </w:rPr>
        <w:t>八、采购标的对应的中小企业划分标准所属行业一览表</w:t>
      </w:r>
    </w:p>
    <w:tbl>
      <w:tblPr>
        <w:tblStyle w:val="40"/>
        <w:tblW w:w="93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055"/>
        <w:gridCol w:w="4298"/>
        <w:gridCol w:w="4006"/>
      </w:tblGrid>
      <w:tr w14:paraId="59309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27" w:hRule="atLeast"/>
          <w:jc w:val="center"/>
        </w:trPr>
        <w:tc>
          <w:tcPr>
            <w:tcW w:w="1055" w:type="dxa"/>
            <w:tcBorders>
              <w:top w:val="single" w:color="000000" w:sz="6" w:space="0"/>
              <w:left w:val="single" w:color="000000" w:sz="6" w:space="0"/>
              <w:bottom w:val="single" w:color="000000" w:sz="6" w:space="0"/>
              <w:right w:val="single" w:color="000000" w:sz="6" w:space="0"/>
            </w:tcBorders>
            <w:shd w:val="clear" w:color="auto" w:fill="auto"/>
            <w:noWrap w:val="0"/>
            <w:tcMar>
              <w:top w:w="120" w:type="dxa"/>
              <w:left w:w="120" w:type="dxa"/>
              <w:bottom w:w="120" w:type="dxa"/>
              <w:right w:w="120" w:type="dxa"/>
            </w:tcMar>
            <w:vAlign w:val="center"/>
          </w:tcPr>
          <w:p w14:paraId="240340AF">
            <w:pPr>
              <w:keepNext w:val="0"/>
              <w:keepLines w:val="0"/>
              <w:pageBreakBefore w:val="0"/>
              <w:widowControl/>
              <w:suppressLineNumbers w:val="0"/>
              <w:spacing w:before="0" w:beforeAutospacing="0" w:after="0" w:afterAutospacing="0" w:line="300" w:lineRule="exact"/>
              <w:ind w:left="0" w:right="0"/>
              <w:jc w:val="center"/>
              <w:rPr>
                <w:rFonts w:hint="eastAsia"/>
                <w:b/>
                <w:bCs/>
                <w:color w:val="auto"/>
                <w:lang w:eastAsia="zh-CN"/>
              </w:rPr>
            </w:pPr>
            <w:r>
              <w:rPr>
                <w:rFonts w:hint="eastAsia"/>
                <w:b/>
                <w:bCs/>
                <w:color w:val="auto"/>
                <w:lang w:val="en-US" w:eastAsia="zh-CN"/>
              </w:rPr>
              <w:t>序号</w:t>
            </w:r>
          </w:p>
        </w:tc>
        <w:tc>
          <w:tcPr>
            <w:tcW w:w="4298" w:type="dxa"/>
            <w:tcBorders>
              <w:top w:val="single" w:color="000000" w:sz="6" w:space="0"/>
              <w:left w:val="single" w:color="000000" w:sz="6" w:space="0"/>
              <w:bottom w:val="single" w:color="000000" w:sz="6" w:space="0"/>
              <w:right w:val="single" w:color="000000" w:sz="6" w:space="0"/>
            </w:tcBorders>
            <w:shd w:val="clear" w:color="auto" w:fill="auto"/>
            <w:noWrap w:val="0"/>
            <w:tcMar>
              <w:top w:w="120" w:type="dxa"/>
              <w:left w:w="120" w:type="dxa"/>
              <w:bottom w:w="120" w:type="dxa"/>
              <w:right w:w="120" w:type="dxa"/>
            </w:tcMar>
            <w:vAlign w:val="center"/>
          </w:tcPr>
          <w:p w14:paraId="3F939333">
            <w:pPr>
              <w:keepNext w:val="0"/>
              <w:keepLines w:val="0"/>
              <w:pageBreakBefore w:val="0"/>
              <w:widowControl/>
              <w:suppressLineNumbers w:val="0"/>
              <w:spacing w:before="0" w:beforeAutospacing="0" w:after="0" w:afterAutospacing="0" w:line="300" w:lineRule="exact"/>
              <w:ind w:left="0" w:right="0"/>
              <w:jc w:val="center"/>
              <w:rPr>
                <w:rFonts w:hint="eastAsia"/>
                <w:b/>
                <w:bCs/>
                <w:color w:val="auto"/>
              </w:rPr>
            </w:pPr>
            <w:r>
              <w:rPr>
                <w:rFonts w:hint="eastAsia"/>
                <w:b/>
                <w:bCs/>
                <w:color w:val="auto"/>
              </w:rPr>
              <w:t>采购标的</w:t>
            </w:r>
          </w:p>
        </w:tc>
        <w:tc>
          <w:tcPr>
            <w:tcW w:w="4006" w:type="dxa"/>
            <w:tcBorders>
              <w:top w:val="single" w:color="000000" w:sz="6" w:space="0"/>
              <w:left w:val="single" w:color="000000" w:sz="6" w:space="0"/>
              <w:bottom w:val="single" w:color="000000" w:sz="6" w:space="0"/>
              <w:right w:val="single" w:color="000000" w:sz="6" w:space="0"/>
            </w:tcBorders>
            <w:shd w:val="clear" w:color="auto" w:fill="auto"/>
            <w:noWrap w:val="0"/>
            <w:tcMar>
              <w:top w:w="120" w:type="dxa"/>
              <w:left w:w="120" w:type="dxa"/>
              <w:bottom w:w="120" w:type="dxa"/>
              <w:right w:w="120" w:type="dxa"/>
            </w:tcMar>
            <w:vAlign w:val="center"/>
          </w:tcPr>
          <w:p w14:paraId="0213213A">
            <w:pPr>
              <w:keepNext w:val="0"/>
              <w:keepLines w:val="0"/>
              <w:pageBreakBefore w:val="0"/>
              <w:widowControl/>
              <w:suppressLineNumbers w:val="0"/>
              <w:spacing w:before="0" w:beforeAutospacing="0" w:after="0" w:afterAutospacing="0" w:line="300" w:lineRule="exact"/>
              <w:ind w:left="0" w:right="0"/>
              <w:jc w:val="center"/>
              <w:rPr>
                <w:rFonts w:hint="eastAsia"/>
                <w:b/>
                <w:bCs/>
                <w:color w:val="auto"/>
              </w:rPr>
            </w:pPr>
            <w:r>
              <w:rPr>
                <w:rFonts w:hint="eastAsia"/>
                <w:b/>
                <w:bCs/>
                <w:color w:val="auto"/>
              </w:rPr>
              <w:t>对应中小企业划分标准所属行业</w:t>
            </w:r>
          </w:p>
        </w:tc>
      </w:tr>
      <w:tr w14:paraId="47CCC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44" w:hRule="atLeast"/>
          <w:jc w:val="center"/>
        </w:trPr>
        <w:tc>
          <w:tcPr>
            <w:tcW w:w="1055" w:type="dxa"/>
            <w:tcBorders>
              <w:top w:val="single" w:color="000000" w:sz="6" w:space="0"/>
              <w:left w:val="single" w:color="000000" w:sz="6" w:space="0"/>
              <w:bottom w:val="single" w:color="000000" w:sz="6" w:space="0"/>
              <w:right w:val="single" w:color="000000" w:sz="6" w:space="0"/>
            </w:tcBorders>
            <w:shd w:val="clear" w:color="auto" w:fill="auto"/>
            <w:noWrap w:val="0"/>
            <w:tcMar>
              <w:top w:w="120" w:type="dxa"/>
              <w:left w:w="120" w:type="dxa"/>
              <w:bottom w:w="120" w:type="dxa"/>
              <w:right w:w="120" w:type="dxa"/>
            </w:tcMar>
            <w:vAlign w:val="center"/>
          </w:tcPr>
          <w:p w14:paraId="0309134C">
            <w:pPr>
              <w:keepNext w:val="0"/>
              <w:keepLines w:val="0"/>
              <w:pageBreakBefore w:val="0"/>
              <w:widowControl/>
              <w:suppressLineNumbers w:val="0"/>
              <w:spacing w:before="0" w:beforeAutospacing="0" w:after="0" w:afterAutospacing="0" w:line="300" w:lineRule="exact"/>
              <w:ind w:left="0" w:right="0"/>
              <w:jc w:val="center"/>
              <w:rPr>
                <w:rFonts w:hint="eastAsia"/>
                <w:color w:val="auto"/>
              </w:rPr>
            </w:pPr>
            <w:r>
              <w:rPr>
                <w:rFonts w:hint="eastAsia"/>
                <w:color w:val="auto"/>
              </w:rPr>
              <w:t>1</w:t>
            </w:r>
          </w:p>
        </w:tc>
        <w:tc>
          <w:tcPr>
            <w:tcW w:w="4298" w:type="dxa"/>
            <w:tcBorders>
              <w:top w:val="single" w:color="000000" w:sz="6" w:space="0"/>
              <w:left w:val="single" w:color="000000" w:sz="6" w:space="0"/>
              <w:bottom w:val="single" w:color="000000" w:sz="6" w:space="0"/>
              <w:right w:val="single" w:color="000000" w:sz="6" w:space="0"/>
            </w:tcBorders>
            <w:shd w:val="clear" w:color="auto" w:fill="auto"/>
            <w:noWrap w:val="0"/>
            <w:tcMar>
              <w:top w:w="120" w:type="dxa"/>
              <w:left w:w="120" w:type="dxa"/>
              <w:bottom w:w="120" w:type="dxa"/>
              <w:right w:w="120" w:type="dxa"/>
            </w:tcMar>
            <w:vAlign w:val="center"/>
          </w:tcPr>
          <w:p w14:paraId="7D01C58A">
            <w:pPr>
              <w:keepNext w:val="0"/>
              <w:keepLines w:val="0"/>
              <w:pageBreakBefore w:val="0"/>
              <w:widowControl/>
              <w:suppressLineNumbers w:val="0"/>
              <w:spacing w:before="0" w:beforeAutospacing="0" w:after="0" w:afterAutospacing="0" w:line="300" w:lineRule="exact"/>
              <w:ind w:left="0" w:right="0"/>
              <w:jc w:val="center"/>
              <w:rPr>
                <w:rFonts w:hint="eastAsia" w:eastAsiaTheme="minorEastAsia"/>
                <w:color w:val="auto"/>
                <w:lang w:eastAsia="zh-CN"/>
              </w:rPr>
            </w:pPr>
            <w:r>
              <w:rPr>
                <w:rFonts w:hint="eastAsia"/>
                <w:color w:val="auto"/>
                <w:lang w:eastAsia="zh-CN"/>
              </w:rPr>
              <w:t>江苏省盐城技师学院药品生产技术专业(化工仪表及自动化方向)教学设备添置采购项目</w:t>
            </w:r>
          </w:p>
        </w:tc>
        <w:tc>
          <w:tcPr>
            <w:tcW w:w="4006" w:type="dxa"/>
            <w:tcBorders>
              <w:top w:val="single" w:color="000000" w:sz="6" w:space="0"/>
              <w:left w:val="single" w:color="000000" w:sz="6" w:space="0"/>
              <w:bottom w:val="single" w:color="000000" w:sz="6" w:space="0"/>
              <w:right w:val="single" w:color="000000" w:sz="6" w:space="0"/>
            </w:tcBorders>
            <w:shd w:val="clear" w:color="auto" w:fill="auto"/>
            <w:noWrap w:val="0"/>
            <w:tcMar>
              <w:top w:w="120" w:type="dxa"/>
              <w:left w:w="120" w:type="dxa"/>
              <w:bottom w:w="120" w:type="dxa"/>
              <w:right w:w="120" w:type="dxa"/>
            </w:tcMar>
            <w:vAlign w:val="center"/>
          </w:tcPr>
          <w:p w14:paraId="720ABAED">
            <w:pPr>
              <w:keepNext w:val="0"/>
              <w:keepLines w:val="0"/>
              <w:pageBreakBefore w:val="0"/>
              <w:widowControl/>
              <w:suppressLineNumbers w:val="0"/>
              <w:spacing w:before="0" w:beforeAutospacing="0" w:after="0" w:afterAutospacing="0" w:line="300" w:lineRule="exact"/>
              <w:ind w:left="0" w:right="0"/>
              <w:jc w:val="center"/>
              <w:rPr>
                <w:rFonts w:hint="eastAsia"/>
                <w:color w:val="auto"/>
              </w:rPr>
            </w:pPr>
            <w:r>
              <w:rPr>
                <w:rFonts w:hint="eastAsia"/>
                <w:color w:val="auto"/>
                <w:lang w:eastAsia="zh-CN"/>
              </w:rPr>
              <w:t>工业</w:t>
            </w:r>
          </w:p>
        </w:tc>
      </w:tr>
    </w:tbl>
    <w:p w14:paraId="27B29AC3">
      <w:pPr>
        <w:pStyle w:val="207"/>
        <w:rPr>
          <w:rFonts w:hint="eastAsia" w:hAnsi="宋体"/>
          <w:color w:val="auto"/>
          <w:sz w:val="36"/>
          <w:szCs w:val="36"/>
          <w:lang w:val="en-US" w:eastAsia="zh-CN"/>
        </w:rPr>
      </w:pPr>
    </w:p>
    <w:p w14:paraId="5FB96A44">
      <w:pPr>
        <w:pStyle w:val="207"/>
        <w:rPr>
          <w:rFonts w:hint="eastAsia"/>
          <w:color w:val="auto"/>
        </w:rPr>
      </w:pPr>
      <w:r>
        <w:rPr>
          <w:rFonts w:hint="eastAsia" w:hAnsi="宋体"/>
          <w:color w:val="auto"/>
          <w:sz w:val="36"/>
          <w:szCs w:val="36"/>
          <w:lang w:val="en-US" w:eastAsia="zh-CN"/>
        </w:rPr>
        <w:t>项目具体要求（</w:t>
      </w:r>
      <w:r>
        <w:rPr>
          <w:rFonts w:hint="eastAsia"/>
          <w:color w:val="auto"/>
          <w:sz w:val="36"/>
          <w:szCs w:val="36"/>
          <w:lang w:val="en-US" w:eastAsia="zh-CN"/>
        </w:rPr>
        <w:t>分包二）</w:t>
      </w:r>
      <w:r>
        <w:rPr>
          <w:rFonts w:hint="eastAsia"/>
          <w:color w:val="auto"/>
          <w:sz w:val="36"/>
          <w:szCs w:val="36"/>
        </w:rPr>
        <w:t xml:space="preserve"> </w:t>
      </w:r>
      <w:r>
        <w:rPr>
          <w:rFonts w:hint="eastAsia"/>
          <w:color w:val="auto"/>
        </w:rPr>
        <w:t xml:space="preserve">   </w:t>
      </w:r>
    </w:p>
    <w:p w14:paraId="6FFE3F49">
      <w:pPr>
        <w:pStyle w:val="207"/>
        <w:jc w:val="left"/>
        <w:rPr>
          <w:rFonts w:hint="eastAsia"/>
          <w:color w:val="auto"/>
        </w:rPr>
      </w:pPr>
      <w:r>
        <w:rPr>
          <w:rFonts w:hint="eastAsia" w:ascii="宋体" w:hAnsi="宋体" w:eastAsia="宋体" w:cs="宋体"/>
          <w:color w:val="auto"/>
          <w:sz w:val="24"/>
          <w:szCs w:val="24"/>
          <w:highlight w:val="none"/>
        </w:rPr>
        <w:t>项目属性:货物类项目</w:t>
      </w:r>
      <w:r>
        <w:rPr>
          <w:rFonts w:hint="eastAsia" w:ascii="宋体" w:hAnsi="宋体" w:eastAsia="宋体" w:cs="宋体"/>
          <w:color w:val="auto"/>
          <w:sz w:val="24"/>
          <w:szCs w:val="24"/>
          <w:highlight w:val="none"/>
          <w:shd w:val="clear" w:color="auto" w:fill="auto"/>
        </w:rPr>
        <w:t>。</w:t>
      </w:r>
    </w:p>
    <w:p w14:paraId="644FFA7C">
      <w:pPr>
        <w:pStyle w:val="225"/>
        <w:keepNext w:val="0"/>
        <w:keepLines w:val="0"/>
        <w:pageBreakBefore w:val="0"/>
        <w:widowControl w:val="0"/>
        <w:spacing w:beforeAutospacing="0" w:afterAutospacing="0" w:line="480" w:lineRule="exact"/>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采购内容：</w:t>
      </w:r>
    </w:p>
    <w:tbl>
      <w:tblPr>
        <w:tblStyle w:val="40"/>
        <w:tblW w:w="8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3843"/>
        <w:gridCol w:w="1134"/>
        <w:gridCol w:w="992"/>
        <w:gridCol w:w="1398"/>
      </w:tblGrid>
      <w:tr w14:paraId="3F6AA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0" w:type="dxa"/>
            <w:noWrap w:val="0"/>
            <w:vAlign w:val="center"/>
          </w:tcPr>
          <w:p w14:paraId="712EF0BF">
            <w:pPr>
              <w:keepNext w:val="0"/>
              <w:keepLines w:val="0"/>
              <w:suppressLineNumbers w:val="0"/>
              <w:spacing w:before="0" w:beforeAutospacing="0" w:after="0" w:afterAutospacing="0"/>
              <w:ind w:left="0" w:right="0"/>
              <w:jc w:val="center"/>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3843" w:type="dxa"/>
            <w:noWrap w:val="0"/>
            <w:vAlign w:val="center"/>
          </w:tcPr>
          <w:p w14:paraId="20670F2D">
            <w:pPr>
              <w:keepNext w:val="0"/>
              <w:keepLines w:val="0"/>
              <w:suppressLineNumbers w:val="0"/>
              <w:spacing w:before="0" w:beforeAutospacing="0" w:after="0" w:afterAutospacing="0"/>
              <w:ind w:left="0" w:right="0"/>
              <w:jc w:val="center"/>
              <w:outlineLvl w:val="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产品</w:t>
            </w:r>
            <w:r>
              <w:rPr>
                <w:rFonts w:hint="eastAsia" w:ascii="宋体" w:hAnsi="宋体" w:eastAsia="宋体" w:cs="宋体"/>
                <w:b/>
                <w:bCs/>
                <w:color w:val="auto"/>
                <w:sz w:val="24"/>
                <w:szCs w:val="24"/>
                <w:highlight w:val="none"/>
              </w:rPr>
              <w:t>名称</w:t>
            </w:r>
          </w:p>
        </w:tc>
        <w:tc>
          <w:tcPr>
            <w:tcW w:w="1134" w:type="dxa"/>
            <w:noWrap w:val="0"/>
            <w:vAlign w:val="center"/>
          </w:tcPr>
          <w:p w14:paraId="4250F775">
            <w:pPr>
              <w:keepNext w:val="0"/>
              <w:keepLines w:val="0"/>
              <w:suppressLineNumbers w:val="0"/>
              <w:spacing w:before="0" w:beforeAutospacing="0" w:after="0" w:afterAutospacing="0"/>
              <w:ind w:left="0" w:right="0"/>
              <w:jc w:val="center"/>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w:t>
            </w:r>
          </w:p>
        </w:tc>
        <w:tc>
          <w:tcPr>
            <w:tcW w:w="992" w:type="dxa"/>
            <w:noWrap w:val="0"/>
            <w:vAlign w:val="center"/>
          </w:tcPr>
          <w:p w14:paraId="6F686B22">
            <w:pPr>
              <w:keepNext w:val="0"/>
              <w:keepLines w:val="0"/>
              <w:suppressLineNumbers w:val="0"/>
              <w:spacing w:before="0" w:beforeAutospacing="0" w:after="0" w:afterAutospacing="0"/>
              <w:ind w:left="0" w:right="0"/>
              <w:jc w:val="center"/>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c>
          <w:tcPr>
            <w:tcW w:w="1398" w:type="dxa"/>
            <w:noWrap w:val="0"/>
            <w:vAlign w:val="center"/>
          </w:tcPr>
          <w:p w14:paraId="63776F31">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rPr>
              <w:t>备注</w:t>
            </w:r>
          </w:p>
        </w:tc>
      </w:tr>
      <w:tr w14:paraId="08496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0" w:type="dxa"/>
            <w:shd w:val="clear" w:color="auto" w:fill="auto"/>
            <w:noWrap w:val="0"/>
            <w:vAlign w:val="center"/>
          </w:tcPr>
          <w:p w14:paraId="79A74BD8">
            <w:pPr>
              <w:keepNext w:val="0"/>
              <w:keepLines w:val="0"/>
              <w:suppressLineNumbers w:val="0"/>
              <w:spacing w:before="0" w:beforeAutospacing="0" w:after="0" w:afterAutospacing="0" w:line="240" w:lineRule="exact"/>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1</w:t>
            </w:r>
          </w:p>
        </w:tc>
        <w:tc>
          <w:tcPr>
            <w:tcW w:w="3843" w:type="dxa"/>
            <w:shd w:val="clear" w:color="auto" w:fill="auto"/>
            <w:noWrap w:val="0"/>
            <w:vAlign w:val="center"/>
          </w:tcPr>
          <w:p w14:paraId="741805B6">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cs="宋体"/>
                <w:color w:val="auto"/>
                <w:highlight w:val="none"/>
              </w:rPr>
              <w:t>货到人搬运设备</w:t>
            </w:r>
          </w:p>
        </w:tc>
        <w:tc>
          <w:tcPr>
            <w:tcW w:w="1134" w:type="dxa"/>
            <w:noWrap w:val="0"/>
            <w:vAlign w:val="center"/>
          </w:tcPr>
          <w:p w14:paraId="2B2F68FD">
            <w:pPr>
              <w:keepNext w:val="0"/>
              <w:keepLines w:val="0"/>
              <w:suppressLineNumbers w:val="0"/>
              <w:spacing w:before="0" w:beforeAutospacing="0" w:after="0" w:afterAutospacing="0" w:line="240" w:lineRule="exact"/>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套</w:t>
            </w:r>
          </w:p>
        </w:tc>
        <w:tc>
          <w:tcPr>
            <w:tcW w:w="992" w:type="dxa"/>
            <w:noWrap w:val="0"/>
            <w:vAlign w:val="center"/>
          </w:tcPr>
          <w:p w14:paraId="58AAC9CD">
            <w:pPr>
              <w:pStyle w:val="26"/>
              <w:keepNext w:val="0"/>
              <w:keepLines w:val="0"/>
              <w:suppressLineNumbers w:val="0"/>
              <w:spacing w:before="0" w:beforeAutospacing="0" w:afterAutospacing="0"/>
              <w:ind w:left="0" w:right="0"/>
              <w:jc w:val="center"/>
              <w:rPr>
                <w:rFonts w:hint="eastAsia" w:ascii="宋体" w:hAnsi="宋体" w:eastAsia="宋体" w:cs="宋体"/>
                <w:b/>
                <w:bCs/>
                <w:color w:val="auto"/>
                <w:sz w:val="24"/>
                <w:szCs w:val="24"/>
                <w:highlight w:val="none"/>
              </w:rPr>
            </w:pPr>
            <w:r>
              <w:rPr>
                <w:rFonts w:hint="eastAsia" w:ascii="宋体" w:hAnsi="宋体" w:cs="宋体"/>
                <w:color w:val="auto"/>
                <w:szCs w:val="18"/>
                <w:highlight w:val="none"/>
              </w:rPr>
              <w:t>1</w:t>
            </w:r>
          </w:p>
        </w:tc>
        <w:tc>
          <w:tcPr>
            <w:tcW w:w="1398" w:type="dxa"/>
            <w:noWrap w:val="0"/>
            <w:vAlign w:val="center"/>
          </w:tcPr>
          <w:p w14:paraId="71D40826">
            <w:pPr>
              <w:keepNext/>
              <w:keepLines/>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核心产品</w:t>
            </w:r>
          </w:p>
        </w:tc>
      </w:tr>
      <w:tr w14:paraId="3F465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0" w:type="dxa"/>
            <w:shd w:val="clear" w:color="auto" w:fill="auto"/>
            <w:noWrap w:val="0"/>
            <w:vAlign w:val="center"/>
          </w:tcPr>
          <w:p w14:paraId="60FE0B97">
            <w:pPr>
              <w:keepNext w:val="0"/>
              <w:keepLines w:val="0"/>
              <w:suppressLineNumbers w:val="0"/>
              <w:spacing w:before="0" w:beforeAutospacing="0" w:after="0" w:afterAutospacing="0" w:line="240" w:lineRule="exact"/>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2</w:t>
            </w:r>
          </w:p>
        </w:tc>
        <w:tc>
          <w:tcPr>
            <w:tcW w:w="3843" w:type="dxa"/>
            <w:shd w:val="clear" w:color="auto" w:fill="auto"/>
            <w:noWrap w:val="0"/>
            <w:vAlign w:val="center"/>
          </w:tcPr>
          <w:p w14:paraId="3DF347B5">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产线补料综合装置</w:t>
            </w:r>
          </w:p>
        </w:tc>
        <w:tc>
          <w:tcPr>
            <w:tcW w:w="1134" w:type="dxa"/>
            <w:noWrap w:val="0"/>
            <w:vAlign w:val="center"/>
          </w:tcPr>
          <w:p w14:paraId="2FFDD97A">
            <w:pPr>
              <w:keepNext w:val="0"/>
              <w:keepLines w:val="0"/>
              <w:suppressLineNumbers w:val="0"/>
              <w:spacing w:before="0" w:beforeAutospacing="0" w:after="0" w:afterAutospacing="0" w:line="240" w:lineRule="exact"/>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套</w:t>
            </w:r>
          </w:p>
        </w:tc>
        <w:tc>
          <w:tcPr>
            <w:tcW w:w="992" w:type="dxa"/>
            <w:shd w:val="clear" w:color="auto" w:fill="auto"/>
            <w:noWrap w:val="0"/>
            <w:vAlign w:val="center"/>
          </w:tcPr>
          <w:p w14:paraId="1B24EA15">
            <w:pPr>
              <w:pStyle w:val="26"/>
              <w:keepNext w:val="0"/>
              <w:keepLines w:val="0"/>
              <w:suppressLineNumbers w:val="0"/>
              <w:spacing w:before="0" w:beforeAutospacing="0" w:afterAutospacing="0"/>
              <w:ind w:left="0" w:right="0"/>
              <w:jc w:val="center"/>
              <w:rPr>
                <w:rFonts w:hint="eastAsia" w:ascii="宋体" w:hAnsi="宋体" w:eastAsia="宋体" w:cs="宋体"/>
                <w:b/>
                <w:bCs/>
                <w:color w:val="auto"/>
                <w:sz w:val="24"/>
                <w:szCs w:val="24"/>
                <w:highlight w:val="none"/>
              </w:rPr>
            </w:pPr>
            <w:r>
              <w:rPr>
                <w:rFonts w:hint="eastAsia" w:ascii="宋体" w:hAnsi="宋体" w:cs="宋体"/>
                <w:color w:val="auto"/>
                <w:szCs w:val="18"/>
                <w:highlight w:val="none"/>
              </w:rPr>
              <w:t>1</w:t>
            </w:r>
          </w:p>
        </w:tc>
        <w:tc>
          <w:tcPr>
            <w:tcW w:w="1398" w:type="dxa"/>
            <w:shd w:val="clear" w:color="FFFFFF" w:fill="FFFFFF"/>
            <w:noWrap w:val="0"/>
            <w:vAlign w:val="center"/>
          </w:tcPr>
          <w:p w14:paraId="5F909461">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p>
        </w:tc>
      </w:tr>
      <w:tr w14:paraId="009CB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0" w:type="dxa"/>
            <w:shd w:val="clear" w:color="auto" w:fill="auto"/>
            <w:noWrap w:val="0"/>
            <w:vAlign w:val="center"/>
          </w:tcPr>
          <w:p w14:paraId="41783F60">
            <w:pPr>
              <w:keepNext w:val="0"/>
              <w:keepLines w:val="0"/>
              <w:suppressLineNumbers w:val="0"/>
              <w:spacing w:before="0" w:beforeAutospacing="0" w:after="0" w:afterAutospacing="0" w:line="240" w:lineRule="exact"/>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3</w:t>
            </w:r>
          </w:p>
        </w:tc>
        <w:tc>
          <w:tcPr>
            <w:tcW w:w="3843" w:type="dxa"/>
            <w:shd w:val="clear" w:color="auto" w:fill="auto"/>
            <w:noWrap w:val="0"/>
            <w:vAlign w:val="center"/>
          </w:tcPr>
          <w:p w14:paraId="7D96E475">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生产加工综合实训装置</w:t>
            </w:r>
          </w:p>
        </w:tc>
        <w:tc>
          <w:tcPr>
            <w:tcW w:w="1134" w:type="dxa"/>
            <w:noWrap w:val="0"/>
            <w:vAlign w:val="center"/>
          </w:tcPr>
          <w:p w14:paraId="31598752">
            <w:pPr>
              <w:keepNext w:val="0"/>
              <w:keepLines w:val="0"/>
              <w:suppressLineNumbers w:val="0"/>
              <w:spacing w:before="0" w:beforeAutospacing="0" w:after="0" w:afterAutospacing="0" w:line="240" w:lineRule="exact"/>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套</w:t>
            </w:r>
          </w:p>
        </w:tc>
        <w:tc>
          <w:tcPr>
            <w:tcW w:w="992" w:type="dxa"/>
            <w:shd w:val="clear" w:color="auto" w:fill="auto"/>
            <w:noWrap w:val="0"/>
            <w:vAlign w:val="center"/>
          </w:tcPr>
          <w:p w14:paraId="4418A0D9">
            <w:pPr>
              <w:pStyle w:val="26"/>
              <w:keepNext w:val="0"/>
              <w:keepLines w:val="0"/>
              <w:suppressLineNumbers w:val="0"/>
              <w:spacing w:before="0" w:beforeAutospacing="0" w:afterAutospacing="0"/>
              <w:ind w:left="0" w:right="0"/>
              <w:jc w:val="center"/>
              <w:rPr>
                <w:rFonts w:hint="eastAsia" w:ascii="宋体" w:hAnsi="宋体" w:eastAsia="宋体" w:cs="宋体"/>
                <w:b/>
                <w:bCs/>
                <w:color w:val="auto"/>
                <w:sz w:val="24"/>
                <w:szCs w:val="24"/>
                <w:highlight w:val="none"/>
              </w:rPr>
            </w:pPr>
            <w:r>
              <w:rPr>
                <w:rFonts w:hint="eastAsia" w:ascii="宋体" w:hAnsi="宋体" w:cs="宋体"/>
                <w:color w:val="auto"/>
                <w:szCs w:val="18"/>
                <w:highlight w:val="none"/>
              </w:rPr>
              <w:t>1</w:t>
            </w:r>
          </w:p>
        </w:tc>
        <w:tc>
          <w:tcPr>
            <w:tcW w:w="1398" w:type="dxa"/>
            <w:shd w:val="clear" w:color="FFFFFF" w:fill="FFFFFF"/>
            <w:noWrap w:val="0"/>
            <w:vAlign w:val="center"/>
          </w:tcPr>
          <w:p w14:paraId="59DF0981">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p>
        </w:tc>
      </w:tr>
      <w:tr w14:paraId="42E2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0" w:type="dxa"/>
            <w:shd w:val="clear" w:color="auto" w:fill="auto"/>
            <w:noWrap w:val="0"/>
            <w:vAlign w:val="center"/>
          </w:tcPr>
          <w:p w14:paraId="4E212DA9">
            <w:pPr>
              <w:keepNext w:val="0"/>
              <w:keepLines w:val="0"/>
              <w:suppressLineNumbers w:val="0"/>
              <w:spacing w:before="0" w:beforeAutospacing="0" w:after="0" w:afterAutospacing="0" w:line="240" w:lineRule="exact"/>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4</w:t>
            </w:r>
          </w:p>
        </w:tc>
        <w:tc>
          <w:tcPr>
            <w:tcW w:w="3843" w:type="dxa"/>
            <w:shd w:val="clear" w:color="auto" w:fill="auto"/>
            <w:noWrap w:val="0"/>
            <w:vAlign w:val="center"/>
          </w:tcPr>
          <w:p w14:paraId="5B4D0176">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产成品入库综合装置</w:t>
            </w:r>
          </w:p>
        </w:tc>
        <w:tc>
          <w:tcPr>
            <w:tcW w:w="1134" w:type="dxa"/>
            <w:noWrap w:val="0"/>
            <w:vAlign w:val="center"/>
          </w:tcPr>
          <w:p w14:paraId="4AECFF36">
            <w:pPr>
              <w:keepNext w:val="0"/>
              <w:keepLines w:val="0"/>
              <w:suppressLineNumbers w:val="0"/>
              <w:spacing w:before="0" w:beforeAutospacing="0" w:after="0" w:afterAutospacing="0" w:line="240" w:lineRule="exact"/>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套</w:t>
            </w:r>
          </w:p>
        </w:tc>
        <w:tc>
          <w:tcPr>
            <w:tcW w:w="992" w:type="dxa"/>
            <w:shd w:val="clear" w:color="auto" w:fill="auto"/>
            <w:noWrap w:val="0"/>
            <w:vAlign w:val="center"/>
          </w:tcPr>
          <w:p w14:paraId="2C53F762">
            <w:pPr>
              <w:pStyle w:val="26"/>
              <w:keepNext w:val="0"/>
              <w:keepLines w:val="0"/>
              <w:suppressLineNumbers w:val="0"/>
              <w:spacing w:before="0" w:beforeAutospacing="0" w:afterAutospacing="0"/>
              <w:ind w:left="0" w:right="0"/>
              <w:jc w:val="center"/>
              <w:rPr>
                <w:rFonts w:hint="eastAsia" w:ascii="宋体" w:hAnsi="宋体" w:eastAsia="宋体" w:cs="宋体"/>
                <w:b/>
                <w:bCs/>
                <w:color w:val="auto"/>
                <w:sz w:val="24"/>
                <w:szCs w:val="24"/>
                <w:highlight w:val="none"/>
              </w:rPr>
            </w:pPr>
            <w:r>
              <w:rPr>
                <w:rFonts w:hint="eastAsia" w:ascii="宋体" w:hAnsi="宋体" w:cs="宋体"/>
                <w:color w:val="auto"/>
                <w:szCs w:val="18"/>
                <w:highlight w:val="none"/>
              </w:rPr>
              <w:t>1</w:t>
            </w:r>
          </w:p>
        </w:tc>
        <w:tc>
          <w:tcPr>
            <w:tcW w:w="1398" w:type="dxa"/>
            <w:shd w:val="clear" w:color="FFFFFF" w:fill="FFFFFF"/>
            <w:noWrap w:val="0"/>
            <w:vAlign w:val="center"/>
          </w:tcPr>
          <w:p w14:paraId="60B667A8">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p>
        </w:tc>
      </w:tr>
      <w:tr w14:paraId="7FA13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0" w:type="dxa"/>
            <w:shd w:val="clear" w:color="auto" w:fill="auto"/>
            <w:noWrap w:val="0"/>
            <w:vAlign w:val="center"/>
          </w:tcPr>
          <w:p w14:paraId="7BCB791A">
            <w:pPr>
              <w:keepNext w:val="0"/>
              <w:keepLines w:val="0"/>
              <w:suppressLineNumbers w:val="0"/>
              <w:spacing w:before="0" w:beforeAutospacing="0" w:after="0" w:afterAutospacing="0" w:line="240" w:lineRule="exact"/>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5</w:t>
            </w:r>
          </w:p>
        </w:tc>
        <w:tc>
          <w:tcPr>
            <w:tcW w:w="3843" w:type="dxa"/>
            <w:shd w:val="clear" w:color="auto" w:fill="auto"/>
            <w:noWrap w:val="0"/>
            <w:vAlign w:val="center"/>
          </w:tcPr>
          <w:p w14:paraId="2BED2FBC">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智能仓储分拣实训设备</w:t>
            </w:r>
          </w:p>
        </w:tc>
        <w:tc>
          <w:tcPr>
            <w:tcW w:w="1134" w:type="dxa"/>
            <w:noWrap w:val="0"/>
            <w:vAlign w:val="center"/>
          </w:tcPr>
          <w:p w14:paraId="2F31B246">
            <w:pPr>
              <w:keepNext w:val="0"/>
              <w:keepLines w:val="0"/>
              <w:suppressLineNumbers w:val="0"/>
              <w:spacing w:before="0" w:beforeAutospacing="0" w:after="0" w:afterAutospacing="0" w:line="240" w:lineRule="exact"/>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套</w:t>
            </w:r>
          </w:p>
        </w:tc>
        <w:tc>
          <w:tcPr>
            <w:tcW w:w="992" w:type="dxa"/>
            <w:shd w:val="clear" w:color="auto" w:fill="auto"/>
            <w:noWrap w:val="0"/>
            <w:vAlign w:val="center"/>
          </w:tcPr>
          <w:p w14:paraId="6D25E680">
            <w:pPr>
              <w:pStyle w:val="26"/>
              <w:keepNext w:val="0"/>
              <w:keepLines w:val="0"/>
              <w:suppressLineNumbers w:val="0"/>
              <w:spacing w:before="0" w:beforeAutospacing="0" w:afterAutospacing="0"/>
              <w:ind w:left="0" w:right="0"/>
              <w:jc w:val="center"/>
              <w:rPr>
                <w:rFonts w:hint="eastAsia" w:ascii="宋体" w:hAnsi="宋体" w:eastAsia="宋体" w:cs="宋体"/>
                <w:b/>
                <w:bCs/>
                <w:color w:val="auto"/>
                <w:sz w:val="24"/>
                <w:szCs w:val="24"/>
                <w:highlight w:val="none"/>
              </w:rPr>
            </w:pPr>
            <w:r>
              <w:rPr>
                <w:rFonts w:hint="eastAsia" w:ascii="宋体" w:hAnsi="宋体" w:cs="宋体"/>
                <w:color w:val="auto"/>
                <w:szCs w:val="18"/>
                <w:highlight w:val="none"/>
              </w:rPr>
              <w:t>1</w:t>
            </w:r>
          </w:p>
        </w:tc>
        <w:tc>
          <w:tcPr>
            <w:tcW w:w="1398" w:type="dxa"/>
            <w:shd w:val="clear" w:color="FFFFFF" w:fill="FFFFFF"/>
            <w:noWrap w:val="0"/>
            <w:vAlign w:val="center"/>
          </w:tcPr>
          <w:p w14:paraId="41B13402">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p>
        </w:tc>
      </w:tr>
      <w:tr w14:paraId="57D82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0" w:type="dxa"/>
            <w:shd w:val="clear" w:color="auto" w:fill="auto"/>
            <w:noWrap w:val="0"/>
            <w:vAlign w:val="center"/>
          </w:tcPr>
          <w:p w14:paraId="2BBA061E">
            <w:pPr>
              <w:keepNext w:val="0"/>
              <w:keepLines w:val="0"/>
              <w:suppressLineNumbers w:val="0"/>
              <w:spacing w:before="0" w:beforeAutospacing="0" w:after="0" w:afterAutospacing="0" w:line="240" w:lineRule="exact"/>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6</w:t>
            </w:r>
          </w:p>
        </w:tc>
        <w:tc>
          <w:tcPr>
            <w:tcW w:w="3843" w:type="dxa"/>
            <w:shd w:val="clear" w:color="auto" w:fill="auto"/>
            <w:noWrap w:val="0"/>
            <w:vAlign w:val="center"/>
          </w:tcPr>
          <w:p w14:paraId="2B611747">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数字中心单元</w:t>
            </w:r>
          </w:p>
        </w:tc>
        <w:tc>
          <w:tcPr>
            <w:tcW w:w="1134" w:type="dxa"/>
            <w:noWrap w:val="0"/>
            <w:vAlign w:val="center"/>
          </w:tcPr>
          <w:p w14:paraId="6232EFCC">
            <w:pPr>
              <w:keepNext w:val="0"/>
              <w:keepLines w:val="0"/>
              <w:suppressLineNumbers w:val="0"/>
              <w:spacing w:before="0" w:beforeAutospacing="0" w:after="0" w:afterAutospacing="0" w:line="240" w:lineRule="exact"/>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套</w:t>
            </w:r>
          </w:p>
        </w:tc>
        <w:tc>
          <w:tcPr>
            <w:tcW w:w="992" w:type="dxa"/>
            <w:shd w:val="clear" w:color="auto" w:fill="auto"/>
            <w:noWrap w:val="0"/>
            <w:vAlign w:val="center"/>
          </w:tcPr>
          <w:p w14:paraId="7BD04DB5">
            <w:pPr>
              <w:pStyle w:val="26"/>
              <w:keepNext w:val="0"/>
              <w:keepLines w:val="0"/>
              <w:suppressLineNumbers w:val="0"/>
              <w:spacing w:before="0" w:beforeAutospacing="0" w:afterAutospacing="0"/>
              <w:ind w:left="0" w:right="0"/>
              <w:jc w:val="center"/>
              <w:rPr>
                <w:rFonts w:hint="eastAsia" w:ascii="宋体" w:hAnsi="宋体" w:eastAsia="宋体" w:cs="宋体"/>
                <w:b/>
                <w:bCs/>
                <w:color w:val="auto"/>
                <w:sz w:val="24"/>
                <w:szCs w:val="24"/>
                <w:highlight w:val="none"/>
              </w:rPr>
            </w:pPr>
            <w:r>
              <w:rPr>
                <w:rFonts w:hint="eastAsia" w:ascii="宋体" w:hAnsi="宋体" w:cs="宋体"/>
                <w:color w:val="auto"/>
                <w:szCs w:val="18"/>
                <w:highlight w:val="none"/>
              </w:rPr>
              <w:t>1</w:t>
            </w:r>
          </w:p>
        </w:tc>
        <w:tc>
          <w:tcPr>
            <w:tcW w:w="1398" w:type="dxa"/>
            <w:shd w:val="clear" w:color="FFFFFF" w:fill="FFFFFF"/>
            <w:noWrap w:val="0"/>
            <w:vAlign w:val="center"/>
          </w:tcPr>
          <w:p w14:paraId="5E2EEBD1">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p>
        </w:tc>
      </w:tr>
      <w:tr w14:paraId="04F50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0" w:type="dxa"/>
            <w:shd w:val="clear" w:color="auto" w:fill="auto"/>
            <w:noWrap w:val="0"/>
            <w:vAlign w:val="center"/>
          </w:tcPr>
          <w:p w14:paraId="2185D55A">
            <w:pPr>
              <w:keepNext w:val="0"/>
              <w:keepLines w:val="0"/>
              <w:suppressLineNumbers w:val="0"/>
              <w:spacing w:before="0" w:beforeAutospacing="0" w:after="0" w:afterAutospacing="0" w:line="240" w:lineRule="exact"/>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lang w:val="en-US" w:eastAsia="zh-CN"/>
              </w:rPr>
              <w:t>7</w:t>
            </w:r>
          </w:p>
        </w:tc>
        <w:tc>
          <w:tcPr>
            <w:tcW w:w="3843" w:type="dxa"/>
            <w:shd w:val="clear" w:color="auto" w:fill="auto"/>
            <w:noWrap w:val="0"/>
            <w:vAlign w:val="center"/>
          </w:tcPr>
          <w:p w14:paraId="1D76E821">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干线运输调度单元</w:t>
            </w:r>
          </w:p>
        </w:tc>
        <w:tc>
          <w:tcPr>
            <w:tcW w:w="1134" w:type="dxa"/>
            <w:noWrap w:val="0"/>
            <w:vAlign w:val="center"/>
          </w:tcPr>
          <w:p w14:paraId="53B31C45">
            <w:pPr>
              <w:keepNext w:val="0"/>
              <w:keepLines w:val="0"/>
              <w:suppressLineNumbers w:val="0"/>
              <w:spacing w:before="0" w:beforeAutospacing="0" w:after="0" w:afterAutospacing="0" w:line="240" w:lineRule="exact"/>
              <w:ind w:left="0" w:right="0"/>
              <w:jc w:val="center"/>
              <w:rPr>
                <w:rFonts w:hint="eastAsia" w:ascii="宋体" w:hAnsi="宋体" w:eastAsia="宋体" w:cs="宋体"/>
                <w:color w:val="auto"/>
                <w:sz w:val="24"/>
                <w:szCs w:val="24"/>
                <w:highlight w:val="none"/>
              </w:rPr>
            </w:pPr>
            <w:r>
              <w:rPr>
                <w:rFonts w:hint="eastAsia" w:ascii="宋体" w:hAnsi="宋体" w:cs="宋体"/>
                <w:color w:val="auto"/>
                <w:szCs w:val="18"/>
                <w:highlight w:val="none"/>
              </w:rPr>
              <w:t>套</w:t>
            </w:r>
          </w:p>
        </w:tc>
        <w:tc>
          <w:tcPr>
            <w:tcW w:w="992" w:type="dxa"/>
            <w:shd w:val="clear" w:color="auto" w:fill="auto"/>
            <w:noWrap w:val="0"/>
            <w:vAlign w:val="center"/>
          </w:tcPr>
          <w:p w14:paraId="42826DFB">
            <w:pPr>
              <w:pStyle w:val="26"/>
              <w:keepNext w:val="0"/>
              <w:keepLines w:val="0"/>
              <w:suppressLineNumbers w:val="0"/>
              <w:spacing w:before="0" w:beforeAutospacing="0" w:afterAutospacing="0"/>
              <w:ind w:left="0" w:right="0"/>
              <w:jc w:val="center"/>
              <w:rPr>
                <w:rFonts w:hint="eastAsia" w:ascii="宋体" w:hAnsi="宋体" w:eastAsia="宋体" w:cs="宋体"/>
                <w:b/>
                <w:bCs/>
                <w:color w:val="auto"/>
                <w:sz w:val="24"/>
                <w:szCs w:val="24"/>
                <w:highlight w:val="none"/>
              </w:rPr>
            </w:pPr>
            <w:r>
              <w:rPr>
                <w:rFonts w:hint="eastAsia" w:ascii="宋体" w:hAnsi="宋体" w:cs="宋体"/>
                <w:color w:val="auto"/>
                <w:szCs w:val="18"/>
                <w:highlight w:val="none"/>
              </w:rPr>
              <w:t>1</w:t>
            </w:r>
          </w:p>
        </w:tc>
        <w:tc>
          <w:tcPr>
            <w:tcW w:w="1398" w:type="dxa"/>
            <w:shd w:val="clear" w:color="FFFFFF" w:fill="FFFFFF"/>
            <w:noWrap w:val="0"/>
            <w:vAlign w:val="center"/>
          </w:tcPr>
          <w:p w14:paraId="75D62113">
            <w:pPr>
              <w:keepNext w:val="0"/>
              <w:keepLines w:val="0"/>
              <w:suppressLineNumbers w:val="0"/>
              <w:spacing w:before="0" w:beforeAutospacing="0" w:after="0" w:afterAutospacing="0"/>
              <w:ind w:left="0" w:right="0"/>
              <w:rPr>
                <w:rFonts w:hint="eastAsia" w:ascii="宋体" w:hAnsi="宋体" w:eastAsia="宋体" w:cs="宋体"/>
                <w:color w:val="auto"/>
                <w:sz w:val="24"/>
                <w:szCs w:val="24"/>
                <w:highlight w:val="none"/>
              </w:rPr>
            </w:pPr>
          </w:p>
        </w:tc>
      </w:tr>
    </w:tbl>
    <w:p w14:paraId="15BF9795">
      <w:pPr>
        <w:pStyle w:val="225"/>
        <w:keepNext w:val="0"/>
        <w:keepLines w:val="0"/>
        <w:pageBreakBefore w:val="0"/>
        <w:widowControl w:val="0"/>
        <w:spacing w:beforeAutospacing="0" w:afterAutospacing="0" w:line="480" w:lineRule="exact"/>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注：本项目核心产品为</w:t>
      </w:r>
      <w:r>
        <w:rPr>
          <w:rFonts w:hint="eastAsia" w:ascii="宋体" w:hAnsi="宋体" w:eastAsia="宋体" w:cs="宋体"/>
          <w:b/>
          <w:bCs/>
          <w:color w:val="auto"/>
          <w:sz w:val="24"/>
          <w:szCs w:val="24"/>
          <w:highlight w:val="none"/>
          <w:u w:val="single"/>
        </w:rPr>
        <w:t>货到人搬运设备</w:t>
      </w:r>
      <w:r>
        <w:rPr>
          <w:rFonts w:hint="eastAsia" w:ascii="宋体" w:hAnsi="宋体" w:eastAsia="宋体" w:cs="宋体"/>
          <w:b/>
          <w:bCs/>
          <w:color w:val="auto"/>
          <w:sz w:val="24"/>
          <w:szCs w:val="24"/>
          <w:highlight w:val="none"/>
        </w:rPr>
        <w:t>。</w:t>
      </w:r>
    </w:p>
    <w:p w14:paraId="37A53F98">
      <w:pPr>
        <w:pStyle w:val="225"/>
        <w:keepNext w:val="0"/>
        <w:keepLines w:val="0"/>
        <w:pageBreakBefore w:val="0"/>
        <w:widowControl w:val="0"/>
        <w:numPr>
          <w:ilvl w:val="0"/>
          <w:numId w:val="9"/>
        </w:numPr>
        <w:spacing w:beforeAutospacing="0" w:afterAutospacing="0" w:line="480" w:lineRule="exact"/>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技术要求</w:t>
      </w:r>
    </w:p>
    <w:tbl>
      <w:tblPr>
        <w:tblStyle w:val="40"/>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761"/>
        <w:gridCol w:w="5416"/>
        <w:gridCol w:w="1067"/>
        <w:gridCol w:w="750"/>
      </w:tblGrid>
      <w:tr w14:paraId="67B5D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5" w:type="dxa"/>
            <w:tcBorders>
              <w:top w:val="single" w:color="auto" w:sz="4" w:space="0"/>
              <w:left w:val="single" w:color="auto" w:sz="4" w:space="0"/>
              <w:bottom w:val="single" w:color="auto" w:sz="4" w:space="0"/>
              <w:right w:val="single" w:color="auto" w:sz="4" w:space="0"/>
            </w:tcBorders>
            <w:noWrap w:val="0"/>
            <w:vAlign w:val="center"/>
          </w:tcPr>
          <w:p w14:paraId="07B25AAD">
            <w:pPr>
              <w:keepNext w:val="0"/>
              <w:keepLines w:val="0"/>
              <w:suppressLineNumbers w:val="0"/>
              <w:spacing w:before="0" w:beforeAutospacing="0" w:after="0" w:afterAutospacing="0" w:line="240" w:lineRule="exact"/>
              <w:ind w:left="0" w:right="0"/>
              <w:jc w:val="center"/>
              <w:rPr>
                <w:rFonts w:hint="eastAsia" w:ascii="宋体" w:hAnsi="宋体" w:cs="宋体"/>
                <w:b/>
                <w:bCs/>
                <w:color w:val="000000"/>
                <w:szCs w:val="18"/>
                <w:highlight w:val="none"/>
              </w:rPr>
            </w:pPr>
            <w:r>
              <w:rPr>
                <w:rFonts w:hint="eastAsia" w:ascii="宋体" w:hAnsi="宋体" w:cs="宋体"/>
                <w:b/>
                <w:bCs/>
                <w:color w:val="000000"/>
                <w:szCs w:val="18"/>
                <w:highlight w:val="none"/>
              </w:rPr>
              <w:t>序号</w:t>
            </w:r>
          </w:p>
        </w:tc>
        <w:tc>
          <w:tcPr>
            <w:tcW w:w="761" w:type="dxa"/>
            <w:tcBorders>
              <w:top w:val="single" w:color="auto" w:sz="4" w:space="0"/>
              <w:left w:val="single" w:color="auto" w:sz="4" w:space="0"/>
              <w:bottom w:val="single" w:color="auto" w:sz="4" w:space="0"/>
              <w:right w:val="single" w:color="auto" w:sz="4" w:space="0"/>
            </w:tcBorders>
            <w:noWrap w:val="0"/>
            <w:vAlign w:val="center"/>
          </w:tcPr>
          <w:p w14:paraId="3FA32EF1">
            <w:pPr>
              <w:keepNext w:val="0"/>
              <w:keepLines w:val="0"/>
              <w:suppressLineNumbers w:val="0"/>
              <w:spacing w:before="0" w:beforeAutospacing="0" w:after="0" w:afterAutospacing="0" w:line="240" w:lineRule="exact"/>
              <w:ind w:left="0" w:right="0"/>
              <w:jc w:val="center"/>
              <w:rPr>
                <w:rFonts w:hint="eastAsia" w:ascii="宋体" w:hAnsi="宋体" w:cs="宋体"/>
                <w:b/>
                <w:bCs/>
                <w:color w:val="000000"/>
                <w:szCs w:val="18"/>
                <w:highlight w:val="none"/>
              </w:rPr>
            </w:pPr>
            <w:r>
              <w:rPr>
                <w:rFonts w:hint="eastAsia" w:ascii="宋体" w:hAnsi="宋体" w:cs="宋体"/>
                <w:b/>
                <w:bCs/>
                <w:color w:val="000000"/>
                <w:szCs w:val="18"/>
                <w:highlight w:val="none"/>
              </w:rPr>
              <w:t>设备名称</w:t>
            </w:r>
          </w:p>
        </w:tc>
        <w:tc>
          <w:tcPr>
            <w:tcW w:w="5416" w:type="dxa"/>
            <w:tcBorders>
              <w:top w:val="single" w:color="auto" w:sz="4" w:space="0"/>
              <w:left w:val="single" w:color="auto" w:sz="4" w:space="0"/>
              <w:bottom w:val="single" w:color="auto" w:sz="4" w:space="0"/>
              <w:right w:val="single" w:color="auto" w:sz="4" w:space="0"/>
            </w:tcBorders>
            <w:noWrap w:val="0"/>
            <w:vAlign w:val="center"/>
          </w:tcPr>
          <w:p w14:paraId="0446CDB4">
            <w:pPr>
              <w:keepNext w:val="0"/>
              <w:keepLines w:val="0"/>
              <w:suppressLineNumbers w:val="0"/>
              <w:spacing w:before="0" w:beforeAutospacing="0" w:after="0" w:afterAutospacing="0" w:line="240" w:lineRule="exact"/>
              <w:ind w:left="0" w:right="0"/>
              <w:jc w:val="center"/>
              <w:rPr>
                <w:rFonts w:hint="default" w:ascii="宋体" w:hAnsi="宋体" w:eastAsia="宋体" w:cs="宋体"/>
                <w:b/>
                <w:bCs/>
                <w:color w:val="000000"/>
                <w:szCs w:val="18"/>
                <w:highlight w:val="none"/>
                <w:lang w:val="en-US" w:eastAsia="zh-CN"/>
              </w:rPr>
            </w:pPr>
            <w:r>
              <w:rPr>
                <w:rFonts w:hint="eastAsia" w:ascii="宋体" w:hAnsi="宋体" w:eastAsia="宋体" w:cs="宋体"/>
                <w:b/>
                <w:bCs/>
                <w:color w:val="000000"/>
                <w:szCs w:val="18"/>
                <w:highlight w:val="none"/>
                <w:lang w:val="en-US" w:eastAsia="zh-CN"/>
              </w:rPr>
              <w:t>设备描述</w:t>
            </w:r>
          </w:p>
        </w:tc>
        <w:tc>
          <w:tcPr>
            <w:tcW w:w="1067" w:type="dxa"/>
            <w:tcBorders>
              <w:top w:val="single" w:color="auto" w:sz="4" w:space="0"/>
              <w:left w:val="single" w:color="auto" w:sz="4" w:space="0"/>
              <w:bottom w:val="single" w:color="auto" w:sz="4" w:space="0"/>
              <w:right w:val="single" w:color="auto" w:sz="4" w:space="0"/>
            </w:tcBorders>
            <w:noWrap w:val="0"/>
            <w:vAlign w:val="center"/>
          </w:tcPr>
          <w:p w14:paraId="75B66E12">
            <w:pPr>
              <w:keepNext w:val="0"/>
              <w:keepLines w:val="0"/>
              <w:suppressLineNumbers w:val="0"/>
              <w:spacing w:before="0" w:beforeAutospacing="0" w:after="0" w:afterAutospacing="0" w:line="240" w:lineRule="exact"/>
              <w:ind w:left="0" w:right="0"/>
              <w:jc w:val="center"/>
              <w:rPr>
                <w:rFonts w:hint="eastAsia" w:ascii="宋体" w:hAnsi="宋体" w:cs="宋体"/>
                <w:b/>
                <w:bCs/>
                <w:color w:val="000000"/>
                <w:szCs w:val="18"/>
                <w:highlight w:val="none"/>
              </w:rPr>
            </w:pPr>
            <w:r>
              <w:rPr>
                <w:rFonts w:hint="eastAsia" w:ascii="宋体" w:hAnsi="宋体" w:cs="宋体"/>
                <w:b/>
                <w:bCs/>
                <w:color w:val="000000"/>
                <w:szCs w:val="18"/>
                <w:highlight w:val="none"/>
              </w:rPr>
              <w:t>单位</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12E450F7">
            <w:pPr>
              <w:keepNext w:val="0"/>
              <w:keepLines w:val="0"/>
              <w:suppressLineNumbers w:val="0"/>
              <w:spacing w:before="0" w:beforeAutospacing="0" w:after="0" w:afterAutospacing="0" w:line="240" w:lineRule="exact"/>
              <w:ind w:left="0" w:right="0"/>
              <w:jc w:val="center"/>
              <w:rPr>
                <w:rFonts w:hint="eastAsia" w:ascii="宋体" w:hAnsi="宋体" w:cs="宋体"/>
                <w:b/>
                <w:bCs/>
                <w:color w:val="000000"/>
                <w:szCs w:val="18"/>
                <w:highlight w:val="none"/>
              </w:rPr>
            </w:pPr>
            <w:r>
              <w:rPr>
                <w:rFonts w:hint="eastAsia" w:ascii="宋体" w:hAnsi="宋体" w:cs="宋体"/>
                <w:b/>
                <w:bCs/>
                <w:color w:val="000000"/>
                <w:szCs w:val="18"/>
                <w:highlight w:val="none"/>
              </w:rPr>
              <w:t>数量</w:t>
            </w:r>
          </w:p>
        </w:tc>
      </w:tr>
      <w:tr w14:paraId="556B2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5" w:type="dxa"/>
            <w:tcBorders>
              <w:top w:val="single" w:color="auto" w:sz="4" w:space="0"/>
              <w:left w:val="single" w:color="auto" w:sz="4" w:space="0"/>
              <w:bottom w:val="single" w:color="auto" w:sz="4" w:space="0"/>
              <w:right w:val="single" w:color="auto" w:sz="4" w:space="0"/>
            </w:tcBorders>
            <w:noWrap/>
            <w:vAlign w:val="center"/>
          </w:tcPr>
          <w:p w14:paraId="5993C5BC">
            <w:pPr>
              <w:keepNext w:val="0"/>
              <w:keepLines w:val="0"/>
              <w:suppressLineNumbers w:val="0"/>
              <w:spacing w:before="0" w:beforeAutospacing="0" w:after="0" w:afterAutospacing="0" w:line="240" w:lineRule="exact"/>
              <w:ind w:left="0" w:right="0"/>
              <w:jc w:val="center"/>
              <w:rPr>
                <w:rFonts w:hint="eastAsia" w:ascii="宋体" w:hAnsi="宋体" w:cs="宋体"/>
                <w:color w:val="000000"/>
                <w:szCs w:val="18"/>
                <w:highlight w:val="none"/>
              </w:rPr>
            </w:pPr>
            <w:r>
              <w:rPr>
                <w:rFonts w:hint="eastAsia" w:ascii="宋体" w:hAnsi="宋体" w:cs="宋体"/>
                <w:color w:val="000000"/>
                <w:szCs w:val="18"/>
                <w:highlight w:val="none"/>
              </w:rPr>
              <w:t>1</w:t>
            </w:r>
          </w:p>
        </w:tc>
        <w:tc>
          <w:tcPr>
            <w:tcW w:w="761" w:type="dxa"/>
            <w:tcBorders>
              <w:top w:val="single" w:color="auto" w:sz="4" w:space="0"/>
              <w:left w:val="single" w:color="auto" w:sz="4" w:space="0"/>
              <w:bottom w:val="single" w:color="auto" w:sz="4" w:space="0"/>
              <w:right w:val="single" w:color="auto" w:sz="4" w:space="0"/>
            </w:tcBorders>
            <w:noWrap w:val="0"/>
            <w:vAlign w:val="center"/>
          </w:tcPr>
          <w:p w14:paraId="62F81F82">
            <w:pPr>
              <w:keepNext w:val="0"/>
              <w:keepLines w:val="0"/>
              <w:suppressLineNumbers w:val="0"/>
              <w:spacing w:before="0" w:beforeAutospacing="0" w:after="0" w:afterAutospacing="0"/>
              <w:ind w:left="0" w:right="0"/>
              <w:jc w:val="center"/>
              <w:rPr>
                <w:rFonts w:hint="eastAsia" w:ascii="宋体" w:hAnsi="宋体" w:cs="宋体"/>
                <w:color w:val="000000"/>
                <w:szCs w:val="18"/>
                <w:highlight w:val="none"/>
              </w:rPr>
            </w:pPr>
            <w:r>
              <w:rPr>
                <w:rFonts w:hint="eastAsia" w:ascii="宋体" w:hAnsi="宋体" w:cs="宋体"/>
                <w:color w:val="000000"/>
                <w:highlight w:val="none"/>
              </w:rPr>
              <w:t>货到人搬运设备</w:t>
            </w:r>
          </w:p>
        </w:tc>
        <w:tc>
          <w:tcPr>
            <w:tcW w:w="5416" w:type="dxa"/>
            <w:tcBorders>
              <w:top w:val="single" w:color="auto" w:sz="4" w:space="0"/>
              <w:left w:val="single" w:color="auto" w:sz="4" w:space="0"/>
              <w:bottom w:val="single" w:color="auto" w:sz="4" w:space="0"/>
              <w:right w:val="single" w:color="auto" w:sz="4" w:space="0"/>
            </w:tcBorders>
            <w:noWrap w:val="0"/>
          </w:tcPr>
          <w:p w14:paraId="166D0358">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一、项目概述</w:t>
            </w:r>
          </w:p>
          <w:p w14:paraId="576478C3">
            <w:pPr>
              <w:keepNext w:val="0"/>
              <w:keepLines w:val="0"/>
              <w:suppressLineNumbers w:val="0"/>
              <w:spacing w:before="0" w:beforeAutospacing="0" w:after="0" w:afterAutospacing="0"/>
              <w:ind w:left="0" w:right="0" w:firstLine="420"/>
              <w:rPr>
                <w:rFonts w:hint="eastAsia" w:ascii="宋体" w:hAnsi="宋体" w:cs="宋体"/>
                <w:szCs w:val="21"/>
                <w:highlight w:val="none"/>
              </w:rPr>
            </w:pPr>
            <w:r>
              <w:rPr>
                <w:rFonts w:hint="eastAsia" w:ascii="宋体" w:hAnsi="宋体" w:cs="宋体"/>
                <w:szCs w:val="21"/>
                <w:highlight w:val="none"/>
              </w:rPr>
              <w:t>货到人搬运设备聚焦智能工厂生产物流核心环节，模拟从原材料入库到物料搬运的全流程作业，通过配置BOM、存储策略及补货策略等实训内容，助力学生掌握生产物流AGV单元的全流程操作，强化智能物流系统的调度与管理能力，构建贴近工业场景的自动化物流实训平台。</w:t>
            </w:r>
          </w:p>
          <w:p w14:paraId="15E7146E">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二、功能及清单</w:t>
            </w:r>
          </w:p>
          <w:p w14:paraId="33A85419">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货到人搬运设备包含潜伏式搬运机器人系统2台、存储货架4组、生产物流实施部署基础设备1批。</w:t>
            </w:r>
          </w:p>
          <w:p w14:paraId="13DE1C5D">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潜伏式搬运机器人系统功能：AGV用货架搬运机器人搬运货架，实现货架到人，作业人员均无需进入货架库区内部，即可完成拣选作业。</w:t>
            </w:r>
          </w:p>
          <w:p w14:paraId="01C41BDA">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存储货架功能：存储货架配合潜伏式搬运机器人进行移动，作业人员由潜伏式搬运机器人顶起货架，作业人员可依据货架布局及货物存放规则，快速由潜伏式搬运机器人搬运货架至人身边并拿取所需</w:t>
            </w:r>
            <w:r>
              <w:rPr>
                <w:rFonts w:hint="eastAsia" w:ascii="宋体" w:hAnsi="宋体" w:cs="宋体"/>
                <w:color w:val="000000" w:themeColor="text1"/>
                <w:szCs w:val="21"/>
                <w:highlight w:val="none"/>
                <w14:textFill>
                  <w14:solidFill>
                    <w14:schemeClr w14:val="tx1"/>
                  </w14:solidFill>
                </w14:textFill>
              </w:rPr>
              <w:t>货物，</w:t>
            </w:r>
            <w:r>
              <w:rPr>
                <w:rFonts w:hint="eastAsia" w:ascii="宋体" w:hAnsi="宋体" w:cs="宋体"/>
                <w:color w:val="000000" w:themeColor="text1"/>
                <w:szCs w:val="21"/>
                <w:highlight w:val="none"/>
                <w:lang w:val="en-US" w:eastAsia="zh-CN"/>
                <w14:textFill>
                  <w14:solidFill>
                    <w14:schemeClr w14:val="tx1"/>
                  </w14:solidFill>
                </w14:textFill>
              </w:rPr>
              <w:t>以提高</w:t>
            </w:r>
            <w:r>
              <w:rPr>
                <w:rFonts w:hint="eastAsia" w:ascii="宋体" w:hAnsi="宋体" w:cs="宋体"/>
                <w:color w:val="000000" w:themeColor="text1"/>
                <w:szCs w:val="21"/>
                <w:highlight w:val="none"/>
                <w14:textFill>
                  <w14:solidFill>
                    <w14:schemeClr w14:val="tx1"/>
                  </w14:solidFill>
                </w14:textFill>
              </w:rPr>
              <w:t>作业效率。</w:t>
            </w:r>
          </w:p>
          <w:p w14:paraId="28532A55">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szCs w:val="21"/>
                <w:highlight w:val="none"/>
              </w:rPr>
              <w:t>生产物流实施部署基础设备功能：地面划线作为基础指引，通过清晰线条划分区域与路径，规范设备和人员行动轨迹。模拟物料在教学过程中可以帮助学生了解熟悉整个运行过程，减少不必要的真实资源的浪费，亦可形成可循环利用的资源。必要的场地布置充分发挥货到人搬运设备效能的前提，规划时需综合考量存储货架布局、工作站位置、通道宽度等因素，确保物料搬运路径最短且不交叉，提升空间利用率，同时确保设备的完整运行。</w:t>
            </w:r>
          </w:p>
          <w:p w14:paraId="0A885521">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三、设备详细参数</w:t>
            </w:r>
          </w:p>
          <w:p w14:paraId="34E4C53B">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1.潜伏式搬运机器人系统，2套</w:t>
            </w:r>
          </w:p>
          <w:p w14:paraId="63B23EA8">
            <w:pPr>
              <w:pStyle w:val="213"/>
              <w:keepNext w:val="0"/>
              <w:keepLines w:val="0"/>
              <w:suppressLineNumbers w:val="0"/>
              <w:tabs>
                <w:tab w:val="left" w:pos="11859"/>
              </w:tabs>
              <w:spacing w:before="0" w:beforeAutospacing="0" w:after="0" w:afterAutospacing="0"/>
              <w:ind w:left="0" w:right="0"/>
              <w:rPr>
                <w:rFonts w:hint="eastAsia" w:ascii="宋体" w:hAnsi="宋体" w:eastAsia="宋体" w:cs="宋体"/>
                <w:szCs w:val="21"/>
                <w:highlight w:val="none"/>
                <w:lang w:eastAsia="zh-CN"/>
              </w:rPr>
            </w:pPr>
            <w:r>
              <w:rPr>
                <w:rFonts w:hint="eastAsia" w:ascii="宋体" w:hAnsi="宋体" w:cs="宋体"/>
                <w:szCs w:val="21"/>
                <w:highlight w:val="none"/>
              </w:rPr>
              <w:t>(1)性能参数：①自重≤140kg；②额定负载≥600kg；③空载最大速度≥2.0m/s；④顶升高度≥55mm；</w:t>
            </w:r>
            <w:r>
              <w:rPr>
                <w:rFonts w:hint="eastAsia" w:ascii="宋体" w:hAnsi="宋体" w:cs="宋体"/>
                <w:szCs w:val="21"/>
                <w:highlight w:val="none"/>
                <w:lang w:eastAsia="zh-CN"/>
              </w:rPr>
              <w:tab/>
            </w:r>
          </w:p>
          <w:p w14:paraId="4BE07A32">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(2)导航与驱动：①导航方式：二维码+IMU；②导航定位精度：±10mm；③驱动方式：双轮差速，支持原地旋转；</w:t>
            </w:r>
          </w:p>
          <w:p w14:paraId="6C45C04E">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(3)操作与支持：①充电方式：自主充电；②控制方式：支持自动、手动、遥控等操作；③含地面码、货架码及辅助耗材，1套。</w:t>
            </w:r>
          </w:p>
          <w:p w14:paraId="7B9FE1F5">
            <w:pPr>
              <w:pStyle w:val="213"/>
              <w:keepNext w:val="0"/>
              <w:keepLines w:val="0"/>
              <w:suppressLineNumbers w:val="0"/>
              <w:spacing w:before="0" w:beforeAutospacing="0" w:after="0" w:afterAutospacing="0"/>
              <w:ind w:left="0" w:right="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▲(4)</w:t>
            </w:r>
            <w:r>
              <w:rPr>
                <w:rFonts w:hint="eastAsia" w:ascii="宋体" w:hAnsi="宋体" w:cs="宋体"/>
                <w:b/>
                <w:bCs/>
                <w:color w:val="auto"/>
                <w:szCs w:val="21"/>
                <w:highlight w:val="none"/>
              </w:rPr>
              <w:t>配套教学</w:t>
            </w:r>
            <w:r>
              <w:rPr>
                <w:rFonts w:hint="eastAsia" w:ascii="宋体" w:hAnsi="宋体" w:cs="宋体"/>
                <w:color w:val="auto"/>
                <w:szCs w:val="21"/>
                <w:highlight w:val="none"/>
                <w:lang w:eastAsia="zh-CN"/>
              </w:rPr>
              <w:t>：</w:t>
            </w:r>
            <w:r>
              <w:rPr>
                <w:rFonts w:hint="eastAsia" w:ascii="宋体" w:hAnsi="宋体" w:cs="宋体"/>
                <w:color w:val="auto"/>
                <w:szCs w:val="21"/>
                <w:highlight w:val="none"/>
              </w:rPr>
              <w:t>为满足教学演示与理论培训需求，投标人须提供与智能物流、生产计划及AGV技术相关的配套教学资源。资源形式可包括但不限于动画、视频短片、交互式课件或仿真软件模块等，总时长不低于22分钟，须完整涵盖以下六个主题内容：①AGV导航技术的发展与原理概述，时长≥3分钟；②AGV在现代化物流及生产中的典型应用场景，时长≥3分钟；③主生产计划（MPS）相关概述，时长≥3分钟；④约束理论（TOC）及其持续改进理念，时长≥3分钟；⑤智慧仓储系统中工作站数量规划与计算方法，时长≥4分钟；⑥ 传统零售订单与电商订单的流程与特性对比分析，时长≥5分钟</w:t>
            </w:r>
            <w:r>
              <w:rPr>
                <w:rFonts w:hint="eastAsia" w:ascii="宋体" w:hAnsi="宋体" w:cs="宋体"/>
                <w:color w:val="auto"/>
                <w:szCs w:val="21"/>
                <w:highlight w:val="none"/>
                <w:lang w:eastAsia="zh-CN"/>
              </w:rPr>
              <w:t>；</w:t>
            </w:r>
          </w:p>
          <w:p w14:paraId="0F1F6D13">
            <w:pPr>
              <w:pStyle w:val="213"/>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color w:val="auto"/>
                <w:lang w:val="en-US" w:eastAsia="zh-CN"/>
              </w:rPr>
              <w:t>▲</w:t>
            </w:r>
            <w:r>
              <w:rPr>
                <w:rFonts w:hint="eastAsia" w:ascii="宋体" w:hAnsi="宋体" w:cs="宋体"/>
                <w:color w:val="auto"/>
                <w:szCs w:val="21"/>
                <w:highlight w:val="none"/>
              </w:rPr>
              <w:t>(5)系统配置与集成要求</w:t>
            </w:r>
            <w:r>
              <w:rPr>
                <w:rFonts w:hint="eastAsia" w:ascii="宋体" w:hAnsi="宋体" w:cs="宋体"/>
                <w:color w:val="auto"/>
                <w:szCs w:val="21"/>
                <w:highlight w:val="none"/>
                <w:lang w:eastAsia="zh-CN"/>
              </w:rPr>
              <w:t>：需配备机器人控制系统及仓储管理系统，该仓储管理系统自验收合格之日起提供不少于 3 年免费维护与升级服务。系统需实现硬件设备对接，分别与潜伏式搬运机器人、线性搬运机器人完成集成，并与一期硬件设备（机器人、手持终端等）适配集成，支持出入库全业务流程操作（1 套）。</w:t>
            </w:r>
            <w:r>
              <w:rPr>
                <w:rFonts w:hint="eastAsia" w:ascii="宋体" w:hAnsi="宋体" w:cs="宋体"/>
                <w:color w:val="auto"/>
                <w:szCs w:val="21"/>
                <w:highlight w:val="none"/>
                <w:lang w:eastAsia="zh-CN"/>
              </w:rPr>
              <w:br w:type="textWrapping"/>
            </w:r>
            <w:r>
              <w:rPr>
                <w:rFonts w:hint="eastAsia" w:ascii="宋体" w:hAnsi="宋体" w:cs="宋体"/>
                <w:color w:val="auto"/>
                <w:szCs w:val="21"/>
                <w:highlight w:val="none"/>
              </w:rPr>
              <w:t>（6）系统需具备以下功能：</w:t>
            </w:r>
          </w:p>
          <w:p w14:paraId="7562DA29">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color w:val="auto"/>
                <w:szCs w:val="21"/>
                <w:highlight w:val="none"/>
              </w:rPr>
              <w:t>①任务执行：支持按任务优先级自动执行系统</w:t>
            </w:r>
            <w:r>
              <w:rPr>
                <w:rFonts w:hint="eastAsia" w:ascii="宋体" w:hAnsi="宋体" w:cs="宋体"/>
                <w:szCs w:val="21"/>
                <w:highlight w:val="none"/>
              </w:rPr>
              <w:t>生成的各项任务；</w:t>
            </w:r>
          </w:p>
          <w:p w14:paraId="367C32E6">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②模拟仿真：具备设备模拟仿真功能，可清晰展现仿真结果；</w:t>
            </w:r>
          </w:p>
          <w:p w14:paraId="35326EF4">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③地图管理：支持新地图导入，可向设备下发对应地图数据；</w:t>
            </w:r>
          </w:p>
          <w:p w14:paraId="1FB8DE04">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④故障处理：设备故障实时告警，支持异常情况自动自愈；</w:t>
            </w:r>
          </w:p>
          <w:p w14:paraId="5CE079D3">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⑤节点记录：全程记录物流搬运各节点信息，实现节点信息实时上传与交互；</w:t>
            </w:r>
          </w:p>
          <w:p w14:paraId="26CD8AC3">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⑥实时监控:提供可视化实时界面，展示地图布局、设备状态及任务进度；</w:t>
            </w:r>
          </w:p>
          <w:p w14:paraId="6104CB2A">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⑦任务管理:可监控设备任务详情，包括任务状态、任务信息及执行失败原因等；</w:t>
            </w:r>
          </w:p>
          <w:p w14:paraId="02FE2CB8">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⑧资源管理:展示仓库内容器、运力、站点及具体区域等资源信息。</w:t>
            </w:r>
          </w:p>
          <w:p w14:paraId="38A465F3">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2.存储货架，4组</w:t>
            </w:r>
          </w:p>
          <w:p w14:paraId="641798D9">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(1)货架尺寸：长920mm</w:t>
            </w:r>
            <w:r>
              <w:rPr>
                <w:rFonts w:hint="eastAsia" w:ascii="宋体" w:hAnsi="宋体" w:cs="宋体"/>
                <w:szCs w:val="21"/>
                <w:highlight w:val="none"/>
              </w:rPr>
              <w:t>±</w:t>
            </w:r>
            <w:r>
              <w:rPr>
                <w:rFonts w:hint="eastAsia" w:ascii="宋体" w:hAnsi="宋体" w:cs="宋体"/>
                <w:szCs w:val="21"/>
                <w:highlight w:val="none"/>
                <w:lang w:val="en-US" w:eastAsia="zh-CN"/>
              </w:rPr>
              <w:t>2</w:t>
            </w:r>
            <w:r>
              <w:rPr>
                <w:rFonts w:hint="eastAsia" w:ascii="宋体" w:hAnsi="宋体" w:cs="宋体"/>
                <w:szCs w:val="21"/>
                <w:highlight w:val="none"/>
              </w:rPr>
              <w:t>0mm</w:t>
            </w:r>
            <w:r>
              <w:rPr>
                <w:rFonts w:hint="eastAsia" w:ascii="宋体" w:hAnsi="宋体" w:cs="宋体"/>
                <w:highlight w:val="none"/>
              </w:rPr>
              <w:t>，宽约920mm</w:t>
            </w:r>
            <w:r>
              <w:rPr>
                <w:rFonts w:hint="eastAsia" w:ascii="宋体" w:hAnsi="宋体" w:cs="宋体"/>
                <w:szCs w:val="21"/>
                <w:highlight w:val="none"/>
              </w:rPr>
              <w:t>±</w:t>
            </w:r>
            <w:r>
              <w:rPr>
                <w:rFonts w:hint="eastAsia" w:ascii="宋体" w:hAnsi="宋体" w:cs="宋体"/>
                <w:szCs w:val="21"/>
                <w:highlight w:val="none"/>
                <w:lang w:val="en-US" w:eastAsia="zh-CN"/>
              </w:rPr>
              <w:t>2</w:t>
            </w:r>
            <w:r>
              <w:rPr>
                <w:rFonts w:hint="eastAsia" w:ascii="宋体" w:hAnsi="宋体" w:cs="宋体"/>
                <w:szCs w:val="21"/>
                <w:highlight w:val="none"/>
              </w:rPr>
              <w:t>0mm</w:t>
            </w:r>
            <w:r>
              <w:rPr>
                <w:rFonts w:hint="eastAsia" w:ascii="宋体" w:hAnsi="宋体" w:cs="宋体"/>
                <w:highlight w:val="none"/>
              </w:rPr>
              <w:t>，高约1800mm</w:t>
            </w:r>
            <w:r>
              <w:rPr>
                <w:rFonts w:hint="eastAsia" w:ascii="宋体" w:hAnsi="宋体" w:cs="宋体"/>
                <w:szCs w:val="21"/>
                <w:highlight w:val="none"/>
              </w:rPr>
              <w:t>±</w:t>
            </w:r>
            <w:r>
              <w:rPr>
                <w:rFonts w:hint="eastAsia" w:ascii="宋体" w:hAnsi="宋体" w:cs="宋体"/>
                <w:szCs w:val="21"/>
                <w:highlight w:val="none"/>
                <w:lang w:val="en-US" w:eastAsia="zh-CN"/>
              </w:rPr>
              <w:t>2</w:t>
            </w:r>
            <w:r>
              <w:rPr>
                <w:rFonts w:hint="eastAsia" w:ascii="宋体" w:hAnsi="宋体" w:cs="宋体"/>
                <w:szCs w:val="21"/>
                <w:highlight w:val="none"/>
              </w:rPr>
              <w:t>0mm</w:t>
            </w:r>
            <w:r>
              <w:rPr>
                <w:rFonts w:hint="eastAsia" w:ascii="宋体" w:hAnsi="宋体" w:cs="宋体"/>
                <w:highlight w:val="none"/>
              </w:rPr>
              <w:t>；</w:t>
            </w:r>
          </w:p>
          <w:p w14:paraId="5C1C048D">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(2)货架类型：≥4层（双面拣选）；</w:t>
            </w:r>
          </w:p>
          <w:p w14:paraId="613D2B91">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(3)钢管规格：≥40*40*1mm；</w:t>
            </w:r>
          </w:p>
          <w:p w14:paraId="592FCBB1">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(4)货架及托具的角钢厚度</w:t>
            </w:r>
            <w:r>
              <w:rPr>
                <w:rFonts w:hint="eastAsia" w:ascii="宋体" w:hAnsi="宋体" w:cs="宋体"/>
                <w:highlight w:val="none"/>
                <w:lang w:eastAsia="zh-CN"/>
              </w:rPr>
              <w:t>：</w:t>
            </w:r>
            <w:r>
              <w:rPr>
                <w:rFonts w:hint="eastAsia" w:ascii="宋体" w:hAnsi="宋体" w:cs="宋体"/>
                <w:highlight w:val="none"/>
              </w:rPr>
              <w:t>≥1.5mm；</w:t>
            </w:r>
          </w:p>
          <w:p w14:paraId="5015A859">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(5)表面喷涂处理；</w:t>
            </w:r>
          </w:p>
          <w:p w14:paraId="5698E355">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(6)所有部件加工后打磨毛刺</w:t>
            </w:r>
            <w:r>
              <w:rPr>
                <w:rFonts w:hint="eastAsia" w:ascii="宋体" w:hAnsi="宋体" w:cs="宋体"/>
                <w:highlight w:val="none"/>
                <w:lang w:eastAsia="zh-CN"/>
              </w:rPr>
              <w:t>，</w:t>
            </w:r>
            <w:r>
              <w:rPr>
                <w:rFonts w:hint="eastAsia" w:ascii="宋体" w:hAnsi="宋体" w:cs="宋体"/>
                <w:highlight w:val="none"/>
              </w:rPr>
              <w:t>无裂缝</w:t>
            </w:r>
            <w:r>
              <w:rPr>
                <w:rFonts w:hint="eastAsia" w:ascii="宋体" w:hAnsi="宋体" w:cs="宋体"/>
                <w:highlight w:val="none"/>
                <w:lang w:eastAsia="zh-CN"/>
              </w:rPr>
              <w:t>、</w:t>
            </w:r>
            <w:r>
              <w:rPr>
                <w:rFonts w:hint="eastAsia" w:ascii="宋体" w:hAnsi="宋体" w:cs="宋体"/>
                <w:highlight w:val="none"/>
              </w:rPr>
              <w:t>无伤痕；</w:t>
            </w:r>
          </w:p>
          <w:p w14:paraId="688913B9">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(7)所有焊接件焊接牢固</w:t>
            </w:r>
            <w:r>
              <w:rPr>
                <w:rFonts w:hint="eastAsia" w:ascii="宋体" w:hAnsi="宋体" w:cs="宋体"/>
                <w:highlight w:val="none"/>
                <w:lang w:eastAsia="zh-CN"/>
              </w:rPr>
              <w:t>，</w:t>
            </w:r>
            <w:r>
              <w:rPr>
                <w:rFonts w:hint="eastAsia" w:ascii="宋体" w:hAnsi="宋体" w:cs="宋体"/>
                <w:highlight w:val="none"/>
              </w:rPr>
              <w:t>焊痕光滑</w:t>
            </w:r>
            <w:r>
              <w:rPr>
                <w:rFonts w:hint="eastAsia" w:ascii="宋体" w:hAnsi="宋体" w:cs="宋体"/>
                <w:highlight w:val="none"/>
                <w:lang w:eastAsia="zh-CN"/>
              </w:rPr>
              <w:t>、</w:t>
            </w:r>
            <w:r>
              <w:rPr>
                <w:rFonts w:hint="eastAsia" w:ascii="宋体" w:hAnsi="宋体" w:cs="宋体"/>
                <w:highlight w:val="none"/>
              </w:rPr>
              <w:t>平整。</w:t>
            </w:r>
          </w:p>
          <w:p w14:paraId="7A9B9831">
            <w:pPr>
              <w:pStyle w:val="213"/>
              <w:keepNext w:val="0"/>
              <w:keepLines w:val="0"/>
              <w:suppressLineNumbers w:val="0"/>
              <w:spacing w:before="0" w:beforeAutospacing="0" w:after="0" w:afterAutospacing="0"/>
              <w:ind w:left="0" w:right="0"/>
              <w:rPr>
                <w:rFonts w:hint="eastAsia" w:ascii="宋体" w:hAnsi="宋体" w:eastAsia="宋体" w:cs="宋体"/>
                <w:szCs w:val="21"/>
                <w:highlight w:val="none"/>
                <w:lang w:eastAsia="zh-CN"/>
              </w:rPr>
            </w:pPr>
            <w:r>
              <w:rPr>
                <w:rFonts w:hint="eastAsia" w:ascii="宋体" w:hAnsi="宋体" w:cs="宋体"/>
                <w:szCs w:val="21"/>
                <w:highlight w:val="none"/>
              </w:rPr>
              <w:t>3.生产物流实施部署基础设备，1批</w:t>
            </w:r>
            <w:r>
              <w:rPr>
                <w:rFonts w:hint="eastAsia" w:ascii="宋体" w:hAnsi="宋体" w:cs="宋体"/>
                <w:szCs w:val="21"/>
                <w:highlight w:val="none"/>
                <w:lang w:eastAsia="zh-CN"/>
              </w:rPr>
              <w:t>，具体要求如下：</w:t>
            </w:r>
          </w:p>
          <w:p w14:paraId="54F8F629">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包含：</w:t>
            </w:r>
            <w:r>
              <w:rPr>
                <w:rFonts w:hint="eastAsia" w:ascii="宋体" w:hAnsi="宋体" w:eastAsia="宋体" w:cs="宋体"/>
                <w:szCs w:val="21"/>
                <w:highlight w:val="none"/>
              </w:rPr>
              <w:t>①</w:t>
            </w:r>
            <w:r>
              <w:rPr>
                <w:rFonts w:hint="eastAsia" w:ascii="宋体" w:hAnsi="宋体" w:cs="宋体"/>
                <w:szCs w:val="21"/>
                <w:highlight w:val="none"/>
              </w:rPr>
              <w:t>24口交换机*1。</w:t>
            </w:r>
            <w:r>
              <w:rPr>
                <w:rFonts w:hint="eastAsia" w:ascii="宋体" w:hAnsi="宋体" w:eastAsia="宋体" w:cs="宋体"/>
                <w:szCs w:val="21"/>
                <w:highlight w:val="none"/>
              </w:rPr>
              <w:t>②</w:t>
            </w:r>
            <w:r>
              <w:rPr>
                <w:rFonts w:hint="eastAsia" w:ascii="宋体" w:hAnsi="宋体" w:cs="宋体"/>
                <w:szCs w:val="21"/>
                <w:highlight w:val="none"/>
              </w:rPr>
              <w:t>无线AP*1</w:t>
            </w:r>
            <w:r>
              <w:rPr>
                <w:rFonts w:hint="eastAsia" w:ascii="宋体" w:hAnsi="宋体" w:cs="宋体"/>
                <w:szCs w:val="21"/>
                <w:highlight w:val="none"/>
                <w:lang w:eastAsia="zh-CN"/>
              </w:rPr>
              <w:t>，</w:t>
            </w:r>
            <w:r>
              <w:rPr>
                <w:rFonts w:hint="eastAsia" w:ascii="宋体" w:hAnsi="宋体" w:cs="宋体"/>
                <w:szCs w:val="21"/>
                <w:highlight w:val="none"/>
              </w:rPr>
              <w:t>机柜*1</w:t>
            </w:r>
            <w:r>
              <w:rPr>
                <w:rFonts w:hint="eastAsia" w:ascii="宋体" w:hAnsi="宋体" w:cs="宋体"/>
                <w:szCs w:val="21"/>
                <w:highlight w:val="none"/>
                <w:lang w:eastAsia="zh-CN"/>
              </w:rPr>
              <w:t>，</w:t>
            </w:r>
            <w:r>
              <w:rPr>
                <w:rFonts w:hint="eastAsia" w:ascii="宋体" w:hAnsi="宋体" w:cs="宋体"/>
                <w:szCs w:val="21"/>
                <w:highlight w:val="none"/>
              </w:rPr>
              <w:t>网口若干</w:t>
            </w:r>
            <w:r>
              <w:rPr>
                <w:rFonts w:hint="eastAsia" w:ascii="宋体" w:hAnsi="宋体" w:cs="宋体"/>
                <w:szCs w:val="21"/>
                <w:highlight w:val="none"/>
                <w:lang w:eastAsia="zh-CN"/>
              </w:rPr>
              <w:t>，</w:t>
            </w:r>
            <w:r>
              <w:rPr>
                <w:rFonts w:hint="eastAsia" w:ascii="宋体" w:hAnsi="宋体" w:cs="宋体"/>
                <w:szCs w:val="21"/>
                <w:highlight w:val="none"/>
              </w:rPr>
              <w:t>电口若干</w:t>
            </w:r>
            <w:r>
              <w:rPr>
                <w:rFonts w:hint="eastAsia" w:ascii="宋体" w:hAnsi="宋体" w:cs="宋体"/>
                <w:szCs w:val="21"/>
                <w:highlight w:val="none"/>
                <w:lang w:eastAsia="zh-CN"/>
              </w:rPr>
              <w:t>。</w:t>
            </w:r>
            <w:r>
              <w:rPr>
                <w:rFonts w:hint="eastAsia" w:ascii="宋体" w:hAnsi="宋体" w:eastAsia="宋体" w:cs="宋体"/>
                <w:szCs w:val="21"/>
                <w:highlight w:val="none"/>
              </w:rPr>
              <w:t>③</w:t>
            </w:r>
            <w:r>
              <w:rPr>
                <w:rFonts w:hint="eastAsia" w:ascii="宋体" w:hAnsi="宋体" w:cs="宋体"/>
                <w:szCs w:val="21"/>
                <w:highlight w:val="none"/>
              </w:rPr>
              <w:t>场地</w:t>
            </w:r>
            <w:r>
              <w:rPr>
                <w:rFonts w:hint="eastAsia" w:ascii="宋体" w:hAnsi="宋体" w:cs="宋体"/>
                <w:color w:val="auto"/>
                <w:szCs w:val="21"/>
                <w:highlight w:val="none"/>
              </w:rPr>
              <w:t>布置及地面划线，包含地面分割带</w:t>
            </w:r>
            <w:r>
              <w:rPr>
                <w:rFonts w:hint="eastAsia" w:ascii="宋体" w:hAnsi="宋体" w:cs="宋体"/>
                <w:color w:val="auto"/>
                <w:szCs w:val="21"/>
                <w:highlight w:val="none"/>
                <w:lang w:eastAsia="zh-CN"/>
              </w:rPr>
              <w:t>、</w:t>
            </w:r>
            <w:r>
              <w:rPr>
                <w:rFonts w:hint="eastAsia" w:ascii="宋体" w:hAnsi="宋体" w:cs="宋体"/>
                <w:color w:val="auto"/>
                <w:szCs w:val="21"/>
                <w:highlight w:val="none"/>
              </w:rPr>
              <w:t>区域贴字</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④</w:t>
            </w:r>
            <w:r>
              <w:rPr>
                <w:rFonts w:hint="eastAsia" w:ascii="宋体" w:hAnsi="宋体" w:cs="宋体"/>
                <w:color w:val="auto"/>
                <w:szCs w:val="21"/>
                <w:highlight w:val="none"/>
              </w:rPr>
              <w:t>模拟物料：尺寸：</w:t>
            </w:r>
            <w:r>
              <w:rPr>
                <w:rFonts w:hint="eastAsia" w:ascii="宋体" w:hAnsi="宋体" w:cs="宋体"/>
                <w:color w:val="auto"/>
                <w:highlight w:val="none"/>
              </w:rPr>
              <w:t>≥</w:t>
            </w:r>
            <w:r>
              <w:rPr>
                <w:rFonts w:hint="eastAsia" w:ascii="宋体" w:hAnsi="宋体" w:cs="宋体"/>
                <w:color w:val="auto"/>
                <w:szCs w:val="21"/>
                <w:highlight w:val="none"/>
              </w:rPr>
              <w:t>50mm*50mm*10mm</w:t>
            </w:r>
            <w:r>
              <w:rPr>
                <w:rFonts w:hint="eastAsia" w:ascii="宋体" w:hAnsi="宋体" w:cs="宋体"/>
                <w:color w:val="auto"/>
                <w:szCs w:val="21"/>
                <w:highlight w:val="none"/>
                <w:lang w:eastAsia="zh-CN"/>
              </w:rPr>
              <w:t>；</w:t>
            </w:r>
            <w:r>
              <w:rPr>
                <w:rFonts w:hint="eastAsia" w:ascii="宋体" w:hAnsi="宋体" w:cs="宋体"/>
                <w:color w:val="auto"/>
                <w:szCs w:val="21"/>
                <w:highlight w:val="none"/>
              </w:rPr>
              <w:t>颜色：绿色</w:t>
            </w:r>
            <w:r>
              <w:rPr>
                <w:rFonts w:hint="eastAsia" w:ascii="宋体" w:hAnsi="宋体" w:cs="宋体"/>
                <w:color w:val="auto"/>
                <w:szCs w:val="21"/>
                <w:highlight w:val="none"/>
                <w:lang w:eastAsia="zh-CN"/>
              </w:rPr>
              <w:t>；</w:t>
            </w:r>
            <w:r>
              <w:rPr>
                <w:rFonts w:hint="eastAsia" w:ascii="宋体" w:hAnsi="宋体" w:cs="宋体"/>
                <w:color w:val="auto"/>
                <w:szCs w:val="21"/>
                <w:highlight w:val="none"/>
              </w:rPr>
              <w:t>材质：PVC</w:t>
            </w:r>
            <w:r>
              <w:rPr>
                <w:rFonts w:hint="eastAsia" w:ascii="宋体" w:hAnsi="宋体" w:cs="宋体"/>
                <w:color w:val="auto"/>
                <w:szCs w:val="21"/>
                <w:highlight w:val="none"/>
                <w:lang w:eastAsia="zh-CN"/>
              </w:rPr>
              <w:t>；</w:t>
            </w:r>
            <w:r>
              <w:rPr>
                <w:rFonts w:hint="eastAsia" w:ascii="宋体" w:hAnsi="宋体" w:cs="宋体"/>
                <w:color w:val="auto"/>
                <w:szCs w:val="21"/>
                <w:highlight w:val="none"/>
              </w:rPr>
              <w:t>数量：400。</w:t>
            </w:r>
          </w:p>
        </w:tc>
        <w:tc>
          <w:tcPr>
            <w:tcW w:w="1067" w:type="dxa"/>
            <w:tcBorders>
              <w:top w:val="single" w:color="auto" w:sz="4" w:space="0"/>
              <w:left w:val="single" w:color="auto" w:sz="4" w:space="0"/>
              <w:bottom w:val="single" w:color="auto" w:sz="4" w:space="0"/>
              <w:right w:val="single" w:color="auto" w:sz="4" w:space="0"/>
            </w:tcBorders>
            <w:noWrap w:val="0"/>
            <w:vAlign w:val="center"/>
          </w:tcPr>
          <w:p w14:paraId="1D4631D9">
            <w:pPr>
              <w:keepNext w:val="0"/>
              <w:keepLines w:val="0"/>
              <w:suppressLineNumbers w:val="0"/>
              <w:spacing w:before="0" w:beforeAutospacing="0" w:after="0" w:afterAutospacing="0" w:line="240" w:lineRule="exact"/>
              <w:ind w:left="0" w:right="0"/>
              <w:jc w:val="center"/>
              <w:rPr>
                <w:rFonts w:hint="eastAsia" w:ascii="宋体" w:hAnsi="宋体" w:cs="宋体"/>
                <w:color w:val="000000"/>
                <w:szCs w:val="18"/>
                <w:highlight w:val="none"/>
              </w:rPr>
            </w:pPr>
            <w:r>
              <w:rPr>
                <w:rFonts w:hint="eastAsia" w:ascii="宋体" w:hAnsi="宋体" w:cs="宋体"/>
                <w:szCs w:val="18"/>
                <w:highlight w:val="none"/>
              </w:rPr>
              <w:t>套</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3D0CE56A">
            <w:pPr>
              <w:pStyle w:val="26"/>
              <w:keepNext w:val="0"/>
              <w:keepLines w:val="0"/>
              <w:suppressLineNumbers w:val="0"/>
              <w:spacing w:before="0" w:beforeAutospacing="0" w:afterAutospacing="0"/>
              <w:ind w:left="0" w:right="0"/>
              <w:jc w:val="center"/>
              <w:rPr>
                <w:rFonts w:hint="eastAsia" w:ascii="宋体" w:hAnsi="宋体" w:cs="宋体"/>
                <w:highlight w:val="none"/>
              </w:rPr>
            </w:pPr>
            <w:r>
              <w:rPr>
                <w:rFonts w:hint="eastAsia" w:ascii="宋体" w:hAnsi="宋体" w:cs="宋体"/>
                <w:szCs w:val="18"/>
                <w:highlight w:val="none"/>
              </w:rPr>
              <w:t>1</w:t>
            </w:r>
          </w:p>
        </w:tc>
      </w:tr>
      <w:tr w14:paraId="4EF84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5" w:type="dxa"/>
            <w:tcBorders>
              <w:top w:val="single" w:color="auto" w:sz="4" w:space="0"/>
              <w:left w:val="single" w:color="auto" w:sz="4" w:space="0"/>
              <w:bottom w:val="single" w:color="auto" w:sz="4" w:space="0"/>
              <w:right w:val="single" w:color="auto" w:sz="4" w:space="0"/>
            </w:tcBorders>
            <w:noWrap/>
            <w:vAlign w:val="center"/>
          </w:tcPr>
          <w:p w14:paraId="5F25EBAB">
            <w:pPr>
              <w:keepNext w:val="0"/>
              <w:keepLines w:val="0"/>
              <w:suppressLineNumbers w:val="0"/>
              <w:spacing w:before="0" w:beforeAutospacing="0" w:after="0" w:afterAutospacing="0" w:line="240" w:lineRule="exact"/>
              <w:ind w:left="0" w:right="0"/>
              <w:jc w:val="center"/>
              <w:rPr>
                <w:rFonts w:hint="eastAsia" w:ascii="宋体" w:hAnsi="宋体" w:cs="宋体"/>
                <w:color w:val="000000"/>
                <w:szCs w:val="18"/>
                <w:highlight w:val="none"/>
              </w:rPr>
            </w:pPr>
            <w:r>
              <w:rPr>
                <w:rFonts w:hint="eastAsia" w:ascii="宋体" w:hAnsi="宋体" w:cs="宋体"/>
                <w:color w:val="000000"/>
                <w:szCs w:val="18"/>
                <w:highlight w:val="none"/>
              </w:rPr>
              <w:t>2</w:t>
            </w:r>
          </w:p>
        </w:tc>
        <w:tc>
          <w:tcPr>
            <w:tcW w:w="761" w:type="dxa"/>
            <w:tcBorders>
              <w:top w:val="single" w:color="auto" w:sz="4" w:space="0"/>
              <w:left w:val="single" w:color="auto" w:sz="4" w:space="0"/>
              <w:bottom w:val="single" w:color="auto" w:sz="4" w:space="0"/>
              <w:right w:val="single" w:color="auto" w:sz="4" w:space="0"/>
            </w:tcBorders>
            <w:noWrap w:val="0"/>
            <w:vAlign w:val="center"/>
          </w:tcPr>
          <w:p w14:paraId="2AE8F477">
            <w:pPr>
              <w:keepNext w:val="0"/>
              <w:keepLines w:val="0"/>
              <w:suppressLineNumbers w:val="0"/>
              <w:spacing w:before="0" w:beforeAutospacing="0" w:after="0" w:afterAutospacing="0"/>
              <w:ind w:left="0" w:right="0"/>
              <w:jc w:val="center"/>
              <w:rPr>
                <w:rFonts w:hint="eastAsia" w:ascii="宋体" w:hAnsi="宋体" w:cs="宋体"/>
                <w:color w:val="000000"/>
                <w:szCs w:val="18"/>
                <w:highlight w:val="none"/>
              </w:rPr>
            </w:pPr>
            <w:r>
              <w:rPr>
                <w:rFonts w:hint="eastAsia" w:ascii="宋体" w:hAnsi="宋体" w:cs="宋体"/>
                <w:color w:val="000000"/>
                <w:szCs w:val="18"/>
                <w:highlight w:val="none"/>
              </w:rPr>
              <w:t>产线补料综合装置</w:t>
            </w:r>
          </w:p>
        </w:tc>
        <w:tc>
          <w:tcPr>
            <w:tcW w:w="5416" w:type="dxa"/>
            <w:tcBorders>
              <w:top w:val="single" w:color="auto" w:sz="4" w:space="0"/>
              <w:left w:val="single" w:color="auto" w:sz="4" w:space="0"/>
              <w:bottom w:val="single" w:color="auto" w:sz="4" w:space="0"/>
              <w:right w:val="single" w:color="auto" w:sz="4" w:space="0"/>
            </w:tcBorders>
            <w:noWrap w:val="0"/>
          </w:tcPr>
          <w:p w14:paraId="12C9290E">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一、项目概述</w:t>
            </w:r>
          </w:p>
          <w:p w14:paraId="4F862C13">
            <w:pPr>
              <w:keepNext w:val="0"/>
              <w:keepLines w:val="0"/>
              <w:suppressLineNumbers w:val="0"/>
              <w:spacing w:before="0" w:beforeAutospacing="0" w:after="0" w:afterAutospacing="0"/>
              <w:ind w:left="0" w:right="0" w:firstLine="420"/>
              <w:rPr>
                <w:rFonts w:hint="eastAsia" w:ascii="宋体" w:hAnsi="宋体" w:cs="宋体"/>
                <w:szCs w:val="21"/>
                <w:highlight w:val="none"/>
              </w:rPr>
            </w:pPr>
            <w:r>
              <w:rPr>
                <w:rFonts w:hint="eastAsia" w:ascii="宋体" w:hAnsi="宋体" w:cs="宋体"/>
                <w:szCs w:val="21"/>
                <w:highlight w:val="none"/>
              </w:rPr>
              <w:t>产线补料综合装置围绕生产物流中的关键环节，模拟智能工厂从原材料入库、物料配送至产线补料的全流程作业，通过线性搬运机器人系统与生产物流管控设备的协同，培养学生对自动化补料设备的操作、调度及信息化管理能力，提升生产物流环节的实践技能与问题解决能力。</w:t>
            </w:r>
          </w:p>
          <w:p w14:paraId="3921BF88">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二、功能及清单</w:t>
            </w:r>
          </w:p>
          <w:p w14:paraId="0EA797D6">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产线补料综合装置包含线性搬运机器人系统1台、自动充电桩2台、生产物流专用物料箱1批。</w:t>
            </w:r>
          </w:p>
          <w:p w14:paraId="29E3353D">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线性搬运机器人系统功能：在产线补料场景中，线性搬运机器人作为智能物流的核心载体，其补料模块通过“动态感知-精准</w:t>
            </w:r>
            <w:r>
              <w:rPr>
                <w:rFonts w:hint="eastAsia" w:ascii="宋体" w:hAnsi="宋体" w:cs="宋体"/>
                <w:color w:val="auto"/>
                <w:szCs w:val="21"/>
                <w:highlight w:val="none"/>
              </w:rPr>
              <w:t>调度-柔性补给”的闭环机制，实现产线物料的</w:t>
            </w:r>
            <w:r>
              <w:rPr>
                <w:rFonts w:hint="eastAsia" w:ascii="宋体" w:hAnsi="宋体" w:cs="宋体"/>
                <w:color w:val="auto"/>
                <w:szCs w:val="21"/>
                <w:highlight w:val="none"/>
                <w:lang w:val="en-US" w:eastAsia="zh-CN"/>
              </w:rPr>
              <w:t>有</w:t>
            </w:r>
            <w:r>
              <w:rPr>
                <w:rFonts w:hint="eastAsia" w:ascii="宋体" w:hAnsi="宋体" w:cs="宋体"/>
                <w:color w:val="auto"/>
                <w:szCs w:val="21"/>
                <w:highlight w:val="none"/>
              </w:rPr>
              <w:t>效供给。在</w:t>
            </w:r>
            <w:r>
              <w:rPr>
                <w:rFonts w:hint="eastAsia" w:ascii="宋体" w:hAnsi="宋体" w:cs="宋体"/>
                <w:szCs w:val="21"/>
                <w:highlight w:val="none"/>
              </w:rPr>
              <w:t>多品种小批量生产场景中，能有效减少产线停机等待时间，将物料配送准时率提升至99%以上，同时通过无人化作业降低人工成本与安全隐患。</w:t>
            </w:r>
          </w:p>
          <w:p w14:paraId="5C3B1F43">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自动充电桩功能：当AGV载具在产线工位间穿梭补料时，充电桩模块的智能检测系统会实时监测电池SOC值，一旦电量低于预设阈值，便会自动调度至轨道旁的充电段，通过充电装置快速补能，确保补料任务无间断执行。</w:t>
            </w:r>
          </w:p>
          <w:p w14:paraId="1A3A327B">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szCs w:val="21"/>
                <w:highlight w:val="none"/>
              </w:rPr>
              <w:t>生产物流专用物料箱功能：生产物料专用物料箱通过“标准化承载-智能化管理-柔性化适配”的机制，成为衔接物料供给与产线需求的核心载体。</w:t>
            </w:r>
          </w:p>
          <w:p w14:paraId="417BADDE">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三、设备详细参数</w:t>
            </w:r>
          </w:p>
          <w:p w14:paraId="2A920E76">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highlight w:val="none"/>
              </w:rPr>
              <w:t>线性搬运机器人系统（含机器人控制系统）</w:t>
            </w:r>
            <w:r>
              <w:rPr>
                <w:rFonts w:hint="eastAsia" w:ascii="宋体" w:hAnsi="宋体" w:cs="宋体"/>
                <w:szCs w:val="21"/>
                <w:highlight w:val="none"/>
              </w:rPr>
              <w:t>，1台</w:t>
            </w:r>
          </w:p>
          <w:p w14:paraId="4E78E89F">
            <w:pPr>
              <w:keepNext w:val="0"/>
              <w:keepLines w:val="0"/>
              <w:suppressLineNumbers w:val="0"/>
              <w:spacing w:before="0" w:beforeAutospacing="0" w:after="0" w:afterAutospacing="0"/>
              <w:ind w:left="0" w:right="0" w:firstLine="420"/>
              <w:rPr>
                <w:rFonts w:hint="eastAsia" w:ascii="宋体" w:hAnsi="宋体" w:eastAsia="宋体" w:cs="宋体"/>
                <w:szCs w:val="21"/>
                <w:highlight w:val="none"/>
                <w:lang w:eastAsia="zh-CN"/>
              </w:rPr>
            </w:pPr>
            <w:r>
              <w:rPr>
                <w:rFonts w:hint="eastAsia" w:ascii="宋体" w:hAnsi="宋体" w:cs="宋体"/>
                <w:szCs w:val="21"/>
                <w:highlight w:val="none"/>
              </w:rPr>
              <w:t>(1)性能参数：①自重：≤160kg；②尺寸：车体高度500mm±</w:t>
            </w:r>
            <w:r>
              <w:rPr>
                <w:rFonts w:hint="eastAsia" w:ascii="宋体" w:hAnsi="宋体" w:cs="宋体"/>
                <w:szCs w:val="21"/>
                <w:highlight w:val="none"/>
                <w:lang w:val="en-US" w:eastAsia="zh-CN"/>
              </w:rPr>
              <w:t>3</w:t>
            </w:r>
            <w:r>
              <w:rPr>
                <w:rFonts w:hint="eastAsia" w:ascii="宋体" w:hAnsi="宋体" w:cs="宋体"/>
                <w:szCs w:val="21"/>
                <w:highlight w:val="none"/>
              </w:rPr>
              <w:t>0mm③负载与速度：额定负载≥100kg；空载速度≥2.0m/s</w:t>
            </w:r>
            <w:r>
              <w:rPr>
                <w:rFonts w:hint="eastAsia" w:ascii="宋体" w:hAnsi="宋体" w:cs="宋体"/>
                <w:szCs w:val="21"/>
                <w:highlight w:val="none"/>
                <w:lang w:eastAsia="zh-CN"/>
              </w:rPr>
              <w:t>。</w:t>
            </w:r>
          </w:p>
          <w:p w14:paraId="15A9F395">
            <w:pPr>
              <w:keepNext w:val="0"/>
              <w:keepLines w:val="0"/>
              <w:suppressLineNumbers w:val="0"/>
              <w:spacing w:before="0" w:beforeAutospacing="0" w:after="0" w:afterAutospacing="0"/>
              <w:ind w:left="0" w:right="0" w:firstLine="420"/>
              <w:rPr>
                <w:rFonts w:hint="eastAsia" w:ascii="宋体" w:hAnsi="宋体" w:eastAsia="宋体" w:cs="宋体"/>
                <w:szCs w:val="21"/>
                <w:highlight w:val="none"/>
                <w:lang w:eastAsia="zh-CN"/>
              </w:rPr>
            </w:pPr>
            <w:r>
              <w:rPr>
                <w:rFonts w:hint="eastAsia" w:ascii="宋体" w:hAnsi="宋体" w:cs="宋体"/>
                <w:szCs w:val="21"/>
                <w:highlight w:val="none"/>
              </w:rPr>
              <w:t>(2)导航与驱动：①导航方式：二维码+IMU</w:t>
            </w:r>
            <w:r>
              <w:rPr>
                <w:rFonts w:hint="eastAsia" w:ascii="宋体" w:hAnsi="宋体" w:cs="宋体"/>
                <w:szCs w:val="21"/>
                <w:highlight w:val="none"/>
                <w:lang w:eastAsia="zh-CN"/>
              </w:rPr>
              <w:t>；</w:t>
            </w:r>
            <w:r>
              <w:rPr>
                <w:rFonts w:hint="eastAsia" w:ascii="宋体" w:hAnsi="宋体" w:cs="宋体"/>
                <w:szCs w:val="21"/>
                <w:highlight w:val="none"/>
              </w:rPr>
              <w:t>②驱动方式：双轮差速，支持原地旋转</w:t>
            </w:r>
            <w:r>
              <w:rPr>
                <w:rFonts w:hint="eastAsia" w:ascii="宋体" w:hAnsi="宋体" w:cs="宋体"/>
                <w:szCs w:val="21"/>
                <w:highlight w:val="none"/>
                <w:lang w:eastAsia="zh-CN"/>
              </w:rPr>
              <w:t>。</w:t>
            </w:r>
          </w:p>
          <w:p w14:paraId="1937E386">
            <w:pPr>
              <w:keepNext w:val="0"/>
              <w:keepLines w:val="0"/>
              <w:suppressLineNumbers w:val="0"/>
              <w:spacing w:before="0" w:beforeAutospacing="0" w:after="0" w:afterAutospacing="0"/>
              <w:ind w:left="0" w:right="0" w:firstLine="420"/>
              <w:rPr>
                <w:rFonts w:hint="eastAsia" w:ascii="宋体" w:hAnsi="宋体" w:eastAsia="宋体" w:cs="宋体"/>
                <w:szCs w:val="21"/>
                <w:highlight w:val="none"/>
                <w:lang w:eastAsia="zh-CN"/>
              </w:rPr>
            </w:pPr>
            <w:r>
              <w:rPr>
                <w:rFonts w:hint="eastAsia" w:ascii="宋体" w:hAnsi="宋体" w:cs="宋体"/>
                <w:szCs w:val="21"/>
                <w:highlight w:val="none"/>
              </w:rPr>
              <w:t>(3)操作与支持：</w:t>
            </w:r>
            <w:r>
              <w:rPr>
                <w:rFonts w:hint="eastAsia" w:ascii="宋体" w:hAnsi="宋体" w:eastAsia="宋体" w:cs="宋体"/>
                <w:szCs w:val="21"/>
                <w:highlight w:val="none"/>
              </w:rPr>
              <w:t>①</w:t>
            </w:r>
            <w:r>
              <w:rPr>
                <w:rFonts w:hint="eastAsia" w:ascii="宋体" w:hAnsi="宋体" w:cs="宋体"/>
                <w:szCs w:val="21"/>
                <w:highlight w:val="none"/>
              </w:rPr>
              <w:t>供电方式：自主充电</w:t>
            </w:r>
            <w:r>
              <w:rPr>
                <w:rFonts w:hint="eastAsia" w:ascii="宋体" w:hAnsi="宋体" w:cs="宋体"/>
                <w:szCs w:val="21"/>
                <w:highlight w:val="none"/>
                <w:lang w:eastAsia="zh-CN"/>
              </w:rPr>
              <w:t>；</w:t>
            </w:r>
            <w:r>
              <w:rPr>
                <w:rFonts w:hint="eastAsia" w:ascii="宋体" w:hAnsi="宋体" w:eastAsia="宋体" w:cs="宋体"/>
                <w:szCs w:val="21"/>
                <w:highlight w:val="none"/>
              </w:rPr>
              <w:t>②</w:t>
            </w:r>
            <w:r>
              <w:rPr>
                <w:rFonts w:hint="eastAsia" w:ascii="宋体" w:hAnsi="宋体" w:cs="宋体"/>
                <w:szCs w:val="21"/>
                <w:highlight w:val="none"/>
              </w:rPr>
              <w:t>控制方式：支持自动、手动、遥控</w:t>
            </w:r>
            <w:r>
              <w:rPr>
                <w:rFonts w:hint="eastAsia" w:ascii="宋体" w:hAnsi="宋体" w:cs="宋体"/>
                <w:szCs w:val="21"/>
                <w:highlight w:val="none"/>
                <w:lang w:eastAsia="zh-CN"/>
              </w:rPr>
              <w:t>。</w:t>
            </w:r>
          </w:p>
          <w:p w14:paraId="10EB390B">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2.自动充电桩，2台</w:t>
            </w:r>
          </w:p>
          <w:p w14:paraId="036CAE35">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(1)输入电压：AC220V50-60HZ；</w:t>
            </w:r>
          </w:p>
          <w:p w14:paraId="3C6A3D2E">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(2)输出电压：DC35-60V；</w:t>
            </w:r>
          </w:p>
          <w:p w14:paraId="7E34C861">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(3)输出电流：3-45A；</w:t>
            </w:r>
          </w:p>
          <w:p w14:paraId="7012072B">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(4)充电口连接寿命：≥16000次；</w:t>
            </w:r>
          </w:p>
          <w:p w14:paraId="77E9B9C2">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(5)使用环境温度：-10—45°C</w:t>
            </w:r>
            <w:r>
              <w:rPr>
                <w:rFonts w:hint="eastAsia" w:ascii="宋体" w:hAnsi="宋体" w:cs="宋体"/>
                <w:szCs w:val="21"/>
                <w:highlight w:val="none"/>
                <w:lang w:eastAsia="zh-CN"/>
              </w:rPr>
              <w:t>；</w:t>
            </w:r>
          </w:p>
          <w:p w14:paraId="0121113A">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(6)配合线性搬运机器人及潜伏式搬运机器人充电。</w:t>
            </w:r>
          </w:p>
          <w:p w14:paraId="12B7CF75">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3.生产物流专用物料箱，1批</w:t>
            </w:r>
          </w:p>
          <w:p w14:paraId="4F40C5F5">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（1）周转箱，180个</w:t>
            </w:r>
          </w:p>
          <w:p w14:paraId="4C5E343D">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①材质：塑料；</w:t>
            </w:r>
          </w:p>
          <w:p w14:paraId="5EE35E0D">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②尺寸：350*270*125mm；</w:t>
            </w:r>
          </w:p>
          <w:p w14:paraId="7AD10421">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③用于货到人存储及转运。</w:t>
            </w:r>
          </w:p>
          <w:p w14:paraId="1529B977">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（2）物料箱，24个</w:t>
            </w:r>
          </w:p>
          <w:p w14:paraId="25E266C4">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①材质：塑料；</w:t>
            </w:r>
          </w:p>
          <w:p w14:paraId="24F50515">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②尺寸：410*310*150mm；</w:t>
            </w:r>
          </w:p>
          <w:p w14:paraId="6FD2AD90">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③用于流利货架存储。</w:t>
            </w:r>
          </w:p>
        </w:tc>
        <w:tc>
          <w:tcPr>
            <w:tcW w:w="1067" w:type="dxa"/>
            <w:tcBorders>
              <w:top w:val="single" w:color="auto" w:sz="4" w:space="0"/>
              <w:left w:val="single" w:color="auto" w:sz="4" w:space="0"/>
              <w:bottom w:val="single" w:color="auto" w:sz="4" w:space="0"/>
              <w:right w:val="single" w:color="auto" w:sz="4" w:space="0"/>
            </w:tcBorders>
            <w:noWrap w:val="0"/>
            <w:vAlign w:val="center"/>
          </w:tcPr>
          <w:p w14:paraId="42043976">
            <w:pPr>
              <w:keepNext w:val="0"/>
              <w:keepLines w:val="0"/>
              <w:suppressLineNumbers w:val="0"/>
              <w:spacing w:before="0" w:beforeAutospacing="0" w:after="0" w:afterAutospacing="0" w:line="240" w:lineRule="exact"/>
              <w:ind w:left="0" w:right="0"/>
              <w:jc w:val="center"/>
              <w:rPr>
                <w:rFonts w:hint="eastAsia" w:ascii="宋体" w:hAnsi="宋体" w:cs="宋体"/>
                <w:szCs w:val="18"/>
                <w:highlight w:val="none"/>
              </w:rPr>
            </w:pPr>
            <w:r>
              <w:rPr>
                <w:rFonts w:hint="eastAsia" w:ascii="宋体" w:hAnsi="宋体" w:cs="宋体"/>
                <w:szCs w:val="18"/>
                <w:highlight w:val="none"/>
              </w:rPr>
              <w:t>套</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1CAA58A4">
            <w:pPr>
              <w:pStyle w:val="26"/>
              <w:keepNext w:val="0"/>
              <w:keepLines w:val="0"/>
              <w:suppressLineNumbers w:val="0"/>
              <w:spacing w:before="0" w:beforeAutospacing="0" w:afterAutospacing="0"/>
              <w:ind w:left="0" w:right="0"/>
              <w:jc w:val="center"/>
              <w:rPr>
                <w:rFonts w:hint="eastAsia" w:ascii="宋体" w:hAnsi="宋体" w:cs="宋体"/>
                <w:szCs w:val="18"/>
                <w:highlight w:val="none"/>
              </w:rPr>
            </w:pPr>
            <w:r>
              <w:rPr>
                <w:rFonts w:hint="eastAsia" w:ascii="宋体" w:hAnsi="宋体" w:cs="宋体"/>
                <w:szCs w:val="18"/>
                <w:highlight w:val="none"/>
              </w:rPr>
              <w:t>1</w:t>
            </w:r>
          </w:p>
        </w:tc>
      </w:tr>
      <w:tr w14:paraId="74BE1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5" w:type="dxa"/>
            <w:tcBorders>
              <w:top w:val="single" w:color="auto" w:sz="4" w:space="0"/>
              <w:left w:val="single" w:color="auto" w:sz="4" w:space="0"/>
              <w:bottom w:val="single" w:color="auto" w:sz="4" w:space="0"/>
              <w:right w:val="single" w:color="auto" w:sz="4" w:space="0"/>
            </w:tcBorders>
            <w:noWrap/>
            <w:vAlign w:val="center"/>
          </w:tcPr>
          <w:p w14:paraId="5AE910F4">
            <w:pPr>
              <w:keepNext w:val="0"/>
              <w:keepLines w:val="0"/>
              <w:suppressLineNumbers w:val="0"/>
              <w:spacing w:before="0" w:beforeAutospacing="0" w:after="0" w:afterAutospacing="0" w:line="240" w:lineRule="exact"/>
              <w:ind w:left="0" w:right="0"/>
              <w:jc w:val="center"/>
              <w:rPr>
                <w:rFonts w:hint="eastAsia" w:ascii="宋体" w:hAnsi="宋体" w:cs="宋体"/>
                <w:color w:val="000000"/>
                <w:szCs w:val="18"/>
                <w:highlight w:val="none"/>
              </w:rPr>
            </w:pPr>
            <w:r>
              <w:rPr>
                <w:rFonts w:hint="eastAsia" w:ascii="宋体" w:hAnsi="宋体" w:cs="宋体"/>
                <w:color w:val="000000"/>
                <w:szCs w:val="18"/>
                <w:highlight w:val="none"/>
              </w:rPr>
              <w:t>3</w:t>
            </w:r>
          </w:p>
        </w:tc>
        <w:tc>
          <w:tcPr>
            <w:tcW w:w="761" w:type="dxa"/>
            <w:tcBorders>
              <w:top w:val="single" w:color="auto" w:sz="4" w:space="0"/>
              <w:left w:val="single" w:color="auto" w:sz="4" w:space="0"/>
              <w:bottom w:val="single" w:color="auto" w:sz="4" w:space="0"/>
              <w:right w:val="single" w:color="auto" w:sz="4" w:space="0"/>
            </w:tcBorders>
            <w:noWrap w:val="0"/>
            <w:vAlign w:val="center"/>
          </w:tcPr>
          <w:p w14:paraId="03558CCD">
            <w:pPr>
              <w:keepNext w:val="0"/>
              <w:keepLines w:val="0"/>
              <w:suppressLineNumbers w:val="0"/>
              <w:spacing w:before="0" w:beforeAutospacing="0" w:after="0" w:afterAutospacing="0"/>
              <w:ind w:left="0" w:right="0"/>
              <w:jc w:val="center"/>
              <w:rPr>
                <w:rFonts w:hint="eastAsia" w:ascii="宋体" w:hAnsi="宋体" w:cs="宋体"/>
                <w:color w:val="000000"/>
                <w:szCs w:val="18"/>
                <w:highlight w:val="none"/>
              </w:rPr>
            </w:pPr>
            <w:r>
              <w:rPr>
                <w:rFonts w:hint="eastAsia" w:ascii="宋体" w:hAnsi="宋体" w:cs="宋体"/>
                <w:color w:val="000000"/>
                <w:szCs w:val="18"/>
                <w:highlight w:val="none"/>
              </w:rPr>
              <w:t>生产加工综合实训装置</w:t>
            </w:r>
          </w:p>
        </w:tc>
        <w:tc>
          <w:tcPr>
            <w:tcW w:w="5416" w:type="dxa"/>
            <w:tcBorders>
              <w:top w:val="single" w:color="auto" w:sz="4" w:space="0"/>
              <w:left w:val="single" w:color="auto" w:sz="4" w:space="0"/>
              <w:bottom w:val="single" w:color="auto" w:sz="4" w:space="0"/>
              <w:right w:val="single" w:color="auto" w:sz="4" w:space="0"/>
            </w:tcBorders>
            <w:noWrap w:val="0"/>
          </w:tcPr>
          <w:p w14:paraId="7955B5E9">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一、项目概述</w:t>
            </w:r>
          </w:p>
          <w:p w14:paraId="2E49B6DD">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生产加工综合实训装置以模拟工业生产全流程为核心，覆盖生产、补料、产成品入库及模拟配送环节，通过集成生产加工工位与可视化操作端，实现从原材料到成品的自动化模拟操作，培养学生对生产物流一体化系统的协同管理能力，提供沉浸式的现代生产实训场景。</w:t>
            </w:r>
          </w:p>
          <w:p w14:paraId="6C57EF42">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二、功能及清单</w:t>
            </w:r>
          </w:p>
          <w:p w14:paraId="7634BF5F">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生产加工综合实训装置包含生产加工工位5套、生产物流专用操作平台1套、生产物流专用启动工作端1套。</w:t>
            </w:r>
          </w:p>
          <w:p w14:paraId="1AD64EC8">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生产加工工位功能：生产加工工位与实训装置的AGV搬运系统、输送线、立体仓库等物流模块深度联动，形成“物料输入-加工处理-成品输出”的闭环流程。生产加工工位在实训装置中扮演“微缩工厂”的角色，通过集成加工工艺、物流协同、数据管理与故障模拟功能，让学员在实操中理解生产系统的运行逻辑，掌握从设备操作到产线优化的全链条技能。</w:t>
            </w:r>
          </w:p>
          <w:p w14:paraId="0D618164">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生产物流专用操作平台功能：生产物流专用操作平台依托操作端和控制端构建起生产物流全流程管控与技能实训的一体化平台。操作端作为人机交互与数据处理终端，支持学生完成相关参数配置、生产物流计划制定等操作；控制端则作为底层执行中枢，基于制造企业真实业务场景，涵盖生产管理、仓储管理两个核心管理模块，联动生产模拟模块实现产线动态仿真运行，通过RF终端控制现场作业过程并实现与AGV、电子拣选、立库等自动化设备的对接。同时通过可视化终端设备实时监控仓管和生产过程的数据情况。</w:t>
            </w:r>
          </w:p>
          <w:p w14:paraId="30DAB879">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生产物流专用启动工作端功能：生产物流专用启动工作端和控制端构建起生产物流全流程管控与技能实训的一体化平台。工作端部署在实训装置的中控区，负责统筹整个实训装置的运行。同时既是生产加工实训装置的“神经中枢”，控制端则作为底层执行中枢，实现对AGV、智能仓储等设备的联动调度与状态监控。能让学生在实训中掌握物流设备操作、订单执行、异常处理等技能。</w:t>
            </w:r>
          </w:p>
          <w:p w14:paraId="3B3DDC8E">
            <w:pPr>
              <w:keepNext w:val="0"/>
              <w:keepLines w:val="0"/>
              <w:suppressLineNumbers w:val="0"/>
              <w:spacing w:before="0" w:beforeAutospacing="0" w:after="0" w:afterAutospacing="0"/>
              <w:ind w:left="0" w:right="0" w:firstLine="420"/>
              <w:rPr>
                <w:rFonts w:hint="eastAsia" w:ascii="宋体" w:hAnsi="宋体" w:cs="宋体"/>
                <w:szCs w:val="21"/>
                <w:highlight w:val="none"/>
              </w:rPr>
            </w:pPr>
            <w:r>
              <w:rPr>
                <w:rFonts w:hint="eastAsia" w:ascii="宋体" w:hAnsi="宋体" w:cs="宋体"/>
                <w:szCs w:val="21"/>
                <w:highlight w:val="none"/>
              </w:rPr>
              <w:t>三、设备详细参数</w:t>
            </w:r>
          </w:p>
          <w:p w14:paraId="506F5B75">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highlight w:val="none"/>
              </w:rPr>
              <w:t>生产加工工位</w:t>
            </w:r>
            <w:r>
              <w:rPr>
                <w:rFonts w:hint="eastAsia" w:ascii="宋体" w:hAnsi="宋体" w:cs="宋体"/>
                <w:szCs w:val="21"/>
                <w:highlight w:val="none"/>
              </w:rPr>
              <w:t>，5套</w:t>
            </w:r>
          </w:p>
          <w:p w14:paraId="56240BED">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(1)骨架材质：</w:t>
            </w:r>
            <w:r>
              <w:rPr>
                <w:rFonts w:hint="eastAsia" w:ascii="宋体" w:hAnsi="宋体" w:cs="宋体"/>
                <w:szCs w:val="21"/>
                <w:highlight w:val="none"/>
                <w:lang w:eastAsia="zh-CN"/>
              </w:rPr>
              <w:t>不锈钢材质，厚度</w:t>
            </w:r>
            <w:r>
              <w:rPr>
                <w:rFonts w:hint="eastAsia" w:ascii="宋体" w:hAnsi="宋体" w:cs="宋体"/>
                <w:szCs w:val="21"/>
                <w:highlight w:val="none"/>
              </w:rPr>
              <w:t>≥</w:t>
            </w:r>
            <w:r>
              <w:rPr>
                <w:rFonts w:hint="eastAsia" w:ascii="宋体" w:hAnsi="宋体" w:cs="宋体"/>
                <w:szCs w:val="21"/>
                <w:highlight w:val="none"/>
                <w:lang w:val="en-US" w:eastAsia="zh-CN"/>
              </w:rPr>
              <w:t>1.5mm</w:t>
            </w:r>
            <w:r>
              <w:rPr>
                <w:rFonts w:hint="eastAsia" w:ascii="宋体" w:hAnsi="宋体" w:cs="宋体"/>
                <w:szCs w:val="21"/>
                <w:highlight w:val="none"/>
              </w:rPr>
              <w:t>；</w:t>
            </w:r>
          </w:p>
          <w:p w14:paraId="0EBD7A01">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(2)桌面材质：三聚氰胺板环保型；</w:t>
            </w:r>
          </w:p>
          <w:p w14:paraId="35AD7838">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(3)尺寸：≥800*600*750mm；</w:t>
            </w:r>
          </w:p>
          <w:p w14:paraId="67C88446">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(4)承重：300KG±</w:t>
            </w:r>
            <w:r>
              <w:rPr>
                <w:rFonts w:hint="eastAsia" w:ascii="宋体" w:hAnsi="宋体" w:cs="宋体"/>
                <w:szCs w:val="21"/>
                <w:highlight w:val="none"/>
                <w:lang w:val="en-US" w:eastAsia="zh-CN"/>
              </w:rPr>
              <w:t>5</w:t>
            </w:r>
            <w:r>
              <w:rPr>
                <w:rFonts w:hint="eastAsia" w:ascii="宋体" w:hAnsi="宋体" w:cs="宋体"/>
                <w:szCs w:val="21"/>
                <w:highlight w:val="none"/>
              </w:rPr>
              <w:t>KG。</w:t>
            </w:r>
          </w:p>
          <w:p w14:paraId="5273223F">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szCs w:val="21"/>
                <w:highlight w:val="none"/>
              </w:rPr>
              <w:t>2.</w:t>
            </w:r>
            <w:r>
              <w:rPr>
                <w:rFonts w:hint="eastAsia" w:ascii="宋体" w:hAnsi="宋体" w:cs="宋体"/>
                <w:highlight w:val="none"/>
              </w:rPr>
              <w:t>生产物流专用操作平台，1套</w:t>
            </w:r>
          </w:p>
          <w:p w14:paraId="117B2E57">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平台组成：生产业务操作终端、配套桌椅、可视化大屏装置。</w:t>
            </w:r>
          </w:p>
          <w:p w14:paraId="1B4546AE">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（1）生产业务操作端（1套）</w:t>
            </w:r>
          </w:p>
          <w:p w14:paraId="3AD5B1C1">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①CPU性能不低于以下量化指标要求：</w:t>
            </w:r>
          </w:p>
          <w:p w14:paraId="6D7B1DF6">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核心数≥20，基础主频≥2.1GHz、最高睿频≥5.4GHz，缓存≥33MB，支持 DDR5-5600MHz 及以上规格内存，标准 TDP≤65W，须具备硬件级安全技术，以实现企业级的设备管理与威胁防护；</w:t>
            </w:r>
          </w:p>
          <w:p w14:paraId="0E94196F">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②内存：容量≥16GB，内存类型为 DDR5 及以上规格，运行速度≥DDR5 基准速率；</w:t>
            </w:r>
          </w:p>
          <w:p w14:paraId="2D4EA301">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③显卡：显存容量≥8GB，须支持业务操作界面的图形渲染任务，并保障在多任务及复杂界面下的流畅显示效果；</w:t>
            </w:r>
          </w:p>
          <w:p w14:paraId="095E10AE">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④系统及功能：须配备生产业务操作系统（1套），并提供自最终验收合格之日起不少于三年的免费维护与升级服务。系统须具备完善的生产业务处理能力，功能模块应至少涵盖生产基础模块、生产管理模块等核心内容，并能够通过智能排产计划，精准、高效地驱动全流程生产运行。</w:t>
            </w:r>
          </w:p>
          <w:p w14:paraId="0C309817">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生产基础模块至少包括：供应商管理、产品、供货、设备、BOM信息、工厂和车间等数据模块。</w:t>
            </w:r>
          </w:p>
          <w:p w14:paraId="65FF1402">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eastAsia="宋体" w:cs="宋体"/>
                <w:szCs w:val="21"/>
                <w:highlight w:val="none"/>
              </w:rPr>
              <w:t>①</w:t>
            </w:r>
            <w:r>
              <w:rPr>
                <w:rFonts w:hint="eastAsia" w:ascii="宋体" w:hAnsi="宋体" w:cs="宋体"/>
                <w:szCs w:val="21"/>
                <w:highlight w:val="none"/>
              </w:rPr>
              <w:t>供应商管理功能，对基本信息进行管理。内容至少包括：供应商代码及名称、提前期时间、运输时间、供应商定位位置、是否准时及合格等信息。</w:t>
            </w:r>
          </w:p>
          <w:p w14:paraId="2E69F526">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eastAsia="宋体" w:cs="宋体"/>
                <w:szCs w:val="21"/>
                <w:highlight w:val="none"/>
              </w:rPr>
              <w:t>②</w:t>
            </w:r>
            <w:r>
              <w:rPr>
                <w:rFonts w:hint="eastAsia" w:ascii="宋体" w:hAnsi="宋体" w:cs="宋体"/>
                <w:szCs w:val="21"/>
                <w:highlight w:val="none"/>
              </w:rPr>
              <w:t>产品数据功能，内容至少包括：产品类型、产品名称、产品代码、产品规格等信息。</w:t>
            </w:r>
          </w:p>
          <w:p w14:paraId="785E4BD5">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eastAsia="宋体" w:cs="宋体"/>
                <w:szCs w:val="21"/>
                <w:highlight w:val="none"/>
              </w:rPr>
              <w:t>③</w:t>
            </w:r>
            <w:r>
              <w:rPr>
                <w:rFonts w:hint="eastAsia" w:ascii="宋体" w:hAnsi="宋体" w:cs="宋体"/>
                <w:szCs w:val="21"/>
                <w:highlight w:val="none"/>
              </w:rPr>
              <w:t>供货及设备数据功能，可针对供应商供货能力、工厂硬件设备等信息进行维护。</w:t>
            </w:r>
          </w:p>
          <w:p w14:paraId="3E8C7990">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eastAsia="宋体" w:cs="宋体"/>
                <w:szCs w:val="21"/>
                <w:highlight w:val="none"/>
              </w:rPr>
              <w:t>④</w:t>
            </w:r>
            <w:r>
              <w:rPr>
                <w:rFonts w:hint="eastAsia" w:ascii="宋体" w:hAnsi="宋体" w:cs="宋体"/>
                <w:szCs w:val="21"/>
                <w:highlight w:val="none"/>
              </w:rPr>
              <w:t>BOM信息管理，至少包括：顶级物料、次级物料及数量等信息。</w:t>
            </w:r>
          </w:p>
          <w:p w14:paraId="5F5FD4A4">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eastAsia="宋体" w:cs="宋体"/>
                <w:szCs w:val="21"/>
                <w:highlight w:val="none"/>
              </w:rPr>
              <w:t>⑤</w:t>
            </w:r>
            <w:r>
              <w:rPr>
                <w:rFonts w:hint="eastAsia" w:ascii="宋体" w:hAnsi="宋体" w:cs="宋体"/>
                <w:szCs w:val="21"/>
                <w:highlight w:val="none"/>
              </w:rPr>
              <w:t>包含工厂、车间管理功能，内容至少包括：工厂基础信息如名称、编码代码、地址、定位等，车间基础信息如工厂名称、车间名称、代码、车间产能等信息。</w:t>
            </w:r>
          </w:p>
          <w:p w14:paraId="6F76A1F3">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生产管理模块，至少包含生产工序管理、工艺管理、排产计划等功能。</w:t>
            </w:r>
          </w:p>
          <w:p w14:paraId="03C73AE2">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eastAsia="宋体" w:cs="宋体"/>
                <w:szCs w:val="21"/>
                <w:highlight w:val="none"/>
              </w:rPr>
              <w:t>①</w:t>
            </w:r>
            <w:r>
              <w:rPr>
                <w:rFonts w:hint="eastAsia" w:ascii="宋体" w:hAnsi="宋体" w:cs="宋体"/>
                <w:szCs w:val="21"/>
                <w:highlight w:val="none"/>
              </w:rPr>
              <w:t>工序、工艺管理功能，工序中至少包含产品的基础信息如工序编码、名称、工序处理时间等，工艺中至少包含的基础信息如工艺名称、编号、工艺说明等信息。</w:t>
            </w:r>
          </w:p>
          <w:p w14:paraId="7FFF56C4">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eastAsia="宋体" w:cs="宋体"/>
                <w:szCs w:val="21"/>
                <w:highlight w:val="none"/>
              </w:rPr>
              <w:t>②</w:t>
            </w:r>
            <w:r>
              <w:rPr>
                <w:rFonts w:hint="eastAsia" w:ascii="宋体" w:hAnsi="宋体" w:cs="宋体"/>
                <w:szCs w:val="21"/>
                <w:highlight w:val="none"/>
              </w:rPr>
              <w:t>排产计划功能，至少包含生产产品名称、工艺名称、数量、开始结束时间等，同时支持快速找到排产任务信息功能。</w:t>
            </w:r>
          </w:p>
          <w:p w14:paraId="770727B5">
            <w:pPr>
              <w:pStyle w:val="213"/>
              <w:keepNext w:val="0"/>
              <w:keepLines w:val="0"/>
              <w:suppressLineNumbers w:val="0"/>
              <w:spacing w:before="0" w:beforeAutospacing="0" w:after="0" w:afterAutospacing="0"/>
              <w:ind w:left="0" w:right="0"/>
              <w:rPr>
                <w:rFonts w:hint="eastAsia"/>
                <w:color w:val="0000FF"/>
                <w:highlight w:val="none"/>
              </w:rPr>
            </w:pPr>
            <w:r>
              <w:rPr>
                <w:rFonts w:hint="eastAsia" w:ascii="宋体" w:hAnsi="宋体" w:eastAsia="宋体" w:cs="宋体"/>
                <w:szCs w:val="21"/>
                <w:highlight w:val="none"/>
              </w:rPr>
              <w:t>③</w:t>
            </w:r>
            <w:r>
              <w:rPr>
                <w:rFonts w:hint="eastAsia" w:ascii="宋体" w:hAnsi="宋体" w:cs="宋体"/>
                <w:szCs w:val="21"/>
                <w:highlight w:val="none"/>
              </w:rPr>
              <w:t>设备中可查询物流计划出入库指令和库存状态情况。</w:t>
            </w:r>
          </w:p>
          <w:p w14:paraId="3AD10AC8">
            <w:pPr>
              <w:pStyle w:val="213"/>
              <w:keepNext w:val="0"/>
              <w:keepLines w:val="0"/>
              <w:suppressLineNumbers w:val="0"/>
              <w:spacing w:before="0" w:beforeAutospacing="0" w:after="0" w:afterAutospacing="0"/>
              <w:ind w:left="0" w:right="0" w:firstLine="420"/>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lang w:val="en-US" w:eastAsia="zh-CN"/>
              </w:rPr>
              <w:t>2）</w:t>
            </w:r>
            <w:r>
              <w:rPr>
                <w:rFonts w:hint="eastAsia" w:ascii="宋体" w:hAnsi="宋体" w:cs="宋体"/>
                <w:szCs w:val="21"/>
                <w:highlight w:val="none"/>
              </w:rPr>
              <w:t>配套桌椅</w:t>
            </w:r>
          </w:p>
          <w:p w14:paraId="5052D7E3">
            <w:pPr>
              <w:pStyle w:val="213"/>
              <w:keepNext w:val="0"/>
              <w:keepLines w:val="0"/>
              <w:suppressLineNumbers w:val="0"/>
              <w:spacing w:before="0" w:beforeAutospacing="0" w:after="0" w:afterAutospacing="0"/>
              <w:ind w:left="0" w:right="0" w:firstLine="420"/>
              <w:rPr>
                <w:rFonts w:hint="eastAsia" w:ascii="宋体" w:hAnsi="宋体" w:cs="宋体"/>
                <w:szCs w:val="21"/>
                <w:highlight w:val="none"/>
              </w:rPr>
            </w:pPr>
            <w:r>
              <w:rPr>
                <w:rFonts w:hint="eastAsia" w:ascii="宋体" w:hAnsi="宋体" w:cs="宋体"/>
                <w:szCs w:val="21"/>
                <w:highlight w:val="none"/>
              </w:rPr>
              <w:t>①尺寸：≥1200*600*750mm；（1套）</w:t>
            </w:r>
          </w:p>
          <w:p w14:paraId="2595E5EE">
            <w:pPr>
              <w:pStyle w:val="213"/>
              <w:keepNext w:val="0"/>
              <w:keepLines w:val="0"/>
              <w:suppressLineNumbers w:val="0"/>
              <w:spacing w:before="0" w:beforeAutospacing="0" w:after="0" w:afterAutospacing="0"/>
              <w:ind w:left="0" w:right="0" w:firstLine="420"/>
              <w:rPr>
                <w:rFonts w:hint="eastAsia" w:ascii="宋体" w:hAnsi="宋体" w:cs="宋体"/>
                <w:szCs w:val="21"/>
                <w:highlight w:val="none"/>
              </w:rPr>
            </w:pPr>
            <w:r>
              <w:rPr>
                <w:rFonts w:hint="eastAsia" w:ascii="宋体" w:hAnsi="宋体" w:cs="宋体"/>
                <w:szCs w:val="21"/>
                <w:highlight w:val="none"/>
              </w:rPr>
              <w:t>②材质：三聚氰胺板环保型；</w:t>
            </w:r>
          </w:p>
          <w:p w14:paraId="29B24960">
            <w:pPr>
              <w:pStyle w:val="213"/>
              <w:keepNext w:val="0"/>
              <w:keepLines w:val="0"/>
              <w:suppressLineNumbers w:val="0"/>
              <w:spacing w:before="0" w:beforeAutospacing="0" w:after="0" w:afterAutospacing="0"/>
              <w:ind w:left="0" w:right="0" w:firstLine="420"/>
              <w:rPr>
                <w:rFonts w:hint="eastAsia" w:ascii="宋体" w:hAnsi="宋体" w:cs="宋体"/>
                <w:szCs w:val="21"/>
                <w:highlight w:val="none"/>
              </w:rPr>
            </w:pPr>
            <w:r>
              <w:rPr>
                <w:rFonts w:hint="eastAsia" w:ascii="宋体" w:hAnsi="宋体" w:cs="宋体"/>
                <w:szCs w:val="21"/>
                <w:highlight w:val="none"/>
              </w:rPr>
              <w:t>③配套键盘托及主机托；</w:t>
            </w:r>
          </w:p>
          <w:p w14:paraId="32DC5151">
            <w:pPr>
              <w:pStyle w:val="213"/>
              <w:keepNext w:val="0"/>
              <w:keepLines w:val="0"/>
              <w:suppressLineNumbers w:val="0"/>
              <w:spacing w:before="0" w:beforeAutospacing="0" w:after="0" w:afterAutospacing="0"/>
              <w:ind w:left="0" w:right="0" w:firstLine="420"/>
              <w:rPr>
                <w:rFonts w:hint="eastAsia" w:ascii="宋体" w:hAnsi="宋体" w:cs="宋体"/>
                <w:szCs w:val="21"/>
                <w:highlight w:val="none"/>
              </w:rPr>
            </w:pPr>
            <w:r>
              <w:rPr>
                <w:rFonts w:hint="eastAsia" w:ascii="宋体" w:hAnsi="宋体" w:cs="宋体"/>
                <w:szCs w:val="21"/>
                <w:highlight w:val="none"/>
              </w:rPr>
              <w:t>④配座椅，符合人体工学设计，靠背为高密度透气网布，扶手为高强度工程PP框架，喷涂钢制弓形椅腿，并配尼龙脚垫及防刮防前倾设计。</w:t>
            </w:r>
          </w:p>
          <w:p w14:paraId="3C8A0145">
            <w:pPr>
              <w:pStyle w:val="213"/>
              <w:keepNext w:val="0"/>
              <w:keepLines w:val="0"/>
              <w:suppressLineNumbers w:val="0"/>
              <w:spacing w:before="0" w:beforeAutospacing="0" w:after="0" w:afterAutospacing="0"/>
              <w:ind w:left="0" w:right="0" w:firstLine="420"/>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lang w:val="en-US" w:eastAsia="zh-CN"/>
              </w:rPr>
              <w:t>3）</w:t>
            </w:r>
            <w:r>
              <w:rPr>
                <w:rFonts w:hint="eastAsia" w:ascii="宋体" w:hAnsi="宋体" w:cs="宋体"/>
                <w:szCs w:val="21"/>
                <w:highlight w:val="none"/>
              </w:rPr>
              <w:t>可视化显示装置(2套）</w:t>
            </w:r>
          </w:p>
          <w:p w14:paraId="73786BD2">
            <w:pPr>
              <w:pStyle w:val="213"/>
              <w:keepNext w:val="0"/>
              <w:keepLines w:val="0"/>
              <w:suppressLineNumbers w:val="0"/>
              <w:spacing w:before="0" w:beforeAutospacing="0" w:after="0" w:afterAutospacing="0"/>
              <w:ind w:left="0" w:right="0" w:firstLine="420"/>
              <w:rPr>
                <w:rFonts w:hint="eastAsia" w:ascii="宋体" w:hAnsi="宋体" w:cs="宋体"/>
                <w:szCs w:val="21"/>
                <w:highlight w:val="none"/>
              </w:rPr>
            </w:pPr>
            <w:r>
              <w:rPr>
                <w:rFonts w:hint="eastAsia" w:ascii="宋体" w:hAnsi="宋体" w:cs="宋体"/>
                <w:szCs w:val="21"/>
                <w:highlight w:val="none"/>
              </w:rPr>
              <w:t>①尺寸：≥65英寸；分辨率：3840 x 2160；显示比例：16:9；屏对比度：4000:1；可视视角：178°；触摸识别技术：红外；</w:t>
            </w:r>
          </w:p>
          <w:p w14:paraId="2B9728E8">
            <w:pPr>
              <w:pStyle w:val="213"/>
              <w:keepNext w:val="0"/>
              <w:keepLines w:val="0"/>
              <w:suppressLineNumbers w:val="0"/>
              <w:spacing w:before="0" w:beforeAutospacing="0" w:after="0" w:afterAutospacing="0"/>
              <w:ind w:left="0" w:right="0" w:firstLine="420"/>
              <w:rPr>
                <w:rFonts w:hint="eastAsia" w:ascii="宋体" w:hAnsi="宋体" w:cs="宋体"/>
                <w:szCs w:val="21"/>
                <w:highlight w:val="none"/>
              </w:rPr>
            </w:pPr>
            <w:r>
              <w:rPr>
                <w:rFonts w:hint="eastAsia" w:ascii="宋体" w:hAnsi="宋体" w:cs="宋体"/>
                <w:szCs w:val="21"/>
                <w:highlight w:val="none"/>
              </w:rPr>
              <w:t>②微课手写板1套，：感应方式：电磁感应技术；压感级别：≥2048级；书写版面：≥290mm*200mm；指示灯：连接时常亮，书写时闪烁；读取速度：≥200dots/sec；延时：USB≤5ms；系统要求：录制声音支持连接终端自带收音设备或外接麦克风；使用纸张：任何纸面上书写，不管是作业本，课本，试卷还是其他类型的纸面；</w:t>
            </w:r>
          </w:p>
          <w:p w14:paraId="3F2479A7">
            <w:pPr>
              <w:pStyle w:val="213"/>
              <w:keepNext w:val="0"/>
              <w:keepLines w:val="0"/>
              <w:suppressLineNumbers w:val="0"/>
              <w:spacing w:before="0" w:beforeAutospacing="0" w:after="0" w:afterAutospacing="0"/>
              <w:ind w:left="0" w:right="0"/>
              <w:rPr>
                <w:rFonts w:hint="eastAsia" w:ascii="宋体" w:hAnsi="宋体" w:cs="宋体"/>
                <w:b/>
                <w:bCs/>
                <w:color w:val="auto"/>
                <w:szCs w:val="21"/>
                <w:highlight w:val="none"/>
              </w:rPr>
            </w:pPr>
            <w:r>
              <w:rPr>
                <w:rFonts w:hint="eastAsia" w:ascii="宋体" w:hAnsi="宋体" w:eastAsia="宋体" w:cs="宋体"/>
                <w:b/>
                <w:bCs/>
                <w:color w:val="auto"/>
                <w:szCs w:val="21"/>
                <w:highlight w:val="none"/>
              </w:rPr>
              <w:t>★</w:t>
            </w:r>
            <w:r>
              <w:rPr>
                <w:rFonts w:hint="eastAsia" w:ascii="宋体" w:hAnsi="宋体" w:cs="宋体"/>
                <w:b/>
                <w:bCs/>
                <w:color w:val="auto"/>
                <w:szCs w:val="21"/>
                <w:highlight w:val="none"/>
                <w:lang w:val="en-US" w:eastAsia="zh-CN"/>
              </w:rPr>
              <w:t>③</w:t>
            </w:r>
            <w:r>
              <w:rPr>
                <w:rFonts w:hint="eastAsia" w:ascii="宋体" w:hAnsi="宋体" w:cs="宋体"/>
                <w:b/>
                <w:bCs/>
                <w:color w:val="auto"/>
                <w:szCs w:val="21"/>
                <w:highlight w:val="none"/>
              </w:rPr>
              <w:t>包含自动化监控生产任务，进行生产过程模拟。</w:t>
            </w:r>
          </w:p>
          <w:p w14:paraId="17CBD43C">
            <w:pPr>
              <w:pStyle w:val="213"/>
              <w:keepNext w:val="0"/>
              <w:keepLines w:val="0"/>
              <w:suppressLineNumbers w:val="0"/>
              <w:spacing w:before="0" w:beforeAutospacing="0" w:after="0" w:afterAutospacing="0"/>
              <w:ind w:left="0" w:right="0"/>
              <w:rPr>
                <w:rFonts w:hint="eastAsia" w:ascii="宋体" w:hAnsi="宋体" w:cs="宋体"/>
                <w:b w:val="0"/>
                <w:bCs w:val="0"/>
                <w:color w:val="auto"/>
                <w:szCs w:val="21"/>
                <w:highlight w:val="none"/>
              </w:rPr>
            </w:pPr>
            <w:r>
              <w:rPr>
                <w:rFonts w:hint="eastAsia" w:ascii="宋体" w:hAnsi="宋体" w:cs="宋体"/>
                <w:color w:val="auto"/>
                <w:szCs w:val="21"/>
                <w:highlight w:val="none"/>
              </w:rPr>
              <w:t>实时监控并呈现关键数据</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数据内容</w:t>
            </w:r>
            <w:r>
              <w:rPr>
                <w:rFonts w:hint="eastAsia" w:ascii="宋体" w:hAnsi="宋体" w:cs="宋体"/>
                <w:color w:val="auto"/>
                <w:szCs w:val="21"/>
                <w:highlight w:val="none"/>
              </w:rPr>
              <w:t>至少包含任务中排产单号、产品名称、产量目标/达成、工序倒计时、加工产品信息、加工产品情况（空闲、装配、缺料、停工）、库存触达补货点时自动生成补料单</w:t>
            </w:r>
            <w:r>
              <w:rPr>
                <w:rFonts w:hint="eastAsia" w:ascii="宋体" w:hAnsi="宋体" w:cs="宋体"/>
                <w:color w:val="auto"/>
                <w:szCs w:val="21"/>
                <w:highlight w:val="none"/>
                <w:lang w:val="en-US" w:eastAsia="zh-CN"/>
              </w:rPr>
              <w:t>。支持数码笔/数位板双模式录笔迹语音，可录多媒体素材生成＜1M/分钟微视频；能截图、导入图片及Office文件，录制前可自选evk/mp4等格式，输出格式不少于2种。</w:t>
            </w:r>
            <w:r>
              <w:rPr>
                <w:rFonts w:hint="eastAsia" w:ascii="宋体" w:hAnsi="宋体" w:cs="宋体"/>
                <w:b w:val="0"/>
                <w:bCs w:val="0"/>
                <w:color w:val="auto"/>
                <w:szCs w:val="21"/>
                <w:highlight w:val="none"/>
              </w:rPr>
              <w:t>（提供</w:t>
            </w:r>
            <w:r>
              <w:rPr>
                <w:rFonts w:hint="eastAsia" w:ascii="Times New Roman" w:hAnsi="Times New Roman"/>
                <w:b w:val="0"/>
                <w:bCs w:val="0"/>
                <w:color w:val="auto"/>
                <w:szCs w:val="21"/>
                <w:highlight w:val="none"/>
              </w:rPr>
              <w:t>演示视频）</w:t>
            </w:r>
          </w:p>
          <w:p w14:paraId="77D7B1DF">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color w:val="auto"/>
                <w:szCs w:val="21"/>
                <w:highlight w:val="none"/>
                <w:lang w:val="en-US" w:eastAsia="zh-CN"/>
              </w:rPr>
              <w:t>④</w:t>
            </w:r>
            <w:r>
              <w:rPr>
                <w:rFonts w:hint="eastAsia" w:ascii="宋体" w:hAnsi="宋体" w:cs="宋体"/>
                <w:color w:val="auto"/>
                <w:szCs w:val="21"/>
                <w:highlight w:val="none"/>
              </w:rPr>
              <w:t>实时展示库存信息、出入库信息、储位利用率。显示的此生产任务内容，可对接到机器人中，机器人指令管理，补料/拣选/搬运任务查询及应急操作；</w:t>
            </w:r>
            <w:r>
              <w:rPr>
                <w:rFonts w:hint="eastAsia" w:ascii="宋体" w:hAnsi="宋体" w:cs="宋体"/>
                <w:szCs w:val="21"/>
                <w:highlight w:val="none"/>
              </w:rPr>
              <w:t>设备日志追溯：任务全生命周期执行记录查询。</w:t>
            </w:r>
          </w:p>
          <w:p w14:paraId="0520193C">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3.生产物流专用启动工作端，1套</w:t>
            </w:r>
          </w:p>
          <w:p w14:paraId="0706937A">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（1）CPU性能不低于以下量化指标要求：</w:t>
            </w:r>
          </w:p>
          <w:p w14:paraId="0972CC6C">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核心数≥20，基础主频≥2.1GHz、最高睿频≥5.4GHz，缓存≥33MB，支持 DDR5-5600MHz 及以上规格内存，标准 TDP≤65W，须具备硬件级安全技术，以实现企业级的设备管理与威胁防护；</w:t>
            </w:r>
          </w:p>
          <w:p w14:paraId="2A8E3108">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（2）内存：容量≥16GB，内存类型为 DDR5 及以上规格，运行速度≥DDR5 基准速率；</w:t>
            </w:r>
          </w:p>
          <w:p w14:paraId="30CF07DB">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（3）显卡：显存容量≥8GB，须支持业务操作界面的图形渲染任务，并保障在多任务及复杂界面下的流畅显示效果；</w:t>
            </w:r>
          </w:p>
          <w:p w14:paraId="7F873DCE">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（4）启动端的基础操作至少包含基础配置、出入库、在库、规则配置、手持等任务。</w:t>
            </w:r>
          </w:p>
          <w:p w14:paraId="664E78C4">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①客户、供应商信息基础管理，至少包含供应商/客户姓名、电话、地址等。</w:t>
            </w:r>
          </w:p>
          <w:p w14:paraId="731EB5A1">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②货品规则库：至少支持25种包装单位、20类货品分类、120项子类。</w:t>
            </w:r>
          </w:p>
          <w:p w14:paraId="52DDB3BC">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③操作配置：针对入库、出库等作业，可配置装卸、理货、质检、搬运等15种操作及作业顺序，入库、出库等不少于5种作业配置单据，支持操作中打印。</w:t>
            </w:r>
          </w:p>
          <w:p w14:paraId="28200F11">
            <w:pPr>
              <w:pStyle w:val="213"/>
              <w:keepNext w:val="0"/>
              <w:keepLines w:val="0"/>
              <w:suppressLineNumbers w:val="0"/>
              <w:spacing w:before="0" w:beforeAutospacing="0" w:after="0" w:afterAutospacing="0"/>
              <w:ind w:left="0" w:right="0"/>
              <w:rPr>
                <w:rFonts w:hint="eastAsia" w:ascii="宋体" w:hAnsi="宋体" w:cs="宋体"/>
                <w:color w:val="auto"/>
                <w:highlight w:val="none"/>
              </w:rPr>
            </w:pPr>
            <w:r>
              <w:rPr>
                <w:rFonts w:hint="eastAsia" w:ascii="宋体" w:hAnsi="宋体" w:cs="宋体"/>
                <w:szCs w:val="21"/>
                <w:highlight w:val="none"/>
              </w:rPr>
              <w:t>④存储策略配置：支持按库房、</w:t>
            </w:r>
            <w:r>
              <w:rPr>
                <w:rFonts w:hint="eastAsia" w:ascii="宋体" w:hAnsi="宋体" w:cs="宋体"/>
                <w:color w:val="auto"/>
                <w:highlight w:val="none"/>
              </w:rPr>
              <w:t>储位及区间配置（含库区、储位范围、货品信息等），补料策略设置：库存低于补料点时自动生成补料单及指令，驱动补料作业（含库房、储位范围、货品、补料点、补货量等配置）。</w:t>
            </w:r>
          </w:p>
          <w:p w14:paraId="123E8A81">
            <w:pPr>
              <w:keepNext w:val="0"/>
              <w:keepLines w:val="0"/>
              <w:suppressLineNumbers w:val="0"/>
              <w:spacing w:before="0" w:beforeAutospacing="0" w:after="0" w:afterAutospacing="0"/>
              <w:ind w:left="0" w:right="0" w:firstLine="420"/>
              <w:rPr>
                <w:rFonts w:hint="eastAsia" w:ascii="宋体" w:hAnsi="宋体" w:cs="宋体"/>
                <w:color w:val="auto"/>
                <w:szCs w:val="21"/>
                <w:highlight w:val="none"/>
              </w:rPr>
            </w:pPr>
            <w:r>
              <w:rPr>
                <w:rFonts w:hint="eastAsia" w:ascii="宋体" w:hAnsi="宋体" w:eastAsia="宋体" w:cs="宋体"/>
                <w:color w:val="auto"/>
                <w:szCs w:val="21"/>
                <w:highlight w:val="none"/>
              </w:rPr>
              <w:t>⑤</w:t>
            </w:r>
            <w:r>
              <w:rPr>
                <w:rFonts w:hint="eastAsia" w:ascii="宋体" w:hAnsi="宋体" w:cs="宋体"/>
                <w:color w:val="auto"/>
                <w:szCs w:val="21"/>
                <w:highlight w:val="none"/>
              </w:rPr>
              <w:t>入库单管理：支持对入库信息如货品名称、数量、单位管理，支持按照存储策略配置中的设置自动分配目标储位，入库信息单据可打印及查询。</w:t>
            </w:r>
          </w:p>
          <w:p w14:paraId="793542F6">
            <w:pPr>
              <w:keepNext w:val="0"/>
              <w:keepLines w:val="0"/>
              <w:suppressLineNumbers w:val="0"/>
              <w:spacing w:before="0" w:beforeAutospacing="0" w:after="0" w:afterAutospacing="0"/>
              <w:ind w:left="0" w:right="0" w:firstLine="420"/>
              <w:rPr>
                <w:rFonts w:hint="eastAsia" w:ascii="宋体" w:hAnsi="宋体" w:cs="宋体"/>
                <w:szCs w:val="21"/>
                <w:highlight w:val="none"/>
              </w:rPr>
            </w:pPr>
            <w:r>
              <w:rPr>
                <w:rFonts w:hint="eastAsia" w:ascii="宋体" w:hAnsi="宋体" w:eastAsia="宋体" w:cs="宋体"/>
                <w:color w:val="auto"/>
                <w:szCs w:val="21"/>
                <w:highlight w:val="none"/>
              </w:rPr>
              <w:t>⑥</w:t>
            </w:r>
            <w:r>
              <w:rPr>
                <w:rFonts w:hint="eastAsia" w:ascii="宋体" w:hAnsi="宋体" w:cs="宋体"/>
                <w:color w:val="auto"/>
                <w:szCs w:val="21"/>
                <w:highlight w:val="none"/>
              </w:rPr>
              <w:t>出库单管理：</w:t>
            </w:r>
            <w:r>
              <w:rPr>
                <w:rFonts w:hint="eastAsia" w:ascii="宋体" w:hAnsi="宋体" w:cs="宋体"/>
                <w:szCs w:val="21"/>
                <w:highlight w:val="none"/>
              </w:rPr>
              <w:t>支持对出库单查询、修改，可支持SO单号进行模糊查询，支持针对出库单进行打印、退回。支持多个出库单组合，按照波次计划分配库存。</w:t>
            </w:r>
          </w:p>
          <w:p w14:paraId="08CF45C1">
            <w:pPr>
              <w:keepNext w:val="0"/>
              <w:keepLines w:val="0"/>
              <w:suppressLineNumbers w:val="0"/>
              <w:spacing w:before="0" w:beforeAutospacing="0" w:after="0" w:afterAutospacing="0"/>
              <w:ind w:left="0" w:right="0" w:firstLine="420"/>
              <w:rPr>
                <w:rFonts w:hint="eastAsia" w:ascii="宋体" w:hAnsi="宋体" w:cs="宋体"/>
                <w:szCs w:val="21"/>
                <w:highlight w:val="none"/>
              </w:rPr>
            </w:pPr>
            <w:r>
              <w:rPr>
                <w:rFonts w:hint="eastAsia" w:ascii="宋体" w:hAnsi="宋体" w:eastAsia="宋体" w:cs="宋体"/>
                <w:szCs w:val="21"/>
                <w:highlight w:val="none"/>
              </w:rPr>
              <w:t>⑦</w:t>
            </w:r>
            <w:r>
              <w:rPr>
                <w:rFonts w:hint="eastAsia" w:ascii="宋体" w:hAnsi="宋体" w:cs="宋体"/>
                <w:szCs w:val="21"/>
                <w:highlight w:val="none"/>
              </w:rPr>
              <w:t>补料单管理：支持手动录入多行待补货物料（含源区、储位、目标区、数量等）并下达，用于初始补料。支持针对补料单进行打印、返回操作功能。</w:t>
            </w:r>
          </w:p>
          <w:p w14:paraId="09E90E10">
            <w:pPr>
              <w:keepNext w:val="0"/>
              <w:keepLines w:val="0"/>
              <w:suppressLineNumbers w:val="0"/>
              <w:spacing w:before="0" w:beforeAutospacing="0" w:after="0" w:afterAutospacing="0"/>
              <w:ind w:left="0" w:right="0" w:firstLine="420"/>
              <w:rPr>
                <w:rFonts w:hint="eastAsia" w:ascii="宋体" w:hAnsi="宋体" w:cs="宋体"/>
                <w:color w:val="auto"/>
                <w:szCs w:val="21"/>
                <w:highlight w:val="none"/>
              </w:rPr>
            </w:pPr>
            <w:r>
              <w:rPr>
                <w:rFonts w:hint="eastAsia" w:ascii="宋体" w:hAnsi="宋体" w:eastAsia="宋体" w:cs="宋体"/>
                <w:color w:val="auto"/>
                <w:szCs w:val="21"/>
                <w:highlight w:val="none"/>
              </w:rPr>
              <w:t>⑧</w:t>
            </w:r>
            <w:r>
              <w:rPr>
                <w:rFonts w:hint="eastAsia" w:ascii="宋体" w:hAnsi="宋体" w:cs="宋体"/>
                <w:color w:val="auto"/>
                <w:szCs w:val="21"/>
                <w:highlight w:val="none"/>
              </w:rPr>
              <w:t>盘点管理：支持对任务按照编号等查询、打印、修改、返回等操作。</w:t>
            </w:r>
          </w:p>
          <w:p w14:paraId="24C4DE5E">
            <w:pPr>
              <w:pStyle w:val="213"/>
              <w:keepNext w:val="0"/>
              <w:keepLines w:val="0"/>
              <w:suppressLineNumbers w:val="0"/>
              <w:spacing w:before="0" w:beforeAutospacing="0" w:after="0" w:afterAutospacing="0"/>
              <w:ind w:left="0" w:right="0" w:firstLine="480"/>
              <w:rPr>
                <w:rFonts w:hint="eastAsia" w:ascii="宋体" w:hAnsi="宋体" w:cs="宋体"/>
                <w:color w:val="auto"/>
                <w:highlight w:val="none"/>
              </w:rPr>
            </w:pPr>
            <w:r>
              <w:rPr>
                <w:rFonts w:hint="eastAsia" w:ascii="宋体" w:hAnsi="宋体" w:cs="宋体"/>
                <w:color w:val="auto"/>
                <w:highlight w:val="none"/>
              </w:rPr>
              <w:t>★⑨可视化查询管理：支持储位、库存查询（货品名称、条形码、区名称等信息），支持作业信息查询（含计划单号、订单号、类型、状态等），支持储位利用率查询按区域、库房查询储位使用情况（含总储位数、使用/未使用数、使用率等）</w:t>
            </w:r>
            <w:r>
              <w:rPr>
                <w:rFonts w:hint="eastAsia" w:ascii="宋体" w:hAnsi="宋体" w:cs="宋体"/>
                <w:color w:val="auto"/>
                <w:highlight w:val="none"/>
                <w:lang w:eastAsia="zh-CN"/>
              </w:rPr>
              <w:t>。</w:t>
            </w:r>
            <w:r>
              <w:rPr>
                <w:rFonts w:hint="eastAsia" w:ascii="宋体" w:hAnsi="宋体" w:cs="宋体"/>
                <w:color w:val="auto"/>
                <w:highlight w:val="none"/>
              </w:rPr>
              <w:t>（提供演示视频）</w:t>
            </w:r>
          </w:p>
          <w:p w14:paraId="1CCB53C5">
            <w:pPr>
              <w:keepNext w:val="0"/>
              <w:keepLines w:val="0"/>
              <w:suppressLineNumbers w:val="0"/>
              <w:spacing w:before="0" w:beforeAutospacing="0" w:after="0" w:afterAutospacing="0"/>
              <w:ind w:left="0" w:right="0" w:firstLine="420"/>
              <w:rPr>
                <w:rFonts w:hint="eastAsia" w:ascii="宋体" w:hAnsi="宋体" w:cs="宋体"/>
                <w:color w:val="auto"/>
                <w:szCs w:val="21"/>
                <w:highlight w:val="none"/>
              </w:rPr>
            </w:pPr>
            <w:r>
              <w:rPr>
                <w:rFonts w:hint="eastAsia" w:ascii="宋体" w:hAnsi="宋体" w:eastAsia="宋体" w:cs="宋体"/>
                <w:color w:val="auto"/>
                <w:szCs w:val="21"/>
                <w:highlight w:val="none"/>
              </w:rPr>
              <w:t>⑩</w:t>
            </w:r>
            <w:r>
              <w:rPr>
                <w:rFonts w:hint="eastAsia" w:ascii="宋体" w:hAnsi="宋体" w:cs="宋体"/>
                <w:color w:val="auto"/>
                <w:szCs w:val="21"/>
                <w:highlight w:val="none"/>
              </w:rPr>
              <w:t>手持管理支持完成入库、出库、补货等作业指令。</w:t>
            </w:r>
          </w:p>
          <w:p w14:paraId="7B2DF72D">
            <w:pPr>
              <w:keepNext w:val="0"/>
              <w:keepLines w:val="0"/>
              <w:suppressLineNumbers w:val="0"/>
              <w:spacing w:before="0" w:beforeAutospacing="0" w:after="0" w:afterAutospacing="0"/>
              <w:ind w:left="0" w:right="0" w:firstLine="420"/>
              <w:rPr>
                <w:rFonts w:hint="eastAsia" w:ascii="宋体" w:hAnsi="宋体" w:cs="宋体"/>
                <w:szCs w:val="21"/>
                <w:highlight w:val="none"/>
              </w:rPr>
            </w:pPr>
            <w:r>
              <w:rPr>
                <w:rFonts w:hint="eastAsia" w:ascii="宋体" w:hAnsi="宋体" w:cs="宋体"/>
                <w:color w:val="auto"/>
                <w:szCs w:val="21"/>
                <w:highlight w:val="none"/>
              </w:rPr>
              <w:t>入库任务：根据指令完成入库作业。入库理货：扫描货品及容器条码，输入数量完成绑定。入库搬运：扫描容器条码获取目的地搬运信息。入库上架：扫描容器编码完成上架。补料任务：获取手动或自动补料指令并启动作业。补货注册容器：扫描货品与容器条码，输入数量完成绑定。补料拣选：扫描容器、储位</w:t>
            </w:r>
            <w:r>
              <w:rPr>
                <w:rFonts w:hint="eastAsia" w:ascii="宋体" w:hAnsi="宋体" w:cs="宋体"/>
                <w:szCs w:val="21"/>
                <w:highlight w:val="none"/>
              </w:rPr>
              <w:t>编码，输入数量完成拣货。补料搬运：扫描容器及AGV储位编号，确认后AGV按指令搬运。</w:t>
            </w:r>
          </w:p>
          <w:p w14:paraId="7E1A2B78">
            <w:pPr>
              <w:keepNext w:val="0"/>
              <w:keepLines w:val="0"/>
              <w:suppressLineNumbers w:val="0"/>
              <w:spacing w:before="0" w:beforeAutospacing="0" w:after="0" w:afterAutospacing="0"/>
              <w:ind w:left="0" w:right="0" w:firstLine="420"/>
              <w:rPr>
                <w:rFonts w:hint="eastAsia" w:ascii="宋体" w:hAnsi="宋体" w:cs="宋体"/>
                <w:szCs w:val="21"/>
                <w:highlight w:val="none"/>
              </w:rPr>
            </w:pPr>
            <w:r>
              <w:rPr>
                <w:rFonts w:hint="eastAsia" w:ascii="宋体" w:hAnsi="宋体" w:cs="宋体"/>
                <w:szCs w:val="21"/>
                <w:highlight w:val="none"/>
              </w:rPr>
              <w:t>工位补料：实现生产工位线边库补料上架。</w:t>
            </w:r>
          </w:p>
        </w:tc>
        <w:tc>
          <w:tcPr>
            <w:tcW w:w="1067" w:type="dxa"/>
            <w:tcBorders>
              <w:top w:val="single" w:color="auto" w:sz="4" w:space="0"/>
              <w:left w:val="single" w:color="auto" w:sz="4" w:space="0"/>
              <w:bottom w:val="single" w:color="auto" w:sz="4" w:space="0"/>
              <w:right w:val="single" w:color="auto" w:sz="4" w:space="0"/>
            </w:tcBorders>
            <w:noWrap w:val="0"/>
            <w:vAlign w:val="center"/>
          </w:tcPr>
          <w:p w14:paraId="5BD0ADB8">
            <w:pPr>
              <w:keepNext w:val="0"/>
              <w:keepLines w:val="0"/>
              <w:suppressLineNumbers w:val="0"/>
              <w:spacing w:before="0" w:beforeAutospacing="0" w:after="0" w:afterAutospacing="0" w:line="240" w:lineRule="exact"/>
              <w:ind w:left="0" w:right="0"/>
              <w:jc w:val="center"/>
              <w:rPr>
                <w:rFonts w:hint="eastAsia" w:ascii="宋体" w:hAnsi="宋体" w:cs="宋体"/>
                <w:szCs w:val="18"/>
                <w:highlight w:val="none"/>
              </w:rPr>
            </w:pPr>
            <w:r>
              <w:rPr>
                <w:rFonts w:hint="eastAsia" w:ascii="宋体" w:hAnsi="宋体" w:cs="宋体"/>
                <w:szCs w:val="18"/>
                <w:highlight w:val="none"/>
              </w:rPr>
              <w:t>套</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32032528">
            <w:pPr>
              <w:pStyle w:val="26"/>
              <w:keepNext w:val="0"/>
              <w:keepLines w:val="0"/>
              <w:suppressLineNumbers w:val="0"/>
              <w:spacing w:before="0" w:beforeAutospacing="0" w:afterAutospacing="0"/>
              <w:ind w:left="0" w:right="0"/>
              <w:jc w:val="center"/>
              <w:rPr>
                <w:rFonts w:hint="eastAsia" w:ascii="宋体" w:hAnsi="宋体" w:cs="宋体"/>
                <w:szCs w:val="18"/>
                <w:highlight w:val="none"/>
              </w:rPr>
            </w:pPr>
            <w:r>
              <w:rPr>
                <w:rFonts w:hint="eastAsia" w:ascii="宋体" w:hAnsi="宋体" w:cs="宋体"/>
                <w:szCs w:val="18"/>
                <w:highlight w:val="none"/>
              </w:rPr>
              <w:t>1</w:t>
            </w:r>
          </w:p>
        </w:tc>
      </w:tr>
      <w:tr w14:paraId="15114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5" w:type="dxa"/>
            <w:tcBorders>
              <w:top w:val="single" w:color="auto" w:sz="4" w:space="0"/>
              <w:left w:val="single" w:color="auto" w:sz="4" w:space="0"/>
              <w:bottom w:val="single" w:color="auto" w:sz="4" w:space="0"/>
              <w:right w:val="single" w:color="auto" w:sz="4" w:space="0"/>
            </w:tcBorders>
            <w:noWrap/>
            <w:vAlign w:val="center"/>
          </w:tcPr>
          <w:p w14:paraId="1A0F4D91">
            <w:pPr>
              <w:keepNext w:val="0"/>
              <w:keepLines w:val="0"/>
              <w:suppressLineNumbers w:val="0"/>
              <w:spacing w:before="0" w:beforeAutospacing="0" w:after="0" w:afterAutospacing="0" w:line="240" w:lineRule="exact"/>
              <w:ind w:left="0" w:right="0"/>
              <w:jc w:val="center"/>
              <w:rPr>
                <w:rFonts w:hint="eastAsia" w:ascii="宋体" w:hAnsi="宋体" w:cs="宋体"/>
                <w:color w:val="000000"/>
                <w:szCs w:val="18"/>
                <w:highlight w:val="none"/>
              </w:rPr>
            </w:pPr>
            <w:r>
              <w:rPr>
                <w:rFonts w:hint="eastAsia" w:ascii="宋体" w:hAnsi="宋体" w:cs="宋体"/>
                <w:color w:val="000000"/>
                <w:szCs w:val="18"/>
                <w:highlight w:val="none"/>
              </w:rPr>
              <w:t>4</w:t>
            </w:r>
          </w:p>
        </w:tc>
        <w:tc>
          <w:tcPr>
            <w:tcW w:w="761" w:type="dxa"/>
            <w:tcBorders>
              <w:top w:val="single" w:color="auto" w:sz="4" w:space="0"/>
              <w:left w:val="single" w:color="auto" w:sz="4" w:space="0"/>
              <w:bottom w:val="single" w:color="auto" w:sz="4" w:space="0"/>
              <w:right w:val="single" w:color="auto" w:sz="4" w:space="0"/>
            </w:tcBorders>
            <w:noWrap w:val="0"/>
            <w:vAlign w:val="center"/>
          </w:tcPr>
          <w:p w14:paraId="56F8331B">
            <w:pPr>
              <w:keepNext w:val="0"/>
              <w:keepLines w:val="0"/>
              <w:suppressLineNumbers w:val="0"/>
              <w:spacing w:before="0" w:beforeAutospacing="0" w:after="0" w:afterAutospacing="0"/>
              <w:ind w:left="0" w:right="0"/>
              <w:jc w:val="center"/>
              <w:rPr>
                <w:rFonts w:hint="eastAsia" w:ascii="宋体" w:hAnsi="宋体" w:cs="宋体"/>
                <w:color w:val="000000"/>
                <w:szCs w:val="18"/>
                <w:highlight w:val="none"/>
              </w:rPr>
            </w:pPr>
            <w:r>
              <w:rPr>
                <w:rFonts w:hint="eastAsia" w:ascii="宋体" w:hAnsi="宋体" w:cs="宋体"/>
                <w:color w:val="000000"/>
                <w:szCs w:val="18"/>
                <w:highlight w:val="none"/>
              </w:rPr>
              <w:t>产成品入库综合装置</w:t>
            </w:r>
          </w:p>
        </w:tc>
        <w:tc>
          <w:tcPr>
            <w:tcW w:w="5416" w:type="dxa"/>
            <w:tcBorders>
              <w:top w:val="single" w:color="auto" w:sz="4" w:space="0"/>
              <w:left w:val="single" w:color="auto" w:sz="4" w:space="0"/>
              <w:bottom w:val="single" w:color="auto" w:sz="4" w:space="0"/>
              <w:right w:val="single" w:color="auto" w:sz="4" w:space="0"/>
            </w:tcBorders>
            <w:noWrap w:val="0"/>
          </w:tcPr>
          <w:p w14:paraId="372BF2AC">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一、项目概述</w:t>
            </w:r>
          </w:p>
          <w:p w14:paraId="4CD94382">
            <w:pPr>
              <w:keepNext w:val="0"/>
              <w:keepLines w:val="0"/>
              <w:suppressLineNumbers w:val="0"/>
              <w:spacing w:before="0" w:beforeAutospacing="0" w:after="0" w:afterAutospacing="0"/>
              <w:ind w:left="0" w:right="0" w:firstLine="420"/>
              <w:rPr>
                <w:rFonts w:hint="eastAsia" w:ascii="宋体" w:hAnsi="宋体" w:cs="宋体"/>
                <w:szCs w:val="21"/>
                <w:highlight w:val="none"/>
              </w:rPr>
            </w:pPr>
            <w:r>
              <w:rPr>
                <w:rFonts w:hint="eastAsia" w:ascii="宋体" w:hAnsi="宋体" w:cs="宋体"/>
                <w:szCs w:val="21"/>
                <w:highlight w:val="none"/>
              </w:rPr>
              <w:t>产成品入库综合装置模拟智慧物流中生产与仓储配送的一体化场景，通过自动化设备联动实现产成品从拣选到入库存储、模拟配送的全流程作业，培养学生对智能仓储系统的操作调度、协同管理及数据交互能力，强化自动化仓储设备应用与仓储流程优化的职业技能，构建贴近工业实际的智能化入库实训平台。</w:t>
            </w:r>
          </w:p>
          <w:p w14:paraId="70338F9E">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二、功能及清单</w:t>
            </w:r>
          </w:p>
          <w:p w14:paraId="73E7D059">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产成品入库综合装置包含生产物流拣选台1套、自动化立体仓库1套、智能手持终端2套。</w:t>
            </w:r>
          </w:p>
          <w:p w14:paraId="7CE3C2FB">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生产物流拣选台功能：在产成品入库综合装置中，生产物流拣选台作为连接“生产加工-仓储入库”的关键枢纽，通过硬件集成与流程设计，实现产成品从加工工位到仓库的精准分拣、信息核对与暂存管理。</w:t>
            </w:r>
          </w:p>
          <w:p w14:paraId="35C4F990">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自动化立体仓库功能：在产成品入库综合装置中，自动化立体仓库作为连接生产端与仓储端的智能枢纽，通过高密度存储、自动化作业及信息化管理，实现产成品从加工工位到仓储系统的高效流转。自动化立体仓库在实训装置中是“智能仓储”的缩影，通过高密度存储与自动化设备实现物流效率提升，通过内置系统实现生产-仓储数据的全链路贯通。</w:t>
            </w:r>
          </w:p>
          <w:p w14:paraId="42EF00BD">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智能手持终端功能：在产成品入库综合装置中，智能手持终端作为连接人工操作与信息化系统的移动枢纽，通过数据采集、指令交互及流程管控，实现产成品从生产下线到仓库存储的全流程数字化管理。既通过数据采集与指令执行实现产成品入库的精准管控，又通过移动化、数字化特性打通生产与仓储的信息壁垒。</w:t>
            </w:r>
          </w:p>
          <w:p w14:paraId="3220BF28">
            <w:pPr>
              <w:keepNext w:val="0"/>
              <w:keepLines w:val="0"/>
              <w:suppressLineNumbers w:val="0"/>
              <w:spacing w:before="0" w:beforeAutospacing="0" w:after="0" w:afterAutospacing="0"/>
              <w:ind w:left="0" w:right="0" w:firstLine="420"/>
              <w:rPr>
                <w:rFonts w:hint="eastAsia" w:ascii="宋体" w:hAnsi="宋体" w:cs="宋体"/>
                <w:szCs w:val="21"/>
                <w:highlight w:val="none"/>
              </w:rPr>
            </w:pPr>
            <w:r>
              <w:rPr>
                <w:rFonts w:hint="eastAsia" w:ascii="宋体" w:hAnsi="宋体" w:cs="宋体"/>
                <w:szCs w:val="21"/>
                <w:highlight w:val="none"/>
              </w:rPr>
              <w:t>三、设备详细参数</w:t>
            </w:r>
          </w:p>
          <w:p w14:paraId="382AD0E2">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1.生产物流拣选台，1套</w:t>
            </w:r>
          </w:p>
          <w:p w14:paraId="0CE64F4B">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(1)骨架材质：</w:t>
            </w:r>
            <w:r>
              <w:rPr>
                <w:rFonts w:hint="eastAsia" w:ascii="宋体" w:hAnsi="宋体" w:cs="宋体"/>
                <w:szCs w:val="21"/>
                <w:highlight w:val="none"/>
                <w:lang w:eastAsia="zh-CN"/>
              </w:rPr>
              <w:t>不锈钢材质，厚度</w:t>
            </w:r>
            <w:r>
              <w:rPr>
                <w:rFonts w:hint="eastAsia" w:ascii="宋体" w:hAnsi="宋体" w:cs="宋体"/>
                <w:szCs w:val="21"/>
                <w:highlight w:val="none"/>
              </w:rPr>
              <w:t>≥</w:t>
            </w:r>
            <w:r>
              <w:rPr>
                <w:rFonts w:hint="eastAsia" w:ascii="宋体" w:hAnsi="宋体" w:cs="宋体"/>
                <w:szCs w:val="21"/>
                <w:highlight w:val="none"/>
                <w:lang w:val="en-US" w:eastAsia="zh-CN"/>
              </w:rPr>
              <w:t>1.8mm</w:t>
            </w:r>
            <w:r>
              <w:rPr>
                <w:rFonts w:hint="eastAsia" w:ascii="宋体" w:hAnsi="宋体" w:cs="宋体"/>
                <w:szCs w:val="21"/>
                <w:highlight w:val="none"/>
              </w:rPr>
              <w:t>；</w:t>
            </w:r>
          </w:p>
          <w:p w14:paraId="645090B6">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(2)桌面材质：三聚氰胺板</w:t>
            </w:r>
            <w:r>
              <w:rPr>
                <w:rFonts w:hint="eastAsia" w:ascii="宋体" w:hAnsi="宋体" w:cs="宋体"/>
                <w:szCs w:val="21"/>
                <w:highlight w:val="none"/>
                <w:lang w:eastAsia="zh-CN"/>
              </w:rPr>
              <w:t>环保型</w:t>
            </w:r>
            <w:r>
              <w:rPr>
                <w:rFonts w:hint="eastAsia" w:ascii="宋体" w:hAnsi="宋体" w:cs="宋体"/>
                <w:szCs w:val="21"/>
                <w:highlight w:val="none"/>
              </w:rPr>
              <w:t>；</w:t>
            </w:r>
          </w:p>
          <w:p w14:paraId="7BAF0379">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(3)尺寸：≥800*600*750mm；</w:t>
            </w:r>
          </w:p>
          <w:p w14:paraId="3BF5F60F">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(4)承重：300KG±</w:t>
            </w:r>
            <w:r>
              <w:rPr>
                <w:rFonts w:hint="eastAsia" w:ascii="宋体" w:hAnsi="宋体" w:cs="宋体"/>
                <w:szCs w:val="21"/>
                <w:highlight w:val="none"/>
                <w:lang w:val="en-US" w:eastAsia="zh-CN"/>
              </w:rPr>
              <w:t>5</w:t>
            </w:r>
            <w:r>
              <w:rPr>
                <w:rFonts w:hint="eastAsia" w:ascii="宋体" w:hAnsi="宋体" w:cs="宋体"/>
                <w:szCs w:val="21"/>
                <w:highlight w:val="none"/>
              </w:rPr>
              <w:t>KG。</w:t>
            </w:r>
          </w:p>
          <w:p w14:paraId="72E9A0C3">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2.自动化立体仓库，1套</w:t>
            </w:r>
          </w:p>
          <w:p w14:paraId="62E7BE67">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自动化立体仓库尺寸：≥3000*1350*2200mm（长*宽*高）</w:t>
            </w:r>
          </w:p>
          <w:p w14:paraId="7645738A">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(1)主控制器：</w:t>
            </w:r>
            <w:r>
              <w:rPr>
                <w:rFonts w:hint="eastAsia" w:ascii="宋体" w:hAnsi="宋体" w:eastAsia="宋体" w:cs="宋体"/>
                <w:szCs w:val="21"/>
                <w:highlight w:val="none"/>
              </w:rPr>
              <w:t>①</w:t>
            </w:r>
            <w:r>
              <w:rPr>
                <w:rFonts w:hint="eastAsia" w:ascii="宋体" w:hAnsi="宋体" w:cs="宋体"/>
                <w:szCs w:val="21"/>
                <w:highlight w:val="none"/>
              </w:rPr>
              <w:t>用户存储器：24KB工作存储器；</w:t>
            </w:r>
            <w:r>
              <w:rPr>
                <w:rFonts w:hint="eastAsia" w:ascii="宋体" w:hAnsi="宋体" w:eastAsia="宋体" w:cs="宋体"/>
                <w:szCs w:val="21"/>
                <w:highlight w:val="none"/>
              </w:rPr>
              <w:t>②</w:t>
            </w:r>
            <w:r>
              <w:rPr>
                <w:rFonts w:hint="eastAsia" w:ascii="宋体" w:hAnsi="宋体" w:cs="宋体"/>
                <w:szCs w:val="21"/>
                <w:highlight w:val="none"/>
              </w:rPr>
              <w:t>板载数字I/O：≥24路输入/16路输出；</w:t>
            </w:r>
            <w:r>
              <w:rPr>
                <w:rFonts w:hint="eastAsia" w:ascii="宋体" w:hAnsi="宋体" w:eastAsia="宋体" w:cs="宋体"/>
                <w:szCs w:val="21"/>
                <w:highlight w:val="none"/>
              </w:rPr>
              <w:t>③</w:t>
            </w:r>
            <w:r>
              <w:rPr>
                <w:rFonts w:hint="eastAsia" w:ascii="宋体" w:hAnsi="宋体" w:cs="宋体"/>
                <w:szCs w:val="21"/>
                <w:highlight w:val="none"/>
              </w:rPr>
              <w:t>脉冲输出：≥3路100HZ；</w:t>
            </w:r>
            <w:r>
              <w:rPr>
                <w:rFonts w:hint="eastAsia" w:ascii="宋体" w:hAnsi="宋体" w:eastAsia="宋体" w:cs="宋体"/>
                <w:szCs w:val="21"/>
                <w:highlight w:val="none"/>
              </w:rPr>
              <w:t>④</w:t>
            </w:r>
            <w:r>
              <w:rPr>
                <w:rFonts w:hint="eastAsia" w:ascii="宋体" w:hAnsi="宋体" w:cs="宋体"/>
                <w:szCs w:val="21"/>
                <w:highlight w:val="none"/>
              </w:rPr>
              <w:t>过程映像大小：256位输入(I)/256位输出(Q)；</w:t>
            </w:r>
            <w:r>
              <w:rPr>
                <w:rFonts w:hint="eastAsia" w:ascii="宋体" w:hAnsi="宋体" w:eastAsia="宋体" w:cs="宋体"/>
                <w:szCs w:val="21"/>
                <w:highlight w:val="none"/>
              </w:rPr>
              <w:t>⑤</w:t>
            </w:r>
            <w:r>
              <w:rPr>
                <w:rFonts w:hint="eastAsia" w:ascii="宋体" w:hAnsi="宋体" w:cs="宋体"/>
                <w:szCs w:val="21"/>
                <w:highlight w:val="none"/>
              </w:rPr>
              <w:t>高速计数器：≥4个，200KHZ；</w:t>
            </w:r>
          </w:p>
          <w:p w14:paraId="1608506F">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(2)扩展模块；数字量I/O：≥40路输入。</w:t>
            </w:r>
          </w:p>
          <w:p w14:paraId="00F5FEEB">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(3)交换机：</w:t>
            </w:r>
            <w:r>
              <w:rPr>
                <w:rFonts w:hint="eastAsia" w:ascii="宋体" w:hAnsi="宋体" w:eastAsia="宋体" w:cs="宋体"/>
                <w:szCs w:val="21"/>
                <w:highlight w:val="none"/>
              </w:rPr>
              <w:t>①</w:t>
            </w:r>
            <w:r>
              <w:rPr>
                <w:rFonts w:hint="eastAsia" w:ascii="宋体" w:hAnsi="宋体" w:cs="宋体"/>
                <w:szCs w:val="21"/>
                <w:highlight w:val="none"/>
              </w:rPr>
              <w:t>输入电源：DC24V；</w:t>
            </w:r>
            <w:r>
              <w:rPr>
                <w:rFonts w:hint="eastAsia" w:ascii="宋体" w:hAnsi="宋体" w:eastAsia="宋体" w:cs="宋体"/>
                <w:szCs w:val="21"/>
                <w:highlight w:val="none"/>
              </w:rPr>
              <w:t>②</w:t>
            </w:r>
            <w:r>
              <w:rPr>
                <w:rFonts w:hint="eastAsia" w:ascii="宋体" w:hAnsi="宋体" w:cs="宋体"/>
                <w:szCs w:val="21"/>
                <w:highlight w:val="none"/>
              </w:rPr>
              <w:t>RJ45接口数量：≥8；</w:t>
            </w:r>
            <w:r>
              <w:rPr>
                <w:rFonts w:hint="eastAsia" w:ascii="宋体" w:hAnsi="宋体" w:eastAsia="宋体" w:cs="宋体"/>
                <w:szCs w:val="21"/>
                <w:highlight w:val="none"/>
              </w:rPr>
              <w:t>③</w:t>
            </w:r>
            <w:r>
              <w:rPr>
                <w:rFonts w:hint="eastAsia" w:ascii="宋体" w:hAnsi="宋体" w:cs="宋体"/>
                <w:szCs w:val="21"/>
                <w:highlight w:val="none"/>
              </w:rPr>
              <w:t>安装方式：卡导轨安装。</w:t>
            </w:r>
          </w:p>
          <w:p w14:paraId="375914EA">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4</w:t>
            </w:r>
            <w:r>
              <w:rPr>
                <w:rFonts w:hint="eastAsia" w:ascii="宋体" w:hAnsi="宋体" w:cs="宋体"/>
                <w:szCs w:val="21"/>
                <w:highlight w:val="none"/>
              </w:rPr>
              <w:t>)电源控制：</w:t>
            </w:r>
            <w:r>
              <w:rPr>
                <w:rFonts w:hint="eastAsia" w:ascii="宋体" w:hAnsi="宋体" w:eastAsia="宋体" w:cs="宋体"/>
                <w:szCs w:val="21"/>
                <w:highlight w:val="none"/>
              </w:rPr>
              <w:t>①</w:t>
            </w:r>
            <w:r>
              <w:rPr>
                <w:rFonts w:hint="eastAsia" w:ascii="宋体" w:hAnsi="宋体" w:cs="宋体"/>
                <w:szCs w:val="21"/>
                <w:highlight w:val="none"/>
              </w:rPr>
              <w:t>断路器：≥1套；</w:t>
            </w:r>
            <w:r>
              <w:rPr>
                <w:rFonts w:hint="eastAsia" w:ascii="宋体" w:hAnsi="宋体" w:eastAsia="宋体" w:cs="宋体"/>
                <w:szCs w:val="21"/>
                <w:highlight w:val="none"/>
              </w:rPr>
              <w:t>②</w:t>
            </w:r>
            <w:r>
              <w:rPr>
                <w:rFonts w:hint="eastAsia" w:ascii="宋体" w:hAnsi="宋体" w:cs="宋体"/>
                <w:szCs w:val="21"/>
                <w:highlight w:val="none"/>
              </w:rPr>
              <w:t>交流接触器：≥1套；</w:t>
            </w:r>
            <w:r>
              <w:rPr>
                <w:rFonts w:hint="eastAsia" w:ascii="宋体" w:hAnsi="宋体" w:eastAsia="宋体" w:cs="宋体"/>
                <w:szCs w:val="21"/>
                <w:highlight w:val="none"/>
              </w:rPr>
              <w:t>③</w:t>
            </w:r>
            <w:r>
              <w:rPr>
                <w:rFonts w:hint="eastAsia" w:ascii="宋体" w:hAnsi="宋体" w:cs="宋体"/>
                <w:szCs w:val="21"/>
                <w:highlight w:val="none"/>
              </w:rPr>
              <w:t>24V开关电源：≥1套；</w:t>
            </w:r>
            <w:r>
              <w:rPr>
                <w:rFonts w:hint="eastAsia" w:ascii="宋体" w:hAnsi="宋体" w:eastAsia="宋体" w:cs="宋体"/>
                <w:szCs w:val="21"/>
                <w:highlight w:val="none"/>
              </w:rPr>
              <w:t>④</w:t>
            </w:r>
            <w:r>
              <w:rPr>
                <w:rFonts w:hint="eastAsia" w:ascii="宋体" w:hAnsi="宋体" w:cs="宋体"/>
                <w:szCs w:val="21"/>
                <w:highlight w:val="none"/>
              </w:rPr>
              <w:t>控制用中间继电器：≥4个；</w:t>
            </w:r>
          </w:p>
          <w:p w14:paraId="6C1821D0">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5</w:t>
            </w:r>
            <w:r>
              <w:rPr>
                <w:rFonts w:hint="eastAsia" w:ascii="宋体" w:hAnsi="宋体" w:cs="宋体"/>
                <w:szCs w:val="21"/>
                <w:highlight w:val="none"/>
              </w:rPr>
              <w:t>)伺服驱动器1个：</w:t>
            </w:r>
            <w:r>
              <w:rPr>
                <w:rFonts w:hint="eastAsia" w:ascii="宋体" w:hAnsi="宋体" w:eastAsia="宋体" w:cs="宋体"/>
                <w:szCs w:val="21"/>
                <w:highlight w:val="none"/>
              </w:rPr>
              <w:t>①</w:t>
            </w:r>
            <w:r>
              <w:rPr>
                <w:rFonts w:hint="eastAsia" w:ascii="宋体" w:hAnsi="宋体" w:cs="宋体"/>
                <w:szCs w:val="21"/>
                <w:highlight w:val="none"/>
              </w:rPr>
              <w:t>电机功率：≥0.1Kw；</w:t>
            </w:r>
            <w:r>
              <w:rPr>
                <w:rFonts w:hint="eastAsia" w:ascii="宋体" w:hAnsi="宋体" w:eastAsia="宋体" w:cs="宋体"/>
                <w:szCs w:val="21"/>
                <w:highlight w:val="none"/>
              </w:rPr>
              <w:t>②</w:t>
            </w:r>
            <w:r>
              <w:rPr>
                <w:rFonts w:hint="eastAsia" w:ascii="宋体" w:hAnsi="宋体" w:cs="宋体"/>
                <w:szCs w:val="21"/>
                <w:highlight w:val="none"/>
              </w:rPr>
              <w:t>控制模式：位置控制</w:t>
            </w:r>
            <w:r>
              <w:rPr>
                <w:rFonts w:hint="eastAsia" w:ascii="宋体" w:hAnsi="宋体" w:cs="宋体"/>
                <w:szCs w:val="21"/>
                <w:highlight w:val="none"/>
                <w:lang w:eastAsia="zh-CN"/>
              </w:rPr>
              <w:t>、</w:t>
            </w:r>
            <w:r>
              <w:rPr>
                <w:rFonts w:hint="eastAsia" w:ascii="宋体" w:hAnsi="宋体" w:cs="宋体"/>
                <w:szCs w:val="21"/>
                <w:highlight w:val="none"/>
              </w:rPr>
              <w:t>速度控制</w:t>
            </w:r>
            <w:r>
              <w:rPr>
                <w:rFonts w:hint="eastAsia" w:ascii="宋体" w:hAnsi="宋体" w:cs="宋体"/>
                <w:szCs w:val="21"/>
                <w:highlight w:val="none"/>
                <w:lang w:eastAsia="zh-CN"/>
              </w:rPr>
              <w:t>、</w:t>
            </w:r>
            <w:r>
              <w:rPr>
                <w:rFonts w:hint="eastAsia" w:ascii="宋体" w:hAnsi="宋体" w:cs="宋体"/>
                <w:szCs w:val="21"/>
                <w:highlight w:val="none"/>
              </w:rPr>
              <w:t>转矩控制；</w:t>
            </w:r>
            <w:r>
              <w:rPr>
                <w:rFonts w:hint="eastAsia" w:ascii="宋体" w:hAnsi="宋体" w:eastAsia="宋体" w:cs="宋体"/>
                <w:szCs w:val="21"/>
                <w:highlight w:val="none"/>
              </w:rPr>
              <w:t>③</w:t>
            </w:r>
            <w:r>
              <w:rPr>
                <w:rFonts w:hint="eastAsia" w:ascii="宋体" w:hAnsi="宋体" w:cs="宋体"/>
                <w:szCs w:val="21"/>
                <w:highlight w:val="none"/>
              </w:rPr>
              <w:t>输入形态：PN总线。</w:t>
            </w:r>
          </w:p>
          <w:p w14:paraId="091E35F8">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6</w:t>
            </w:r>
            <w:r>
              <w:rPr>
                <w:rFonts w:hint="eastAsia" w:ascii="宋体" w:hAnsi="宋体" w:cs="宋体"/>
                <w:szCs w:val="21"/>
                <w:highlight w:val="none"/>
              </w:rPr>
              <w:t>)伺服驱动器2个：</w:t>
            </w:r>
            <w:r>
              <w:rPr>
                <w:rFonts w:hint="eastAsia" w:ascii="宋体" w:hAnsi="宋体" w:eastAsia="宋体" w:cs="宋体"/>
                <w:szCs w:val="21"/>
                <w:highlight w:val="none"/>
              </w:rPr>
              <w:t>①</w:t>
            </w:r>
            <w:r>
              <w:rPr>
                <w:rFonts w:hint="eastAsia" w:ascii="宋体" w:hAnsi="宋体" w:cs="宋体"/>
                <w:szCs w:val="21"/>
                <w:highlight w:val="none"/>
              </w:rPr>
              <w:t>电机功率：≥0.4Kw</w:t>
            </w:r>
            <w:r>
              <w:rPr>
                <w:rFonts w:hint="eastAsia" w:ascii="宋体" w:hAnsi="宋体" w:cs="宋体"/>
                <w:szCs w:val="21"/>
                <w:highlight w:val="none"/>
                <w:lang w:eastAsia="zh-CN"/>
              </w:rPr>
              <w:t>；</w:t>
            </w:r>
            <w:r>
              <w:rPr>
                <w:rFonts w:hint="eastAsia" w:ascii="宋体" w:hAnsi="宋体" w:eastAsia="宋体" w:cs="宋体"/>
                <w:szCs w:val="21"/>
                <w:highlight w:val="none"/>
              </w:rPr>
              <w:t>②</w:t>
            </w:r>
            <w:r>
              <w:rPr>
                <w:rFonts w:hint="eastAsia" w:ascii="宋体" w:hAnsi="宋体" w:cs="宋体"/>
                <w:szCs w:val="21"/>
                <w:highlight w:val="none"/>
              </w:rPr>
              <w:t>控制模式：位置控制；</w:t>
            </w:r>
            <w:r>
              <w:rPr>
                <w:rFonts w:hint="eastAsia" w:ascii="宋体" w:hAnsi="宋体" w:eastAsia="宋体" w:cs="宋体"/>
                <w:szCs w:val="21"/>
                <w:highlight w:val="none"/>
              </w:rPr>
              <w:t>③</w:t>
            </w:r>
            <w:r>
              <w:rPr>
                <w:rFonts w:hint="eastAsia" w:ascii="宋体" w:hAnsi="宋体" w:cs="宋体"/>
                <w:szCs w:val="21"/>
                <w:highlight w:val="none"/>
              </w:rPr>
              <w:t>输入形态：PN总线。</w:t>
            </w:r>
          </w:p>
          <w:p w14:paraId="6A7AA0D2">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7</w:t>
            </w:r>
            <w:r>
              <w:rPr>
                <w:rFonts w:hint="eastAsia" w:ascii="宋体" w:hAnsi="宋体" w:cs="宋体"/>
                <w:szCs w:val="21"/>
                <w:highlight w:val="none"/>
              </w:rPr>
              <w:t>)堆垛机升降：</w:t>
            </w:r>
            <w:r>
              <w:rPr>
                <w:rFonts w:hint="eastAsia" w:ascii="宋体" w:hAnsi="宋体" w:eastAsia="宋体" w:cs="宋体"/>
                <w:szCs w:val="21"/>
                <w:highlight w:val="none"/>
              </w:rPr>
              <w:t>①</w:t>
            </w:r>
            <w:r>
              <w:rPr>
                <w:rFonts w:hint="eastAsia" w:ascii="宋体" w:hAnsi="宋体" w:cs="宋体"/>
                <w:szCs w:val="21"/>
                <w:highlight w:val="none"/>
              </w:rPr>
              <w:t>有效行程：≥1400mmb</w:t>
            </w:r>
            <w:r>
              <w:rPr>
                <w:rFonts w:hint="eastAsia" w:ascii="宋体" w:hAnsi="宋体" w:cs="宋体"/>
                <w:szCs w:val="21"/>
                <w:highlight w:val="none"/>
                <w:lang w:eastAsia="zh-CN"/>
              </w:rPr>
              <w:t>，</w:t>
            </w:r>
            <w:r>
              <w:rPr>
                <w:rFonts w:hint="eastAsia" w:ascii="宋体" w:hAnsi="宋体" w:eastAsia="宋体" w:cs="宋体"/>
                <w:szCs w:val="21"/>
                <w:highlight w:val="none"/>
              </w:rPr>
              <w:t>②</w:t>
            </w:r>
            <w:r>
              <w:rPr>
                <w:rFonts w:hint="eastAsia" w:ascii="宋体" w:hAnsi="宋体" w:cs="宋体"/>
                <w:szCs w:val="21"/>
                <w:highlight w:val="none"/>
              </w:rPr>
              <w:t>伺服电机</w:t>
            </w:r>
            <w:r>
              <w:rPr>
                <w:rFonts w:hint="eastAsia" w:ascii="宋体" w:hAnsi="宋体" w:cs="宋体"/>
                <w:szCs w:val="21"/>
                <w:highlight w:val="none"/>
                <w:lang w:eastAsia="zh-CN"/>
              </w:rPr>
              <w:t>；</w:t>
            </w:r>
            <w:r>
              <w:rPr>
                <w:rFonts w:hint="eastAsia" w:ascii="宋体" w:hAnsi="宋体" w:eastAsia="宋体" w:cs="宋体"/>
                <w:szCs w:val="21"/>
                <w:highlight w:val="none"/>
              </w:rPr>
              <w:t>③</w:t>
            </w:r>
            <w:r>
              <w:rPr>
                <w:rFonts w:hint="eastAsia" w:ascii="宋体" w:hAnsi="宋体" w:cs="宋体"/>
                <w:szCs w:val="21"/>
                <w:highlight w:val="none"/>
              </w:rPr>
              <w:t>编码器：绝对值编码器；</w:t>
            </w:r>
            <w:r>
              <w:rPr>
                <w:rFonts w:hint="eastAsia" w:ascii="宋体" w:hAnsi="宋体" w:eastAsia="宋体" w:cs="宋体"/>
                <w:szCs w:val="21"/>
                <w:highlight w:val="none"/>
              </w:rPr>
              <w:t>④</w:t>
            </w:r>
            <w:r>
              <w:rPr>
                <w:rFonts w:hint="eastAsia" w:ascii="宋体" w:hAnsi="宋体" w:cs="宋体"/>
                <w:szCs w:val="21"/>
                <w:highlight w:val="none"/>
              </w:rPr>
              <w:t>抱闸：带抱闸；</w:t>
            </w:r>
            <w:r>
              <w:rPr>
                <w:rFonts w:hint="eastAsia" w:ascii="宋体" w:hAnsi="宋体" w:eastAsia="宋体" w:cs="宋体"/>
                <w:szCs w:val="21"/>
                <w:highlight w:val="none"/>
              </w:rPr>
              <w:t>⑤</w:t>
            </w:r>
            <w:r>
              <w:rPr>
                <w:rFonts w:hint="eastAsia" w:ascii="宋体" w:hAnsi="宋体" w:cs="宋体"/>
                <w:szCs w:val="21"/>
                <w:highlight w:val="none"/>
              </w:rPr>
              <w:t>定位方式：闭环绝对值模式；</w:t>
            </w:r>
            <w:r>
              <w:rPr>
                <w:rFonts w:hint="eastAsia" w:ascii="宋体" w:hAnsi="宋体" w:eastAsia="宋体" w:cs="宋体"/>
                <w:szCs w:val="21"/>
                <w:highlight w:val="none"/>
              </w:rPr>
              <w:t>⑥</w:t>
            </w:r>
            <w:r>
              <w:rPr>
                <w:rFonts w:hint="eastAsia" w:ascii="宋体" w:hAnsi="宋体" w:cs="宋体"/>
                <w:szCs w:val="21"/>
                <w:highlight w:val="none"/>
              </w:rPr>
              <w:t>配套传感器：≥2个；</w:t>
            </w:r>
            <w:r>
              <w:rPr>
                <w:rFonts w:hint="eastAsia" w:ascii="宋体" w:hAnsi="宋体" w:eastAsia="宋体" w:cs="宋体"/>
                <w:szCs w:val="21"/>
                <w:highlight w:val="none"/>
              </w:rPr>
              <w:t>⑦</w:t>
            </w:r>
            <w:r>
              <w:rPr>
                <w:rFonts w:hint="eastAsia" w:ascii="宋体" w:hAnsi="宋体" w:cs="宋体"/>
                <w:szCs w:val="21"/>
                <w:highlight w:val="none"/>
              </w:rPr>
              <w:t>配套限位开关：≥2个。</w:t>
            </w:r>
          </w:p>
          <w:p w14:paraId="430F0A21">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8</w:t>
            </w:r>
            <w:r>
              <w:rPr>
                <w:rFonts w:hint="eastAsia" w:ascii="宋体" w:hAnsi="宋体" w:cs="宋体"/>
                <w:szCs w:val="21"/>
                <w:highlight w:val="none"/>
              </w:rPr>
              <w:t>)堆垛机行走：</w:t>
            </w:r>
            <w:r>
              <w:rPr>
                <w:rFonts w:hint="eastAsia" w:ascii="宋体" w:hAnsi="宋体" w:eastAsia="宋体" w:cs="宋体"/>
                <w:szCs w:val="21"/>
                <w:highlight w:val="none"/>
              </w:rPr>
              <w:t>①</w:t>
            </w:r>
            <w:r>
              <w:rPr>
                <w:rFonts w:hint="eastAsia" w:ascii="宋体" w:hAnsi="宋体" w:cs="宋体"/>
                <w:szCs w:val="21"/>
                <w:highlight w:val="none"/>
              </w:rPr>
              <w:t>有效行程：≥1800mm；</w:t>
            </w:r>
            <w:r>
              <w:rPr>
                <w:rFonts w:hint="eastAsia" w:ascii="宋体" w:hAnsi="宋体" w:eastAsia="宋体" w:cs="宋体"/>
                <w:szCs w:val="21"/>
                <w:highlight w:val="none"/>
              </w:rPr>
              <w:t>②</w:t>
            </w:r>
            <w:r>
              <w:rPr>
                <w:rFonts w:hint="eastAsia" w:ascii="宋体" w:hAnsi="宋体" w:cs="宋体"/>
                <w:szCs w:val="21"/>
                <w:highlight w:val="none"/>
              </w:rPr>
              <w:t>伺服电机</w:t>
            </w:r>
            <w:r>
              <w:rPr>
                <w:rFonts w:hint="eastAsia" w:ascii="宋体" w:hAnsi="宋体" w:cs="宋体"/>
                <w:szCs w:val="21"/>
                <w:highlight w:val="none"/>
                <w:lang w:eastAsia="zh-CN"/>
              </w:rPr>
              <w:t>；</w:t>
            </w:r>
            <w:r>
              <w:rPr>
                <w:rFonts w:hint="eastAsia" w:ascii="宋体" w:hAnsi="宋体" w:eastAsia="宋体" w:cs="宋体"/>
                <w:szCs w:val="21"/>
                <w:highlight w:val="none"/>
              </w:rPr>
              <w:t>③</w:t>
            </w:r>
            <w:r>
              <w:rPr>
                <w:rFonts w:hint="eastAsia" w:ascii="宋体" w:hAnsi="宋体" w:cs="宋体"/>
                <w:szCs w:val="21"/>
                <w:highlight w:val="none"/>
              </w:rPr>
              <w:t>编码器：绝对值编码器；</w:t>
            </w:r>
            <w:r>
              <w:rPr>
                <w:rFonts w:hint="eastAsia" w:ascii="宋体" w:hAnsi="宋体" w:eastAsia="宋体" w:cs="宋体"/>
                <w:szCs w:val="21"/>
                <w:highlight w:val="none"/>
              </w:rPr>
              <w:t>④</w:t>
            </w:r>
            <w:r>
              <w:rPr>
                <w:rFonts w:hint="eastAsia" w:ascii="宋体" w:hAnsi="宋体" w:cs="宋体"/>
                <w:szCs w:val="21"/>
                <w:highlight w:val="none"/>
              </w:rPr>
              <w:t>定位方式：绝对值模式；</w:t>
            </w:r>
            <w:r>
              <w:rPr>
                <w:rFonts w:hint="eastAsia" w:ascii="宋体" w:hAnsi="宋体" w:eastAsia="宋体" w:cs="宋体"/>
                <w:szCs w:val="21"/>
                <w:highlight w:val="none"/>
              </w:rPr>
              <w:t>⑤</w:t>
            </w:r>
            <w:r>
              <w:rPr>
                <w:rFonts w:hint="eastAsia" w:ascii="宋体" w:hAnsi="宋体" w:cs="宋体"/>
                <w:szCs w:val="21"/>
                <w:highlight w:val="none"/>
              </w:rPr>
              <w:t>配套传感器：≥2个。</w:t>
            </w:r>
          </w:p>
          <w:p w14:paraId="49DB6D88">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9</w:t>
            </w:r>
            <w:r>
              <w:rPr>
                <w:rFonts w:hint="eastAsia" w:ascii="宋体" w:hAnsi="宋体" w:cs="宋体"/>
                <w:szCs w:val="21"/>
                <w:highlight w:val="none"/>
              </w:rPr>
              <w:t>)堆垛机货叉：</w:t>
            </w:r>
            <w:r>
              <w:rPr>
                <w:rFonts w:hint="eastAsia" w:ascii="宋体" w:hAnsi="宋体" w:eastAsia="宋体" w:cs="宋体"/>
                <w:szCs w:val="21"/>
                <w:highlight w:val="none"/>
              </w:rPr>
              <w:t>①</w:t>
            </w:r>
            <w:r>
              <w:rPr>
                <w:rFonts w:hint="eastAsia" w:ascii="宋体" w:hAnsi="宋体" w:cs="宋体"/>
                <w:szCs w:val="21"/>
                <w:highlight w:val="none"/>
              </w:rPr>
              <w:t>有效行程：≥1400mm；</w:t>
            </w:r>
            <w:r>
              <w:rPr>
                <w:rFonts w:hint="eastAsia" w:ascii="宋体" w:hAnsi="宋体" w:eastAsia="宋体" w:cs="宋体"/>
                <w:szCs w:val="21"/>
                <w:highlight w:val="none"/>
              </w:rPr>
              <w:t>②</w:t>
            </w:r>
            <w:r>
              <w:rPr>
                <w:rFonts w:hint="eastAsia" w:ascii="宋体" w:hAnsi="宋体" w:cs="宋体"/>
                <w:szCs w:val="21"/>
                <w:highlight w:val="none"/>
              </w:rPr>
              <w:t>伺服电机</w:t>
            </w:r>
            <w:r>
              <w:rPr>
                <w:rFonts w:hint="eastAsia" w:ascii="宋体" w:hAnsi="宋体" w:cs="宋体"/>
                <w:szCs w:val="21"/>
                <w:highlight w:val="none"/>
                <w:lang w:eastAsia="zh-CN"/>
              </w:rPr>
              <w:t>；</w:t>
            </w:r>
            <w:r>
              <w:rPr>
                <w:rFonts w:hint="eastAsia" w:ascii="宋体" w:hAnsi="宋体" w:eastAsia="宋体" w:cs="宋体"/>
                <w:szCs w:val="21"/>
                <w:highlight w:val="none"/>
              </w:rPr>
              <w:t>③</w:t>
            </w:r>
            <w:r>
              <w:rPr>
                <w:rFonts w:hint="eastAsia" w:ascii="宋体" w:hAnsi="宋体" w:cs="宋体"/>
                <w:szCs w:val="21"/>
                <w:highlight w:val="none"/>
              </w:rPr>
              <w:t>编码器：绝对值编码器；</w:t>
            </w:r>
            <w:r>
              <w:rPr>
                <w:rFonts w:hint="eastAsia" w:ascii="宋体" w:hAnsi="宋体" w:eastAsia="宋体" w:cs="宋体"/>
                <w:szCs w:val="21"/>
                <w:highlight w:val="none"/>
              </w:rPr>
              <w:t>④</w:t>
            </w:r>
            <w:r>
              <w:rPr>
                <w:rFonts w:hint="eastAsia" w:ascii="宋体" w:hAnsi="宋体" w:cs="宋体"/>
                <w:szCs w:val="21"/>
                <w:highlight w:val="none"/>
              </w:rPr>
              <w:t>定位方式：闭环绝对值模式；</w:t>
            </w:r>
            <w:r>
              <w:rPr>
                <w:rFonts w:hint="eastAsia" w:ascii="宋体" w:hAnsi="宋体" w:eastAsia="宋体" w:cs="宋体"/>
                <w:szCs w:val="21"/>
                <w:highlight w:val="none"/>
              </w:rPr>
              <w:t>⑤</w:t>
            </w:r>
            <w:r>
              <w:rPr>
                <w:rFonts w:hint="eastAsia" w:ascii="宋体" w:hAnsi="宋体" w:cs="宋体"/>
                <w:szCs w:val="21"/>
                <w:highlight w:val="none"/>
              </w:rPr>
              <w:t>配套传感器：≥3个。</w:t>
            </w:r>
          </w:p>
          <w:p w14:paraId="35E06E07">
            <w:pPr>
              <w:pStyle w:val="213"/>
              <w:keepNext w:val="0"/>
              <w:keepLines w:val="0"/>
              <w:suppressLineNumbers w:val="0"/>
              <w:spacing w:before="0" w:beforeAutospacing="0" w:after="0" w:afterAutospacing="0"/>
              <w:ind w:left="0" w:right="0"/>
              <w:rPr>
                <w:rFonts w:hint="eastAsia" w:ascii="宋体" w:hAnsi="宋体" w:cs="宋体"/>
                <w:color w:val="auto"/>
                <w:highlight w:val="none"/>
              </w:rPr>
            </w:pPr>
            <w:r>
              <w:rPr>
                <w:rFonts w:hint="eastAsia" w:ascii="宋体" w:hAnsi="宋体" w:cs="宋体"/>
                <w:color w:val="auto"/>
                <w:highlight w:val="none"/>
              </w:rPr>
              <w:t>3.智能手持终端，</w:t>
            </w:r>
            <w:r>
              <w:rPr>
                <w:rFonts w:hint="eastAsia" w:ascii="宋体" w:hAnsi="宋体" w:cs="宋体"/>
                <w:color w:val="auto"/>
                <w:highlight w:val="none"/>
                <w:lang w:val="en-US" w:eastAsia="zh-CN"/>
              </w:rPr>
              <w:t>4</w:t>
            </w:r>
            <w:r>
              <w:rPr>
                <w:rFonts w:hint="eastAsia" w:ascii="宋体" w:hAnsi="宋体" w:cs="宋体"/>
                <w:color w:val="auto"/>
                <w:highlight w:val="none"/>
              </w:rPr>
              <w:t>套</w:t>
            </w:r>
          </w:p>
          <w:p w14:paraId="19B75BF8">
            <w:pPr>
              <w:pStyle w:val="14"/>
              <w:keepNext w:val="0"/>
              <w:keepLines w:val="0"/>
              <w:suppressLineNumbers w:val="0"/>
              <w:spacing w:before="0" w:beforeAutospacing="0" w:after="0" w:afterAutospacing="0"/>
              <w:ind w:left="0" w:right="0" w:firstLine="42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eastAsia="宋体" w:cs="宋体"/>
                <w:color w:val="auto"/>
                <w:sz w:val="21"/>
                <w:szCs w:val="21"/>
                <w:highlight w:val="none"/>
                <w:lang w:val="en-US" w:eastAsia="zh-CN" w:bidi="ar-SA"/>
              </w:rPr>
              <w:t>1)</w:t>
            </w:r>
            <w:r>
              <w:rPr>
                <w:rFonts w:hint="eastAsia" w:ascii="宋体" w:hAnsi="宋体" w:cs="宋体" w:eastAsiaTheme="minorEastAsia"/>
                <w:color w:val="auto"/>
                <w:sz w:val="21"/>
                <w:szCs w:val="21"/>
                <w:highlight w:val="none"/>
                <w:lang w:val="en-US" w:eastAsia="zh-CN" w:bidi="ar-SA"/>
              </w:rPr>
              <w:t>CPU：须采用八核架构，最高运行主频不低于1.8GHz。</w:t>
            </w:r>
          </w:p>
          <w:p w14:paraId="2FD9D47D">
            <w:pPr>
              <w:pStyle w:val="213"/>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(2)操作：需搭载移动操作系统；</w:t>
            </w:r>
          </w:p>
          <w:p w14:paraId="149B5442">
            <w:pPr>
              <w:pStyle w:val="213"/>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color w:val="auto"/>
                <w:szCs w:val="21"/>
                <w:highlight w:val="none"/>
              </w:rPr>
              <w:t>(3)RAM:≥4GB；</w:t>
            </w:r>
          </w:p>
          <w:p w14:paraId="48D68B13">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(4)ROM:≥64GB；</w:t>
            </w:r>
          </w:p>
          <w:p w14:paraId="3E5A669A">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(5)MicroSDCard，最大兼容32G，支持USB2.0，HighSpeed，支持OTG；</w:t>
            </w:r>
          </w:p>
          <w:p w14:paraId="1E400886">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(6)键盘：31键；</w:t>
            </w:r>
          </w:p>
          <w:p w14:paraId="577ED6EF">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(7)显示屏幕：需包含4英寸触摸屏，支持戴手套/带水触摸；</w:t>
            </w:r>
          </w:p>
          <w:p w14:paraId="06F06C87">
            <w:pPr>
              <w:pStyle w:val="213"/>
              <w:keepNext w:val="0"/>
              <w:keepLines w:val="0"/>
              <w:suppressLineNumbers w:val="0"/>
              <w:spacing w:before="0" w:beforeAutospacing="0" w:after="0" w:afterAutospacing="0"/>
              <w:ind w:left="0" w:right="0"/>
              <w:rPr>
                <w:rFonts w:hint="eastAsia" w:ascii="宋体" w:hAnsi="宋体" w:eastAsia="宋体" w:cs="宋体"/>
                <w:szCs w:val="21"/>
                <w:highlight w:val="none"/>
                <w:lang w:eastAsia="zh-CN"/>
              </w:rPr>
            </w:pPr>
            <w:r>
              <w:rPr>
                <w:rFonts w:hint="eastAsia" w:ascii="宋体" w:hAnsi="宋体" w:cs="宋体"/>
                <w:szCs w:val="21"/>
                <w:highlight w:val="none"/>
              </w:rPr>
              <w:t>(8)电池：≥</w:t>
            </w:r>
            <w:r>
              <w:rPr>
                <w:rFonts w:hint="eastAsia" w:ascii="宋体" w:hAnsi="宋体" w:cs="宋体"/>
                <w:szCs w:val="21"/>
                <w:highlight w:val="none"/>
                <w:lang w:val="en-US" w:eastAsia="zh-CN"/>
              </w:rPr>
              <w:t>6000</w:t>
            </w:r>
            <w:r>
              <w:rPr>
                <w:rFonts w:hint="eastAsia" w:ascii="宋体" w:hAnsi="宋体" w:cs="宋体"/>
                <w:szCs w:val="21"/>
                <w:highlight w:val="none"/>
              </w:rPr>
              <w:t>毫安，可拆卸充电电池</w:t>
            </w:r>
            <w:r>
              <w:rPr>
                <w:rFonts w:hint="eastAsia" w:ascii="宋体" w:hAnsi="宋体" w:cs="宋体"/>
                <w:szCs w:val="21"/>
                <w:highlight w:val="none"/>
                <w:lang w:eastAsia="zh-CN"/>
              </w:rPr>
              <w:t>；</w:t>
            </w:r>
          </w:p>
          <w:p w14:paraId="31904797">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(9)条形码识别：一维码、二维码；</w:t>
            </w:r>
          </w:p>
          <w:p w14:paraId="214BCAB9">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(10)通讯协议：IEEE802.11a/b/g/n/ac（2.4G/5G双频Wi-Fi）；</w:t>
            </w:r>
          </w:p>
          <w:p w14:paraId="308A4F73">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(11)含充电底座一套。</w:t>
            </w:r>
          </w:p>
        </w:tc>
        <w:tc>
          <w:tcPr>
            <w:tcW w:w="1067" w:type="dxa"/>
            <w:tcBorders>
              <w:top w:val="single" w:color="auto" w:sz="4" w:space="0"/>
              <w:left w:val="single" w:color="auto" w:sz="4" w:space="0"/>
              <w:bottom w:val="single" w:color="auto" w:sz="4" w:space="0"/>
              <w:right w:val="single" w:color="auto" w:sz="4" w:space="0"/>
            </w:tcBorders>
            <w:noWrap w:val="0"/>
            <w:vAlign w:val="center"/>
          </w:tcPr>
          <w:p w14:paraId="02AF36EB">
            <w:pPr>
              <w:keepNext w:val="0"/>
              <w:keepLines w:val="0"/>
              <w:suppressLineNumbers w:val="0"/>
              <w:spacing w:before="0" w:beforeAutospacing="0" w:after="0" w:afterAutospacing="0" w:line="240" w:lineRule="exact"/>
              <w:ind w:left="0" w:right="0"/>
              <w:jc w:val="center"/>
              <w:rPr>
                <w:rFonts w:hint="eastAsia" w:ascii="宋体" w:hAnsi="宋体" w:cs="宋体"/>
                <w:szCs w:val="18"/>
                <w:highlight w:val="none"/>
              </w:rPr>
            </w:pPr>
            <w:r>
              <w:rPr>
                <w:rFonts w:hint="eastAsia" w:ascii="宋体" w:hAnsi="宋体" w:cs="宋体"/>
                <w:szCs w:val="18"/>
                <w:highlight w:val="none"/>
              </w:rPr>
              <w:t>套</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7A0B08AA">
            <w:pPr>
              <w:pStyle w:val="26"/>
              <w:keepNext w:val="0"/>
              <w:keepLines w:val="0"/>
              <w:suppressLineNumbers w:val="0"/>
              <w:spacing w:before="0" w:beforeAutospacing="0" w:afterAutospacing="0"/>
              <w:ind w:left="0" w:right="0"/>
              <w:jc w:val="center"/>
              <w:rPr>
                <w:rFonts w:hint="eastAsia" w:ascii="宋体" w:hAnsi="宋体" w:cs="宋体"/>
                <w:szCs w:val="18"/>
                <w:highlight w:val="none"/>
              </w:rPr>
            </w:pPr>
            <w:r>
              <w:rPr>
                <w:rFonts w:hint="eastAsia" w:ascii="宋体" w:hAnsi="宋体" w:cs="宋体"/>
                <w:szCs w:val="18"/>
                <w:highlight w:val="none"/>
              </w:rPr>
              <w:t>1</w:t>
            </w:r>
          </w:p>
        </w:tc>
      </w:tr>
      <w:tr w14:paraId="5660E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5" w:type="dxa"/>
            <w:tcBorders>
              <w:top w:val="single" w:color="auto" w:sz="4" w:space="0"/>
              <w:left w:val="single" w:color="auto" w:sz="4" w:space="0"/>
              <w:bottom w:val="single" w:color="auto" w:sz="4" w:space="0"/>
              <w:right w:val="single" w:color="auto" w:sz="4" w:space="0"/>
            </w:tcBorders>
            <w:noWrap/>
            <w:vAlign w:val="center"/>
          </w:tcPr>
          <w:p w14:paraId="587B2876">
            <w:pPr>
              <w:keepNext w:val="0"/>
              <w:keepLines w:val="0"/>
              <w:suppressLineNumbers w:val="0"/>
              <w:spacing w:before="0" w:beforeAutospacing="0" w:after="0" w:afterAutospacing="0" w:line="240" w:lineRule="exact"/>
              <w:ind w:left="0" w:right="0"/>
              <w:jc w:val="center"/>
              <w:rPr>
                <w:rFonts w:hint="eastAsia" w:ascii="宋体" w:hAnsi="宋体" w:cs="宋体"/>
                <w:color w:val="000000"/>
                <w:szCs w:val="18"/>
                <w:highlight w:val="none"/>
              </w:rPr>
            </w:pPr>
            <w:r>
              <w:rPr>
                <w:rFonts w:hint="eastAsia" w:ascii="宋体" w:hAnsi="宋体" w:cs="宋体"/>
                <w:color w:val="000000"/>
                <w:szCs w:val="18"/>
                <w:highlight w:val="none"/>
              </w:rPr>
              <w:t>5</w:t>
            </w:r>
          </w:p>
        </w:tc>
        <w:tc>
          <w:tcPr>
            <w:tcW w:w="761" w:type="dxa"/>
            <w:tcBorders>
              <w:top w:val="single" w:color="auto" w:sz="4" w:space="0"/>
              <w:left w:val="single" w:color="auto" w:sz="4" w:space="0"/>
              <w:bottom w:val="single" w:color="auto" w:sz="4" w:space="0"/>
              <w:right w:val="single" w:color="auto" w:sz="4" w:space="0"/>
            </w:tcBorders>
            <w:noWrap w:val="0"/>
            <w:vAlign w:val="center"/>
          </w:tcPr>
          <w:p w14:paraId="38D4F8AB">
            <w:pPr>
              <w:keepNext w:val="0"/>
              <w:keepLines w:val="0"/>
              <w:suppressLineNumbers w:val="0"/>
              <w:spacing w:before="0" w:beforeAutospacing="0" w:after="0" w:afterAutospacing="0"/>
              <w:ind w:left="0" w:right="0"/>
              <w:jc w:val="center"/>
              <w:rPr>
                <w:rFonts w:hint="eastAsia" w:ascii="宋体" w:hAnsi="宋体" w:cs="宋体"/>
                <w:color w:val="000000"/>
                <w:szCs w:val="18"/>
                <w:highlight w:val="none"/>
              </w:rPr>
            </w:pPr>
            <w:r>
              <w:rPr>
                <w:rFonts w:hint="eastAsia" w:ascii="宋体" w:hAnsi="宋体" w:cs="宋体"/>
                <w:color w:val="000000"/>
                <w:szCs w:val="18"/>
                <w:highlight w:val="none"/>
              </w:rPr>
              <w:t>智能仓储分拣实训设备</w:t>
            </w:r>
          </w:p>
        </w:tc>
        <w:tc>
          <w:tcPr>
            <w:tcW w:w="5416" w:type="dxa"/>
            <w:tcBorders>
              <w:top w:val="single" w:color="auto" w:sz="4" w:space="0"/>
              <w:left w:val="single" w:color="auto" w:sz="4" w:space="0"/>
              <w:bottom w:val="single" w:color="auto" w:sz="4" w:space="0"/>
              <w:right w:val="single" w:color="auto" w:sz="4" w:space="0"/>
            </w:tcBorders>
            <w:noWrap w:val="0"/>
          </w:tcPr>
          <w:p w14:paraId="66778A8A">
            <w:pPr>
              <w:pStyle w:val="213"/>
              <w:keepNext w:val="0"/>
              <w:keepLines w:val="0"/>
              <w:suppressLineNumbers w:val="0"/>
              <w:spacing w:before="0" w:beforeAutospacing="0" w:after="0" w:afterAutospacing="0"/>
              <w:ind w:left="0" w:right="0"/>
              <w:rPr>
                <w:rFonts w:hint="eastAsia" w:ascii="宋体" w:hAnsi="宋体" w:cs="宋体"/>
                <w:color w:val="000000"/>
                <w:highlight w:val="none"/>
              </w:rPr>
            </w:pPr>
            <w:r>
              <w:rPr>
                <w:rFonts w:hint="eastAsia" w:ascii="宋体" w:hAnsi="宋体" w:cs="宋体"/>
                <w:szCs w:val="21"/>
                <w:highlight w:val="none"/>
              </w:rPr>
              <w:t>一、项目概述</w:t>
            </w:r>
          </w:p>
          <w:p w14:paraId="4C4252ED">
            <w:pPr>
              <w:keepNext w:val="0"/>
              <w:keepLines w:val="0"/>
              <w:suppressLineNumbers w:val="0"/>
              <w:spacing w:before="0" w:beforeAutospacing="0" w:after="0" w:afterAutospacing="0"/>
              <w:ind w:left="0" w:right="0" w:firstLine="420"/>
              <w:jc w:val="left"/>
              <w:rPr>
                <w:rFonts w:hint="eastAsia" w:ascii="宋体" w:hAnsi="宋体" w:cs="宋体"/>
                <w:szCs w:val="21"/>
                <w:highlight w:val="none"/>
              </w:rPr>
            </w:pPr>
            <w:r>
              <w:rPr>
                <w:rFonts w:hint="eastAsia" w:ascii="宋体" w:hAnsi="宋体" w:cs="宋体"/>
                <w:szCs w:val="21"/>
                <w:highlight w:val="none"/>
              </w:rPr>
              <w:t>智能仓储分拣实训设备模拟真实生产物流场景，培养学生智能仓储管理与优化能力，强化学生分拣操作、包装规范及物流信息处理等核心技能。采用任务驱动与岗位模拟教学模式，全面提升学生在智慧物流领域的实践能力与职业素养。</w:t>
            </w:r>
          </w:p>
          <w:p w14:paraId="25EC1F73">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二、功能及清单</w:t>
            </w:r>
          </w:p>
          <w:p w14:paraId="5434F439">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智能仓储分拣实训设备包含存储货架4组、打包机2套、打包台2套、仓储作业运行可视化装置2套、玻璃隔断1套，一米栏隔断（定制）若干，投影拣选设备1套。</w:t>
            </w:r>
          </w:p>
          <w:p w14:paraId="68253AF5">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存储货架功能：在智能仓储分拣实训设备中，存储货架是构建仓储空间结构、实现货物有序存放与高效管理的核心载体。其作用不仅限于物理存储，更通过与自动化设备、信息系统的协同，实现“空间利用最大化、存取效率最优化、管理流程数字化”的实训目标。</w:t>
            </w:r>
          </w:p>
          <w:p w14:paraId="13E4AB57">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打包机功能：通过操作打包机，掌握“设备参数设置、耗材管理、异常处理、数据对接”等全流程技能，理解分拣环节在智能仓储中“承上启下”的作用——既承接分拣完成的货物，又为物流运输提供标准化单元。</w:t>
            </w:r>
          </w:p>
          <w:p w14:paraId="2D385446">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打包台功能：在智能仓储分拣实训设备中，打包台是连接分拣作业与包装环节的关键操作台，其作用既包含对货物的物理封装处理，也涉及异常处理等流程衔接。打包台是打包机的载体，更侧重人工操作实训、柔性包装处理及多场景流程模拟。</w:t>
            </w:r>
          </w:p>
          <w:p w14:paraId="5E3A34D9">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仓储作业运行可视化装置功能：在智能仓储分拣实训设备中，仓储作业运行过程监控装置是实现“可视化管理、流程优化”的核心组件，其作用贯穿仓储作业全流程（从入库、存储到分拣、出库）。该装置通过感知分析+人机交互的协同机制，既模拟真实仓储的监控逻辑，也为教学实训提供“数据追踪、流程模拟、绩效评估”的立体化教学场景。</w:t>
            </w:r>
          </w:p>
          <w:p w14:paraId="4537EFD3">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玻璃隔断功能：对现代物流系统操作区域进行隔离，防止学员误触设备，符合实训安全规范。在实训和教学时互不干扰，玻璃隔断在智能仓储分拣实训设备中并非单纯的装饰，而是集区域分隔、安全防护、可视化教学、场景还原于一体的重要组件，既能保障实训安全有序进行，又能通过模拟真实仓储环境，帮助学员深入理解仓储布局逻辑与流程管理，提升实践操作能力。</w:t>
            </w:r>
          </w:p>
          <w:p w14:paraId="4C0CF6CF">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投影拣选设备功能：PPS系统在实训室可实现：基于投影的智能拣选投放指引；融合语音、动作识别、图像识别、AR等新技术；支持摘取式拣选（订单管理、投影控制）和分播作业（波次、集单处理）的完整流程实训；并提供系统设置、用户管理及实验数据管理功能，是进行现代智慧物流拣选流程与新技术应用的理想教学平台。</w:t>
            </w:r>
          </w:p>
          <w:p w14:paraId="31423BD0">
            <w:pPr>
              <w:pStyle w:val="213"/>
              <w:keepNext w:val="0"/>
              <w:keepLines w:val="0"/>
              <w:suppressLineNumbers w:val="0"/>
              <w:spacing w:before="0" w:beforeAutospacing="0" w:after="0" w:afterAutospacing="0"/>
              <w:ind w:left="0" w:right="0"/>
              <w:jc w:val="left"/>
              <w:rPr>
                <w:rFonts w:hint="eastAsia" w:ascii="宋体" w:hAnsi="宋体" w:cs="宋体"/>
                <w:szCs w:val="21"/>
                <w:highlight w:val="none"/>
              </w:rPr>
            </w:pPr>
            <w:r>
              <w:rPr>
                <w:rFonts w:hint="eastAsia" w:ascii="宋体" w:hAnsi="宋体" w:cs="宋体"/>
                <w:szCs w:val="21"/>
                <w:highlight w:val="none"/>
              </w:rPr>
              <w:t>三、设备详细参数</w:t>
            </w:r>
          </w:p>
          <w:p w14:paraId="7A84C5E0">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1.存储货架，4组</w:t>
            </w:r>
          </w:p>
          <w:p w14:paraId="50B4015F">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(1)货架尺寸：长920mm</w:t>
            </w:r>
            <w:r>
              <w:rPr>
                <w:rFonts w:hint="eastAsia" w:ascii="宋体" w:hAnsi="宋体" w:cs="宋体"/>
                <w:szCs w:val="21"/>
                <w:highlight w:val="none"/>
              </w:rPr>
              <w:t>±</w:t>
            </w:r>
            <w:r>
              <w:rPr>
                <w:rFonts w:hint="eastAsia" w:ascii="宋体" w:hAnsi="宋体" w:cs="宋体"/>
                <w:szCs w:val="21"/>
                <w:highlight w:val="none"/>
                <w:lang w:val="en-US" w:eastAsia="zh-CN"/>
              </w:rPr>
              <w:t>2</w:t>
            </w:r>
            <w:r>
              <w:rPr>
                <w:rFonts w:hint="eastAsia" w:ascii="宋体" w:hAnsi="宋体" w:cs="宋体"/>
                <w:szCs w:val="21"/>
                <w:highlight w:val="none"/>
              </w:rPr>
              <w:t>0mm</w:t>
            </w:r>
            <w:r>
              <w:rPr>
                <w:rFonts w:hint="eastAsia" w:ascii="宋体" w:hAnsi="宋体" w:cs="宋体"/>
                <w:highlight w:val="none"/>
              </w:rPr>
              <w:t>，宽920mm</w:t>
            </w:r>
            <w:r>
              <w:rPr>
                <w:rFonts w:hint="eastAsia" w:ascii="宋体" w:hAnsi="宋体" w:cs="宋体"/>
                <w:szCs w:val="21"/>
                <w:highlight w:val="none"/>
              </w:rPr>
              <w:t>±</w:t>
            </w:r>
            <w:r>
              <w:rPr>
                <w:rFonts w:hint="eastAsia" w:ascii="宋体" w:hAnsi="宋体" w:cs="宋体"/>
                <w:szCs w:val="21"/>
                <w:highlight w:val="none"/>
                <w:lang w:val="en-US" w:eastAsia="zh-CN"/>
              </w:rPr>
              <w:t>2</w:t>
            </w:r>
            <w:r>
              <w:rPr>
                <w:rFonts w:hint="eastAsia" w:ascii="宋体" w:hAnsi="宋体" w:cs="宋体"/>
                <w:szCs w:val="21"/>
                <w:highlight w:val="none"/>
              </w:rPr>
              <w:t>0mm</w:t>
            </w:r>
            <w:r>
              <w:rPr>
                <w:rFonts w:hint="eastAsia" w:ascii="宋体" w:hAnsi="宋体" w:cs="宋体"/>
                <w:highlight w:val="none"/>
              </w:rPr>
              <w:t>，高1800mm</w:t>
            </w:r>
            <w:r>
              <w:rPr>
                <w:rFonts w:hint="eastAsia" w:ascii="宋体" w:hAnsi="宋体" w:cs="宋体"/>
                <w:szCs w:val="21"/>
                <w:highlight w:val="none"/>
              </w:rPr>
              <w:t>±</w:t>
            </w:r>
            <w:r>
              <w:rPr>
                <w:rFonts w:hint="eastAsia" w:ascii="宋体" w:hAnsi="宋体" w:cs="宋体"/>
                <w:szCs w:val="21"/>
                <w:highlight w:val="none"/>
                <w:lang w:val="en-US" w:eastAsia="zh-CN"/>
              </w:rPr>
              <w:t>2</w:t>
            </w:r>
            <w:r>
              <w:rPr>
                <w:rFonts w:hint="eastAsia" w:ascii="宋体" w:hAnsi="宋体" w:cs="宋体"/>
                <w:szCs w:val="21"/>
                <w:highlight w:val="none"/>
              </w:rPr>
              <w:t>0mm</w:t>
            </w:r>
            <w:r>
              <w:rPr>
                <w:rFonts w:hint="eastAsia" w:ascii="宋体" w:hAnsi="宋体" w:cs="宋体"/>
                <w:highlight w:val="none"/>
              </w:rPr>
              <w:t>；</w:t>
            </w:r>
          </w:p>
          <w:p w14:paraId="0159538A">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(2)货架类型：≥4层（双面拣选）；</w:t>
            </w:r>
          </w:p>
          <w:p w14:paraId="5CE0EBFA">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(3)钢管规格：≥40*40*1mm；</w:t>
            </w:r>
          </w:p>
          <w:p w14:paraId="5F8C7A36">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(4)货架及托具的角钢厚度：≥1.5mm；</w:t>
            </w:r>
          </w:p>
          <w:p w14:paraId="734D71D3">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szCs w:val="21"/>
                <w:highlight w:val="none"/>
              </w:rPr>
              <w:t>2.</w:t>
            </w:r>
            <w:r>
              <w:rPr>
                <w:rFonts w:hint="eastAsia" w:ascii="宋体" w:hAnsi="宋体" w:cs="宋体"/>
                <w:highlight w:val="none"/>
              </w:rPr>
              <w:t>打包机，2套</w:t>
            </w:r>
          </w:p>
          <w:p w14:paraId="715F296B">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(1)捆紧力:5-80KG；</w:t>
            </w:r>
          </w:p>
          <w:p w14:paraId="0C46D9AE">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(2)控制器:PCB；</w:t>
            </w:r>
          </w:p>
          <w:p w14:paraId="311A5A4B">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(3)打包带宽度:10～15mm；</w:t>
            </w:r>
          </w:p>
          <w:p w14:paraId="19DDC2EA">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(4)捆包速度:2秒/次；</w:t>
            </w:r>
          </w:p>
          <w:p w14:paraId="2169A799">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(5)台面高度:815mm</w:t>
            </w:r>
            <w:r>
              <w:rPr>
                <w:rFonts w:hint="eastAsia" w:ascii="宋体" w:hAnsi="宋体" w:cs="宋体"/>
                <w:szCs w:val="21"/>
                <w:highlight w:val="none"/>
              </w:rPr>
              <w:t>±</w:t>
            </w:r>
            <w:r>
              <w:rPr>
                <w:rFonts w:hint="eastAsia" w:ascii="宋体" w:hAnsi="宋体" w:cs="宋体"/>
                <w:szCs w:val="21"/>
                <w:highlight w:val="none"/>
                <w:lang w:val="en-US" w:eastAsia="zh-CN"/>
              </w:rPr>
              <w:t>2</w:t>
            </w:r>
            <w:r>
              <w:rPr>
                <w:rFonts w:hint="eastAsia" w:ascii="宋体" w:hAnsi="宋体" w:cs="宋体"/>
                <w:szCs w:val="21"/>
                <w:highlight w:val="none"/>
              </w:rPr>
              <w:t>0mm</w:t>
            </w:r>
            <w:r>
              <w:rPr>
                <w:rFonts w:hint="eastAsia" w:ascii="宋体" w:hAnsi="宋体" w:cs="宋体"/>
                <w:highlight w:val="none"/>
              </w:rPr>
              <w:t>；</w:t>
            </w:r>
          </w:p>
          <w:p w14:paraId="40B537C5">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(6)标准弓架:W850×H600mm。</w:t>
            </w:r>
          </w:p>
          <w:p w14:paraId="38764341">
            <w:pPr>
              <w:pStyle w:val="213"/>
              <w:keepNext w:val="0"/>
              <w:keepLines w:val="0"/>
              <w:suppressLineNumbers w:val="0"/>
              <w:spacing w:before="0" w:beforeAutospacing="0" w:after="0" w:afterAutospacing="0"/>
              <w:ind w:left="0" w:right="0"/>
              <w:rPr>
                <w:rFonts w:hint="eastAsia" w:ascii="宋体" w:hAnsi="宋体" w:eastAsia="宋体" w:cs="宋体"/>
                <w:highlight w:val="none"/>
                <w:lang w:val="en-US" w:eastAsia="zh-CN"/>
              </w:rPr>
            </w:pPr>
            <w:r>
              <w:rPr>
                <w:rFonts w:hint="eastAsia" w:ascii="宋体" w:hAnsi="宋体" w:cs="宋体"/>
                <w:highlight w:val="none"/>
                <w:lang w:val="en-US" w:eastAsia="zh-CN"/>
              </w:rPr>
              <w:t>(7)</w:t>
            </w:r>
            <w:r>
              <w:rPr>
                <w:rFonts w:hint="eastAsia" w:ascii="宋体" w:hAnsi="宋体" w:cs="宋体"/>
                <w:highlight w:val="none"/>
              </w:rPr>
              <w:t>每台配备自动打包带</w:t>
            </w:r>
            <w:r>
              <w:rPr>
                <w:rFonts w:hint="eastAsia" w:ascii="宋体" w:hAnsi="宋体" w:cs="宋体"/>
                <w:highlight w:val="none"/>
                <w:lang w:val="en-US" w:eastAsia="zh-CN"/>
              </w:rPr>
              <w:t>2</w:t>
            </w:r>
            <w:r>
              <w:rPr>
                <w:rFonts w:hint="eastAsia" w:ascii="宋体" w:hAnsi="宋体" w:cs="宋体"/>
                <w:highlight w:val="none"/>
              </w:rPr>
              <w:t>卷</w:t>
            </w:r>
            <w:r>
              <w:rPr>
                <w:rFonts w:hint="eastAsia" w:ascii="宋体" w:hAnsi="宋体" w:cs="宋体"/>
                <w:highlight w:val="none"/>
                <w:lang w:eastAsia="zh-CN"/>
              </w:rPr>
              <w:t>。</w:t>
            </w:r>
          </w:p>
          <w:p w14:paraId="58D43C8E">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3.打包台，2套</w:t>
            </w:r>
          </w:p>
          <w:p w14:paraId="2AADCA23">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(1)骨架材质：</w:t>
            </w:r>
            <w:r>
              <w:rPr>
                <w:rFonts w:hint="eastAsia" w:ascii="宋体" w:hAnsi="宋体" w:cs="宋体"/>
                <w:szCs w:val="21"/>
                <w:highlight w:val="none"/>
                <w:lang w:eastAsia="zh-CN"/>
              </w:rPr>
              <w:t>不锈钢材质，厚度</w:t>
            </w:r>
            <w:r>
              <w:rPr>
                <w:rFonts w:hint="eastAsia" w:ascii="宋体" w:hAnsi="宋体" w:cs="宋体"/>
                <w:szCs w:val="21"/>
                <w:highlight w:val="none"/>
              </w:rPr>
              <w:t>≥</w:t>
            </w:r>
            <w:r>
              <w:rPr>
                <w:rFonts w:hint="eastAsia" w:ascii="宋体" w:hAnsi="宋体" w:cs="宋体"/>
                <w:szCs w:val="21"/>
                <w:highlight w:val="none"/>
                <w:lang w:val="en-US" w:eastAsia="zh-CN"/>
              </w:rPr>
              <w:t>1.8mm</w:t>
            </w:r>
            <w:r>
              <w:rPr>
                <w:rFonts w:hint="eastAsia" w:ascii="宋体" w:hAnsi="宋体" w:cs="宋体"/>
                <w:highlight w:val="none"/>
              </w:rPr>
              <w:t>；</w:t>
            </w:r>
          </w:p>
          <w:p w14:paraId="40D43D02">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(2)桌面材质：三聚氰胺板</w:t>
            </w:r>
            <w:r>
              <w:rPr>
                <w:rFonts w:hint="eastAsia" w:ascii="宋体" w:hAnsi="宋体" w:cs="宋体"/>
                <w:highlight w:val="none"/>
                <w:lang w:eastAsia="zh-CN"/>
              </w:rPr>
              <w:t>环保型</w:t>
            </w:r>
            <w:r>
              <w:rPr>
                <w:rFonts w:hint="eastAsia" w:ascii="宋体" w:hAnsi="宋体" w:cs="宋体"/>
                <w:highlight w:val="none"/>
              </w:rPr>
              <w:t>；</w:t>
            </w:r>
          </w:p>
          <w:p w14:paraId="28D12C3E">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(3)尺寸：</w:t>
            </w:r>
            <w:r>
              <w:rPr>
                <w:rFonts w:hint="eastAsia" w:ascii="宋体" w:hAnsi="宋体" w:cs="宋体"/>
                <w:szCs w:val="21"/>
                <w:highlight w:val="none"/>
              </w:rPr>
              <w:t>≥</w:t>
            </w:r>
            <w:r>
              <w:rPr>
                <w:rFonts w:hint="eastAsia" w:ascii="宋体" w:hAnsi="宋体" w:cs="宋体"/>
                <w:highlight w:val="none"/>
              </w:rPr>
              <w:t>800*600*750mm；</w:t>
            </w:r>
          </w:p>
          <w:p w14:paraId="28051DE4">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(4)承重：</w:t>
            </w:r>
            <w:r>
              <w:rPr>
                <w:rFonts w:hint="eastAsia" w:ascii="宋体" w:hAnsi="宋体" w:cs="宋体"/>
                <w:szCs w:val="21"/>
                <w:highlight w:val="none"/>
              </w:rPr>
              <w:t>≥</w:t>
            </w:r>
            <w:r>
              <w:rPr>
                <w:rFonts w:hint="eastAsia" w:ascii="宋体" w:hAnsi="宋体" w:cs="宋体"/>
                <w:highlight w:val="none"/>
              </w:rPr>
              <w:t>300KG。</w:t>
            </w:r>
          </w:p>
          <w:p w14:paraId="460F5F00">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4.仓储作业运行可视化装置，2套</w:t>
            </w:r>
          </w:p>
          <w:p w14:paraId="27653A73">
            <w:pPr>
              <w:pStyle w:val="213"/>
              <w:keepNext w:val="0"/>
              <w:keepLines w:val="0"/>
              <w:suppressLineNumbers w:val="0"/>
              <w:spacing w:before="0" w:beforeAutospacing="0" w:after="0" w:afterAutospacing="0"/>
              <w:ind w:left="0" w:right="0"/>
              <w:rPr>
                <w:rFonts w:hint="eastAsia" w:ascii="宋体" w:hAnsi="宋体" w:cs="宋体"/>
                <w:highlight w:val="none"/>
                <w:lang w:val="en-US" w:eastAsia="zh-CN"/>
              </w:rPr>
            </w:pPr>
            <w:r>
              <w:rPr>
                <w:rFonts w:hint="eastAsia" w:ascii="宋体" w:hAnsi="宋体" w:cs="宋体"/>
                <w:szCs w:val="21"/>
                <w:highlight w:val="none"/>
                <w:lang w:val="en-US" w:eastAsia="zh-CN"/>
              </w:rPr>
              <w:t>尺寸：≥65英寸；分辨率：3840 x 2160；显示比例：16</w:t>
            </w:r>
            <w:r>
              <w:rPr>
                <w:rFonts w:hint="eastAsia" w:ascii="宋体" w:hAnsi="宋体" w:cs="宋体"/>
                <w:highlight w:val="none"/>
                <w:lang w:val="en-US" w:eastAsia="zh-CN"/>
              </w:rPr>
              <w:t>:9；屏对比度：4000:1；可视视角：≥170°；触摸识别技术：红外。</w:t>
            </w:r>
          </w:p>
          <w:p w14:paraId="2F7E63AC">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lang w:val="en-US" w:eastAsia="zh-CN"/>
              </w:rPr>
              <w:t>5.</w:t>
            </w:r>
            <w:r>
              <w:rPr>
                <w:rFonts w:hint="eastAsia" w:ascii="宋体" w:hAnsi="宋体" w:cs="宋体"/>
                <w:highlight w:val="none"/>
              </w:rPr>
              <w:t>仓储作业运行数据可视化内容（1套）</w:t>
            </w:r>
          </w:p>
          <w:p w14:paraId="7B0129C7">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lang w:eastAsia="zh-CN"/>
              </w:rPr>
              <w:t>（</w:t>
            </w:r>
            <w:r>
              <w:rPr>
                <w:rFonts w:hint="eastAsia" w:ascii="宋体" w:hAnsi="宋体" w:cs="宋体"/>
                <w:highlight w:val="none"/>
                <w:lang w:val="en-US" w:eastAsia="zh-CN"/>
              </w:rPr>
              <w:t>1</w:t>
            </w:r>
            <w:r>
              <w:rPr>
                <w:rFonts w:hint="eastAsia" w:ascii="宋体" w:hAnsi="宋体" w:cs="宋体"/>
                <w:highlight w:val="none"/>
                <w:lang w:eastAsia="zh-CN"/>
              </w:rPr>
              <w:t>）</w:t>
            </w:r>
            <w:r>
              <w:rPr>
                <w:rFonts w:hint="eastAsia" w:ascii="宋体" w:hAnsi="宋体" w:cs="宋体"/>
                <w:highlight w:val="none"/>
              </w:rPr>
              <w:t>仓储作业管理</w:t>
            </w:r>
          </w:p>
          <w:p w14:paraId="3B0A08B8">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①出入库预报：支持入库订单的查询、增删改、发送审核及返回操作。</w:t>
            </w:r>
          </w:p>
          <w:p w14:paraId="180EF8A0">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②盘点作业：支持盘点数据下传、打印、反馈、上传及查看。</w:t>
            </w:r>
          </w:p>
          <w:p w14:paraId="3E7DC21B">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③波次计划：支持按波次编号查询拣选单，及波次计划的增删改、分配、下达、拣选单打印和返回。</w:t>
            </w:r>
          </w:p>
          <w:p w14:paraId="459E38F8">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④可视化库存：图形化展示库房功能区，点击储位可查看对应商品库存详情。</w:t>
            </w:r>
          </w:p>
          <w:p w14:paraId="081E2282">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⑤库存使用情况：支持按区域、库房、客户查询储位使用数据（含区域、库房、客户、总储位数、使用/未使用储位数、使用率）。</w:t>
            </w:r>
          </w:p>
          <w:p w14:paraId="31F1F73E">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⑥入库流程管理：包含入库管理原则、关键指标；支持基于入库数据进行管理分析，提出调整仓库布局、提升空间利用率的策略。</w:t>
            </w:r>
          </w:p>
          <w:p w14:paraId="111C10FC">
            <w:pPr>
              <w:pStyle w:val="213"/>
              <w:keepNext w:val="0"/>
              <w:keepLines w:val="0"/>
              <w:suppressLineNumbers w:val="0"/>
              <w:spacing w:before="0" w:beforeAutospacing="0" w:after="0" w:afterAutospacing="0"/>
              <w:ind w:left="0" w:right="0"/>
              <w:rPr>
                <w:rFonts w:hint="eastAsia" w:ascii="宋体" w:hAnsi="宋体" w:cs="宋体"/>
                <w:color w:val="auto"/>
                <w:highlight w:val="none"/>
              </w:rPr>
            </w:pPr>
            <w:r>
              <w:rPr>
                <w:rFonts w:hint="eastAsia" w:ascii="宋体" w:hAnsi="宋体" w:cs="宋体"/>
                <w:color w:val="auto"/>
                <w:highlight w:val="none"/>
              </w:rPr>
              <w:t>⑦出库流程管理：包含出库管理原则与形式、关键指标；支持基于出库数据进行管理分析，提出提升拣选效率、调整仓库布局的策略。</w:t>
            </w:r>
          </w:p>
          <w:p w14:paraId="25F5DA1A">
            <w:pPr>
              <w:pStyle w:val="213"/>
              <w:keepNext w:val="0"/>
              <w:keepLines w:val="0"/>
              <w:suppressLineNumbers w:val="0"/>
              <w:spacing w:before="0" w:beforeAutospacing="0" w:after="0" w:afterAutospacing="0"/>
              <w:ind w:left="0" w:right="0"/>
              <w:rPr>
                <w:rFonts w:hint="default" w:ascii="宋体" w:hAnsi="宋体" w:cs="宋体"/>
                <w:color w:val="auto"/>
                <w:highlight w:val="none"/>
                <w:lang w:val="en-US" w:eastAsia="zh-CN"/>
              </w:rPr>
            </w:pPr>
            <w:r>
              <w:rPr>
                <w:rFonts w:hint="default" w:ascii="宋体" w:hAnsi="宋体" w:cs="宋体"/>
                <w:color w:val="auto"/>
                <w:highlight w:val="none"/>
                <w:lang w:val="en-US" w:eastAsia="zh-CN"/>
              </w:rPr>
              <w:t>▲</w:t>
            </w:r>
            <w:r>
              <w:rPr>
                <w:rFonts w:hint="eastAsia" w:ascii="宋体" w:hAnsi="宋体" w:cs="宋体"/>
                <w:color w:val="auto"/>
                <w:highlight w:val="none"/>
                <w:lang w:val="en-US" w:eastAsia="zh-CN"/>
              </w:rPr>
              <w:t>⑧</w:t>
            </w:r>
            <w:r>
              <w:rPr>
                <w:rFonts w:hint="default" w:ascii="宋体" w:hAnsi="宋体" w:cs="宋体"/>
                <w:color w:val="auto"/>
                <w:highlight w:val="none"/>
                <w:lang w:val="en-US" w:eastAsia="zh-CN"/>
              </w:rPr>
              <w:t>实训内容包含但不限于：</w:t>
            </w:r>
          </w:p>
          <w:p w14:paraId="62E4D23B">
            <w:pPr>
              <w:pStyle w:val="213"/>
              <w:keepNext w:val="0"/>
              <w:keepLines w:val="0"/>
              <w:suppressLineNumbers w:val="0"/>
              <w:spacing w:before="0" w:beforeAutospacing="0" w:after="0" w:afterAutospacing="0"/>
              <w:ind w:left="0" w:right="0"/>
              <w:rPr>
                <w:rFonts w:hint="default" w:ascii="宋体" w:hAnsi="宋体" w:cs="宋体"/>
                <w:color w:val="auto"/>
                <w:highlight w:val="none"/>
                <w:lang w:val="en-US" w:eastAsia="zh-CN"/>
              </w:rPr>
            </w:pPr>
            <w:r>
              <w:rPr>
                <w:rFonts w:hint="default" w:ascii="宋体" w:hAnsi="宋体" w:cs="宋体"/>
                <w:color w:val="auto"/>
                <w:highlight w:val="none"/>
                <w:lang w:val="en-US" w:eastAsia="zh-CN"/>
              </w:rPr>
              <w:t>- 基础信息配置模块：客户信息配置（在实训系统中配置客户及收货人信息、储位管理及上下架管理策略）、仓储货物信息配置（计算货品码盘规格，配置客户货品信息并分配储位）</w:t>
            </w:r>
          </w:p>
          <w:p w14:paraId="24C2B00F">
            <w:pPr>
              <w:pStyle w:val="213"/>
              <w:keepNext w:val="0"/>
              <w:keepLines w:val="0"/>
              <w:suppressLineNumbers w:val="0"/>
              <w:spacing w:before="0" w:beforeAutospacing="0" w:after="0" w:afterAutospacing="0"/>
              <w:ind w:left="0" w:right="0"/>
              <w:rPr>
                <w:rFonts w:hint="default" w:ascii="宋体" w:hAnsi="宋体" w:cs="宋体"/>
                <w:color w:val="auto"/>
                <w:highlight w:val="none"/>
                <w:lang w:val="en-US" w:eastAsia="zh-CN"/>
              </w:rPr>
            </w:pPr>
            <w:r>
              <w:rPr>
                <w:rFonts w:hint="default" w:ascii="宋体" w:hAnsi="宋体" w:cs="宋体"/>
                <w:color w:val="auto"/>
                <w:highlight w:val="none"/>
                <w:lang w:val="en-US" w:eastAsia="zh-CN"/>
              </w:rPr>
              <w:t>- 入库作业模块：入库作业准备（分析入库通知单、计算托盘数量、准备入库资源）、入库作业实施（进行货品验收、搬运、上架，利用实训系统及RF手持终端完成入库）</w:t>
            </w:r>
          </w:p>
          <w:p w14:paraId="107B7D86">
            <w:pPr>
              <w:pStyle w:val="213"/>
              <w:keepNext w:val="0"/>
              <w:keepLines w:val="0"/>
              <w:suppressLineNumbers w:val="0"/>
              <w:spacing w:before="0" w:beforeAutospacing="0" w:after="0" w:afterAutospacing="0"/>
              <w:ind w:left="0" w:right="0"/>
              <w:rPr>
                <w:rFonts w:hint="default" w:ascii="宋体" w:hAnsi="宋体" w:cs="宋体"/>
                <w:color w:val="auto"/>
                <w:highlight w:val="none"/>
                <w:lang w:val="en-US" w:eastAsia="zh-CN"/>
              </w:rPr>
            </w:pPr>
            <w:r>
              <w:rPr>
                <w:rFonts w:hint="default" w:ascii="宋体" w:hAnsi="宋体" w:cs="宋体"/>
                <w:color w:val="auto"/>
                <w:highlight w:val="none"/>
                <w:lang w:val="en-US" w:eastAsia="zh-CN"/>
              </w:rPr>
              <w:t>- 出库作业模块：出库作业准备（汇总出库商品、区分拣选单位、编制出库单）、出库作业实施（审核出库订单、新增出库任务，完成现场与系统操作）</w:t>
            </w:r>
          </w:p>
          <w:p w14:paraId="2586D316">
            <w:pPr>
              <w:pStyle w:val="213"/>
              <w:keepNext w:val="0"/>
              <w:keepLines w:val="0"/>
              <w:suppressLineNumbers w:val="0"/>
              <w:spacing w:before="0" w:beforeAutospacing="0" w:after="0" w:afterAutospacing="0"/>
              <w:ind w:left="0" w:right="0"/>
              <w:rPr>
                <w:rFonts w:hint="default" w:ascii="宋体" w:hAnsi="宋体" w:cs="宋体"/>
                <w:color w:val="auto"/>
                <w:highlight w:val="none"/>
                <w:lang w:val="en-US" w:eastAsia="zh-CN"/>
              </w:rPr>
            </w:pPr>
            <w:r>
              <w:rPr>
                <w:rFonts w:hint="default" w:ascii="宋体" w:hAnsi="宋体" w:cs="宋体"/>
                <w:color w:val="auto"/>
                <w:highlight w:val="none"/>
                <w:lang w:val="en-US" w:eastAsia="zh-CN"/>
              </w:rPr>
              <w:t>- 盘点作业模块：盘点作业准备（掌握盘点定义/目的/内容，计算盘点区域库存量、填写盘点单）、盘点作业实施（利用实训系统完成盘点作业）</w:t>
            </w:r>
          </w:p>
          <w:p w14:paraId="05206B46">
            <w:pPr>
              <w:pStyle w:val="213"/>
              <w:keepNext w:val="0"/>
              <w:keepLines w:val="0"/>
              <w:suppressLineNumbers w:val="0"/>
              <w:spacing w:before="0" w:beforeAutospacing="0" w:after="0" w:afterAutospacing="0"/>
              <w:ind w:left="0" w:right="0"/>
              <w:rPr>
                <w:rFonts w:hint="default" w:ascii="宋体" w:hAnsi="宋体" w:cs="宋体"/>
                <w:color w:val="auto"/>
                <w:highlight w:val="none"/>
                <w:lang w:val="en-US" w:eastAsia="zh-CN"/>
              </w:rPr>
            </w:pPr>
            <w:r>
              <w:rPr>
                <w:rFonts w:hint="default" w:ascii="宋体" w:hAnsi="宋体" w:cs="宋体"/>
                <w:color w:val="auto"/>
                <w:highlight w:val="none"/>
                <w:lang w:val="en-US" w:eastAsia="zh-CN"/>
              </w:rPr>
              <w:t>- 移库作业模块：移库作业准备（掌握移库原因/分类分区规则及方法，根据ABC分类调整储位）、移库作业实施（按流程移库，利用实训系统及RF手持终端完成操作）</w:t>
            </w:r>
          </w:p>
          <w:p w14:paraId="7DFF4894">
            <w:pPr>
              <w:pStyle w:val="213"/>
              <w:keepNext w:val="0"/>
              <w:keepLines w:val="0"/>
              <w:suppressLineNumbers w:val="0"/>
              <w:spacing w:before="0" w:beforeAutospacing="0" w:after="0" w:afterAutospacing="0"/>
              <w:ind w:left="0" w:right="0"/>
              <w:rPr>
                <w:rFonts w:hint="default" w:ascii="宋体" w:hAnsi="宋体" w:cs="宋体"/>
                <w:color w:val="auto"/>
                <w:highlight w:val="none"/>
                <w:lang w:val="en-US" w:eastAsia="zh-CN"/>
              </w:rPr>
            </w:pPr>
            <w:r>
              <w:rPr>
                <w:rFonts w:hint="default" w:ascii="宋体" w:hAnsi="宋体" w:cs="宋体"/>
                <w:color w:val="auto"/>
                <w:highlight w:val="none"/>
                <w:lang w:val="en-US" w:eastAsia="zh-CN"/>
              </w:rPr>
              <w:t>- 补货作业模块：补货作业准备（掌握补货含义/方式/时机，计算补货数量、编制任务计划及补货单）、补货作业实施（掌握补货流程与方式，在实训系统中完成补货）</w:t>
            </w:r>
          </w:p>
          <w:p w14:paraId="63B6D29E">
            <w:pPr>
              <w:pStyle w:val="213"/>
              <w:keepNext w:val="0"/>
              <w:keepLines w:val="0"/>
              <w:suppressLineNumbers w:val="0"/>
              <w:spacing w:before="0" w:beforeAutospacing="0" w:after="0" w:afterAutospacing="0"/>
              <w:ind w:left="0" w:right="0"/>
              <w:rPr>
                <w:rFonts w:hint="default" w:ascii="宋体" w:hAnsi="宋体" w:cs="宋体"/>
                <w:color w:val="auto"/>
                <w:highlight w:val="none"/>
                <w:lang w:val="en-US" w:eastAsia="zh-CN"/>
              </w:rPr>
            </w:pPr>
            <w:r>
              <w:rPr>
                <w:rFonts w:hint="default" w:ascii="宋体" w:hAnsi="宋体" w:cs="宋体"/>
                <w:color w:val="auto"/>
                <w:highlight w:val="none"/>
                <w:lang w:val="en-US" w:eastAsia="zh-CN"/>
              </w:rPr>
              <w:t>- 配送作业模块：配送作业准备（掌握配载原则及注意事项，安排车辆驾驶员及运输配送路线）、配送作业实施（利用系统完成取/送货单录入及取派调度</w:t>
            </w:r>
            <w:r>
              <w:rPr>
                <w:rFonts w:hint="eastAsia" w:ascii="宋体" w:hAnsi="宋体" w:cs="宋体"/>
                <w:color w:val="auto"/>
                <w:highlight w:val="none"/>
                <w:lang w:val="en-US" w:eastAsia="zh-CN"/>
              </w:rPr>
              <w:t>。</w:t>
            </w:r>
          </w:p>
          <w:p w14:paraId="40F8447D">
            <w:pPr>
              <w:pStyle w:val="213"/>
              <w:keepNext w:val="0"/>
              <w:keepLines w:val="0"/>
              <w:suppressLineNumbers w:val="0"/>
              <w:spacing w:before="0" w:beforeAutospacing="0" w:after="0" w:afterAutospacing="0"/>
              <w:ind w:left="0" w:right="0"/>
              <w:rPr>
                <w:rFonts w:hint="eastAsia" w:ascii="宋体" w:hAnsi="宋体" w:cs="宋体"/>
                <w:color w:val="auto"/>
                <w:highlight w:val="none"/>
                <w:lang w:val="en-US" w:eastAsia="zh-CN"/>
              </w:rPr>
            </w:pPr>
            <w:r>
              <w:rPr>
                <w:rFonts w:hint="eastAsia" w:ascii="宋体" w:hAnsi="宋体" w:cs="宋体"/>
                <w:color w:val="auto"/>
                <w:highlight w:val="none"/>
                <w:lang w:val="en-US" w:eastAsia="zh-CN"/>
              </w:rPr>
              <w:t>资源类型及数量包含但不限于：配套PPT数量≥40个、视频≥40个（总时长不少于400分钟）。</w:t>
            </w:r>
          </w:p>
          <w:p w14:paraId="2AA7B44C">
            <w:pPr>
              <w:pStyle w:val="213"/>
              <w:keepNext w:val="0"/>
              <w:keepLines w:val="0"/>
              <w:suppressLineNumbers w:val="0"/>
              <w:spacing w:before="0" w:beforeAutospacing="0" w:after="0" w:afterAutospacing="0"/>
              <w:ind w:left="0" w:right="0"/>
              <w:rPr>
                <w:rFonts w:hint="eastAsia" w:asciiTheme="minorHAnsi" w:hAnsiTheme="minorHAnsi" w:eastAsiaTheme="minorEastAsia" w:cstheme="minorBidi"/>
                <w:color w:val="auto"/>
                <w:sz w:val="21"/>
                <w:szCs w:val="21"/>
                <w:highlight w:val="none"/>
                <w:lang w:val="en-US" w:eastAsia="zh-CN" w:bidi="ar-SA"/>
              </w:rPr>
            </w:pPr>
            <w:r>
              <w:rPr>
                <w:rFonts w:hint="eastAsia" w:asciiTheme="minorHAnsi" w:hAnsiTheme="minorHAnsi" w:eastAsiaTheme="minorEastAsia" w:cstheme="minorBidi"/>
                <w:color w:val="auto"/>
                <w:sz w:val="21"/>
                <w:szCs w:val="21"/>
                <w:highlight w:val="none"/>
                <w:lang w:val="en-US" w:eastAsia="zh-CN" w:bidi="ar-SA"/>
              </w:rPr>
              <w:t>★（2）仓储作业数据查询</w:t>
            </w:r>
          </w:p>
          <w:p w14:paraId="1D8C0B0F">
            <w:pPr>
              <w:pStyle w:val="213"/>
              <w:keepNext w:val="0"/>
              <w:keepLines w:val="0"/>
              <w:suppressLineNumbers w:val="0"/>
              <w:spacing w:before="0" w:beforeAutospacing="0" w:after="0" w:afterAutospacing="0"/>
              <w:ind w:left="0" w:right="0"/>
              <w:rPr>
                <w:rFonts w:hint="eastAsia" w:asciiTheme="minorHAnsi" w:hAnsiTheme="minorHAnsi" w:eastAsiaTheme="minorEastAsia" w:cstheme="minorBidi"/>
                <w:color w:val="auto"/>
                <w:sz w:val="21"/>
                <w:szCs w:val="21"/>
                <w:highlight w:val="none"/>
                <w:lang w:val="en-US" w:eastAsia="zh-CN" w:bidi="ar-SA"/>
              </w:rPr>
            </w:pPr>
            <w:r>
              <w:rPr>
                <w:rFonts w:hint="eastAsia" w:asciiTheme="minorHAnsi" w:hAnsiTheme="minorHAnsi" w:eastAsiaTheme="minorEastAsia" w:cstheme="minorBidi"/>
                <w:color w:val="auto"/>
                <w:sz w:val="21"/>
                <w:szCs w:val="21"/>
                <w:highlight w:val="none"/>
                <w:lang w:val="en-US" w:eastAsia="zh-CN" w:bidi="ar-SA"/>
              </w:rPr>
              <w:t>①单表查询：支持分类筛选、分组聚合、字段排序。</w:t>
            </w:r>
          </w:p>
          <w:p w14:paraId="7FFD8558">
            <w:pPr>
              <w:pStyle w:val="213"/>
              <w:keepNext w:val="0"/>
              <w:keepLines w:val="0"/>
              <w:suppressLineNumbers w:val="0"/>
              <w:spacing w:before="0" w:beforeAutospacing="0" w:after="0" w:afterAutospacing="0"/>
              <w:ind w:left="0" w:right="0"/>
              <w:rPr>
                <w:rFonts w:hint="eastAsia" w:asciiTheme="minorHAnsi" w:hAnsiTheme="minorHAnsi" w:eastAsiaTheme="minorEastAsia" w:cstheme="minorBidi"/>
                <w:color w:val="auto"/>
                <w:sz w:val="21"/>
                <w:szCs w:val="21"/>
                <w:highlight w:val="none"/>
                <w:lang w:val="en-US" w:eastAsia="zh-CN" w:bidi="ar-SA"/>
              </w:rPr>
            </w:pPr>
            <w:r>
              <w:rPr>
                <w:rFonts w:hint="eastAsia" w:asciiTheme="minorHAnsi" w:hAnsiTheme="minorHAnsi" w:eastAsiaTheme="minorEastAsia" w:cstheme="minorBidi"/>
                <w:color w:val="auto"/>
                <w:sz w:val="21"/>
                <w:szCs w:val="21"/>
                <w:highlight w:val="none"/>
                <w:lang w:val="en-US" w:eastAsia="zh-CN" w:bidi="ar-SA"/>
              </w:rPr>
              <w:t>②聚合统计与可视化：支持行数、求和、平均值、累积求和/行数、累积行数、标准差等常见指标统计；可生成折线图、环形图、漏斗图、散点图、瀑布图等多种可视化图表，支持仪表盘制作（含保存、编辑功能）。</w:t>
            </w:r>
          </w:p>
          <w:p w14:paraId="0B927CDB">
            <w:pPr>
              <w:pStyle w:val="213"/>
              <w:keepNext w:val="0"/>
              <w:keepLines w:val="0"/>
              <w:suppressLineNumbers w:val="0"/>
              <w:spacing w:before="0" w:beforeAutospacing="0" w:after="0" w:afterAutospacing="0"/>
              <w:ind w:left="0" w:right="0"/>
              <w:rPr>
                <w:rFonts w:hint="eastAsia" w:asciiTheme="minorHAnsi" w:hAnsiTheme="minorHAnsi" w:eastAsiaTheme="minorEastAsia" w:cstheme="minorBidi"/>
                <w:color w:val="auto"/>
                <w:sz w:val="21"/>
                <w:szCs w:val="21"/>
                <w:highlight w:val="none"/>
                <w:lang w:val="en-US" w:eastAsia="zh-CN" w:bidi="ar-SA"/>
              </w:rPr>
            </w:pPr>
            <w:r>
              <w:rPr>
                <w:rFonts w:hint="eastAsia" w:asciiTheme="minorHAnsi" w:hAnsiTheme="minorHAnsi" w:eastAsiaTheme="minorEastAsia" w:cstheme="minorBidi"/>
                <w:color w:val="auto"/>
                <w:sz w:val="21"/>
                <w:szCs w:val="21"/>
                <w:highlight w:val="none"/>
                <w:lang w:val="en-US" w:eastAsia="zh-CN" w:bidi="ar-SA"/>
              </w:rPr>
              <w:t>③聚合分组：支持按单表/多表字段、数据间隔、时间周期、地址等条件定制分组。</w:t>
            </w:r>
          </w:p>
          <w:p w14:paraId="799953A2">
            <w:pPr>
              <w:pStyle w:val="213"/>
              <w:keepNext w:val="0"/>
              <w:keepLines w:val="0"/>
              <w:suppressLineNumbers w:val="0"/>
              <w:spacing w:before="0" w:beforeAutospacing="0" w:after="0" w:afterAutospacing="0"/>
              <w:ind w:left="0" w:right="0"/>
              <w:rPr>
                <w:rFonts w:hint="eastAsia" w:asciiTheme="minorHAnsi" w:hAnsiTheme="minorHAnsi" w:eastAsiaTheme="minorEastAsia" w:cstheme="minorBidi"/>
                <w:color w:val="auto"/>
                <w:sz w:val="21"/>
                <w:szCs w:val="21"/>
                <w:highlight w:val="none"/>
                <w:lang w:val="en-US" w:eastAsia="zh-CN" w:bidi="ar-SA"/>
              </w:rPr>
            </w:pPr>
            <w:r>
              <w:rPr>
                <w:rFonts w:hint="eastAsia" w:asciiTheme="minorHAnsi" w:hAnsiTheme="minorHAnsi" w:eastAsiaTheme="minorEastAsia" w:cstheme="minorBidi"/>
                <w:color w:val="auto"/>
                <w:sz w:val="21"/>
                <w:szCs w:val="21"/>
                <w:highlight w:val="none"/>
                <w:lang w:val="en-US" w:eastAsia="zh-CN" w:bidi="ar-SA"/>
              </w:rPr>
              <w:t>④复杂查询：提供可视化编辑器，支持多表关联（内连接、左/右连接）、分组聚合排序及自定义字段。</w:t>
            </w:r>
          </w:p>
          <w:p w14:paraId="1019EC8E">
            <w:pPr>
              <w:pStyle w:val="213"/>
              <w:keepNext w:val="0"/>
              <w:keepLines w:val="0"/>
              <w:suppressLineNumbers w:val="0"/>
              <w:spacing w:before="0" w:beforeAutospacing="0" w:after="0" w:afterAutospacing="0"/>
              <w:ind w:left="0" w:right="0"/>
              <w:rPr>
                <w:rFonts w:hint="eastAsia" w:asciiTheme="minorHAnsi" w:hAnsiTheme="minorHAnsi" w:eastAsiaTheme="minorEastAsia" w:cstheme="minorBidi"/>
                <w:color w:val="auto"/>
                <w:sz w:val="21"/>
                <w:szCs w:val="21"/>
                <w:highlight w:val="none"/>
                <w:lang w:val="en-US" w:eastAsia="zh-CN" w:bidi="ar-SA"/>
              </w:rPr>
            </w:pPr>
            <w:r>
              <w:rPr>
                <w:rFonts w:hint="eastAsia" w:asciiTheme="minorHAnsi" w:hAnsiTheme="minorHAnsi" w:eastAsiaTheme="minorEastAsia" w:cstheme="minorBidi"/>
                <w:color w:val="auto"/>
                <w:sz w:val="21"/>
                <w:szCs w:val="21"/>
                <w:highlight w:val="none"/>
                <w:lang w:val="en-US" w:eastAsia="zh-CN" w:bidi="ar-SA"/>
              </w:rPr>
              <w:t>⑤自定义字段：支持四则运算、绝对值、非空值返回、条件计算等多种运算及统计（方差、最值等）。</w:t>
            </w:r>
          </w:p>
          <w:p w14:paraId="550A874E">
            <w:pPr>
              <w:pStyle w:val="213"/>
              <w:keepNext w:val="0"/>
              <w:keepLines w:val="0"/>
              <w:suppressLineNumbers w:val="0"/>
              <w:spacing w:before="0" w:beforeAutospacing="0" w:after="0" w:afterAutospacing="0"/>
              <w:ind w:left="0" w:right="0"/>
              <w:rPr>
                <w:rFonts w:hint="eastAsia" w:asciiTheme="minorHAnsi" w:hAnsiTheme="minorHAnsi" w:eastAsiaTheme="minorEastAsia" w:cstheme="minorBidi"/>
                <w:color w:val="auto"/>
                <w:sz w:val="21"/>
                <w:szCs w:val="21"/>
                <w:highlight w:val="none"/>
                <w:lang w:val="en-US" w:eastAsia="zh-CN" w:bidi="ar-SA"/>
              </w:rPr>
            </w:pPr>
            <w:r>
              <w:rPr>
                <w:rFonts w:hint="eastAsia" w:asciiTheme="minorHAnsi" w:hAnsiTheme="minorHAnsi" w:eastAsiaTheme="minorEastAsia" w:cstheme="minorBidi"/>
                <w:color w:val="auto"/>
                <w:sz w:val="21"/>
                <w:szCs w:val="21"/>
                <w:highlight w:val="none"/>
                <w:lang w:val="en-US" w:eastAsia="zh-CN" w:bidi="ar-SA"/>
              </w:rPr>
              <w:t>⑥SQL支持：展示查询对应SQL语句，支持用户直接创建SQL查询（含代码提示）。（提供演示视频）</w:t>
            </w:r>
          </w:p>
          <w:p w14:paraId="07FE5F2A">
            <w:pPr>
              <w:pStyle w:val="213"/>
              <w:keepNext w:val="0"/>
              <w:keepLines w:val="0"/>
              <w:suppressLineNumbers w:val="0"/>
              <w:spacing w:before="0" w:beforeAutospacing="0" w:after="0" w:afterAutospacing="0"/>
              <w:ind w:left="0" w:right="0"/>
              <w:rPr>
                <w:rFonts w:hint="eastAsia" w:ascii="宋体" w:hAnsi="宋体" w:cs="宋体"/>
                <w:color w:val="auto"/>
                <w:highlight w:val="none"/>
                <w:lang w:val="en-US" w:eastAsia="zh-CN"/>
              </w:rPr>
            </w:pPr>
            <w:r>
              <w:rPr>
                <w:rFonts w:hint="eastAsia" w:ascii="宋体" w:hAnsi="宋体" w:cs="宋体"/>
                <w:color w:val="auto"/>
                <w:highlight w:val="none"/>
                <w:lang w:val="en-US" w:eastAsia="zh-CN"/>
              </w:rPr>
              <w:t>▲⑦资源内容包含：</w:t>
            </w:r>
          </w:p>
          <w:p w14:paraId="5B68189C">
            <w:pPr>
              <w:pStyle w:val="213"/>
              <w:keepNext w:val="0"/>
              <w:keepLines w:val="0"/>
              <w:suppressLineNumbers w:val="0"/>
              <w:spacing w:before="0" w:beforeAutospacing="0" w:after="0" w:afterAutospacing="0"/>
              <w:ind w:left="0" w:right="0"/>
              <w:rPr>
                <w:rFonts w:hint="eastAsia" w:ascii="宋体" w:hAnsi="宋体" w:cs="宋体"/>
                <w:color w:val="auto"/>
                <w:highlight w:val="none"/>
                <w:lang w:val="en-US" w:eastAsia="zh-CN"/>
              </w:rPr>
            </w:pPr>
            <w:r>
              <w:rPr>
                <w:rFonts w:hint="default" w:ascii="宋体" w:hAnsi="宋体" w:cs="宋体"/>
                <w:color w:val="auto"/>
                <w:highlight w:val="none"/>
                <w:lang w:val="en-US" w:eastAsia="zh-CN"/>
              </w:rPr>
              <w:t>课程包含物流数据分析基础、仓储数据分析、运输数据分析、配送数据分析</w:t>
            </w:r>
            <w:r>
              <w:rPr>
                <w:rFonts w:hint="eastAsia" w:ascii="宋体" w:hAnsi="宋体" w:cs="宋体"/>
                <w:color w:val="auto"/>
                <w:highlight w:val="none"/>
                <w:lang w:val="en-US" w:eastAsia="zh-CN"/>
              </w:rPr>
              <w:t>。</w:t>
            </w:r>
            <w:r>
              <w:rPr>
                <w:rFonts w:hint="default" w:ascii="宋体" w:hAnsi="宋体" w:cs="宋体"/>
                <w:color w:val="auto"/>
                <w:highlight w:val="none"/>
                <w:lang w:val="en-US" w:eastAsia="zh-CN"/>
              </w:rPr>
              <w:t>体例结构包括但不仅限于任务目标（知识目标、能力目标、素养目标）、重难点（学习重点与难点）、理论知识（知识点与技能点）、理论测验（客观题检测知识掌握）、实战训练（实际操作任务）、技能测验、学习资源等，适用于云平台，支持PC、PAD和移动端学习</w:t>
            </w:r>
            <w:r>
              <w:rPr>
                <w:rFonts w:hint="eastAsia" w:ascii="宋体" w:hAnsi="宋体" w:cs="宋体"/>
                <w:color w:val="auto"/>
                <w:highlight w:val="none"/>
                <w:lang w:val="en-US" w:eastAsia="zh-CN"/>
              </w:rPr>
              <w:t>。</w:t>
            </w:r>
          </w:p>
          <w:p w14:paraId="19F819E6">
            <w:pPr>
              <w:pStyle w:val="213"/>
              <w:keepNext w:val="0"/>
              <w:keepLines w:val="0"/>
              <w:suppressLineNumbers w:val="0"/>
              <w:spacing w:before="0" w:beforeAutospacing="0" w:after="0" w:afterAutospacing="0"/>
              <w:ind w:left="0" w:right="0"/>
              <w:rPr>
                <w:rFonts w:hint="eastAsia" w:ascii="宋体" w:hAnsi="宋体" w:cs="宋体"/>
                <w:color w:val="auto"/>
                <w:highlight w:val="none"/>
                <w:lang w:val="en-US" w:eastAsia="zh-CN"/>
              </w:rPr>
            </w:pPr>
            <w:r>
              <w:rPr>
                <w:rFonts w:hint="eastAsia" w:ascii="宋体" w:hAnsi="宋体" w:cs="宋体"/>
                <w:color w:val="auto"/>
                <w:highlight w:val="none"/>
                <w:lang w:val="en-US" w:eastAsia="zh-CN"/>
              </w:rPr>
              <w:t>实训资源内容包含但不限于：</w:t>
            </w:r>
          </w:p>
          <w:p w14:paraId="118842CA">
            <w:pPr>
              <w:pStyle w:val="213"/>
              <w:keepNext w:val="0"/>
              <w:keepLines w:val="0"/>
              <w:suppressLineNumbers w:val="0"/>
              <w:spacing w:before="0" w:beforeAutospacing="0" w:after="0" w:afterAutospacing="0"/>
              <w:ind w:left="0" w:right="0"/>
              <w:rPr>
                <w:rFonts w:hint="default" w:ascii="宋体" w:hAnsi="宋体" w:cs="宋体"/>
                <w:color w:val="auto"/>
                <w:highlight w:val="none"/>
                <w:lang w:val="en-US" w:eastAsia="zh-CN"/>
              </w:rPr>
            </w:pPr>
            <w:r>
              <w:rPr>
                <w:rFonts w:hint="default" w:ascii="宋体" w:hAnsi="宋体" w:cs="宋体"/>
                <w:color w:val="auto"/>
                <w:highlight w:val="none"/>
                <w:lang w:val="en-US" w:eastAsia="zh-CN"/>
              </w:rPr>
              <w:t>- 物流数据分析基础：了解智慧物流的发展和运作场景，理解物流数据分析的流程和应用，掌握入库作业分析和配送时效分析实训</w:t>
            </w:r>
            <w:r>
              <w:rPr>
                <w:rFonts w:hint="eastAsia" w:ascii="宋体" w:hAnsi="宋体" w:cs="宋体"/>
                <w:color w:val="auto"/>
                <w:highlight w:val="none"/>
                <w:lang w:val="en-US" w:eastAsia="zh-CN"/>
              </w:rPr>
              <w:t>；</w:t>
            </w:r>
          </w:p>
          <w:p w14:paraId="6A648422">
            <w:pPr>
              <w:pStyle w:val="213"/>
              <w:keepNext w:val="0"/>
              <w:keepLines w:val="0"/>
              <w:suppressLineNumbers w:val="0"/>
              <w:spacing w:before="0" w:beforeAutospacing="0" w:after="0" w:afterAutospacing="0"/>
              <w:ind w:left="0" w:right="0"/>
              <w:rPr>
                <w:rFonts w:hint="default" w:ascii="宋体" w:hAnsi="宋体" w:cs="宋体"/>
                <w:color w:val="auto"/>
                <w:highlight w:val="none"/>
                <w:lang w:val="en-US" w:eastAsia="zh-CN"/>
              </w:rPr>
            </w:pPr>
            <w:r>
              <w:rPr>
                <w:rFonts w:hint="default" w:ascii="宋体" w:hAnsi="宋体" w:cs="宋体"/>
                <w:color w:val="auto"/>
                <w:highlight w:val="none"/>
                <w:lang w:val="en-US" w:eastAsia="zh-CN"/>
              </w:rPr>
              <w:t>- 智慧仓储大数据应用：了解智慧仓储的运作流程，理解数字化转型下的智慧仓储管理，掌握数据分析在仓储管理中的作用与应用</w:t>
            </w:r>
            <w:r>
              <w:rPr>
                <w:rFonts w:hint="eastAsia" w:ascii="宋体" w:hAnsi="宋体" w:cs="宋体"/>
                <w:color w:val="auto"/>
                <w:highlight w:val="none"/>
                <w:lang w:val="en-US" w:eastAsia="zh-CN"/>
              </w:rPr>
              <w:t>；</w:t>
            </w:r>
          </w:p>
          <w:p w14:paraId="29AFEAF1">
            <w:pPr>
              <w:pStyle w:val="213"/>
              <w:keepNext w:val="0"/>
              <w:keepLines w:val="0"/>
              <w:suppressLineNumbers w:val="0"/>
              <w:spacing w:before="0" w:beforeAutospacing="0" w:after="0" w:afterAutospacing="0"/>
              <w:ind w:left="0" w:right="0"/>
              <w:rPr>
                <w:rFonts w:hint="default" w:ascii="宋体" w:hAnsi="宋体" w:cs="宋体"/>
                <w:color w:val="auto"/>
                <w:highlight w:val="none"/>
                <w:lang w:val="en-US" w:eastAsia="zh-CN"/>
              </w:rPr>
            </w:pPr>
            <w:r>
              <w:rPr>
                <w:rFonts w:hint="default" w:ascii="宋体" w:hAnsi="宋体" w:cs="宋体"/>
                <w:color w:val="auto"/>
                <w:highlight w:val="none"/>
                <w:lang w:val="en-US" w:eastAsia="zh-CN"/>
              </w:rPr>
              <w:t>- 入库管理数据分析：了解仓储入库流程，理解入库管理原则，掌握入库管理关键指标；案例实战，学会利用数据分析工具分析入库数据，提出入库管理策略以调整仓库布局、提高空间利用率</w:t>
            </w:r>
            <w:r>
              <w:rPr>
                <w:rFonts w:hint="eastAsia" w:ascii="宋体" w:hAnsi="宋体" w:cs="宋体"/>
                <w:color w:val="auto"/>
                <w:highlight w:val="none"/>
                <w:lang w:val="en-US" w:eastAsia="zh-CN"/>
              </w:rPr>
              <w:t>；</w:t>
            </w:r>
          </w:p>
          <w:p w14:paraId="62261418">
            <w:pPr>
              <w:pStyle w:val="213"/>
              <w:keepNext w:val="0"/>
              <w:keepLines w:val="0"/>
              <w:suppressLineNumbers w:val="0"/>
              <w:spacing w:before="0" w:beforeAutospacing="0" w:after="0" w:afterAutospacing="0"/>
              <w:ind w:left="0" w:right="0"/>
              <w:rPr>
                <w:rFonts w:hint="default" w:ascii="宋体" w:hAnsi="宋体" w:cs="宋体"/>
                <w:color w:val="auto"/>
                <w:highlight w:val="none"/>
                <w:lang w:val="en-US" w:eastAsia="zh-CN"/>
              </w:rPr>
            </w:pPr>
            <w:r>
              <w:rPr>
                <w:rFonts w:hint="default" w:ascii="宋体" w:hAnsi="宋体" w:cs="宋体"/>
                <w:color w:val="auto"/>
                <w:highlight w:val="none"/>
                <w:lang w:val="en-US" w:eastAsia="zh-CN"/>
              </w:rPr>
              <w:t>- 在库管理数据分析：了解库存管理概念与作用，理解在库管理重要性，掌握多种在库管理分析方法；通过案例实战，运用ABC分析法、EIQ分析法等进行在库管理分析，提出对应管理策略</w:t>
            </w:r>
            <w:r>
              <w:rPr>
                <w:rFonts w:hint="eastAsia" w:ascii="宋体" w:hAnsi="宋体" w:cs="宋体"/>
                <w:color w:val="auto"/>
                <w:highlight w:val="none"/>
                <w:lang w:val="en-US" w:eastAsia="zh-CN"/>
              </w:rPr>
              <w:t>；</w:t>
            </w:r>
          </w:p>
          <w:p w14:paraId="6BD61C72">
            <w:pPr>
              <w:pStyle w:val="213"/>
              <w:keepNext w:val="0"/>
              <w:keepLines w:val="0"/>
              <w:suppressLineNumbers w:val="0"/>
              <w:spacing w:before="0" w:beforeAutospacing="0" w:after="0" w:afterAutospacing="0"/>
              <w:ind w:left="0" w:right="0"/>
              <w:rPr>
                <w:rFonts w:hint="default" w:ascii="宋体" w:hAnsi="宋体" w:cs="宋体"/>
                <w:color w:val="auto"/>
                <w:highlight w:val="none"/>
                <w:lang w:val="en-US" w:eastAsia="zh-CN"/>
              </w:rPr>
            </w:pPr>
            <w:r>
              <w:rPr>
                <w:rFonts w:hint="default" w:ascii="宋体" w:hAnsi="宋体" w:cs="宋体"/>
                <w:color w:val="auto"/>
                <w:highlight w:val="none"/>
                <w:lang w:val="en-US" w:eastAsia="zh-CN"/>
              </w:rPr>
              <w:t>- 出库管理数据分析：了解仓储出库流程，理解出库管理原则与形式，掌握出库管理关键指标；通过案例实战，利用数据分析工具分析出库数据，提出出库管理策略以提高拣选效率、调整仓库布局</w:t>
            </w:r>
            <w:r>
              <w:rPr>
                <w:rFonts w:hint="eastAsia" w:ascii="宋体" w:hAnsi="宋体" w:cs="宋体"/>
                <w:color w:val="auto"/>
                <w:highlight w:val="none"/>
                <w:lang w:val="en-US" w:eastAsia="zh-CN"/>
              </w:rPr>
              <w:t>；</w:t>
            </w:r>
          </w:p>
          <w:p w14:paraId="6DC166F1">
            <w:pPr>
              <w:pStyle w:val="213"/>
              <w:keepNext w:val="0"/>
              <w:keepLines w:val="0"/>
              <w:suppressLineNumbers w:val="0"/>
              <w:spacing w:before="0" w:beforeAutospacing="0" w:after="0" w:afterAutospacing="0"/>
              <w:ind w:left="0" w:right="0"/>
              <w:rPr>
                <w:rFonts w:hint="default" w:ascii="宋体" w:hAnsi="宋体" w:cs="宋体"/>
                <w:color w:val="auto"/>
                <w:highlight w:val="none"/>
                <w:lang w:val="en-US" w:eastAsia="zh-CN"/>
              </w:rPr>
            </w:pPr>
            <w:r>
              <w:rPr>
                <w:rFonts w:hint="default" w:ascii="宋体" w:hAnsi="宋体" w:cs="宋体"/>
                <w:color w:val="auto"/>
                <w:highlight w:val="none"/>
                <w:lang w:val="en-US" w:eastAsia="zh-CN"/>
              </w:rPr>
              <w:t>- 运输数据分析：深入了解运输过程，掌握运输管控、运输资源合理配置、运输成本控制等能力</w:t>
            </w:r>
            <w:r>
              <w:rPr>
                <w:rFonts w:hint="eastAsia" w:ascii="宋体" w:hAnsi="宋体" w:cs="宋体"/>
                <w:color w:val="auto"/>
                <w:highlight w:val="none"/>
                <w:lang w:val="en-US" w:eastAsia="zh-CN"/>
              </w:rPr>
              <w:t>；</w:t>
            </w:r>
          </w:p>
          <w:p w14:paraId="2311EB00">
            <w:pPr>
              <w:pStyle w:val="213"/>
              <w:keepNext w:val="0"/>
              <w:keepLines w:val="0"/>
              <w:suppressLineNumbers w:val="0"/>
              <w:spacing w:before="0" w:beforeAutospacing="0" w:after="0" w:afterAutospacing="0"/>
              <w:ind w:left="0" w:right="0"/>
              <w:rPr>
                <w:rFonts w:hint="eastAsia" w:ascii="宋体" w:hAnsi="宋体" w:cs="宋体"/>
                <w:color w:val="auto"/>
                <w:highlight w:val="none"/>
                <w:lang w:val="en-US" w:eastAsia="zh-CN"/>
              </w:rPr>
            </w:pPr>
            <w:r>
              <w:rPr>
                <w:rFonts w:hint="default" w:ascii="宋体" w:hAnsi="宋体" w:cs="宋体"/>
                <w:color w:val="auto"/>
                <w:highlight w:val="none"/>
                <w:lang w:val="en-US" w:eastAsia="zh-CN"/>
              </w:rPr>
              <w:t>- 配送数据分析：深入了解配送过程，掌握配货和补货作业优化、配送成本和效率评估等能力；了解数据分析基本方法和工具，掌握数据驱动的决策和优化方法，提高数据处理和分析能力</w:t>
            </w:r>
            <w:r>
              <w:rPr>
                <w:rFonts w:hint="eastAsia" w:ascii="宋体" w:hAnsi="宋体" w:cs="宋体"/>
                <w:color w:val="auto"/>
                <w:highlight w:val="none"/>
                <w:lang w:val="en-US" w:eastAsia="zh-CN"/>
              </w:rPr>
              <w:t>。</w:t>
            </w:r>
          </w:p>
          <w:p w14:paraId="014525EB">
            <w:pPr>
              <w:pStyle w:val="213"/>
              <w:keepNext w:val="0"/>
              <w:keepLines w:val="0"/>
              <w:suppressLineNumbers w:val="0"/>
              <w:spacing w:before="0" w:beforeAutospacing="0" w:after="0" w:afterAutospacing="0"/>
              <w:ind w:left="0" w:right="0"/>
              <w:rPr>
                <w:rFonts w:hint="default" w:ascii="宋体" w:hAnsi="宋体" w:cs="宋体"/>
                <w:color w:val="auto"/>
                <w:highlight w:val="none"/>
                <w:lang w:val="en-US" w:eastAsia="zh-CN"/>
              </w:rPr>
            </w:pPr>
            <w:r>
              <w:rPr>
                <w:rFonts w:hint="default" w:ascii="宋体" w:hAnsi="宋体" w:cs="宋体"/>
                <w:color w:val="auto"/>
                <w:highlight w:val="none"/>
                <w:lang w:val="en-US" w:eastAsia="zh-CN"/>
              </w:rPr>
              <w:t>资源类型及数量包含但不限于：配套PPT不少于</w:t>
            </w:r>
            <w:r>
              <w:rPr>
                <w:rFonts w:hint="eastAsia" w:ascii="宋体" w:hAnsi="宋体" w:cs="宋体"/>
                <w:color w:val="auto"/>
                <w:highlight w:val="none"/>
                <w:lang w:val="en-US" w:eastAsia="zh-CN"/>
              </w:rPr>
              <w:t>5</w:t>
            </w:r>
            <w:r>
              <w:rPr>
                <w:rFonts w:hint="default" w:ascii="宋体" w:hAnsi="宋体" w:cs="宋体"/>
                <w:color w:val="auto"/>
                <w:highlight w:val="none"/>
                <w:lang w:val="en-US" w:eastAsia="zh-CN"/>
              </w:rPr>
              <w:t>个（不少于2</w:t>
            </w:r>
            <w:r>
              <w:rPr>
                <w:rFonts w:hint="eastAsia" w:ascii="宋体" w:hAnsi="宋体" w:cs="宋体"/>
                <w:color w:val="auto"/>
                <w:highlight w:val="none"/>
                <w:lang w:val="en-US" w:eastAsia="zh-CN"/>
              </w:rPr>
              <w:t>0</w:t>
            </w:r>
            <w:r>
              <w:rPr>
                <w:rFonts w:hint="default" w:ascii="宋体" w:hAnsi="宋体" w:cs="宋体"/>
                <w:color w:val="auto"/>
                <w:highlight w:val="none"/>
                <w:lang w:val="en-US" w:eastAsia="zh-CN"/>
              </w:rPr>
              <w:t>0页）、视频不少于80个（总时长不少于1</w:t>
            </w:r>
            <w:r>
              <w:rPr>
                <w:rFonts w:hint="eastAsia" w:ascii="宋体" w:hAnsi="宋体" w:cs="宋体"/>
                <w:color w:val="auto"/>
                <w:highlight w:val="none"/>
                <w:lang w:val="en-US" w:eastAsia="zh-CN"/>
              </w:rPr>
              <w:t>5</w:t>
            </w:r>
            <w:r>
              <w:rPr>
                <w:rFonts w:hint="default" w:ascii="宋体" w:hAnsi="宋体" w:cs="宋体"/>
                <w:color w:val="auto"/>
                <w:highlight w:val="none"/>
                <w:lang w:val="en-US" w:eastAsia="zh-CN"/>
              </w:rPr>
              <w:t>小时，含《物流数据分析案例实战--入库作业分析》《在库管理在仓储的核心地位》等）、文档不少于15个；课程案例不少于5个（必须包含库存周转、ABC分析法、EIQ分析法、PCB分析法知识点），知识理论题不少于1</w:t>
            </w:r>
            <w:r>
              <w:rPr>
                <w:rFonts w:hint="eastAsia" w:ascii="宋体" w:hAnsi="宋体" w:cs="宋体"/>
                <w:color w:val="auto"/>
                <w:highlight w:val="none"/>
                <w:lang w:val="en-US" w:eastAsia="zh-CN"/>
              </w:rPr>
              <w:t>5</w:t>
            </w:r>
            <w:r>
              <w:rPr>
                <w:rFonts w:hint="default" w:ascii="宋体" w:hAnsi="宋体" w:cs="宋体"/>
                <w:color w:val="auto"/>
                <w:highlight w:val="none"/>
                <w:lang w:val="en-US" w:eastAsia="zh-CN"/>
              </w:rPr>
              <w:t>0道，技能题不少于</w:t>
            </w:r>
            <w:r>
              <w:rPr>
                <w:rFonts w:hint="eastAsia" w:ascii="宋体" w:hAnsi="宋体" w:cs="宋体"/>
                <w:color w:val="auto"/>
                <w:highlight w:val="none"/>
                <w:lang w:val="en-US" w:eastAsia="zh-CN"/>
              </w:rPr>
              <w:t>5</w:t>
            </w:r>
            <w:r>
              <w:rPr>
                <w:rFonts w:hint="default" w:ascii="宋体" w:hAnsi="宋体" w:cs="宋体"/>
                <w:color w:val="auto"/>
                <w:highlight w:val="none"/>
                <w:lang w:val="en-US" w:eastAsia="zh-CN"/>
              </w:rPr>
              <w:t>0道。</w:t>
            </w:r>
          </w:p>
          <w:p w14:paraId="73E5238F">
            <w:pPr>
              <w:pStyle w:val="213"/>
              <w:keepNext w:val="0"/>
              <w:keepLines w:val="0"/>
              <w:suppressLineNumbers w:val="0"/>
              <w:spacing w:before="0" w:beforeAutospacing="0" w:after="0" w:afterAutospacing="0"/>
              <w:ind w:left="0" w:right="0"/>
              <w:rPr>
                <w:rFonts w:hint="eastAsia" w:ascii="宋体" w:hAnsi="宋体" w:cs="宋体"/>
                <w:color w:val="auto"/>
                <w:highlight w:val="none"/>
              </w:rPr>
            </w:pPr>
            <w:r>
              <w:rPr>
                <w:rFonts w:hint="eastAsia" w:ascii="宋体" w:hAnsi="宋体" w:cs="宋体"/>
                <w:color w:val="auto"/>
                <w:highlight w:val="none"/>
              </w:rPr>
              <w:t>（3）仓储作业数据可视化</w:t>
            </w:r>
          </w:p>
          <w:p w14:paraId="0B4F6EAA">
            <w:pPr>
              <w:pStyle w:val="213"/>
              <w:keepNext w:val="0"/>
              <w:keepLines w:val="0"/>
              <w:suppressLineNumbers w:val="0"/>
              <w:spacing w:before="0" w:beforeAutospacing="0" w:after="0" w:afterAutospacing="0"/>
              <w:ind w:left="0" w:right="0"/>
              <w:rPr>
                <w:rFonts w:hint="eastAsia" w:ascii="宋体" w:hAnsi="宋体" w:cs="宋体"/>
                <w:color w:val="auto"/>
                <w:highlight w:val="none"/>
              </w:rPr>
            </w:pPr>
            <w:r>
              <w:rPr>
                <w:rFonts w:hint="eastAsia" w:ascii="宋体" w:hAnsi="宋体" w:cs="宋体"/>
                <w:color w:val="auto"/>
                <w:highlight w:val="none"/>
              </w:rPr>
              <w:t>①地图可视化：支持真实地图（经纬度展示，本地部署）和矢量地图（含世界、各国及国内区域地图）。</w:t>
            </w:r>
          </w:p>
          <w:p w14:paraId="61C09BA9">
            <w:pPr>
              <w:pStyle w:val="213"/>
              <w:keepNext w:val="0"/>
              <w:keepLines w:val="0"/>
              <w:suppressLineNumbers w:val="0"/>
              <w:spacing w:before="0" w:beforeAutospacing="0" w:after="0" w:afterAutospacing="0"/>
              <w:ind w:left="0" w:right="0"/>
              <w:rPr>
                <w:rFonts w:hint="eastAsia" w:ascii="宋体" w:hAnsi="宋体" w:cs="宋体"/>
                <w:color w:val="auto"/>
                <w:highlight w:val="none"/>
              </w:rPr>
            </w:pPr>
            <w:r>
              <w:rPr>
                <w:rFonts w:hint="eastAsia" w:ascii="宋体" w:hAnsi="宋体" w:cs="宋体"/>
                <w:color w:val="auto"/>
                <w:highlight w:val="none"/>
              </w:rPr>
              <w:t>②图表设置：支持表格可视化范围及条件格式设置；支持坐标轴数据属性、范围及目标线及样式。</w:t>
            </w:r>
          </w:p>
          <w:p w14:paraId="780880C1">
            <w:pPr>
              <w:pStyle w:val="213"/>
              <w:keepNext w:val="0"/>
              <w:keepLines w:val="0"/>
              <w:suppressLineNumbers w:val="0"/>
              <w:spacing w:before="0" w:beforeAutospacing="0" w:after="0" w:afterAutospacing="0"/>
              <w:ind w:left="0" w:right="0"/>
              <w:rPr>
                <w:rFonts w:hint="eastAsia" w:ascii="宋体" w:hAnsi="宋体" w:cs="宋体"/>
                <w:color w:val="auto"/>
                <w:highlight w:val="none"/>
              </w:rPr>
            </w:pPr>
            <w:r>
              <w:rPr>
                <w:rFonts w:hint="eastAsia" w:ascii="宋体" w:hAnsi="宋体" w:cs="宋体"/>
                <w:color w:val="auto"/>
                <w:highlight w:val="none"/>
              </w:rPr>
              <w:t>③结果导出：支持导出csv、xlsx、json等格式文件。</w:t>
            </w:r>
          </w:p>
          <w:p w14:paraId="5A9E059C">
            <w:pPr>
              <w:pStyle w:val="213"/>
              <w:keepNext w:val="0"/>
              <w:keepLines w:val="0"/>
              <w:suppressLineNumbers w:val="0"/>
              <w:spacing w:before="0" w:beforeAutospacing="0" w:after="0" w:afterAutospacing="0"/>
              <w:ind w:left="0" w:right="0"/>
              <w:rPr>
                <w:rFonts w:hint="eastAsia" w:ascii="宋体" w:hAnsi="宋体" w:cs="宋体"/>
                <w:color w:val="auto"/>
                <w:highlight w:val="none"/>
              </w:rPr>
            </w:pPr>
            <w:r>
              <w:rPr>
                <w:rFonts w:hint="eastAsia" w:ascii="宋体" w:hAnsi="宋体" w:cs="宋体"/>
                <w:color w:val="auto"/>
                <w:highlight w:val="none"/>
              </w:rPr>
              <w:t>④编辑功能：支持图表拖拽、位置调整、添加描述文字；可设置图表标签、数据、坐标轴等。</w:t>
            </w:r>
          </w:p>
          <w:p w14:paraId="2C8A4549">
            <w:pPr>
              <w:pStyle w:val="213"/>
              <w:keepNext w:val="0"/>
              <w:keepLines w:val="0"/>
              <w:suppressLineNumbers w:val="0"/>
              <w:spacing w:before="0" w:beforeAutospacing="0" w:after="0" w:afterAutospacing="0"/>
              <w:ind w:left="0" w:right="0"/>
              <w:rPr>
                <w:rFonts w:hint="eastAsia" w:ascii="宋体" w:hAnsi="宋体" w:cs="宋体"/>
                <w:color w:val="auto"/>
                <w:highlight w:val="none"/>
              </w:rPr>
            </w:pPr>
            <w:r>
              <w:rPr>
                <w:rFonts w:hint="eastAsia" w:ascii="宋体" w:hAnsi="宋体" w:cs="宋体"/>
                <w:color w:val="auto"/>
                <w:highlight w:val="none"/>
              </w:rPr>
              <w:t>（4）教研管理</w:t>
            </w:r>
          </w:p>
          <w:p w14:paraId="6A79B96B">
            <w:pPr>
              <w:pStyle w:val="213"/>
              <w:keepNext w:val="0"/>
              <w:keepLines w:val="0"/>
              <w:suppressLineNumbers w:val="0"/>
              <w:spacing w:before="0" w:beforeAutospacing="0" w:after="0" w:afterAutospacing="0"/>
              <w:ind w:left="0" w:right="0"/>
              <w:rPr>
                <w:rFonts w:hint="eastAsia" w:ascii="宋体" w:hAnsi="宋体" w:cs="宋体"/>
                <w:color w:val="auto"/>
                <w:highlight w:val="none"/>
              </w:rPr>
            </w:pPr>
            <w:r>
              <w:rPr>
                <w:rFonts w:hint="eastAsia" w:ascii="宋体" w:hAnsi="宋体" w:cs="宋体"/>
                <w:color w:val="auto"/>
                <w:highlight w:val="none"/>
              </w:rPr>
              <w:t>①用户分级管理：支持分级别权限管控。</w:t>
            </w:r>
          </w:p>
          <w:p w14:paraId="5AA710A6">
            <w:pPr>
              <w:pStyle w:val="213"/>
              <w:keepNext w:val="0"/>
              <w:keepLines w:val="0"/>
              <w:suppressLineNumbers w:val="0"/>
              <w:spacing w:before="0" w:beforeAutospacing="0" w:after="0" w:afterAutospacing="0"/>
              <w:ind w:left="0" w:right="0"/>
              <w:rPr>
                <w:rFonts w:hint="eastAsia" w:ascii="宋体" w:hAnsi="宋体" w:cs="宋体"/>
                <w:color w:val="auto"/>
                <w:highlight w:val="none"/>
              </w:rPr>
            </w:pPr>
            <w:r>
              <w:rPr>
                <w:rFonts w:hint="eastAsia" w:ascii="宋体" w:hAnsi="宋体" w:cs="宋体"/>
                <w:color w:val="auto"/>
                <w:highlight w:val="none"/>
              </w:rPr>
              <w:t>▲②自建数据：教员及以上用户可创建数据库、上传数据，支持数据分享；平台可自动评定实训结果（检查查询正确性、图表适用性等），支持成绩及含作答结果的试卷导出。</w:t>
            </w:r>
          </w:p>
          <w:p w14:paraId="3334EF90">
            <w:pPr>
              <w:pStyle w:val="213"/>
              <w:keepNext w:val="0"/>
              <w:keepLines w:val="0"/>
              <w:suppressLineNumbers w:val="0"/>
              <w:spacing w:before="0" w:beforeAutospacing="0" w:after="0" w:afterAutospacing="0"/>
              <w:ind w:left="0" w:right="0"/>
              <w:jc w:val="left"/>
              <w:rPr>
                <w:rFonts w:hint="eastAsia" w:ascii="宋体" w:hAnsi="宋体" w:cs="宋体"/>
                <w:color w:val="auto"/>
                <w:highlight w:val="none"/>
              </w:rPr>
            </w:pPr>
            <w:r>
              <w:rPr>
                <w:rFonts w:hint="eastAsia" w:ascii="宋体" w:hAnsi="宋体" w:cs="宋体"/>
                <w:color w:val="auto"/>
                <w:highlight w:val="none"/>
              </w:rPr>
              <w:t>③实验数据隔离：不同实验数据独立隔离，保障安全，用户操作互不影响。</w:t>
            </w:r>
          </w:p>
          <w:p w14:paraId="65B720A0">
            <w:pPr>
              <w:pStyle w:val="213"/>
              <w:keepNext w:val="0"/>
              <w:keepLines w:val="0"/>
              <w:suppressLineNumbers w:val="0"/>
              <w:spacing w:before="0" w:beforeAutospacing="0" w:after="0" w:afterAutospacing="0"/>
              <w:ind w:left="0" w:right="0"/>
              <w:jc w:val="left"/>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.玻璃隔断</w:t>
            </w:r>
          </w:p>
          <w:p w14:paraId="4251BAE0">
            <w:pPr>
              <w:pStyle w:val="213"/>
              <w:keepNext w:val="0"/>
              <w:keepLines w:val="0"/>
              <w:suppressLineNumbers w:val="0"/>
              <w:spacing w:before="0" w:beforeAutospacing="0" w:after="0" w:afterAutospacing="0"/>
              <w:ind w:left="0" w:right="0"/>
              <w:jc w:val="left"/>
              <w:rPr>
                <w:rFonts w:hint="eastAsia" w:ascii="宋体" w:hAnsi="宋体" w:cs="宋体"/>
                <w:color w:val="auto"/>
                <w:highlight w:val="none"/>
              </w:rPr>
            </w:pPr>
            <w:r>
              <w:rPr>
                <w:rFonts w:hint="eastAsia" w:ascii="宋体" w:hAnsi="宋体" w:cs="宋体"/>
                <w:color w:val="auto"/>
                <w:highlight w:val="none"/>
              </w:rPr>
              <w:t>实训区域玻璃隔断，玻璃厚度10mm</w:t>
            </w:r>
            <w:r>
              <w:rPr>
                <w:rFonts w:hint="eastAsia" w:ascii="宋体" w:hAnsi="宋体" w:cs="宋体"/>
                <w:color w:val="auto"/>
                <w:highlight w:val="none"/>
                <w:lang w:eastAsia="zh-CN"/>
              </w:rPr>
              <w:t>，</w:t>
            </w:r>
            <w:r>
              <w:rPr>
                <w:rFonts w:hint="eastAsia" w:ascii="宋体" w:hAnsi="宋体" w:cs="宋体"/>
                <w:color w:val="auto"/>
                <w:highlight w:val="none"/>
              </w:rPr>
              <w:t>3C防爆玻璃，约60平方米，包含对开门一趟，配智能门禁。</w:t>
            </w:r>
          </w:p>
          <w:p w14:paraId="6CB2A83C">
            <w:pPr>
              <w:pStyle w:val="213"/>
              <w:keepNext w:val="0"/>
              <w:keepLines w:val="0"/>
              <w:suppressLineNumbers w:val="0"/>
              <w:spacing w:before="0" w:beforeAutospacing="0" w:after="0" w:afterAutospacing="0"/>
              <w:ind w:left="0" w:right="0"/>
              <w:jc w:val="left"/>
              <w:rPr>
                <w:rFonts w:hint="eastAsia" w:ascii="宋体" w:hAnsi="宋体" w:cs="宋体"/>
                <w:color w:val="auto"/>
                <w:highlight w:val="none"/>
              </w:rPr>
            </w:pPr>
            <w:r>
              <w:rPr>
                <w:rFonts w:hint="eastAsia" w:ascii="宋体" w:hAnsi="宋体" w:cs="宋体"/>
                <w:color w:val="auto"/>
                <w:highlight w:val="none"/>
                <w:lang w:val="en-US" w:eastAsia="zh-CN"/>
              </w:rPr>
              <w:t>7</w:t>
            </w:r>
            <w:r>
              <w:rPr>
                <w:rFonts w:hint="eastAsia" w:ascii="宋体" w:hAnsi="宋体" w:cs="宋体"/>
                <w:color w:val="auto"/>
                <w:highlight w:val="none"/>
              </w:rPr>
              <w:t>.一米栏隔断（定制）</w:t>
            </w:r>
          </w:p>
          <w:p w14:paraId="1E60CA4A">
            <w:pPr>
              <w:pStyle w:val="213"/>
              <w:keepNext w:val="0"/>
              <w:keepLines w:val="0"/>
              <w:suppressLineNumbers w:val="0"/>
              <w:spacing w:before="0" w:beforeAutospacing="0" w:after="0" w:afterAutospacing="0"/>
              <w:ind w:left="0" w:right="0"/>
              <w:jc w:val="left"/>
              <w:rPr>
                <w:rFonts w:hint="eastAsia" w:ascii="宋体" w:hAnsi="宋体" w:cs="宋体"/>
                <w:color w:val="auto"/>
                <w:highlight w:val="none"/>
              </w:rPr>
            </w:pPr>
            <w:r>
              <w:rPr>
                <w:rFonts w:hint="eastAsia" w:ascii="宋体" w:hAnsi="宋体" w:cs="宋体"/>
                <w:color w:val="auto"/>
                <w:highlight w:val="none"/>
                <w:lang w:val="en-US" w:eastAsia="zh-CN"/>
              </w:rPr>
              <w:t>(</w:t>
            </w:r>
            <w:r>
              <w:rPr>
                <w:rFonts w:hint="eastAsia" w:ascii="宋体" w:hAnsi="宋体" w:cs="宋体"/>
                <w:color w:val="auto"/>
                <w:highlight w:val="none"/>
              </w:rPr>
              <w:t>1)立柱参数</w:t>
            </w:r>
          </w:p>
          <w:p w14:paraId="70E2A14D">
            <w:pPr>
              <w:pStyle w:val="213"/>
              <w:keepNext w:val="0"/>
              <w:keepLines w:val="0"/>
              <w:suppressLineNumbers w:val="0"/>
              <w:spacing w:before="0" w:beforeAutospacing="0" w:after="0" w:afterAutospacing="0"/>
              <w:ind w:left="0" w:right="0"/>
              <w:jc w:val="left"/>
              <w:rPr>
                <w:rFonts w:hint="eastAsia" w:ascii="宋体" w:hAnsi="宋体" w:cs="宋体"/>
                <w:color w:val="auto"/>
                <w:highlight w:val="none"/>
              </w:rPr>
            </w:pPr>
            <w:r>
              <w:rPr>
                <w:rFonts w:hint="eastAsia" w:ascii="宋体" w:hAnsi="宋体" w:cs="宋体"/>
                <w:color w:val="auto"/>
                <w:highlight w:val="none"/>
              </w:rPr>
              <w:t>重量≥7kg；高度≥90厘米；伸缩带宽度≥4.8厘米；底盘配重≥5kg。</w:t>
            </w:r>
          </w:p>
          <w:p w14:paraId="32E84F0A">
            <w:pPr>
              <w:pStyle w:val="213"/>
              <w:keepNext w:val="0"/>
              <w:keepLines w:val="0"/>
              <w:suppressLineNumbers w:val="0"/>
              <w:spacing w:before="0" w:beforeAutospacing="0" w:after="0" w:afterAutospacing="0"/>
              <w:ind w:left="0" w:right="0"/>
              <w:jc w:val="left"/>
              <w:rPr>
                <w:rFonts w:hint="eastAsia" w:ascii="宋体" w:hAnsi="宋体" w:cs="宋体"/>
                <w:color w:val="auto"/>
                <w:highlight w:val="none"/>
              </w:rPr>
            </w:pPr>
            <w:r>
              <w:rPr>
                <w:rFonts w:hint="eastAsia" w:ascii="宋体" w:hAnsi="宋体" w:cs="宋体"/>
                <w:color w:val="auto"/>
                <w:highlight w:val="none"/>
                <w:lang w:val="en-US" w:eastAsia="zh-CN"/>
              </w:rPr>
              <w:t>(2)</w:t>
            </w:r>
            <w:r>
              <w:rPr>
                <w:rFonts w:hint="eastAsia" w:ascii="宋体" w:hAnsi="宋体" w:cs="宋体"/>
                <w:color w:val="auto"/>
                <w:highlight w:val="none"/>
              </w:rPr>
              <w:t>广告画布：铝合金横杆含画布尺寸145*75cn,上下杆子长度155cm，总重量≥5.5kg。</w:t>
            </w:r>
          </w:p>
          <w:p w14:paraId="3096D20B">
            <w:pPr>
              <w:pStyle w:val="213"/>
              <w:keepNext w:val="0"/>
              <w:keepLines w:val="0"/>
              <w:suppressLineNumbers w:val="0"/>
              <w:spacing w:before="0" w:beforeAutospacing="0" w:after="0" w:afterAutospacing="0"/>
              <w:ind w:left="0" w:right="0"/>
              <w:jc w:val="left"/>
              <w:rPr>
                <w:rFonts w:hint="eastAsia"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数量≥50个。</w:t>
            </w:r>
          </w:p>
          <w:p w14:paraId="2B3D86DC">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lang w:val="en-US" w:eastAsia="zh-CN"/>
              </w:rPr>
              <w:t>(4)</w:t>
            </w:r>
            <w:r>
              <w:rPr>
                <w:rFonts w:hint="eastAsia" w:ascii="宋体" w:hAnsi="宋体" w:cs="宋体"/>
                <w:highlight w:val="none"/>
              </w:rPr>
              <w:t>画布宣传内容根据需求定制。</w:t>
            </w:r>
          </w:p>
          <w:p w14:paraId="3523E634">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.投影拣选设备</w:t>
            </w:r>
          </w:p>
          <w:p w14:paraId="1C66F8F7">
            <w:pPr>
              <w:pStyle w:val="213"/>
              <w:keepNext w:val="0"/>
              <w:keepLines w:val="0"/>
              <w:suppressLineNumbers w:val="0"/>
              <w:spacing w:before="0" w:beforeAutospacing="0" w:after="0" w:afterAutospacing="0"/>
              <w:ind w:left="0" w:right="0"/>
              <w:jc w:val="left"/>
              <w:rPr>
                <w:rFonts w:hint="eastAsia" w:ascii="宋体" w:hAnsi="宋体" w:cs="宋体"/>
                <w:highlight w:val="none"/>
                <w:lang w:eastAsia="zh-CN"/>
              </w:rPr>
            </w:pPr>
            <w:r>
              <w:rPr>
                <w:rFonts w:hint="eastAsia" w:ascii="宋体" w:hAnsi="宋体" w:cs="宋体"/>
                <w:highlight w:val="none"/>
              </w:rPr>
              <w:t>投影拣选设备包含：PPS全息投影设备、PPS控制器、PPS防错大型传感器设备、操作端、桌椅、轻型货架、物料盒、交换机</w:t>
            </w:r>
            <w:r>
              <w:rPr>
                <w:rFonts w:hint="eastAsia" w:ascii="宋体" w:hAnsi="宋体" w:cs="宋体"/>
                <w:highlight w:val="none"/>
                <w:lang w:eastAsia="zh-CN"/>
              </w:rPr>
              <w:t>。</w:t>
            </w:r>
          </w:p>
          <w:p w14:paraId="64DE9C2C">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lang w:val="en-US" w:eastAsia="zh-CN"/>
              </w:rPr>
              <w:t>(1)</w:t>
            </w:r>
            <w:r>
              <w:rPr>
                <w:rFonts w:hint="eastAsia" w:ascii="宋体" w:hAnsi="宋体" w:cs="宋体"/>
                <w:highlight w:val="none"/>
              </w:rPr>
              <w:t>PPS全息投影设备</w:t>
            </w:r>
          </w:p>
          <w:p w14:paraId="25314F89">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需包括但不限于：系统设置与管理、实验数据管理、拣选作业、分播作业；平台设置：设置控制器地址、区域设置、用户设置和系统设置；</w:t>
            </w:r>
          </w:p>
          <w:p w14:paraId="2D0F6581">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拣选作业：导入、编辑、设置摘取式订单、控制投影进行拣选；分播作业：通过波次、多订单合并等方式进行集单处理，快速进行拣选和分播；</w:t>
            </w:r>
          </w:p>
          <w:p w14:paraId="11BD4B1A">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①亮度：≥3500流明；</w:t>
            </w:r>
          </w:p>
          <w:p w14:paraId="1F641D7D">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②投映画面字节(推荐)：80英寸16:10；</w:t>
            </w:r>
          </w:p>
          <w:p w14:paraId="1804752D">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③光源模块寿命≥10,000小时；</w:t>
            </w:r>
          </w:p>
          <w:p w14:paraId="362537C5">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④播放器16W×1单声道；</w:t>
            </w:r>
          </w:p>
          <w:p w14:paraId="15DE362B">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⑤与控制器的连接：HDMI连接；电源：AC100V50/60Hz；</w:t>
            </w:r>
          </w:p>
          <w:p w14:paraId="165098DC">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⑥消耗功率：225W(Bright)/200W(Normal)/0.1W(Standby)；</w:t>
            </w:r>
          </w:p>
          <w:p w14:paraId="1AFD586D">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⑦温湿度条件：5～35°C；20～80%（但是，不结露）；</w:t>
            </w:r>
          </w:p>
          <w:p w14:paraId="11E3A577">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⑧外形字节：338(W)×333(D)×153(H)mm除了突起部位以外；</w:t>
            </w:r>
          </w:p>
          <w:p w14:paraId="48FC4B6C">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⑨AC端口：≥1；</w:t>
            </w:r>
          </w:p>
          <w:p w14:paraId="023C0937">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⑩输入端口：HDMI*2，用于连接控制器；</w:t>
            </w:r>
          </w:p>
          <w:p w14:paraId="4F543EA7">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⑪焦点调节杆：有，可以调整焦点；</w:t>
            </w:r>
          </w:p>
          <w:p w14:paraId="072EF467">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⑫信号接收距离：＜5M；</w:t>
            </w:r>
          </w:p>
          <w:p w14:paraId="30B7CB9F">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⑬错误报警：有（从提示以外的库位取出物品时）；</w:t>
            </w:r>
          </w:p>
          <w:p w14:paraId="4BB2BA3D">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⑭动作捕捉：支持（指定区域）；</w:t>
            </w:r>
          </w:p>
          <w:p w14:paraId="38FA850C">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⑮语音播报：支持。</w:t>
            </w:r>
          </w:p>
          <w:p w14:paraId="631717B9">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(2)PPS控制器</w:t>
            </w:r>
          </w:p>
          <w:p w14:paraId="4FB9F65C">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①电源：DC＋12V±10%(typ.)；</w:t>
            </w:r>
          </w:p>
          <w:p w14:paraId="397B43E1">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②消耗功率：30W(Full)/7W(Idle)/1.5W(Standby)；</w:t>
            </w:r>
          </w:p>
          <w:p w14:paraId="4995F5AD">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③温度：0～50°C；</w:t>
            </w:r>
          </w:p>
          <w:p w14:paraId="3A84815D">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④湿度：10～90%（但是，不结露）；</w:t>
            </w:r>
          </w:p>
          <w:p w14:paraId="1B107C5E">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⑤AC适配器：≥1；</w:t>
            </w:r>
          </w:p>
          <w:p w14:paraId="36AE8D7F">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⑥FG端子：≥1；</w:t>
            </w:r>
          </w:p>
          <w:p w14:paraId="44EB2E08">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⑦工作状态灯：有；</w:t>
            </w:r>
          </w:p>
          <w:p w14:paraId="4402F123">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⑧控制器连接图像输出设备数量：≥1台；</w:t>
            </w:r>
          </w:p>
          <w:p w14:paraId="40A2606F">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⑨控制器连接防错屏设备数量：≥1台。</w:t>
            </w:r>
          </w:p>
          <w:p w14:paraId="2C3CFC16">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(3)PPS防错大型传感器设备</w:t>
            </w:r>
          </w:p>
          <w:p w14:paraId="08E7C3A9">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①数据读取方式：红外线和图像传感器形成三角测量；</w:t>
            </w:r>
          </w:p>
          <w:p w14:paraId="0FC19BCA">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②坐标识别方式：折断式和反射式；</w:t>
            </w:r>
          </w:p>
          <w:p w14:paraId="029A0BD9">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③有效区域：≥2000mm*1800mm*1；</w:t>
            </w:r>
          </w:p>
          <w:p w14:paraId="0D211354">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④识别能力：±1cm；</w:t>
            </w:r>
          </w:p>
          <w:p w14:paraId="19B5F15D">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⑤传送速度：≥100pps；</w:t>
            </w:r>
          </w:p>
          <w:p w14:paraId="3C5ED41B">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⑥电源规格:DC5V500mA；</w:t>
            </w:r>
          </w:p>
          <w:p w14:paraId="00D53404">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⑦温度条件:5~45℃；</w:t>
            </w:r>
          </w:p>
          <w:p w14:paraId="34AD709F">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⑧湿度：20%~80%（不结露）。</w:t>
            </w:r>
          </w:p>
          <w:p w14:paraId="6660E210">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(4)桌椅</w:t>
            </w:r>
          </w:p>
          <w:p w14:paraId="4D600085">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①材质：三聚氰胺环保型；</w:t>
            </w:r>
          </w:p>
          <w:p w14:paraId="2364A64F">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②尺寸：≥1000*600mm。</w:t>
            </w:r>
          </w:p>
          <w:p w14:paraId="2ECA6717">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(5)操作端</w:t>
            </w:r>
          </w:p>
          <w:p w14:paraId="6D5DDC35">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①CPU性能不低于以下量化指标要求：</w:t>
            </w:r>
          </w:p>
          <w:p w14:paraId="3A8F0B09">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核心数≥20，基础主频≥2.1GHz、最高睿频≥5.4GHz，缓存≥33MB，支持 DDR5-5600MHz 及以上规格内存，标准 TDP≤65W，须具备硬件级安全技术，以实现企业级的设备管理与威胁防护；</w:t>
            </w:r>
          </w:p>
          <w:p w14:paraId="64953A6E">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②内存：容量≥16GB，内存类型为 DDR5 及以上规格，运行速度≥DDR5 基准速率；</w:t>
            </w:r>
          </w:p>
          <w:p w14:paraId="6AC5E0BB">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③显卡：显存容量≥8GB，须支持业务操作界面的图形渲染任务，并保障在多任务及复杂界面下的流畅显示效果；</w:t>
            </w:r>
          </w:p>
          <w:p w14:paraId="101C9DAB">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(6)轻型货架</w:t>
            </w:r>
          </w:p>
          <w:p w14:paraId="0C42DF20">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①规格：≥1500*600*1800mm；</w:t>
            </w:r>
          </w:p>
          <w:p w14:paraId="441A3597">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②层数：4层；</w:t>
            </w:r>
          </w:p>
          <w:p w14:paraId="7F313F22">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③材质：Q235钢材+静电喷塑；</w:t>
            </w:r>
          </w:p>
          <w:p w14:paraId="1C859083">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④承重：≥600kg</w:t>
            </w:r>
          </w:p>
          <w:p w14:paraId="44B372F1">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(7)物料盒（30个）</w:t>
            </w:r>
          </w:p>
          <w:p w14:paraId="3438F604">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①普通塑料:≥380*277*145mm，无盖；</w:t>
            </w:r>
          </w:p>
          <w:p w14:paraId="3A469B11">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②用于流利货架补货，拣货和配送。</w:t>
            </w:r>
          </w:p>
          <w:p w14:paraId="6D4703E3">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(8)交换机</w:t>
            </w:r>
          </w:p>
          <w:p w14:paraId="2CB70759">
            <w:pPr>
              <w:pStyle w:val="213"/>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①管理端口：1个Console口；</w:t>
            </w:r>
          </w:p>
          <w:p w14:paraId="589CDF31">
            <w:pPr>
              <w:pStyle w:val="213"/>
              <w:keepNext w:val="0"/>
              <w:keepLines w:val="0"/>
              <w:suppressLineNumbers w:val="0"/>
              <w:spacing w:before="0" w:beforeAutospacing="0" w:after="0" w:afterAutospacing="0"/>
              <w:ind w:left="0" w:right="0"/>
              <w:jc w:val="left"/>
              <w:rPr>
                <w:rFonts w:hint="eastAsia" w:ascii="宋体" w:hAnsi="宋体" w:eastAsia="宋体" w:cs="宋体"/>
                <w:highlight w:val="none"/>
                <w:lang w:eastAsia="zh-CN"/>
              </w:rPr>
            </w:pPr>
            <w:r>
              <w:rPr>
                <w:rFonts w:hint="eastAsia" w:ascii="宋体" w:hAnsi="宋体" w:cs="宋体"/>
                <w:highlight w:val="none"/>
              </w:rPr>
              <w:t>②业务端口：24个10/100/1000B；ase-T以太网端口，4个1000Base-X以太网端口。</w:t>
            </w:r>
          </w:p>
        </w:tc>
        <w:tc>
          <w:tcPr>
            <w:tcW w:w="1067" w:type="dxa"/>
            <w:tcBorders>
              <w:top w:val="single" w:color="auto" w:sz="4" w:space="0"/>
              <w:left w:val="single" w:color="auto" w:sz="4" w:space="0"/>
              <w:bottom w:val="single" w:color="auto" w:sz="4" w:space="0"/>
              <w:right w:val="single" w:color="auto" w:sz="4" w:space="0"/>
            </w:tcBorders>
            <w:noWrap w:val="0"/>
            <w:vAlign w:val="center"/>
          </w:tcPr>
          <w:p w14:paraId="71B52C86">
            <w:pPr>
              <w:keepNext w:val="0"/>
              <w:keepLines w:val="0"/>
              <w:suppressLineNumbers w:val="0"/>
              <w:spacing w:before="0" w:beforeAutospacing="0" w:after="0" w:afterAutospacing="0" w:line="240" w:lineRule="exact"/>
              <w:ind w:left="0" w:right="0"/>
              <w:jc w:val="center"/>
              <w:rPr>
                <w:rFonts w:hint="eastAsia" w:ascii="宋体" w:hAnsi="宋体" w:cs="宋体"/>
                <w:szCs w:val="18"/>
                <w:highlight w:val="none"/>
              </w:rPr>
            </w:pPr>
            <w:r>
              <w:rPr>
                <w:rFonts w:hint="eastAsia" w:ascii="宋体" w:hAnsi="宋体" w:cs="宋体"/>
                <w:szCs w:val="18"/>
                <w:highlight w:val="none"/>
              </w:rPr>
              <w:t>套</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74AC21BD">
            <w:pPr>
              <w:pStyle w:val="26"/>
              <w:keepNext w:val="0"/>
              <w:keepLines w:val="0"/>
              <w:suppressLineNumbers w:val="0"/>
              <w:spacing w:before="0" w:beforeAutospacing="0" w:afterAutospacing="0"/>
              <w:ind w:left="0" w:right="0"/>
              <w:jc w:val="center"/>
              <w:rPr>
                <w:rFonts w:hint="eastAsia" w:ascii="宋体" w:hAnsi="宋体" w:cs="宋体"/>
                <w:szCs w:val="18"/>
                <w:highlight w:val="none"/>
              </w:rPr>
            </w:pPr>
            <w:r>
              <w:rPr>
                <w:rFonts w:hint="eastAsia" w:ascii="宋体" w:hAnsi="宋体" w:cs="宋体"/>
                <w:szCs w:val="18"/>
                <w:highlight w:val="none"/>
              </w:rPr>
              <w:t>1</w:t>
            </w:r>
          </w:p>
        </w:tc>
      </w:tr>
      <w:tr w14:paraId="11D44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5" w:type="dxa"/>
            <w:tcBorders>
              <w:top w:val="single" w:color="auto" w:sz="4" w:space="0"/>
              <w:left w:val="single" w:color="auto" w:sz="4" w:space="0"/>
              <w:bottom w:val="single" w:color="auto" w:sz="4" w:space="0"/>
              <w:right w:val="single" w:color="auto" w:sz="4" w:space="0"/>
            </w:tcBorders>
            <w:noWrap/>
            <w:vAlign w:val="center"/>
          </w:tcPr>
          <w:p w14:paraId="2971E5E7">
            <w:pPr>
              <w:keepNext w:val="0"/>
              <w:keepLines w:val="0"/>
              <w:suppressLineNumbers w:val="0"/>
              <w:spacing w:before="0" w:beforeAutospacing="0" w:after="0" w:afterAutospacing="0" w:line="240" w:lineRule="exact"/>
              <w:ind w:left="0" w:right="0"/>
              <w:jc w:val="center"/>
              <w:rPr>
                <w:rFonts w:hint="eastAsia" w:ascii="宋体" w:hAnsi="宋体" w:cs="宋体"/>
                <w:color w:val="000000"/>
                <w:szCs w:val="18"/>
                <w:highlight w:val="none"/>
              </w:rPr>
            </w:pPr>
            <w:r>
              <w:rPr>
                <w:rFonts w:hint="eastAsia" w:ascii="宋体" w:hAnsi="宋体" w:cs="宋体"/>
                <w:color w:val="000000"/>
                <w:szCs w:val="18"/>
                <w:highlight w:val="none"/>
              </w:rPr>
              <w:t>6</w:t>
            </w:r>
          </w:p>
        </w:tc>
        <w:tc>
          <w:tcPr>
            <w:tcW w:w="761" w:type="dxa"/>
            <w:tcBorders>
              <w:top w:val="single" w:color="auto" w:sz="4" w:space="0"/>
              <w:left w:val="single" w:color="auto" w:sz="4" w:space="0"/>
              <w:bottom w:val="single" w:color="auto" w:sz="4" w:space="0"/>
              <w:right w:val="single" w:color="auto" w:sz="4" w:space="0"/>
            </w:tcBorders>
            <w:noWrap w:val="0"/>
            <w:vAlign w:val="center"/>
          </w:tcPr>
          <w:p w14:paraId="1A256109">
            <w:pPr>
              <w:keepNext w:val="0"/>
              <w:keepLines w:val="0"/>
              <w:suppressLineNumbers w:val="0"/>
              <w:spacing w:before="0" w:beforeAutospacing="0" w:after="0" w:afterAutospacing="0"/>
              <w:ind w:left="0" w:right="0"/>
              <w:jc w:val="center"/>
              <w:rPr>
                <w:rFonts w:hint="eastAsia" w:ascii="宋体" w:hAnsi="宋体" w:cs="宋体"/>
                <w:color w:val="000000"/>
                <w:szCs w:val="18"/>
                <w:highlight w:val="none"/>
              </w:rPr>
            </w:pPr>
            <w:r>
              <w:rPr>
                <w:rFonts w:hint="eastAsia" w:ascii="宋体" w:hAnsi="宋体" w:cs="宋体"/>
                <w:color w:val="000000"/>
                <w:szCs w:val="18"/>
                <w:highlight w:val="none"/>
              </w:rPr>
              <w:t>数字中心单元</w:t>
            </w:r>
          </w:p>
        </w:tc>
        <w:tc>
          <w:tcPr>
            <w:tcW w:w="5416" w:type="dxa"/>
            <w:tcBorders>
              <w:top w:val="single" w:color="auto" w:sz="4" w:space="0"/>
              <w:left w:val="single" w:color="auto" w:sz="4" w:space="0"/>
              <w:bottom w:val="single" w:color="auto" w:sz="4" w:space="0"/>
              <w:right w:val="single" w:color="auto" w:sz="4" w:space="0"/>
            </w:tcBorders>
            <w:noWrap w:val="0"/>
          </w:tcPr>
          <w:p w14:paraId="69AC79CC">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一、项目概述</w:t>
            </w:r>
          </w:p>
          <w:p w14:paraId="4DD5CC25">
            <w:pPr>
              <w:pStyle w:val="213"/>
              <w:keepNext w:val="0"/>
              <w:keepLines w:val="0"/>
              <w:suppressLineNumbers w:val="0"/>
              <w:spacing w:before="0" w:beforeAutospacing="0" w:after="0" w:afterAutospacing="0"/>
              <w:ind w:left="0" w:right="0"/>
              <w:jc w:val="left"/>
              <w:rPr>
                <w:rFonts w:hint="eastAsia" w:ascii="宋体" w:hAnsi="宋体" w:cs="宋体"/>
                <w:szCs w:val="21"/>
                <w:highlight w:val="none"/>
              </w:rPr>
            </w:pPr>
            <w:r>
              <w:rPr>
                <w:rFonts w:hint="eastAsia" w:ascii="宋体" w:hAnsi="宋体" w:cs="宋体"/>
                <w:szCs w:val="21"/>
                <w:highlight w:val="none"/>
              </w:rPr>
              <w:t>数字中心单元聚焦实训室数字化环境建设中，是实训室建设的必要载体。</w:t>
            </w:r>
          </w:p>
          <w:p w14:paraId="53BDE4AA">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二、功能及清单</w:t>
            </w:r>
          </w:p>
          <w:p w14:paraId="02A74464">
            <w:pPr>
              <w:keepNext w:val="0"/>
              <w:keepLines w:val="0"/>
              <w:suppressLineNumbers w:val="0"/>
              <w:spacing w:before="0" w:beforeAutospacing="0" w:after="0" w:afterAutospacing="0"/>
              <w:ind w:left="0" w:right="0" w:firstLine="420"/>
              <w:jc w:val="left"/>
              <w:rPr>
                <w:rFonts w:hint="eastAsia" w:ascii="宋体" w:hAnsi="宋体" w:cs="宋体"/>
                <w:highlight w:val="none"/>
              </w:rPr>
            </w:pPr>
            <w:r>
              <w:rPr>
                <w:rFonts w:hint="eastAsia" w:ascii="宋体" w:hAnsi="宋体" w:cs="宋体"/>
                <w:highlight w:val="none"/>
              </w:rPr>
              <w:t>数字中心单元包含数字中心配套设备25套</w:t>
            </w:r>
            <w:r>
              <w:rPr>
                <w:rFonts w:hint="eastAsia" w:ascii="宋体" w:hAnsi="宋体" w:cs="宋体"/>
                <w:szCs w:val="21"/>
                <w:highlight w:val="none"/>
              </w:rPr>
              <w:t>。</w:t>
            </w:r>
            <w:r>
              <w:rPr>
                <w:rFonts w:hint="eastAsia" w:ascii="宋体" w:hAnsi="宋体" w:cs="宋体"/>
                <w:highlight w:val="none"/>
              </w:rPr>
              <w:t>数字中心配套设备功能：数字中心单元配置是干线运输调度的核心部分，通过硬件集成支撑实现运输全流程的数字化运营；桌椅配套设备为了满足数字中心单元建设的必须载体，满足实训室学生教学、实训，是实训室基础设施条件必要组成部分。</w:t>
            </w:r>
          </w:p>
          <w:p w14:paraId="6C2CDAE8">
            <w:pPr>
              <w:pStyle w:val="213"/>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szCs w:val="21"/>
                <w:highlight w:val="none"/>
              </w:rPr>
              <w:t>三、</w:t>
            </w:r>
            <w:r>
              <w:rPr>
                <w:rFonts w:hint="eastAsia" w:ascii="宋体" w:hAnsi="宋体" w:cs="宋体"/>
                <w:color w:val="auto"/>
                <w:szCs w:val="21"/>
                <w:highlight w:val="none"/>
              </w:rPr>
              <w:t>设备详细参数</w:t>
            </w:r>
          </w:p>
          <w:p w14:paraId="656D1418">
            <w:pPr>
              <w:pStyle w:val="213"/>
              <w:keepNext w:val="0"/>
              <w:keepLines w:val="0"/>
              <w:suppressLineNumbers w:val="0"/>
              <w:spacing w:before="0" w:beforeAutospacing="0" w:after="0" w:afterAutospacing="0"/>
              <w:ind w:left="0" w:right="0"/>
              <w:rPr>
                <w:rFonts w:hint="eastAsia" w:ascii="宋体" w:hAnsi="宋体" w:cs="宋体"/>
                <w:color w:val="auto"/>
                <w:highlight w:val="none"/>
              </w:rPr>
            </w:pPr>
            <w:r>
              <w:rPr>
                <w:rFonts w:hint="eastAsia" w:ascii="宋体" w:hAnsi="宋体" w:cs="宋体"/>
                <w:color w:val="auto"/>
                <w:szCs w:val="21"/>
                <w:highlight w:val="none"/>
              </w:rPr>
              <w:t>1.</w:t>
            </w:r>
            <w:r>
              <w:rPr>
                <w:rFonts w:hint="eastAsia" w:ascii="宋体" w:hAnsi="宋体" w:cs="宋体"/>
                <w:color w:val="auto"/>
                <w:highlight w:val="none"/>
              </w:rPr>
              <w:t>数字中心配套设备，25套（参考照片如下图）</w:t>
            </w:r>
          </w:p>
          <w:p w14:paraId="1B8984E3">
            <w:pPr>
              <w:pStyle w:val="213"/>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尺寸：</w:t>
            </w:r>
            <w:r>
              <w:rPr>
                <w:rFonts w:hint="eastAsia" w:ascii="宋体" w:hAnsi="宋体" w:cs="宋体"/>
                <w:color w:val="auto"/>
                <w:szCs w:val="21"/>
                <w:highlight w:val="none"/>
              </w:rPr>
              <w:t>≥1400mm*600mm*750mm；</w:t>
            </w:r>
          </w:p>
          <w:p w14:paraId="4F9D4D98">
            <w:pPr>
              <w:pStyle w:val="213"/>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r>
              <w:rPr>
                <w:rFonts w:hint="eastAsia" w:ascii="宋体" w:hAnsi="宋体" w:cs="宋体"/>
                <w:color w:val="auto"/>
                <w:szCs w:val="21"/>
                <w:highlight w:val="none"/>
              </w:rPr>
              <w:t>(2)桌面采用25mm厚压缩颗粒板，屏风防火板15mm，300mm高，带穿线孔；</w:t>
            </w:r>
          </w:p>
          <w:p w14:paraId="1A708981">
            <w:pPr>
              <w:pStyle w:val="213"/>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r>
              <w:rPr>
                <w:rFonts w:hint="eastAsia" w:ascii="宋体" w:hAnsi="宋体" w:cs="宋体"/>
                <w:color w:val="auto"/>
                <w:szCs w:val="21"/>
                <w:highlight w:val="none"/>
              </w:rPr>
              <w:t>(3)桌腿采用40mm*40mm*1.0mm方钢管，桌腿中间封板采用0.7mm钢板制作，折弯成型，带穿线功能，后置结构，保证线不外漏，外面布局散热孔；</w:t>
            </w:r>
          </w:p>
          <w:p w14:paraId="600ADDDD">
            <w:pPr>
              <w:pStyle w:val="213"/>
              <w:keepNext w:val="0"/>
              <w:keepLines w:val="0"/>
              <w:suppressLineNumbers w:val="0"/>
              <w:spacing w:before="0" w:beforeAutospacing="0" w:after="0" w:afterAutospacing="0"/>
              <w:ind w:left="0" w:right="0"/>
              <w:jc w:val="left"/>
              <w:rPr>
                <w:rFonts w:hint="eastAsia" w:ascii="宋体" w:hAnsi="宋体" w:cs="宋体"/>
                <w:szCs w:val="21"/>
                <w:highlight w:val="none"/>
              </w:rPr>
            </w:pPr>
            <w:r>
              <w:rPr>
                <w:rFonts w:hint="eastAsia" w:ascii="宋体" w:hAnsi="宋体" w:cs="宋体"/>
                <w:color w:val="auto"/>
                <w:szCs w:val="21"/>
                <w:highlight w:val="none"/>
              </w:rPr>
              <w:t>(4)工艺釆用激光切割、模具冲压、折弯、组焊接成型，喷涂、装配而成。焊接部分采用高标准熔接焊,确保表面平整光滑，焊接点牢固、无虚焊。整体表面经酸洗、水洗、磷化、水洗、钝化等。凳子面同材质，</w:t>
            </w:r>
            <w:r>
              <w:rPr>
                <w:rFonts w:hint="eastAsia" w:ascii="宋体" w:hAnsi="宋体" w:cs="宋体"/>
                <w:color w:val="auto"/>
                <w:szCs w:val="21"/>
                <w:highlight w:val="none"/>
                <w:lang w:val="en-US" w:eastAsia="zh-CN"/>
              </w:rPr>
              <w:t>尺寸：</w:t>
            </w:r>
            <w:r>
              <w:rPr>
                <w:rFonts w:hint="eastAsia" w:ascii="宋体" w:hAnsi="宋体" w:cs="宋体"/>
                <w:color w:val="auto"/>
                <w:szCs w:val="21"/>
                <w:highlight w:val="none"/>
              </w:rPr>
              <w:t>≥340mm</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240mm</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440mm，25*25方管</w:t>
            </w:r>
            <w:r>
              <w:rPr>
                <w:rFonts w:hint="eastAsia" w:ascii="宋体" w:hAnsi="宋体" w:cs="宋体"/>
                <w:color w:val="auto"/>
                <w:szCs w:val="21"/>
                <w:highlight w:val="none"/>
                <w:lang w:eastAsia="zh-CN"/>
              </w:rPr>
              <w:t>，</w:t>
            </w:r>
            <w:r>
              <w:rPr>
                <w:rFonts w:hint="eastAsia" w:ascii="宋体" w:hAnsi="宋体" w:cs="宋体"/>
                <w:color w:val="auto"/>
                <w:szCs w:val="21"/>
                <w:highlight w:val="none"/>
              </w:rPr>
              <w:t>厚≥1.0mm</w:t>
            </w:r>
            <w:r>
              <w:rPr>
                <w:rFonts w:hint="eastAsia" w:ascii="宋体" w:hAnsi="宋体" w:cs="宋体"/>
                <w:color w:val="auto"/>
                <w:szCs w:val="21"/>
                <w:highlight w:val="none"/>
                <w:lang w:eastAsia="zh-CN"/>
              </w:rPr>
              <w:t>，</w:t>
            </w:r>
            <w:r>
              <w:rPr>
                <w:rFonts w:hint="eastAsia" w:ascii="宋体" w:hAnsi="宋体" w:cs="宋体"/>
                <w:color w:val="auto"/>
                <w:szCs w:val="21"/>
                <w:highlight w:val="none"/>
              </w:rPr>
              <w:t>含数字单元服务端1台。</w:t>
            </w:r>
          </w:p>
        </w:tc>
        <w:tc>
          <w:tcPr>
            <w:tcW w:w="1067" w:type="dxa"/>
            <w:tcBorders>
              <w:top w:val="single" w:color="auto" w:sz="4" w:space="0"/>
              <w:left w:val="single" w:color="auto" w:sz="4" w:space="0"/>
              <w:bottom w:val="single" w:color="auto" w:sz="4" w:space="0"/>
              <w:right w:val="single" w:color="auto" w:sz="4" w:space="0"/>
            </w:tcBorders>
            <w:noWrap w:val="0"/>
            <w:vAlign w:val="center"/>
          </w:tcPr>
          <w:p w14:paraId="19D7DB99">
            <w:pPr>
              <w:keepNext w:val="0"/>
              <w:keepLines w:val="0"/>
              <w:suppressLineNumbers w:val="0"/>
              <w:spacing w:before="0" w:beforeAutospacing="0" w:after="0" w:afterAutospacing="0" w:line="240" w:lineRule="exact"/>
              <w:ind w:left="0" w:right="0"/>
              <w:jc w:val="center"/>
              <w:rPr>
                <w:rFonts w:hint="eastAsia" w:ascii="宋体" w:hAnsi="宋体" w:cs="宋体"/>
                <w:szCs w:val="18"/>
                <w:highlight w:val="none"/>
              </w:rPr>
            </w:pPr>
            <w:r>
              <w:rPr>
                <w:rFonts w:hint="eastAsia" w:ascii="宋体" w:hAnsi="宋体" w:cs="宋体"/>
                <w:szCs w:val="18"/>
                <w:highlight w:val="none"/>
              </w:rPr>
              <w:t>套</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6302A728">
            <w:pPr>
              <w:pStyle w:val="26"/>
              <w:keepNext w:val="0"/>
              <w:keepLines w:val="0"/>
              <w:suppressLineNumbers w:val="0"/>
              <w:spacing w:before="0" w:beforeAutospacing="0" w:afterAutospacing="0"/>
              <w:ind w:left="0" w:right="0"/>
              <w:jc w:val="center"/>
              <w:rPr>
                <w:rFonts w:hint="eastAsia" w:ascii="宋体" w:hAnsi="宋体" w:cs="宋体"/>
                <w:szCs w:val="18"/>
                <w:highlight w:val="none"/>
              </w:rPr>
            </w:pPr>
            <w:r>
              <w:rPr>
                <w:rFonts w:hint="eastAsia" w:ascii="宋体" w:hAnsi="宋体" w:cs="宋体"/>
                <w:szCs w:val="18"/>
                <w:highlight w:val="none"/>
              </w:rPr>
              <w:t>1</w:t>
            </w:r>
          </w:p>
        </w:tc>
      </w:tr>
      <w:tr w14:paraId="45BF2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5" w:type="dxa"/>
            <w:tcBorders>
              <w:top w:val="single" w:color="auto" w:sz="4" w:space="0"/>
              <w:left w:val="single" w:color="auto" w:sz="4" w:space="0"/>
              <w:bottom w:val="single" w:color="auto" w:sz="4" w:space="0"/>
              <w:right w:val="single" w:color="auto" w:sz="4" w:space="0"/>
            </w:tcBorders>
            <w:noWrap/>
            <w:vAlign w:val="center"/>
          </w:tcPr>
          <w:p w14:paraId="1844D77A">
            <w:pPr>
              <w:keepNext w:val="0"/>
              <w:keepLines w:val="0"/>
              <w:suppressLineNumbers w:val="0"/>
              <w:spacing w:before="0" w:beforeAutospacing="0" w:after="0" w:afterAutospacing="0" w:line="240" w:lineRule="exact"/>
              <w:ind w:left="0" w:right="0"/>
              <w:jc w:val="center"/>
              <w:rPr>
                <w:rFonts w:hint="eastAsia" w:ascii="宋体" w:hAnsi="宋体" w:eastAsia="宋体" w:cs="宋体"/>
                <w:color w:val="000000"/>
                <w:szCs w:val="18"/>
                <w:highlight w:val="none"/>
                <w:lang w:eastAsia="zh-CN"/>
              </w:rPr>
            </w:pPr>
            <w:r>
              <w:rPr>
                <w:rFonts w:hint="eastAsia" w:ascii="宋体" w:hAnsi="宋体" w:cs="宋体"/>
                <w:color w:val="000000"/>
                <w:szCs w:val="18"/>
                <w:highlight w:val="none"/>
                <w:lang w:val="en-US" w:eastAsia="zh-CN"/>
              </w:rPr>
              <w:t>7</w:t>
            </w:r>
          </w:p>
        </w:tc>
        <w:tc>
          <w:tcPr>
            <w:tcW w:w="761" w:type="dxa"/>
            <w:tcBorders>
              <w:top w:val="single" w:color="auto" w:sz="4" w:space="0"/>
              <w:left w:val="single" w:color="auto" w:sz="4" w:space="0"/>
              <w:bottom w:val="single" w:color="auto" w:sz="4" w:space="0"/>
              <w:right w:val="single" w:color="auto" w:sz="4" w:space="0"/>
            </w:tcBorders>
            <w:noWrap w:val="0"/>
            <w:vAlign w:val="center"/>
          </w:tcPr>
          <w:p w14:paraId="4346D254">
            <w:pPr>
              <w:keepNext w:val="0"/>
              <w:keepLines w:val="0"/>
              <w:suppressLineNumbers w:val="0"/>
              <w:spacing w:before="0" w:beforeAutospacing="0" w:after="0" w:afterAutospacing="0"/>
              <w:ind w:left="0" w:right="0"/>
              <w:jc w:val="center"/>
              <w:rPr>
                <w:rFonts w:hint="eastAsia" w:ascii="宋体" w:hAnsi="宋体" w:cs="宋体"/>
                <w:color w:val="000000"/>
                <w:szCs w:val="18"/>
                <w:highlight w:val="none"/>
              </w:rPr>
            </w:pPr>
            <w:r>
              <w:rPr>
                <w:rFonts w:hint="eastAsia" w:ascii="宋体" w:hAnsi="宋体" w:cs="宋体"/>
                <w:color w:val="000000"/>
                <w:szCs w:val="18"/>
                <w:highlight w:val="none"/>
              </w:rPr>
              <w:t>干线运输调度单元</w:t>
            </w:r>
          </w:p>
        </w:tc>
        <w:tc>
          <w:tcPr>
            <w:tcW w:w="5416" w:type="dxa"/>
            <w:tcBorders>
              <w:top w:val="single" w:color="auto" w:sz="4" w:space="0"/>
              <w:left w:val="single" w:color="auto" w:sz="4" w:space="0"/>
              <w:bottom w:val="single" w:color="auto" w:sz="4" w:space="0"/>
              <w:right w:val="single" w:color="auto" w:sz="4" w:space="0"/>
            </w:tcBorders>
            <w:noWrap w:val="0"/>
          </w:tcPr>
          <w:p w14:paraId="54B18DA0">
            <w:pPr>
              <w:pStyle w:val="213"/>
              <w:keepNext w:val="0"/>
              <w:keepLines w:val="0"/>
              <w:suppressLineNumbers w:val="0"/>
              <w:spacing w:before="0" w:beforeAutospacing="0" w:after="0" w:afterAutospacing="0"/>
              <w:ind w:left="0" w:right="0"/>
              <w:rPr>
                <w:rFonts w:hint="eastAsia" w:ascii="宋体" w:hAnsi="宋体" w:cs="宋体"/>
                <w:szCs w:val="21"/>
                <w:highlight w:val="none"/>
              </w:rPr>
            </w:pPr>
            <w:r>
              <w:rPr>
                <w:rFonts w:hint="eastAsia" w:ascii="宋体" w:hAnsi="宋体" w:cs="宋体"/>
                <w:szCs w:val="21"/>
                <w:highlight w:val="none"/>
              </w:rPr>
              <w:t>一、项目概述</w:t>
            </w:r>
          </w:p>
          <w:p w14:paraId="41FC4E5B">
            <w:pPr>
              <w:pStyle w:val="213"/>
              <w:keepNext w:val="0"/>
              <w:keepLines w:val="0"/>
              <w:suppressLineNumbers w:val="0"/>
              <w:spacing w:before="0" w:beforeAutospacing="0" w:after="0" w:afterAutospacing="0"/>
              <w:ind w:left="0" w:right="0"/>
              <w:jc w:val="left"/>
              <w:rPr>
                <w:rFonts w:hint="eastAsia" w:ascii="宋体" w:hAnsi="宋体" w:cs="宋体"/>
                <w:szCs w:val="21"/>
                <w:highlight w:val="none"/>
              </w:rPr>
            </w:pPr>
            <w:r>
              <w:rPr>
                <w:rFonts w:hint="eastAsia" w:ascii="宋体" w:hAnsi="宋体" w:cs="宋体"/>
                <w:szCs w:val="21"/>
                <w:highlight w:val="none"/>
              </w:rPr>
              <w:t>干线运输调度单元以物流企业干线运输业务为核心模拟场景，融合国内运输调度与国际货运代理两大业务模块，学生可在仿真环境中掌握订单管理、运力配置、路由规划、跨境物流操作等核心技能，强化运输成本优化、异常事件处理及多模式协同调度能力，提升对干线运输战略规划与全球化物流服务的综合职业素养。</w:t>
            </w:r>
          </w:p>
          <w:p w14:paraId="20DAF745">
            <w:pPr>
              <w:pStyle w:val="213"/>
              <w:keepNext w:val="0"/>
              <w:keepLines w:val="0"/>
              <w:suppressLineNumbers w:val="0"/>
              <w:spacing w:before="0" w:beforeAutospacing="0" w:after="0" w:afterAutospacing="0"/>
              <w:ind w:left="0" w:right="0"/>
              <w:rPr>
                <w:rFonts w:hint="eastAsia" w:ascii="宋体" w:hAnsi="宋体" w:cs="宋体"/>
                <w:highlight w:val="none"/>
              </w:rPr>
            </w:pPr>
            <w:r>
              <w:rPr>
                <w:rFonts w:hint="eastAsia" w:ascii="宋体" w:hAnsi="宋体" w:cs="宋体"/>
                <w:highlight w:val="none"/>
              </w:rPr>
              <w:t>二、功能及清单</w:t>
            </w:r>
          </w:p>
          <w:p w14:paraId="05341137">
            <w:pPr>
              <w:keepNext w:val="0"/>
              <w:keepLines w:val="0"/>
              <w:suppressLineNumbers w:val="0"/>
              <w:spacing w:before="0" w:beforeAutospacing="0" w:after="0" w:afterAutospacing="0"/>
              <w:ind w:left="0" w:right="0" w:firstLine="420"/>
              <w:jc w:val="left"/>
              <w:rPr>
                <w:rFonts w:hint="eastAsia" w:ascii="宋体" w:hAnsi="宋体" w:cs="宋体"/>
                <w:szCs w:val="21"/>
                <w:highlight w:val="none"/>
              </w:rPr>
            </w:pPr>
            <w:r>
              <w:rPr>
                <w:rFonts w:hint="eastAsia" w:ascii="宋体" w:hAnsi="宋体" w:cs="宋体"/>
                <w:szCs w:val="21"/>
                <w:highlight w:val="none"/>
              </w:rPr>
              <w:t>干线运输调度单元包含运输业务实训软件1套、国际货代运输操作软件1套</w:t>
            </w:r>
            <w:r>
              <w:rPr>
                <w:rFonts w:hint="eastAsia" w:ascii="宋体" w:hAnsi="宋体" w:cs="宋体"/>
                <w:szCs w:val="21"/>
                <w:highlight w:val="none"/>
                <w:lang w:eastAsia="zh-CN"/>
              </w:rPr>
              <w:t>等</w:t>
            </w:r>
            <w:r>
              <w:rPr>
                <w:rFonts w:hint="eastAsia" w:ascii="宋体" w:hAnsi="宋体" w:cs="宋体"/>
                <w:szCs w:val="21"/>
                <w:highlight w:val="none"/>
              </w:rPr>
              <w:t>。</w:t>
            </w:r>
          </w:p>
          <w:p w14:paraId="3B422D07">
            <w:pPr>
              <w:keepNext w:val="0"/>
              <w:keepLines w:val="0"/>
              <w:suppressLineNumbers w:val="0"/>
              <w:spacing w:before="0" w:beforeAutospacing="0" w:after="0" w:afterAutospacing="0"/>
              <w:ind w:left="0" w:right="0" w:firstLine="420"/>
              <w:jc w:val="left"/>
              <w:rPr>
                <w:rFonts w:hint="eastAsia" w:ascii="宋体" w:hAnsi="宋体" w:cs="宋体"/>
                <w:szCs w:val="21"/>
                <w:highlight w:val="none"/>
              </w:rPr>
            </w:pPr>
            <w:r>
              <w:rPr>
                <w:rFonts w:hint="eastAsia" w:ascii="宋体" w:hAnsi="宋体" w:cs="宋体"/>
                <w:szCs w:val="21"/>
                <w:highlight w:val="none"/>
              </w:rPr>
              <w:t>运输业务实训软件功能：在干线运输调度数字中心配置运输业务实训软件，对标《干线运输业务操作与运营》的课程标准，通过全流程模拟订单处理、车辆调度、路径规划等基础操作，让学生快速掌握公路、铁路、水路及航空等运输业务规范。同时依托数据驱动的运营策略模拟与复杂场景应急决策功能，满足公路、铁路、水路及航空运输业务操作与运营的任务教学需求。</w:t>
            </w:r>
          </w:p>
          <w:p w14:paraId="23AE10C3">
            <w:pPr>
              <w:keepNext w:val="0"/>
              <w:keepLines w:val="0"/>
              <w:suppressLineNumbers w:val="0"/>
              <w:spacing w:before="0" w:beforeAutospacing="0" w:after="0" w:afterAutospacing="0"/>
              <w:ind w:left="0" w:right="0" w:firstLine="420"/>
              <w:jc w:val="left"/>
              <w:rPr>
                <w:rFonts w:hint="eastAsia" w:ascii="宋体" w:hAnsi="宋体" w:cs="宋体"/>
                <w:highlight w:val="none"/>
              </w:rPr>
            </w:pPr>
            <w:r>
              <w:rPr>
                <w:rFonts w:hint="eastAsia" w:ascii="宋体" w:hAnsi="宋体" w:cs="宋体"/>
                <w:szCs w:val="21"/>
                <w:highlight w:val="none"/>
              </w:rPr>
              <w:t>国际货代运输操作软件功能：国际货代运输操作软件是《货运代理业务操作》课程对标行业标准、深化实践教学的核心载体，需满足国际海运货代业务操作、国际空运货代业务操作、国际班列货代业务操作、世赛国际货代赛项综合训练等任务的教学需求。也可将将技能操作拆解为</w:t>
            </w:r>
            <w:r>
              <w:rPr>
                <w:rFonts w:hint="eastAsia" w:ascii="宋体" w:hAnsi="宋体" w:cs="宋体"/>
                <w:highlight w:val="none"/>
                <w:lang w:eastAsia="zh-CN"/>
              </w:rPr>
              <w:t>客户获取、报价计算、运输管理、成本与价格、单证缮制、应急处理</w:t>
            </w:r>
            <w:r>
              <w:rPr>
                <w:rFonts w:hint="eastAsia" w:ascii="宋体" w:hAnsi="宋体" w:cs="宋体"/>
                <w:szCs w:val="21"/>
                <w:highlight w:val="none"/>
              </w:rPr>
              <w:t>六大模块化任务，构建起“学练一体”的实战体系。</w:t>
            </w:r>
          </w:p>
          <w:p w14:paraId="2F67EED8">
            <w:pPr>
              <w:pStyle w:val="213"/>
              <w:keepNext w:val="0"/>
              <w:keepLines w:val="0"/>
              <w:suppressLineNumbers w:val="0"/>
              <w:spacing w:before="0" w:beforeAutospacing="0" w:after="0" w:afterAutospacing="0"/>
              <w:ind w:left="0" w:right="0"/>
              <w:rPr>
                <w:rFonts w:hint="eastAsia" w:ascii="宋体" w:hAnsi="宋体" w:cs="宋体"/>
                <w:color w:val="auto"/>
                <w:szCs w:val="21"/>
                <w:highlight w:val="none"/>
              </w:rPr>
            </w:pPr>
            <w:r>
              <w:rPr>
                <w:rFonts w:hint="eastAsia" w:ascii="宋体" w:hAnsi="宋体" w:cs="宋体"/>
                <w:szCs w:val="21"/>
                <w:highlight w:val="none"/>
              </w:rPr>
              <w:t>三、设备详细</w:t>
            </w:r>
            <w:r>
              <w:rPr>
                <w:rFonts w:hint="eastAsia" w:ascii="宋体" w:hAnsi="宋体" w:cs="宋体"/>
                <w:color w:val="auto"/>
                <w:szCs w:val="21"/>
                <w:highlight w:val="none"/>
              </w:rPr>
              <w:t>参数</w:t>
            </w:r>
          </w:p>
          <w:p w14:paraId="3B295700">
            <w:pPr>
              <w:keepNext w:val="0"/>
              <w:keepLines w:val="0"/>
              <w:suppressLineNumbers w:val="0"/>
              <w:spacing w:before="0" w:beforeAutospacing="0" w:after="0" w:afterAutospacing="0"/>
              <w:ind w:left="0" w:right="0" w:firstLine="420"/>
              <w:jc w:val="left"/>
              <w:rPr>
                <w:rFonts w:hint="eastAsia" w:ascii="宋体" w:hAnsi="宋体" w:cs="宋体"/>
                <w:color w:val="auto"/>
                <w:highlight w:val="none"/>
              </w:rPr>
            </w:pPr>
            <w:r>
              <w:rPr>
                <w:rFonts w:hint="eastAsia" w:ascii="宋体" w:hAnsi="宋体" w:cs="宋体"/>
                <w:color w:val="auto"/>
                <w:highlight w:val="none"/>
              </w:rPr>
              <w:t>（一）</w:t>
            </w:r>
            <w:r>
              <w:rPr>
                <w:rFonts w:hint="eastAsia" w:ascii="宋体" w:hAnsi="宋体" w:cs="宋体"/>
                <w:color w:val="auto"/>
                <w:szCs w:val="21"/>
                <w:highlight w:val="none"/>
              </w:rPr>
              <w:t>运输业务实训</w:t>
            </w:r>
            <w:r>
              <w:rPr>
                <w:rFonts w:hint="eastAsia" w:ascii="宋体" w:hAnsi="宋体" w:cs="宋体"/>
                <w:color w:val="auto"/>
                <w:szCs w:val="21"/>
                <w:highlight w:val="none"/>
                <w:lang w:val="en-US" w:eastAsia="zh-CN"/>
              </w:rPr>
              <w:t>平台</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不少于3年</w:t>
            </w:r>
            <w:r>
              <w:rPr>
                <w:rFonts w:hint="eastAsia" w:ascii="宋体" w:hAnsi="宋体" w:cs="宋体"/>
                <w:color w:val="auto"/>
                <w:szCs w:val="21"/>
                <w:highlight w:val="none"/>
              </w:rPr>
              <w:t>免费</w:t>
            </w:r>
            <w:r>
              <w:rPr>
                <w:rFonts w:hint="eastAsia" w:ascii="宋体" w:hAnsi="宋体" w:cs="宋体"/>
                <w:color w:val="auto"/>
                <w:szCs w:val="21"/>
                <w:highlight w:val="none"/>
                <w:lang w:val="en-US" w:eastAsia="zh-CN"/>
              </w:rPr>
              <w:t>维护与</w:t>
            </w:r>
            <w:r>
              <w:rPr>
                <w:rFonts w:hint="eastAsia" w:ascii="宋体" w:hAnsi="宋体" w:cs="宋体"/>
                <w:color w:val="auto"/>
                <w:szCs w:val="21"/>
                <w:highlight w:val="none"/>
              </w:rPr>
              <w:t>升级</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，1套</w:t>
            </w:r>
          </w:p>
          <w:p w14:paraId="651E203E">
            <w:pPr>
              <w:keepNext w:val="0"/>
              <w:keepLines w:val="0"/>
              <w:suppressLineNumbers w:val="0"/>
              <w:spacing w:before="0" w:beforeAutospacing="0" w:after="0" w:afterAutospacing="0"/>
              <w:ind w:left="0" w:right="0" w:firstLine="420"/>
              <w:rPr>
                <w:rFonts w:hint="eastAsia"/>
                <w:color w:val="auto"/>
                <w:szCs w:val="21"/>
                <w:highlight w:val="none"/>
              </w:rPr>
            </w:pPr>
            <w:r>
              <w:rPr>
                <w:rFonts w:hint="eastAsia" w:ascii="宋体" w:hAnsi="宋体" w:cs="宋体"/>
                <w:color w:val="auto"/>
                <w:highlight w:val="none"/>
              </w:rPr>
              <w:t>1.</w:t>
            </w:r>
            <w:r>
              <w:rPr>
                <w:rFonts w:hint="eastAsia"/>
                <w:color w:val="auto"/>
                <w:szCs w:val="21"/>
                <w:highlight w:val="none"/>
              </w:rPr>
              <w:t>教师端功能</w:t>
            </w:r>
          </w:p>
          <w:p w14:paraId="6C5EEE85">
            <w:pPr>
              <w:pStyle w:val="15"/>
              <w:keepNext w:val="0"/>
              <w:keepLines w:val="0"/>
              <w:suppressLineNumbers w:val="0"/>
              <w:spacing w:before="0" w:beforeAutospacing="0" w:after="0" w:afterAutospacing="0"/>
              <w:ind w:left="0" w:right="0" w:firstLine="420"/>
              <w:jc w:val="left"/>
              <w:rPr>
                <w:rFonts w:hint="eastAsia" w:ascii="宋体" w:hAnsi="宋体" w:cs="宋体"/>
                <w:highlight w:val="none"/>
              </w:rPr>
            </w:pPr>
            <w:r>
              <w:rPr>
                <w:rFonts w:hint="eastAsia" w:ascii="宋体" w:hAnsi="宋体" w:cs="宋体"/>
                <w:highlight w:val="none"/>
              </w:rPr>
              <w:t>(1)需具备班级管理功能，可以进行班级的创建或新增以及案例包的分配；教师可以进行初始化班级数据，控制班级开始和暂停时间；</w:t>
            </w:r>
          </w:p>
          <w:p w14:paraId="31D2CC60">
            <w:pPr>
              <w:pStyle w:val="15"/>
              <w:keepNext w:val="0"/>
              <w:keepLines w:val="0"/>
              <w:suppressLineNumbers w:val="0"/>
              <w:spacing w:before="0" w:beforeAutospacing="0" w:after="0" w:afterAutospacing="0"/>
              <w:ind w:left="0" w:right="0" w:firstLine="420"/>
              <w:jc w:val="left"/>
              <w:rPr>
                <w:rFonts w:hint="eastAsia" w:ascii="宋体" w:hAnsi="宋体" w:cs="宋体"/>
                <w:highlight w:val="none"/>
              </w:rPr>
            </w:pPr>
            <w:r>
              <w:rPr>
                <w:rFonts w:hint="eastAsia" w:ascii="宋体" w:hAnsi="宋体" w:cs="宋体"/>
                <w:highlight w:val="none"/>
              </w:rPr>
              <w:t>(2)需具备学生管理功能，教师可以创建或新增学生账号并导出学生成绩；</w:t>
            </w:r>
          </w:p>
          <w:p w14:paraId="7598D40D">
            <w:pPr>
              <w:keepNext w:val="0"/>
              <w:keepLines w:val="0"/>
              <w:suppressLineNumbers w:val="0"/>
              <w:spacing w:before="0" w:beforeAutospacing="0" w:after="0" w:afterAutospacing="0"/>
              <w:ind w:left="0" w:right="0" w:firstLine="420"/>
              <w:rPr>
                <w:rFonts w:hint="eastAsia"/>
                <w:szCs w:val="21"/>
                <w:highlight w:val="none"/>
              </w:rPr>
            </w:pPr>
            <w:r>
              <w:rPr>
                <w:rFonts w:hint="eastAsia" w:ascii="宋体" w:hAnsi="宋体" w:cs="宋体"/>
                <w:highlight w:val="none"/>
              </w:rPr>
              <w:t>2.</w:t>
            </w:r>
            <w:r>
              <w:rPr>
                <w:rFonts w:hint="eastAsia"/>
                <w:szCs w:val="21"/>
                <w:highlight w:val="none"/>
              </w:rPr>
              <w:t>学生端功能</w:t>
            </w:r>
          </w:p>
          <w:p w14:paraId="28E866B9">
            <w:pPr>
              <w:pStyle w:val="15"/>
              <w:keepNext w:val="0"/>
              <w:keepLines w:val="0"/>
              <w:suppressLineNumbers w:val="0"/>
              <w:spacing w:before="0" w:beforeAutospacing="0" w:after="0" w:afterAutospacing="0"/>
              <w:ind w:left="0" w:right="0" w:firstLine="420"/>
              <w:jc w:val="left"/>
              <w:rPr>
                <w:rFonts w:hint="eastAsia" w:ascii="宋体" w:hAnsi="宋体" w:cs="宋体"/>
                <w:highlight w:val="none"/>
              </w:rPr>
            </w:pPr>
            <w:r>
              <w:rPr>
                <w:rFonts w:hint="eastAsia" w:ascii="宋体" w:hAnsi="宋体" w:cs="宋体"/>
                <w:highlight w:val="none"/>
              </w:rPr>
              <w:t>(1)应具备企业运营管理，可支持竞技模式、自由模式两种类型；</w:t>
            </w:r>
          </w:p>
          <w:p w14:paraId="242E406C">
            <w:pPr>
              <w:pStyle w:val="15"/>
              <w:keepNext w:val="0"/>
              <w:keepLines w:val="0"/>
              <w:suppressLineNumbers w:val="0"/>
              <w:spacing w:before="0" w:beforeAutospacing="0" w:after="0" w:afterAutospacing="0"/>
              <w:ind w:left="0" w:right="0" w:firstLine="420"/>
              <w:jc w:val="left"/>
              <w:rPr>
                <w:rFonts w:hint="eastAsia" w:ascii="宋体" w:hAnsi="宋体" w:cs="宋体"/>
                <w:highlight w:val="none"/>
              </w:rPr>
            </w:pPr>
            <w:r>
              <w:rPr>
                <w:rFonts w:hint="eastAsia" w:ascii="宋体" w:hAnsi="宋体" w:cs="宋体"/>
                <w:highlight w:val="none"/>
              </w:rPr>
              <w:t>(2)支持职能分配，可实现团队分工合作运营。包含但不限于调度、业务、运输和规划等职位；</w:t>
            </w:r>
          </w:p>
          <w:p w14:paraId="3C8C19BB">
            <w:pPr>
              <w:keepNext w:val="0"/>
              <w:keepLines w:val="0"/>
              <w:suppressLineNumbers w:val="0"/>
              <w:spacing w:before="0" w:beforeAutospacing="0" w:after="0" w:afterAutospacing="0"/>
              <w:ind w:left="0" w:right="0"/>
              <w:rPr>
                <w:rFonts w:hint="eastAsia"/>
                <w:szCs w:val="21"/>
                <w:highlight w:val="none"/>
              </w:rPr>
            </w:pPr>
            <w:r>
              <w:rPr>
                <w:rFonts w:hint="eastAsia"/>
                <w:szCs w:val="21"/>
                <w:highlight w:val="none"/>
              </w:rPr>
              <w:t xml:space="preserve">    </w:t>
            </w:r>
            <w:r>
              <w:rPr>
                <w:rFonts w:hint="eastAsia"/>
                <w:szCs w:val="21"/>
                <w:highlight w:val="none"/>
                <w:lang w:val="en-US" w:eastAsia="zh-CN"/>
              </w:rPr>
              <w:t>3.</w:t>
            </w:r>
            <w:r>
              <w:rPr>
                <w:rFonts w:hint="eastAsia"/>
                <w:szCs w:val="21"/>
                <w:highlight w:val="none"/>
              </w:rPr>
              <w:t>站点与集散中心管理</w:t>
            </w:r>
          </w:p>
          <w:p w14:paraId="57E8CBCC">
            <w:pPr>
              <w:keepNext w:val="0"/>
              <w:keepLines w:val="0"/>
              <w:suppressLineNumbers w:val="0"/>
              <w:spacing w:before="0" w:beforeAutospacing="0" w:after="0" w:afterAutospacing="0"/>
              <w:ind w:left="0" w:right="0" w:firstLine="420"/>
              <w:rPr>
                <w:rFonts w:hint="eastAsia"/>
                <w:szCs w:val="21"/>
                <w:highlight w:val="none"/>
              </w:rPr>
            </w:pPr>
            <w:r>
              <w:rPr>
                <w:rFonts w:hint="eastAsia" w:ascii="宋体" w:hAnsi="宋体" w:cs="宋体"/>
                <w:highlight w:val="none"/>
              </w:rPr>
              <w:t>(1)</w:t>
            </w:r>
            <w:r>
              <w:rPr>
                <w:rFonts w:hint="eastAsia"/>
                <w:szCs w:val="21"/>
                <w:highlight w:val="none"/>
              </w:rPr>
              <w:t>站点模块：支持开通、升级站点，可监控运输详情及利润情况。</w:t>
            </w:r>
          </w:p>
          <w:p w14:paraId="27954E51">
            <w:pPr>
              <w:keepNext w:val="0"/>
              <w:keepLines w:val="0"/>
              <w:suppressLineNumbers w:val="0"/>
              <w:spacing w:before="0" w:beforeAutospacing="0" w:after="0" w:afterAutospacing="0"/>
              <w:ind w:left="0" w:right="0" w:firstLine="420"/>
              <w:rPr>
                <w:rFonts w:hint="eastAsia"/>
                <w:szCs w:val="21"/>
                <w:highlight w:val="none"/>
              </w:rPr>
            </w:pPr>
            <w:r>
              <w:rPr>
                <w:rFonts w:hint="eastAsia" w:ascii="宋体" w:hAnsi="宋体" w:cs="宋体"/>
                <w:highlight w:val="none"/>
              </w:rPr>
              <w:t>(2)</w:t>
            </w:r>
            <w:r>
              <w:rPr>
                <w:rFonts w:hint="eastAsia"/>
                <w:szCs w:val="21"/>
                <w:highlight w:val="none"/>
              </w:rPr>
              <w:t>集散中心模块：支持开通、升级及辐射范围选择；具备货物处理监控、仓储监控功能，可按订单时效调整货物处理；支持多式联运。</w:t>
            </w:r>
          </w:p>
          <w:p w14:paraId="4732C99E">
            <w:pPr>
              <w:keepNext w:val="0"/>
              <w:keepLines w:val="0"/>
              <w:suppressLineNumbers w:val="0"/>
              <w:spacing w:before="0" w:beforeAutospacing="0" w:after="0" w:afterAutospacing="0"/>
              <w:ind w:left="0" w:right="0" w:firstLine="420"/>
              <w:rPr>
                <w:rFonts w:hint="eastAsia" w:eastAsia="宋体"/>
                <w:szCs w:val="21"/>
                <w:highlight w:val="none"/>
                <w:lang w:eastAsia="zh-CN"/>
              </w:rPr>
            </w:pPr>
            <w:r>
              <w:rPr>
                <w:rFonts w:hint="eastAsia"/>
                <w:szCs w:val="21"/>
                <w:highlight w:val="none"/>
              </w:rPr>
              <w:t>4.订单管理</w:t>
            </w:r>
            <w:r>
              <w:rPr>
                <w:rFonts w:hint="eastAsia"/>
                <w:szCs w:val="21"/>
                <w:highlight w:val="none"/>
                <w:lang w:eastAsia="zh-CN"/>
              </w:rPr>
              <w:t>（根据国标和课标要求，干线运输业务操作需要进行大量的不同的订单操作，而且订单操作要完整）需满足以下功能需求：</w:t>
            </w:r>
          </w:p>
          <w:p w14:paraId="7F662992">
            <w:pPr>
              <w:keepNext w:val="0"/>
              <w:keepLines w:val="0"/>
              <w:suppressLineNumbers w:val="0"/>
              <w:spacing w:before="0" w:beforeAutospacing="0" w:after="0" w:afterAutospacing="0"/>
              <w:ind w:left="0" w:right="0" w:firstLine="420"/>
              <w:rPr>
                <w:rFonts w:hint="eastAsia"/>
                <w:szCs w:val="21"/>
                <w:highlight w:val="none"/>
              </w:rPr>
            </w:pPr>
            <w:r>
              <w:rPr>
                <w:rFonts w:hint="eastAsia" w:ascii="宋体" w:hAnsi="宋体" w:cs="宋体"/>
                <w:highlight w:val="none"/>
              </w:rPr>
              <w:t>(1)</w:t>
            </w:r>
            <w:r>
              <w:rPr>
                <w:rFonts w:hint="eastAsia"/>
                <w:szCs w:val="21"/>
                <w:highlight w:val="none"/>
              </w:rPr>
              <w:t>订单大厅：包含运输中不同订单人如大型公司、个体、包车等，订单量随市场分配、周期动态变化，符合实时态势规律。</w:t>
            </w:r>
          </w:p>
          <w:p w14:paraId="3A6AA679">
            <w:pPr>
              <w:keepNext w:val="0"/>
              <w:keepLines w:val="0"/>
              <w:suppressLineNumbers w:val="0"/>
              <w:spacing w:before="0" w:beforeAutospacing="0" w:after="0" w:afterAutospacing="0"/>
              <w:ind w:left="0" w:right="0" w:firstLine="422"/>
              <w:rPr>
                <w:rFonts w:hint="eastAsia"/>
                <w:color w:val="0000FF"/>
                <w:szCs w:val="21"/>
                <w:highlight w:val="none"/>
              </w:rPr>
            </w:pPr>
            <w:r>
              <w:rPr>
                <w:rFonts w:hint="eastAsia" w:ascii="宋体" w:hAnsi="宋体" w:eastAsia="宋体" w:cs="宋体"/>
                <w:b/>
                <w:bCs/>
                <w:color w:val="0000FF"/>
                <w:szCs w:val="21"/>
                <w:highlight w:val="none"/>
              </w:rPr>
              <w:t>★</w:t>
            </w:r>
            <w:r>
              <w:rPr>
                <w:rFonts w:hint="eastAsia" w:ascii="宋体" w:hAnsi="宋体" w:cs="宋体"/>
                <w:b/>
                <w:bCs/>
                <w:color w:val="0000FF"/>
                <w:highlight w:val="none"/>
              </w:rPr>
              <w:t>(2)</w:t>
            </w:r>
            <w:r>
              <w:rPr>
                <w:rFonts w:hint="eastAsia"/>
                <w:b/>
                <w:bCs/>
                <w:color w:val="0000FF"/>
                <w:szCs w:val="21"/>
                <w:highlight w:val="none"/>
              </w:rPr>
              <w:t>订单操作：</w:t>
            </w:r>
            <w:r>
              <w:rPr>
                <w:rFonts w:hint="eastAsia"/>
                <w:color w:val="0000FF"/>
                <w:szCs w:val="21"/>
                <w:highlight w:val="none"/>
              </w:rPr>
              <w:t>包含订单具体情况（订单客户、合同、货物类型、保价）、订单支持招标（综合资质评分与报价定标）、实时监控（位置、状态、运力、历史记录）、已完成订单存档（含合同、单据及完成情况）。</w:t>
            </w:r>
            <w:r>
              <w:rPr>
                <w:rFonts w:hint="eastAsia" w:eastAsia="宋体" w:cs="Times New Roman"/>
                <w:color w:val="0000FF"/>
                <w:szCs w:val="21"/>
                <w:highlight w:val="none"/>
              </w:rPr>
              <w:t>运输模块订单资源智能体要求：①依PPT、动画或视频自动生成常见问题并精准作答；②按指令生成案例（含背景、要求），可引导解答、给答案并评价；③交互网页呈现案例，支持给答案、引导及评价；④按指令生成简、中、难三级测验题。</w:t>
            </w:r>
            <w:r>
              <w:rPr>
                <w:rFonts w:hint="eastAsia"/>
                <w:color w:val="0000FF"/>
                <w:szCs w:val="21"/>
                <w:highlight w:val="none"/>
              </w:rPr>
              <w:t>（提供演示视频）</w:t>
            </w:r>
          </w:p>
          <w:p w14:paraId="78772481">
            <w:pPr>
              <w:keepNext w:val="0"/>
              <w:keepLines w:val="0"/>
              <w:suppressLineNumbers w:val="0"/>
              <w:spacing w:before="0" w:beforeAutospacing="0" w:after="0" w:afterAutospacing="0"/>
              <w:ind w:left="0" w:right="0" w:firstLine="420"/>
              <w:rPr>
                <w:rFonts w:hint="eastAsia"/>
                <w:szCs w:val="21"/>
                <w:highlight w:val="none"/>
              </w:rPr>
            </w:pPr>
            <w:r>
              <w:rPr>
                <w:rFonts w:hint="eastAsia"/>
                <w:szCs w:val="21"/>
                <w:highlight w:val="none"/>
              </w:rPr>
              <w:t>5.运力与运输管理</w:t>
            </w:r>
          </w:p>
          <w:p w14:paraId="42DF1A18">
            <w:pPr>
              <w:keepNext w:val="0"/>
              <w:keepLines w:val="0"/>
              <w:suppressLineNumbers w:val="0"/>
              <w:spacing w:before="0" w:beforeAutospacing="0" w:after="0" w:afterAutospacing="0"/>
              <w:ind w:left="0" w:right="0" w:firstLine="420"/>
              <w:rPr>
                <w:rFonts w:hint="eastAsia"/>
                <w:szCs w:val="21"/>
                <w:highlight w:val="none"/>
              </w:rPr>
            </w:pPr>
            <w:r>
              <w:rPr>
                <w:rFonts w:hint="eastAsia" w:ascii="宋体" w:hAnsi="宋体" w:cs="宋体"/>
                <w:highlight w:val="none"/>
              </w:rPr>
              <w:t>(1)</w:t>
            </w:r>
            <w:r>
              <w:rPr>
                <w:rFonts w:hint="eastAsia"/>
                <w:szCs w:val="21"/>
                <w:highlight w:val="none"/>
              </w:rPr>
              <w:t>商城运力：至少展示运力车辆包含但不限于类型、油耗、核载、价格等信息。</w:t>
            </w:r>
          </w:p>
          <w:p w14:paraId="4EAB9CEE">
            <w:pPr>
              <w:keepNext w:val="0"/>
              <w:keepLines w:val="0"/>
              <w:suppressLineNumbers w:val="0"/>
              <w:spacing w:before="0" w:beforeAutospacing="0" w:after="0" w:afterAutospacing="0"/>
              <w:ind w:left="0" w:right="0" w:firstLine="420"/>
              <w:rPr>
                <w:rFonts w:hint="eastAsia"/>
                <w:szCs w:val="21"/>
                <w:highlight w:val="none"/>
              </w:rPr>
            </w:pPr>
            <w:r>
              <w:rPr>
                <w:rFonts w:hint="eastAsia" w:ascii="宋体" w:hAnsi="宋体" w:cs="宋体"/>
                <w:highlight w:val="none"/>
              </w:rPr>
              <w:t>(2)</w:t>
            </w:r>
            <w:r>
              <w:rPr>
                <w:rFonts w:hint="eastAsia"/>
                <w:szCs w:val="21"/>
                <w:highlight w:val="none"/>
              </w:rPr>
              <w:t>承运商：至少包含公路、铁路、航空、水路四类运输方式，按业务范围、速度、收费差异配置，支持选择签约时效。</w:t>
            </w:r>
          </w:p>
          <w:p w14:paraId="63488827">
            <w:pPr>
              <w:keepNext w:val="0"/>
              <w:keepLines w:val="0"/>
              <w:suppressLineNumbers w:val="0"/>
              <w:spacing w:before="0" w:beforeAutospacing="0" w:after="0" w:afterAutospacing="0"/>
              <w:ind w:left="0" w:right="0" w:firstLine="420"/>
              <w:rPr>
                <w:rFonts w:hint="eastAsia"/>
                <w:szCs w:val="21"/>
                <w:highlight w:val="none"/>
              </w:rPr>
            </w:pPr>
            <w:r>
              <w:rPr>
                <w:rFonts w:hint="eastAsia" w:ascii="宋体" w:hAnsi="宋体" w:cs="宋体"/>
                <w:highlight w:val="none"/>
              </w:rPr>
              <w:t>(3)</w:t>
            </w:r>
            <w:r>
              <w:rPr>
                <w:rFonts w:hint="eastAsia"/>
                <w:szCs w:val="21"/>
                <w:highlight w:val="none"/>
              </w:rPr>
              <w:t>班线与路由：可设置起点、终点及途经点，支持定时/装满发运，可配置运力优先级；路由支持多式联运。</w:t>
            </w:r>
          </w:p>
          <w:p w14:paraId="65380BEF">
            <w:pPr>
              <w:keepNext w:val="0"/>
              <w:keepLines w:val="0"/>
              <w:suppressLineNumbers w:val="0"/>
              <w:spacing w:before="0" w:beforeAutospacing="0" w:after="0" w:afterAutospacing="0"/>
              <w:ind w:left="0" w:right="0" w:firstLine="420"/>
              <w:rPr>
                <w:rFonts w:hint="eastAsia"/>
                <w:szCs w:val="21"/>
                <w:highlight w:val="none"/>
              </w:rPr>
            </w:pPr>
            <w:r>
              <w:rPr>
                <w:rFonts w:hint="eastAsia" w:ascii="宋体" w:hAnsi="宋体" w:cs="宋体"/>
                <w:highlight w:val="none"/>
              </w:rPr>
              <w:t>(4)</w:t>
            </w:r>
            <w:r>
              <w:rPr>
                <w:rFonts w:hint="eastAsia"/>
                <w:szCs w:val="21"/>
                <w:highlight w:val="none"/>
              </w:rPr>
              <w:t>调度功能：支持手动调度（选择订单后提供可连通线路供选）和自动调度（智能算法推荐最优线路与运力），调度依据包括订单到货时间、重量、货物类型等。</w:t>
            </w:r>
          </w:p>
          <w:p w14:paraId="3A44AA7E">
            <w:pPr>
              <w:keepNext w:val="0"/>
              <w:keepLines w:val="0"/>
              <w:suppressLineNumbers w:val="0"/>
              <w:spacing w:before="0" w:beforeAutospacing="0" w:after="0" w:afterAutospacing="0"/>
              <w:ind w:left="0" w:right="0" w:firstLine="420"/>
              <w:rPr>
                <w:rFonts w:hint="eastAsia" w:eastAsia="宋体"/>
                <w:szCs w:val="21"/>
                <w:highlight w:val="none"/>
                <w:lang w:eastAsia="zh-CN"/>
              </w:rPr>
            </w:pPr>
            <w:r>
              <w:rPr>
                <w:rFonts w:hint="eastAsia"/>
                <w:szCs w:val="21"/>
                <w:highlight w:val="none"/>
              </w:rPr>
              <w:t>6.企业运营监控</w:t>
            </w:r>
            <w:r>
              <w:rPr>
                <w:rFonts w:hint="eastAsia"/>
                <w:szCs w:val="21"/>
                <w:highlight w:val="none"/>
                <w:lang w:eastAsia="zh-CN"/>
              </w:rPr>
              <w:t>（根据国标和课标需求，干线运输业务运营涉及到模拟不同运输方式的不同企业的业务运营的分析，需要主要干线、高铁通道、以及不同港口作为支撑。财务业务数据便于进行数据分析和复盘），需达到以下功能需求：</w:t>
            </w:r>
          </w:p>
          <w:p w14:paraId="23F6F64C">
            <w:pPr>
              <w:keepNext w:val="0"/>
              <w:keepLines w:val="0"/>
              <w:suppressLineNumbers w:val="0"/>
              <w:spacing w:before="0" w:beforeAutospacing="0" w:after="0" w:afterAutospacing="0"/>
              <w:ind w:left="0" w:right="0" w:firstLine="420"/>
              <w:rPr>
                <w:rFonts w:hint="eastAsia"/>
                <w:szCs w:val="21"/>
                <w:highlight w:val="none"/>
              </w:rPr>
            </w:pPr>
            <w:r>
              <w:rPr>
                <w:rFonts w:hint="eastAsia" w:ascii="宋体" w:hAnsi="宋体" w:cs="宋体"/>
                <w:highlight w:val="none"/>
              </w:rPr>
              <w:t>(1)</w:t>
            </w:r>
            <w:r>
              <w:rPr>
                <w:rFonts w:hint="eastAsia"/>
                <w:szCs w:val="21"/>
                <w:highlight w:val="none"/>
              </w:rPr>
              <w:t>公司详情：至少展示得分、总资产、现金、运力、公司等级等基础信息。</w:t>
            </w:r>
          </w:p>
          <w:p w14:paraId="16FD730E">
            <w:pPr>
              <w:keepNext w:val="0"/>
              <w:keepLines w:val="0"/>
              <w:suppressLineNumbers w:val="0"/>
              <w:spacing w:before="0" w:beforeAutospacing="0" w:after="0" w:afterAutospacing="0"/>
              <w:ind w:left="0" w:right="0" w:firstLine="422"/>
              <w:rPr>
                <w:rFonts w:hint="eastAsia"/>
                <w:color w:val="0000FF"/>
                <w:szCs w:val="21"/>
                <w:highlight w:val="none"/>
              </w:rPr>
            </w:pPr>
            <w:r>
              <w:rPr>
                <w:rFonts w:hint="eastAsia" w:ascii="宋体" w:hAnsi="宋体" w:eastAsia="宋体" w:cs="宋体"/>
                <w:b/>
                <w:bCs/>
                <w:color w:val="0000FF"/>
                <w:szCs w:val="21"/>
                <w:highlight w:val="none"/>
              </w:rPr>
              <w:t>★</w:t>
            </w:r>
            <w:r>
              <w:rPr>
                <w:rFonts w:hint="eastAsia" w:ascii="宋体" w:hAnsi="宋体" w:cs="宋体"/>
                <w:b/>
                <w:bCs/>
                <w:color w:val="0000FF"/>
                <w:highlight w:val="none"/>
              </w:rPr>
              <w:t>(2)</w:t>
            </w:r>
            <w:r>
              <w:rPr>
                <w:rFonts w:hint="eastAsia"/>
                <w:b/>
                <w:bCs/>
                <w:color w:val="0000FF"/>
                <w:szCs w:val="21"/>
                <w:highlight w:val="none"/>
              </w:rPr>
              <w:t>财务及业务模块：</w:t>
            </w:r>
            <w:r>
              <w:rPr>
                <w:rFonts w:hint="eastAsia"/>
                <w:color w:val="0000FF"/>
                <w:szCs w:val="21"/>
                <w:highlight w:val="none"/>
              </w:rPr>
              <w:t>至少展示各项收支，提供利润表、资产负债表、现金流量表；统计固定资产及网络规划数据，支持运营数据分析。业务量趋势、运输进度、收入趋势、订单准时率/完成率等数据。</w:t>
            </w:r>
            <w:r>
              <w:rPr>
                <w:rFonts w:hint="eastAsia" w:eastAsia="宋体" w:cs="Times New Roman"/>
                <w:color w:val="0000FF"/>
                <w:szCs w:val="21"/>
                <w:highlight w:val="none"/>
                <w:lang w:val="en-US" w:eastAsia="zh-CN"/>
              </w:rPr>
              <w:t>数据中</w:t>
            </w:r>
            <w:r>
              <w:rPr>
                <w:rFonts w:hint="eastAsia" w:eastAsia="宋体" w:cs="Times New Roman"/>
                <w:color w:val="0000FF"/>
                <w:szCs w:val="21"/>
                <w:highlight w:val="none"/>
              </w:rPr>
              <w:t>运输最优路径规划交互游戏：用户通过多关卡规划不同订单运输路径，熟悉完整规划流程；支持不同路径运输成本计算与对比分析。（提供演示视频）</w:t>
            </w:r>
          </w:p>
          <w:p w14:paraId="706C70A8">
            <w:pPr>
              <w:keepNext w:val="0"/>
              <w:keepLines w:val="0"/>
              <w:suppressLineNumbers w:val="0"/>
              <w:spacing w:before="0" w:beforeAutospacing="0" w:after="0" w:afterAutospacing="0"/>
              <w:ind w:left="0" w:right="0" w:firstLine="420"/>
              <w:rPr>
                <w:rFonts w:hint="eastAsia"/>
                <w:szCs w:val="21"/>
                <w:highlight w:val="none"/>
              </w:rPr>
            </w:pPr>
            <w:r>
              <w:rPr>
                <w:rFonts w:hint="eastAsia" w:ascii="宋体" w:hAnsi="宋体" w:cs="宋体"/>
                <w:highlight w:val="none"/>
              </w:rPr>
              <w:t>(3)</w:t>
            </w:r>
            <w:r>
              <w:rPr>
                <w:rFonts w:hint="eastAsia"/>
                <w:szCs w:val="21"/>
                <w:highlight w:val="none"/>
              </w:rPr>
              <w:t>排名模块：至少展示班级内综合得分、绩效、基础信息、固资等排名。</w:t>
            </w:r>
          </w:p>
          <w:p w14:paraId="74E4D38C">
            <w:pPr>
              <w:keepNext w:val="0"/>
              <w:keepLines w:val="0"/>
              <w:suppressLineNumbers w:val="0"/>
              <w:spacing w:before="0" w:beforeAutospacing="0" w:after="0" w:afterAutospacing="0"/>
              <w:ind w:left="0" w:right="0" w:firstLine="422"/>
              <w:rPr>
                <w:rFonts w:hint="eastAsia"/>
                <w:color w:val="0000FF"/>
                <w:szCs w:val="21"/>
                <w:highlight w:val="none"/>
              </w:rPr>
            </w:pPr>
            <w:r>
              <w:rPr>
                <w:rFonts w:hint="eastAsia" w:ascii="宋体" w:hAnsi="宋体" w:eastAsia="宋体" w:cs="宋体"/>
                <w:b/>
                <w:bCs/>
                <w:color w:val="0000FF"/>
                <w:szCs w:val="21"/>
                <w:highlight w:val="none"/>
              </w:rPr>
              <w:t>★</w:t>
            </w:r>
            <w:r>
              <w:rPr>
                <w:rFonts w:hint="eastAsia" w:ascii="宋体" w:hAnsi="宋体" w:cs="宋体"/>
                <w:b/>
                <w:bCs/>
                <w:color w:val="0000FF"/>
                <w:highlight w:val="none"/>
              </w:rPr>
              <w:t>(4)</w:t>
            </w:r>
            <w:r>
              <w:rPr>
                <w:rFonts w:hint="eastAsia"/>
                <w:b/>
                <w:bCs/>
                <w:color w:val="0000FF"/>
                <w:szCs w:val="21"/>
                <w:highlight w:val="none"/>
              </w:rPr>
              <w:t>干线模块：</w:t>
            </w:r>
            <w:r>
              <w:rPr>
                <w:rFonts w:hint="eastAsia"/>
                <w:color w:val="0000FF"/>
                <w:szCs w:val="21"/>
                <w:highlight w:val="none"/>
              </w:rPr>
              <w:t>至少展示全国主要公路干线（首都放射线、南北纵线、东西横线）、铁路（八横八纵高铁通道）、水路及航空港口。结合大数据分析订单、运力、班线、路由、承运商、站点、集散中心等</w:t>
            </w:r>
            <w:r>
              <w:rPr>
                <w:rFonts w:hint="eastAsia"/>
                <w:color w:val="0000FF"/>
                <w:szCs w:val="21"/>
                <w:highlight w:val="none"/>
                <w:lang w:eastAsia="zh-CN"/>
              </w:rPr>
              <w:t>，</w:t>
            </w:r>
            <w:r>
              <w:rPr>
                <w:rFonts w:hint="eastAsia" w:eastAsia="宋体" w:cs="Times New Roman"/>
                <w:color w:val="0000FF"/>
                <w:szCs w:val="21"/>
                <w:highlight w:val="none"/>
              </w:rPr>
              <w:t>该模块</w:t>
            </w:r>
            <w:r>
              <w:rPr>
                <w:rFonts w:hint="eastAsia" w:eastAsia="宋体" w:cs="Times New Roman"/>
                <w:color w:val="0000FF"/>
                <w:szCs w:val="21"/>
                <w:highlight w:val="none"/>
                <w:lang w:eastAsia="zh-CN"/>
              </w:rPr>
              <w:t>需含</w:t>
            </w:r>
            <w:r>
              <w:rPr>
                <w:rFonts w:hint="eastAsia" w:eastAsia="宋体" w:cs="Times New Roman"/>
                <w:color w:val="0000FF"/>
                <w:szCs w:val="21"/>
                <w:highlight w:val="none"/>
              </w:rPr>
              <w:t>运输网络节点选址交互游戏，用户可在多城市建集散中心并决策；提供清晰操作步骤与方法说明，引导完成数据分析流程，依操作反馈助力理解选址原理及成本控制策略，支持反复尝试不同方案。（提供演示视频）</w:t>
            </w:r>
          </w:p>
          <w:p w14:paraId="3353BEA7">
            <w:pPr>
              <w:keepNext w:val="0"/>
              <w:keepLines w:val="0"/>
              <w:suppressLineNumbers w:val="0"/>
              <w:spacing w:before="0" w:beforeAutospacing="0" w:after="0" w:afterAutospacing="0"/>
              <w:ind w:left="0" w:right="0" w:firstLine="420"/>
              <w:rPr>
                <w:rFonts w:hint="eastAsia"/>
                <w:szCs w:val="21"/>
                <w:highlight w:val="none"/>
              </w:rPr>
            </w:pPr>
            <w:r>
              <w:rPr>
                <w:rFonts w:hint="eastAsia" w:ascii="宋体" w:hAnsi="宋体" w:cs="宋体"/>
                <w:highlight w:val="none"/>
              </w:rPr>
              <w:t>(5)</w:t>
            </w:r>
            <w:r>
              <w:rPr>
                <w:rFonts w:hint="eastAsia"/>
                <w:szCs w:val="21"/>
                <w:highlight w:val="none"/>
              </w:rPr>
              <w:t>市场模块：至少展示历史市场数据，含各站点不同货品类型、不同时间的发货量与到货量。</w:t>
            </w:r>
          </w:p>
          <w:p w14:paraId="60F4B057">
            <w:pPr>
              <w:keepNext w:val="0"/>
              <w:keepLines w:val="0"/>
              <w:suppressLineNumbers w:val="0"/>
              <w:spacing w:before="0" w:beforeAutospacing="0" w:after="0" w:afterAutospacing="0"/>
              <w:ind w:left="0" w:right="0" w:firstLine="420"/>
              <w:rPr>
                <w:rFonts w:hint="eastAsia"/>
                <w:szCs w:val="21"/>
                <w:highlight w:val="none"/>
              </w:rPr>
            </w:pPr>
            <w:r>
              <w:rPr>
                <w:rFonts w:hint="eastAsia"/>
                <w:szCs w:val="21"/>
                <w:highlight w:val="none"/>
              </w:rPr>
              <w:t>7.辅助功能</w:t>
            </w:r>
          </w:p>
          <w:p w14:paraId="50C70D69">
            <w:pPr>
              <w:keepNext w:val="0"/>
              <w:keepLines w:val="0"/>
              <w:suppressLineNumbers w:val="0"/>
              <w:spacing w:before="0" w:beforeAutospacing="0" w:after="0" w:afterAutospacing="0"/>
              <w:ind w:left="0" w:right="0" w:firstLine="420"/>
              <w:rPr>
                <w:rFonts w:hint="eastAsia"/>
                <w:szCs w:val="21"/>
                <w:highlight w:val="none"/>
              </w:rPr>
            </w:pPr>
            <w:r>
              <w:rPr>
                <w:rFonts w:hint="eastAsia" w:ascii="宋体" w:hAnsi="宋体" w:cs="宋体"/>
                <w:highlight w:val="none"/>
              </w:rPr>
              <w:t>(1)</w:t>
            </w:r>
            <w:r>
              <w:rPr>
                <w:rFonts w:hint="eastAsia"/>
                <w:szCs w:val="21"/>
                <w:highlight w:val="none"/>
              </w:rPr>
              <w:t>消息通知：至少需记录订单完成、站点开通、运力购买等信息。</w:t>
            </w:r>
          </w:p>
          <w:p w14:paraId="1A4C9107">
            <w:pPr>
              <w:keepNext w:val="0"/>
              <w:keepLines w:val="0"/>
              <w:suppressLineNumbers w:val="0"/>
              <w:spacing w:before="0" w:beforeAutospacing="0" w:after="0" w:afterAutospacing="0"/>
              <w:ind w:left="0" w:right="0" w:firstLine="420"/>
              <w:rPr>
                <w:rFonts w:hint="eastAsia"/>
                <w:szCs w:val="21"/>
                <w:highlight w:val="none"/>
              </w:rPr>
            </w:pPr>
            <w:r>
              <w:rPr>
                <w:rFonts w:hint="eastAsia" w:ascii="宋体" w:hAnsi="宋体" w:cs="宋体"/>
                <w:highlight w:val="none"/>
              </w:rPr>
              <w:t>(2)</w:t>
            </w:r>
            <w:r>
              <w:rPr>
                <w:rFonts w:hint="eastAsia"/>
                <w:szCs w:val="21"/>
                <w:highlight w:val="none"/>
              </w:rPr>
              <w:t>知识题库：需包含物流相关题目和知识点。</w:t>
            </w:r>
          </w:p>
          <w:p w14:paraId="569F5ACC">
            <w:pPr>
              <w:keepNext w:val="0"/>
              <w:keepLines w:val="0"/>
              <w:suppressLineNumbers w:val="0"/>
              <w:spacing w:before="0" w:beforeAutospacing="0" w:after="0" w:afterAutospacing="0"/>
              <w:ind w:left="0" w:right="0" w:firstLine="420"/>
              <w:rPr>
                <w:rFonts w:hint="eastAsia"/>
                <w:szCs w:val="21"/>
                <w:highlight w:val="none"/>
              </w:rPr>
            </w:pPr>
            <w:r>
              <w:rPr>
                <w:rFonts w:hint="eastAsia" w:ascii="宋体" w:hAnsi="宋体" w:cs="宋体"/>
                <w:highlight w:val="none"/>
              </w:rPr>
              <w:t>(3)</w:t>
            </w:r>
            <w:r>
              <w:rPr>
                <w:rFonts w:hint="eastAsia"/>
                <w:szCs w:val="21"/>
                <w:highlight w:val="none"/>
              </w:rPr>
              <w:t>异常与预警：需支持配置案例异常以考查处理能力；操作失误时触发提醒。</w:t>
            </w:r>
          </w:p>
          <w:p w14:paraId="1D92D2E7">
            <w:pPr>
              <w:keepNext w:val="0"/>
              <w:keepLines w:val="0"/>
              <w:suppressLineNumbers w:val="0"/>
              <w:spacing w:before="0" w:beforeAutospacing="0" w:after="0" w:afterAutospacing="0"/>
              <w:ind w:left="0" w:right="0" w:firstLine="420"/>
              <w:rPr>
                <w:rFonts w:hint="eastAsia"/>
                <w:szCs w:val="21"/>
                <w:highlight w:val="none"/>
              </w:rPr>
            </w:pPr>
            <w:r>
              <w:rPr>
                <w:rFonts w:hint="eastAsia" w:ascii="宋体" w:hAnsi="宋体" w:cs="宋体"/>
                <w:highlight w:val="none"/>
              </w:rPr>
              <w:t>(4)</w:t>
            </w:r>
            <w:r>
              <w:rPr>
                <w:rFonts w:hint="eastAsia"/>
                <w:szCs w:val="21"/>
                <w:highlight w:val="none"/>
              </w:rPr>
              <w:t>环保与财务辅助：需包含碳排放监控面板及碳中和教学；支持融资以补充流动资金。</w:t>
            </w:r>
          </w:p>
          <w:p w14:paraId="06115BA6">
            <w:pPr>
              <w:keepNext w:val="0"/>
              <w:keepLines w:val="0"/>
              <w:suppressLineNumbers w:val="0"/>
              <w:spacing w:before="0" w:beforeAutospacing="0" w:after="0" w:afterAutospacing="0"/>
              <w:ind w:left="0" w:right="0" w:firstLine="420"/>
              <w:rPr>
                <w:rFonts w:hint="eastAsia"/>
                <w:szCs w:val="21"/>
                <w:highlight w:val="none"/>
              </w:rPr>
            </w:pPr>
            <w:r>
              <w:rPr>
                <w:rFonts w:hint="eastAsia" w:ascii="宋体" w:hAnsi="宋体" w:cs="宋体"/>
                <w:highlight w:val="none"/>
              </w:rPr>
              <w:t>(5)</w:t>
            </w:r>
            <w:r>
              <w:rPr>
                <w:rFonts w:hint="eastAsia"/>
                <w:szCs w:val="21"/>
                <w:highlight w:val="none"/>
              </w:rPr>
              <w:t>帮助模块：需提供案例介绍、货物明细、城市信息、市场需求、排名规则等基础指引。</w:t>
            </w:r>
          </w:p>
          <w:p w14:paraId="57A4BC96">
            <w:pPr>
              <w:keepNext w:val="0"/>
              <w:keepLines w:val="0"/>
              <w:suppressLineNumbers w:val="0"/>
              <w:spacing w:before="0" w:beforeAutospacing="0" w:after="0" w:afterAutospacing="0"/>
              <w:ind w:left="0" w:right="0" w:firstLine="420"/>
              <w:rPr>
                <w:rFonts w:hint="eastAsia" w:eastAsia="宋体" w:cs="Times New Roman"/>
                <w:color w:val="0000FF"/>
                <w:szCs w:val="21"/>
                <w:highlight w:val="none"/>
                <w:lang w:val="en-US" w:eastAsia="zh-CN"/>
              </w:rPr>
            </w:pPr>
            <w:r>
              <w:rPr>
                <w:rFonts w:hint="eastAsia" w:eastAsia="宋体" w:cs="Times New Roman"/>
                <w:color w:val="0000FF"/>
                <w:szCs w:val="21"/>
                <w:highlight w:val="none"/>
              </w:rPr>
              <w:t>▲</w:t>
            </w:r>
            <w:r>
              <w:rPr>
                <w:rFonts w:hint="eastAsia" w:eastAsia="宋体" w:cs="Times New Roman"/>
                <w:color w:val="0000FF"/>
                <w:szCs w:val="21"/>
                <w:highlight w:val="none"/>
                <w:lang w:val="en-US" w:eastAsia="zh-CN"/>
              </w:rPr>
              <w:t>8.配套资源</w:t>
            </w:r>
          </w:p>
          <w:p w14:paraId="73D7A124">
            <w:pPr>
              <w:keepNext w:val="0"/>
              <w:keepLines w:val="0"/>
              <w:suppressLineNumbers w:val="0"/>
              <w:spacing w:before="0" w:beforeAutospacing="0" w:after="0" w:afterAutospacing="0"/>
              <w:ind w:left="0" w:right="0" w:firstLine="420"/>
              <w:rPr>
                <w:rFonts w:hint="eastAsia" w:eastAsia="宋体" w:cs="Times New Roman"/>
                <w:color w:val="0000FF"/>
                <w:szCs w:val="21"/>
                <w:highlight w:val="none"/>
              </w:rPr>
            </w:pPr>
            <w:r>
              <w:rPr>
                <w:rFonts w:hint="eastAsia" w:eastAsia="宋体" w:cs="Times New Roman"/>
                <w:color w:val="0000FF"/>
                <w:szCs w:val="21"/>
                <w:highlight w:val="none"/>
              </w:rPr>
              <w:t>（1）课程包含但不限于运输管理业务探析、运输计划编制与调度安排、公路运输组织与管理、铁路运输组织与管理、水路运输组织与管理、航空运输组织与管理、多式联运组织与管理、特殊货物运输组织、运输系统规划与设计、运输成本分析与控制</w:t>
            </w:r>
            <w:r>
              <w:rPr>
                <w:rFonts w:hint="eastAsia" w:eastAsia="宋体" w:cs="Times New Roman"/>
                <w:color w:val="0000FF"/>
                <w:szCs w:val="21"/>
                <w:highlight w:val="none"/>
                <w:lang w:eastAsia="zh-CN"/>
              </w:rPr>
              <w:t>。</w:t>
            </w:r>
            <w:r>
              <w:rPr>
                <w:rFonts w:hint="eastAsia" w:eastAsia="宋体" w:cs="Times New Roman"/>
                <w:color w:val="0000FF"/>
                <w:szCs w:val="21"/>
                <w:highlight w:val="none"/>
              </w:rPr>
              <w:t>课程中包含智能体、交互游戏等多种AI教学资源，其中智能体数量不少于20个，交互游戏数量不少于2个。</w:t>
            </w:r>
          </w:p>
          <w:p w14:paraId="751E0D88">
            <w:pPr>
              <w:keepNext w:val="0"/>
              <w:keepLines w:val="0"/>
              <w:suppressLineNumbers w:val="0"/>
              <w:spacing w:before="0" w:beforeAutospacing="0" w:after="0" w:afterAutospacing="0"/>
              <w:ind w:left="0" w:right="0" w:firstLine="420"/>
              <w:rPr>
                <w:rFonts w:hint="eastAsia" w:eastAsia="宋体" w:cs="Times New Roman"/>
                <w:color w:val="0000FF"/>
                <w:szCs w:val="21"/>
                <w:highlight w:val="none"/>
              </w:rPr>
            </w:pPr>
            <w:r>
              <w:rPr>
                <w:rFonts w:hint="eastAsia" w:eastAsia="宋体" w:cs="Times New Roman"/>
                <w:color w:val="0000FF"/>
                <w:szCs w:val="21"/>
                <w:highlight w:val="none"/>
              </w:rPr>
              <w:t>（2）智能体需满足以下要求：</w:t>
            </w:r>
          </w:p>
          <w:p w14:paraId="3B6DB9DA">
            <w:pPr>
              <w:keepNext w:val="0"/>
              <w:keepLines w:val="0"/>
              <w:suppressLineNumbers w:val="0"/>
              <w:spacing w:before="0" w:beforeAutospacing="0" w:after="0" w:afterAutospacing="0"/>
              <w:ind w:left="0" w:right="0" w:firstLine="420"/>
              <w:rPr>
                <w:rFonts w:hint="eastAsia" w:eastAsia="宋体" w:cs="Times New Roman"/>
                <w:color w:val="0000FF"/>
                <w:szCs w:val="21"/>
                <w:highlight w:val="none"/>
              </w:rPr>
            </w:pPr>
            <w:r>
              <w:rPr>
                <w:rFonts w:hint="eastAsia" w:eastAsia="宋体" w:cs="Times New Roman"/>
                <w:color w:val="0000FF"/>
                <w:szCs w:val="21"/>
                <w:highlight w:val="none"/>
              </w:rPr>
              <w:t>智能体需满足以下要求：</w:t>
            </w:r>
          </w:p>
          <w:p w14:paraId="6EB555BF">
            <w:pPr>
              <w:keepNext w:val="0"/>
              <w:keepLines w:val="0"/>
              <w:suppressLineNumbers w:val="0"/>
              <w:spacing w:before="0" w:beforeAutospacing="0" w:after="0" w:afterAutospacing="0"/>
              <w:ind w:left="0" w:right="0" w:firstLine="420"/>
              <w:rPr>
                <w:rFonts w:hint="eastAsia" w:eastAsia="宋体" w:cs="Times New Roman"/>
                <w:color w:val="0000FF"/>
                <w:szCs w:val="21"/>
                <w:highlight w:val="none"/>
              </w:rPr>
            </w:pPr>
            <w:r>
              <w:rPr>
                <w:rFonts w:hint="eastAsia" w:eastAsia="宋体" w:cs="Times New Roman"/>
                <w:color w:val="0000FF"/>
                <w:szCs w:val="21"/>
                <w:highlight w:val="none"/>
              </w:rPr>
              <w:t>①任务导学中的智能体可以根据PPT、动画或视频内容，自动生成常见问题，通过点击常见问题，智能体可以自动回答。学生也可以提问与该资源相关的问题，智能体能够基于资源内容进行精准回答；</w:t>
            </w:r>
          </w:p>
          <w:p w14:paraId="3D65EA26">
            <w:pPr>
              <w:keepNext w:val="0"/>
              <w:keepLines w:val="0"/>
              <w:suppressLineNumbers w:val="0"/>
              <w:spacing w:before="0" w:beforeAutospacing="0" w:after="0" w:afterAutospacing="0"/>
              <w:ind w:left="0" w:right="0" w:firstLine="420"/>
              <w:rPr>
                <w:rFonts w:hint="eastAsia" w:eastAsia="宋体" w:cs="Times New Roman"/>
                <w:color w:val="0000FF"/>
                <w:szCs w:val="21"/>
                <w:highlight w:val="none"/>
              </w:rPr>
            </w:pPr>
            <w:r>
              <w:rPr>
                <w:rFonts w:hint="eastAsia" w:eastAsia="宋体" w:cs="Times New Roman"/>
                <w:color w:val="0000FF"/>
                <w:szCs w:val="21"/>
                <w:highlight w:val="none"/>
              </w:rPr>
              <w:t>②任务实施中的智能体都可以根据用户指令生成案例，包括详细的案例背景和案例要求，并能逐步引导学生解答案例，也可以直接给出答案。智能体可以根据学生的完成情况进行评价；</w:t>
            </w:r>
          </w:p>
          <w:p w14:paraId="215FF245">
            <w:pPr>
              <w:keepNext w:val="0"/>
              <w:keepLines w:val="0"/>
              <w:suppressLineNumbers w:val="0"/>
              <w:spacing w:before="0" w:beforeAutospacing="0" w:after="0" w:afterAutospacing="0"/>
              <w:ind w:left="0" w:right="0" w:firstLine="420"/>
              <w:rPr>
                <w:rFonts w:hint="eastAsia" w:eastAsia="宋体" w:cs="Times New Roman"/>
                <w:color w:val="0000FF"/>
                <w:szCs w:val="21"/>
                <w:highlight w:val="none"/>
              </w:rPr>
            </w:pPr>
            <w:r>
              <w:rPr>
                <w:rFonts w:hint="eastAsia" w:eastAsia="宋体" w:cs="Times New Roman"/>
                <w:color w:val="0000FF"/>
                <w:szCs w:val="21"/>
                <w:highlight w:val="none"/>
              </w:rPr>
              <w:t>③任务拓展中的智能体可以通过交互网页给出案例，包括详细的案例背景和案例要求。并通过交互网页中的“直接给我答案”“引导我来学习”“评价我的学习”3个功能按钮实现直接答案、逐步引导以及评价；</w:t>
            </w:r>
          </w:p>
          <w:p w14:paraId="67B979F2">
            <w:pPr>
              <w:keepNext w:val="0"/>
              <w:keepLines w:val="0"/>
              <w:suppressLineNumbers w:val="0"/>
              <w:spacing w:before="0" w:beforeAutospacing="0" w:after="0" w:afterAutospacing="0"/>
              <w:ind w:left="0" w:right="0" w:firstLine="420"/>
              <w:rPr>
                <w:rFonts w:hint="eastAsia" w:eastAsia="宋体" w:cs="Times New Roman"/>
                <w:color w:val="0000FF"/>
                <w:szCs w:val="21"/>
                <w:highlight w:val="none"/>
              </w:rPr>
            </w:pPr>
            <w:r>
              <w:rPr>
                <w:rFonts w:hint="eastAsia" w:eastAsia="宋体" w:cs="Times New Roman"/>
                <w:color w:val="0000FF"/>
                <w:szCs w:val="21"/>
                <w:highlight w:val="none"/>
              </w:rPr>
              <w:t>④挑战一下智能体可以根据用户指令，生成不同难易程度的测验题，包括简单难度、中等难度和困难难度。</w:t>
            </w:r>
          </w:p>
          <w:p w14:paraId="34AA68A2">
            <w:pPr>
              <w:keepNext w:val="0"/>
              <w:keepLines w:val="0"/>
              <w:suppressLineNumbers w:val="0"/>
              <w:spacing w:before="0" w:beforeAutospacing="0" w:after="0" w:afterAutospacing="0"/>
              <w:ind w:left="0" w:right="0" w:firstLine="420"/>
              <w:rPr>
                <w:rFonts w:hint="eastAsia" w:eastAsia="宋体" w:cs="Times New Roman"/>
                <w:color w:val="0000FF"/>
                <w:szCs w:val="21"/>
                <w:highlight w:val="none"/>
              </w:rPr>
            </w:pPr>
            <w:r>
              <w:rPr>
                <w:rFonts w:hint="eastAsia" w:eastAsia="宋体" w:cs="Times New Roman"/>
                <w:color w:val="0000FF"/>
                <w:szCs w:val="21"/>
                <w:highlight w:val="none"/>
              </w:rPr>
              <w:t>（3）交互游戏必须包括以下内容：</w:t>
            </w:r>
          </w:p>
          <w:p w14:paraId="49856A6C">
            <w:pPr>
              <w:keepNext w:val="0"/>
              <w:keepLines w:val="0"/>
              <w:suppressLineNumbers w:val="0"/>
              <w:spacing w:before="0" w:beforeAutospacing="0" w:after="0" w:afterAutospacing="0"/>
              <w:ind w:left="0" w:right="0" w:firstLine="420"/>
              <w:rPr>
                <w:rFonts w:hint="eastAsia" w:eastAsia="宋体" w:cs="Times New Roman"/>
                <w:color w:val="0000FF"/>
                <w:szCs w:val="21"/>
                <w:highlight w:val="none"/>
              </w:rPr>
            </w:pPr>
            <w:r>
              <w:rPr>
                <w:rFonts w:hint="eastAsia" w:eastAsia="宋体" w:cs="Times New Roman"/>
                <w:color w:val="0000FF"/>
                <w:szCs w:val="21"/>
                <w:highlight w:val="none"/>
              </w:rPr>
              <w:t>①交互游戏【运输网络节点选址】需满足如下要求：</w:t>
            </w:r>
            <w:r>
              <w:rPr>
                <w:rFonts w:hint="eastAsia" w:eastAsia="宋体" w:cs="Times New Roman"/>
                <w:color w:val="0000FF"/>
                <w:szCs w:val="21"/>
                <w:highlight w:val="none"/>
              </w:rPr>
              <w:br w:type="textWrapping"/>
            </w:r>
            <w:r>
              <w:rPr>
                <w:rFonts w:hint="eastAsia" w:eastAsia="宋体" w:cs="Times New Roman"/>
                <w:color w:val="0000FF"/>
                <w:szCs w:val="21"/>
                <w:highlight w:val="none"/>
              </w:rPr>
              <w:t>交互游戏要能支持用户在多个城市建立集散中心，进行选址决策，提供清晰的操作步骤指引和方法说明，引导用户完成数据分析流程，提供反馈功能，允许用户反复尝试不同方案；</w:t>
            </w:r>
          </w:p>
          <w:p w14:paraId="199AC00A">
            <w:pPr>
              <w:keepNext w:val="0"/>
              <w:keepLines w:val="0"/>
              <w:suppressLineNumbers w:val="0"/>
              <w:spacing w:before="0" w:beforeAutospacing="0" w:after="0" w:afterAutospacing="0"/>
              <w:ind w:left="0" w:right="0" w:firstLine="420"/>
              <w:rPr>
                <w:rFonts w:hint="default" w:eastAsia="宋体" w:cs="Times New Roman"/>
                <w:color w:val="0000FF"/>
                <w:szCs w:val="21"/>
                <w:highlight w:val="none"/>
                <w:lang w:val="en-US" w:eastAsia="zh-CN"/>
              </w:rPr>
            </w:pPr>
            <w:r>
              <w:rPr>
                <w:rFonts w:hint="eastAsia" w:eastAsia="宋体" w:cs="Times New Roman"/>
                <w:color w:val="0000FF"/>
                <w:szCs w:val="21"/>
                <w:highlight w:val="none"/>
              </w:rPr>
              <w:t>②交互游戏【运输最优路径规划】应满足以下要求：</w:t>
            </w:r>
            <w:r>
              <w:rPr>
                <w:rFonts w:hint="eastAsia" w:eastAsia="宋体" w:cs="Times New Roman"/>
                <w:color w:val="0000FF"/>
                <w:szCs w:val="21"/>
                <w:highlight w:val="none"/>
              </w:rPr>
              <w:br w:type="textWrapping"/>
            </w:r>
            <w:r>
              <w:rPr>
                <w:rFonts w:hint="eastAsia" w:eastAsia="宋体" w:cs="Times New Roman"/>
                <w:color w:val="0000FF"/>
                <w:szCs w:val="21"/>
                <w:highlight w:val="none"/>
              </w:rPr>
              <w:t>交互游戏要能设立不同的关卡来规划不同订单的运输路径，支持用户为不同订单规划运输路径，同时要提供不同路径的运输成本计算功能和支持成本对比分析的功能。</w:t>
            </w:r>
          </w:p>
          <w:p w14:paraId="74732E9C">
            <w:pPr>
              <w:keepNext w:val="0"/>
              <w:keepLines w:val="0"/>
              <w:suppressLineNumbers w:val="0"/>
              <w:spacing w:before="0" w:beforeAutospacing="0" w:after="0" w:afterAutospacing="0"/>
              <w:ind w:left="0" w:right="0" w:firstLine="420"/>
              <w:rPr>
                <w:rFonts w:hint="eastAsia"/>
                <w:szCs w:val="21"/>
                <w:highlight w:val="none"/>
              </w:rPr>
            </w:pPr>
            <w:r>
              <w:rPr>
                <w:rFonts w:hint="eastAsia"/>
                <w:szCs w:val="21"/>
                <w:highlight w:val="none"/>
              </w:rPr>
              <w:t>（二）国际货代运输操作</w:t>
            </w:r>
            <w:r>
              <w:rPr>
                <w:rFonts w:hint="eastAsia"/>
                <w:szCs w:val="21"/>
                <w:highlight w:val="none"/>
                <w:lang w:val="en-US" w:eastAsia="zh-CN"/>
              </w:rPr>
              <w:t>平台</w:t>
            </w:r>
            <w:r>
              <w:rPr>
                <w:rFonts w:hint="eastAsia"/>
                <w:szCs w:val="21"/>
                <w:highlight w:val="none"/>
                <w:lang w:eastAsia="zh-CN"/>
              </w:rPr>
              <w:t>（</w:t>
            </w:r>
            <w:r>
              <w:rPr>
                <w:rFonts w:hint="eastAsia"/>
                <w:szCs w:val="21"/>
                <w:highlight w:val="none"/>
                <w:lang w:val="en-US" w:eastAsia="zh-CN"/>
              </w:rPr>
              <w:t>不少于3年</w:t>
            </w:r>
            <w:r>
              <w:rPr>
                <w:rFonts w:hint="eastAsia"/>
                <w:szCs w:val="21"/>
                <w:highlight w:val="none"/>
              </w:rPr>
              <w:t>免费</w:t>
            </w:r>
            <w:r>
              <w:rPr>
                <w:rFonts w:hint="eastAsia"/>
                <w:szCs w:val="21"/>
                <w:highlight w:val="none"/>
                <w:lang w:val="en-US" w:eastAsia="zh-CN"/>
              </w:rPr>
              <w:t>维护与</w:t>
            </w:r>
            <w:r>
              <w:rPr>
                <w:rFonts w:hint="eastAsia"/>
                <w:szCs w:val="21"/>
                <w:highlight w:val="none"/>
              </w:rPr>
              <w:t>升级</w:t>
            </w:r>
            <w:r>
              <w:rPr>
                <w:rFonts w:hint="eastAsia"/>
                <w:szCs w:val="21"/>
                <w:highlight w:val="none"/>
                <w:lang w:val="en-US" w:eastAsia="zh-CN"/>
              </w:rPr>
              <w:t>）</w:t>
            </w:r>
            <w:r>
              <w:rPr>
                <w:rFonts w:hint="eastAsia"/>
                <w:szCs w:val="21"/>
                <w:highlight w:val="none"/>
              </w:rPr>
              <w:t>，1套</w:t>
            </w:r>
          </w:p>
          <w:p w14:paraId="57450ED6">
            <w:pPr>
              <w:pStyle w:val="15"/>
              <w:keepNext w:val="0"/>
              <w:keepLines w:val="0"/>
              <w:suppressLineNumbers w:val="0"/>
              <w:spacing w:before="0" w:beforeAutospacing="0" w:after="0" w:afterAutospacing="0"/>
              <w:ind w:left="0" w:right="0" w:firstLine="420"/>
              <w:jc w:val="left"/>
              <w:rPr>
                <w:rFonts w:hint="eastAsia" w:ascii="宋体" w:hAnsi="宋体" w:cs="宋体"/>
                <w:highlight w:val="none"/>
              </w:rPr>
            </w:pPr>
            <w:r>
              <w:rPr>
                <w:rFonts w:hint="eastAsia" w:ascii="宋体" w:hAnsi="宋体" w:cs="宋体"/>
                <w:highlight w:val="none"/>
              </w:rPr>
              <w:t>1.教师管理后台</w:t>
            </w:r>
          </w:p>
          <w:p w14:paraId="09EE62B5">
            <w:pPr>
              <w:pStyle w:val="15"/>
              <w:keepNext w:val="0"/>
              <w:keepLines w:val="0"/>
              <w:suppressLineNumbers w:val="0"/>
              <w:spacing w:before="0" w:beforeAutospacing="0" w:after="0" w:afterAutospacing="0"/>
              <w:ind w:left="0" w:right="0" w:firstLine="420"/>
              <w:jc w:val="left"/>
              <w:rPr>
                <w:rFonts w:hint="eastAsia" w:ascii="宋体" w:hAnsi="宋体" w:cs="宋体"/>
                <w:highlight w:val="none"/>
              </w:rPr>
            </w:pPr>
            <w:r>
              <w:rPr>
                <w:rFonts w:hint="eastAsia" w:ascii="宋体" w:hAnsi="宋体" w:cs="宋体"/>
                <w:highlight w:val="none"/>
              </w:rPr>
              <w:t>(1)班级管理:支持班级全生命周期管理（新增/修改/删除）；</w:t>
            </w:r>
          </w:p>
          <w:p w14:paraId="7AC2E4F7">
            <w:pPr>
              <w:pStyle w:val="15"/>
              <w:keepNext w:val="0"/>
              <w:keepLines w:val="0"/>
              <w:suppressLineNumbers w:val="0"/>
              <w:spacing w:before="0" w:beforeAutospacing="0" w:after="0" w:afterAutospacing="0"/>
              <w:ind w:left="0" w:right="0" w:firstLine="420"/>
              <w:jc w:val="left"/>
              <w:rPr>
                <w:rFonts w:hint="eastAsia" w:ascii="宋体" w:hAnsi="宋体" w:cs="宋体"/>
                <w:highlight w:val="none"/>
              </w:rPr>
            </w:pPr>
            <w:r>
              <w:rPr>
                <w:rFonts w:hint="eastAsia" w:ascii="宋体" w:hAnsi="宋体" w:cs="宋体"/>
                <w:highlight w:val="none"/>
              </w:rPr>
              <w:t>(2)学生管理;按姓名搜索学生，支持批量导入,账号权限配置：试用起止时间、时长、试用状态、单证答案下载权限；</w:t>
            </w:r>
          </w:p>
          <w:p w14:paraId="23AB70D5">
            <w:pPr>
              <w:pStyle w:val="15"/>
              <w:keepNext w:val="0"/>
              <w:keepLines w:val="0"/>
              <w:suppressLineNumbers w:val="0"/>
              <w:spacing w:before="0" w:beforeAutospacing="0" w:after="0" w:afterAutospacing="0"/>
              <w:ind w:left="0" w:right="0" w:firstLine="420"/>
              <w:jc w:val="left"/>
              <w:rPr>
                <w:rFonts w:hint="eastAsia" w:ascii="宋体" w:hAnsi="宋体" w:cs="宋体"/>
                <w:highlight w:val="none"/>
              </w:rPr>
            </w:pPr>
            <w:r>
              <w:rPr>
                <w:rFonts w:hint="eastAsia" w:ascii="宋体" w:hAnsi="宋体" w:cs="宋体"/>
                <w:highlight w:val="none"/>
              </w:rPr>
              <w:t>(3)教学模式：</w:t>
            </w:r>
            <w:r>
              <w:rPr>
                <w:rFonts w:hint="eastAsia" w:eastAsiaTheme="minorEastAsia"/>
                <w:highlight w:val="none"/>
              </w:rPr>
              <w:t>提供4种答题模式选择；</w:t>
            </w:r>
          </w:p>
          <w:p w14:paraId="51C3650A">
            <w:pPr>
              <w:pStyle w:val="37"/>
              <w:keepNext w:val="0"/>
              <w:keepLines w:val="0"/>
              <w:suppressLineNumbers w:val="0"/>
              <w:spacing w:before="0" w:beforeAutospacing="0" w:after="0" w:afterAutospacing="0"/>
              <w:ind w:left="0" w:right="0"/>
              <w:jc w:val="left"/>
              <w:rPr>
                <w:rFonts w:hint="eastAsia" w:ascii="宋体" w:hAnsi="宋体" w:cs="宋体"/>
                <w:highlight w:val="none"/>
              </w:rPr>
            </w:pPr>
            <w:r>
              <w:rPr>
                <w:rFonts w:hint="eastAsia" w:ascii="宋体" w:hAnsi="宋体" w:cs="宋体"/>
                <w:highlight w:val="none"/>
              </w:rPr>
              <w:t>(4)数据统计：实训模块/关卡数据统计分析，支持导出学生总排名及模块级明细数据。</w:t>
            </w:r>
          </w:p>
          <w:p w14:paraId="1DC0315C">
            <w:pPr>
              <w:keepNext w:val="0"/>
              <w:keepLines w:val="0"/>
              <w:suppressLineNumbers w:val="0"/>
              <w:spacing w:before="0" w:beforeAutospacing="0" w:after="0" w:afterAutospacing="0"/>
              <w:ind w:left="0" w:right="0" w:firstLine="420"/>
              <w:rPr>
                <w:rFonts w:hint="eastAsia" w:ascii="宋体" w:hAnsi="宋体" w:eastAsia="宋体" w:cs="宋体"/>
                <w:highlight w:val="none"/>
                <w:lang w:eastAsia="zh-CN"/>
              </w:rPr>
            </w:pPr>
            <w:r>
              <w:rPr>
                <w:rFonts w:hint="eastAsia" w:ascii="宋体" w:hAnsi="宋体" w:cs="宋体"/>
                <w:highlight w:val="none"/>
              </w:rPr>
              <w:t>2.学生实训平台</w:t>
            </w:r>
            <w:r>
              <w:rPr>
                <w:rFonts w:hint="eastAsia" w:ascii="宋体" w:hAnsi="宋体" w:cs="宋体"/>
                <w:highlight w:val="none"/>
                <w:lang w:eastAsia="zh-CN"/>
              </w:rPr>
              <w:t>（根据国标和课标要求，世赛国际货代综合训练任务中，满足客户获取、报价计算、运输管理、成本与价格、单证缮制、应急处理六个专项的训练要求，需满足以下功能：</w:t>
            </w:r>
          </w:p>
          <w:p w14:paraId="018AB7FE">
            <w:pPr>
              <w:keepNext w:val="0"/>
              <w:keepLines w:val="0"/>
              <w:suppressLineNumbers w:val="0"/>
              <w:spacing w:before="0" w:beforeAutospacing="0" w:after="0" w:afterAutospacing="0"/>
              <w:ind w:left="0" w:right="0" w:firstLine="420"/>
              <w:rPr>
                <w:rFonts w:hint="eastAsia" w:ascii="宋体" w:hAnsi="宋体" w:cs="宋体"/>
                <w:highlight w:val="none"/>
              </w:rPr>
            </w:pPr>
            <w:r>
              <w:rPr>
                <w:rFonts w:hint="eastAsia" w:ascii="宋体" w:hAnsi="宋体" w:cs="宋体"/>
                <w:highlight w:val="none"/>
              </w:rPr>
              <w:t>学习总览看板实时展示：学习进度、关卡数/当前关卡、学习时长、星级、排名、总分，集成学习资源：关卡说明、自学文档/视频。</w:t>
            </w:r>
          </w:p>
          <w:p w14:paraId="2885E65A">
            <w:pPr>
              <w:pStyle w:val="15"/>
              <w:keepNext w:val="0"/>
              <w:keepLines w:val="0"/>
              <w:suppressLineNumbers w:val="0"/>
              <w:spacing w:before="0" w:beforeAutospacing="0" w:after="0" w:afterAutospacing="0"/>
              <w:ind w:left="0" w:right="0" w:firstLine="482"/>
              <w:jc w:val="left"/>
              <w:rPr>
                <w:rFonts w:hint="eastAsia" w:ascii="宋体" w:hAnsi="宋体" w:cs="宋体"/>
                <w:color w:val="auto"/>
                <w:szCs w:val="21"/>
                <w:highlight w:val="none"/>
              </w:rPr>
            </w:pPr>
            <w:r>
              <w:rPr>
                <w:rFonts w:hint="eastAsia" w:ascii="宋体" w:hAnsi="宋体" w:cs="宋体"/>
                <w:b/>
                <w:bCs/>
                <w:color w:val="auto"/>
                <w:szCs w:val="21"/>
                <w:highlight w:val="none"/>
              </w:rPr>
              <w:t>(1)客户咨询训练：</w:t>
            </w:r>
            <w:r>
              <w:rPr>
                <w:rFonts w:hint="eastAsia" w:ascii="宋体" w:hAnsi="宋体" w:cs="宋体"/>
                <w:color w:val="auto"/>
                <w:szCs w:val="21"/>
                <w:highlight w:val="none"/>
              </w:rPr>
              <w:t>≥10案例，涵盖运输线路/方式/贸易术语/保险/单证主题，题型：排序/单选（≥20题）/判断/填空（≥5题）/邮件撰写，智能限时：按题目难度设定3-6分钟答题时长</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资源内容包含但不限于</w:t>
            </w:r>
            <w:r>
              <w:rPr>
                <w:rFonts w:hint="eastAsia" w:ascii="宋体" w:hAnsi="宋体" w:eastAsia="宋体" w:cs="宋体"/>
                <w:b w:val="0"/>
                <w:bCs w:val="0"/>
                <w:color w:val="auto"/>
                <w:szCs w:val="21"/>
                <w:highlight w:val="none"/>
              </w:rPr>
              <w:t>贸易术语、港口航线设计、报价计算、客户咨询业务、工作计划与安排、单证的审核、异常情况处理、特殊业务处理</w:t>
            </w:r>
            <w:r>
              <w:rPr>
                <w:rFonts w:hint="eastAsia" w:ascii="宋体" w:hAnsi="宋体" w:cs="宋体"/>
                <w:b w:val="0"/>
                <w:bCs w:val="0"/>
                <w:color w:val="auto"/>
                <w:szCs w:val="21"/>
                <w:highlight w:val="none"/>
                <w:lang w:val="en-US" w:eastAsia="zh-CN"/>
              </w:rPr>
              <w:t>等模块</w:t>
            </w:r>
            <w:r>
              <w:rPr>
                <w:rFonts w:hint="eastAsia" w:ascii="宋体" w:hAnsi="宋体" w:eastAsia="宋体" w:cs="宋体"/>
                <w:b/>
                <w:bCs/>
                <w:color w:val="auto"/>
                <w:szCs w:val="21"/>
                <w:highlight w:val="none"/>
              </w:rPr>
              <w:t>，</w:t>
            </w:r>
            <w:r>
              <w:rPr>
                <w:rFonts w:hint="eastAsia" w:ascii="宋体" w:hAnsi="宋体" w:eastAsia="宋体" w:cs="宋体"/>
                <w:b w:val="0"/>
                <w:bCs w:val="0"/>
                <w:color w:val="auto"/>
                <w:szCs w:val="21"/>
                <w:highlight w:val="none"/>
                <w:lang w:val="en-US" w:eastAsia="zh-CN"/>
              </w:rPr>
              <w:t>客户咨询模块包</w:t>
            </w:r>
            <w:r>
              <w:rPr>
                <w:rFonts w:hint="eastAsia" w:ascii="宋体" w:hAnsi="宋体" w:cs="宋体"/>
                <w:b w:val="0"/>
                <w:bCs w:val="0"/>
                <w:color w:val="auto"/>
                <w:szCs w:val="21"/>
                <w:highlight w:val="none"/>
                <w:lang w:val="en-US" w:eastAsia="zh-CN"/>
              </w:rPr>
              <w:t>含</w:t>
            </w:r>
            <w:r>
              <w:rPr>
                <w:rFonts w:hint="eastAsia" w:ascii="宋体" w:hAnsi="宋体" w:eastAsia="宋体" w:cs="宋体"/>
                <w:b w:val="0"/>
                <w:bCs w:val="0"/>
                <w:color w:val="auto"/>
                <w:szCs w:val="21"/>
                <w:highlight w:val="none"/>
              </w:rPr>
              <w:t>铁路运输价格的查询渠道和铁路运费的组成，计算铁路运价，撰写报价邮件</w:t>
            </w:r>
            <w:r>
              <w:rPr>
                <w:rFonts w:hint="eastAsia" w:ascii="宋体" w:hAnsi="宋体" w:cs="宋体"/>
                <w:b w:val="0"/>
                <w:bCs w:val="0"/>
                <w:color w:val="auto"/>
                <w:szCs w:val="21"/>
                <w:highlight w:val="none"/>
                <w:lang w:eastAsia="zh-CN"/>
              </w:rPr>
              <w:t>。</w:t>
            </w:r>
          </w:p>
          <w:p w14:paraId="581C7A85">
            <w:pPr>
              <w:pStyle w:val="15"/>
              <w:keepNext w:val="0"/>
              <w:keepLines w:val="0"/>
              <w:suppressLineNumbers w:val="0"/>
              <w:spacing w:before="0" w:beforeAutospacing="0" w:after="0" w:afterAutospacing="0"/>
              <w:ind w:left="0" w:right="0" w:firstLine="422"/>
              <w:jc w:val="left"/>
              <w:rPr>
                <w:rFonts w:hint="eastAsia" w:ascii="宋体" w:hAnsi="宋体" w:cs="宋体"/>
                <w:color w:val="0000FF"/>
                <w:szCs w:val="21"/>
                <w:highlight w:val="none"/>
              </w:rPr>
            </w:pPr>
            <w:r>
              <w:rPr>
                <w:rFonts w:hint="eastAsia" w:ascii="宋体" w:hAnsi="宋体" w:cs="宋体"/>
                <w:b/>
                <w:bCs/>
                <w:color w:val="auto"/>
                <w:szCs w:val="21"/>
                <w:highlight w:val="none"/>
              </w:rPr>
              <w:t>(2)报价训练：</w:t>
            </w:r>
            <w:r>
              <w:rPr>
                <w:rFonts w:hint="eastAsia" w:ascii="宋体" w:hAnsi="宋体" w:cs="宋体"/>
                <w:color w:val="auto"/>
                <w:szCs w:val="21"/>
                <w:highlight w:val="none"/>
              </w:rPr>
              <w:t>报价训练：≥10案例，聚焦贸易术语费用计算与供应商选择，题型：单选/多选（≥30题）/填空（≥40题）/关键词填写，排行榜：多维排名（总分/咨询/报价/计划/沟通/投诉/综合），字段：排名、姓名、班级、用时、星级、分数</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资源内容包含但不限于</w:t>
            </w:r>
            <w:r>
              <w:rPr>
                <w:rFonts w:hint="eastAsia" w:ascii="宋体" w:hAnsi="宋体" w:eastAsia="宋体" w:cs="宋体"/>
                <w:color w:val="auto"/>
                <w:szCs w:val="21"/>
                <w:highlight w:val="none"/>
              </w:rPr>
              <w:t>海运整箱业务报价</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海运拼箱业务报价</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海运进出口陆运报价</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空运业务报价</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空运业务陆运段业务报价</w:t>
            </w:r>
            <w:r>
              <w:rPr>
                <w:rFonts w:hint="eastAsia" w:ascii="宋体" w:hAnsi="宋体" w:cs="宋体"/>
                <w:color w:val="auto"/>
                <w:szCs w:val="21"/>
                <w:highlight w:val="none"/>
                <w:lang w:val="en-US" w:eastAsia="zh-CN"/>
              </w:rPr>
              <w:t>等，PPT不少于10个，试题不少于40道。</w:t>
            </w:r>
          </w:p>
          <w:p w14:paraId="04F172F3">
            <w:pPr>
              <w:pStyle w:val="15"/>
              <w:keepNext w:val="0"/>
              <w:keepLines w:val="0"/>
              <w:suppressLineNumbers w:val="0"/>
              <w:spacing w:before="0" w:beforeAutospacing="0" w:after="0" w:afterAutospacing="0"/>
              <w:ind w:left="0" w:right="0" w:firstLine="420"/>
              <w:jc w:val="left"/>
              <w:rPr>
                <w:rFonts w:hint="eastAsia" w:ascii="宋体" w:hAnsi="宋体" w:cs="宋体"/>
                <w:szCs w:val="21"/>
                <w:highlight w:val="none"/>
              </w:rPr>
            </w:pPr>
            <w:r>
              <w:rPr>
                <w:rFonts w:hint="eastAsia" w:ascii="宋体" w:hAnsi="宋体" w:cs="宋体"/>
                <w:szCs w:val="21"/>
                <w:highlight w:val="none"/>
              </w:rPr>
              <w:t>(3)工作计划训练：≥5案例，主题：订舱/拖车与卡车调度/会议安排/单证缮制，题型：单选（≥10题）/多选（≥15题）/填空/判断/邮件撰写；</w:t>
            </w:r>
          </w:p>
          <w:p w14:paraId="03A8DF8A">
            <w:pPr>
              <w:pStyle w:val="15"/>
              <w:keepNext w:val="0"/>
              <w:keepLines w:val="0"/>
              <w:suppressLineNumbers w:val="0"/>
              <w:spacing w:before="0" w:beforeAutospacing="0" w:after="0" w:afterAutospacing="0"/>
              <w:ind w:left="0" w:right="0" w:firstLine="420"/>
              <w:jc w:val="left"/>
              <w:rPr>
                <w:rFonts w:hint="eastAsia" w:ascii="宋体" w:hAnsi="宋体" w:cs="宋体"/>
                <w:szCs w:val="21"/>
                <w:highlight w:val="none"/>
              </w:rPr>
            </w:pPr>
            <w:r>
              <w:rPr>
                <w:rFonts w:hint="eastAsia" w:ascii="宋体" w:hAnsi="宋体" w:cs="宋体"/>
                <w:szCs w:val="21"/>
                <w:highlight w:val="none"/>
              </w:rPr>
              <w:t>(4)客户沟通训练：≥10案例，训练邮件沟通与现场应对技能，题型：单选（≥10题）/多选/填空/判断/邮件撰写（≥10题）；</w:t>
            </w:r>
          </w:p>
          <w:p w14:paraId="284D8FD7">
            <w:pPr>
              <w:pStyle w:val="15"/>
              <w:keepNext w:val="0"/>
              <w:keepLines w:val="0"/>
              <w:suppressLineNumbers w:val="0"/>
              <w:spacing w:before="0" w:beforeAutospacing="0" w:after="0" w:afterAutospacing="0"/>
              <w:ind w:left="0" w:right="0" w:firstLine="420"/>
              <w:jc w:val="left"/>
              <w:rPr>
                <w:rFonts w:hint="eastAsia" w:ascii="宋体" w:hAnsi="宋体" w:cs="宋体"/>
                <w:szCs w:val="21"/>
                <w:highlight w:val="none"/>
              </w:rPr>
            </w:pPr>
            <w:r>
              <w:rPr>
                <w:rFonts w:hint="eastAsia" w:ascii="宋体" w:hAnsi="宋体" w:cs="宋体"/>
                <w:b/>
                <w:bCs/>
                <w:color w:val="auto"/>
                <w:sz w:val="24"/>
                <w:highlight w:val="none"/>
                <w:lang w:bidi="ar"/>
              </w:rPr>
              <w:t>▲</w:t>
            </w:r>
            <w:r>
              <w:rPr>
                <w:rFonts w:hint="eastAsia" w:ascii="宋体" w:hAnsi="宋体" w:cs="宋体"/>
                <w:szCs w:val="21"/>
                <w:highlight w:val="none"/>
              </w:rPr>
              <w:t>(</w:t>
            </w:r>
            <w:r>
              <w:rPr>
                <w:rFonts w:hint="eastAsia" w:eastAsia="宋体" w:cs="Times New Roman" w:asciiTheme="minorHAnsi" w:hAnsiTheme="minorHAnsi"/>
                <w:color w:val="0000FF"/>
                <w:szCs w:val="21"/>
                <w:highlight w:val="none"/>
              </w:rPr>
              <w:t>5)投诉索赔训练</w:t>
            </w:r>
            <w:r>
              <w:rPr>
                <w:rFonts w:hint="eastAsia" w:eastAsia="宋体" w:cs="Times New Roman" w:asciiTheme="minorHAnsi" w:hAnsiTheme="minorHAnsi"/>
                <w:color w:val="0000FF"/>
                <w:szCs w:val="21"/>
                <w:highlight w:val="none"/>
                <w:lang w:eastAsia="zh-CN"/>
              </w:rPr>
              <w:t>：</w:t>
            </w:r>
            <w:r>
              <w:rPr>
                <w:rFonts w:hint="eastAsia" w:eastAsia="宋体" w:cs="Times New Roman" w:asciiTheme="minorHAnsi" w:hAnsiTheme="minorHAnsi"/>
                <w:color w:val="0000FF"/>
                <w:szCs w:val="21"/>
                <w:highlight w:val="none"/>
              </w:rPr>
              <w:t>≥5案例，模拟海运空运投诉处理流程，题型：单选（≥10题）/多选/邮件撰写；</w:t>
            </w:r>
          </w:p>
          <w:p w14:paraId="5D8DE478">
            <w:pPr>
              <w:pStyle w:val="15"/>
              <w:keepNext w:val="0"/>
              <w:keepLines w:val="0"/>
              <w:suppressLineNumbers w:val="0"/>
              <w:spacing w:before="0" w:beforeAutospacing="0" w:after="0" w:afterAutospacing="0"/>
              <w:ind w:left="0" w:right="0" w:firstLine="420"/>
              <w:jc w:val="left"/>
              <w:rPr>
                <w:rFonts w:hint="eastAsia" w:ascii="宋体" w:hAnsi="宋体" w:cs="宋体"/>
                <w:szCs w:val="21"/>
                <w:highlight w:val="none"/>
              </w:rPr>
            </w:pPr>
            <w:r>
              <w:rPr>
                <w:rFonts w:hint="eastAsia" w:ascii="宋体" w:hAnsi="宋体" w:cs="宋体"/>
                <w:szCs w:val="21"/>
                <w:highlight w:val="none"/>
              </w:rPr>
              <w:t>(6)世赛综合训练</w:t>
            </w:r>
            <w:r>
              <w:rPr>
                <w:rFonts w:hint="eastAsia" w:ascii="宋体" w:hAnsi="宋体" w:cs="宋体"/>
                <w:szCs w:val="21"/>
                <w:highlight w:val="none"/>
                <w:lang w:eastAsia="zh-CN"/>
              </w:rPr>
              <w:t>：</w:t>
            </w:r>
            <w:r>
              <w:rPr>
                <w:rFonts w:hint="eastAsia" w:ascii="宋体" w:hAnsi="宋体" w:cs="宋体"/>
                <w:szCs w:val="21"/>
                <w:highlight w:val="none"/>
              </w:rPr>
              <w:t>≥12案例，按世赛标准模块化拆解任务，题型：单选（≥50题）/多选（≥10题）/填空（≥80题）/判断/邮件撰写（≥10题）。</w:t>
            </w:r>
          </w:p>
        </w:tc>
        <w:tc>
          <w:tcPr>
            <w:tcW w:w="1067" w:type="dxa"/>
            <w:tcBorders>
              <w:top w:val="single" w:color="auto" w:sz="4" w:space="0"/>
              <w:left w:val="single" w:color="auto" w:sz="4" w:space="0"/>
              <w:bottom w:val="single" w:color="auto" w:sz="4" w:space="0"/>
              <w:right w:val="single" w:color="auto" w:sz="4" w:space="0"/>
            </w:tcBorders>
            <w:noWrap w:val="0"/>
            <w:vAlign w:val="center"/>
          </w:tcPr>
          <w:p w14:paraId="6687E08B">
            <w:pPr>
              <w:keepNext w:val="0"/>
              <w:keepLines w:val="0"/>
              <w:suppressLineNumbers w:val="0"/>
              <w:spacing w:before="0" w:beforeAutospacing="0" w:after="0" w:afterAutospacing="0" w:line="240" w:lineRule="exact"/>
              <w:ind w:left="0" w:right="0"/>
              <w:jc w:val="center"/>
              <w:rPr>
                <w:rFonts w:hint="eastAsia" w:ascii="宋体" w:hAnsi="宋体" w:cs="宋体"/>
                <w:szCs w:val="18"/>
                <w:highlight w:val="none"/>
              </w:rPr>
            </w:pPr>
            <w:r>
              <w:rPr>
                <w:rFonts w:hint="eastAsia" w:ascii="宋体" w:hAnsi="宋体" w:cs="宋体"/>
                <w:szCs w:val="18"/>
                <w:highlight w:val="none"/>
              </w:rPr>
              <w:t>套</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0808B27E">
            <w:pPr>
              <w:pStyle w:val="26"/>
              <w:keepNext w:val="0"/>
              <w:keepLines w:val="0"/>
              <w:suppressLineNumbers w:val="0"/>
              <w:spacing w:before="0" w:beforeAutospacing="0" w:afterAutospacing="0"/>
              <w:ind w:left="0" w:right="0"/>
              <w:jc w:val="center"/>
              <w:rPr>
                <w:rFonts w:hint="eastAsia" w:ascii="宋体" w:hAnsi="宋体" w:cs="宋体"/>
                <w:szCs w:val="18"/>
                <w:highlight w:val="none"/>
              </w:rPr>
            </w:pPr>
            <w:r>
              <w:rPr>
                <w:rFonts w:hint="eastAsia" w:ascii="宋体" w:hAnsi="宋体" w:cs="宋体"/>
                <w:szCs w:val="18"/>
                <w:highlight w:val="none"/>
              </w:rPr>
              <w:t>1</w:t>
            </w:r>
          </w:p>
        </w:tc>
      </w:tr>
      <w:tr w14:paraId="3EEC7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19" w:type="dxa"/>
            <w:gridSpan w:val="5"/>
            <w:tcBorders>
              <w:top w:val="single" w:color="auto" w:sz="4" w:space="0"/>
              <w:left w:val="single" w:color="auto" w:sz="4" w:space="0"/>
              <w:bottom w:val="single" w:color="auto" w:sz="4" w:space="0"/>
              <w:right w:val="single" w:color="auto" w:sz="4" w:space="0"/>
            </w:tcBorders>
            <w:noWrap/>
            <w:vAlign w:val="center"/>
          </w:tcPr>
          <w:p w14:paraId="24417679">
            <w:pPr>
              <w:pStyle w:val="225"/>
              <w:keepNext w:val="0"/>
              <w:keepLines w:val="0"/>
              <w:pageBreakBefore w:val="0"/>
              <w:widowControl w:val="0"/>
              <w:suppressLineNumbers w:val="0"/>
              <w:spacing w:before="0" w:beforeAutospacing="0" w:after="0" w:afterAutospacing="0" w:line="320" w:lineRule="exact"/>
              <w:ind w:left="0" w:right="0"/>
              <w:jc w:val="both"/>
              <w:rPr>
                <w:rFonts w:hint="eastAsia" w:ascii="宋体" w:hAnsi="宋体" w:eastAsia="宋体" w:cs="宋体"/>
                <w:b/>
                <w:bCs/>
                <w:color w:val="0000FF"/>
                <w:sz w:val="21"/>
                <w:szCs w:val="21"/>
                <w:highlight w:val="none"/>
                <w:lang w:val="en-US" w:eastAsia="zh-CN"/>
              </w:rPr>
            </w:pPr>
            <w:r>
              <w:rPr>
                <w:rFonts w:hint="eastAsia" w:ascii="宋体" w:hAnsi="宋体" w:eastAsia="宋体" w:cs="宋体"/>
                <w:b/>
                <w:bCs/>
                <w:color w:val="0000FF"/>
                <w:sz w:val="21"/>
                <w:szCs w:val="21"/>
                <w:highlight w:val="none"/>
                <w:lang w:val="en-US" w:eastAsia="zh-CN"/>
              </w:rPr>
              <w:t>备注:</w:t>
            </w:r>
          </w:p>
          <w:p w14:paraId="09B404C7">
            <w:pPr>
              <w:pStyle w:val="225"/>
              <w:keepNext w:val="0"/>
              <w:keepLines w:val="0"/>
              <w:pageBreakBefore w:val="0"/>
              <w:widowControl w:val="0"/>
              <w:suppressLineNumbers w:val="0"/>
              <w:spacing w:before="0" w:beforeAutospacing="0" w:after="0" w:afterAutospacing="0" w:line="320" w:lineRule="exact"/>
              <w:ind w:left="0" w:right="0" w:firstLine="420"/>
              <w:jc w:val="both"/>
              <w:rPr>
                <w:rFonts w:hint="eastAsia" w:ascii="宋体" w:hAnsi="宋体" w:eastAsia="宋体" w:cs="宋体"/>
                <w:color w:val="0000FF"/>
                <w:sz w:val="21"/>
                <w:szCs w:val="21"/>
                <w:highlight w:val="none"/>
                <w:lang w:val="en-US" w:eastAsia="zh-CN"/>
              </w:rPr>
            </w:pPr>
            <w:r>
              <w:rPr>
                <w:rFonts w:hint="eastAsia" w:ascii="宋体" w:hAnsi="宋体" w:eastAsia="宋体" w:cs="宋体"/>
                <w:color w:val="0000FF"/>
                <w:sz w:val="21"/>
                <w:szCs w:val="21"/>
                <w:highlight w:val="none"/>
                <w:lang w:val="en-US" w:eastAsia="zh-CN"/>
              </w:rPr>
              <w:t>1.标注“▲”的技术参数为加分项，供应商须针对该部分条款提供有效证明材料，形式可包括：招标文件指定的证明文件（如有）、产品官方彩页（需注明发布日期）、原厂说明书、产品技术白皮书（须由产品研发主体出具）或承诺在中标后合同签订前提供具备相应认证资质的第三方检测机构出具的检验报告(承诺函格式自拟，相关检测费用由中标人承担)</w:t>
            </w:r>
          </w:p>
          <w:p w14:paraId="29642329">
            <w:pPr>
              <w:pStyle w:val="225"/>
              <w:keepNext w:val="0"/>
              <w:keepLines w:val="0"/>
              <w:pageBreakBefore w:val="0"/>
              <w:widowControl w:val="0"/>
              <w:suppressLineNumbers w:val="0"/>
              <w:spacing w:before="0" w:beforeAutospacing="0" w:after="0" w:afterAutospacing="0" w:line="320" w:lineRule="exact"/>
              <w:ind w:left="0" w:right="0" w:firstLine="420"/>
              <w:jc w:val="both"/>
              <w:rPr>
                <w:rFonts w:hint="eastAsia" w:ascii="宋体" w:hAnsi="宋体" w:cs="宋体"/>
                <w:szCs w:val="18"/>
                <w:highlight w:val="none"/>
              </w:rPr>
            </w:pPr>
            <w:r>
              <w:rPr>
                <w:rFonts w:hint="eastAsia" w:ascii="宋体" w:hAnsi="宋体" w:eastAsia="宋体" w:cs="宋体"/>
                <w:color w:val="0000FF"/>
                <w:sz w:val="21"/>
                <w:szCs w:val="21"/>
                <w:highlight w:val="none"/>
                <w:lang w:val="en-US" w:eastAsia="zh-CN"/>
              </w:rPr>
              <w:t>2.标注“★”的技术参数为加分项，供应商须按招标文件规定的具体内容进行功能视频演示。</w:t>
            </w:r>
          </w:p>
        </w:tc>
      </w:tr>
    </w:tbl>
    <w:p w14:paraId="7768B2BF">
      <w:pPr>
        <w:pStyle w:val="196"/>
        <w:keepNext w:val="0"/>
        <w:keepLines w:val="0"/>
        <w:pageBreakBefore w:val="0"/>
        <w:widowControl w:val="0"/>
        <w:spacing w:line="480" w:lineRule="exact"/>
        <w:ind w:left="0" w:firstLine="0"/>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sz w:val="24"/>
          <w:szCs w:val="24"/>
          <w:lang w:val="en-US" w:eastAsia="zh-CN"/>
        </w:rPr>
        <w:t>三</w:t>
      </w:r>
      <w:r>
        <w:rPr>
          <w:rFonts w:hint="eastAsia" w:ascii="宋体" w:hAnsi="宋体" w:eastAsia="宋体" w:cs="宋体"/>
          <w:b/>
          <w:bCs/>
          <w:i w:val="0"/>
          <w:iCs w:val="0"/>
          <w:caps w:val="0"/>
          <w:color w:val="auto"/>
          <w:spacing w:val="0"/>
          <w:sz w:val="24"/>
          <w:szCs w:val="24"/>
        </w:rPr>
        <w:t>、技术参数响应与偏离</w:t>
      </w:r>
    </w:p>
    <w:p w14:paraId="54D5D565">
      <w:pPr>
        <w:keepNext w:val="0"/>
        <w:keepLines w:val="0"/>
        <w:pageBreakBefore w:val="0"/>
        <w:widowControl w:val="0"/>
        <w:spacing w:line="440" w:lineRule="exact"/>
        <w:ind w:left="0" w:firstLine="480"/>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供应商须针对本项目“设备详细参数”中未标注“★”和“▲”的所有条款，逐条编制《技术参数响应及偏离表》，</w:t>
      </w:r>
      <w:r>
        <w:rPr>
          <w:rFonts w:hint="eastAsia" w:ascii="宋体" w:hAnsi="宋体" w:eastAsia="宋体" w:cs="宋体"/>
          <w:b/>
          <w:bCs/>
          <w:i/>
          <w:iCs/>
          <w:color w:val="auto"/>
          <w:sz w:val="24"/>
          <w:szCs w:val="24"/>
          <w:highlight w:val="none"/>
          <w:u w:val="single"/>
        </w:rPr>
        <w:t>负偏离项总数不得超过</w:t>
      </w:r>
      <w:r>
        <w:rPr>
          <w:rFonts w:hint="eastAsia" w:ascii="宋体" w:hAnsi="宋体" w:eastAsia="宋体" w:cs="宋体"/>
          <w:b/>
          <w:bCs/>
          <w:i/>
          <w:iCs/>
          <w:color w:val="auto"/>
          <w:sz w:val="24"/>
          <w:szCs w:val="24"/>
          <w:highlight w:val="none"/>
          <w:u w:val="single"/>
          <w:lang w:val="en-US" w:eastAsia="zh-CN"/>
        </w:rPr>
        <w:t>10条</w:t>
      </w:r>
      <w:r>
        <w:rPr>
          <w:rFonts w:hint="eastAsia" w:ascii="宋体" w:hAnsi="宋体" w:eastAsia="宋体" w:cs="宋体"/>
          <w:b w:val="0"/>
          <w:bCs w:val="0"/>
          <w:i/>
          <w:iCs/>
          <w:color w:val="auto"/>
          <w:sz w:val="24"/>
          <w:szCs w:val="24"/>
          <w:highlight w:val="none"/>
          <w:u w:val="single"/>
        </w:rPr>
        <w:t>（以技术参数表中最末级序号为独立计数单位，每项计一条），若超出此限，将被视为未实质性响应采购要求</w:t>
      </w:r>
      <w:r>
        <w:rPr>
          <w:rFonts w:hint="eastAsia" w:ascii="宋体" w:hAnsi="宋体" w:eastAsia="宋体" w:cs="宋体"/>
          <w:b/>
          <w:bCs/>
          <w:i/>
          <w:iCs/>
          <w:color w:val="auto"/>
          <w:sz w:val="24"/>
          <w:szCs w:val="24"/>
          <w:highlight w:val="none"/>
          <w:u w:val="single"/>
        </w:rPr>
        <w:t>，作无效响应处理。</w:t>
      </w:r>
    </w:p>
    <w:p w14:paraId="7A1417DF">
      <w:pPr>
        <w:keepNext w:val="0"/>
        <w:keepLines w:val="0"/>
        <w:pageBreakBefore w:val="0"/>
        <w:widowControl w:val="0"/>
        <w:spacing w:line="440" w:lineRule="exact"/>
        <w:ind w:left="0" w:firstLine="48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lang w:eastAsia="zh-CN"/>
        </w:rPr>
        <w:t>正偏离</w:t>
      </w:r>
      <w:r>
        <w:rPr>
          <w:rFonts w:hint="eastAsia" w:ascii="宋体" w:hAnsi="宋体" w:eastAsia="宋体" w:cs="宋体"/>
          <w:b w:val="0"/>
          <w:bCs w:val="0"/>
          <w:color w:val="auto"/>
          <w:sz w:val="24"/>
          <w:szCs w:val="24"/>
        </w:rPr>
        <w:t>”指优于招标文件要求；“负偏离”指低于招标文件要求；“符合”指满足招标文件要求。投标人应在《技术参数响应及偏离表》（格式详见第六章投标文件格式）中，对招标文件采购清单内的所有技术参数逐条明确其响应状态，即明确填写“</w:t>
      </w:r>
      <w:r>
        <w:rPr>
          <w:rFonts w:hint="eastAsia" w:ascii="宋体" w:hAnsi="宋体" w:eastAsia="宋体" w:cs="宋体"/>
          <w:b w:val="0"/>
          <w:bCs w:val="0"/>
          <w:color w:val="auto"/>
          <w:sz w:val="24"/>
          <w:szCs w:val="24"/>
          <w:lang w:eastAsia="zh-CN"/>
        </w:rPr>
        <w:t>正偏离</w:t>
      </w:r>
      <w:r>
        <w:rPr>
          <w:rFonts w:hint="eastAsia" w:ascii="宋体" w:hAnsi="宋体" w:eastAsia="宋体" w:cs="宋体"/>
          <w:b w:val="0"/>
          <w:bCs w:val="0"/>
          <w:color w:val="auto"/>
          <w:sz w:val="24"/>
          <w:szCs w:val="24"/>
        </w:rPr>
        <w:t>”、“负偏离”或“符合”，不得遗漏。凡未在《技术参数响应及偏离表》中声明偏离情况的技术条款，均视为“符合”。中标人须在合同履行阶段严格遵守招标文件中对应条款的约定。</w:t>
      </w:r>
    </w:p>
    <w:p w14:paraId="1A2847EE">
      <w:pPr>
        <w:keepNext w:val="0"/>
        <w:keepLines w:val="0"/>
        <w:pageBreakBefore w:val="0"/>
        <w:widowControl w:val="0"/>
        <w:spacing w:line="440" w:lineRule="exact"/>
        <w:ind w:left="0" w:firstLine="48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对于非评分项的技术参数，投标人可选择在投标时提供证明材料，亦可于中标通知书发出后、正式签订合同前补充提供（补充材料须在合同签订前</w:t>
      </w:r>
      <w:r>
        <w:rPr>
          <w:rFonts w:hint="eastAsia" w:ascii="宋体" w:hAnsi="宋体" w:eastAsia="宋体" w:cs="宋体"/>
          <w:b w:val="0"/>
          <w:bCs w:val="0"/>
          <w:color w:val="auto"/>
          <w:sz w:val="24"/>
          <w:szCs w:val="24"/>
          <w:lang w:val="en-US" w:eastAsia="zh-CN"/>
        </w:rPr>
        <w:t>7</w:t>
      </w:r>
      <w:r>
        <w:rPr>
          <w:rFonts w:hint="eastAsia" w:ascii="宋体" w:hAnsi="宋体" w:eastAsia="宋体" w:cs="宋体"/>
          <w:b w:val="0"/>
          <w:bCs w:val="0"/>
          <w:color w:val="auto"/>
          <w:sz w:val="24"/>
          <w:szCs w:val="24"/>
        </w:rPr>
        <w:t>个工作日内提交）。所提供的材料将作为合同履约验收的依据之一。</w:t>
      </w:r>
    </w:p>
    <w:p w14:paraId="216CB9B3">
      <w:pPr>
        <w:pStyle w:val="196"/>
        <w:keepNext w:val="0"/>
        <w:keepLines w:val="0"/>
        <w:pageBreakBefore w:val="0"/>
        <w:widowControl w:val="0"/>
        <w:spacing w:line="480" w:lineRule="exact"/>
        <w:ind w:left="0" w:firstLine="482"/>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sz w:val="24"/>
          <w:szCs w:val="24"/>
          <w:lang w:val="en-US" w:eastAsia="zh-CN"/>
        </w:rPr>
        <w:t>四</w:t>
      </w:r>
      <w:r>
        <w:rPr>
          <w:rFonts w:hint="eastAsia" w:ascii="宋体" w:hAnsi="宋体" w:eastAsia="宋体" w:cs="宋体"/>
          <w:b/>
          <w:bCs/>
          <w:i w:val="0"/>
          <w:iCs w:val="0"/>
          <w:caps w:val="0"/>
          <w:color w:val="auto"/>
          <w:spacing w:val="0"/>
          <w:sz w:val="24"/>
          <w:szCs w:val="24"/>
        </w:rPr>
        <w:t>、商务要求响应及偏离</w:t>
      </w:r>
    </w:p>
    <w:p w14:paraId="03F74903">
      <w:pPr>
        <w:pStyle w:val="196"/>
        <w:keepNext w:val="0"/>
        <w:keepLines w:val="0"/>
        <w:pageBreakBefore w:val="0"/>
        <w:widowControl w:val="0"/>
        <w:numPr>
          <w:ilvl w:val="0"/>
          <w:numId w:val="10"/>
        </w:numPr>
        <w:spacing w:line="440" w:lineRule="exact"/>
        <w:ind w:left="0" w:firstLine="480"/>
        <w:rPr>
          <w:rFonts w:hint="eastAsia" w:ascii="宋体" w:hAnsi="宋体" w:eastAsia="宋体" w:cs="宋体"/>
          <w:b w:val="0"/>
          <w:bCs w:val="0"/>
          <w:i/>
          <w:iCs/>
          <w:caps w:val="0"/>
          <w:color w:val="auto"/>
          <w:spacing w:val="0"/>
          <w:sz w:val="24"/>
          <w:szCs w:val="24"/>
          <w:highlight w:val="none"/>
          <w:u w:val="single"/>
        </w:rPr>
      </w:pPr>
      <w:r>
        <w:rPr>
          <w:rFonts w:hint="eastAsia" w:ascii="宋体" w:hAnsi="宋体" w:eastAsia="宋体" w:cs="宋体"/>
          <w:b w:val="0"/>
          <w:bCs w:val="0"/>
          <w:i/>
          <w:iCs/>
          <w:caps w:val="0"/>
          <w:color w:val="auto"/>
          <w:spacing w:val="0"/>
          <w:sz w:val="24"/>
          <w:szCs w:val="24"/>
          <w:highlight w:val="none"/>
          <w:u w:val="single"/>
        </w:rPr>
        <w:t>交付时间：合同生效后60个日历天（此期限不包括采购人验收时间），供应商应在此期限内完成全部货物的交付、安装与调试。</w:t>
      </w:r>
    </w:p>
    <w:p w14:paraId="53266B2A">
      <w:pPr>
        <w:pStyle w:val="196"/>
        <w:keepNext w:val="0"/>
        <w:keepLines w:val="0"/>
        <w:pageBreakBefore w:val="0"/>
        <w:widowControl w:val="0"/>
        <w:numPr>
          <w:ilvl w:val="0"/>
          <w:numId w:val="0"/>
        </w:numPr>
        <w:spacing w:line="440" w:lineRule="exact"/>
        <w:ind w:left="0" w:firstLine="480"/>
        <w:rPr>
          <w:rFonts w:hint="eastAsia" w:ascii="宋体" w:hAnsi="宋体" w:eastAsia="宋体" w:cs="宋体"/>
          <w:b w:val="0"/>
          <w:bCs w:val="0"/>
          <w:i/>
          <w:iCs/>
          <w:caps w:val="0"/>
          <w:color w:val="auto"/>
          <w:spacing w:val="0"/>
          <w:sz w:val="24"/>
          <w:szCs w:val="24"/>
          <w:highlight w:val="none"/>
          <w:u w:val="single"/>
        </w:rPr>
      </w:pPr>
      <w:r>
        <w:rPr>
          <w:rFonts w:hint="eastAsia" w:ascii="宋体" w:hAnsi="宋体" w:eastAsia="宋体" w:cs="宋体"/>
          <w:b w:val="0"/>
          <w:bCs w:val="0"/>
          <w:i/>
          <w:iCs/>
          <w:caps w:val="0"/>
          <w:color w:val="auto"/>
          <w:spacing w:val="0"/>
          <w:sz w:val="24"/>
          <w:szCs w:val="24"/>
          <w:highlight w:val="none"/>
          <w:u w:val="single"/>
          <w:lang w:val="en-US" w:eastAsia="zh-CN"/>
        </w:rPr>
        <w:t>注：</w:t>
      </w:r>
      <w:r>
        <w:rPr>
          <w:rFonts w:hint="eastAsia" w:ascii="宋体" w:hAnsi="宋体" w:eastAsia="宋体" w:cs="宋体"/>
          <w:b w:val="0"/>
          <w:bCs w:val="0"/>
          <w:i/>
          <w:iCs/>
          <w:caps w:val="0"/>
          <w:color w:val="auto"/>
          <w:spacing w:val="0"/>
          <w:sz w:val="24"/>
          <w:szCs w:val="24"/>
          <w:highlight w:val="none"/>
          <w:u w:val="single"/>
        </w:rPr>
        <w:t>若因不可抗力或采购人场地、需求变更等非中标人原因需延期，中标人可提前10个工作日向采购人提交书面延期申请，说明延期理由及预计完成时间，经采购人书面同意后可调整交付时间，延期时间最长不超过30个日历日；因中标人自身原因导致延期的，按合同约定承担违约责任。</w:t>
      </w:r>
    </w:p>
    <w:p w14:paraId="1809E569">
      <w:pPr>
        <w:pStyle w:val="196"/>
        <w:keepNext w:val="0"/>
        <w:keepLines w:val="0"/>
        <w:pageBreakBefore w:val="0"/>
        <w:widowControl w:val="0"/>
        <w:numPr>
          <w:ilvl w:val="0"/>
          <w:numId w:val="10"/>
        </w:numPr>
        <w:spacing w:line="440" w:lineRule="exact"/>
        <w:ind w:left="0" w:firstLine="480"/>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交付地点：江苏省盐城技师学院采购人指定地点。</w:t>
      </w:r>
    </w:p>
    <w:p w14:paraId="783D5E2E">
      <w:pPr>
        <w:pStyle w:val="196"/>
        <w:keepNext w:val="0"/>
        <w:keepLines w:val="0"/>
        <w:pageBreakBefore w:val="0"/>
        <w:widowControl w:val="0"/>
        <w:numPr>
          <w:ilvl w:val="0"/>
          <w:numId w:val="10"/>
        </w:numPr>
        <w:spacing w:line="440" w:lineRule="exact"/>
        <w:ind w:left="0" w:firstLine="480"/>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验收：采购人依据相关规定、招标文件、投标文件及合同组织验收。若因服务质量产生争议，应由双方共同认可的具备资质的第三方检测机构进行鉴定。符合标准的，鉴定费由采购人承担；不符合标准的，鉴定费由中标人承担，且中标人须在鉴定结果出具后15个工作日内完成整改并重新申请验收。</w:t>
      </w:r>
    </w:p>
    <w:p w14:paraId="311D53C6">
      <w:pPr>
        <w:pStyle w:val="196"/>
        <w:keepNext w:val="0"/>
        <w:keepLines w:val="0"/>
        <w:pageBreakBefore w:val="0"/>
        <w:widowControl w:val="0"/>
        <w:numPr>
          <w:ilvl w:val="0"/>
          <w:numId w:val="10"/>
        </w:numPr>
        <w:spacing w:line="440" w:lineRule="exact"/>
        <w:ind w:left="0" w:firstLine="480"/>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质量保证：所供货物及软件应为成熟、稳定的在售型号。免费质保期不少于三年，自最终验收合格之日起计算。质保期内，提供7×24小时技术支持，故障1小时内电话响应，24小时内现场到位（如需），并免费提供</w:t>
      </w:r>
      <w:r>
        <w:rPr>
          <w:rFonts w:hint="eastAsia" w:ascii="宋体" w:hAnsi="宋体" w:eastAsia="宋体" w:cs="宋体"/>
          <w:i/>
          <w:iCs/>
          <w:caps w:val="0"/>
          <w:color w:val="auto"/>
          <w:spacing w:val="0"/>
          <w:sz w:val="24"/>
          <w:szCs w:val="24"/>
          <w:highlight w:val="none"/>
          <w:u w:val="single"/>
          <w:lang w:val="en-US" w:eastAsia="zh-CN"/>
        </w:rPr>
        <w:t>不少于三年的</w:t>
      </w:r>
      <w:r>
        <w:rPr>
          <w:rFonts w:hint="eastAsia" w:ascii="宋体" w:hAnsi="宋体" w:eastAsia="宋体" w:cs="宋体"/>
          <w:i/>
          <w:iCs/>
          <w:caps w:val="0"/>
          <w:color w:val="auto"/>
          <w:spacing w:val="0"/>
          <w:sz w:val="24"/>
          <w:szCs w:val="24"/>
          <w:highlight w:val="none"/>
          <w:u w:val="single"/>
        </w:rPr>
        <w:t>系统升级与技术服务。质保期外，应能提供持续的技术支持与维护服务，收费标准不高于其官方公示价格或同期市场公允价格。</w:t>
      </w:r>
    </w:p>
    <w:p w14:paraId="2EAE0A01">
      <w:pPr>
        <w:pStyle w:val="196"/>
        <w:keepNext w:val="0"/>
        <w:keepLines w:val="0"/>
        <w:pageBreakBefore w:val="0"/>
        <w:widowControl w:val="0"/>
        <w:numPr>
          <w:ilvl w:val="0"/>
          <w:numId w:val="10"/>
        </w:numPr>
        <w:spacing w:line="440" w:lineRule="exact"/>
        <w:ind w:left="0" w:firstLine="480"/>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付款方式：</w:t>
      </w:r>
    </w:p>
    <w:p w14:paraId="092FF6BB">
      <w:pPr>
        <w:pStyle w:val="196"/>
        <w:keepNext w:val="0"/>
        <w:keepLines w:val="0"/>
        <w:pageBreakBefore w:val="0"/>
        <w:widowControl w:val="0"/>
        <w:numPr>
          <w:ilvl w:val="0"/>
          <w:numId w:val="0"/>
        </w:numPr>
        <w:spacing w:line="440" w:lineRule="exact"/>
        <w:ind w:left="0" w:firstLine="480"/>
        <w:rPr>
          <w:rFonts w:hint="eastAsia" w:ascii="宋体" w:hAnsi="宋体" w:eastAsia="宋体" w:cs="宋体"/>
          <w:i/>
          <w:iCs/>
          <w:caps w:val="0"/>
          <w:color w:val="auto"/>
          <w:spacing w:val="0"/>
          <w:sz w:val="24"/>
          <w:szCs w:val="24"/>
          <w:highlight w:val="none"/>
          <w:u w:val="single"/>
          <w:lang w:eastAsia="zh-CN"/>
        </w:rPr>
      </w:pPr>
      <w:r>
        <w:rPr>
          <w:rFonts w:hint="eastAsia" w:ascii="宋体" w:hAnsi="宋体" w:eastAsia="宋体" w:cs="宋体"/>
          <w:i/>
          <w:iCs/>
          <w:caps w:val="0"/>
          <w:color w:val="auto"/>
          <w:spacing w:val="0"/>
          <w:sz w:val="24"/>
          <w:szCs w:val="24"/>
          <w:highlight w:val="none"/>
          <w:u w:val="single"/>
        </w:rPr>
        <w:t>预付款：合同签订生效并收到合规发票后10个工作日内</w:t>
      </w:r>
      <w:r>
        <w:rPr>
          <w:rFonts w:hint="eastAsia" w:ascii="宋体" w:hAnsi="宋体" w:eastAsia="宋体" w:cs="宋体"/>
          <w:i/>
          <w:iCs/>
          <w:caps w:val="0"/>
          <w:color w:val="auto"/>
          <w:spacing w:val="0"/>
          <w:sz w:val="24"/>
          <w:szCs w:val="24"/>
          <w:highlight w:val="none"/>
          <w:u w:val="single"/>
          <w:lang w:eastAsia="zh-CN"/>
        </w:rPr>
        <w:t>，</w:t>
      </w:r>
      <w:r>
        <w:rPr>
          <w:rFonts w:hint="eastAsia" w:ascii="宋体" w:hAnsi="宋体" w:eastAsia="宋体" w:cs="宋体"/>
          <w:i/>
          <w:iCs/>
          <w:caps w:val="0"/>
          <w:color w:val="auto"/>
          <w:spacing w:val="0"/>
          <w:sz w:val="24"/>
          <w:szCs w:val="24"/>
          <w:highlight w:val="none"/>
          <w:u w:val="single"/>
        </w:rPr>
        <w:t>支付合同总价的30%</w:t>
      </w:r>
      <w:r>
        <w:rPr>
          <w:rFonts w:hint="eastAsia" w:ascii="宋体" w:hAnsi="宋体" w:eastAsia="宋体" w:cs="宋体"/>
          <w:i/>
          <w:iCs/>
          <w:caps w:val="0"/>
          <w:color w:val="auto"/>
          <w:spacing w:val="0"/>
          <w:sz w:val="24"/>
          <w:szCs w:val="24"/>
          <w:highlight w:val="none"/>
          <w:u w:val="single"/>
          <w:lang w:eastAsia="zh-CN"/>
        </w:rPr>
        <w:t>；</w:t>
      </w:r>
    </w:p>
    <w:p w14:paraId="0D1C3055">
      <w:pPr>
        <w:pStyle w:val="196"/>
        <w:keepNext w:val="0"/>
        <w:keepLines w:val="0"/>
        <w:pageBreakBefore w:val="0"/>
        <w:widowControl w:val="0"/>
        <w:numPr>
          <w:ilvl w:val="0"/>
          <w:numId w:val="0"/>
        </w:numPr>
        <w:spacing w:line="440" w:lineRule="exact"/>
        <w:ind w:left="0" w:firstLine="480"/>
        <w:rPr>
          <w:rFonts w:hint="eastAsia" w:ascii="宋体" w:hAnsi="宋体" w:eastAsia="宋体" w:cs="宋体"/>
          <w:i/>
          <w:iCs/>
          <w:caps w:val="0"/>
          <w:color w:val="auto"/>
          <w:spacing w:val="0"/>
          <w:sz w:val="24"/>
          <w:szCs w:val="24"/>
          <w:highlight w:val="none"/>
          <w:u w:val="single"/>
          <w:lang w:eastAsia="zh-CN"/>
        </w:rPr>
      </w:pPr>
      <w:r>
        <w:rPr>
          <w:rFonts w:hint="eastAsia" w:ascii="宋体" w:hAnsi="宋体" w:eastAsia="宋体" w:cs="宋体"/>
          <w:i/>
          <w:iCs/>
          <w:caps w:val="0"/>
          <w:color w:val="auto"/>
          <w:spacing w:val="0"/>
          <w:sz w:val="24"/>
          <w:szCs w:val="24"/>
          <w:highlight w:val="none"/>
          <w:u w:val="single"/>
        </w:rPr>
        <w:t>进度款：货物安装调试完毕并初步验收合格后，收到合规发票后 10个工作日内</w:t>
      </w:r>
      <w:r>
        <w:rPr>
          <w:rFonts w:hint="eastAsia" w:ascii="宋体" w:hAnsi="宋体" w:eastAsia="宋体" w:cs="宋体"/>
          <w:i/>
          <w:iCs/>
          <w:caps w:val="0"/>
          <w:color w:val="auto"/>
          <w:spacing w:val="0"/>
          <w:sz w:val="24"/>
          <w:szCs w:val="24"/>
          <w:highlight w:val="none"/>
          <w:u w:val="single"/>
          <w:lang w:eastAsia="zh-CN"/>
        </w:rPr>
        <w:t>，</w:t>
      </w:r>
      <w:r>
        <w:rPr>
          <w:rFonts w:hint="eastAsia" w:ascii="宋体" w:hAnsi="宋体" w:eastAsia="宋体" w:cs="宋体"/>
          <w:i/>
          <w:iCs/>
          <w:caps w:val="0"/>
          <w:color w:val="auto"/>
          <w:spacing w:val="0"/>
          <w:sz w:val="24"/>
          <w:szCs w:val="24"/>
          <w:highlight w:val="none"/>
          <w:u w:val="single"/>
        </w:rPr>
        <w:t>支付至合同总价的</w:t>
      </w:r>
      <w:r>
        <w:rPr>
          <w:rFonts w:hint="eastAsia" w:ascii="宋体" w:hAnsi="宋体" w:eastAsia="宋体" w:cs="宋体"/>
          <w:i/>
          <w:iCs/>
          <w:caps w:val="0"/>
          <w:color w:val="auto"/>
          <w:spacing w:val="0"/>
          <w:sz w:val="24"/>
          <w:szCs w:val="24"/>
          <w:highlight w:val="none"/>
          <w:u w:val="single"/>
          <w:lang w:val="en-US" w:eastAsia="zh-CN"/>
        </w:rPr>
        <w:t>10</w:t>
      </w:r>
      <w:r>
        <w:rPr>
          <w:rFonts w:hint="eastAsia" w:ascii="宋体" w:hAnsi="宋体" w:eastAsia="宋体" w:cs="宋体"/>
          <w:i/>
          <w:iCs/>
          <w:caps w:val="0"/>
          <w:color w:val="auto"/>
          <w:spacing w:val="0"/>
          <w:sz w:val="24"/>
          <w:szCs w:val="24"/>
          <w:highlight w:val="none"/>
          <w:u w:val="single"/>
        </w:rPr>
        <w:t>0%</w:t>
      </w:r>
      <w:r>
        <w:rPr>
          <w:rFonts w:hint="eastAsia" w:ascii="宋体" w:hAnsi="宋体" w:eastAsia="宋体" w:cs="宋体"/>
          <w:i/>
          <w:iCs/>
          <w:caps w:val="0"/>
          <w:color w:val="auto"/>
          <w:spacing w:val="0"/>
          <w:sz w:val="24"/>
          <w:szCs w:val="24"/>
          <w:highlight w:val="none"/>
          <w:u w:val="single"/>
          <w:lang w:eastAsia="zh-CN"/>
        </w:rPr>
        <w:t>；</w:t>
      </w:r>
    </w:p>
    <w:p w14:paraId="762F4CD8">
      <w:pPr>
        <w:pStyle w:val="196"/>
        <w:keepNext w:val="0"/>
        <w:keepLines w:val="0"/>
        <w:pageBreakBefore w:val="0"/>
        <w:widowControl w:val="0"/>
        <w:numPr>
          <w:ilvl w:val="0"/>
          <w:numId w:val="10"/>
        </w:numPr>
        <w:spacing w:line="440" w:lineRule="exact"/>
        <w:ind w:left="0" w:firstLine="480"/>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 xml:space="preserve">方案完整性要求：投标人应确保其投标方案（包括必要的扩展内容）能完整实现招标文件的全部功能需求。如需增补清单外内容，应在投标文件中明确列出并计入总价。未列明者，视为现有清单已完全满足需求，因缺失导致的补充及整改责任由中标人承担。 </w:t>
      </w:r>
    </w:p>
    <w:p w14:paraId="52BD6C3F">
      <w:pPr>
        <w:pStyle w:val="196"/>
        <w:keepNext w:val="0"/>
        <w:keepLines w:val="0"/>
        <w:pageBreakBefore w:val="0"/>
        <w:widowControl w:val="0"/>
        <w:spacing w:line="440" w:lineRule="exact"/>
        <w:ind w:left="0" w:firstLine="480"/>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标准与费用包干：投标人应确保其产品与实施符合国家及项目所在地的强制性标准与规范。为满足所有要求及实现项目功能所产生的一切费用（包括但不限于货物采购费、运输费、安装调试费、培训费、税费、质保期内服务费等）、风险（包括市场价格波动、政策调整等风险）及税金均已包含在投标总价内，中标后不予调整。</w:t>
      </w:r>
    </w:p>
    <w:p w14:paraId="48D19479">
      <w:pPr>
        <w:pStyle w:val="196"/>
        <w:keepNext w:val="0"/>
        <w:keepLines w:val="0"/>
        <w:pageBreakBefore w:val="0"/>
        <w:widowControl w:val="0"/>
        <w:numPr>
          <w:ilvl w:val="0"/>
          <w:numId w:val="0"/>
        </w:numPr>
        <w:spacing w:line="440" w:lineRule="exact"/>
        <w:ind w:left="0" w:firstLine="480"/>
        <w:rPr>
          <w:rFonts w:hint="eastAsia" w:ascii="宋体" w:hAnsi="宋体" w:eastAsia="宋体" w:cs="宋体"/>
          <w:b/>
          <w:bCs/>
          <w:i/>
          <w:iCs/>
          <w:color w:val="auto"/>
          <w:spacing w:val="-5"/>
          <w:sz w:val="24"/>
          <w:u w:val="single"/>
          <w:lang w:eastAsia="zh-CN"/>
        </w:rPr>
      </w:pPr>
      <w:r>
        <w:rPr>
          <w:rFonts w:hint="default" w:ascii="宋体" w:hAnsi="宋体" w:eastAsia="宋体" w:cs="宋体"/>
          <w:b/>
          <w:bCs/>
          <w:i/>
          <w:iCs/>
          <w:color w:val="auto"/>
          <w:spacing w:val="-5"/>
          <w:sz w:val="24"/>
          <w:szCs w:val="24"/>
          <w:lang w:val="en-US" w:eastAsia="zh-CN" w:bidi="ar-SA"/>
        </w:rPr>
        <w:t>8．</w:t>
      </w:r>
      <w:r>
        <w:rPr>
          <w:rFonts w:hint="eastAsia" w:ascii="宋体" w:hAnsi="宋体" w:eastAsia="宋体" w:cs="宋体"/>
          <w:b/>
          <w:bCs/>
          <w:i/>
          <w:iCs/>
          <w:caps w:val="0"/>
          <w:color w:val="auto"/>
          <w:spacing w:val="0"/>
          <w:sz w:val="24"/>
          <w:szCs w:val="24"/>
          <w:highlight w:val="none"/>
          <w:u w:val="single"/>
          <w:lang w:val="en-US" w:eastAsia="zh-CN"/>
        </w:rPr>
        <w:t>中标后七个工作日内，</w:t>
      </w:r>
      <w:r>
        <w:rPr>
          <w:rFonts w:hint="eastAsia" w:ascii="宋体" w:hAnsi="宋体" w:eastAsia="宋体" w:cs="宋体"/>
          <w:b/>
          <w:bCs/>
          <w:i/>
          <w:iCs/>
          <w:color w:val="auto"/>
          <w:spacing w:val="-5"/>
          <w:sz w:val="24"/>
          <w:u w:val="single"/>
          <w:lang w:eastAsia="zh-CN"/>
        </w:rPr>
        <w:t>中标</w:t>
      </w:r>
      <w:r>
        <w:rPr>
          <w:rFonts w:hint="eastAsia" w:ascii="宋体" w:hAnsi="宋体" w:eastAsia="宋体" w:cs="宋体"/>
          <w:b/>
          <w:bCs/>
          <w:i/>
          <w:iCs/>
          <w:color w:val="auto"/>
          <w:spacing w:val="-5"/>
          <w:sz w:val="24"/>
          <w:u w:val="single"/>
          <w:lang w:val="en-US" w:eastAsia="zh-CN"/>
        </w:rPr>
        <w:t>供应商</w:t>
      </w:r>
      <w:r>
        <w:rPr>
          <w:rFonts w:hint="eastAsia" w:ascii="宋体" w:hAnsi="宋体" w:eastAsia="宋体" w:cs="宋体"/>
          <w:b/>
          <w:bCs/>
          <w:i/>
          <w:iCs/>
          <w:color w:val="auto"/>
          <w:spacing w:val="-5"/>
          <w:sz w:val="24"/>
          <w:u w:val="single"/>
          <w:lang w:eastAsia="zh-CN"/>
        </w:rPr>
        <w:t>需根据</w:t>
      </w:r>
      <w:r>
        <w:rPr>
          <w:rFonts w:hint="eastAsia" w:ascii="宋体" w:hAnsi="宋体" w:eastAsia="宋体" w:cs="宋体"/>
          <w:b/>
          <w:bCs/>
          <w:i/>
          <w:iCs/>
          <w:color w:val="auto"/>
          <w:spacing w:val="-5"/>
          <w:sz w:val="24"/>
          <w:u w:val="single"/>
          <w:lang w:val="en-US" w:eastAsia="zh-CN"/>
        </w:rPr>
        <w:t>采购人</w:t>
      </w:r>
      <w:r>
        <w:rPr>
          <w:rFonts w:hint="eastAsia" w:ascii="宋体" w:hAnsi="宋体" w:eastAsia="宋体" w:cs="宋体"/>
          <w:b/>
          <w:bCs/>
          <w:i/>
          <w:iCs/>
          <w:color w:val="auto"/>
          <w:spacing w:val="-5"/>
          <w:sz w:val="24"/>
          <w:u w:val="single"/>
          <w:lang w:eastAsia="zh-CN"/>
        </w:rPr>
        <w:t>要求提供相关</w:t>
      </w:r>
      <w:r>
        <w:rPr>
          <w:rFonts w:hint="eastAsia" w:ascii="宋体" w:hAnsi="宋体" w:cs="宋体"/>
          <w:b/>
          <w:bCs/>
          <w:i/>
          <w:iCs/>
          <w:color w:val="auto"/>
          <w:spacing w:val="-5"/>
          <w:sz w:val="24"/>
          <w:u w:val="single"/>
          <w:lang w:val="en-US" w:eastAsia="zh-CN"/>
        </w:rPr>
        <w:t>软件</w:t>
      </w:r>
      <w:r>
        <w:rPr>
          <w:rFonts w:hint="eastAsia" w:ascii="宋体" w:hAnsi="宋体" w:eastAsia="宋体" w:cs="宋体"/>
          <w:b/>
          <w:bCs/>
          <w:i/>
          <w:iCs/>
          <w:color w:val="auto"/>
          <w:spacing w:val="-5"/>
          <w:sz w:val="24"/>
          <w:u w:val="single"/>
          <w:lang w:eastAsia="zh-CN"/>
        </w:rPr>
        <w:t>功能</w:t>
      </w:r>
      <w:r>
        <w:rPr>
          <w:rFonts w:hint="eastAsia" w:ascii="宋体" w:hAnsi="宋体" w:cs="宋体"/>
          <w:b/>
          <w:bCs/>
          <w:i/>
          <w:iCs/>
          <w:color w:val="auto"/>
          <w:spacing w:val="-5"/>
          <w:sz w:val="24"/>
          <w:u w:val="single"/>
          <w:lang w:val="en-US" w:eastAsia="zh-CN"/>
        </w:rPr>
        <w:t>测试</w:t>
      </w:r>
      <w:r>
        <w:rPr>
          <w:rFonts w:hint="eastAsia" w:ascii="宋体" w:hAnsi="宋体" w:eastAsia="宋体" w:cs="宋体"/>
          <w:b/>
          <w:bCs/>
          <w:i/>
          <w:iCs/>
          <w:color w:val="auto"/>
          <w:spacing w:val="-5"/>
          <w:sz w:val="24"/>
          <w:u w:val="single"/>
          <w:lang w:val="en-US" w:eastAsia="zh-CN"/>
        </w:rPr>
        <w:t>和系统演示真实视频</w:t>
      </w:r>
      <w:r>
        <w:rPr>
          <w:rFonts w:hint="eastAsia" w:ascii="宋体" w:hAnsi="宋体" w:eastAsia="宋体" w:cs="宋体"/>
          <w:b/>
          <w:bCs/>
          <w:i/>
          <w:iCs/>
          <w:color w:val="auto"/>
          <w:spacing w:val="-5"/>
          <w:sz w:val="24"/>
          <w:u w:val="single"/>
          <w:lang w:eastAsia="zh-CN"/>
        </w:rPr>
        <w:t>供</w:t>
      </w:r>
      <w:r>
        <w:rPr>
          <w:rFonts w:hint="eastAsia" w:ascii="宋体" w:hAnsi="宋体" w:eastAsia="宋体" w:cs="宋体"/>
          <w:b/>
          <w:bCs/>
          <w:i/>
          <w:iCs/>
          <w:color w:val="auto"/>
          <w:spacing w:val="-5"/>
          <w:sz w:val="24"/>
          <w:u w:val="single"/>
          <w:lang w:val="en-US" w:eastAsia="zh-CN"/>
        </w:rPr>
        <w:t>采购人</w:t>
      </w:r>
      <w:r>
        <w:rPr>
          <w:rFonts w:hint="eastAsia" w:ascii="宋体" w:hAnsi="宋体" w:cs="宋体"/>
          <w:b/>
          <w:bCs/>
          <w:i/>
          <w:iCs/>
          <w:color w:val="auto"/>
          <w:spacing w:val="-5"/>
          <w:sz w:val="24"/>
          <w:u w:val="single"/>
          <w:lang w:val="en-US" w:eastAsia="zh-CN"/>
        </w:rPr>
        <w:t>核查</w:t>
      </w:r>
      <w:r>
        <w:rPr>
          <w:rFonts w:hint="eastAsia" w:ascii="宋体" w:hAnsi="宋体" w:eastAsia="宋体" w:cs="宋体"/>
          <w:b/>
          <w:bCs/>
          <w:i/>
          <w:iCs/>
          <w:color w:val="auto"/>
          <w:spacing w:val="-5"/>
          <w:sz w:val="24"/>
          <w:u w:val="single"/>
          <w:lang w:eastAsia="zh-CN"/>
        </w:rPr>
        <w:t>。</w:t>
      </w:r>
    </w:p>
    <w:p w14:paraId="1A2C9A43">
      <w:pPr>
        <w:pStyle w:val="196"/>
        <w:keepNext w:val="0"/>
        <w:keepLines w:val="0"/>
        <w:pageBreakBefore w:val="0"/>
        <w:widowControl w:val="0"/>
        <w:numPr>
          <w:ilvl w:val="0"/>
          <w:numId w:val="0"/>
        </w:numPr>
        <w:spacing w:line="440" w:lineRule="exact"/>
        <w:ind w:left="480"/>
        <w:rPr>
          <w:rFonts w:hint="default" w:ascii="宋体" w:hAnsi="宋体" w:eastAsia="宋体" w:cs="宋体"/>
          <w:b/>
          <w:bCs/>
          <w:i/>
          <w:iCs/>
          <w:color w:val="auto"/>
          <w:spacing w:val="-5"/>
          <w:sz w:val="24"/>
          <w:highlight w:val="yellow"/>
          <w:u w:val="single"/>
          <w:lang w:val="en-US" w:eastAsia="zh-CN"/>
        </w:rPr>
      </w:pPr>
      <w:r>
        <w:rPr>
          <w:rFonts w:hint="eastAsia" w:ascii="宋体" w:hAnsi="宋体" w:eastAsia="宋体" w:cs="宋体"/>
          <w:b/>
          <w:bCs/>
          <w:i/>
          <w:iCs/>
          <w:color w:val="auto"/>
          <w:spacing w:val="-5"/>
          <w:sz w:val="24"/>
          <w:highlight w:val="yellow"/>
          <w:u w:val="none"/>
          <w:lang w:val="en-US" w:eastAsia="zh-CN"/>
        </w:rPr>
        <w:t>9</w:t>
      </w:r>
      <w:r>
        <w:rPr>
          <w:rFonts w:hint="default" w:ascii="宋体" w:hAnsi="宋体" w:eastAsia="宋体" w:cs="宋体"/>
          <w:b/>
          <w:bCs/>
          <w:i/>
          <w:iCs/>
          <w:color w:val="auto"/>
          <w:spacing w:val="-5"/>
          <w:sz w:val="24"/>
          <w:szCs w:val="24"/>
          <w:highlight w:val="yellow"/>
          <w:lang w:val="en-US" w:eastAsia="zh-CN" w:bidi="ar-SA"/>
        </w:rPr>
        <w:t>．</w:t>
      </w:r>
      <w:r>
        <w:rPr>
          <w:rFonts w:hint="default" w:ascii="宋体" w:hAnsi="宋体" w:eastAsia="宋体" w:cs="宋体"/>
          <w:b/>
          <w:bCs/>
          <w:i/>
          <w:iCs/>
          <w:color w:val="auto"/>
          <w:spacing w:val="-5"/>
          <w:sz w:val="24"/>
          <w:highlight w:val="yellow"/>
          <w:u w:val="single"/>
          <w:lang w:val="en-US" w:eastAsia="zh-CN"/>
        </w:rPr>
        <w:t>供应商承诺提供的货物及软件免费质保期不低于3年（自最终验收合格之日起计算）。</w:t>
      </w:r>
    </w:p>
    <w:p w14:paraId="31A9E22E">
      <w:pPr>
        <w:pStyle w:val="196"/>
        <w:keepNext w:val="0"/>
        <w:keepLines w:val="0"/>
        <w:pageBreakBefore w:val="0"/>
        <w:widowControl w:val="0"/>
        <w:spacing w:line="440" w:lineRule="exact"/>
        <w:ind w:left="0" w:firstLine="482"/>
        <w:rPr>
          <w:rFonts w:hint="eastAsia" w:ascii="宋体" w:hAnsi="宋体" w:eastAsia="宋体" w:cs="宋体"/>
          <w:b/>
          <w:bCs w:val="0"/>
          <w:i/>
          <w:iCs w:val="0"/>
          <w:color w:val="auto"/>
          <w:sz w:val="24"/>
          <w:szCs w:val="24"/>
          <w:highlight w:val="none"/>
          <w:u w:val="single"/>
          <w:lang w:val="en-US" w:eastAsia="zh-CN"/>
        </w:rPr>
      </w:pPr>
      <w:r>
        <w:rPr>
          <w:rFonts w:hint="eastAsia" w:ascii="宋体" w:hAnsi="宋体" w:eastAsia="宋体" w:cs="宋体"/>
          <w:b/>
          <w:bCs w:val="0"/>
          <w:i/>
          <w:iCs w:val="0"/>
          <w:color w:val="auto"/>
          <w:sz w:val="24"/>
          <w:szCs w:val="24"/>
          <w:highlight w:val="none"/>
          <w:u w:val="single"/>
          <w:lang w:val="en-US" w:eastAsia="zh-CN"/>
        </w:rPr>
        <w:t>注：本招标文件中斜体且有下划线部分均为实质性要求和条件。对任何一条实质性要求条款的负偏离，都将导致其投标被视为无效。</w:t>
      </w:r>
    </w:p>
    <w:p w14:paraId="2F952F14">
      <w:pPr>
        <w:pStyle w:val="196"/>
        <w:keepNext w:val="0"/>
        <w:keepLines w:val="0"/>
        <w:pageBreakBefore w:val="0"/>
        <w:widowControl w:val="0"/>
        <w:spacing w:line="480" w:lineRule="exact"/>
        <w:ind w:left="0" w:firstLine="482"/>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sz w:val="24"/>
          <w:szCs w:val="24"/>
          <w:lang w:val="en-US" w:eastAsia="zh-CN"/>
        </w:rPr>
        <w:t>五</w:t>
      </w:r>
      <w:r>
        <w:rPr>
          <w:rFonts w:hint="eastAsia" w:ascii="宋体" w:hAnsi="宋体" w:eastAsia="宋体" w:cs="宋体"/>
          <w:b/>
          <w:bCs/>
          <w:i w:val="0"/>
          <w:iCs w:val="0"/>
          <w:caps w:val="0"/>
          <w:color w:val="auto"/>
          <w:spacing w:val="0"/>
          <w:sz w:val="24"/>
          <w:szCs w:val="24"/>
        </w:rPr>
        <w:t>、现场踏勘</w:t>
      </w:r>
    </w:p>
    <w:p w14:paraId="67317139">
      <w:pPr>
        <w:pStyle w:val="196"/>
        <w:keepNext w:val="0"/>
        <w:keepLines w:val="0"/>
        <w:pageBreakBefore w:val="0"/>
        <w:widowControl w:val="0"/>
        <w:spacing w:line="480" w:lineRule="exact"/>
        <w:ind w:left="0" w:firstLine="48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t xml:space="preserve">供应商应在报价前充分了解项目现场条件及所有可能影响成本和实施的因素。鼓励供应商自行进行现场踏勘。踏勘现场所发生的一切费用及人身财产安全责任，均由供应商自行承担。供应商未踏勘现场，将被视为已充分了解并接受所有现场条件与风险，成交后不得因此提出任何费用或工期索赔。 </w:t>
      </w:r>
    </w:p>
    <w:p w14:paraId="731FC288">
      <w:pPr>
        <w:pStyle w:val="196"/>
        <w:keepNext w:val="0"/>
        <w:keepLines w:val="0"/>
        <w:pageBreakBefore w:val="0"/>
        <w:widowControl w:val="0"/>
        <w:spacing w:line="480" w:lineRule="exact"/>
        <w:ind w:left="0" w:firstLine="482"/>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sz w:val="24"/>
          <w:szCs w:val="24"/>
          <w:lang w:val="en-US" w:eastAsia="zh-CN"/>
        </w:rPr>
        <w:t>六</w:t>
      </w:r>
      <w:r>
        <w:rPr>
          <w:rFonts w:hint="eastAsia" w:ascii="宋体" w:hAnsi="宋体" w:eastAsia="宋体" w:cs="宋体"/>
          <w:b/>
          <w:bCs/>
          <w:i w:val="0"/>
          <w:iCs w:val="0"/>
          <w:caps w:val="0"/>
          <w:color w:val="auto"/>
          <w:spacing w:val="0"/>
          <w:sz w:val="24"/>
          <w:szCs w:val="24"/>
        </w:rPr>
        <w:t>、</w:t>
      </w:r>
      <w:r>
        <w:rPr>
          <w:rFonts w:hint="eastAsia" w:ascii="宋体" w:hAnsi="宋体" w:cs="宋体"/>
          <w:b/>
          <w:bCs/>
          <w:i/>
          <w:iCs/>
          <w:color w:val="auto"/>
          <w:sz w:val="24"/>
          <w:szCs w:val="24"/>
          <w:u w:val="single"/>
          <w:lang w:eastAsia="zh-CN"/>
        </w:rPr>
        <w:t>本项目</w:t>
      </w:r>
      <w:r>
        <w:rPr>
          <w:rFonts w:hint="eastAsia" w:ascii="宋体" w:hAnsi="宋体" w:cs="宋体"/>
          <w:b/>
          <w:bCs/>
          <w:i/>
          <w:iCs/>
          <w:color w:val="auto"/>
          <w:sz w:val="24"/>
          <w:szCs w:val="24"/>
          <w:u w:val="single"/>
          <w:lang w:val="en-US" w:eastAsia="zh-CN"/>
        </w:rPr>
        <w:t xml:space="preserve"> </w:t>
      </w:r>
      <w:r>
        <w:rPr>
          <w:rFonts w:hint="eastAsia" w:ascii="宋体" w:hAnsi="宋体" w:cs="宋体"/>
          <w:b/>
          <w:bCs/>
          <w:i/>
          <w:iCs/>
          <w:color w:val="auto"/>
          <w:sz w:val="24"/>
          <w:szCs w:val="24"/>
          <w:u w:val="single"/>
          <w:lang w:eastAsia="zh-CN"/>
        </w:rPr>
        <w:t>不接受</w:t>
      </w:r>
      <w:r>
        <w:rPr>
          <w:rFonts w:hint="eastAsia" w:ascii="宋体" w:hAnsi="宋体" w:cs="宋体"/>
          <w:b/>
          <w:bCs/>
          <w:i/>
          <w:iCs/>
          <w:color w:val="auto"/>
          <w:sz w:val="24"/>
          <w:szCs w:val="24"/>
          <w:u w:val="single"/>
          <w:lang w:val="en-US" w:eastAsia="zh-CN"/>
        </w:rPr>
        <w:t xml:space="preserve"> </w:t>
      </w:r>
      <w:r>
        <w:rPr>
          <w:rFonts w:hint="eastAsia" w:ascii="宋体" w:hAnsi="宋体" w:cs="宋体"/>
          <w:b/>
          <w:bCs/>
          <w:i/>
          <w:iCs/>
          <w:color w:val="auto"/>
          <w:sz w:val="24"/>
          <w:szCs w:val="24"/>
          <w:u w:val="single"/>
          <w:lang w:eastAsia="zh-CN"/>
        </w:rPr>
        <w:t>进口产品投标</w:t>
      </w:r>
      <w:r>
        <w:rPr>
          <w:rFonts w:hint="eastAsia" w:ascii="宋体" w:hAnsi="宋体" w:cs="宋体"/>
          <w:b/>
          <w:bCs/>
          <w:color w:val="auto"/>
          <w:sz w:val="24"/>
          <w:szCs w:val="24"/>
          <w:lang w:eastAsia="zh-CN"/>
        </w:rPr>
        <w:t>。</w:t>
      </w:r>
    </w:p>
    <w:p w14:paraId="5FD93AB8">
      <w:pPr>
        <w:widowControl/>
        <w:tabs>
          <w:tab w:val="left" w:pos="5250"/>
        </w:tabs>
        <w:spacing w:line="440" w:lineRule="exact"/>
        <w:ind w:firstLine="480"/>
        <w:jc w:val="left"/>
        <w:rPr>
          <w:rFonts w:hint="eastAsia" w:ascii="宋体" w:hAnsi="宋体" w:eastAsia="宋体" w:cs="宋体"/>
          <w:b/>
          <w:bCs/>
          <w:color w:val="auto"/>
          <w:sz w:val="24"/>
          <w:szCs w:val="24"/>
          <w:u w:val="none"/>
          <w:lang w:val="en-US" w:eastAsia="zh-CN"/>
        </w:rPr>
      </w:pPr>
      <w:r>
        <w:rPr>
          <w:rFonts w:hint="eastAsia" w:ascii="宋体" w:hAnsi="宋体" w:eastAsia="宋体" w:cs="宋体"/>
          <w:b/>
          <w:bCs/>
          <w:i w:val="0"/>
          <w:iCs w:val="0"/>
          <w:caps w:val="0"/>
          <w:color w:val="auto"/>
          <w:spacing w:val="0"/>
          <w:sz w:val="24"/>
          <w:szCs w:val="24"/>
          <w:lang w:val="en-US" w:eastAsia="zh-CN"/>
        </w:rPr>
        <w:t>七</w:t>
      </w:r>
      <w:r>
        <w:rPr>
          <w:rFonts w:hint="eastAsia" w:ascii="宋体" w:hAnsi="宋体" w:eastAsia="宋体" w:cs="宋体"/>
          <w:b/>
          <w:bCs/>
          <w:i w:val="0"/>
          <w:iCs w:val="0"/>
          <w:caps w:val="0"/>
          <w:color w:val="auto"/>
          <w:spacing w:val="0"/>
          <w:sz w:val="24"/>
          <w:szCs w:val="24"/>
        </w:rPr>
        <w:t>、</w:t>
      </w:r>
      <w:r>
        <w:rPr>
          <w:rFonts w:hint="eastAsia" w:ascii="宋体" w:hAnsi="宋体" w:eastAsia="宋体" w:cs="宋体"/>
          <w:b/>
          <w:bCs/>
          <w:color w:val="auto"/>
          <w:sz w:val="24"/>
          <w:szCs w:val="24"/>
          <w:u w:val="none"/>
          <w:lang w:val="en-US" w:eastAsia="zh-CN"/>
        </w:rPr>
        <w:t>其他要求</w:t>
      </w:r>
    </w:p>
    <w:p w14:paraId="5B114134">
      <w:pPr>
        <w:keepNext w:val="0"/>
        <w:keepLines w:val="0"/>
        <w:pageBreakBefore w:val="0"/>
        <w:widowControl w:val="0"/>
        <w:spacing w:line="44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lang w:val="en-US" w:eastAsia="zh-CN" w:bidi="ar-SA"/>
        </w:rPr>
        <w:t>（一）</w:t>
      </w:r>
      <w:r>
        <w:rPr>
          <w:rFonts w:hint="eastAsia" w:ascii="宋体" w:hAnsi="宋体" w:eastAsia="宋体" w:cs="宋体"/>
          <w:color w:val="auto"/>
          <w:sz w:val="24"/>
          <w:szCs w:val="22"/>
          <w:highlight w:val="none"/>
          <w:lang w:val="en-US" w:eastAsia="zh-CN" w:bidi="ar-SA"/>
        </w:rPr>
        <w:t>投标人自2022年1月1日（以合同签订时间为准）以来，承担过与本项目核心内容类似的项目业绩【类似项目指：自动化搬运设备（如AGV/机器人）、仓储管理软件系统、生产与物流仿真、系统集成等一项或多项核心内容的实训中心、实验室或自动化集成等类似项目】的</w:t>
      </w:r>
      <w:r>
        <w:rPr>
          <w:rFonts w:hint="eastAsia" w:ascii="宋体" w:hAnsi="宋体" w:eastAsia="宋体" w:cs="宋体"/>
          <w:b/>
          <w:bCs/>
          <w:color w:val="auto"/>
          <w:sz w:val="24"/>
          <w:szCs w:val="22"/>
          <w:highlight w:val="none"/>
          <w:lang w:val="en-US" w:eastAsia="zh-CN" w:bidi="ar-SA"/>
        </w:rPr>
        <w:t>优先</w:t>
      </w:r>
      <w:r>
        <w:rPr>
          <w:rFonts w:hint="eastAsia" w:ascii="宋体" w:hAnsi="宋体" w:eastAsia="宋体" w:cs="宋体"/>
          <w:color w:val="auto"/>
          <w:sz w:val="24"/>
          <w:szCs w:val="22"/>
          <w:highlight w:val="none"/>
          <w:lang w:val="en-US" w:eastAsia="zh-CN" w:bidi="ar-SA"/>
        </w:rPr>
        <w:t>。</w:t>
      </w:r>
    </w:p>
    <w:p w14:paraId="17CAC59C">
      <w:pPr>
        <w:keepNext w:val="0"/>
        <w:keepLines w:val="0"/>
        <w:pageBreakBefore w:val="0"/>
        <w:widowControl w:val="0"/>
        <w:spacing w:line="440" w:lineRule="exact"/>
        <w:ind w:firstLine="482"/>
        <w:jc w:val="left"/>
        <w:rPr>
          <w:rFonts w:hint="eastAsia" w:ascii="宋体" w:hAnsi="宋体" w:eastAsia="宋体" w:cs="宋体"/>
          <w:b/>
          <w:bCs/>
          <w:color w:val="auto"/>
          <w:sz w:val="24"/>
          <w:szCs w:val="22"/>
          <w:lang w:val="en-US" w:eastAsia="zh-CN" w:bidi="ar-SA"/>
        </w:rPr>
      </w:pPr>
      <w:r>
        <w:rPr>
          <w:rFonts w:hint="eastAsia" w:ascii="宋体" w:hAnsi="宋体" w:eastAsia="宋体" w:cs="宋体"/>
          <w:b/>
          <w:bCs/>
          <w:color w:val="auto"/>
          <w:sz w:val="24"/>
          <w:szCs w:val="22"/>
          <w:lang w:val="en-US" w:eastAsia="zh-CN" w:bidi="ar-SA"/>
        </w:rPr>
        <w:t>（二）</w:t>
      </w:r>
      <w:r>
        <w:rPr>
          <w:rFonts w:hint="eastAsia" w:ascii="宋体" w:hAnsi="宋体"/>
          <w:bCs/>
          <w:color w:val="auto"/>
          <w:sz w:val="24"/>
          <w:lang w:val="en"/>
        </w:rPr>
        <w:t>投标产品属于财政部、国家发改委公布的“节能产品品目清单”范围内的优先；投标产品属于财政部、生态环境部公布的“环境标志产品品目清单”范围内的</w:t>
      </w:r>
      <w:r>
        <w:rPr>
          <w:rFonts w:hint="eastAsia" w:ascii="宋体" w:hAnsi="宋体"/>
          <w:b/>
          <w:bCs w:val="0"/>
          <w:color w:val="auto"/>
          <w:sz w:val="24"/>
          <w:lang w:val="en"/>
        </w:rPr>
        <w:t>优先</w:t>
      </w:r>
      <w:r>
        <w:rPr>
          <w:rFonts w:hint="eastAsia" w:ascii="宋体" w:hAnsi="宋体"/>
          <w:bCs/>
          <w:color w:val="auto"/>
          <w:sz w:val="24"/>
          <w:lang w:val="en"/>
        </w:rPr>
        <w:t>。</w:t>
      </w:r>
    </w:p>
    <w:p w14:paraId="64E6C0CB">
      <w:pPr>
        <w:keepNext w:val="0"/>
        <w:keepLines w:val="0"/>
        <w:pageBreakBefore w:val="0"/>
        <w:widowControl/>
        <w:spacing w:line="480" w:lineRule="exact"/>
        <w:ind w:firstLine="482"/>
        <w:jc w:val="left"/>
        <w:rPr>
          <w:rFonts w:hint="eastAsia" w:ascii="宋体" w:hAnsi="宋体" w:eastAsia="宋体" w:cs="宋体"/>
          <w:b/>
          <w:bCs/>
          <w:color w:val="auto"/>
          <w:sz w:val="24"/>
          <w:szCs w:val="22"/>
          <w:lang w:val="en-US" w:eastAsia="zh-CN" w:bidi="ar-SA"/>
        </w:rPr>
      </w:pPr>
      <w:r>
        <w:rPr>
          <w:rFonts w:hint="eastAsia" w:ascii="宋体" w:hAnsi="宋体" w:eastAsia="宋体" w:cs="宋体"/>
          <w:b/>
          <w:bCs/>
          <w:color w:val="auto"/>
          <w:sz w:val="24"/>
          <w:szCs w:val="22"/>
          <w:lang w:val="en-US" w:eastAsia="zh-CN" w:bidi="ar-SA"/>
        </w:rPr>
        <w:t>（三）</w:t>
      </w:r>
      <w:r>
        <w:rPr>
          <w:rFonts w:hint="eastAsia" w:ascii="宋体" w:hAnsi="宋体"/>
          <w:bCs/>
          <w:color w:val="auto"/>
          <w:sz w:val="24"/>
          <w:lang w:val="en-US" w:eastAsia="zh-CN"/>
        </w:rPr>
        <w:t>供应商提供的货物及软件免费质保期不低于3年（自最终验收合格之日起计算），在此基础上额外增加免费质保年限</w:t>
      </w:r>
      <w:r>
        <w:rPr>
          <w:rFonts w:hint="eastAsia" w:ascii="宋体" w:hAnsi="宋体" w:eastAsia="宋体" w:cs="宋体"/>
          <w:color w:val="auto"/>
          <w:sz w:val="24"/>
          <w:szCs w:val="22"/>
          <w:lang w:val="en-US" w:eastAsia="zh-CN" w:bidi="ar-SA"/>
        </w:rPr>
        <w:t>的</w:t>
      </w:r>
      <w:r>
        <w:rPr>
          <w:rFonts w:hint="eastAsia" w:ascii="宋体" w:hAnsi="宋体" w:eastAsia="宋体" w:cs="宋体"/>
          <w:b/>
          <w:bCs/>
          <w:color w:val="auto"/>
          <w:sz w:val="24"/>
          <w:szCs w:val="22"/>
          <w:lang w:val="en-US" w:eastAsia="zh-CN" w:bidi="ar-SA"/>
        </w:rPr>
        <w:t>优先</w:t>
      </w:r>
      <w:r>
        <w:rPr>
          <w:rFonts w:hint="eastAsia" w:ascii="宋体" w:hAnsi="宋体" w:eastAsia="宋体" w:cs="宋体"/>
          <w:b w:val="0"/>
          <w:bCs w:val="0"/>
          <w:color w:val="auto"/>
          <w:sz w:val="24"/>
          <w:szCs w:val="22"/>
          <w:lang w:val="en-US" w:eastAsia="zh-CN" w:bidi="ar-SA"/>
        </w:rPr>
        <w:t>。</w:t>
      </w:r>
    </w:p>
    <w:p w14:paraId="4A325A94">
      <w:pPr>
        <w:keepNext w:val="0"/>
        <w:keepLines w:val="0"/>
        <w:pageBreakBefore w:val="0"/>
        <w:widowControl/>
        <w:spacing w:line="480" w:lineRule="exact"/>
        <w:ind w:firstLine="482"/>
        <w:jc w:val="left"/>
        <w:rPr>
          <w:rFonts w:hint="eastAsia" w:ascii="宋体" w:hAnsi="宋体" w:eastAsia="宋体" w:cs="宋体"/>
          <w:color w:val="auto"/>
          <w:sz w:val="24"/>
          <w:szCs w:val="22"/>
          <w:lang w:val="en-US" w:eastAsia="zh-CN" w:bidi="ar-SA"/>
        </w:rPr>
      </w:pPr>
      <w:r>
        <w:rPr>
          <w:rFonts w:hint="eastAsia" w:ascii="宋体" w:hAnsi="宋体" w:eastAsia="宋体" w:cs="宋体"/>
          <w:b/>
          <w:bCs/>
          <w:color w:val="auto"/>
          <w:sz w:val="24"/>
          <w:szCs w:val="22"/>
          <w:lang w:val="en-US" w:eastAsia="zh-CN" w:bidi="ar-SA"/>
        </w:rPr>
        <w:t>（四）项目实施及售后服务方案</w:t>
      </w:r>
    </w:p>
    <w:p w14:paraId="344675B8">
      <w:pPr>
        <w:keepNext w:val="0"/>
        <w:keepLines w:val="0"/>
        <w:pageBreakBefore w:val="0"/>
        <w:widowControl/>
        <w:spacing w:line="42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为保障设备高质量交付、稳定运行及长期服务，投标人须针对本项目制定</w:t>
      </w:r>
      <w:r>
        <w:rPr>
          <w:rFonts w:hint="eastAsia" w:ascii="宋体" w:hAnsi="宋体" w:eastAsia="宋体" w:cs="宋体"/>
          <w:b/>
          <w:bCs/>
          <w:color w:val="auto"/>
          <w:sz w:val="24"/>
          <w:szCs w:val="24"/>
        </w:rPr>
        <w:t>可落地、可追溯、可考核</w:t>
      </w:r>
      <w:r>
        <w:rPr>
          <w:rFonts w:hint="eastAsia" w:ascii="宋体" w:hAnsi="宋体" w:eastAsia="宋体" w:cs="宋体"/>
          <w:color w:val="auto"/>
          <w:sz w:val="24"/>
          <w:szCs w:val="24"/>
        </w:rPr>
        <w:t>的方案，结合</w:t>
      </w:r>
      <w:r>
        <w:rPr>
          <w:rFonts w:hint="eastAsia" w:ascii="宋体" w:hAnsi="宋体" w:eastAsia="宋体" w:cs="宋体"/>
          <w:color w:val="auto"/>
          <w:sz w:val="24"/>
          <w:szCs w:val="24"/>
          <w:lang w:val="en-US" w:eastAsia="zh-CN"/>
        </w:rPr>
        <w:t>本项目</w:t>
      </w:r>
      <w:r>
        <w:rPr>
          <w:rFonts w:hint="eastAsia" w:ascii="宋体" w:hAnsi="宋体" w:eastAsia="宋体" w:cs="宋体"/>
          <w:color w:val="auto"/>
          <w:sz w:val="24"/>
          <w:szCs w:val="24"/>
        </w:rPr>
        <w:t>特</w:t>
      </w:r>
      <w:r>
        <w:rPr>
          <w:rFonts w:hint="eastAsia" w:ascii="宋体" w:hAnsi="宋体" w:eastAsia="宋体" w:cs="宋体"/>
          <w:color w:val="auto"/>
          <w:sz w:val="24"/>
          <w:szCs w:val="24"/>
          <w:lang w:val="en-US" w:eastAsia="zh-CN"/>
        </w:rPr>
        <w:t>点</w:t>
      </w:r>
      <w:r>
        <w:rPr>
          <w:rFonts w:hint="eastAsia" w:ascii="宋体" w:hAnsi="宋体" w:eastAsia="宋体" w:cs="宋体"/>
          <w:color w:val="auto"/>
          <w:sz w:val="24"/>
          <w:szCs w:val="24"/>
        </w:rPr>
        <w:t>，明确全流程责任与时限</w:t>
      </w:r>
      <w:r>
        <w:rPr>
          <w:rFonts w:hint="eastAsia" w:ascii="宋体" w:hAnsi="宋体" w:eastAsia="宋体" w:cs="宋体"/>
          <w:b/>
          <w:bCs/>
          <w:color w:val="auto"/>
          <w:sz w:val="24"/>
          <w:szCs w:val="24"/>
        </w:rPr>
        <w:t>，</w:t>
      </w:r>
      <w:r>
        <w:rPr>
          <w:rFonts w:ascii="Segoe UI" w:hAnsi="Segoe UI" w:eastAsia="Segoe UI" w:cs="Segoe UI"/>
          <w:b/>
          <w:bCs/>
          <w:i w:val="0"/>
          <w:iCs w:val="0"/>
          <w:caps w:val="0"/>
          <w:color w:val="auto"/>
          <w:spacing w:val="0"/>
          <w:sz w:val="24"/>
          <w:szCs w:val="24"/>
          <w:shd w:val="clear" w:color="auto" w:fill="FFFFFF"/>
        </w:rPr>
        <w:t>方案至少应</w:t>
      </w:r>
      <w:r>
        <w:rPr>
          <w:rFonts w:hint="eastAsia" w:ascii="Segoe UI" w:hAnsi="Segoe UI" w:cs="Segoe UI"/>
          <w:b/>
          <w:bCs/>
          <w:i w:val="0"/>
          <w:iCs w:val="0"/>
          <w:caps w:val="0"/>
          <w:color w:val="auto"/>
          <w:spacing w:val="0"/>
          <w:sz w:val="24"/>
          <w:szCs w:val="24"/>
          <w:shd w:val="clear" w:color="auto" w:fill="FFFFFF"/>
          <w:lang w:val="en-US" w:eastAsia="zh-CN"/>
        </w:rPr>
        <w:t>包含</w:t>
      </w:r>
      <w:r>
        <w:rPr>
          <w:rFonts w:ascii="Segoe UI" w:hAnsi="Segoe UI" w:eastAsia="Segoe UI" w:cs="Segoe UI"/>
          <w:b/>
          <w:bCs/>
          <w:i w:val="0"/>
          <w:iCs w:val="0"/>
          <w:caps w:val="0"/>
          <w:color w:val="auto"/>
          <w:spacing w:val="0"/>
          <w:sz w:val="24"/>
          <w:szCs w:val="24"/>
          <w:shd w:val="clear" w:color="auto" w:fill="FFFFFF"/>
        </w:rPr>
        <w:t>以下</w:t>
      </w:r>
      <w:r>
        <w:rPr>
          <w:rFonts w:hint="eastAsia" w:ascii="Segoe UI" w:hAnsi="Segoe UI" w:cs="Segoe UI"/>
          <w:b/>
          <w:bCs/>
          <w:i w:val="0"/>
          <w:iCs w:val="0"/>
          <w:caps w:val="0"/>
          <w:color w:val="auto"/>
          <w:spacing w:val="0"/>
          <w:sz w:val="24"/>
          <w:szCs w:val="24"/>
          <w:shd w:val="clear" w:color="auto" w:fill="FFFFFF"/>
          <w:lang w:val="en-US" w:eastAsia="zh-CN"/>
        </w:rPr>
        <w:t>内容</w:t>
      </w:r>
      <w:r>
        <w:rPr>
          <w:rFonts w:ascii="Segoe UI" w:hAnsi="Segoe UI" w:eastAsia="Segoe UI" w:cs="Segoe UI"/>
          <w:b/>
          <w:bCs/>
          <w:i w:val="0"/>
          <w:iCs w:val="0"/>
          <w:caps w:val="0"/>
          <w:color w:val="auto"/>
          <w:spacing w:val="0"/>
          <w:sz w:val="24"/>
          <w:szCs w:val="24"/>
          <w:shd w:val="clear" w:color="auto" w:fill="FFFFFF"/>
        </w:rPr>
        <w:t>：</w:t>
      </w:r>
    </w:p>
    <w:p w14:paraId="34545430">
      <w:pPr>
        <w:keepNext w:val="0"/>
        <w:keepLines w:val="0"/>
        <w:pageBreakBefore w:val="0"/>
        <w:widowControl w:val="0"/>
        <w:spacing w:line="420" w:lineRule="exact"/>
        <w:ind w:firstLine="482"/>
        <w:rPr>
          <w:rFonts w:hint="eastAsia" w:ascii="宋体" w:hAnsi="宋体" w:eastAsia="宋体" w:cs="宋体"/>
          <w:b/>
          <w:bCs/>
          <w:color w:val="auto"/>
          <w:sz w:val="24"/>
          <w:szCs w:val="24"/>
          <w:highlight w:val="none"/>
          <w:u w:val="none"/>
        </w:rPr>
      </w:pPr>
      <w:r>
        <w:rPr>
          <w:rFonts w:hint="eastAsia" w:ascii="宋体" w:hAnsi="宋体" w:cs="宋体"/>
          <w:b/>
          <w:bCs/>
          <w:color w:val="auto"/>
          <w:sz w:val="24"/>
          <w:szCs w:val="24"/>
          <w:highlight w:val="none"/>
          <w:u w:val="none"/>
          <w:lang w:val="en-US" w:eastAsia="zh-CN"/>
        </w:rPr>
        <w:t>1.</w:t>
      </w:r>
      <w:r>
        <w:rPr>
          <w:rFonts w:hint="eastAsia" w:ascii="宋体" w:hAnsi="宋体" w:eastAsia="宋体" w:cs="宋体"/>
          <w:b/>
          <w:bCs/>
          <w:color w:val="auto"/>
          <w:sz w:val="24"/>
          <w:szCs w:val="24"/>
          <w:highlight w:val="none"/>
          <w:u w:val="none"/>
        </w:rPr>
        <w:t>安装、调试及验收方案</w:t>
      </w:r>
    </w:p>
    <w:p w14:paraId="1E3CD816">
      <w:pPr>
        <w:keepNext w:val="0"/>
        <w:keepLines w:val="0"/>
        <w:pageBreakBefore w:val="0"/>
        <w:widowControl w:val="0"/>
        <w:spacing w:line="420" w:lineRule="exact"/>
        <w:ind w:firstLine="48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（1）安装计划</w:t>
      </w:r>
    </w:p>
    <w:p w14:paraId="5F88BB0B">
      <w:pPr>
        <w:keepNext w:val="0"/>
        <w:keepLines w:val="0"/>
        <w:pageBreakBefore w:val="0"/>
        <w:widowControl w:val="0"/>
        <w:spacing w:line="420" w:lineRule="exact"/>
        <w:ind w:firstLine="48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投标方需提交详细的安装实施计划，至少包括以下内容：</w:t>
      </w:r>
    </w:p>
    <w:tbl>
      <w:tblPr>
        <w:tblStyle w:val="40"/>
        <w:tblW w:w="471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111"/>
        <w:gridCol w:w="2287"/>
        <w:gridCol w:w="2634"/>
        <w:gridCol w:w="2421"/>
      </w:tblGrid>
      <w:tr w14:paraId="3ECA4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F2F2F2"/>
            <w:noWrap w:val="0"/>
            <w:tcMar>
              <w:top w:w="120" w:type="dxa"/>
              <w:left w:w="180" w:type="dxa"/>
              <w:bottom w:w="120" w:type="dxa"/>
              <w:right w:w="180" w:type="dxa"/>
            </w:tcMar>
            <w:vAlign w:val="center"/>
          </w:tcPr>
          <w:p w14:paraId="2B14D045">
            <w:pPr>
              <w:keepNext w:val="0"/>
              <w:keepLines w:val="0"/>
              <w:pageBreakBefore w:val="0"/>
              <w:widowControl/>
              <w:suppressLineNumbers w:val="0"/>
              <w:spacing w:before="0" w:beforeAutospacing="0" w:after="0" w:afterAutospacing="0" w:line="420" w:lineRule="exact"/>
              <w:ind w:left="0" w:right="0" w:firstLine="0"/>
              <w:jc w:val="center"/>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rPr>
              <w:t>阶段</w:t>
            </w:r>
          </w:p>
        </w:tc>
        <w:tc>
          <w:tcPr>
            <w:tcW w:w="1353" w:type="pct"/>
            <w:shd w:val="clear" w:color="auto" w:fill="F2F2F2"/>
            <w:noWrap w:val="0"/>
            <w:tcMar>
              <w:top w:w="120" w:type="dxa"/>
              <w:left w:w="180" w:type="dxa"/>
              <w:bottom w:w="120" w:type="dxa"/>
              <w:right w:w="180" w:type="dxa"/>
            </w:tcMar>
            <w:vAlign w:val="center"/>
          </w:tcPr>
          <w:p w14:paraId="7FE3CAE5">
            <w:pPr>
              <w:keepNext w:val="0"/>
              <w:keepLines w:val="0"/>
              <w:pageBreakBefore w:val="0"/>
              <w:widowControl/>
              <w:suppressLineNumbers w:val="0"/>
              <w:spacing w:before="0" w:beforeAutospacing="0" w:after="0" w:afterAutospacing="0" w:line="420" w:lineRule="exact"/>
              <w:ind w:left="0" w:right="0" w:firstLine="0"/>
              <w:jc w:val="center"/>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rPr>
              <w:t>时间安排</w:t>
            </w:r>
          </w:p>
        </w:tc>
        <w:tc>
          <w:tcPr>
            <w:tcW w:w="1558" w:type="pct"/>
            <w:shd w:val="clear" w:color="auto" w:fill="F2F2F2"/>
            <w:noWrap w:val="0"/>
            <w:tcMar>
              <w:top w:w="120" w:type="dxa"/>
              <w:left w:w="180" w:type="dxa"/>
              <w:bottom w:w="120" w:type="dxa"/>
              <w:right w:w="180" w:type="dxa"/>
            </w:tcMar>
            <w:vAlign w:val="center"/>
          </w:tcPr>
          <w:p w14:paraId="62723E3E">
            <w:pPr>
              <w:keepNext w:val="0"/>
              <w:keepLines w:val="0"/>
              <w:pageBreakBefore w:val="0"/>
              <w:widowControl/>
              <w:suppressLineNumbers w:val="0"/>
              <w:spacing w:before="0" w:beforeAutospacing="0" w:after="0" w:afterAutospacing="0" w:line="420" w:lineRule="exact"/>
              <w:ind w:left="0" w:right="0" w:firstLine="0"/>
              <w:jc w:val="center"/>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rPr>
              <w:t>主要工作内容</w:t>
            </w:r>
          </w:p>
        </w:tc>
        <w:tc>
          <w:tcPr>
            <w:tcW w:w="1432" w:type="pct"/>
            <w:shd w:val="clear" w:color="auto" w:fill="F2F2F2"/>
            <w:noWrap w:val="0"/>
            <w:tcMar>
              <w:top w:w="120" w:type="dxa"/>
              <w:left w:w="180" w:type="dxa"/>
              <w:bottom w:w="120" w:type="dxa"/>
              <w:right w:w="180" w:type="dxa"/>
            </w:tcMar>
            <w:vAlign w:val="center"/>
          </w:tcPr>
          <w:p w14:paraId="1BC7EC38">
            <w:pPr>
              <w:keepNext w:val="0"/>
              <w:keepLines w:val="0"/>
              <w:pageBreakBefore w:val="0"/>
              <w:widowControl/>
              <w:suppressLineNumbers w:val="0"/>
              <w:spacing w:before="0" w:beforeAutospacing="0" w:after="0" w:afterAutospacing="0" w:line="420" w:lineRule="exact"/>
              <w:ind w:left="0" w:right="0" w:firstLine="0"/>
              <w:jc w:val="center"/>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rPr>
              <w:t>交付物</w:t>
            </w:r>
          </w:p>
        </w:tc>
      </w:tr>
      <w:tr w14:paraId="1F705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noWrap w:val="0"/>
            <w:tcMar>
              <w:top w:w="120" w:type="dxa"/>
              <w:left w:w="180" w:type="dxa"/>
              <w:bottom w:w="120" w:type="dxa"/>
              <w:right w:w="180" w:type="dxa"/>
            </w:tcMar>
            <w:vAlign w:val="center"/>
          </w:tcPr>
          <w:p w14:paraId="0349EC03">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第一阶段</w:t>
            </w:r>
          </w:p>
        </w:tc>
        <w:tc>
          <w:tcPr>
            <w:tcW w:w="1353" w:type="pct"/>
            <w:shd w:val="clear" w:color="auto" w:fill="auto"/>
            <w:noWrap w:val="0"/>
            <w:tcMar>
              <w:top w:w="120" w:type="dxa"/>
              <w:left w:w="180" w:type="dxa"/>
              <w:bottom w:w="120" w:type="dxa"/>
              <w:right w:w="180" w:type="dxa"/>
            </w:tcMar>
            <w:vAlign w:val="center"/>
          </w:tcPr>
          <w:p w14:paraId="01584E3A">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设备到货后1-2周内完成</w:t>
            </w:r>
          </w:p>
        </w:tc>
        <w:tc>
          <w:tcPr>
            <w:tcW w:w="1558" w:type="pct"/>
            <w:shd w:val="clear" w:color="auto" w:fill="auto"/>
            <w:noWrap w:val="0"/>
            <w:tcMar>
              <w:top w:w="120" w:type="dxa"/>
              <w:left w:w="180" w:type="dxa"/>
              <w:bottom w:w="120" w:type="dxa"/>
              <w:right w:w="180" w:type="dxa"/>
            </w:tcMar>
            <w:vAlign w:val="center"/>
          </w:tcPr>
          <w:p w14:paraId="0F917926">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-设备开箱验收</w:t>
            </w:r>
            <w:r>
              <w:rPr>
                <w:rFonts w:hint="eastAsia" w:ascii="宋体" w:hAnsi="宋体" w:eastAsia="宋体" w:cs="宋体"/>
                <w:color w:val="auto"/>
                <w:sz w:val="24"/>
                <w:szCs w:val="24"/>
                <w:u w:val="none"/>
              </w:rPr>
              <w:br w:type="textWrapping"/>
            </w:r>
            <w:r>
              <w:rPr>
                <w:rFonts w:hint="eastAsia" w:ascii="宋体" w:hAnsi="宋体" w:eastAsia="宋体" w:cs="宋体"/>
                <w:color w:val="auto"/>
                <w:sz w:val="24"/>
                <w:szCs w:val="24"/>
                <w:u w:val="none"/>
              </w:rPr>
              <w:t>-基础平台组装</w:t>
            </w:r>
            <w:r>
              <w:rPr>
                <w:rFonts w:hint="eastAsia" w:ascii="宋体" w:hAnsi="宋体" w:eastAsia="宋体" w:cs="宋体"/>
                <w:color w:val="auto"/>
                <w:sz w:val="24"/>
                <w:szCs w:val="24"/>
                <w:u w:val="none"/>
              </w:rPr>
              <w:br w:type="textWrapping"/>
            </w:r>
            <w:r>
              <w:rPr>
                <w:rFonts w:hint="eastAsia" w:ascii="宋体" w:hAnsi="宋体" w:eastAsia="宋体" w:cs="宋体"/>
                <w:color w:val="auto"/>
                <w:sz w:val="24"/>
                <w:szCs w:val="24"/>
                <w:u w:val="none"/>
              </w:rPr>
              <w:t>-线路</w:t>
            </w:r>
            <w:r>
              <w:rPr>
                <w:rFonts w:hint="eastAsia" w:ascii="宋体" w:hAnsi="宋体" w:cs="宋体"/>
                <w:color w:val="auto"/>
                <w:sz w:val="24"/>
                <w:szCs w:val="24"/>
                <w:u w:val="none"/>
                <w:lang w:val="en-US" w:eastAsia="zh-CN"/>
              </w:rPr>
              <w:t>布置及系统安装</w:t>
            </w:r>
          </w:p>
        </w:tc>
        <w:tc>
          <w:tcPr>
            <w:tcW w:w="1432" w:type="pct"/>
            <w:shd w:val="clear" w:color="auto" w:fill="auto"/>
            <w:noWrap w:val="0"/>
            <w:tcMar>
              <w:top w:w="120" w:type="dxa"/>
              <w:left w:w="180" w:type="dxa"/>
              <w:bottom w:w="120" w:type="dxa"/>
              <w:right w:w="180" w:type="dxa"/>
            </w:tcMar>
            <w:vAlign w:val="center"/>
          </w:tcPr>
          <w:p w14:paraId="7FFEABBB">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设备验收单、安装进度报告</w:t>
            </w:r>
          </w:p>
        </w:tc>
      </w:tr>
      <w:tr w14:paraId="30760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noWrap w:val="0"/>
            <w:tcMar>
              <w:top w:w="120" w:type="dxa"/>
              <w:left w:w="180" w:type="dxa"/>
              <w:bottom w:w="120" w:type="dxa"/>
              <w:right w:w="180" w:type="dxa"/>
            </w:tcMar>
            <w:vAlign w:val="center"/>
          </w:tcPr>
          <w:p w14:paraId="2BD51E5E">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第二阶段</w:t>
            </w:r>
          </w:p>
        </w:tc>
        <w:tc>
          <w:tcPr>
            <w:tcW w:w="1353" w:type="pct"/>
            <w:shd w:val="clear" w:color="auto" w:fill="auto"/>
            <w:noWrap w:val="0"/>
            <w:tcMar>
              <w:top w:w="120" w:type="dxa"/>
              <w:left w:w="180" w:type="dxa"/>
              <w:bottom w:w="120" w:type="dxa"/>
              <w:right w:w="180" w:type="dxa"/>
            </w:tcMar>
            <w:vAlign w:val="center"/>
          </w:tcPr>
          <w:p w14:paraId="4D7FC81D">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第一阶段完成后1-2周内</w:t>
            </w:r>
          </w:p>
        </w:tc>
        <w:tc>
          <w:tcPr>
            <w:tcW w:w="1558" w:type="pct"/>
            <w:shd w:val="clear" w:color="auto" w:fill="auto"/>
            <w:noWrap w:val="0"/>
            <w:tcMar>
              <w:top w:w="120" w:type="dxa"/>
              <w:left w:w="180" w:type="dxa"/>
              <w:bottom w:w="120" w:type="dxa"/>
              <w:right w:w="180" w:type="dxa"/>
            </w:tcMar>
            <w:vAlign w:val="center"/>
          </w:tcPr>
          <w:p w14:paraId="01438D85">
            <w:pPr>
              <w:keepNext w:val="0"/>
              <w:keepLines w:val="0"/>
              <w:pageBreakBefore w:val="0"/>
              <w:widowControl/>
              <w:suppressLineNumbers w:val="0"/>
              <w:spacing w:before="0" w:beforeAutospacing="0" w:after="0" w:afterAutospacing="0" w:line="420" w:lineRule="exact"/>
              <w:ind w:left="0" w:right="0" w:firstLine="0"/>
              <w:jc w:val="left"/>
              <w:rPr>
                <w:rFonts w:hint="default" w:ascii="宋体" w:hAnsi="宋体" w:cs="宋体"/>
                <w:color w:val="auto"/>
                <w:sz w:val="24"/>
                <w:szCs w:val="24"/>
                <w:u w:val="none"/>
                <w:lang w:val="en-US" w:eastAsia="zh-CN"/>
              </w:rPr>
            </w:pPr>
            <w:r>
              <w:rPr>
                <w:rFonts w:hint="eastAsia" w:ascii="宋体" w:hAnsi="宋体" w:eastAsia="宋体" w:cs="宋体"/>
                <w:color w:val="auto"/>
                <w:sz w:val="24"/>
                <w:szCs w:val="24"/>
                <w:u w:val="none"/>
              </w:rPr>
              <w:t>-</w:t>
            </w:r>
            <w:r>
              <w:rPr>
                <w:rFonts w:hint="eastAsia" w:ascii="宋体" w:hAnsi="宋体" w:cs="宋体"/>
                <w:color w:val="auto"/>
                <w:sz w:val="24"/>
                <w:szCs w:val="24"/>
                <w:u w:val="none"/>
                <w:lang w:val="en-US" w:eastAsia="zh-CN"/>
              </w:rPr>
              <w:t>货到人搬运设备安装及调试</w:t>
            </w:r>
          </w:p>
          <w:p w14:paraId="11B16973">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cs="宋体"/>
                <w:color w:val="auto"/>
                <w:sz w:val="24"/>
                <w:szCs w:val="24"/>
                <w:u w:val="none"/>
                <w:lang w:val="en-US" w:eastAsia="zh-CN"/>
              </w:rPr>
            </w:pPr>
            <w:r>
              <w:rPr>
                <w:rFonts w:hint="eastAsia" w:ascii="宋体" w:hAnsi="宋体" w:eastAsia="宋体" w:cs="宋体"/>
                <w:color w:val="auto"/>
                <w:sz w:val="24"/>
                <w:szCs w:val="24"/>
                <w:u w:val="none"/>
              </w:rPr>
              <w:t>-</w:t>
            </w:r>
            <w:r>
              <w:rPr>
                <w:rFonts w:hint="eastAsia" w:ascii="宋体" w:hAnsi="宋体" w:cs="宋体"/>
                <w:color w:val="auto"/>
                <w:sz w:val="24"/>
                <w:szCs w:val="24"/>
                <w:u w:val="none"/>
                <w:lang w:val="en-US" w:eastAsia="zh-CN"/>
              </w:rPr>
              <w:t>产线补料综合装置安装</w:t>
            </w:r>
          </w:p>
          <w:p w14:paraId="7A2459B0">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-生产加工综合实训装置安装</w:t>
            </w:r>
          </w:p>
          <w:p w14:paraId="3BD7376D">
            <w:pPr>
              <w:keepNext w:val="0"/>
              <w:keepLines w:val="0"/>
              <w:pageBreakBefore w:val="0"/>
              <w:widowControl/>
              <w:suppressLineNumbers w:val="0"/>
              <w:spacing w:before="0" w:beforeAutospacing="0" w:after="0" w:afterAutospacing="0" w:line="420" w:lineRule="exact"/>
              <w:ind w:left="0" w:right="0" w:firstLine="0"/>
              <w:jc w:val="left"/>
              <w:rPr>
                <w:rFonts w:hint="default"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-产成品入库综合装置安装</w:t>
            </w:r>
          </w:p>
        </w:tc>
        <w:tc>
          <w:tcPr>
            <w:tcW w:w="1432" w:type="pct"/>
            <w:shd w:val="clear" w:color="auto" w:fill="auto"/>
            <w:noWrap w:val="0"/>
            <w:tcMar>
              <w:top w:w="120" w:type="dxa"/>
              <w:left w:w="180" w:type="dxa"/>
              <w:bottom w:w="120" w:type="dxa"/>
              <w:right w:w="180" w:type="dxa"/>
            </w:tcMar>
            <w:vAlign w:val="center"/>
          </w:tcPr>
          <w:p w14:paraId="2136A220">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调试记录表、设备功能测试报告</w:t>
            </w:r>
            <w:r>
              <w:rPr>
                <w:rFonts w:hint="eastAsia" w:ascii="宋体" w:hAnsi="宋体" w:cs="宋体"/>
                <w:color w:val="auto"/>
                <w:sz w:val="24"/>
                <w:szCs w:val="24"/>
                <w:u w:val="none"/>
                <w:lang w:eastAsia="zh-CN"/>
              </w:rPr>
              <w:t>、</w:t>
            </w:r>
            <w:r>
              <w:rPr>
                <w:rFonts w:hint="eastAsia" w:ascii="宋体" w:hAnsi="宋体" w:eastAsia="宋体" w:cs="宋体"/>
                <w:color w:val="auto"/>
                <w:sz w:val="24"/>
                <w:szCs w:val="24"/>
                <w:u w:val="none"/>
              </w:rPr>
              <w:t>软件部署文档</w:t>
            </w:r>
          </w:p>
        </w:tc>
      </w:tr>
      <w:tr w14:paraId="02F35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noWrap w:val="0"/>
            <w:tcMar>
              <w:top w:w="120" w:type="dxa"/>
              <w:left w:w="180" w:type="dxa"/>
              <w:bottom w:w="120" w:type="dxa"/>
              <w:right w:w="180" w:type="dxa"/>
            </w:tcMar>
            <w:vAlign w:val="center"/>
          </w:tcPr>
          <w:p w14:paraId="19839AB2">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第三阶段</w:t>
            </w:r>
          </w:p>
        </w:tc>
        <w:tc>
          <w:tcPr>
            <w:tcW w:w="1353" w:type="pct"/>
            <w:shd w:val="clear" w:color="auto" w:fill="auto"/>
            <w:noWrap w:val="0"/>
            <w:tcMar>
              <w:top w:w="120" w:type="dxa"/>
              <w:left w:w="180" w:type="dxa"/>
              <w:bottom w:w="120" w:type="dxa"/>
              <w:right w:w="180" w:type="dxa"/>
            </w:tcMar>
            <w:vAlign w:val="center"/>
          </w:tcPr>
          <w:p w14:paraId="5EC1BE69">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第二阶段完成后1-2周内</w:t>
            </w:r>
          </w:p>
        </w:tc>
        <w:tc>
          <w:tcPr>
            <w:tcW w:w="1558" w:type="pct"/>
            <w:shd w:val="clear" w:color="auto" w:fill="auto"/>
            <w:noWrap w:val="0"/>
            <w:tcMar>
              <w:top w:w="120" w:type="dxa"/>
              <w:left w:w="180" w:type="dxa"/>
              <w:bottom w:w="120" w:type="dxa"/>
              <w:right w:w="180" w:type="dxa"/>
            </w:tcMar>
            <w:vAlign w:val="center"/>
          </w:tcPr>
          <w:p w14:paraId="0DA66F50">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w:t>
            </w:r>
            <w:r>
              <w:rPr>
                <w:rFonts w:hint="eastAsia" w:ascii="宋体" w:hAnsi="宋体" w:cs="宋体"/>
                <w:color w:val="auto"/>
                <w:sz w:val="24"/>
                <w:szCs w:val="24"/>
                <w:u w:val="none"/>
                <w:lang w:val="en-US" w:eastAsia="zh-CN"/>
              </w:rPr>
              <w:t>智能分拣实训装置安全调试</w:t>
            </w:r>
          </w:p>
        </w:tc>
        <w:tc>
          <w:tcPr>
            <w:tcW w:w="1432" w:type="pct"/>
            <w:shd w:val="clear" w:color="auto" w:fill="auto"/>
            <w:noWrap w:val="0"/>
            <w:tcMar>
              <w:top w:w="120" w:type="dxa"/>
              <w:left w:w="180" w:type="dxa"/>
              <w:bottom w:w="120" w:type="dxa"/>
              <w:right w:w="180" w:type="dxa"/>
            </w:tcMar>
            <w:vAlign w:val="center"/>
          </w:tcPr>
          <w:p w14:paraId="36F6834A">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rPr>
              <w:t>调试记录表、设备功能测试报告</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rPr>
              <w:t>软件部署文档</w:t>
            </w:r>
          </w:p>
        </w:tc>
      </w:tr>
      <w:tr w14:paraId="24EE7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noWrap w:val="0"/>
            <w:tcMar>
              <w:top w:w="120" w:type="dxa"/>
              <w:left w:w="180" w:type="dxa"/>
              <w:bottom w:w="120" w:type="dxa"/>
              <w:right w:w="180" w:type="dxa"/>
            </w:tcMar>
            <w:vAlign w:val="center"/>
          </w:tcPr>
          <w:p w14:paraId="2EE6B1AD">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第四阶段</w:t>
            </w:r>
          </w:p>
        </w:tc>
        <w:tc>
          <w:tcPr>
            <w:tcW w:w="1353" w:type="pct"/>
            <w:shd w:val="clear" w:color="auto" w:fill="auto"/>
            <w:noWrap w:val="0"/>
            <w:tcMar>
              <w:top w:w="120" w:type="dxa"/>
              <w:left w:w="180" w:type="dxa"/>
              <w:bottom w:w="120" w:type="dxa"/>
              <w:right w:w="180" w:type="dxa"/>
            </w:tcMar>
            <w:vAlign w:val="center"/>
          </w:tcPr>
          <w:p w14:paraId="65EC7FDC">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第三阶段完成后1周内</w:t>
            </w:r>
          </w:p>
        </w:tc>
        <w:tc>
          <w:tcPr>
            <w:tcW w:w="1558" w:type="pct"/>
            <w:shd w:val="clear" w:color="auto" w:fill="auto"/>
            <w:noWrap w:val="0"/>
            <w:tcMar>
              <w:top w:w="120" w:type="dxa"/>
              <w:left w:w="180" w:type="dxa"/>
              <w:bottom w:w="120" w:type="dxa"/>
              <w:right w:w="180" w:type="dxa"/>
            </w:tcMar>
            <w:vAlign w:val="center"/>
          </w:tcPr>
          <w:p w14:paraId="183F7F8B">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w:t>
            </w:r>
            <w:r>
              <w:rPr>
                <w:rFonts w:hint="eastAsia" w:ascii="宋体" w:hAnsi="宋体" w:cs="宋体"/>
                <w:color w:val="auto"/>
                <w:sz w:val="24"/>
                <w:szCs w:val="24"/>
                <w:u w:val="none"/>
                <w:lang w:val="en-US" w:eastAsia="zh-CN"/>
              </w:rPr>
              <w:t>数字中心单元安装结束</w:t>
            </w:r>
            <w:r>
              <w:rPr>
                <w:rFonts w:hint="eastAsia" w:ascii="宋体" w:hAnsi="宋体" w:eastAsia="宋体" w:cs="宋体"/>
                <w:color w:val="auto"/>
                <w:sz w:val="24"/>
                <w:szCs w:val="24"/>
                <w:u w:val="none"/>
              </w:rPr>
              <w:br w:type="textWrapping"/>
            </w:r>
            <w:r>
              <w:rPr>
                <w:rFonts w:hint="eastAsia" w:ascii="宋体" w:hAnsi="宋体" w:eastAsia="宋体" w:cs="宋体"/>
                <w:color w:val="auto"/>
                <w:sz w:val="24"/>
                <w:szCs w:val="24"/>
                <w:u w:val="none"/>
              </w:rPr>
              <w:t>-</w:t>
            </w:r>
            <w:r>
              <w:rPr>
                <w:rFonts w:hint="eastAsia" w:ascii="宋体" w:hAnsi="宋体" w:cs="宋体"/>
                <w:color w:val="auto"/>
                <w:sz w:val="24"/>
                <w:szCs w:val="24"/>
                <w:u w:val="none"/>
                <w:lang w:val="en-US" w:eastAsia="zh-CN"/>
              </w:rPr>
              <w:t>干线运输调度单元安装调试结束</w:t>
            </w:r>
          </w:p>
        </w:tc>
        <w:tc>
          <w:tcPr>
            <w:tcW w:w="1432" w:type="pct"/>
            <w:shd w:val="clear" w:color="auto" w:fill="auto"/>
            <w:noWrap w:val="0"/>
            <w:tcMar>
              <w:top w:w="120" w:type="dxa"/>
              <w:left w:w="180" w:type="dxa"/>
              <w:bottom w:w="120" w:type="dxa"/>
              <w:right w:w="180" w:type="dxa"/>
            </w:tcMar>
            <w:vAlign w:val="center"/>
          </w:tcPr>
          <w:p w14:paraId="47CF3371">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联调测试报告、软件部署文档</w:t>
            </w:r>
          </w:p>
        </w:tc>
      </w:tr>
      <w:tr w14:paraId="10CE4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noWrap w:val="0"/>
            <w:tcMar>
              <w:top w:w="120" w:type="dxa"/>
              <w:left w:w="180" w:type="dxa"/>
              <w:bottom w:w="120" w:type="dxa"/>
              <w:right w:w="180" w:type="dxa"/>
            </w:tcMar>
            <w:vAlign w:val="center"/>
          </w:tcPr>
          <w:p w14:paraId="0F27B856">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第五阶段</w:t>
            </w:r>
          </w:p>
        </w:tc>
        <w:tc>
          <w:tcPr>
            <w:tcW w:w="1353" w:type="pct"/>
            <w:shd w:val="clear" w:color="auto" w:fill="auto"/>
            <w:noWrap w:val="0"/>
            <w:tcMar>
              <w:top w:w="120" w:type="dxa"/>
              <w:left w:w="180" w:type="dxa"/>
              <w:bottom w:w="120" w:type="dxa"/>
              <w:right w:w="180" w:type="dxa"/>
            </w:tcMar>
            <w:vAlign w:val="center"/>
          </w:tcPr>
          <w:p w14:paraId="5ED93A16">
            <w:pPr>
              <w:keepNext w:val="0"/>
              <w:keepLines w:val="0"/>
              <w:pageBreakBefore w:val="0"/>
              <w:widowControl/>
              <w:suppressLineNumbers w:val="0"/>
              <w:spacing w:before="0" w:beforeAutospacing="0" w:after="0" w:afterAutospacing="0" w:line="420" w:lineRule="exact"/>
              <w:ind w:left="0" w:right="0" w:firstLine="0"/>
              <w:jc w:val="left"/>
              <w:rPr>
                <w:rFonts w:hint="default"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第四阶段完成后</w:t>
            </w:r>
            <w:r>
              <w:rPr>
                <w:rFonts w:hint="eastAsia" w:ascii="宋体" w:hAnsi="宋体" w:eastAsia="宋体" w:cs="宋体"/>
                <w:color w:val="auto"/>
                <w:sz w:val="24"/>
                <w:szCs w:val="24"/>
                <w:u w:val="none"/>
              </w:rPr>
              <w:t>1周内</w:t>
            </w:r>
          </w:p>
        </w:tc>
        <w:tc>
          <w:tcPr>
            <w:tcW w:w="1558" w:type="pct"/>
            <w:shd w:val="clear" w:color="auto" w:fill="auto"/>
            <w:noWrap w:val="0"/>
            <w:tcMar>
              <w:top w:w="120" w:type="dxa"/>
              <w:left w:w="180" w:type="dxa"/>
              <w:bottom w:w="120" w:type="dxa"/>
              <w:right w:w="180" w:type="dxa"/>
            </w:tcMar>
            <w:vAlign w:val="center"/>
          </w:tcPr>
          <w:p w14:paraId="64693036">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-实训室综合测试</w:t>
            </w:r>
          </w:p>
          <w:p w14:paraId="3D9C6FB5">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-搭建培训环境</w:t>
            </w:r>
          </w:p>
          <w:p w14:paraId="496CFD63">
            <w:pPr>
              <w:keepNext w:val="0"/>
              <w:keepLines w:val="0"/>
              <w:pageBreakBefore w:val="0"/>
              <w:widowControl/>
              <w:suppressLineNumbers w:val="0"/>
              <w:spacing w:before="0" w:beforeAutospacing="0" w:after="0" w:afterAutospacing="0" w:line="420" w:lineRule="exact"/>
              <w:ind w:left="0" w:right="0" w:firstLine="0"/>
              <w:jc w:val="left"/>
              <w:rPr>
                <w:rFonts w:hint="default"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-项目验收</w:t>
            </w:r>
          </w:p>
        </w:tc>
        <w:tc>
          <w:tcPr>
            <w:tcW w:w="1432" w:type="pct"/>
            <w:shd w:val="clear" w:color="auto" w:fill="auto"/>
            <w:noWrap w:val="0"/>
            <w:tcMar>
              <w:top w:w="120" w:type="dxa"/>
              <w:left w:w="180" w:type="dxa"/>
              <w:bottom w:w="120" w:type="dxa"/>
              <w:right w:w="180" w:type="dxa"/>
            </w:tcMar>
            <w:vAlign w:val="center"/>
          </w:tcPr>
          <w:p w14:paraId="07531E39">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验收报告、培训材料</w:t>
            </w:r>
          </w:p>
        </w:tc>
      </w:tr>
    </w:tbl>
    <w:p w14:paraId="1B8CCBCA">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u w:val="none"/>
          <w:lang w:val="en-US" w:eastAsia="zh-CN"/>
        </w:rPr>
        <w:t>（2）安装及维护人员配置</w:t>
      </w:r>
      <w:r>
        <w:rPr>
          <w:rFonts w:hint="eastAsia" w:ascii="宋体" w:hAnsi="宋体" w:cs="宋体"/>
          <w:color w:val="auto"/>
          <w:sz w:val="24"/>
          <w:szCs w:val="24"/>
          <w:highlight w:val="none"/>
          <w:u w:val="none"/>
          <w:lang w:val="en-US" w:eastAsia="zh-CN"/>
        </w:rPr>
        <w:t>（以下为最低要求，投标人可根据实际需求配置）</w:t>
      </w:r>
    </w:p>
    <w:p w14:paraId="7D1F2E87">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①项目团队组织架构（至少包含）：</w:t>
      </w:r>
    </w:p>
    <w:p w14:paraId="0EA92F70">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项目经理（1名，全程跟进</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需具备</w:t>
      </w:r>
      <w:r>
        <w:rPr>
          <w:rFonts w:hint="eastAsia" w:ascii="宋体" w:hAnsi="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lang w:val="en-US" w:eastAsia="zh-CN"/>
        </w:rPr>
        <w:t>年以上</w:t>
      </w:r>
      <w:r>
        <w:rPr>
          <w:rFonts w:hint="eastAsia" w:ascii="宋体" w:hAnsi="宋体" w:cs="宋体"/>
          <w:color w:val="auto"/>
          <w:sz w:val="24"/>
          <w:szCs w:val="24"/>
          <w:highlight w:val="none"/>
          <w:u w:val="none"/>
          <w:lang w:val="en-US" w:eastAsia="zh-CN"/>
        </w:rPr>
        <w:t>物流相关项目</w:t>
      </w:r>
      <w:r>
        <w:rPr>
          <w:rFonts w:hint="eastAsia" w:ascii="宋体" w:hAnsi="宋体" w:eastAsia="宋体" w:cs="宋体"/>
          <w:color w:val="auto"/>
          <w:sz w:val="24"/>
          <w:szCs w:val="24"/>
          <w:highlight w:val="none"/>
          <w:u w:val="none"/>
          <w:lang w:val="en-US" w:eastAsia="zh-CN"/>
        </w:rPr>
        <w:t>培训经验）</w:t>
      </w:r>
    </w:p>
    <w:p w14:paraId="78BCDD2D">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实施</w:t>
      </w:r>
      <w:r>
        <w:rPr>
          <w:rFonts w:hint="eastAsia" w:ascii="宋体" w:hAnsi="宋体" w:eastAsia="宋体" w:cs="宋体"/>
          <w:color w:val="auto"/>
          <w:sz w:val="24"/>
          <w:szCs w:val="24"/>
          <w:highlight w:val="none"/>
          <w:u w:val="none"/>
          <w:lang w:val="en-US" w:eastAsia="zh-CN"/>
        </w:rPr>
        <w:t>工程师（</w:t>
      </w:r>
      <w:r>
        <w:rPr>
          <w:rFonts w:hint="eastAsia" w:ascii="宋体" w:hAnsi="宋体" w:cs="宋体"/>
          <w:color w:val="auto"/>
          <w:sz w:val="24"/>
          <w:szCs w:val="24"/>
          <w:highlight w:val="none"/>
          <w:u w:val="none"/>
          <w:lang w:val="en-US" w:eastAsia="zh-CN"/>
        </w:rPr>
        <w:t>2</w:t>
      </w:r>
      <w:r>
        <w:rPr>
          <w:rFonts w:hint="eastAsia" w:ascii="宋体" w:hAnsi="宋体" w:eastAsia="宋体" w:cs="宋体"/>
          <w:color w:val="auto"/>
          <w:sz w:val="24"/>
          <w:szCs w:val="24"/>
          <w:highlight w:val="none"/>
          <w:u w:val="none"/>
          <w:lang w:val="en-US" w:eastAsia="zh-CN"/>
        </w:rPr>
        <w:t>名，负责设备安装）</w:t>
      </w:r>
    </w:p>
    <w:p w14:paraId="1FE3E718">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软件</w:t>
      </w:r>
      <w:r>
        <w:rPr>
          <w:rFonts w:hint="eastAsia" w:ascii="宋体" w:hAnsi="宋体" w:cs="宋体"/>
          <w:color w:val="auto"/>
          <w:sz w:val="24"/>
          <w:szCs w:val="24"/>
          <w:highlight w:val="none"/>
          <w:u w:val="none"/>
          <w:lang w:val="en-US" w:eastAsia="zh-CN"/>
        </w:rPr>
        <w:t>维护</w:t>
      </w:r>
      <w:r>
        <w:rPr>
          <w:rFonts w:hint="eastAsia" w:ascii="宋体" w:hAnsi="宋体" w:eastAsia="宋体" w:cs="宋体"/>
          <w:color w:val="auto"/>
          <w:sz w:val="24"/>
          <w:szCs w:val="24"/>
          <w:highlight w:val="none"/>
          <w:u w:val="none"/>
          <w:lang w:val="en-US" w:eastAsia="zh-CN"/>
        </w:rPr>
        <w:t>工程师（1名，负责</w:t>
      </w:r>
      <w:r>
        <w:rPr>
          <w:rFonts w:hint="eastAsia" w:ascii="宋体" w:hAnsi="宋体" w:cs="宋体"/>
          <w:color w:val="auto"/>
          <w:sz w:val="24"/>
          <w:szCs w:val="24"/>
          <w:highlight w:val="none"/>
          <w:u w:val="none"/>
          <w:lang w:val="en-US" w:eastAsia="zh-CN"/>
        </w:rPr>
        <w:t>后台系统安装维护</w:t>
      </w:r>
      <w:r>
        <w:rPr>
          <w:rFonts w:hint="eastAsia" w:ascii="宋体" w:hAnsi="宋体" w:eastAsia="宋体" w:cs="宋体"/>
          <w:color w:val="auto"/>
          <w:sz w:val="24"/>
          <w:szCs w:val="24"/>
          <w:highlight w:val="none"/>
          <w:u w:val="none"/>
          <w:lang w:val="en-US" w:eastAsia="zh-CN"/>
        </w:rPr>
        <w:t>）</w:t>
      </w:r>
    </w:p>
    <w:p w14:paraId="6C5235A7">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②维护人员（质保期内）：</w:t>
      </w:r>
    </w:p>
    <w:p w14:paraId="078C9B93">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技术支持（1名，</w:t>
      </w:r>
      <w:r>
        <w:rPr>
          <w:rFonts w:hint="eastAsia" w:ascii="宋体" w:hAnsi="宋体" w:cs="宋体"/>
          <w:color w:val="auto"/>
          <w:sz w:val="24"/>
          <w:szCs w:val="24"/>
          <w:highlight w:val="none"/>
          <w:u w:val="none"/>
          <w:lang w:val="en-US" w:eastAsia="zh-CN"/>
        </w:rPr>
        <w:t>支持</w:t>
      </w:r>
      <w:r>
        <w:rPr>
          <w:rFonts w:hint="eastAsia" w:ascii="宋体" w:hAnsi="宋体" w:eastAsia="宋体" w:cs="宋体"/>
          <w:color w:val="auto"/>
          <w:sz w:val="24"/>
          <w:szCs w:val="24"/>
          <w:highlight w:val="none"/>
          <w:u w:val="none"/>
          <w:lang w:val="en-US" w:eastAsia="zh-CN"/>
        </w:rPr>
        <w:t>本地化服务）</w:t>
      </w:r>
    </w:p>
    <w:p w14:paraId="7DD0B00D">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远程专家支持（2名，</w:t>
      </w:r>
      <w:r>
        <w:rPr>
          <w:rFonts w:hint="eastAsia" w:ascii="宋体" w:hAnsi="宋体" w:cs="宋体"/>
          <w:color w:val="auto"/>
          <w:sz w:val="24"/>
          <w:szCs w:val="24"/>
          <w:highlight w:val="none"/>
          <w:u w:val="none"/>
          <w:lang w:val="en-US" w:eastAsia="zh-CN"/>
        </w:rPr>
        <w:t>支持半小时内响应</w:t>
      </w:r>
      <w:r>
        <w:rPr>
          <w:rFonts w:hint="eastAsia" w:ascii="宋体" w:hAnsi="宋体" w:eastAsia="宋体" w:cs="宋体"/>
          <w:color w:val="auto"/>
          <w:sz w:val="24"/>
          <w:szCs w:val="24"/>
          <w:highlight w:val="none"/>
          <w:u w:val="none"/>
          <w:lang w:val="en-US" w:eastAsia="zh-CN"/>
        </w:rPr>
        <w:t>）</w:t>
      </w:r>
    </w:p>
    <w:p w14:paraId="07515120">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（3）调试方案</w:t>
      </w:r>
    </w:p>
    <w:p w14:paraId="2F762A96">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至少应包括以下内容：</w:t>
      </w:r>
    </w:p>
    <w:p w14:paraId="4B295C0B">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①系统功能调试清单（示例</w:t>
      </w:r>
      <w:r>
        <w:rPr>
          <w:rFonts w:hint="eastAsia" w:ascii="宋体" w:hAnsi="宋体" w:cs="宋体"/>
          <w:color w:val="auto"/>
          <w:sz w:val="24"/>
          <w:szCs w:val="24"/>
          <w:highlight w:val="none"/>
          <w:u w:val="none"/>
          <w:lang w:val="en-US" w:eastAsia="zh-CN"/>
        </w:rPr>
        <w:t>，投标人可根据实际设备模块进行细化</w:t>
      </w:r>
      <w:r>
        <w:rPr>
          <w:rFonts w:hint="eastAsia" w:ascii="宋体" w:hAnsi="宋体" w:eastAsia="宋体" w:cs="宋体"/>
          <w:color w:val="auto"/>
          <w:sz w:val="24"/>
          <w:szCs w:val="24"/>
          <w:highlight w:val="none"/>
          <w:u w:val="none"/>
          <w:lang w:val="en-US" w:eastAsia="zh-CN"/>
        </w:rPr>
        <w:t>）：</w:t>
      </w:r>
    </w:p>
    <w:tbl>
      <w:tblPr>
        <w:tblStyle w:val="40"/>
        <w:tblW w:w="46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615"/>
        <w:gridCol w:w="2811"/>
        <w:gridCol w:w="1966"/>
      </w:tblGrid>
      <w:tr w14:paraId="1217B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153" w:type="pct"/>
            <w:shd w:val="clear" w:color="auto" w:fill="F2F2F2"/>
            <w:noWrap w:val="0"/>
            <w:tcMar>
              <w:top w:w="120" w:type="dxa"/>
              <w:left w:w="180" w:type="dxa"/>
              <w:bottom w:w="120" w:type="dxa"/>
              <w:right w:w="180" w:type="dxa"/>
            </w:tcMar>
            <w:vAlign w:val="center"/>
          </w:tcPr>
          <w:p w14:paraId="0884C24D">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模块</w:t>
            </w:r>
          </w:p>
        </w:tc>
        <w:tc>
          <w:tcPr>
            <w:tcW w:w="1674" w:type="pct"/>
            <w:shd w:val="clear" w:color="auto" w:fill="F2F2F2"/>
            <w:noWrap w:val="0"/>
            <w:tcMar>
              <w:top w:w="120" w:type="dxa"/>
              <w:left w:w="180" w:type="dxa"/>
              <w:bottom w:w="120" w:type="dxa"/>
              <w:right w:w="180" w:type="dxa"/>
            </w:tcMar>
            <w:vAlign w:val="center"/>
          </w:tcPr>
          <w:p w14:paraId="2A51932C">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调试内容</w:t>
            </w:r>
          </w:p>
        </w:tc>
        <w:tc>
          <w:tcPr>
            <w:tcW w:w="1171" w:type="pct"/>
            <w:shd w:val="clear" w:color="auto" w:fill="F2F2F2"/>
            <w:noWrap w:val="0"/>
            <w:tcMar>
              <w:top w:w="120" w:type="dxa"/>
              <w:left w:w="180" w:type="dxa"/>
              <w:bottom w:w="120" w:type="dxa"/>
              <w:right w:w="180" w:type="dxa"/>
            </w:tcMar>
            <w:vAlign w:val="center"/>
          </w:tcPr>
          <w:p w14:paraId="2A0E8E94">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标准</w:t>
            </w:r>
          </w:p>
        </w:tc>
      </w:tr>
      <w:tr w14:paraId="34D1E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153" w:type="pct"/>
            <w:shd w:val="clear" w:color="auto" w:fill="auto"/>
            <w:noWrap w:val="0"/>
            <w:tcMar>
              <w:top w:w="120" w:type="dxa"/>
              <w:left w:w="180" w:type="dxa"/>
              <w:bottom w:w="120" w:type="dxa"/>
              <w:right w:w="180" w:type="dxa"/>
            </w:tcMar>
            <w:vAlign w:val="center"/>
          </w:tcPr>
          <w:p w14:paraId="6BAC6A16">
            <w:pPr>
              <w:keepNext w:val="0"/>
              <w:keepLines w:val="0"/>
              <w:pageBreakBefore w:val="0"/>
              <w:widowControl w:val="0"/>
              <w:suppressLineNumbers w:val="0"/>
              <w:spacing w:before="0" w:beforeAutospacing="0" w:after="0" w:afterAutospacing="0" w:line="420" w:lineRule="exact"/>
              <w:ind w:left="0" w:right="0" w:firstLine="480"/>
              <w:jc w:val="left"/>
              <w:rPr>
                <w:rFonts w:hint="eastAsia" w:ascii="宋体" w:hAnsi="宋体" w:eastAsia="宋体" w:cs="宋体"/>
                <w:color w:val="auto"/>
                <w:sz w:val="24"/>
                <w:szCs w:val="24"/>
                <w:highlight w:val="none"/>
                <w:u w:val="none"/>
              </w:rPr>
            </w:pPr>
            <w:r>
              <w:rPr>
                <w:rFonts w:hint="eastAsia" w:ascii="宋体" w:hAnsi="宋体" w:cs="宋体"/>
                <w:color w:val="auto"/>
                <w:sz w:val="24"/>
                <w:highlight w:val="none"/>
                <w:u w:val="none"/>
              </w:rPr>
              <w:t>货到人搬运设备</w:t>
            </w:r>
          </w:p>
        </w:tc>
        <w:tc>
          <w:tcPr>
            <w:tcW w:w="1674" w:type="pct"/>
            <w:shd w:val="clear" w:color="auto" w:fill="auto"/>
            <w:noWrap w:val="0"/>
            <w:tcMar>
              <w:top w:w="120" w:type="dxa"/>
              <w:left w:w="180" w:type="dxa"/>
              <w:bottom w:w="120" w:type="dxa"/>
              <w:right w:w="180" w:type="dxa"/>
            </w:tcMar>
            <w:vAlign w:val="center"/>
          </w:tcPr>
          <w:p w14:paraId="16715823">
            <w:pPr>
              <w:keepNext w:val="0"/>
              <w:keepLines w:val="0"/>
              <w:pageBreakBefore w:val="0"/>
              <w:widowControl/>
              <w:suppressLineNumbers w:val="0"/>
              <w:spacing w:before="0" w:beforeAutospacing="0" w:after="0" w:afterAutospacing="0" w:line="420" w:lineRule="exact"/>
              <w:ind w:left="0" w:right="0" w:firstLine="0"/>
              <w:jc w:val="left"/>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设备安装、集成调试</w:t>
            </w:r>
          </w:p>
        </w:tc>
        <w:tc>
          <w:tcPr>
            <w:tcW w:w="1171" w:type="pct"/>
            <w:shd w:val="clear" w:color="auto" w:fill="auto"/>
            <w:noWrap w:val="0"/>
            <w:tcMar>
              <w:top w:w="120" w:type="dxa"/>
              <w:left w:w="180" w:type="dxa"/>
              <w:bottom w:w="120" w:type="dxa"/>
              <w:right w:w="180" w:type="dxa"/>
            </w:tcMar>
            <w:vAlign w:val="center"/>
          </w:tcPr>
          <w:p w14:paraId="6AA083E9">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none"/>
                <w:lang w:val="en-US" w:eastAsia="zh-CN"/>
              </w:rPr>
              <w:t>完整运行成功</w:t>
            </w:r>
          </w:p>
        </w:tc>
      </w:tr>
      <w:tr w14:paraId="4CD3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153" w:type="pct"/>
            <w:shd w:val="clear" w:color="auto" w:fill="auto"/>
            <w:noWrap w:val="0"/>
            <w:tcMar>
              <w:top w:w="120" w:type="dxa"/>
              <w:left w:w="180" w:type="dxa"/>
              <w:bottom w:w="120" w:type="dxa"/>
              <w:right w:w="180" w:type="dxa"/>
            </w:tcMar>
            <w:vAlign w:val="center"/>
          </w:tcPr>
          <w:p w14:paraId="49B4ECD4">
            <w:pPr>
              <w:keepNext w:val="0"/>
              <w:keepLines w:val="0"/>
              <w:pageBreakBefore w:val="0"/>
              <w:widowControl w:val="0"/>
              <w:suppressLineNumbers w:val="0"/>
              <w:spacing w:before="0" w:beforeAutospacing="0" w:after="0" w:afterAutospacing="0" w:line="420" w:lineRule="exact"/>
              <w:ind w:left="0" w:right="0" w:firstLine="480"/>
              <w:jc w:val="left"/>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none"/>
              </w:rPr>
              <w:t>产线补料综合装置</w:t>
            </w:r>
          </w:p>
        </w:tc>
        <w:tc>
          <w:tcPr>
            <w:tcW w:w="1674" w:type="pct"/>
            <w:shd w:val="clear" w:color="auto" w:fill="auto"/>
            <w:noWrap w:val="0"/>
            <w:tcMar>
              <w:top w:w="120" w:type="dxa"/>
              <w:left w:w="180" w:type="dxa"/>
              <w:bottom w:w="120" w:type="dxa"/>
              <w:right w:w="180" w:type="dxa"/>
            </w:tcMar>
            <w:vAlign w:val="center"/>
          </w:tcPr>
          <w:p w14:paraId="72A3D141">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none"/>
                <w:lang w:val="en-US" w:eastAsia="zh-CN"/>
              </w:rPr>
              <w:t>设备安装、集成调试</w:t>
            </w:r>
          </w:p>
        </w:tc>
        <w:tc>
          <w:tcPr>
            <w:tcW w:w="1171" w:type="pct"/>
            <w:shd w:val="clear" w:color="auto" w:fill="auto"/>
            <w:noWrap w:val="0"/>
            <w:tcMar>
              <w:top w:w="120" w:type="dxa"/>
              <w:left w:w="180" w:type="dxa"/>
              <w:bottom w:w="120" w:type="dxa"/>
              <w:right w:w="180" w:type="dxa"/>
            </w:tcMar>
            <w:vAlign w:val="center"/>
          </w:tcPr>
          <w:p w14:paraId="17C9B766">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none"/>
                <w:lang w:val="en-US" w:eastAsia="zh-CN"/>
              </w:rPr>
              <w:t>完整运行成功</w:t>
            </w:r>
          </w:p>
        </w:tc>
      </w:tr>
      <w:tr w14:paraId="06336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153" w:type="pct"/>
            <w:shd w:val="clear" w:color="auto" w:fill="auto"/>
            <w:noWrap w:val="0"/>
            <w:tcMar>
              <w:top w:w="120" w:type="dxa"/>
              <w:left w:w="180" w:type="dxa"/>
              <w:bottom w:w="120" w:type="dxa"/>
              <w:right w:w="180" w:type="dxa"/>
            </w:tcMar>
            <w:vAlign w:val="center"/>
          </w:tcPr>
          <w:p w14:paraId="722E07AD">
            <w:pPr>
              <w:keepNext w:val="0"/>
              <w:keepLines w:val="0"/>
              <w:pageBreakBefore w:val="0"/>
              <w:widowControl w:val="0"/>
              <w:suppressLineNumbers w:val="0"/>
              <w:spacing w:before="0" w:beforeAutospacing="0" w:after="0" w:afterAutospacing="0" w:line="420" w:lineRule="exact"/>
              <w:ind w:left="0" w:right="0" w:firstLine="480"/>
              <w:jc w:val="left"/>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生产加工综合实训装置</w:t>
            </w:r>
          </w:p>
        </w:tc>
        <w:tc>
          <w:tcPr>
            <w:tcW w:w="1674" w:type="pct"/>
            <w:shd w:val="clear" w:color="auto" w:fill="auto"/>
            <w:noWrap w:val="0"/>
            <w:tcMar>
              <w:top w:w="120" w:type="dxa"/>
              <w:left w:w="180" w:type="dxa"/>
              <w:bottom w:w="120" w:type="dxa"/>
              <w:right w:w="180" w:type="dxa"/>
            </w:tcMar>
            <w:vAlign w:val="center"/>
          </w:tcPr>
          <w:p w14:paraId="7736353D">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设备安装、集成调试</w:t>
            </w:r>
          </w:p>
        </w:tc>
        <w:tc>
          <w:tcPr>
            <w:tcW w:w="1171" w:type="pct"/>
            <w:shd w:val="clear" w:color="auto" w:fill="auto"/>
            <w:noWrap w:val="0"/>
            <w:tcMar>
              <w:top w:w="120" w:type="dxa"/>
              <w:left w:w="180" w:type="dxa"/>
              <w:bottom w:w="120" w:type="dxa"/>
              <w:right w:w="180" w:type="dxa"/>
            </w:tcMar>
            <w:vAlign w:val="center"/>
          </w:tcPr>
          <w:p w14:paraId="25B78700">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none"/>
                <w:lang w:val="en-US" w:eastAsia="zh-CN"/>
              </w:rPr>
              <w:t>完整运行成功</w:t>
            </w:r>
          </w:p>
        </w:tc>
      </w:tr>
      <w:tr w14:paraId="1D23D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153" w:type="pct"/>
            <w:shd w:val="clear" w:color="auto" w:fill="auto"/>
            <w:noWrap w:val="0"/>
            <w:tcMar>
              <w:top w:w="120" w:type="dxa"/>
              <w:left w:w="180" w:type="dxa"/>
              <w:bottom w:w="120" w:type="dxa"/>
              <w:right w:w="180" w:type="dxa"/>
            </w:tcMar>
            <w:vAlign w:val="center"/>
          </w:tcPr>
          <w:p w14:paraId="0D3AFBD5">
            <w:pPr>
              <w:keepNext w:val="0"/>
              <w:keepLines w:val="0"/>
              <w:pageBreakBefore w:val="0"/>
              <w:widowControl w:val="0"/>
              <w:suppressLineNumbers w:val="0"/>
              <w:spacing w:before="0" w:beforeAutospacing="0" w:after="0" w:afterAutospacing="0" w:line="420" w:lineRule="exact"/>
              <w:ind w:left="0" w:right="0" w:firstLine="480"/>
              <w:jc w:val="left"/>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产成品入库综合装置</w:t>
            </w:r>
          </w:p>
        </w:tc>
        <w:tc>
          <w:tcPr>
            <w:tcW w:w="1674" w:type="pct"/>
            <w:shd w:val="clear" w:color="auto" w:fill="auto"/>
            <w:noWrap w:val="0"/>
            <w:tcMar>
              <w:top w:w="120" w:type="dxa"/>
              <w:left w:w="180" w:type="dxa"/>
              <w:bottom w:w="120" w:type="dxa"/>
              <w:right w:w="180" w:type="dxa"/>
            </w:tcMar>
            <w:vAlign w:val="center"/>
          </w:tcPr>
          <w:p w14:paraId="4139BBE3">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设备安装、集成调试</w:t>
            </w:r>
          </w:p>
        </w:tc>
        <w:tc>
          <w:tcPr>
            <w:tcW w:w="1171" w:type="pct"/>
            <w:shd w:val="clear" w:color="auto" w:fill="auto"/>
            <w:noWrap w:val="0"/>
            <w:tcMar>
              <w:top w:w="120" w:type="dxa"/>
              <w:left w:w="180" w:type="dxa"/>
              <w:bottom w:w="120" w:type="dxa"/>
              <w:right w:w="180" w:type="dxa"/>
            </w:tcMar>
            <w:vAlign w:val="center"/>
          </w:tcPr>
          <w:p w14:paraId="11750FF7">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none"/>
                <w:lang w:val="en-US" w:eastAsia="zh-CN"/>
              </w:rPr>
              <w:t>完整运行成功</w:t>
            </w:r>
          </w:p>
        </w:tc>
      </w:tr>
      <w:tr w14:paraId="2164E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153" w:type="pct"/>
            <w:shd w:val="clear" w:color="auto" w:fill="auto"/>
            <w:noWrap w:val="0"/>
            <w:tcMar>
              <w:top w:w="120" w:type="dxa"/>
              <w:left w:w="180" w:type="dxa"/>
              <w:bottom w:w="120" w:type="dxa"/>
              <w:right w:w="180" w:type="dxa"/>
            </w:tcMar>
            <w:vAlign w:val="center"/>
          </w:tcPr>
          <w:p w14:paraId="7C98EE7C">
            <w:pPr>
              <w:keepNext w:val="0"/>
              <w:keepLines w:val="0"/>
              <w:pageBreakBefore w:val="0"/>
              <w:widowControl w:val="0"/>
              <w:suppressLineNumbers w:val="0"/>
              <w:spacing w:before="0" w:beforeAutospacing="0" w:after="0" w:afterAutospacing="0" w:line="420" w:lineRule="exact"/>
              <w:ind w:left="0" w:right="0" w:firstLine="480"/>
              <w:jc w:val="left"/>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智能仓储分拣实训设备</w:t>
            </w:r>
          </w:p>
        </w:tc>
        <w:tc>
          <w:tcPr>
            <w:tcW w:w="1674" w:type="pct"/>
            <w:shd w:val="clear" w:color="auto" w:fill="auto"/>
            <w:noWrap w:val="0"/>
            <w:tcMar>
              <w:top w:w="120" w:type="dxa"/>
              <w:left w:w="180" w:type="dxa"/>
              <w:bottom w:w="120" w:type="dxa"/>
              <w:right w:w="180" w:type="dxa"/>
            </w:tcMar>
            <w:vAlign w:val="center"/>
          </w:tcPr>
          <w:p w14:paraId="50A77FA5">
            <w:pPr>
              <w:keepNext w:val="0"/>
              <w:keepLines w:val="0"/>
              <w:pageBreakBefore w:val="0"/>
              <w:widowControl/>
              <w:suppressLineNumbers w:val="0"/>
              <w:spacing w:before="0" w:beforeAutospacing="0" w:after="0" w:afterAutospacing="0" w:line="420" w:lineRule="exact"/>
              <w:ind w:left="0" w:right="0" w:firstLine="0"/>
              <w:jc w:val="left"/>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设备安装</w:t>
            </w:r>
          </w:p>
        </w:tc>
        <w:tc>
          <w:tcPr>
            <w:tcW w:w="1171" w:type="pct"/>
            <w:shd w:val="clear" w:color="auto" w:fill="auto"/>
            <w:noWrap w:val="0"/>
            <w:tcMar>
              <w:top w:w="120" w:type="dxa"/>
              <w:left w:w="180" w:type="dxa"/>
              <w:bottom w:w="120" w:type="dxa"/>
              <w:right w:w="180" w:type="dxa"/>
            </w:tcMar>
            <w:vAlign w:val="center"/>
          </w:tcPr>
          <w:p w14:paraId="7CDBF8DD">
            <w:pPr>
              <w:keepNext w:val="0"/>
              <w:keepLines w:val="0"/>
              <w:pageBreakBefore w:val="0"/>
              <w:widowControl/>
              <w:suppressLineNumbers w:val="0"/>
              <w:spacing w:before="0" w:beforeAutospacing="0" w:after="0" w:afterAutospacing="0" w:line="420" w:lineRule="exact"/>
              <w:ind w:left="0" w:right="0" w:firstLine="0"/>
              <w:jc w:val="left"/>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完整运行成功</w:t>
            </w:r>
          </w:p>
        </w:tc>
      </w:tr>
      <w:tr w14:paraId="443AC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153" w:type="pct"/>
            <w:shd w:val="clear" w:color="auto" w:fill="auto"/>
            <w:noWrap w:val="0"/>
            <w:tcMar>
              <w:top w:w="120" w:type="dxa"/>
              <w:left w:w="180" w:type="dxa"/>
              <w:bottom w:w="120" w:type="dxa"/>
              <w:right w:w="180" w:type="dxa"/>
            </w:tcMar>
            <w:vAlign w:val="center"/>
          </w:tcPr>
          <w:p w14:paraId="650974E2">
            <w:pPr>
              <w:keepNext w:val="0"/>
              <w:keepLines w:val="0"/>
              <w:pageBreakBefore w:val="0"/>
              <w:widowControl w:val="0"/>
              <w:suppressLineNumbers w:val="0"/>
              <w:spacing w:before="0" w:beforeAutospacing="0" w:after="0" w:afterAutospacing="0" w:line="420" w:lineRule="exact"/>
              <w:ind w:left="0" w:right="0" w:firstLine="480"/>
              <w:jc w:val="left"/>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none"/>
              </w:rPr>
              <w:t>干线运输调度单元</w:t>
            </w:r>
          </w:p>
        </w:tc>
        <w:tc>
          <w:tcPr>
            <w:tcW w:w="1674" w:type="pct"/>
            <w:shd w:val="clear" w:color="auto" w:fill="auto"/>
            <w:noWrap w:val="0"/>
            <w:tcMar>
              <w:top w:w="120" w:type="dxa"/>
              <w:left w:w="180" w:type="dxa"/>
              <w:bottom w:w="120" w:type="dxa"/>
              <w:right w:w="180" w:type="dxa"/>
            </w:tcMar>
            <w:vAlign w:val="center"/>
          </w:tcPr>
          <w:p w14:paraId="60A62DBE">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none"/>
                <w:lang w:val="en-US" w:eastAsia="zh-CN"/>
              </w:rPr>
              <w:t>登录、运行</w:t>
            </w:r>
          </w:p>
        </w:tc>
        <w:tc>
          <w:tcPr>
            <w:tcW w:w="1171" w:type="pct"/>
            <w:shd w:val="clear" w:color="auto" w:fill="auto"/>
            <w:noWrap w:val="0"/>
            <w:tcMar>
              <w:top w:w="120" w:type="dxa"/>
              <w:left w:w="180" w:type="dxa"/>
              <w:bottom w:w="120" w:type="dxa"/>
              <w:right w:w="180" w:type="dxa"/>
            </w:tcMar>
            <w:vAlign w:val="center"/>
          </w:tcPr>
          <w:p w14:paraId="704CC7AB">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none"/>
                <w:lang w:val="en-US" w:eastAsia="zh-CN"/>
              </w:rPr>
              <w:t>在实训室正常运行</w:t>
            </w:r>
          </w:p>
        </w:tc>
      </w:tr>
    </w:tbl>
    <w:p w14:paraId="500F058D">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②性能测试方案</w:t>
      </w:r>
      <w:r>
        <w:rPr>
          <w:rFonts w:hint="eastAsia" w:ascii="宋体" w:hAnsi="宋体" w:cs="宋体"/>
          <w:color w:val="auto"/>
          <w:sz w:val="24"/>
          <w:szCs w:val="24"/>
          <w:highlight w:val="none"/>
          <w:u w:val="none"/>
          <w:lang w:val="en-US" w:eastAsia="zh-CN"/>
        </w:rPr>
        <w:t>（至少包括以下内容）</w:t>
      </w:r>
      <w:r>
        <w:rPr>
          <w:rFonts w:hint="eastAsia" w:ascii="宋体" w:hAnsi="宋体" w:eastAsia="宋体" w:cs="宋体"/>
          <w:color w:val="auto"/>
          <w:sz w:val="24"/>
          <w:szCs w:val="24"/>
          <w:highlight w:val="none"/>
          <w:u w:val="none"/>
          <w:lang w:val="en-US" w:eastAsia="zh-CN"/>
        </w:rPr>
        <w:t>：</w:t>
      </w:r>
    </w:p>
    <w:p w14:paraId="6FE87048">
      <w:pPr>
        <w:keepNext w:val="0"/>
        <w:keepLines w:val="0"/>
        <w:pageBreakBefore w:val="0"/>
        <w:widowControl w:val="0"/>
        <w:spacing w:line="420" w:lineRule="exact"/>
        <w:ind w:firstLine="480"/>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rPr>
        <w:t>货到人搬运设备</w:t>
      </w:r>
      <w:r>
        <w:rPr>
          <w:rFonts w:hint="eastAsia" w:ascii="宋体" w:hAnsi="宋体" w:cs="宋体"/>
          <w:color w:val="auto"/>
          <w:sz w:val="24"/>
          <w:highlight w:val="none"/>
          <w:u w:val="none"/>
          <w:lang w:val="en-US" w:eastAsia="zh-CN"/>
        </w:rPr>
        <w:t>不仅要与本次采购设备对接集成，同时需要与我校</w:t>
      </w:r>
      <w:r>
        <w:rPr>
          <w:rFonts w:hint="eastAsia" w:ascii="宋体" w:hAnsi="宋体" w:cs="宋体"/>
          <w:color w:val="auto"/>
          <w:sz w:val="24"/>
          <w:szCs w:val="24"/>
          <w:highlight w:val="none"/>
          <w:u w:val="none"/>
        </w:rPr>
        <w:t>一期硬件设备（机器人、手持等）集成</w:t>
      </w:r>
      <w:r>
        <w:rPr>
          <w:rFonts w:hint="eastAsia" w:ascii="宋体" w:hAnsi="宋体" w:cs="宋体"/>
          <w:color w:val="auto"/>
          <w:sz w:val="24"/>
          <w:highlight w:val="none"/>
          <w:u w:val="none"/>
          <w:lang w:val="en-US" w:eastAsia="zh-CN"/>
        </w:rPr>
        <w:t>完全对接，需要让一期设备完整运行起来。</w:t>
      </w:r>
    </w:p>
    <w:p w14:paraId="1E3450FA">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其余设备性能功能完全符合国家标准或行业标准。</w:t>
      </w:r>
    </w:p>
    <w:p w14:paraId="677A0DC4">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（4）验收程序</w:t>
      </w:r>
    </w:p>
    <w:p w14:paraId="4DE112F0">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至少包括以下内容：</w:t>
      </w:r>
    </w:p>
    <w:p w14:paraId="2455F24C">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①验收工作组：由采购方代表、第三方专家、投标方技术负责人组成</w:t>
      </w:r>
    </w:p>
    <w:p w14:paraId="07806EC9">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②验收流程：</w:t>
      </w:r>
    </w:p>
    <w:p w14:paraId="7364EF1A">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初验（</w:t>
      </w:r>
      <w:r>
        <w:rPr>
          <w:rFonts w:hint="eastAsia" w:ascii="宋体" w:hAnsi="宋体" w:cs="宋体"/>
          <w:color w:val="auto"/>
          <w:sz w:val="24"/>
          <w:szCs w:val="24"/>
          <w:highlight w:val="none"/>
          <w:u w:val="none"/>
          <w:lang w:val="en-US" w:eastAsia="zh-CN"/>
        </w:rPr>
        <w:t>设备</w:t>
      </w:r>
      <w:r>
        <w:rPr>
          <w:rFonts w:hint="eastAsia" w:ascii="宋体" w:hAnsi="宋体" w:eastAsia="宋体" w:cs="宋体"/>
          <w:color w:val="auto"/>
          <w:sz w:val="24"/>
          <w:szCs w:val="24"/>
          <w:highlight w:val="none"/>
          <w:u w:val="none"/>
          <w:lang w:val="en-US" w:eastAsia="zh-CN"/>
        </w:rPr>
        <w:t>功能测试）→联调验收（</w:t>
      </w:r>
      <w:r>
        <w:rPr>
          <w:rFonts w:hint="eastAsia" w:ascii="宋体" w:hAnsi="宋体" w:cs="宋体"/>
          <w:color w:val="auto"/>
          <w:sz w:val="24"/>
          <w:szCs w:val="24"/>
          <w:highlight w:val="none"/>
          <w:u w:val="none"/>
        </w:rPr>
        <w:t>一期硬件设备（机器人、手持等）集成对接</w:t>
      </w:r>
      <w:r>
        <w:rPr>
          <w:rFonts w:hint="eastAsia" w:ascii="宋体" w:hAnsi="宋体" w:eastAsia="宋体" w:cs="宋体"/>
          <w:color w:val="auto"/>
          <w:sz w:val="24"/>
          <w:szCs w:val="24"/>
          <w:highlight w:val="none"/>
          <w:u w:val="none"/>
          <w:lang w:val="en-US" w:eastAsia="zh-CN"/>
        </w:rPr>
        <w:t>协同）→终验（全流程运行）</w:t>
      </w:r>
    </w:p>
    <w:p w14:paraId="18F951A9">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③验收文档：</w:t>
      </w:r>
    </w:p>
    <w:p w14:paraId="596A4AC5">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设备合格证、检测报告、软件授权文件、培训记录</w:t>
      </w:r>
    </w:p>
    <w:p w14:paraId="6F1D5F9C">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④验收不通过处理：</w:t>
      </w:r>
    </w:p>
    <w:p w14:paraId="10E61005">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一般问题：3个工作日内整改并复验</w:t>
      </w:r>
    </w:p>
    <w:p w14:paraId="51A0C833">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严重问题：7个工作日内更换设备或升级系统</w:t>
      </w:r>
    </w:p>
    <w:p w14:paraId="4D295412">
      <w:pPr>
        <w:keepNext w:val="0"/>
        <w:keepLines w:val="0"/>
        <w:pageBreakBefore w:val="0"/>
        <w:widowControl w:val="0"/>
        <w:spacing w:line="420" w:lineRule="exact"/>
        <w:ind w:firstLine="480"/>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2.培训方案</w:t>
      </w:r>
    </w:p>
    <w:p w14:paraId="72264227">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（1）培训计划与目标</w:t>
      </w:r>
    </w:p>
    <w:tbl>
      <w:tblPr>
        <w:tblStyle w:val="40"/>
        <w:tblW w:w="46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648"/>
        <w:gridCol w:w="4577"/>
        <w:gridCol w:w="2180"/>
      </w:tblGrid>
      <w:tr w14:paraId="5F515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F2F2F2"/>
            <w:noWrap w:val="0"/>
            <w:tcMar>
              <w:top w:w="120" w:type="dxa"/>
              <w:left w:w="180" w:type="dxa"/>
              <w:bottom w:w="120" w:type="dxa"/>
              <w:right w:w="180" w:type="dxa"/>
            </w:tcMar>
            <w:vAlign w:val="center"/>
          </w:tcPr>
          <w:p w14:paraId="62A4A8E0">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对象</w:t>
            </w:r>
          </w:p>
        </w:tc>
        <w:tc>
          <w:tcPr>
            <w:tcW w:w="0" w:type="auto"/>
            <w:shd w:val="clear" w:color="auto" w:fill="F2F2F2"/>
            <w:noWrap w:val="0"/>
            <w:tcMar>
              <w:top w:w="120" w:type="dxa"/>
              <w:left w:w="180" w:type="dxa"/>
              <w:bottom w:w="120" w:type="dxa"/>
              <w:right w:w="180" w:type="dxa"/>
            </w:tcMar>
            <w:vAlign w:val="center"/>
          </w:tcPr>
          <w:p w14:paraId="55D3121A">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目标</w:t>
            </w:r>
          </w:p>
        </w:tc>
        <w:tc>
          <w:tcPr>
            <w:tcW w:w="1297" w:type="pct"/>
            <w:shd w:val="clear" w:color="auto" w:fill="F2F2F2"/>
            <w:noWrap w:val="0"/>
            <w:tcMar>
              <w:top w:w="120" w:type="dxa"/>
              <w:left w:w="180" w:type="dxa"/>
              <w:bottom w:w="120" w:type="dxa"/>
              <w:right w:w="180" w:type="dxa"/>
            </w:tcMar>
            <w:vAlign w:val="center"/>
          </w:tcPr>
          <w:p w14:paraId="1E835E7F">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评估方法</w:t>
            </w:r>
          </w:p>
        </w:tc>
      </w:tr>
      <w:tr w14:paraId="63922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noWrap w:val="0"/>
            <w:tcMar>
              <w:top w:w="120" w:type="dxa"/>
              <w:left w:w="180" w:type="dxa"/>
              <w:bottom w:w="120" w:type="dxa"/>
              <w:right w:w="180" w:type="dxa"/>
            </w:tcMar>
            <w:vAlign w:val="center"/>
          </w:tcPr>
          <w:p w14:paraId="7E48160C">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管理员</w:t>
            </w:r>
          </w:p>
        </w:tc>
        <w:tc>
          <w:tcPr>
            <w:tcW w:w="0" w:type="auto"/>
            <w:shd w:val="clear" w:color="auto" w:fill="auto"/>
            <w:noWrap w:val="0"/>
            <w:tcMar>
              <w:top w:w="120" w:type="dxa"/>
              <w:left w:w="180" w:type="dxa"/>
              <w:bottom w:w="120" w:type="dxa"/>
              <w:right w:w="180" w:type="dxa"/>
            </w:tcMar>
            <w:vAlign w:val="center"/>
          </w:tcPr>
          <w:p w14:paraId="659E7DBD">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掌握设备维护、故障排查</w:t>
            </w:r>
          </w:p>
        </w:tc>
        <w:tc>
          <w:tcPr>
            <w:tcW w:w="1297" w:type="pct"/>
            <w:shd w:val="clear" w:color="auto" w:fill="auto"/>
            <w:noWrap w:val="0"/>
            <w:tcMar>
              <w:top w:w="120" w:type="dxa"/>
              <w:left w:w="180" w:type="dxa"/>
              <w:bottom w:w="120" w:type="dxa"/>
              <w:right w:w="180" w:type="dxa"/>
            </w:tcMar>
            <w:vAlign w:val="center"/>
          </w:tcPr>
          <w:p w14:paraId="57781093">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实操考核</w:t>
            </w:r>
          </w:p>
        </w:tc>
      </w:tr>
      <w:tr w14:paraId="457CC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noWrap w:val="0"/>
            <w:tcMar>
              <w:top w:w="120" w:type="dxa"/>
              <w:left w:w="180" w:type="dxa"/>
              <w:bottom w:w="120" w:type="dxa"/>
              <w:right w:w="180" w:type="dxa"/>
            </w:tcMar>
            <w:vAlign w:val="center"/>
          </w:tcPr>
          <w:p w14:paraId="1CA492CF">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教师</w:t>
            </w:r>
          </w:p>
        </w:tc>
        <w:tc>
          <w:tcPr>
            <w:tcW w:w="0" w:type="auto"/>
            <w:shd w:val="clear" w:color="auto" w:fill="auto"/>
            <w:noWrap w:val="0"/>
            <w:tcMar>
              <w:top w:w="120" w:type="dxa"/>
              <w:left w:w="180" w:type="dxa"/>
              <w:bottom w:w="120" w:type="dxa"/>
              <w:right w:w="180" w:type="dxa"/>
            </w:tcMar>
            <w:vAlign w:val="center"/>
          </w:tcPr>
          <w:p w14:paraId="2A5CCE39">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熟练操作机器人及软件</w:t>
            </w:r>
          </w:p>
        </w:tc>
        <w:tc>
          <w:tcPr>
            <w:tcW w:w="1297" w:type="pct"/>
            <w:shd w:val="clear" w:color="auto" w:fill="auto"/>
            <w:noWrap w:val="0"/>
            <w:tcMar>
              <w:top w:w="120" w:type="dxa"/>
              <w:left w:w="180" w:type="dxa"/>
              <w:bottom w:w="120" w:type="dxa"/>
              <w:right w:w="180" w:type="dxa"/>
            </w:tcMar>
            <w:vAlign w:val="center"/>
          </w:tcPr>
          <w:p w14:paraId="379A6B09">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教学模拟测试</w:t>
            </w:r>
          </w:p>
        </w:tc>
      </w:tr>
    </w:tbl>
    <w:p w14:paraId="5ABFB272">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（2）培训师资配置</w:t>
      </w:r>
      <w:r>
        <w:rPr>
          <w:rFonts w:hint="eastAsia" w:ascii="宋体" w:hAnsi="宋体" w:cs="宋体"/>
          <w:color w:val="auto"/>
          <w:sz w:val="24"/>
          <w:szCs w:val="24"/>
          <w:highlight w:val="none"/>
          <w:u w:val="none"/>
          <w:lang w:val="en-US" w:eastAsia="zh-CN"/>
        </w:rPr>
        <w:t>（以下为最低要求，投标人可根据实际需求配置）</w:t>
      </w:r>
    </w:p>
    <w:p w14:paraId="185DF5C1">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理论讲师：1名（需具备至少</w:t>
      </w:r>
      <w:r>
        <w:rPr>
          <w:rFonts w:hint="eastAsia" w:ascii="宋体" w:hAnsi="宋体" w:cs="宋体"/>
          <w:color w:val="auto"/>
          <w:sz w:val="24"/>
          <w:szCs w:val="24"/>
          <w:highlight w:val="none"/>
          <w:u w:val="none"/>
          <w:lang w:val="en-US" w:eastAsia="zh-CN"/>
        </w:rPr>
        <w:t>5</w:t>
      </w:r>
      <w:r>
        <w:rPr>
          <w:rFonts w:hint="eastAsia" w:ascii="宋体" w:hAnsi="宋体" w:eastAsia="宋体" w:cs="宋体"/>
          <w:color w:val="auto"/>
          <w:sz w:val="24"/>
          <w:szCs w:val="24"/>
          <w:highlight w:val="none"/>
          <w:u w:val="none"/>
          <w:lang w:val="en-US" w:eastAsia="zh-CN"/>
        </w:rPr>
        <w:t>年以上培训</w:t>
      </w:r>
      <w:r>
        <w:rPr>
          <w:rFonts w:hint="eastAsia" w:ascii="宋体" w:hAnsi="宋体" w:cs="宋体"/>
          <w:color w:val="auto"/>
          <w:sz w:val="24"/>
          <w:szCs w:val="24"/>
          <w:highlight w:val="none"/>
          <w:u w:val="none"/>
          <w:lang w:val="en-US" w:eastAsia="zh-CN"/>
        </w:rPr>
        <w:t>实操</w:t>
      </w:r>
      <w:r>
        <w:rPr>
          <w:rFonts w:hint="eastAsia" w:ascii="宋体" w:hAnsi="宋体" w:eastAsia="宋体" w:cs="宋体"/>
          <w:color w:val="auto"/>
          <w:sz w:val="24"/>
          <w:szCs w:val="24"/>
          <w:highlight w:val="none"/>
          <w:u w:val="none"/>
          <w:lang w:val="en-US" w:eastAsia="zh-CN"/>
        </w:rPr>
        <w:t>经验）</w:t>
      </w:r>
    </w:p>
    <w:p w14:paraId="57BC6A7C">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实操</w:t>
      </w:r>
      <w:r>
        <w:rPr>
          <w:rFonts w:hint="eastAsia" w:ascii="宋体" w:hAnsi="宋体" w:cs="宋体"/>
          <w:color w:val="auto"/>
          <w:sz w:val="24"/>
          <w:szCs w:val="24"/>
          <w:highlight w:val="none"/>
          <w:u w:val="none"/>
          <w:lang w:val="en-US" w:eastAsia="zh-CN"/>
        </w:rPr>
        <w:t>讲师</w:t>
      </w:r>
      <w:r>
        <w:rPr>
          <w:rFonts w:hint="eastAsia" w:ascii="宋体" w:hAnsi="宋体" w:eastAsia="宋体" w:cs="宋体"/>
          <w:color w:val="auto"/>
          <w:sz w:val="24"/>
          <w:szCs w:val="24"/>
          <w:highlight w:val="none"/>
          <w:u w:val="none"/>
          <w:lang w:val="en-US" w:eastAsia="zh-CN"/>
        </w:rPr>
        <w:t>：</w:t>
      </w:r>
      <w:r>
        <w:rPr>
          <w:rFonts w:hint="eastAsia" w:ascii="宋体" w:hAnsi="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lang w:val="en-US" w:eastAsia="zh-CN"/>
        </w:rPr>
        <w:t>名（需具备至少</w:t>
      </w:r>
      <w:r>
        <w:rPr>
          <w:rFonts w:hint="eastAsia" w:ascii="宋体" w:hAnsi="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lang w:val="en-US" w:eastAsia="zh-CN"/>
        </w:rPr>
        <w:t>年以上培训</w:t>
      </w:r>
      <w:r>
        <w:rPr>
          <w:rFonts w:hint="eastAsia" w:ascii="宋体" w:hAnsi="宋体" w:cs="宋体"/>
          <w:color w:val="auto"/>
          <w:sz w:val="24"/>
          <w:szCs w:val="24"/>
          <w:highlight w:val="none"/>
          <w:u w:val="none"/>
          <w:lang w:val="en-US" w:eastAsia="zh-CN"/>
        </w:rPr>
        <w:t>实操</w:t>
      </w:r>
      <w:r>
        <w:rPr>
          <w:rFonts w:hint="eastAsia" w:ascii="宋体" w:hAnsi="宋体" w:eastAsia="宋体" w:cs="宋体"/>
          <w:color w:val="auto"/>
          <w:sz w:val="24"/>
          <w:szCs w:val="24"/>
          <w:highlight w:val="none"/>
          <w:u w:val="none"/>
          <w:lang w:val="en-US" w:eastAsia="zh-CN"/>
        </w:rPr>
        <w:t>经验）</w:t>
      </w:r>
    </w:p>
    <w:p w14:paraId="01748DE1">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（3）培训安排</w:t>
      </w:r>
    </w:p>
    <w:p w14:paraId="4E6A2ECD">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需至少包括以下内容：</w:t>
      </w:r>
    </w:p>
    <w:tbl>
      <w:tblPr>
        <w:tblStyle w:val="40"/>
        <w:tblW w:w="470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591"/>
        <w:gridCol w:w="1398"/>
        <w:gridCol w:w="4452"/>
      </w:tblGrid>
      <w:tr w14:paraId="62573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F2F2F2"/>
            <w:noWrap w:val="0"/>
            <w:tcMar>
              <w:top w:w="120" w:type="dxa"/>
              <w:left w:w="180" w:type="dxa"/>
              <w:bottom w:w="120" w:type="dxa"/>
              <w:right w:w="180" w:type="dxa"/>
            </w:tcMar>
            <w:vAlign w:val="center"/>
          </w:tcPr>
          <w:p w14:paraId="7909619A">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类型</w:t>
            </w:r>
          </w:p>
        </w:tc>
        <w:tc>
          <w:tcPr>
            <w:tcW w:w="0" w:type="auto"/>
            <w:shd w:val="clear" w:color="auto" w:fill="F2F2F2"/>
            <w:noWrap w:val="0"/>
            <w:tcMar>
              <w:top w:w="120" w:type="dxa"/>
              <w:left w:w="180" w:type="dxa"/>
              <w:bottom w:w="120" w:type="dxa"/>
              <w:right w:w="180" w:type="dxa"/>
            </w:tcMar>
            <w:vAlign w:val="center"/>
          </w:tcPr>
          <w:p w14:paraId="491A6726">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时长</w:t>
            </w:r>
          </w:p>
        </w:tc>
        <w:tc>
          <w:tcPr>
            <w:tcW w:w="2637" w:type="pct"/>
            <w:shd w:val="clear" w:color="auto" w:fill="F2F2F2"/>
            <w:noWrap w:val="0"/>
            <w:tcMar>
              <w:top w:w="120" w:type="dxa"/>
              <w:left w:w="180" w:type="dxa"/>
              <w:bottom w:w="120" w:type="dxa"/>
              <w:right w:w="180" w:type="dxa"/>
            </w:tcMar>
            <w:vAlign w:val="center"/>
          </w:tcPr>
          <w:p w14:paraId="39AFABE4">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内容</w:t>
            </w:r>
          </w:p>
        </w:tc>
      </w:tr>
      <w:tr w14:paraId="3C13F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noWrap w:val="0"/>
            <w:tcMar>
              <w:top w:w="120" w:type="dxa"/>
              <w:left w:w="180" w:type="dxa"/>
              <w:bottom w:w="120" w:type="dxa"/>
              <w:right w:w="180" w:type="dxa"/>
            </w:tcMar>
            <w:vAlign w:val="center"/>
          </w:tcPr>
          <w:p w14:paraId="3029B530">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管理员培训</w:t>
            </w:r>
          </w:p>
        </w:tc>
        <w:tc>
          <w:tcPr>
            <w:tcW w:w="0" w:type="auto"/>
            <w:shd w:val="clear" w:color="auto" w:fill="auto"/>
            <w:noWrap w:val="0"/>
            <w:tcMar>
              <w:top w:w="120" w:type="dxa"/>
              <w:left w:w="180" w:type="dxa"/>
              <w:bottom w:w="120" w:type="dxa"/>
              <w:right w:w="180" w:type="dxa"/>
            </w:tcMar>
            <w:vAlign w:val="center"/>
          </w:tcPr>
          <w:p w14:paraId="75C211F2">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5天</w:t>
            </w:r>
          </w:p>
        </w:tc>
        <w:tc>
          <w:tcPr>
            <w:tcW w:w="2637" w:type="pct"/>
            <w:shd w:val="clear" w:color="auto" w:fill="auto"/>
            <w:noWrap w:val="0"/>
            <w:tcMar>
              <w:top w:w="120" w:type="dxa"/>
              <w:left w:w="180" w:type="dxa"/>
              <w:bottom w:w="120" w:type="dxa"/>
              <w:right w:w="180" w:type="dxa"/>
            </w:tcMar>
            <w:vAlign w:val="center"/>
          </w:tcPr>
          <w:p w14:paraId="249867D2">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系统维护、故障诊断</w:t>
            </w:r>
          </w:p>
        </w:tc>
      </w:tr>
      <w:tr w14:paraId="07DEA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noWrap w:val="0"/>
            <w:tcMar>
              <w:top w:w="120" w:type="dxa"/>
              <w:left w:w="180" w:type="dxa"/>
              <w:bottom w:w="120" w:type="dxa"/>
              <w:right w:w="180" w:type="dxa"/>
            </w:tcMar>
            <w:vAlign w:val="center"/>
          </w:tcPr>
          <w:p w14:paraId="42EE7E16">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教师培训</w:t>
            </w:r>
          </w:p>
        </w:tc>
        <w:tc>
          <w:tcPr>
            <w:tcW w:w="0" w:type="auto"/>
            <w:shd w:val="clear" w:color="auto" w:fill="auto"/>
            <w:noWrap w:val="0"/>
            <w:tcMar>
              <w:top w:w="120" w:type="dxa"/>
              <w:left w:w="180" w:type="dxa"/>
              <w:bottom w:w="120" w:type="dxa"/>
              <w:right w:w="180" w:type="dxa"/>
            </w:tcMar>
            <w:vAlign w:val="center"/>
          </w:tcPr>
          <w:p w14:paraId="640A6E39">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3天</w:t>
            </w:r>
          </w:p>
        </w:tc>
        <w:tc>
          <w:tcPr>
            <w:tcW w:w="2637" w:type="pct"/>
            <w:shd w:val="clear" w:color="auto" w:fill="auto"/>
            <w:noWrap w:val="0"/>
            <w:tcMar>
              <w:top w:w="120" w:type="dxa"/>
              <w:left w:w="180" w:type="dxa"/>
              <w:bottom w:w="120" w:type="dxa"/>
              <w:right w:w="180" w:type="dxa"/>
            </w:tcMar>
            <w:vAlign w:val="center"/>
          </w:tcPr>
          <w:p w14:paraId="456CF3CD">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教学案例设计、软件操作</w:t>
            </w:r>
          </w:p>
        </w:tc>
      </w:tr>
    </w:tbl>
    <w:p w14:paraId="638829F2">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（4）培训内容</w:t>
      </w:r>
    </w:p>
    <w:p w14:paraId="1DADDE42">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需至少包括以下内容：</w:t>
      </w:r>
    </w:p>
    <w:p w14:paraId="711BFECD">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①课程比例：理论30%+实操70%</w:t>
      </w:r>
    </w:p>
    <w:p w14:paraId="4AFF7CEA">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②专业大纲（示例）：</w:t>
      </w:r>
    </w:p>
    <w:p w14:paraId="3926728B">
      <w:pPr>
        <w:keepNext w:val="0"/>
        <w:keepLines w:val="0"/>
        <w:pageBreakBefore w:val="0"/>
        <w:widowControl w:val="0"/>
        <w:spacing w:line="420" w:lineRule="exact"/>
        <w:ind w:firstLine="480"/>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设备操作讲解、系统诊断</w:t>
      </w:r>
    </w:p>
    <w:p w14:paraId="42D11CDC">
      <w:pPr>
        <w:keepNext w:val="0"/>
        <w:keepLines w:val="0"/>
        <w:pageBreakBefore w:val="0"/>
        <w:widowControl w:val="0"/>
        <w:spacing w:line="420" w:lineRule="exact"/>
        <w:ind w:firstLine="480"/>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案例授课讲解、案例应用</w:t>
      </w:r>
    </w:p>
    <w:p w14:paraId="6AE597BB">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（5）质量控制</w:t>
      </w:r>
    </w:p>
    <w:p w14:paraId="09EDB108">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需至少包括以下内容：</w:t>
      </w:r>
    </w:p>
    <w:p w14:paraId="7541BC6A">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①满意度调查：每次培训后匿名评分（≥90%满意为合格）</w:t>
      </w:r>
    </w:p>
    <w:p w14:paraId="1917F298">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②效果跟踪：3个月内回访，提供额外辅导</w:t>
      </w:r>
    </w:p>
    <w:p w14:paraId="3E406F04">
      <w:pPr>
        <w:keepNext w:val="0"/>
        <w:keepLines w:val="0"/>
        <w:pageBreakBefore w:val="0"/>
        <w:widowControl w:val="0"/>
        <w:spacing w:line="420" w:lineRule="exact"/>
        <w:ind w:firstLine="480"/>
        <w:rPr>
          <w:rFonts w:hint="eastAsia" w:ascii="宋体" w:hAnsi="宋体" w:eastAsia="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3.</w:t>
      </w:r>
      <w:r>
        <w:rPr>
          <w:rFonts w:hint="eastAsia" w:ascii="宋体" w:hAnsi="宋体" w:eastAsia="宋体" w:cs="宋体"/>
          <w:b/>
          <w:bCs/>
          <w:color w:val="auto"/>
          <w:sz w:val="24"/>
          <w:szCs w:val="24"/>
          <w:highlight w:val="none"/>
          <w:u w:val="none"/>
          <w:lang w:val="en-US" w:eastAsia="zh-CN"/>
        </w:rPr>
        <w:t>售后服务方案</w:t>
      </w:r>
    </w:p>
    <w:p w14:paraId="34246AE5">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（1）售后服务响应时间、服务流程</w:t>
      </w:r>
    </w:p>
    <w:p w14:paraId="762826DD">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需至少包括以下内容：</w:t>
      </w:r>
    </w:p>
    <w:p w14:paraId="488F908F">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1.1响应时间</w:t>
      </w:r>
    </w:p>
    <w:tbl>
      <w:tblPr>
        <w:tblStyle w:val="40"/>
        <w:tblW w:w="47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964"/>
        <w:gridCol w:w="2399"/>
        <w:gridCol w:w="2187"/>
      </w:tblGrid>
      <w:tr w14:paraId="55EF3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F2F2F2"/>
            <w:noWrap w:val="0"/>
            <w:tcMar>
              <w:top w:w="120" w:type="dxa"/>
              <w:left w:w="180" w:type="dxa"/>
              <w:bottom w:w="120" w:type="dxa"/>
              <w:right w:w="180" w:type="dxa"/>
            </w:tcMar>
            <w:vAlign w:val="center"/>
          </w:tcPr>
          <w:p w14:paraId="19769491">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问题等级</w:t>
            </w:r>
          </w:p>
        </w:tc>
        <w:tc>
          <w:tcPr>
            <w:tcW w:w="0" w:type="auto"/>
            <w:shd w:val="clear" w:color="auto" w:fill="F2F2F2"/>
            <w:noWrap w:val="0"/>
            <w:tcMar>
              <w:top w:w="120" w:type="dxa"/>
              <w:left w:w="180" w:type="dxa"/>
              <w:bottom w:w="120" w:type="dxa"/>
              <w:right w:w="180" w:type="dxa"/>
            </w:tcMar>
            <w:vAlign w:val="center"/>
          </w:tcPr>
          <w:p w14:paraId="06030DFF">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响应时间</w:t>
            </w:r>
          </w:p>
        </w:tc>
        <w:tc>
          <w:tcPr>
            <w:tcW w:w="1279" w:type="pct"/>
            <w:shd w:val="clear" w:color="auto" w:fill="F2F2F2"/>
            <w:noWrap w:val="0"/>
            <w:tcMar>
              <w:top w:w="120" w:type="dxa"/>
              <w:left w:w="180" w:type="dxa"/>
              <w:bottom w:w="120" w:type="dxa"/>
              <w:right w:w="180" w:type="dxa"/>
            </w:tcMar>
            <w:vAlign w:val="center"/>
          </w:tcPr>
          <w:p w14:paraId="7275F8B9">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解决时限</w:t>
            </w:r>
          </w:p>
        </w:tc>
      </w:tr>
      <w:tr w14:paraId="398B5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noWrap w:val="0"/>
            <w:tcMar>
              <w:top w:w="120" w:type="dxa"/>
              <w:left w:w="180" w:type="dxa"/>
              <w:bottom w:w="120" w:type="dxa"/>
              <w:right w:w="180" w:type="dxa"/>
            </w:tcMar>
            <w:vAlign w:val="center"/>
          </w:tcPr>
          <w:p w14:paraId="25D96975">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一级（系统瘫痪）</w:t>
            </w:r>
          </w:p>
        </w:tc>
        <w:tc>
          <w:tcPr>
            <w:tcW w:w="0" w:type="auto"/>
            <w:shd w:val="clear" w:color="auto" w:fill="auto"/>
            <w:noWrap w:val="0"/>
            <w:tcMar>
              <w:top w:w="120" w:type="dxa"/>
              <w:left w:w="180" w:type="dxa"/>
              <w:bottom w:w="120" w:type="dxa"/>
              <w:right w:w="180" w:type="dxa"/>
            </w:tcMar>
            <w:vAlign w:val="center"/>
          </w:tcPr>
          <w:p w14:paraId="2BA8D14A">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30分钟内</w:t>
            </w:r>
          </w:p>
        </w:tc>
        <w:tc>
          <w:tcPr>
            <w:tcW w:w="1279" w:type="pct"/>
            <w:shd w:val="clear" w:color="auto" w:fill="auto"/>
            <w:noWrap w:val="0"/>
            <w:tcMar>
              <w:top w:w="120" w:type="dxa"/>
              <w:left w:w="180" w:type="dxa"/>
              <w:bottom w:w="120" w:type="dxa"/>
              <w:right w:w="180" w:type="dxa"/>
            </w:tcMar>
            <w:vAlign w:val="center"/>
          </w:tcPr>
          <w:p w14:paraId="583B67C5">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24小时</w:t>
            </w:r>
          </w:p>
        </w:tc>
      </w:tr>
      <w:tr w14:paraId="36407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noWrap w:val="0"/>
            <w:tcMar>
              <w:top w:w="120" w:type="dxa"/>
              <w:left w:w="180" w:type="dxa"/>
              <w:bottom w:w="120" w:type="dxa"/>
              <w:right w:w="180" w:type="dxa"/>
            </w:tcMar>
            <w:vAlign w:val="center"/>
          </w:tcPr>
          <w:p w14:paraId="7DD63865">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二级（功能异常）</w:t>
            </w:r>
          </w:p>
        </w:tc>
        <w:tc>
          <w:tcPr>
            <w:tcW w:w="0" w:type="auto"/>
            <w:shd w:val="clear" w:color="auto" w:fill="auto"/>
            <w:noWrap w:val="0"/>
            <w:tcMar>
              <w:top w:w="120" w:type="dxa"/>
              <w:left w:w="180" w:type="dxa"/>
              <w:bottom w:w="120" w:type="dxa"/>
              <w:right w:w="180" w:type="dxa"/>
            </w:tcMar>
            <w:vAlign w:val="center"/>
          </w:tcPr>
          <w:p w14:paraId="06EB683B">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2小时内</w:t>
            </w:r>
          </w:p>
        </w:tc>
        <w:tc>
          <w:tcPr>
            <w:tcW w:w="1279" w:type="pct"/>
            <w:shd w:val="clear" w:color="auto" w:fill="auto"/>
            <w:noWrap w:val="0"/>
            <w:tcMar>
              <w:top w:w="120" w:type="dxa"/>
              <w:left w:w="180" w:type="dxa"/>
              <w:bottom w:w="120" w:type="dxa"/>
              <w:right w:w="180" w:type="dxa"/>
            </w:tcMar>
            <w:vAlign w:val="center"/>
          </w:tcPr>
          <w:p w14:paraId="3129F360">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3个工作日</w:t>
            </w:r>
          </w:p>
        </w:tc>
      </w:tr>
      <w:tr w14:paraId="5771C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noWrap w:val="0"/>
            <w:tcMar>
              <w:top w:w="120" w:type="dxa"/>
              <w:left w:w="180" w:type="dxa"/>
              <w:bottom w:w="120" w:type="dxa"/>
              <w:right w:w="180" w:type="dxa"/>
            </w:tcMar>
            <w:vAlign w:val="center"/>
          </w:tcPr>
          <w:p w14:paraId="1E20E434">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三级（咨询类）</w:t>
            </w:r>
          </w:p>
        </w:tc>
        <w:tc>
          <w:tcPr>
            <w:tcW w:w="0" w:type="auto"/>
            <w:shd w:val="clear" w:color="auto" w:fill="auto"/>
            <w:noWrap w:val="0"/>
            <w:tcMar>
              <w:top w:w="120" w:type="dxa"/>
              <w:left w:w="180" w:type="dxa"/>
              <w:bottom w:w="120" w:type="dxa"/>
              <w:right w:w="180" w:type="dxa"/>
            </w:tcMar>
            <w:vAlign w:val="center"/>
          </w:tcPr>
          <w:p w14:paraId="79267129">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4小时内</w:t>
            </w:r>
          </w:p>
        </w:tc>
        <w:tc>
          <w:tcPr>
            <w:tcW w:w="1279" w:type="pct"/>
            <w:shd w:val="clear" w:color="auto" w:fill="auto"/>
            <w:noWrap w:val="0"/>
            <w:tcMar>
              <w:top w:w="120" w:type="dxa"/>
              <w:left w:w="180" w:type="dxa"/>
              <w:bottom w:w="120" w:type="dxa"/>
              <w:right w:w="180" w:type="dxa"/>
            </w:tcMar>
            <w:vAlign w:val="center"/>
          </w:tcPr>
          <w:p w14:paraId="2BA7E4CC">
            <w:pPr>
              <w:keepNext w:val="0"/>
              <w:keepLines w:val="0"/>
              <w:pageBreakBefore w:val="0"/>
              <w:widowControl/>
              <w:suppressLineNumbers w:val="0"/>
              <w:spacing w:before="0" w:beforeAutospacing="0" w:after="0" w:afterAutospacing="0" w:line="420" w:lineRule="exact"/>
              <w:ind w:left="0" w:right="0" w:firstLine="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5个工作日</w:t>
            </w:r>
          </w:p>
        </w:tc>
      </w:tr>
    </w:tbl>
    <w:p w14:paraId="03A2BEDF">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1.2服务流程</w:t>
      </w:r>
    </w:p>
    <w:p w14:paraId="64D945FB">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①问题处理流程：</w:t>
      </w:r>
    </w:p>
    <w:p w14:paraId="7E5DD705">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用户报修→客服分派→工程师处理→用户确认→闭环归档</w:t>
      </w:r>
    </w:p>
    <w:p w14:paraId="0D53EC97">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②跟踪系统：提供工单管理系统（可实时查询进度）</w:t>
      </w:r>
    </w:p>
    <w:p w14:paraId="0D6FC9F4">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③评价机制：每次服务后用户评分（1-5星），低于3星需整改</w:t>
      </w:r>
    </w:p>
    <w:p w14:paraId="42C20E83">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（2）售后维保服务人员</w:t>
      </w:r>
      <w:r>
        <w:rPr>
          <w:rFonts w:hint="eastAsia" w:ascii="宋体" w:hAnsi="宋体" w:cs="宋体"/>
          <w:color w:val="auto"/>
          <w:sz w:val="24"/>
          <w:szCs w:val="24"/>
          <w:highlight w:val="none"/>
          <w:u w:val="none"/>
          <w:lang w:val="en-US" w:eastAsia="zh-CN"/>
        </w:rPr>
        <w:t>（以下为最低要求，投标人可根据实际需求配置）</w:t>
      </w:r>
    </w:p>
    <w:p w14:paraId="61FC7D72">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本地团队：1名项目经理+</w:t>
      </w:r>
      <w:r>
        <w:rPr>
          <w:rFonts w:hint="eastAsia" w:ascii="宋体" w:hAnsi="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lang w:val="en-US" w:eastAsia="zh-CN"/>
        </w:rPr>
        <w:t>名技术支持</w:t>
      </w:r>
    </w:p>
    <w:p w14:paraId="01287D72">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专家支持：原厂工程师48小时内到场（重大故障）</w:t>
      </w:r>
    </w:p>
    <w:p w14:paraId="4374B041">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交接培训：新员工需通过设备操作认证方可上岗</w:t>
      </w:r>
    </w:p>
    <w:p w14:paraId="395F53A4">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（3）服务监督改进措施</w:t>
      </w:r>
    </w:p>
    <w:p w14:paraId="7B2D5B69">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①监督改进</w:t>
      </w:r>
    </w:p>
    <w:p w14:paraId="4337C3B3">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季度报告：故障率、平均修复时间、用户满意度</w:t>
      </w:r>
    </w:p>
    <w:p w14:paraId="60510198">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KPI指标：</w:t>
      </w:r>
    </w:p>
    <w:p w14:paraId="37AAD752">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问题解决率≥98%</w:t>
      </w:r>
    </w:p>
    <w:p w14:paraId="7B33D151">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平均解决时间≤8小时</w:t>
      </w:r>
    </w:p>
    <w:p w14:paraId="6010D9A7">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用户满意度≥90%</w:t>
      </w:r>
    </w:p>
    <w:p w14:paraId="51237BE1">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改进机制：每月召开服务质量分析会</w:t>
      </w:r>
    </w:p>
    <w:p w14:paraId="5E2A5241">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②长期技术支持</w:t>
      </w:r>
    </w:p>
    <w:p w14:paraId="13DBCE75">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提供终身技术咨询（邮件/电话）</w:t>
      </w:r>
    </w:p>
    <w:p w14:paraId="38FB9B99">
      <w:pPr>
        <w:keepNext w:val="0"/>
        <w:keepLines w:val="0"/>
        <w:pageBreakBefore w:val="0"/>
        <w:widowControl w:val="0"/>
        <w:spacing w:line="420" w:lineRule="exact"/>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每</w:t>
      </w:r>
      <w:r>
        <w:rPr>
          <w:rFonts w:hint="eastAsia" w:ascii="宋体" w:hAnsi="宋体" w:cs="宋体"/>
          <w:color w:val="auto"/>
          <w:sz w:val="24"/>
          <w:szCs w:val="24"/>
          <w:highlight w:val="none"/>
          <w:u w:val="none"/>
          <w:lang w:val="en-US" w:eastAsia="zh-CN"/>
        </w:rPr>
        <w:t>学期至少提供</w:t>
      </w:r>
      <w:r>
        <w:rPr>
          <w:rFonts w:hint="eastAsia" w:ascii="宋体" w:hAnsi="宋体" w:eastAsia="宋体" w:cs="宋体"/>
          <w:color w:val="auto"/>
          <w:sz w:val="24"/>
          <w:szCs w:val="24"/>
          <w:highlight w:val="none"/>
          <w:u w:val="none"/>
          <w:lang w:val="en-US" w:eastAsia="zh-CN"/>
        </w:rPr>
        <w:t>1次免费系统健康检查</w:t>
      </w:r>
    </w:p>
    <w:p w14:paraId="04F2BDA4">
      <w:pPr>
        <w:keepNext w:val="0"/>
        <w:keepLines w:val="0"/>
        <w:pageBreakBefore w:val="0"/>
        <w:widowControl/>
        <w:spacing w:line="420" w:lineRule="exact"/>
        <w:ind w:firstLine="482"/>
        <w:jc w:val="left"/>
        <w:rPr>
          <w:rFonts w:hint="eastAsia" w:ascii="宋体" w:hAnsi="宋体" w:cs="宋体"/>
          <w:b/>
          <w:bCs/>
          <w:color w:val="auto"/>
          <w:sz w:val="24"/>
          <w:szCs w:val="24"/>
          <w:highlight w:val="none"/>
          <w:u w:val="none"/>
          <w:lang w:val="en-US" w:eastAsia="zh-CN"/>
          <w14:ligatures w14:val="none"/>
        </w:rPr>
      </w:pPr>
      <w:r>
        <w:rPr>
          <w:rFonts w:hint="eastAsia" w:ascii="宋体" w:hAnsi="宋体" w:cs="宋体"/>
          <w:b/>
          <w:bCs/>
          <w:color w:val="auto"/>
          <w:sz w:val="24"/>
          <w:szCs w:val="24"/>
          <w:highlight w:val="none"/>
          <w:u w:val="none"/>
          <w:lang w:val="en-US" w:eastAsia="zh-CN"/>
        </w:rPr>
        <w:t>七、采购标的对应的中小企业划分标准所属行业一览表</w:t>
      </w:r>
    </w:p>
    <w:tbl>
      <w:tblPr>
        <w:tblStyle w:val="40"/>
        <w:tblW w:w="9279" w:type="dxa"/>
        <w:jc w:val="center"/>
        <w:tblCellSpacing w:w="0" w:type="dxa"/>
        <w:tblLayout w:type="fixed"/>
        <w:tblCellMar>
          <w:top w:w="0" w:type="dxa"/>
          <w:left w:w="108" w:type="dxa"/>
          <w:bottom w:w="0" w:type="dxa"/>
          <w:right w:w="108" w:type="dxa"/>
        </w:tblCellMar>
      </w:tblPr>
      <w:tblGrid>
        <w:gridCol w:w="718"/>
        <w:gridCol w:w="5530"/>
        <w:gridCol w:w="3031"/>
      </w:tblGrid>
      <w:tr w14:paraId="724948DC">
        <w:tblPrEx>
          <w:tblCellMar>
            <w:top w:w="0" w:type="dxa"/>
            <w:left w:w="108" w:type="dxa"/>
            <w:bottom w:w="0" w:type="dxa"/>
            <w:right w:w="108" w:type="dxa"/>
          </w:tblCellMar>
        </w:tblPrEx>
        <w:trPr>
          <w:trHeight w:val="605" w:hRule="atLeast"/>
          <w:tblCellSpacing w:w="0" w:type="dxa"/>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07509C52">
            <w:pPr>
              <w:pStyle w:val="225"/>
              <w:keepNext w:val="0"/>
              <w:keepLines w:val="0"/>
              <w:suppressLineNumbers w:val="0"/>
              <w:spacing w:before="0" w:beforeAutospacing="0" w:after="0" w:afterAutospacing="0" w:line="0" w:lineRule="atLeast"/>
              <w:ind w:left="0" w:right="0"/>
              <w:jc w:val="center"/>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序号</w:t>
            </w:r>
          </w:p>
        </w:tc>
        <w:tc>
          <w:tcPr>
            <w:tcW w:w="5530" w:type="dxa"/>
            <w:tcBorders>
              <w:top w:val="single" w:color="000000" w:sz="4" w:space="0"/>
              <w:left w:val="single" w:color="000000" w:sz="4" w:space="0"/>
              <w:bottom w:val="single" w:color="000000" w:sz="4" w:space="0"/>
              <w:right w:val="single" w:color="000000" w:sz="4" w:space="0"/>
            </w:tcBorders>
            <w:noWrap w:val="0"/>
            <w:vAlign w:val="center"/>
          </w:tcPr>
          <w:p w14:paraId="7CC133DA">
            <w:pPr>
              <w:pStyle w:val="225"/>
              <w:keepNext w:val="0"/>
              <w:keepLines w:val="0"/>
              <w:suppressLineNumbers w:val="0"/>
              <w:spacing w:before="0" w:beforeAutospacing="0" w:after="0" w:afterAutospacing="0" w:line="0" w:lineRule="atLeast"/>
              <w:ind w:left="0" w:right="0"/>
              <w:jc w:val="center"/>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采购标的</w:t>
            </w:r>
          </w:p>
        </w:tc>
        <w:tc>
          <w:tcPr>
            <w:tcW w:w="3031" w:type="dxa"/>
            <w:tcBorders>
              <w:top w:val="single" w:color="000000" w:sz="4" w:space="0"/>
              <w:left w:val="single" w:color="000000" w:sz="4" w:space="0"/>
              <w:bottom w:val="single" w:color="000000" w:sz="4" w:space="0"/>
              <w:right w:val="single" w:color="000000" w:sz="4" w:space="0"/>
            </w:tcBorders>
            <w:noWrap w:val="0"/>
            <w:vAlign w:val="center"/>
          </w:tcPr>
          <w:p w14:paraId="3C2FB4E3">
            <w:pPr>
              <w:pStyle w:val="225"/>
              <w:keepNext w:val="0"/>
              <w:keepLines w:val="0"/>
              <w:suppressLineNumbers w:val="0"/>
              <w:spacing w:before="0" w:beforeAutospacing="0" w:after="0" w:afterAutospacing="0" w:line="0" w:lineRule="atLeast"/>
              <w:ind w:left="0" w:right="0"/>
              <w:jc w:val="center"/>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对应中小企业划分标准所属行业</w:t>
            </w:r>
          </w:p>
        </w:tc>
      </w:tr>
      <w:tr w14:paraId="6B65920C">
        <w:tblPrEx>
          <w:tblCellMar>
            <w:top w:w="0" w:type="dxa"/>
            <w:left w:w="108" w:type="dxa"/>
            <w:bottom w:w="0" w:type="dxa"/>
            <w:right w:w="108" w:type="dxa"/>
          </w:tblCellMar>
        </w:tblPrEx>
        <w:trPr>
          <w:trHeight w:val="605" w:hRule="atLeast"/>
          <w:tblCellSpacing w:w="0" w:type="dxa"/>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13D0E058">
            <w:pPr>
              <w:pStyle w:val="225"/>
              <w:keepNext w:val="0"/>
              <w:keepLines w:val="0"/>
              <w:suppressLineNumbers w:val="0"/>
              <w:spacing w:before="0" w:beforeAutospacing="0" w:after="0" w:afterAutospacing="0" w:line="0" w:lineRule="atLeast"/>
              <w:ind w:left="0" w:right="0"/>
              <w:jc w:val="center"/>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1</w:t>
            </w:r>
          </w:p>
        </w:tc>
        <w:tc>
          <w:tcPr>
            <w:tcW w:w="5530" w:type="dxa"/>
            <w:tcBorders>
              <w:top w:val="single" w:color="000000" w:sz="4" w:space="0"/>
              <w:left w:val="single" w:color="000000" w:sz="4" w:space="0"/>
              <w:bottom w:val="single" w:color="000000" w:sz="4" w:space="0"/>
              <w:right w:val="single" w:color="000000" w:sz="4" w:space="0"/>
            </w:tcBorders>
            <w:noWrap w:val="0"/>
            <w:vAlign w:val="center"/>
          </w:tcPr>
          <w:p w14:paraId="6ADB49DC">
            <w:pPr>
              <w:pStyle w:val="225"/>
              <w:keepNext w:val="0"/>
              <w:keepLines w:val="0"/>
              <w:suppressLineNumbers w:val="0"/>
              <w:spacing w:before="0" w:beforeAutospacing="0" w:after="0" w:afterAutospacing="0" w:line="0" w:lineRule="atLeast"/>
              <w:ind w:left="0" w:right="0"/>
              <w:jc w:val="center"/>
              <w:rPr>
                <w:rFonts w:hint="eastAsia" w:ascii="宋体" w:hAnsi="宋体" w:eastAsia="宋体" w:cs="宋体"/>
                <w:color w:val="auto"/>
                <w:sz w:val="24"/>
                <w:szCs w:val="24"/>
                <w:highlight w:val="none"/>
                <w:u w:val="none"/>
                <w:shd w:val="clear" w:color="auto" w:fill="auto"/>
                <w:lang w:eastAsia="zh-CN"/>
              </w:rPr>
            </w:pPr>
            <w:r>
              <w:rPr>
                <w:rFonts w:hint="eastAsia" w:ascii="宋体" w:hAnsi="宋体" w:cs="宋体"/>
                <w:color w:val="auto"/>
                <w:sz w:val="24"/>
                <w:szCs w:val="24"/>
                <w:highlight w:val="none"/>
                <w:u w:val="none"/>
                <w:shd w:val="clear" w:color="auto" w:fill="auto"/>
                <w:lang w:eastAsia="zh-CN"/>
              </w:rPr>
              <w:t>江苏省盐城技师学院</w:t>
            </w:r>
            <w:r>
              <w:rPr>
                <w:rFonts w:hint="eastAsia" w:ascii="宋体" w:hAnsi="宋体" w:cs="宋体"/>
                <w:color w:val="auto"/>
                <w:sz w:val="24"/>
                <w:szCs w:val="24"/>
                <w:highlight w:val="none"/>
                <w:u w:val="none"/>
                <w:shd w:val="clear" w:color="auto" w:fill="auto"/>
                <w:lang w:val="en-US" w:eastAsia="zh-CN"/>
              </w:rPr>
              <w:t>智慧物流实训中心</w:t>
            </w:r>
            <w:r>
              <w:rPr>
                <w:rFonts w:hint="eastAsia" w:ascii="宋体" w:hAnsi="宋体" w:cs="宋体"/>
                <w:color w:val="auto"/>
                <w:sz w:val="24"/>
                <w:szCs w:val="24"/>
                <w:highlight w:val="none"/>
                <w:u w:val="none"/>
                <w:shd w:val="clear" w:color="auto" w:fill="auto"/>
                <w:lang w:eastAsia="zh-CN"/>
              </w:rPr>
              <w:t>采购项目</w:t>
            </w:r>
          </w:p>
        </w:tc>
        <w:tc>
          <w:tcPr>
            <w:tcW w:w="3031" w:type="dxa"/>
            <w:tcBorders>
              <w:top w:val="single" w:color="000000" w:sz="4" w:space="0"/>
              <w:left w:val="single" w:color="000000" w:sz="4" w:space="0"/>
              <w:bottom w:val="single" w:color="000000" w:sz="4" w:space="0"/>
              <w:right w:val="single" w:color="000000" w:sz="4" w:space="0"/>
            </w:tcBorders>
            <w:noWrap w:val="0"/>
            <w:vAlign w:val="center"/>
          </w:tcPr>
          <w:p w14:paraId="3B5F67CF">
            <w:pPr>
              <w:pStyle w:val="225"/>
              <w:keepNext w:val="0"/>
              <w:keepLines w:val="0"/>
              <w:suppressLineNumbers w:val="0"/>
              <w:spacing w:before="0" w:beforeAutospacing="0" w:after="0" w:afterAutospacing="0" w:line="0" w:lineRule="atLeast"/>
              <w:ind w:left="0" w:right="0"/>
              <w:jc w:val="center"/>
              <w:rPr>
                <w:rFonts w:hint="eastAsia" w:ascii="宋体" w:hAnsi="宋体" w:eastAsia="宋体" w:cs="宋体"/>
                <w:color w:val="auto"/>
                <w:sz w:val="24"/>
                <w:szCs w:val="24"/>
                <w:highlight w:val="none"/>
                <w:u w:val="none"/>
                <w:shd w:val="clear" w:color="auto" w:fill="auto"/>
                <w:lang w:eastAsia="zh-CN"/>
              </w:rPr>
            </w:pPr>
            <w:r>
              <w:rPr>
                <w:rFonts w:hint="eastAsia" w:ascii="宋体" w:hAnsi="宋体" w:cs="宋体"/>
                <w:color w:val="auto"/>
                <w:sz w:val="24"/>
                <w:szCs w:val="24"/>
                <w:highlight w:val="none"/>
                <w:u w:val="none"/>
                <w:shd w:val="clear" w:color="auto" w:fill="auto"/>
                <w:lang w:val="en-US" w:eastAsia="zh-CN"/>
              </w:rPr>
              <w:t>工</w:t>
            </w:r>
            <w:r>
              <w:rPr>
                <w:rFonts w:hint="eastAsia" w:ascii="宋体" w:hAnsi="宋体" w:cs="宋体"/>
                <w:color w:val="auto"/>
                <w:sz w:val="24"/>
                <w:szCs w:val="24"/>
                <w:highlight w:val="none"/>
                <w:u w:val="none"/>
                <w:shd w:val="clear" w:color="auto" w:fill="auto"/>
                <w:lang w:eastAsia="zh-CN"/>
              </w:rPr>
              <w:t>业</w:t>
            </w:r>
          </w:p>
        </w:tc>
      </w:tr>
    </w:tbl>
    <w:p w14:paraId="689116D1">
      <w:pPr>
        <w:pStyle w:val="207"/>
        <w:rPr>
          <w:rFonts w:hint="eastAsia"/>
          <w:color w:val="auto"/>
        </w:rPr>
      </w:pPr>
    </w:p>
    <w:p w14:paraId="48BB2E41">
      <w:pPr>
        <w:pStyle w:val="207"/>
        <w:rPr>
          <w:rFonts w:hint="eastAsia"/>
          <w:color w:val="auto"/>
        </w:rPr>
      </w:pPr>
    </w:p>
    <w:p w14:paraId="24DD906C">
      <w:pPr>
        <w:pStyle w:val="207"/>
        <w:rPr>
          <w:rFonts w:hint="eastAsia"/>
          <w:color w:val="auto"/>
        </w:rPr>
      </w:pPr>
    </w:p>
    <w:p w14:paraId="26BD4839">
      <w:pPr>
        <w:pStyle w:val="207"/>
        <w:rPr>
          <w:color w:val="auto"/>
        </w:rPr>
      </w:pPr>
      <w:r>
        <w:rPr>
          <w:rFonts w:hint="eastAsia"/>
          <w:color w:val="auto"/>
        </w:rPr>
        <w:t>第五章 评标方法与评标标准</w:t>
      </w:r>
      <w:bookmarkEnd w:id="169"/>
    </w:p>
    <w:p w14:paraId="5E03A333">
      <w:pPr>
        <w:pStyle w:val="34"/>
        <w:spacing w:beforeAutospacing="0" w:afterAutospacing="0"/>
        <w:jc w:val="both"/>
        <w:rPr>
          <w:rFonts w:hint="eastAsia" w:eastAsiaTheme="minorEastAsia"/>
          <w:color w:val="auto"/>
          <w:lang w:eastAsia="zh-CN"/>
        </w:rPr>
      </w:pPr>
    </w:p>
    <w:p w14:paraId="5FC7B471">
      <w:pPr>
        <w:spacing w:line="360" w:lineRule="auto"/>
        <w:ind w:firstLine="482"/>
        <w:rPr>
          <w:rFonts w:ascii="宋体" w:hAnsi="宋体" w:eastAsia="宋体" w:cs="宋体"/>
          <w:b/>
          <w:bCs/>
          <w:color w:val="auto"/>
          <w:sz w:val="24"/>
        </w:rPr>
      </w:pPr>
      <w:r>
        <w:rPr>
          <w:rFonts w:hint="eastAsia" w:ascii="宋体" w:hAnsi="宋体" w:eastAsia="宋体" w:cs="宋体"/>
          <w:b/>
          <w:bCs/>
          <w:color w:val="auto"/>
          <w:sz w:val="24"/>
        </w:rPr>
        <w:t>一、定标原则</w:t>
      </w:r>
    </w:p>
    <w:p w14:paraId="78C05DEC">
      <w:pPr>
        <w:spacing w:line="360" w:lineRule="auto"/>
        <w:ind w:firstLine="480"/>
        <w:rPr>
          <w:rFonts w:ascii="宋体" w:hAnsi="宋体" w:eastAsia="宋体" w:cs="宋体"/>
          <w:color w:val="auto"/>
          <w:sz w:val="24"/>
        </w:rPr>
      </w:pPr>
      <w:r>
        <w:rPr>
          <w:rFonts w:hint="eastAsia" w:ascii="宋体" w:hAnsi="宋体" w:eastAsia="宋体" w:cs="宋体"/>
          <w:bCs/>
          <w:color w:val="auto"/>
          <w:sz w:val="24"/>
        </w:rPr>
        <w:t>本项目采用</w:t>
      </w:r>
      <w:r>
        <w:rPr>
          <w:rFonts w:hint="eastAsia" w:ascii="宋体" w:hAnsi="宋体" w:eastAsia="宋体" w:cs="宋体"/>
          <w:bCs/>
          <w:color w:val="auto"/>
          <w:sz w:val="24"/>
          <w:u w:val="single"/>
        </w:rPr>
        <w:t xml:space="preserve"> 综合评分 </w:t>
      </w:r>
      <w:r>
        <w:rPr>
          <w:rFonts w:hint="eastAsia" w:ascii="宋体" w:hAnsi="宋体" w:eastAsia="宋体" w:cs="宋体"/>
          <w:bCs/>
          <w:color w:val="auto"/>
          <w:sz w:val="24"/>
        </w:rPr>
        <w:t>法。</w:t>
      </w:r>
      <w:r>
        <w:rPr>
          <w:rFonts w:hint="eastAsia" w:ascii="宋体" w:hAnsi="宋体" w:eastAsia="宋体" w:cs="宋体"/>
          <w:color w:val="auto"/>
          <w:sz w:val="24"/>
        </w:rPr>
        <w:t>评标结果按评审后得分由高到低顺序排列。得分相同的，按投标报价由低到高顺序排列。得分且投标报价相同的</w:t>
      </w:r>
      <w:r>
        <w:rPr>
          <w:rFonts w:hint="eastAsia" w:ascii="宋体" w:hAnsi="宋体" w:eastAsia="宋体" w:cs="宋体"/>
          <w:color w:val="auto"/>
          <w:sz w:val="24"/>
          <w:szCs w:val="21"/>
        </w:rPr>
        <w:t>，由评标委员会组织通过抽签的方式确定中标候选人的排序</w:t>
      </w:r>
      <w:r>
        <w:rPr>
          <w:rFonts w:hint="eastAsia" w:ascii="宋体" w:hAnsi="宋体" w:eastAsia="宋体" w:cs="宋体"/>
          <w:color w:val="auto"/>
          <w:sz w:val="24"/>
        </w:rPr>
        <w:t>。投标文件满足招标文件全部实质性要求，且按照评审因素的量化指标评审得分最高的投标人为排名第一的中标候选人，本项目选取1名中标候选人。</w:t>
      </w:r>
    </w:p>
    <w:p w14:paraId="06F381BD">
      <w:pPr>
        <w:pStyle w:val="34"/>
        <w:keepNext w:val="0"/>
        <w:keepLines w:val="0"/>
        <w:pageBreakBefore w:val="0"/>
        <w:widowControl w:val="0"/>
        <w:spacing w:before="120" w:beforeAutospacing="0" w:after="120" w:afterAutospacing="0" w:line="340" w:lineRule="exact"/>
        <w:ind w:firstLine="441"/>
        <w:rPr>
          <w:rFonts w:ascii="宋体" w:hAnsi="宋体" w:eastAsia="宋体" w:cs="宋体"/>
          <w:color w:val="auto"/>
          <w:sz w:val="21"/>
          <w:szCs w:val="21"/>
        </w:rPr>
      </w:pPr>
      <w:r>
        <w:rPr>
          <w:rFonts w:hint="eastAsia" w:ascii="宋体" w:hAnsi="宋体" w:eastAsia="宋体" w:cs="宋体"/>
          <w:b/>
          <w:color w:val="auto"/>
          <w:sz w:val="21"/>
          <w:szCs w:val="21"/>
        </w:rPr>
        <w:t>政府采购政策功能落实</w:t>
      </w:r>
    </w:p>
    <w:p w14:paraId="36A5C5F6">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1、小微型企业</w:t>
      </w:r>
    </w:p>
    <w:p w14:paraId="2B7DCF66">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（1）本项目专门面向中小企业采购，不再对小型和微型企业服务给予价格扣除。</w:t>
      </w:r>
    </w:p>
    <w:p w14:paraId="4A9492A9">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（2）供应商需按照采购文件的要求提供相应的《</w:t>
      </w:r>
      <w:r>
        <w:rPr>
          <w:rFonts w:hint="eastAsia" w:ascii="宋体" w:hAnsi="宋体" w:cs="宋体"/>
          <w:color w:val="auto"/>
          <w:sz w:val="24"/>
          <w:lang w:val="en-US" w:eastAsia="zh-CN"/>
        </w:rPr>
        <w:t>中小</w:t>
      </w:r>
      <w:r>
        <w:rPr>
          <w:rFonts w:hint="eastAsia" w:ascii="宋体" w:hAnsi="宋体" w:cs="宋体"/>
          <w:color w:val="auto"/>
          <w:sz w:val="24"/>
        </w:rPr>
        <w:t>企业声明函》。</w:t>
      </w:r>
    </w:p>
    <w:p w14:paraId="1972F876">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（3）企业标准请参照《关于印发中小企业划型标准规定的通知》（工信部联企业[2011]300号）文件规定自行填写。</w:t>
      </w:r>
    </w:p>
    <w:p w14:paraId="2596C0E4">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2、残疾人福利单位</w:t>
      </w:r>
    </w:p>
    <w:p w14:paraId="316599AE">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（1）本项目对残疾人福利性单位视同小型、微型企业。</w:t>
      </w:r>
    </w:p>
    <w:p w14:paraId="7416A561">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（2）残疾人福利单位标准请参照《关于促进残疾人就业政府采购政策的通知》（财库〔2017〕141号），需提供《残疾人福利性单位声明函》。</w:t>
      </w:r>
    </w:p>
    <w:p w14:paraId="59476E4B">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3、监狱和戒毒企业</w:t>
      </w:r>
    </w:p>
    <w:p w14:paraId="51FD7369">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（1）本项目对监狱和戒毒企业（简称监狱企业）视同小型、微型企业。</w:t>
      </w:r>
    </w:p>
    <w:p w14:paraId="3FD289A5">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（2）监狱企业参加政府采购活动时，需提供由省级以上监狱管理局、戒毒管理局(含新疆生产建设兵团)出具的属于监狱企业的证明文件。</w:t>
      </w:r>
    </w:p>
    <w:p w14:paraId="004F62E6">
      <w:pPr>
        <w:keepNext w:val="0"/>
        <w:keepLines w:val="0"/>
        <w:pageBreakBefore w:val="0"/>
        <w:widowControl w:val="0"/>
        <w:spacing w:line="440" w:lineRule="exact"/>
        <w:ind w:firstLine="482"/>
        <w:rPr>
          <w:rFonts w:ascii="宋体" w:hAnsi="宋体" w:cs="宋体"/>
          <w:color w:val="auto"/>
          <w:sz w:val="24"/>
        </w:rPr>
      </w:pPr>
      <w:r>
        <w:rPr>
          <w:rFonts w:hint="eastAsia" w:ascii="宋体" w:hAnsi="宋体" w:cs="宋体"/>
          <w:color w:val="auto"/>
          <w:sz w:val="24"/>
        </w:rPr>
        <w:t>（3）监狱企业标准请参照《关于政府采购支持监狱企业发展有关问题的通知》（财库[2014]68号）。</w:t>
      </w:r>
    </w:p>
    <w:p w14:paraId="5E06E7EE">
      <w:pPr>
        <w:pStyle w:val="34"/>
        <w:keepNext w:val="0"/>
        <w:keepLines w:val="0"/>
        <w:pageBreakBefore w:val="0"/>
        <w:spacing w:beforeAutospacing="0" w:afterAutospacing="0" w:line="440" w:lineRule="exact"/>
        <w:ind w:firstLine="480"/>
        <w:jc w:val="both"/>
        <w:rPr>
          <w:rFonts w:hint="eastAsia" w:ascii="宋体" w:hAnsi="宋体" w:cs="宋体"/>
          <w:color w:val="auto"/>
          <w:sz w:val="24"/>
        </w:rPr>
      </w:pPr>
      <w:r>
        <w:rPr>
          <w:rFonts w:hint="eastAsia" w:ascii="宋体" w:hAnsi="宋体" w:cs="宋体"/>
          <w:color w:val="auto"/>
          <w:sz w:val="24"/>
        </w:rPr>
        <w:t>4、残疾人福利单位、监狱企业属于小型、微型企业的，不重复享受政策。</w:t>
      </w:r>
    </w:p>
    <w:p w14:paraId="4326D45B">
      <w:pPr>
        <w:keepNext w:val="0"/>
        <w:keepLines w:val="0"/>
        <w:pageBreakBefore w:val="0"/>
        <w:widowControl/>
        <w:spacing w:line="440" w:lineRule="exact"/>
        <w:ind w:firstLine="482"/>
        <w:jc w:val="left"/>
        <w:rPr>
          <w:rFonts w:ascii="宋体" w:hAnsi="宋体" w:eastAsia="宋体" w:cs="宋体"/>
          <w:color w:val="auto"/>
          <w:sz w:val="24"/>
        </w:rPr>
      </w:pPr>
      <w:r>
        <w:rPr>
          <w:rFonts w:hint="eastAsia" w:ascii="宋体" w:hAnsi="宋体" w:eastAsia="宋体" w:cs="宋体"/>
          <w:color w:val="auto"/>
          <w:sz w:val="24"/>
        </w:rPr>
        <w:t>5、采购本国产品的支持政策</w:t>
      </w:r>
    </w:p>
    <w:p w14:paraId="3081439D">
      <w:pPr>
        <w:keepNext w:val="0"/>
        <w:keepLines w:val="0"/>
        <w:pageBreakBefore w:val="0"/>
        <w:widowControl/>
        <w:spacing w:line="440" w:lineRule="exact"/>
        <w:ind w:firstLine="482"/>
        <w:jc w:val="left"/>
        <w:rPr>
          <w:rFonts w:ascii="宋体" w:hAnsi="宋体" w:eastAsia="宋体" w:cs="宋体"/>
          <w:color w:val="auto"/>
          <w:sz w:val="24"/>
        </w:rPr>
      </w:pPr>
      <w:r>
        <w:rPr>
          <w:rFonts w:hint="eastAsia" w:ascii="宋体" w:hAnsi="宋体" w:eastAsia="宋体" w:cs="宋体"/>
          <w:color w:val="auto"/>
          <w:sz w:val="24"/>
        </w:rPr>
        <w:t>5.1 本项目政府采购活动中既有本国产品又有非本国产品参与竞争的，依法对本国产品给予价格评审优惠，对本国产品的报价给予 20%的价格扣除，用扣除后的价格参与评审。</w:t>
      </w:r>
    </w:p>
    <w:p w14:paraId="17640909">
      <w:pPr>
        <w:keepNext w:val="0"/>
        <w:keepLines w:val="0"/>
        <w:pageBreakBefore w:val="0"/>
        <w:widowControl/>
        <w:spacing w:line="440" w:lineRule="exact"/>
        <w:ind w:firstLine="482"/>
        <w:jc w:val="left"/>
        <w:rPr>
          <w:rFonts w:ascii="宋体" w:hAnsi="宋体" w:eastAsia="宋体" w:cs="宋体"/>
          <w:color w:val="auto"/>
          <w:sz w:val="24"/>
        </w:rPr>
      </w:pPr>
      <w:r>
        <w:rPr>
          <w:rFonts w:hint="eastAsia" w:ascii="宋体" w:hAnsi="宋体" w:eastAsia="宋体" w:cs="宋体"/>
          <w:color w:val="auto"/>
          <w:sz w:val="24"/>
        </w:rPr>
        <w:t>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419F8BE">
      <w:pPr>
        <w:keepNext w:val="0"/>
        <w:keepLines w:val="0"/>
        <w:pageBreakBefore w:val="0"/>
        <w:widowControl/>
        <w:spacing w:line="440" w:lineRule="exact"/>
        <w:ind w:firstLine="482"/>
        <w:jc w:val="left"/>
        <w:rPr>
          <w:rFonts w:ascii="宋体" w:hAnsi="宋体" w:eastAsia="宋体" w:cs="宋体"/>
          <w:color w:val="auto"/>
          <w:sz w:val="24"/>
        </w:rPr>
      </w:pPr>
      <w:r>
        <w:rPr>
          <w:rFonts w:hint="eastAsia" w:ascii="宋体" w:hAnsi="宋体" w:eastAsia="宋体" w:cs="宋体"/>
          <w:color w:val="auto"/>
          <w:sz w:val="24"/>
        </w:rPr>
        <w:t>5.3 供应商需按照招标文件的要求提供《关于符合本国产品标准的声明函》（以下简称《声明函》），如不提供将不享受本国产品价格评审优惠。</w:t>
      </w:r>
    </w:p>
    <w:p w14:paraId="1F0D12DB">
      <w:pPr>
        <w:keepNext w:val="0"/>
        <w:keepLines w:val="0"/>
        <w:pageBreakBefore w:val="0"/>
        <w:widowControl/>
        <w:spacing w:line="440" w:lineRule="exact"/>
        <w:ind w:firstLine="482"/>
        <w:jc w:val="left"/>
        <w:rPr>
          <w:rFonts w:ascii="宋体" w:hAnsi="宋体" w:eastAsia="宋体" w:cs="宋体"/>
          <w:color w:val="auto"/>
          <w:sz w:val="24"/>
        </w:rPr>
      </w:pPr>
      <w:r>
        <w:rPr>
          <w:rFonts w:hint="eastAsia" w:ascii="宋体" w:hAnsi="宋体" w:eastAsia="宋体" w:cs="宋体"/>
          <w:color w:val="auto"/>
          <w:sz w:val="24"/>
        </w:rPr>
        <w:t>5.4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3EB8F831">
      <w:pPr>
        <w:keepNext w:val="0"/>
        <w:keepLines w:val="0"/>
        <w:pageBreakBefore w:val="0"/>
        <w:widowControl/>
        <w:spacing w:line="440" w:lineRule="exact"/>
        <w:ind w:firstLine="482"/>
        <w:jc w:val="left"/>
        <w:rPr>
          <w:rFonts w:ascii="宋体" w:hAnsi="宋体" w:eastAsia="宋体" w:cs="宋体"/>
          <w:color w:val="auto"/>
          <w:sz w:val="24"/>
        </w:rPr>
      </w:pPr>
      <w:r>
        <w:rPr>
          <w:rFonts w:hint="eastAsia" w:ascii="宋体" w:hAnsi="宋体" w:eastAsia="宋体" w:cs="宋体"/>
          <w:color w:val="auto"/>
          <w:sz w:val="24"/>
        </w:rPr>
        <w:t>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1AE3C35">
      <w:pPr>
        <w:pStyle w:val="34"/>
        <w:keepNext w:val="0"/>
        <w:keepLines w:val="0"/>
        <w:pageBreakBefore w:val="0"/>
        <w:spacing w:beforeAutospacing="0" w:afterAutospacing="0" w:line="440" w:lineRule="exact"/>
        <w:ind w:firstLine="480"/>
        <w:jc w:val="both"/>
        <w:rPr>
          <w:rFonts w:hint="eastAsia" w:ascii="宋体" w:hAnsi="宋体" w:cs="宋体"/>
          <w:color w:val="auto"/>
          <w:sz w:val="24"/>
          <w:szCs w:val="24"/>
        </w:rPr>
      </w:pPr>
      <w:r>
        <w:rPr>
          <w:rFonts w:hint="eastAsia" w:ascii="宋体" w:hAnsi="宋体" w:eastAsia="宋体" w:cs="宋体"/>
          <w:color w:val="auto"/>
          <w:sz w:val="24"/>
        </w:rPr>
        <w:t>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rPr>
        <w:t>如属政府强制采购产品未提供认证证书的或认证证书提供不全的将视为未实质性响应采购要求</w:t>
      </w:r>
      <w:r>
        <w:rPr>
          <w:rFonts w:hint="eastAsia" w:ascii="宋体" w:hAnsi="宋体" w:eastAsia="宋体" w:cs="宋体"/>
          <w:color w:val="auto"/>
          <w:sz w:val="24"/>
        </w:rPr>
        <w:t>。其他条件相同情况下，应当优先采购节能产品、环境标志产品。</w:t>
      </w:r>
    </w:p>
    <w:p w14:paraId="51D9B618">
      <w:pPr>
        <w:keepNext w:val="0"/>
        <w:keepLines w:val="0"/>
        <w:pageBreakBefore w:val="0"/>
        <w:widowControl w:val="0"/>
        <w:spacing w:line="340" w:lineRule="exact"/>
        <w:ind w:firstLine="420"/>
        <w:rPr>
          <w:rFonts w:hint="eastAsia" w:ascii="宋体" w:hAnsi="宋体" w:eastAsia="宋体" w:cs="宋体"/>
          <w:b/>
          <w:color w:val="auto"/>
          <w:sz w:val="28"/>
          <w:szCs w:val="28"/>
          <w:lang w:eastAsia="zh-CN"/>
        </w:rPr>
      </w:pPr>
    </w:p>
    <w:p w14:paraId="7ECF0FFC">
      <w:pPr>
        <w:keepNext w:val="0"/>
        <w:keepLines w:val="0"/>
        <w:pageBreakBefore w:val="0"/>
        <w:widowControl w:val="0"/>
        <w:spacing w:line="340" w:lineRule="exact"/>
        <w:ind w:firstLine="420"/>
        <w:rPr>
          <w:rFonts w:hint="eastAsia" w:ascii="宋体" w:hAnsi="宋体" w:eastAsia="宋体" w:cs="宋体"/>
          <w:b/>
          <w:color w:val="auto"/>
          <w:sz w:val="28"/>
          <w:szCs w:val="28"/>
          <w:lang w:eastAsia="zh-CN"/>
        </w:rPr>
      </w:pPr>
    </w:p>
    <w:p w14:paraId="5F42784E">
      <w:pPr>
        <w:keepNext w:val="0"/>
        <w:keepLines w:val="0"/>
        <w:pageBreakBefore w:val="0"/>
        <w:widowControl w:val="0"/>
        <w:spacing w:line="340" w:lineRule="exact"/>
        <w:ind w:firstLine="420"/>
        <w:rPr>
          <w:rFonts w:hint="eastAsia" w:ascii="宋体" w:hAnsi="宋体" w:eastAsia="宋体" w:cs="宋体"/>
          <w:b/>
          <w:color w:val="auto"/>
          <w:sz w:val="28"/>
          <w:szCs w:val="28"/>
          <w:lang w:eastAsia="zh-CN"/>
        </w:rPr>
      </w:pPr>
    </w:p>
    <w:p w14:paraId="45D20F9C">
      <w:pPr>
        <w:keepNext w:val="0"/>
        <w:keepLines w:val="0"/>
        <w:pageBreakBefore w:val="0"/>
        <w:widowControl w:val="0"/>
        <w:spacing w:line="340" w:lineRule="exact"/>
        <w:ind w:firstLine="420"/>
        <w:rPr>
          <w:rFonts w:hint="eastAsia" w:ascii="宋体" w:hAnsi="宋体" w:eastAsia="宋体" w:cs="宋体"/>
          <w:color w:val="auto"/>
          <w:sz w:val="24"/>
          <w:szCs w:val="24"/>
          <w:lang w:eastAsia="zh-CN"/>
        </w:rPr>
      </w:pPr>
      <w:r>
        <w:rPr>
          <w:rFonts w:hint="eastAsia" w:ascii="宋体" w:hAnsi="宋体" w:eastAsia="宋体" w:cs="宋体"/>
          <w:b/>
          <w:color w:val="auto"/>
          <w:sz w:val="28"/>
          <w:szCs w:val="28"/>
          <w:lang w:eastAsia="zh-CN"/>
        </w:rPr>
        <w:t>（</w:t>
      </w:r>
      <w:r>
        <w:rPr>
          <w:rFonts w:hint="eastAsia" w:ascii="宋体" w:hAnsi="宋体" w:eastAsia="宋体" w:cs="宋体"/>
          <w:b/>
          <w:color w:val="auto"/>
          <w:sz w:val="28"/>
          <w:szCs w:val="28"/>
          <w:lang w:val="en-US" w:eastAsia="zh-CN"/>
        </w:rPr>
        <w:t>分包一</w:t>
      </w:r>
      <w:r>
        <w:rPr>
          <w:rFonts w:hint="eastAsia" w:ascii="宋体" w:hAnsi="宋体" w:eastAsia="宋体" w:cs="宋体"/>
          <w:b/>
          <w:color w:val="auto"/>
          <w:sz w:val="28"/>
          <w:szCs w:val="28"/>
          <w:lang w:eastAsia="zh-CN"/>
        </w:rPr>
        <w:t>）</w:t>
      </w:r>
    </w:p>
    <w:p w14:paraId="1EDB648F">
      <w:pPr>
        <w:pStyle w:val="34"/>
        <w:numPr>
          <w:ilvl w:val="0"/>
          <w:numId w:val="11"/>
        </w:numPr>
        <w:spacing w:before="120" w:beforeAutospacing="0" w:after="120" w:afterAutospacing="0" w:line="0" w:lineRule="atLeast"/>
        <w:ind w:firstLine="4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评标标准</w:t>
      </w:r>
    </w:p>
    <w:tbl>
      <w:tblPr>
        <w:tblStyle w:val="40"/>
        <w:tblW w:w="92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246"/>
        <w:gridCol w:w="1017"/>
        <w:gridCol w:w="6344"/>
      </w:tblGrid>
      <w:tr w14:paraId="76EEB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jc w:val="center"/>
        </w:trPr>
        <w:tc>
          <w:tcPr>
            <w:tcW w:w="658" w:type="dxa"/>
            <w:noWrap/>
            <w:vAlign w:val="center"/>
          </w:tcPr>
          <w:p w14:paraId="6B74D4E8">
            <w:pPr>
              <w:keepNext w:val="0"/>
              <w:keepLines w:val="0"/>
              <w:pageBreakBefore w:val="0"/>
              <w:widowControl/>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序号</w:t>
            </w:r>
          </w:p>
        </w:tc>
        <w:tc>
          <w:tcPr>
            <w:tcW w:w="1246" w:type="dxa"/>
            <w:noWrap/>
            <w:vAlign w:val="center"/>
          </w:tcPr>
          <w:p w14:paraId="7FF95B0B">
            <w:pPr>
              <w:keepNext w:val="0"/>
              <w:keepLines w:val="0"/>
              <w:pageBreakBefore w:val="0"/>
              <w:widowControl/>
              <w:suppressLineNumbers w:val="0"/>
              <w:spacing w:before="0" w:beforeAutospacing="0" w:after="0" w:afterAutospacing="0" w:line="32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评审项目</w:t>
            </w:r>
          </w:p>
        </w:tc>
        <w:tc>
          <w:tcPr>
            <w:tcW w:w="1017" w:type="dxa"/>
            <w:noWrap/>
            <w:vAlign w:val="center"/>
          </w:tcPr>
          <w:p w14:paraId="50EA5B6B">
            <w:pPr>
              <w:keepNext w:val="0"/>
              <w:keepLines w:val="0"/>
              <w:pageBreakBefore w:val="0"/>
              <w:widowControl/>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分值</w:t>
            </w:r>
          </w:p>
        </w:tc>
        <w:tc>
          <w:tcPr>
            <w:tcW w:w="6344" w:type="dxa"/>
            <w:noWrap/>
            <w:vAlign w:val="center"/>
          </w:tcPr>
          <w:p w14:paraId="75464FC1">
            <w:pPr>
              <w:keepNext w:val="0"/>
              <w:keepLines w:val="0"/>
              <w:pageBreakBefore w:val="0"/>
              <w:widowControl/>
              <w:suppressLineNumbers w:val="0"/>
              <w:spacing w:before="0" w:beforeAutospacing="0" w:after="0" w:afterAutospacing="0" w:line="32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评审细则</w:t>
            </w:r>
          </w:p>
        </w:tc>
      </w:tr>
      <w:tr w14:paraId="4526F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noWrap/>
            <w:vAlign w:val="center"/>
          </w:tcPr>
          <w:p w14:paraId="42C2479B">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46" w:type="dxa"/>
            <w:noWrap/>
            <w:vAlign w:val="center"/>
          </w:tcPr>
          <w:p w14:paraId="24C6DD69">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1017" w:type="dxa"/>
            <w:noWrap/>
            <w:vAlign w:val="center"/>
          </w:tcPr>
          <w:p w14:paraId="463FAB21">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p>
        </w:tc>
        <w:tc>
          <w:tcPr>
            <w:tcW w:w="6344" w:type="dxa"/>
            <w:noWrap/>
            <w:vAlign w:val="top"/>
          </w:tcPr>
          <w:p w14:paraId="4DF8E96E">
            <w:pPr>
              <w:keepNext w:val="0"/>
              <w:keepLines w:val="0"/>
              <w:pageBreakBefore w:val="0"/>
              <w:widowControl w:val="0"/>
              <w:suppressLineNumbers w:val="0"/>
              <w:spacing w:before="0" w:beforeAutospacing="0" w:after="0" w:afterAutospacing="0" w:line="320" w:lineRule="exact"/>
              <w:ind w:left="0" w:righ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采用低价优先法，即满足招标文件要求且投标价格最低的有效投标报价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有效投标报价为未被评标委员会判定为无效标的投标文件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为评标基准价，其价格分为满分。</w:t>
            </w:r>
          </w:p>
          <w:p w14:paraId="657EFA6C">
            <w:pPr>
              <w:keepNext w:val="0"/>
              <w:keepLines w:val="0"/>
              <w:pageBreakBefore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其他投标人的价格分统一按下列公式计算：投标报价得分＝（评标基准价/投标报价）×</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（小数点保留两位）。</w:t>
            </w:r>
          </w:p>
        </w:tc>
      </w:tr>
      <w:tr w14:paraId="306FC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noWrap/>
            <w:vAlign w:val="center"/>
          </w:tcPr>
          <w:p w14:paraId="48493253">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246" w:type="dxa"/>
            <w:noWrap/>
            <w:vAlign w:val="center"/>
          </w:tcPr>
          <w:p w14:paraId="1A0F8FE4">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业绩</w:t>
            </w:r>
          </w:p>
        </w:tc>
        <w:tc>
          <w:tcPr>
            <w:tcW w:w="1017" w:type="dxa"/>
            <w:noWrap/>
            <w:vAlign w:val="center"/>
          </w:tcPr>
          <w:p w14:paraId="6B5F4188">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c>
          <w:tcPr>
            <w:tcW w:w="6344" w:type="dxa"/>
            <w:noWrap/>
            <w:vAlign w:val="center"/>
          </w:tcPr>
          <w:p w14:paraId="00E68853">
            <w:pPr>
              <w:keepNext w:val="0"/>
              <w:keepLines w:val="0"/>
              <w:pageBreakBefore w:val="0"/>
              <w:widowControl w:val="0"/>
              <w:suppressLineNumbers w:val="0"/>
              <w:spacing w:before="0" w:beforeAutospacing="0" w:after="0" w:afterAutospacing="0" w:line="320" w:lineRule="exact"/>
              <w:ind w:left="0" w:righ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投标人或产品制造商自2022年1月1日（以合同签订时间为准）以来，承担过与本项目核心内容类似的项目业绩【类似项目指：1、仪表自动控制类，如：过程控制（液位 / 流量 / 压力 / 温度）实训装置，2、智能检测、传感控制类，如：工业传感器综合检测实训平台3、化工设备检修、化工工艺实训类，如：设备拆装维修】的，每有一项得2分，本项最高得6分。不提供不得分。</w:t>
            </w:r>
          </w:p>
          <w:p w14:paraId="35676DEC">
            <w:pPr>
              <w:keepNext w:val="0"/>
              <w:keepLines w:val="0"/>
              <w:pageBreakBefore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需提供业绩合同关键页（清晰体现签订时间、标的物、甲乙双方盖章）；若合同对核心设备或系统集成内容表述不够清晰，可额外补充提供加盖公章的技术适配说明、项目验收报告或经采购方确认的供货清单作为佐证。</w:t>
            </w:r>
          </w:p>
        </w:tc>
      </w:tr>
      <w:tr w14:paraId="07A77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noWrap/>
            <w:vAlign w:val="center"/>
          </w:tcPr>
          <w:p w14:paraId="5246E226">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246" w:type="dxa"/>
            <w:noWrap/>
            <w:vAlign w:val="center"/>
          </w:tcPr>
          <w:p w14:paraId="27B47B54">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技术参数</w:t>
            </w:r>
            <w:r>
              <w:rPr>
                <w:rFonts w:hint="eastAsia" w:ascii="宋体" w:hAnsi="宋体" w:eastAsia="宋体" w:cs="宋体"/>
                <w:color w:val="auto"/>
                <w:sz w:val="21"/>
                <w:szCs w:val="21"/>
                <w:highlight w:val="none"/>
                <w:lang w:val="en-US" w:eastAsia="zh-CN"/>
              </w:rPr>
              <w:t>响应</w:t>
            </w:r>
          </w:p>
        </w:tc>
        <w:tc>
          <w:tcPr>
            <w:tcW w:w="1017" w:type="dxa"/>
            <w:noWrap/>
            <w:vAlign w:val="center"/>
          </w:tcPr>
          <w:p w14:paraId="0CF43EB4">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分</w:t>
            </w:r>
          </w:p>
        </w:tc>
        <w:tc>
          <w:tcPr>
            <w:tcW w:w="6344" w:type="dxa"/>
            <w:noWrap/>
            <w:vAlign w:val="center"/>
          </w:tcPr>
          <w:p w14:paraId="2F0B5565">
            <w:pPr>
              <w:keepNext w:val="0"/>
              <w:keepLines w:val="0"/>
              <w:pageBreakBefore w:val="0"/>
              <w:widowControl w:val="0"/>
              <w:suppressLineNumbers w:val="0"/>
              <w:spacing w:before="0" w:beforeAutospacing="0" w:after="0" w:afterAutospacing="0" w:line="320" w:lineRule="exact"/>
              <w:ind w:left="0" w:right="0"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rPr>
              <w:t>采购需求中</w:t>
            </w:r>
            <w:r>
              <w:rPr>
                <w:rFonts w:hint="eastAsia" w:ascii="宋体" w:hAnsi="宋体" w:eastAsia="宋体" w:cs="宋体"/>
                <w:color w:val="auto"/>
                <w:spacing w:val="0"/>
                <w:sz w:val="21"/>
                <w:szCs w:val="21"/>
                <w:highlight w:val="none"/>
              </w:rPr>
              <w:t>带</w:t>
            </w:r>
            <w:r>
              <w:rPr>
                <w:rFonts w:hint="eastAsia" w:ascii="宋体" w:hAnsi="宋体" w:eastAsia="宋体" w:cs="宋体"/>
                <w:color w:val="auto"/>
                <w:spacing w:val="0"/>
                <w:sz w:val="21"/>
                <w:szCs w:val="21"/>
                <w:highlight w:val="none"/>
                <w:lang w:eastAsia="zh-CN"/>
              </w:rPr>
              <w:t>“</w:t>
            </w:r>
            <w:r>
              <w:rPr>
                <w:rFonts w:hint="eastAsia"/>
                <w:b w:val="0"/>
                <w:bCs w:val="0"/>
                <w:strike w:val="0"/>
                <w:color w:val="auto"/>
                <w:highlight w:val="none"/>
              </w:rPr>
              <w:t>★</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的</w:t>
            </w:r>
            <w:r>
              <w:rPr>
                <w:rFonts w:hint="eastAsia" w:ascii="宋体" w:hAnsi="宋体" w:eastAsia="宋体" w:cs="宋体"/>
                <w:color w:val="auto"/>
                <w:sz w:val="21"/>
                <w:szCs w:val="21"/>
                <w:highlight w:val="none"/>
                <w:lang w:val="en-US" w:eastAsia="zh-CN" w:bidi="ar-SA"/>
              </w:rPr>
              <w:t>技术参数为重要技术指标，共3项供应商须针对该部分条款提供有效证明材料，有一项满足的得5分，本项最高加15分。</w:t>
            </w:r>
          </w:p>
          <w:p w14:paraId="51958FF4">
            <w:pPr>
              <w:keepNext w:val="0"/>
              <w:keepLines w:val="0"/>
              <w:pageBreakBefore w:val="0"/>
              <w:widowControl w:val="0"/>
              <w:suppressLineNumbers w:val="0"/>
              <w:spacing w:before="0" w:beforeAutospacing="0" w:after="0" w:afterAutospacing="0" w:line="320" w:lineRule="exact"/>
              <w:ind w:left="0" w:right="0"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注：有效证明材料形式可包括：招标文件指定的证明文件（如有）、产品官方彩页（需注明发布日期）、原厂说明书、产品技术白皮书（须由产品研发主体出具）</w:t>
            </w:r>
            <w:r>
              <w:rPr>
                <w:rFonts w:hint="eastAsia" w:ascii="宋体" w:hAnsi="宋体" w:eastAsia="宋体" w:cs="宋体"/>
                <w:color w:val="0000FF"/>
                <w:sz w:val="21"/>
                <w:szCs w:val="21"/>
                <w:highlight w:val="none"/>
                <w:lang w:val="en-US" w:eastAsia="zh-CN" w:bidi="ar-SA"/>
              </w:rPr>
              <w:t>等能够证明技术参数符合要求的材料</w:t>
            </w:r>
            <w:r>
              <w:rPr>
                <w:rFonts w:hint="eastAsia" w:ascii="宋体" w:hAnsi="宋体" w:eastAsia="宋体" w:cs="宋体"/>
                <w:color w:val="auto"/>
                <w:sz w:val="21"/>
                <w:szCs w:val="21"/>
                <w:highlight w:val="none"/>
                <w:lang w:val="en-US" w:eastAsia="zh-CN" w:bidi="ar-SA"/>
              </w:rPr>
              <w:t>或承诺在中标后合同签订前提供具备相应认证资质的第三方检测机构出具的检验报告（承诺函格式自拟，相关检测费用由中标人承担）。</w:t>
            </w:r>
          </w:p>
        </w:tc>
      </w:tr>
      <w:tr w14:paraId="4E6B3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8" w:type="dxa"/>
            <w:noWrap/>
            <w:vAlign w:val="center"/>
          </w:tcPr>
          <w:p w14:paraId="616A73AA">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246" w:type="dxa"/>
            <w:noWrap/>
            <w:vAlign w:val="center"/>
          </w:tcPr>
          <w:p w14:paraId="6A4E91A8">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视频演示</w:t>
            </w:r>
          </w:p>
        </w:tc>
        <w:tc>
          <w:tcPr>
            <w:tcW w:w="1017" w:type="dxa"/>
            <w:noWrap/>
            <w:vAlign w:val="center"/>
          </w:tcPr>
          <w:p w14:paraId="59E4438F">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24分</w:t>
            </w:r>
          </w:p>
        </w:tc>
        <w:tc>
          <w:tcPr>
            <w:tcW w:w="6344" w:type="dxa"/>
            <w:noWrap/>
            <w:vAlign w:val="center"/>
          </w:tcPr>
          <w:p w14:paraId="3E50FF47">
            <w:pPr>
              <w:pStyle w:val="213"/>
              <w:keepNext w:val="0"/>
              <w:keepLines w:val="0"/>
              <w:pageBreakBefore w:val="0"/>
              <w:widowControl w:val="0"/>
              <w:suppressLineNumbers w:val="0"/>
              <w:spacing w:before="0" w:beforeAutospacing="0" w:after="0" w:afterAutospacing="0"/>
              <w:ind w:left="0" w:right="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1.演示一（12分）</w:t>
            </w:r>
          </w:p>
          <w:p w14:paraId="13B382BB">
            <w:pPr>
              <w:keepNext w:val="0"/>
              <w:keepLines w:val="0"/>
              <w:suppressLineNumbers w:val="0"/>
              <w:spacing w:before="0" w:beforeAutospacing="0" w:after="0" w:afterAutospacing="0"/>
              <w:ind w:left="0" w:right="0" w:firstLine="420"/>
              <w:jc w:val="left"/>
              <w:rPr>
                <w:rFonts w:hint="eastAsia"/>
                <w:b w:val="0"/>
                <w:bCs w:val="0"/>
                <w:color w:val="auto"/>
                <w:highlight w:val="none"/>
              </w:rPr>
            </w:pPr>
            <w:r>
              <w:rPr>
                <w:rFonts w:hint="eastAsia" w:ascii="宋体" w:hAnsi="宋体" w:eastAsia="宋体" w:cs="宋体"/>
                <w:b w:val="0"/>
                <w:bCs/>
                <w:color w:val="auto"/>
                <w:sz w:val="21"/>
                <w:szCs w:val="21"/>
                <w:highlight w:val="none"/>
                <w:lang w:val="en-US" w:eastAsia="zh-CN"/>
              </w:rPr>
              <w:t>供应商根据本项目第四章 采购需求中“产品二：</w:t>
            </w:r>
            <w:r>
              <w:rPr>
                <w:rFonts w:hint="eastAsia"/>
                <w:b w:val="0"/>
                <w:bCs w:val="0"/>
                <w:color w:val="auto"/>
                <w:highlight w:val="none"/>
              </w:rPr>
              <w:t>仪器仪表安装调试实训台</w:t>
            </w:r>
            <w:r>
              <w:rPr>
                <w:rFonts w:hint="eastAsia"/>
                <w:b w:val="0"/>
                <w:bCs w:val="0"/>
                <w:color w:val="auto"/>
                <w:highlight w:val="none"/>
              </w:rPr>
              <w:br w:type="textWrapping"/>
            </w:r>
            <w:r>
              <w:rPr>
                <w:rFonts w:hint="eastAsia"/>
                <w:b w:val="0"/>
                <w:bCs w:val="0"/>
                <w:color w:val="auto"/>
                <w:highlight w:val="none"/>
                <w:lang w:val="en-US" w:eastAsia="zh-CN"/>
              </w:rPr>
              <w:t xml:space="preserve">    </w:t>
            </w:r>
            <w:r>
              <w:rPr>
                <w:rFonts w:hint="eastAsia"/>
                <w:b w:val="0"/>
                <w:bCs w:val="0"/>
                <w:strike w:val="0"/>
                <w:color w:val="auto"/>
                <w:highlight w:val="none"/>
                <w:lang w:val="en-US" w:eastAsia="zh-CN"/>
              </w:rPr>
              <w:t>▲</w:t>
            </w:r>
            <w:r>
              <w:rPr>
                <w:rFonts w:hint="eastAsia"/>
                <w:b w:val="0"/>
                <w:bCs w:val="0"/>
                <w:color w:val="auto"/>
                <w:highlight w:val="none"/>
                <w:lang w:val="en-US" w:eastAsia="zh-CN"/>
              </w:rPr>
              <w:t>智能主机监测单元</w:t>
            </w:r>
            <w:r>
              <w:rPr>
                <w:rFonts w:hint="eastAsia"/>
                <w:b w:val="0"/>
                <w:bCs w:val="0"/>
                <w:color w:val="auto"/>
                <w:highlight w:val="none"/>
              </w:rPr>
              <w:t>采用超薄可折叠导电材料技术，实时检测主机多路运行状况（4路以上），并且带液晶显示和报警设置显示，主机检测单元可反复折叠不损坏电路，支持手</w:t>
            </w:r>
            <w:bookmarkStart w:id="174" w:name="_GoBack"/>
            <w:bookmarkEnd w:id="174"/>
            <w:r>
              <w:rPr>
                <w:rFonts w:hint="eastAsia"/>
                <w:b w:val="0"/>
                <w:bCs w:val="0"/>
                <w:color w:val="auto"/>
                <w:highlight w:val="none"/>
              </w:rPr>
              <w:t>机无线采集数据，并可用手机APP采集数据。</w:t>
            </w:r>
          </w:p>
          <w:p w14:paraId="55A604C6">
            <w:pPr>
              <w:keepNext w:val="0"/>
              <w:keepLines w:val="0"/>
              <w:suppressLineNumbers w:val="0"/>
              <w:spacing w:before="0" w:beforeAutospacing="0" w:after="0" w:afterAutospacing="0"/>
              <w:ind w:left="0" w:right="0"/>
              <w:rPr>
                <w:rFonts w:hint="eastAsia"/>
                <w:b w:val="0"/>
                <w:bCs w:val="0"/>
                <w:color w:val="auto"/>
                <w:highlight w:val="none"/>
              </w:rPr>
            </w:pPr>
            <w:r>
              <w:rPr>
                <w:rFonts w:hint="eastAsia"/>
                <w:b w:val="0"/>
                <w:bCs w:val="0"/>
                <w:color w:val="auto"/>
                <w:highlight w:val="none"/>
              </w:rPr>
              <w:t>主机监测单元演示功能要求：</w:t>
            </w:r>
          </w:p>
          <w:p w14:paraId="67216017">
            <w:pPr>
              <w:keepNext w:val="0"/>
              <w:keepLines w:val="0"/>
              <w:suppressLineNumbers w:val="0"/>
              <w:spacing w:before="0" w:beforeAutospacing="0" w:after="0" w:afterAutospacing="0"/>
              <w:ind w:left="0" w:right="0"/>
              <w:rPr>
                <w:rFonts w:hint="eastAsia" w:eastAsiaTheme="minorEastAsia"/>
                <w:b w:val="0"/>
                <w:bCs w:val="0"/>
                <w:color w:val="auto"/>
                <w:highlight w:val="none"/>
                <w:lang w:eastAsia="zh-CN"/>
              </w:rPr>
            </w:pPr>
            <w:r>
              <w:rPr>
                <w:rFonts w:hint="eastAsia"/>
                <w:b w:val="0"/>
                <w:bCs w:val="0"/>
                <w:color w:val="auto"/>
                <w:highlight w:val="none"/>
              </w:rPr>
              <w:t>（1）利用手机APP采集传感器输出电压。</w:t>
            </w:r>
            <w:r>
              <w:rPr>
                <w:rFonts w:hint="eastAsia"/>
                <w:b w:val="0"/>
                <w:bCs w:val="0"/>
                <w:color w:val="auto"/>
                <w:highlight w:val="none"/>
                <w:lang w:eastAsia="zh-CN"/>
              </w:rPr>
              <w:t>（</w:t>
            </w:r>
            <w:r>
              <w:rPr>
                <w:rFonts w:hint="eastAsia"/>
                <w:b w:val="0"/>
                <w:bCs w:val="0"/>
                <w:color w:val="auto"/>
                <w:highlight w:val="none"/>
                <w:lang w:val="en-US" w:eastAsia="zh-CN"/>
              </w:rPr>
              <w:t>4分</w:t>
            </w:r>
            <w:r>
              <w:rPr>
                <w:rFonts w:hint="eastAsia"/>
                <w:b w:val="0"/>
                <w:bCs w:val="0"/>
                <w:color w:val="auto"/>
                <w:highlight w:val="none"/>
                <w:lang w:eastAsia="zh-CN"/>
              </w:rPr>
              <w:t>）</w:t>
            </w:r>
          </w:p>
          <w:p w14:paraId="74F8077F">
            <w:pPr>
              <w:keepNext w:val="0"/>
              <w:keepLines w:val="0"/>
              <w:suppressLineNumbers w:val="0"/>
              <w:spacing w:before="0" w:beforeAutospacing="0" w:after="0" w:afterAutospacing="0"/>
              <w:ind w:left="0" w:right="0"/>
              <w:rPr>
                <w:rFonts w:hint="eastAsia"/>
                <w:b w:val="0"/>
                <w:bCs w:val="0"/>
                <w:color w:val="auto"/>
                <w:highlight w:val="none"/>
              </w:rPr>
            </w:pPr>
            <w:r>
              <w:rPr>
                <w:rFonts w:hint="eastAsia"/>
                <w:b w:val="0"/>
                <w:bCs w:val="0"/>
                <w:color w:val="auto"/>
                <w:highlight w:val="none"/>
              </w:rPr>
              <w:t>（2）在主机检测单元上面可以显示每个通道采集的电压。</w:t>
            </w:r>
            <w:r>
              <w:rPr>
                <w:rFonts w:hint="eastAsia"/>
                <w:b w:val="0"/>
                <w:bCs w:val="0"/>
                <w:color w:val="auto"/>
                <w:highlight w:val="none"/>
                <w:lang w:eastAsia="zh-CN"/>
              </w:rPr>
              <w:t>（</w:t>
            </w:r>
            <w:r>
              <w:rPr>
                <w:rFonts w:hint="eastAsia"/>
                <w:b w:val="0"/>
                <w:bCs w:val="0"/>
                <w:color w:val="auto"/>
                <w:highlight w:val="none"/>
                <w:lang w:val="en-US" w:eastAsia="zh-CN"/>
              </w:rPr>
              <w:t>4分</w:t>
            </w:r>
            <w:r>
              <w:rPr>
                <w:rFonts w:hint="eastAsia"/>
                <w:b w:val="0"/>
                <w:bCs w:val="0"/>
                <w:color w:val="auto"/>
                <w:highlight w:val="none"/>
                <w:lang w:eastAsia="zh-CN"/>
              </w:rPr>
              <w:t>）</w:t>
            </w:r>
          </w:p>
          <w:p w14:paraId="04951E6B">
            <w:pPr>
              <w:pStyle w:val="213"/>
              <w:keepNext w:val="0"/>
              <w:keepLines w:val="0"/>
              <w:pageBreakBefore w:val="0"/>
              <w:widowControl w:val="0"/>
              <w:suppressLineNumbers w:val="0"/>
              <w:spacing w:before="0" w:beforeAutospacing="0" w:after="0" w:afterAutospacing="0"/>
              <w:ind w:left="0" w:right="0" w:firstLine="0"/>
              <w:jc w:val="left"/>
              <w:rPr>
                <w:rFonts w:hint="eastAsia" w:ascii="宋体" w:hAnsi="宋体" w:eastAsia="宋体" w:cs="宋体"/>
                <w:color w:val="auto"/>
                <w:sz w:val="21"/>
                <w:szCs w:val="21"/>
                <w:highlight w:val="none"/>
                <w:lang w:val="en-US" w:eastAsia="zh-CN"/>
              </w:rPr>
            </w:pPr>
            <w:r>
              <w:rPr>
                <w:rFonts w:hint="eastAsia"/>
                <w:b w:val="0"/>
                <w:bCs w:val="0"/>
                <w:color w:val="auto"/>
                <w:highlight w:val="none"/>
              </w:rPr>
              <w:t>（3）可以在主机检测单元上面设置超限电压，且能输出报警，不得少于4通道测量。</w:t>
            </w:r>
            <w:r>
              <w:rPr>
                <w:rFonts w:hint="eastAsia"/>
                <w:b w:val="0"/>
                <w:bCs w:val="0"/>
                <w:color w:val="auto"/>
                <w:highlight w:val="none"/>
                <w:lang w:eastAsia="zh-CN"/>
              </w:rPr>
              <w:t>（</w:t>
            </w:r>
            <w:r>
              <w:rPr>
                <w:rFonts w:hint="eastAsia"/>
                <w:b w:val="0"/>
                <w:bCs w:val="0"/>
                <w:color w:val="auto"/>
                <w:highlight w:val="none"/>
                <w:lang w:val="en-US" w:eastAsia="zh-CN"/>
              </w:rPr>
              <w:t>4分</w:t>
            </w:r>
            <w:r>
              <w:rPr>
                <w:rFonts w:hint="eastAsia"/>
                <w:b w:val="0"/>
                <w:bCs w:val="0"/>
                <w:color w:val="auto"/>
                <w:highlight w:val="none"/>
                <w:lang w:eastAsia="zh-CN"/>
              </w:rPr>
              <w:t>）</w:t>
            </w:r>
            <w:r>
              <w:rPr>
                <w:rFonts w:hint="eastAsia"/>
                <w:b w:val="0"/>
                <w:bCs w:val="0"/>
                <w:color w:val="auto"/>
                <w:highlight w:val="none"/>
                <w:lang w:eastAsia="zh-CN"/>
              </w:rPr>
              <w:br w:type="textWrapping"/>
            </w:r>
            <w:r>
              <w:rPr>
                <w:rFonts w:hint="eastAsia"/>
                <w:b w:val="0"/>
                <w:bCs w:val="0"/>
                <w:color w:val="auto"/>
                <w:highlight w:val="none"/>
                <w:lang w:val="en-US" w:eastAsia="zh-CN"/>
              </w:rPr>
              <w:t xml:space="preserve">    </w:t>
            </w:r>
            <w:r>
              <w:rPr>
                <w:rFonts w:hint="eastAsia" w:ascii="宋体" w:hAnsi="宋体" w:eastAsia="宋体" w:cs="宋体"/>
                <w:color w:val="auto"/>
                <w:sz w:val="21"/>
                <w:szCs w:val="21"/>
                <w:highlight w:val="none"/>
                <w:lang w:val="en-US" w:eastAsia="zh-CN"/>
              </w:rPr>
              <w:t>演示完全满足参数要求的得12分，演示不满足参数要求或缺少演示点或不提供演示的有一条扣4分，扣完为止。本项最高得12分。</w:t>
            </w:r>
          </w:p>
          <w:p w14:paraId="66BD8F11">
            <w:pPr>
              <w:pStyle w:val="213"/>
              <w:keepNext w:val="0"/>
              <w:keepLines w:val="0"/>
              <w:pageBreakBefore w:val="0"/>
              <w:widowControl w:val="0"/>
              <w:suppressLineNumbers w:val="0"/>
              <w:spacing w:before="0" w:beforeAutospacing="0" w:after="0" w:afterAutospacing="0"/>
              <w:ind w:left="0" w:right="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2.演示二（4分）</w:t>
            </w:r>
          </w:p>
          <w:p w14:paraId="3E72F271">
            <w:pPr>
              <w:pStyle w:val="213"/>
              <w:keepNext w:val="0"/>
              <w:keepLines w:val="0"/>
              <w:pageBreakBefore w:val="0"/>
              <w:widowControl w:val="0"/>
              <w:suppressLineNumbers w:val="0"/>
              <w:spacing w:before="0" w:beforeAutospacing="0" w:after="0" w:afterAutospacing="0"/>
              <w:ind w:left="0" w:right="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供应商根据本项目第四章</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b w:val="0"/>
                <w:bCs/>
                <w:color w:val="auto"/>
                <w:sz w:val="21"/>
                <w:szCs w:val="21"/>
                <w:highlight w:val="none"/>
                <w:lang w:val="en-US" w:eastAsia="zh-CN"/>
              </w:rPr>
              <w:t>采购需求中</w:t>
            </w:r>
            <w:r>
              <w:rPr>
                <w:rFonts w:hint="eastAsia" w:ascii="宋体" w:hAnsi="宋体" w:eastAsia="宋体" w:cs="宋体"/>
                <w:b/>
                <w:bCs w:val="0"/>
                <w:color w:val="auto"/>
                <w:sz w:val="21"/>
                <w:szCs w:val="21"/>
                <w:highlight w:val="none"/>
                <w:lang w:val="en-US" w:eastAsia="zh-CN"/>
              </w:rPr>
              <w:t>产品四</w:t>
            </w:r>
            <w:r>
              <w:rPr>
                <w:rFonts w:hint="eastAsia" w:ascii="宋体" w:hAnsi="宋体" w:eastAsia="宋体" w:cs="宋体"/>
                <w:b w:val="0"/>
                <w:bCs/>
                <w:color w:val="auto"/>
                <w:sz w:val="21"/>
                <w:szCs w:val="21"/>
                <w:highlight w:val="none"/>
                <w:lang w:val="en-US" w:eastAsia="zh-CN"/>
              </w:rPr>
              <w:t>：</w:t>
            </w:r>
            <w:r>
              <w:rPr>
                <w:rFonts w:hint="eastAsia"/>
                <w:b w:val="0"/>
                <w:bCs w:val="0"/>
                <w:color w:val="auto"/>
                <w:highlight w:val="none"/>
              </w:rPr>
              <w:t>化工设备检维修作业操作平台</w:t>
            </w:r>
            <w:r>
              <w:rPr>
                <w:rFonts w:hint="eastAsia" w:ascii="宋体" w:hAnsi="宋体" w:eastAsia="宋体" w:cs="宋体"/>
                <w:b w:val="0"/>
                <w:bCs/>
                <w:color w:val="auto"/>
                <w:sz w:val="21"/>
                <w:szCs w:val="21"/>
                <w:highlight w:val="none"/>
                <w:lang w:val="en-US" w:eastAsia="zh-CN"/>
              </w:rPr>
              <w:t>“</w:t>
            </w:r>
            <w:r>
              <w:rPr>
                <w:rFonts w:hint="eastAsia"/>
                <w:b w:val="0"/>
                <w:bCs w:val="0"/>
                <w:color w:val="auto"/>
                <w:highlight w:val="none"/>
                <w:lang w:val="en-US" w:eastAsia="zh-CN"/>
              </w:rPr>
              <w:t>▲提供评分后台管理系统功能、裁判评分系统功能、评分题库功能、成绩查询功能、设备管理功能模块视频。</w:t>
            </w:r>
            <w:r>
              <w:rPr>
                <w:rFonts w:hint="eastAsia" w:ascii="宋体" w:hAnsi="宋体" w:eastAsia="宋体" w:cs="宋体"/>
                <w:color w:val="auto"/>
                <w:sz w:val="21"/>
                <w:szCs w:val="21"/>
                <w:highlight w:val="none"/>
                <w:lang w:val="en-US" w:eastAsia="zh-CN"/>
              </w:rPr>
              <w:t>要求提供演示，并能满足参数要求的得4分，不满足参数要求或缺少演示点或不提供演示的得0分，本项最高得4分。</w:t>
            </w:r>
          </w:p>
          <w:p w14:paraId="4B9B5C75">
            <w:pPr>
              <w:pStyle w:val="213"/>
              <w:keepNext w:val="0"/>
              <w:keepLines w:val="0"/>
              <w:pageBreakBefore w:val="0"/>
              <w:widowControl w:val="0"/>
              <w:suppressLineNumbers w:val="0"/>
              <w:spacing w:before="0" w:beforeAutospacing="0" w:after="0" w:afterAutospacing="0"/>
              <w:ind w:left="0" w:right="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3.演示三（4分）</w:t>
            </w:r>
          </w:p>
          <w:p w14:paraId="7D50BAE2">
            <w:pPr>
              <w:pStyle w:val="213"/>
              <w:keepNext w:val="0"/>
              <w:keepLines w:val="0"/>
              <w:pageBreakBefore w:val="0"/>
              <w:widowControl w:val="0"/>
              <w:suppressLineNumbers w:val="0"/>
              <w:spacing w:before="0" w:beforeAutospacing="0" w:after="0" w:afterAutospacing="0"/>
              <w:ind w:left="0" w:right="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供应商根据本项目第四章</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b w:val="0"/>
                <w:bCs/>
                <w:color w:val="auto"/>
                <w:sz w:val="21"/>
                <w:szCs w:val="21"/>
                <w:highlight w:val="none"/>
                <w:lang w:val="en-US" w:eastAsia="zh-CN"/>
              </w:rPr>
              <w:t>采购需求中</w:t>
            </w:r>
            <w:r>
              <w:rPr>
                <w:rFonts w:hint="eastAsia" w:ascii="宋体" w:hAnsi="宋体" w:eastAsia="宋体" w:cs="宋体"/>
                <w:b/>
                <w:bCs w:val="0"/>
                <w:color w:val="auto"/>
                <w:sz w:val="21"/>
                <w:szCs w:val="21"/>
                <w:highlight w:val="none"/>
                <w:lang w:val="en-US" w:eastAsia="zh-CN"/>
              </w:rPr>
              <w:t>产品四</w:t>
            </w:r>
            <w:r>
              <w:rPr>
                <w:rFonts w:hint="eastAsia" w:ascii="宋体" w:hAnsi="宋体" w:eastAsia="宋体" w:cs="宋体"/>
                <w:b w:val="0"/>
                <w:bCs/>
                <w:color w:val="auto"/>
                <w:sz w:val="21"/>
                <w:szCs w:val="21"/>
                <w:highlight w:val="none"/>
                <w:lang w:val="en-US" w:eastAsia="zh-CN"/>
              </w:rPr>
              <w:t>：</w:t>
            </w:r>
            <w:r>
              <w:rPr>
                <w:rFonts w:hint="eastAsia"/>
                <w:b w:val="0"/>
                <w:bCs w:val="0"/>
                <w:color w:val="auto"/>
                <w:highlight w:val="none"/>
              </w:rPr>
              <w:t>化工设备检维修作业操作平台</w:t>
            </w:r>
            <w:r>
              <w:rPr>
                <w:rFonts w:hint="eastAsia" w:ascii="宋体" w:hAnsi="宋体" w:eastAsia="宋体" w:cs="宋体"/>
                <w:b w:val="0"/>
                <w:bCs/>
                <w:color w:val="auto"/>
                <w:sz w:val="21"/>
                <w:szCs w:val="21"/>
                <w:highlight w:val="none"/>
                <w:lang w:val="en-US" w:eastAsia="zh-CN"/>
              </w:rPr>
              <w:t>“</w:t>
            </w:r>
            <w:r>
              <w:rPr>
                <w:rFonts w:hint="eastAsia"/>
                <w:b w:val="0"/>
                <w:bCs w:val="0"/>
                <w:color w:val="auto"/>
                <w:highlight w:val="none"/>
                <w:lang w:val="en-US" w:eastAsia="zh-CN"/>
              </w:rPr>
              <w:t>▲需要提供3D拆装软件的功能视频。</w:t>
            </w:r>
            <w:r>
              <w:rPr>
                <w:rFonts w:hint="eastAsia" w:ascii="宋体" w:hAnsi="宋体" w:eastAsia="宋体" w:cs="宋体"/>
                <w:color w:val="auto"/>
                <w:sz w:val="21"/>
                <w:szCs w:val="21"/>
                <w:highlight w:val="none"/>
                <w:lang w:val="en-US" w:eastAsia="zh-CN"/>
              </w:rPr>
              <w:t>要求提供演示，并能满足参数要求的得4分，不满足参数要求或缺少演示点或不提供演示的得0分，本项最高得4分。</w:t>
            </w:r>
          </w:p>
          <w:p w14:paraId="2B6E46B5">
            <w:pPr>
              <w:pStyle w:val="213"/>
              <w:keepNext w:val="0"/>
              <w:keepLines w:val="0"/>
              <w:pageBreakBefore w:val="0"/>
              <w:widowControl w:val="0"/>
              <w:suppressLineNumbers w:val="0"/>
              <w:spacing w:before="0" w:beforeAutospacing="0" w:after="0" w:afterAutospacing="0"/>
              <w:ind w:left="0" w:right="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4.演示四（4分）</w:t>
            </w:r>
          </w:p>
          <w:p w14:paraId="5C5CEF28">
            <w:pPr>
              <w:pStyle w:val="213"/>
              <w:keepNext w:val="0"/>
              <w:keepLines w:val="0"/>
              <w:pageBreakBefore w:val="0"/>
              <w:widowControl w:val="0"/>
              <w:suppressLineNumbers w:val="0"/>
              <w:spacing w:before="0" w:beforeAutospacing="0" w:after="0" w:afterAutospacing="0"/>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供应商根据本项目第四章</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b w:val="0"/>
                <w:bCs w:val="0"/>
                <w:color w:val="auto"/>
                <w:sz w:val="21"/>
                <w:szCs w:val="21"/>
                <w:highlight w:val="none"/>
                <w:lang w:val="en-US" w:eastAsia="zh-CN"/>
              </w:rPr>
              <w:t>采购需求中</w:t>
            </w:r>
            <w:r>
              <w:rPr>
                <w:rFonts w:hint="eastAsia" w:ascii="宋体" w:hAnsi="宋体" w:eastAsia="宋体" w:cs="宋体"/>
                <w:b/>
                <w:bCs w:val="0"/>
                <w:color w:val="auto"/>
                <w:sz w:val="21"/>
                <w:szCs w:val="21"/>
                <w:highlight w:val="none"/>
                <w:lang w:val="en-US" w:eastAsia="zh-CN"/>
              </w:rPr>
              <w:t>产品四</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w:t>
            </w:r>
            <w:r>
              <w:rPr>
                <w:rFonts w:hint="eastAsia"/>
                <w:color w:val="auto"/>
                <w:highlight w:val="none"/>
                <w:lang w:val="en-US" w:eastAsia="zh-CN"/>
              </w:rPr>
              <w:t>▲</w:t>
            </w:r>
            <w:r>
              <w:rPr>
                <w:rFonts w:hint="eastAsia"/>
                <w:b w:val="0"/>
                <w:bCs w:val="0"/>
                <w:color w:val="auto"/>
                <w:highlight w:val="none"/>
                <w:lang w:val="en-US" w:eastAsia="zh-CN"/>
              </w:rPr>
              <w:t>智能 AI 行为分析系统：支持火焰检测、烟雾检测、抽烟检测、打电话检测、佩戴口罩检测、人员离岗、睡岗检测、人员摔倒检测、人员静电消除、区域人数统计、区域入侵检测、工服检测、工帽检测、安全帽、反光衣检测、电瓶车检测、规范停车(车辆违停)、出入口客流统计、周界翻越入侵、异常位移、安全挂网、消防通道占用，逃生通道堵塞等提供算法选择功能视频演示</w:t>
            </w:r>
            <w:r>
              <w:rPr>
                <w:rFonts w:hint="eastAsia" w:ascii="宋体" w:hAnsi="宋体" w:eastAsia="宋体" w:cs="宋体"/>
                <w:color w:val="auto"/>
                <w:sz w:val="21"/>
                <w:szCs w:val="21"/>
                <w:highlight w:val="none"/>
                <w:lang w:val="en-US" w:eastAsia="zh-CN"/>
              </w:rPr>
              <w:t>，并能满足参数要求的得4分，不满足参数要求或缺少演示点或不提供演示的得0分，本项最高得4分。</w:t>
            </w:r>
          </w:p>
        </w:tc>
      </w:tr>
      <w:tr w14:paraId="1C3E7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jc w:val="center"/>
        </w:trPr>
        <w:tc>
          <w:tcPr>
            <w:tcW w:w="658" w:type="dxa"/>
            <w:noWrap/>
            <w:vAlign w:val="center"/>
          </w:tcPr>
          <w:p w14:paraId="7631378A">
            <w:pPr>
              <w:keepNext w:val="0"/>
              <w:keepLines w:val="0"/>
              <w:pageBreakBefore w:val="0"/>
              <w:suppressLineNumbers w:val="0"/>
              <w:spacing w:before="0" w:beforeAutospacing="0" w:after="0" w:afterAutospacing="0" w:line="320" w:lineRule="exact"/>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246" w:type="dxa"/>
            <w:noWrap/>
            <w:vAlign w:val="center"/>
          </w:tcPr>
          <w:p w14:paraId="3F3349BA">
            <w:pPr>
              <w:keepNext w:val="0"/>
              <w:keepLines w:val="0"/>
              <w:pageBreakBefore w:val="0"/>
              <w:suppressLineNumbers w:val="0"/>
              <w:spacing w:before="0" w:beforeAutospacing="0" w:after="0" w:afterAutospacing="0" w:line="320" w:lineRule="exact"/>
              <w:ind w:left="0" w:right="0"/>
              <w:jc w:val="center"/>
              <w:rPr>
                <w:rFonts w:hint="default" w:ascii="宋体" w:hAnsi="宋体" w:eastAsia="宋体" w:cs="宋体"/>
                <w:color w:val="auto"/>
                <w:sz w:val="21"/>
                <w:szCs w:val="21"/>
                <w:highlight w:val="none"/>
                <w:u w:val="none"/>
                <w:lang w:val="en-US" w:eastAsia="zh-CN" w:bidi="ar-SA"/>
              </w:rPr>
            </w:pPr>
            <w:r>
              <w:rPr>
                <w:rFonts w:hint="eastAsia" w:ascii="宋体" w:hAnsi="宋体" w:cs="宋体"/>
                <w:color w:val="auto"/>
                <w:sz w:val="21"/>
                <w:szCs w:val="21"/>
                <w:highlight w:val="none"/>
                <w:u w:val="none"/>
                <w:lang w:val="en-US" w:eastAsia="zh-CN"/>
              </w:rPr>
              <w:t>质保期承诺</w:t>
            </w:r>
          </w:p>
        </w:tc>
        <w:tc>
          <w:tcPr>
            <w:tcW w:w="1017" w:type="dxa"/>
            <w:noWrap/>
            <w:vAlign w:val="center"/>
          </w:tcPr>
          <w:p w14:paraId="70428F5A">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u w:val="none"/>
                <w:lang w:val="en-US" w:eastAsia="zh-CN" w:bidi="ar-SA"/>
              </w:rPr>
            </w:pPr>
            <w:r>
              <w:rPr>
                <w:rFonts w:hint="eastAsia" w:ascii="宋体" w:hAnsi="宋体" w:cs="宋体"/>
                <w:color w:val="auto"/>
                <w:sz w:val="21"/>
                <w:szCs w:val="21"/>
                <w:highlight w:val="none"/>
                <w:u w:val="none"/>
                <w:lang w:val="en-US" w:eastAsia="zh-CN"/>
              </w:rPr>
              <w:t>3分</w:t>
            </w:r>
          </w:p>
        </w:tc>
        <w:tc>
          <w:tcPr>
            <w:tcW w:w="6344" w:type="dxa"/>
            <w:noWrap/>
            <w:vAlign w:val="center"/>
          </w:tcPr>
          <w:p w14:paraId="5C550C34">
            <w:pPr>
              <w:pStyle w:val="231"/>
              <w:keepNext w:val="0"/>
              <w:keepLines w:val="0"/>
              <w:pageBreakBefore w:val="0"/>
              <w:widowControl/>
              <w:suppressLineNumbers w:val="0"/>
              <w:spacing w:before="0" w:beforeAutospacing="0" w:after="0" w:afterAutospacing="0" w:line="320" w:lineRule="exact"/>
              <w:ind w:left="0" w:right="0" w:firstLine="420"/>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供应商提供的货物及软件免费质保期不低于3年（自最终验收合格之日起计算），在此基础上每额外增加1年免费质保期，加1</w:t>
            </w:r>
            <w:r>
              <w:rPr>
                <w:rFonts w:hint="eastAsia" w:cs="宋体"/>
                <w:color w:val="auto"/>
                <w:sz w:val="21"/>
                <w:szCs w:val="21"/>
                <w:highlight w:val="none"/>
                <w:u w:val="none"/>
                <w:lang w:val="en-US" w:eastAsia="zh-CN" w:bidi="ar-SA"/>
              </w:rPr>
              <w:t>.5</w:t>
            </w:r>
            <w:r>
              <w:rPr>
                <w:rFonts w:hint="eastAsia" w:ascii="宋体" w:hAnsi="宋体" w:eastAsia="宋体" w:cs="宋体"/>
                <w:color w:val="auto"/>
                <w:sz w:val="21"/>
                <w:szCs w:val="21"/>
                <w:highlight w:val="none"/>
                <w:u w:val="none"/>
                <w:lang w:val="en-US" w:eastAsia="zh-CN" w:bidi="ar-SA"/>
              </w:rPr>
              <w:t>分，本项最高加</w:t>
            </w:r>
            <w:r>
              <w:rPr>
                <w:rFonts w:hint="eastAsia" w:cs="宋体"/>
                <w:color w:val="auto"/>
                <w:sz w:val="21"/>
                <w:szCs w:val="21"/>
                <w:highlight w:val="none"/>
                <w:u w:val="none"/>
                <w:lang w:val="en-US" w:eastAsia="zh-CN" w:bidi="ar-SA"/>
              </w:rPr>
              <w:t>3</w:t>
            </w:r>
            <w:r>
              <w:rPr>
                <w:rFonts w:hint="eastAsia" w:ascii="宋体" w:hAnsi="宋体" w:eastAsia="宋体" w:cs="宋体"/>
                <w:color w:val="auto"/>
                <w:sz w:val="21"/>
                <w:szCs w:val="21"/>
                <w:highlight w:val="none"/>
                <w:u w:val="none"/>
                <w:lang w:val="en-US" w:eastAsia="zh-CN" w:bidi="ar-SA"/>
              </w:rPr>
              <w:t>分。</w:t>
            </w:r>
          </w:p>
          <w:p w14:paraId="15ED84FE">
            <w:pPr>
              <w:pStyle w:val="231"/>
              <w:keepNext w:val="0"/>
              <w:keepLines w:val="0"/>
              <w:pageBreakBefore w:val="0"/>
              <w:widowControl/>
              <w:suppressLineNumbers w:val="0"/>
              <w:spacing w:before="0" w:beforeAutospacing="0" w:after="0" w:afterAutospacing="0" w:line="320" w:lineRule="exact"/>
              <w:ind w:left="0" w:right="0" w:firstLine="0"/>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注：须提供加盖供应商公章的质保承诺函（格式自拟），承诺函</w:t>
            </w:r>
            <w:r>
              <w:rPr>
                <w:rFonts w:hint="eastAsia" w:cs="宋体"/>
                <w:color w:val="auto"/>
                <w:sz w:val="21"/>
                <w:szCs w:val="21"/>
                <w:highlight w:val="none"/>
                <w:u w:val="none"/>
                <w:lang w:val="en-US" w:eastAsia="zh-CN" w:bidi="ar-SA"/>
              </w:rPr>
              <w:t>至少应包含</w:t>
            </w:r>
            <w:r>
              <w:rPr>
                <w:rFonts w:hint="eastAsia" w:ascii="宋体" w:hAnsi="宋体" w:eastAsia="宋体" w:cs="宋体"/>
                <w:color w:val="auto"/>
                <w:sz w:val="21"/>
                <w:szCs w:val="21"/>
                <w:highlight w:val="none"/>
                <w:u w:val="none"/>
                <w:lang w:val="en-US" w:eastAsia="zh-CN" w:bidi="ar-SA"/>
              </w:rPr>
              <w:t>免费质保期总时长、质保范围及质保期内服务标准</w:t>
            </w:r>
            <w:r>
              <w:rPr>
                <w:rFonts w:hint="eastAsia" w:cs="宋体"/>
                <w:color w:val="auto"/>
                <w:sz w:val="21"/>
                <w:szCs w:val="21"/>
                <w:highlight w:val="none"/>
                <w:u w:val="none"/>
                <w:lang w:val="en-US" w:eastAsia="zh-CN" w:bidi="ar-SA"/>
              </w:rPr>
              <w:t>。</w:t>
            </w:r>
          </w:p>
        </w:tc>
      </w:tr>
      <w:tr w14:paraId="70B32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vMerge w:val="restart"/>
            <w:noWrap/>
            <w:vAlign w:val="center"/>
          </w:tcPr>
          <w:p w14:paraId="4AFD7920">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p>
        </w:tc>
        <w:tc>
          <w:tcPr>
            <w:tcW w:w="1246" w:type="dxa"/>
            <w:vMerge w:val="restart"/>
            <w:noWrap/>
            <w:vAlign w:val="center"/>
          </w:tcPr>
          <w:p w14:paraId="32EE5F45">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项目实施及售后服务方案</w:t>
            </w:r>
          </w:p>
        </w:tc>
        <w:tc>
          <w:tcPr>
            <w:tcW w:w="1017" w:type="dxa"/>
            <w:vMerge w:val="restart"/>
            <w:noWrap/>
            <w:vAlign w:val="center"/>
          </w:tcPr>
          <w:p w14:paraId="01EE893B">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分</w:t>
            </w:r>
          </w:p>
        </w:tc>
        <w:tc>
          <w:tcPr>
            <w:tcW w:w="6344" w:type="dxa"/>
            <w:noWrap/>
            <w:vAlign w:val="center"/>
          </w:tcPr>
          <w:p w14:paraId="43E4D9DD">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b/>
                <w:bCs/>
                <w:color w:val="auto"/>
                <w:sz w:val="21"/>
                <w:szCs w:val="21"/>
                <w:highlight w:val="none"/>
                <w:u w:val="none"/>
                <w:lang w:eastAsia="zh-CN"/>
              </w:rPr>
            </w:pPr>
            <w:r>
              <w:rPr>
                <w:rFonts w:hint="eastAsia" w:ascii="宋体" w:hAnsi="宋体" w:eastAsia="宋体" w:cs="宋体"/>
                <w:b/>
                <w:bCs/>
                <w:color w:val="auto"/>
                <w:sz w:val="21"/>
                <w:szCs w:val="21"/>
                <w:highlight w:val="none"/>
                <w:u w:val="none"/>
                <w:lang w:val="en-US" w:eastAsia="zh-CN"/>
              </w:rPr>
              <w:t>1.</w:t>
            </w:r>
            <w:r>
              <w:rPr>
                <w:rFonts w:hint="eastAsia" w:ascii="宋体" w:hAnsi="宋体" w:eastAsia="宋体" w:cs="宋体"/>
                <w:b/>
                <w:bCs/>
                <w:color w:val="auto"/>
                <w:sz w:val="21"/>
                <w:szCs w:val="21"/>
                <w:highlight w:val="none"/>
                <w:u w:val="none"/>
              </w:rPr>
              <w:t>安装</w:t>
            </w:r>
            <w:r>
              <w:rPr>
                <w:rFonts w:hint="eastAsia" w:ascii="宋体" w:hAnsi="宋体" w:eastAsia="宋体" w:cs="宋体"/>
                <w:b/>
                <w:bCs/>
                <w:color w:val="auto"/>
                <w:sz w:val="21"/>
                <w:szCs w:val="21"/>
                <w:highlight w:val="none"/>
                <w:u w:val="none"/>
                <w:lang w:eastAsia="zh-CN"/>
              </w:rPr>
              <w:t>、</w:t>
            </w:r>
            <w:r>
              <w:rPr>
                <w:rFonts w:hint="eastAsia" w:ascii="宋体" w:hAnsi="宋体" w:eastAsia="宋体" w:cs="宋体"/>
                <w:b/>
                <w:bCs/>
                <w:color w:val="auto"/>
                <w:sz w:val="21"/>
                <w:szCs w:val="21"/>
                <w:highlight w:val="none"/>
                <w:u w:val="none"/>
              </w:rPr>
              <w:t>调试及验收</w:t>
            </w:r>
            <w:r>
              <w:rPr>
                <w:rFonts w:hint="eastAsia" w:ascii="宋体" w:hAnsi="宋体" w:eastAsia="宋体" w:cs="宋体"/>
                <w:b/>
                <w:bCs/>
                <w:color w:val="auto"/>
                <w:sz w:val="21"/>
                <w:szCs w:val="21"/>
                <w:highlight w:val="none"/>
                <w:u w:val="none"/>
                <w:lang w:eastAsia="zh-CN"/>
              </w:rPr>
              <w:t>（</w:t>
            </w:r>
            <w:r>
              <w:rPr>
                <w:rFonts w:hint="eastAsia" w:ascii="宋体" w:hAnsi="宋体" w:eastAsia="宋体" w:cs="宋体"/>
                <w:b/>
                <w:bCs/>
                <w:color w:val="auto"/>
                <w:sz w:val="21"/>
                <w:szCs w:val="21"/>
                <w:highlight w:val="none"/>
                <w:u w:val="none"/>
                <w:lang w:val="en-US" w:eastAsia="zh-CN"/>
              </w:rPr>
              <w:t>7</w:t>
            </w:r>
            <w:r>
              <w:rPr>
                <w:rFonts w:hint="eastAsia" w:ascii="宋体" w:hAnsi="宋体" w:cs="宋体"/>
                <w:b/>
                <w:bCs/>
                <w:color w:val="auto"/>
                <w:sz w:val="21"/>
                <w:szCs w:val="21"/>
                <w:highlight w:val="none"/>
                <w:u w:val="none"/>
                <w:lang w:val="en-US" w:eastAsia="zh-CN"/>
              </w:rPr>
              <w:t>分</w:t>
            </w:r>
            <w:r>
              <w:rPr>
                <w:rFonts w:hint="eastAsia" w:ascii="宋体" w:hAnsi="宋体" w:eastAsia="宋体" w:cs="宋体"/>
                <w:b/>
                <w:bCs/>
                <w:color w:val="auto"/>
                <w:sz w:val="21"/>
                <w:szCs w:val="21"/>
                <w:highlight w:val="none"/>
                <w:u w:val="none"/>
                <w:lang w:eastAsia="zh-CN"/>
              </w:rPr>
              <w:t>）</w:t>
            </w:r>
          </w:p>
          <w:p w14:paraId="2B68AF21">
            <w:pPr>
              <w:pStyle w:val="231"/>
              <w:keepNext w:val="0"/>
              <w:keepLines w:val="0"/>
              <w:pageBreakBefore w:val="0"/>
              <w:widowControl/>
              <w:suppressLineNumbers w:val="0"/>
              <w:spacing w:before="0" w:beforeAutospacing="0" w:after="0" w:afterAutospacing="0" w:line="320" w:lineRule="exact"/>
              <w:ind w:left="0" w:right="0" w:firstLine="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供应商根据本项目第四章“1.安装、调试及验收方案”要求</w:t>
            </w:r>
            <w:r>
              <w:rPr>
                <w:rFonts w:hint="eastAsia" w:ascii="宋体" w:hAnsi="宋体" w:eastAsia="宋体" w:cs="宋体"/>
                <w:color w:val="auto"/>
                <w:sz w:val="21"/>
                <w:szCs w:val="21"/>
                <w:highlight w:val="none"/>
                <w:u w:val="none"/>
                <w:lang w:val="en-US" w:eastAsia="zh-CN"/>
              </w:rPr>
              <w:t>提供技术方案</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至少包括以下内容：</w:t>
            </w:r>
            <w:r>
              <w:rPr>
                <w:rFonts w:hint="eastAsia" w:ascii="宋体" w:hAnsi="宋体" w:eastAsia="宋体" w:cs="宋体"/>
                <w:color w:val="auto"/>
                <w:sz w:val="21"/>
                <w:szCs w:val="21"/>
                <w:highlight w:val="none"/>
                <w:u w:val="none"/>
              </w:rPr>
              <w:t>（1）安装计划；（2）安装</w:t>
            </w:r>
            <w:r>
              <w:rPr>
                <w:rFonts w:hint="eastAsia" w:ascii="宋体" w:hAnsi="宋体" w:eastAsia="宋体" w:cs="宋体"/>
                <w:color w:val="auto"/>
                <w:sz w:val="21"/>
                <w:szCs w:val="21"/>
                <w:highlight w:val="none"/>
                <w:u w:val="none"/>
                <w:lang w:val="en-US" w:eastAsia="zh-CN"/>
              </w:rPr>
              <w:t>及维护</w:t>
            </w:r>
            <w:r>
              <w:rPr>
                <w:rFonts w:hint="eastAsia" w:ascii="宋体" w:hAnsi="宋体" w:eastAsia="宋体" w:cs="宋体"/>
                <w:color w:val="auto"/>
                <w:sz w:val="21"/>
                <w:szCs w:val="21"/>
                <w:highlight w:val="none"/>
                <w:u w:val="none"/>
              </w:rPr>
              <w:t>人员配置；（3）调试方案；（</w:t>
            </w:r>
            <w:r>
              <w:rPr>
                <w:rFonts w:hint="eastAsia" w:cs="宋体"/>
                <w:color w:val="auto"/>
                <w:sz w:val="21"/>
                <w:szCs w:val="21"/>
                <w:highlight w:val="none"/>
                <w:u w:val="none"/>
                <w:lang w:val="en-US" w:eastAsia="zh-CN"/>
              </w:rPr>
              <w:t>4</w:t>
            </w:r>
            <w:r>
              <w:rPr>
                <w:rFonts w:hint="eastAsia" w:ascii="宋体" w:hAnsi="宋体" w:eastAsia="宋体" w:cs="宋体"/>
                <w:color w:val="auto"/>
                <w:sz w:val="21"/>
                <w:szCs w:val="21"/>
                <w:highlight w:val="none"/>
                <w:u w:val="none"/>
              </w:rPr>
              <w:t>）验收程序；</w:t>
            </w:r>
            <w:r>
              <w:rPr>
                <w:rFonts w:hint="eastAsia" w:ascii="宋体" w:hAnsi="宋体" w:eastAsia="宋体" w:cs="宋体"/>
                <w:color w:val="auto"/>
                <w:sz w:val="21"/>
                <w:szCs w:val="21"/>
                <w:highlight w:val="none"/>
                <w:u w:val="none"/>
                <w:lang w:val="en-US" w:eastAsia="zh-CN"/>
              </w:rPr>
              <w:t>方案优于项目需求的得</w:t>
            </w:r>
            <w:r>
              <w:rPr>
                <w:rFonts w:hint="eastAsia" w:cs="宋体"/>
                <w:color w:val="auto"/>
                <w:sz w:val="21"/>
                <w:szCs w:val="21"/>
                <w:highlight w:val="none"/>
                <w:u w:val="none"/>
                <w:lang w:val="en-US" w:eastAsia="zh-CN"/>
              </w:rPr>
              <w:t>7</w:t>
            </w:r>
            <w:r>
              <w:rPr>
                <w:rFonts w:hint="eastAsia" w:ascii="宋体" w:hAnsi="宋体" w:eastAsia="宋体" w:cs="宋体"/>
                <w:color w:val="auto"/>
                <w:sz w:val="21"/>
                <w:szCs w:val="21"/>
                <w:highlight w:val="none"/>
                <w:u w:val="none"/>
                <w:lang w:val="en-US" w:eastAsia="zh-CN"/>
              </w:rPr>
              <w:t>分；满足项目需求的得</w:t>
            </w:r>
            <w:r>
              <w:rPr>
                <w:rFonts w:hint="eastAsia"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lang w:val="en-US" w:eastAsia="zh-CN"/>
              </w:rPr>
              <w:t>分；不满足或无此项内容的本项不得分。</w:t>
            </w:r>
          </w:p>
          <w:p w14:paraId="5CEBC37E">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72D86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vMerge w:val="continue"/>
            <w:noWrap/>
            <w:vAlign w:val="center"/>
          </w:tcPr>
          <w:p w14:paraId="5E6761FA">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p>
        </w:tc>
        <w:tc>
          <w:tcPr>
            <w:tcW w:w="1246" w:type="dxa"/>
            <w:vMerge w:val="continue"/>
            <w:noWrap/>
            <w:vAlign w:val="center"/>
          </w:tcPr>
          <w:p w14:paraId="3B1A4CC6">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p>
        </w:tc>
        <w:tc>
          <w:tcPr>
            <w:tcW w:w="1017" w:type="dxa"/>
            <w:vMerge w:val="continue"/>
            <w:noWrap/>
            <w:vAlign w:val="center"/>
          </w:tcPr>
          <w:p w14:paraId="6A8F933B">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p>
        </w:tc>
        <w:tc>
          <w:tcPr>
            <w:tcW w:w="6344" w:type="dxa"/>
            <w:noWrap/>
            <w:vAlign w:val="center"/>
          </w:tcPr>
          <w:p w14:paraId="16E2DB6F">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b/>
                <w:bCs/>
                <w:color w:val="auto"/>
                <w:sz w:val="21"/>
                <w:szCs w:val="21"/>
                <w:highlight w:val="none"/>
                <w:u w:val="none"/>
                <w:lang w:eastAsia="zh-CN"/>
              </w:rPr>
            </w:pPr>
            <w:r>
              <w:rPr>
                <w:rFonts w:hint="eastAsia" w:ascii="宋体" w:hAnsi="宋体" w:cs="宋体"/>
                <w:b/>
                <w:bCs/>
                <w:color w:val="auto"/>
                <w:sz w:val="21"/>
                <w:szCs w:val="21"/>
                <w:highlight w:val="none"/>
                <w:u w:val="none"/>
                <w:lang w:val="en-US" w:eastAsia="zh-CN"/>
              </w:rPr>
              <w:t>2</w:t>
            </w:r>
            <w:r>
              <w:rPr>
                <w:rFonts w:hint="eastAsia" w:ascii="宋体" w:hAnsi="宋体" w:eastAsia="宋体" w:cs="宋体"/>
                <w:b/>
                <w:bCs/>
                <w:color w:val="auto"/>
                <w:sz w:val="21"/>
                <w:szCs w:val="21"/>
                <w:highlight w:val="none"/>
                <w:u w:val="none"/>
                <w:lang w:val="en-US" w:eastAsia="zh-CN"/>
              </w:rPr>
              <w:t>.培训方案</w:t>
            </w:r>
            <w:r>
              <w:rPr>
                <w:rFonts w:hint="eastAsia" w:ascii="宋体" w:hAnsi="宋体" w:eastAsia="宋体" w:cs="宋体"/>
                <w:b/>
                <w:bCs/>
                <w:color w:val="auto"/>
                <w:sz w:val="21"/>
                <w:szCs w:val="21"/>
                <w:highlight w:val="none"/>
                <w:u w:val="none"/>
                <w:lang w:eastAsia="zh-CN"/>
              </w:rPr>
              <w:t>（</w:t>
            </w:r>
            <w:r>
              <w:rPr>
                <w:rFonts w:hint="eastAsia" w:ascii="宋体" w:hAnsi="宋体" w:cs="宋体"/>
                <w:b/>
                <w:bCs/>
                <w:color w:val="auto"/>
                <w:sz w:val="21"/>
                <w:szCs w:val="21"/>
                <w:highlight w:val="none"/>
                <w:u w:val="none"/>
                <w:lang w:val="en-US" w:eastAsia="zh-CN"/>
              </w:rPr>
              <w:t>6</w:t>
            </w:r>
            <w:r>
              <w:rPr>
                <w:rFonts w:hint="eastAsia" w:ascii="宋体" w:hAnsi="宋体" w:eastAsia="宋体" w:cs="宋体"/>
                <w:b/>
                <w:bCs/>
                <w:color w:val="auto"/>
                <w:sz w:val="21"/>
                <w:szCs w:val="21"/>
                <w:highlight w:val="none"/>
                <w:u w:val="none"/>
                <w:lang w:val="en-US" w:eastAsia="zh-CN"/>
              </w:rPr>
              <w:t>分</w:t>
            </w:r>
            <w:r>
              <w:rPr>
                <w:rFonts w:hint="eastAsia" w:ascii="宋体" w:hAnsi="宋体" w:eastAsia="宋体" w:cs="宋体"/>
                <w:b/>
                <w:bCs/>
                <w:color w:val="auto"/>
                <w:sz w:val="21"/>
                <w:szCs w:val="21"/>
                <w:highlight w:val="none"/>
                <w:u w:val="none"/>
                <w:lang w:eastAsia="zh-CN"/>
              </w:rPr>
              <w:t>）</w:t>
            </w:r>
          </w:p>
          <w:p w14:paraId="76AD4680">
            <w:pPr>
              <w:pStyle w:val="231"/>
              <w:keepNext w:val="0"/>
              <w:keepLines w:val="0"/>
              <w:pageBreakBefore w:val="0"/>
              <w:widowControl/>
              <w:suppressLineNumbers w:val="0"/>
              <w:spacing w:before="0" w:beforeAutospacing="0" w:after="0" w:afterAutospacing="0" w:line="320" w:lineRule="exact"/>
              <w:ind w:left="0" w:right="0" w:firstLine="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供应商根据本项目第四章“</w:t>
            </w:r>
            <w:r>
              <w:rPr>
                <w:rFonts w:hint="eastAsia"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rPr>
              <w:t>培训方案”要求</w:t>
            </w:r>
            <w:r>
              <w:rPr>
                <w:rFonts w:hint="eastAsia" w:ascii="宋体" w:hAnsi="宋体" w:eastAsia="宋体" w:cs="宋体"/>
                <w:color w:val="auto"/>
                <w:sz w:val="21"/>
                <w:szCs w:val="21"/>
                <w:highlight w:val="none"/>
                <w:u w:val="none"/>
                <w:lang w:val="en-US" w:eastAsia="zh-CN"/>
              </w:rPr>
              <w:t>提供技术方案</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至少包括以下内容：</w:t>
            </w:r>
            <w:r>
              <w:rPr>
                <w:rFonts w:hint="eastAsia" w:ascii="宋体" w:hAnsi="宋体" w:eastAsia="宋体" w:cs="宋体"/>
                <w:color w:val="auto"/>
                <w:sz w:val="21"/>
                <w:szCs w:val="21"/>
                <w:highlight w:val="none"/>
                <w:u w:val="none"/>
              </w:rPr>
              <w:t>（1）培训计划与目标；（2）培训师资配置；（3）培训安排；（4）培训内容；（5）质量控制；</w:t>
            </w:r>
            <w:r>
              <w:rPr>
                <w:rFonts w:hint="eastAsia" w:ascii="宋体" w:hAnsi="宋体" w:eastAsia="宋体" w:cs="宋体"/>
                <w:color w:val="auto"/>
                <w:sz w:val="21"/>
                <w:szCs w:val="21"/>
                <w:highlight w:val="none"/>
                <w:u w:val="none"/>
                <w:lang w:val="en-US" w:eastAsia="zh-CN"/>
              </w:rPr>
              <w:t>方案优于项目需求的得</w:t>
            </w:r>
            <w:r>
              <w:rPr>
                <w:rFonts w:hint="eastAsia"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lang w:val="en-US" w:eastAsia="zh-CN"/>
              </w:rPr>
              <w:t>分；满足项目需求的得</w:t>
            </w:r>
            <w:r>
              <w:rPr>
                <w:rFonts w:hint="eastAsia" w:cs="宋体"/>
                <w:color w:val="auto"/>
                <w:sz w:val="21"/>
                <w:szCs w:val="21"/>
                <w:highlight w:val="none"/>
                <w:u w:val="none"/>
                <w:lang w:val="en-US" w:eastAsia="zh-CN"/>
              </w:rPr>
              <w:t>4</w:t>
            </w:r>
            <w:r>
              <w:rPr>
                <w:rFonts w:hint="eastAsia" w:ascii="宋体" w:hAnsi="宋体" w:eastAsia="宋体" w:cs="宋体"/>
                <w:color w:val="auto"/>
                <w:sz w:val="21"/>
                <w:szCs w:val="21"/>
                <w:highlight w:val="none"/>
                <w:u w:val="none"/>
                <w:lang w:val="en-US" w:eastAsia="zh-CN"/>
              </w:rPr>
              <w:t>分；不满足或无此项内容的本项不得分。</w:t>
            </w:r>
          </w:p>
          <w:p w14:paraId="73B64755">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70910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658" w:type="dxa"/>
            <w:vMerge w:val="continue"/>
            <w:noWrap/>
            <w:vAlign w:val="center"/>
          </w:tcPr>
          <w:p w14:paraId="7947F9FF">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p>
        </w:tc>
        <w:tc>
          <w:tcPr>
            <w:tcW w:w="1246" w:type="dxa"/>
            <w:vMerge w:val="continue"/>
            <w:noWrap/>
            <w:vAlign w:val="center"/>
          </w:tcPr>
          <w:p w14:paraId="09143D47">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p>
        </w:tc>
        <w:tc>
          <w:tcPr>
            <w:tcW w:w="1017" w:type="dxa"/>
            <w:vMerge w:val="continue"/>
            <w:noWrap/>
            <w:vAlign w:val="center"/>
          </w:tcPr>
          <w:p w14:paraId="2860CA20">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p>
        </w:tc>
        <w:tc>
          <w:tcPr>
            <w:tcW w:w="6344" w:type="dxa"/>
            <w:noWrap/>
            <w:vAlign w:val="center"/>
          </w:tcPr>
          <w:p w14:paraId="0D16E60F">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b/>
                <w:bCs/>
                <w:color w:val="auto"/>
                <w:sz w:val="21"/>
                <w:szCs w:val="21"/>
                <w:highlight w:val="none"/>
                <w:u w:val="none"/>
                <w:lang w:eastAsia="zh-CN"/>
              </w:rPr>
            </w:pPr>
            <w:r>
              <w:rPr>
                <w:rFonts w:hint="eastAsia" w:ascii="宋体" w:hAnsi="宋体" w:cs="宋体"/>
                <w:b/>
                <w:bCs/>
                <w:color w:val="auto"/>
                <w:sz w:val="21"/>
                <w:szCs w:val="21"/>
                <w:highlight w:val="none"/>
                <w:u w:val="none"/>
                <w:lang w:val="en-US" w:eastAsia="zh-CN"/>
              </w:rPr>
              <w:t>3</w:t>
            </w:r>
            <w:r>
              <w:rPr>
                <w:rFonts w:hint="eastAsia" w:ascii="宋体" w:hAnsi="宋体" w:eastAsia="宋体" w:cs="宋体"/>
                <w:b/>
                <w:bCs/>
                <w:color w:val="auto"/>
                <w:sz w:val="21"/>
                <w:szCs w:val="21"/>
                <w:highlight w:val="none"/>
                <w:u w:val="none"/>
                <w:lang w:val="en-US" w:eastAsia="zh-CN"/>
              </w:rPr>
              <w:t>.售后服务方案</w:t>
            </w:r>
            <w:r>
              <w:rPr>
                <w:rFonts w:hint="eastAsia" w:ascii="宋体" w:hAnsi="宋体" w:eastAsia="宋体" w:cs="宋体"/>
                <w:b/>
                <w:bCs/>
                <w:color w:val="auto"/>
                <w:sz w:val="21"/>
                <w:szCs w:val="21"/>
                <w:highlight w:val="none"/>
                <w:u w:val="none"/>
                <w:lang w:eastAsia="zh-CN"/>
              </w:rPr>
              <w:t>（</w:t>
            </w:r>
            <w:r>
              <w:rPr>
                <w:rFonts w:hint="eastAsia" w:ascii="宋体" w:hAnsi="宋体" w:eastAsia="宋体" w:cs="宋体"/>
                <w:b/>
                <w:bCs/>
                <w:color w:val="auto"/>
                <w:sz w:val="21"/>
                <w:szCs w:val="21"/>
                <w:highlight w:val="none"/>
                <w:u w:val="none"/>
                <w:lang w:val="en-US" w:eastAsia="zh-CN"/>
              </w:rPr>
              <w:t>7分</w:t>
            </w:r>
            <w:r>
              <w:rPr>
                <w:rFonts w:hint="eastAsia" w:ascii="宋体" w:hAnsi="宋体" w:eastAsia="宋体" w:cs="宋体"/>
                <w:b/>
                <w:bCs/>
                <w:color w:val="auto"/>
                <w:sz w:val="21"/>
                <w:szCs w:val="21"/>
                <w:highlight w:val="none"/>
                <w:u w:val="none"/>
                <w:lang w:eastAsia="zh-CN"/>
              </w:rPr>
              <w:t>）</w:t>
            </w:r>
          </w:p>
          <w:p w14:paraId="6DEFA381">
            <w:pPr>
              <w:pStyle w:val="231"/>
              <w:keepNext w:val="0"/>
              <w:keepLines w:val="0"/>
              <w:pageBreakBefore w:val="0"/>
              <w:widowControl/>
              <w:suppressLineNumbers w:val="0"/>
              <w:spacing w:before="0" w:beforeAutospacing="0" w:after="0" w:afterAutospacing="0" w:line="320" w:lineRule="exact"/>
              <w:ind w:left="0" w:right="0" w:firstLine="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供应商根据本项目第四章“</w:t>
            </w:r>
            <w:r>
              <w:rPr>
                <w:rFonts w:hint="eastAsia" w:cs="宋体"/>
                <w:color w:val="auto"/>
                <w:sz w:val="21"/>
                <w:szCs w:val="21"/>
                <w:highlight w:val="none"/>
                <w:u w:val="none"/>
                <w:lang w:val="en-US" w:eastAsia="zh-CN"/>
              </w:rPr>
              <w:t>3.</w:t>
            </w:r>
            <w:r>
              <w:rPr>
                <w:rFonts w:hint="eastAsia" w:ascii="宋体" w:hAnsi="宋体" w:eastAsia="宋体" w:cs="宋体"/>
                <w:color w:val="auto"/>
                <w:sz w:val="21"/>
                <w:szCs w:val="21"/>
                <w:highlight w:val="none"/>
                <w:u w:val="none"/>
              </w:rPr>
              <w:t>售后服务方案”要求</w:t>
            </w:r>
            <w:r>
              <w:rPr>
                <w:rFonts w:hint="eastAsia" w:ascii="宋体" w:hAnsi="宋体" w:eastAsia="宋体" w:cs="宋体"/>
                <w:color w:val="auto"/>
                <w:sz w:val="21"/>
                <w:szCs w:val="21"/>
                <w:highlight w:val="none"/>
                <w:u w:val="none"/>
                <w:lang w:val="en-US" w:eastAsia="zh-CN"/>
              </w:rPr>
              <w:t>提供技术方案</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至少包括以下内容：</w:t>
            </w:r>
            <w:r>
              <w:rPr>
                <w:rFonts w:hint="eastAsia" w:ascii="宋体" w:hAnsi="宋体" w:eastAsia="宋体" w:cs="宋体"/>
                <w:color w:val="auto"/>
                <w:sz w:val="21"/>
                <w:szCs w:val="21"/>
                <w:highlight w:val="none"/>
                <w:u w:val="none"/>
              </w:rPr>
              <w:t>（1）售后服务响应时间</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服务流程</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rPr>
              <w:t>售后</w:t>
            </w:r>
            <w:r>
              <w:rPr>
                <w:rFonts w:hint="eastAsia" w:ascii="宋体" w:hAnsi="宋体" w:eastAsia="宋体" w:cs="宋体"/>
                <w:color w:val="auto"/>
                <w:sz w:val="21"/>
                <w:szCs w:val="21"/>
                <w:highlight w:val="none"/>
                <w:u w:val="none"/>
                <w:lang w:val="en-US" w:eastAsia="zh-CN"/>
              </w:rPr>
              <w:t>维保</w:t>
            </w:r>
            <w:r>
              <w:rPr>
                <w:rFonts w:hint="eastAsia" w:ascii="宋体" w:hAnsi="宋体" w:eastAsia="宋体" w:cs="宋体"/>
                <w:color w:val="auto"/>
                <w:sz w:val="21"/>
                <w:szCs w:val="21"/>
                <w:highlight w:val="none"/>
                <w:u w:val="none"/>
              </w:rPr>
              <w:t>服务人员；（</w:t>
            </w:r>
            <w:r>
              <w:rPr>
                <w:rFonts w:hint="eastAsia" w:ascii="宋体" w:hAnsi="宋体" w:eastAsia="宋体" w:cs="宋体"/>
                <w:color w:val="auto"/>
                <w:sz w:val="21"/>
                <w:szCs w:val="21"/>
                <w:highlight w:val="none"/>
                <w:u w:val="none"/>
                <w:lang w:val="en-US" w:eastAsia="zh-CN"/>
              </w:rPr>
              <w:t>3</w:t>
            </w:r>
            <w:r>
              <w:rPr>
                <w:rFonts w:hint="eastAsia" w:ascii="宋体" w:hAnsi="宋体" w:eastAsia="宋体" w:cs="宋体"/>
                <w:color w:val="auto"/>
                <w:sz w:val="21"/>
                <w:szCs w:val="21"/>
                <w:highlight w:val="none"/>
                <w:u w:val="none"/>
              </w:rPr>
              <w:t>）服务监督改进</w:t>
            </w:r>
            <w:r>
              <w:rPr>
                <w:rFonts w:hint="eastAsia" w:ascii="宋体" w:hAnsi="宋体" w:eastAsia="宋体" w:cs="宋体"/>
                <w:color w:val="auto"/>
                <w:sz w:val="21"/>
                <w:szCs w:val="21"/>
                <w:highlight w:val="none"/>
                <w:u w:val="none"/>
                <w:lang w:val="en-US" w:eastAsia="zh-CN"/>
              </w:rPr>
              <w:t>措施</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方案优于项目需求的得</w:t>
            </w:r>
            <w:r>
              <w:rPr>
                <w:rFonts w:hint="eastAsia" w:cs="宋体"/>
                <w:color w:val="auto"/>
                <w:sz w:val="21"/>
                <w:szCs w:val="21"/>
                <w:highlight w:val="none"/>
                <w:u w:val="none"/>
                <w:lang w:val="en-US" w:eastAsia="zh-CN"/>
              </w:rPr>
              <w:t>7</w:t>
            </w:r>
            <w:r>
              <w:rPr>
                <w:rFonts w:hint="eastAsia" w:ascii="宋体" w:hAnsi="宋体" w:eastAsia="宋体" w:cs="宋体"/>
                <w:color w:val="auto"/>
                <w:sz w:val="21"/>
                <w:szCs w:val="21"/>
                <w:highlight w:val="none"/>
                <w:u w:val="none"/>
                <w:lang w:val="en-US" w:eastAsia="zh-CN"/>
              </w:rPr>
              <w:t>分；满足项目需求的得</w:t>
            </w:r>
            <w:r>
              <w:rPr>
                <w:rFonts w:hint="eastAsia"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lang w:val="en-US" w:eastAsia="zh-CN"/>
              </w:rPr>
              <w:t>分；不满足或无此项内容的本项不得分。</w:t>
            </w:r>
          </w:p>
          <w:p w14:paraId="1F6046D2">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68D28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noWrap/>
            <w:vAlign w:val="center"/>
          </w:tcPr>
          <w:p w14:paraId="4B49155F">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246" w:type="dxa"/>
            <w:noWrap/>
            <w:vAlign w:val="center"/>
          </w:tcPr>
          <w:p w14:paraId="3C7401EF">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节能环保</w:t>
            </w:r>
          </w:p>
        </w:tc>
        <w:tc>
          <w:tcPr>
            <w:tcW w:w="1017" w:type="dxa"/>
            <w:noWrap/>
            <w:vAlign w:val="center"/>
          </w:tcPr>
          <w:p w14:paraId="3AC94D5C">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2分</w:t>
            </w:r>
          </w:p>
        </w:tc>
        <w:tc>
          <w:tcPr>
            <w:tcW w:w="6344" w:type="dxa"/>
            <w:noWrap/>
            <w:vAlign w:val="center"/>
          </w:tcPr>
          <w:p w14:paraId="2BFF9417">
            <w:pPr>
              <w:pStyle w:val="231"/>
              <w:keepNext w:val="0"/>
              <w:keepLines w:val="0"/>
              <w:pageBreakBefore w:val="0"/>
              <w:widowControl/>
              <w:suppressLineNumbers w:val="0"/>
              <w:spacing w:before="0" w:beforeAutospacing="0" w:after="0" w:afterAutospacing="0" w:line="320" w:lineRule="exact"/>
              <w:ind w:left="0" w:right="0" w:firstLine="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p>
          <w:p w14:paraId="2706CAF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2.投标产品属于财政部、生态环境部公布的“环境标志产品品目清单”范围内的，投标人提供国家确定的认证机构出具的、处于有效期内的该环保产品认证证书的，有1个得0.5分，最多得1分。</w:t>
            </w:r>
          </w:p>
        </w:tc>
      </w:tr>
    </w:tbl>
    <w:p w14:paraId="426E642F">
      <w:pPr>
        <w:rPr>
          <w:rFonts w:hint="eastAsia" w:ascii="宋体" w:hAnsi="宋体" w:eastAsia="宋体" w:cs="宋体"/>
          <w:color w:val="auto"/>
          <w:sz w:val="24"/>
          <w:szCs w:val="24"/>
          <w:highlight w:val="none"/>
        </w:rPr>
      </w:pPr>
    </w:p>
    <w:p w14:paraId="3B03A2C6">
      <w:pPr>
        <w:pBdr>
          <w:top w:val="none" w:color="000000" w:sz="0" w:space="0"/>
          <w:left w:val="none" w:color="000000" w:sz="0" w:space="0"/>
          <w:bottom w:val="none" w:color="000000" w:sz="0" w:space="0"/>
          <w:right w:val="none" w:color="000000" w:sz="0" w:space="0"/>
        </w:pBdr>
        <w:spacing w:before="0" w:after="0" w:line="360" w:lineRule="atLeast"/>
        <w:ind w:left="0" w:right="0" w:firstLine="422"/>
        <w:jc w:val="both"/>
        <w:rPr>
          <w:color w:val="auto"/>
        </w:rPr>
      </w:pPr>
      <w:r>
        <w:rPr>
          <w:rFonts w:ascii="宋体" w:hAnsi="宋体" w:eastAsia="宋体" w:cs="宋体"/>
          <w:b/>
          <w:color w:val="auto"/>
          <w:sz w:val="21"/>
        </w:rPr>
        <w:t>注：1.上述加分项中需提供相关证明材料的，在该项目中标后七个工作日内，向招标人提供原件核查。如不提供或提供的原件与投标时提供的证明材料不一致，或提供虚假项目业绩，将被视为在投标过程中提供虚假材料谋取中标成交，将被取消成交资格，且采购人有权依据政府采购的有关规定，报请政府采购监管部门对该供应商进行相应的行政处罚和记录该供应商的失信信息。</w:t>
      </w:r>
    </w:p>
    <w:p w14:paraId="4F524AA8">
      <w:pPr>
        <w:pBdr>
          <w:top w:val="none" w:color="000000" w:sz="0" w:space="0"/>
          <w:left w:val="none" w:color="000000" w:sz="0" w:space="0"/>
          <w:bottom w:val="none" w:color="000000" w:sz="0" w:space="0"/>
          <w:right w:val="none" w:color="000000" w:sz="0" w:space="0"/>
        </w:pBdr>
        <w:spacing w:before="0" w:after="0" w:line="360" w:lineRule="atLeast"/>
        <w:ind w:left="0" w:right="0" w:firstLine="422"/>
        <w:jc w:val="both"/>
        <w:rPr>
          <w:color w:val="auto"/>
        </w:rPr>
      </w:pPr>
      <w:r>
        <w:rPr>
          <w:rFonts w:ascii="宋体" w:hAnsi="宋体" w:eastAsia="宋体" w:cs="宋体"/>
          <w:b/>
          <w:color w:val="auto"/>
          <w:sz w:val="21"/>
        </w:rPr>
        <w:t>2.</w:t>
      </w:r>
      <w:r>
        <w:rPr>
          <w:rFonts w:hint="eastAsia" w:ascii="宋体" w:hAnsi="宋体" w:eastAsia="宋体" w:cs="宋体"/>
          <w:b/>
          <w:color w:val="auto"/>
          <w:sz w:val="21"/>
          <w:szCs w:val="21"/>
          <w:highlight w:val="none"/>
          <w:lang w:val="en-US" w:eastAsia="zh-CN"/>
        </w:rPr>
        <w:t>供应商需按照</w:t>
      </w:r>
      <w:r>
        <w:rPr>
          <w:rFonts w:hint="eastAsia" w:ascii="宋体" w:hAnsi="宋体" w:cs="宋体"/>
          <w:b/>
          <w:color w:val="auto"/>
          <w:sz w:val="21"/>
          <w:szCs w:val="21"/>
          <w:highlight w:val="none"/>
          <w:lang w:val="en-US" w:eastAsia="zh-CN"/>
        </w:rPr>
        <w:t>招标</w:t>
      </w:r>
      <w:r>
        <w:rPr>
          <w:rFonts w:hint="eastAsia" w:ascii="宋体" w:hAnsi="宋体" w:eastAsia="宋体" w:cs="宋体"/>
          <w:b/>
          <w:color w:val="auto"/>
          <w:sz w:val="21"/>
          <w:szCs w:val="21"/>
          <w:highlight w:val="none"/>
          <w:lang w:val="en-US" w:eastAsia="zh-CN"/>
        </w:rPr>
        <w:t>文件规定的演示内容进行功能演示（视频画面须清晰</w:t>
      </w:r>
      <w:r>
        <w:rPr>
          <w:rFonts w:hint="eastAsia" w:ascii="宋体" w:hAnsi="宋体" w:cs="宋体"/>
          <w:b/>
          <w:color w:val="auto"/>
          <w:sz w:val="21"/>
          <w:szCs w:val="21"/>
          <w:highlight w:val="none"/>
          <w:lang w:val="en-US" w:eastAsia="zh-CN"/>
        </w:rPr>
        <w:t>，如不清晰导致评委无法评审的，责任由投标人自负</w:t>
      </w:r>
      <w:r>
        <w:rPr>
          <w:rFonts w:hint="eastAsia" w:ascii="宋体" w:hAnsi="宋体" w:eastAsia="宋体" w:cs="宋体"/>
          <w:b/>
          <w:color w:val="auto"/>
          <w:sz w:val="21"/>
          <w:szCs w:val="21"/>
          <w:highlight w:val="none"/>
          <w:lang w:val="en-US" w:eastAsia="zh-CN"/>
        </w:rPr>
        <w:t>），视频文件的格式为*.mp4或*.avi，供应商须将视频文件分段压缩为*.zip文件上传（单个文件不得大于50M，所有文件总共不得大于300M）。文件上传方式见《苏采云供应商操作手册》规定，上传的演示视频将作为投标文件的组成部分，每个项目根据演示</w:t>
      </w:r>
      <w:r>
        <w:rPr>
          <w:rFonts w:hint="eastAsia" w:ascii="宋体" w:hAnsi="宋体" w:cs="宋体"/>
          <w:b/>
          <w:color w:val="auto"/>
          <w:sz w:val="21"/>
          <w:szCs w:val="21"/>
          <w:highlight w:val="none"/>
          <w:lang w:val="en-US" w:eastAsia="zh-CN"/>
        </w:rPr>
        <w:t>点</w:t>
      </w:r>
      <w:r>
        <w:rPr>
          <w:rFonts w:hint="eastAsia" w:ascii="宋体" w:hAnsi="宋体" w:eastAsia="宋体" w:cs="宋体"/>
          <w:b/>
          <w:color w:val="auto"/>
          <w:sz w:val="21"/>
          <w:szCs w:val="21"/>
          <w:highlight w:val="none"/>
          <w:lang w:val="en-US" w:eastAsia="zh-CN"/>
        </w:rPr>
        <w:t>进行评分</w:t>
      </w:r>
      <w:r>
        <w:rPr>
          <w:rFonts w:ascii="宋体" w:hAnsi="宋体" w:eastAsia="宋体" w:cs="宋体"/>
          <w:b/>
          <w:color w:val="auto"/>
          <w:sz w:val="21"/>
        </w:rPr>
        <w:t>。</w:t>
      </w:r>
    </w:p>
    <w:p w14:paraId="3B2D74A5">
      <w:pPr>
        <w:pStyle w:val="34"/>
        <w:spacing w:beforeAutospacing="0" w:afterAutospacing="0" w:line="360" w:lineRule="auto"/>
        <w:ind w:firstLine="480"/>
        <w:jc w:val="both"/>
        <w:rPr>
          <w:rFonts w:ascii="宋体" w:hAnsi="宋体" w:eastAsia="宋体" w:cs="宋体"/>
          <w:color w:val="auto"/>
        </w:rPr>
      </w:pPr>
    </w:p>
    <w:p w14:paraId="792409EF">
      <w:pPr>
        <w:pStyle w:val="34"/>
        <w:spacing w:beforeAutospacing="0" w:afterAutospacing="0" w:line="360" w:lineRule="auto"/>
        <w:ind w:firstLine="480"/>
        <w:jc w:val="both"/>
        <w:rPr>
          <w:rFonts w:hint="eastAsia" w:ascii="宋体" w:hAnsi="宋体" w:cs="宋体"/>
          <w:color w:val="auto"/>
          <w:sz w:val="24"/>
          <w:szCs w:val="24"/>
        </w:rPr>
      </w:pPr>
      <w:r>
        <w:rPr>
          <w:rFonts w:hint="eastAsia" w:ascii="宋体" w:hAnsi="宋体" w:eastAsia="宋体" w:cs="宋体"/>
          <w:b/>
          <w:color w:val="auto"/>
          <w:sz w:val="28"/>
          <w:szCs w:val="28"/>
          <w:lang w:eastAsia="zh-CN"/>
        </w:rPr>
        <w:t>（</w:t>
      </w:r>
      <w:r>
        <w:rPr>
          <w:rFonts w:hint="eastAsia" w:ascii="宋体" w:hAnsi="宋体" w:eastAsia="宋体" w:cs="宋体"/>
          <w:b/>
          <w:color w:val="auto"/>
          <w:sz w:val="28"/>
          <w:szCs w:val="28"/>
          <w:lang w:val="en-US" w:eastAsia="zh-CN"/>
        </w:rPr>
        <w:t>分包二</w:t>
      </w:r>
      <w:r>
        <w:rPr>
          <w:rFonts w:hint="eastAsia" w:ascii="宋体" w:hAnsi="宋体" w:eastAsia="宋体" w:cs="宋体"/>
          <w:b/>
          <w:color w:val="auto"/>
          <w:sz w:val="28"/>
          <w:szCs w:val="28"/>
          <w:lang w:eastAsia="zh-CN"/>
        </w:rPr>
        <w:t>）</w:t>
      </w:r>
    </w:p>
    <w:p w14:paraId="6F8A54BF">
      <w:pPr>
        <w:pStyle w:val="34"/>
        <w:numPr>
          <w:ilvl w:val="0"/>
          <w:numId w:val="0"/>
        </w:numPr>
        <w:spacing w:before="120" w:beforeAutospacing="0" w:after="120" w:afterAutospacing="0" w:line="0" w:lineRule="atLeast"/>
        <w:ind w:left="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评标标准</w:t>
      </w:r>
    </w:p>
    <w:tbl>
      <w:tblPr>
        <w:tblStyle w:val="40"/>
        <w:tblW w:w="9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246"/>
        <w:gridCol w:w="1017"/>
        <w:gridCol w:w="6359"/>
      </w:tblGrid>
      <w:tr w14:paraId="1611F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jc w:val="center"/>
        </w:trPr>
        <w:tc>
          <w:tcPr>
            <w:tcW w:w="658" w:type="dxa"/>
            <w:noWrap/>
            <w:vAlign w:val="center"/>
          </w:tcPr>
          <w:p w14:paraId="1A69038F">
            <w:pPr>
              <w:keepNext w:val="0"/>
              <w:keepLines w:val="0"/>
              <w:pageBreakBefore w:val="0"/>
              <w:widowControl/>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序号</w:t>
            </w:r>
          </w:p>
        </w:tc>
        <w:tc>
          <w:tcPr>
            <w:tcW w:w="1246" w:type="dxa"/>
            <w:noWrap/>
            <w:vAlign w:val="center"/>
          </w:tcPr>
          <w:p w14:paraId="596E092E">
            <w:pPr>
              <w:keepNext w:val="0"/>
              <w:keepLines w:val="0"/>
              <w:pageBreakBefore w:val="0"/>
              <w:widowControl/>
              <w:suppressLineNumbers w:val="0"/>
              <w:spacing w:before="0" w:beforeAutospacing="0" w:after="0" w:afterAutospacing="0" w:line="32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评审项目</w:t>
            </w:r>
          </w:p>
        </w:tc>
        <w:tc>
          <w:tcPr>
            <w:tcW w:w="1017" w:type="dxa"/>
            <w:noWrap/>
            <w:vAlign w:val="center"/>
          </w:tcPr>
          <w:p w14:paraId="243C7D87">
            <w:pPr>
              <w:keepNext w:val="0"/>
              <w:keepLines w:val="0"/>
              <w:pageBreakBefore w:val="0"/>
              <w:widowControl/>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分值</w:t>
            </w:r>
          </w:p>
        </w:tc>
        <w:tc>
          <w:tcPr>
            <w:tcW w:w="6359" w:type="dxa"/>
            <w:noWrap/>
            <w:vAlign w:val="center"/>
          </w:tcPr>
          <w:p w14:paraId="0E389839">
            <w:pPr>
              <w:keepNext w:val="0"/>
              <w:keepLines w:val="0"/>
              <w:pageBreakBefore w:val="0"/>
              <w:widowControl/>
              <w:suppressLineNumbers w:val="0"/>
              <w:spacing w:before="0" w:beforeAutospacing="0" w:after="0" w:afterAutospacing="0" w:line="32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评审细则</w:t>
            </w:r>
          </w:p>
        </w:tc>
      </w:tr>
      <w:tr w14:paraId="2C413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noWrap/>
            <w:vAlign w:val="center"/>
          </w:tcPr>
          <w:p w14:paraId="1EA76C31">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46" w:type="dxa"/>
            <w:noWrap/>
            <w:vAlign w:val="center"/>
          </w:tcPr>
          <w:p w14:paraId="3D281123">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1017" w:type="dxa"/>
            <w:noWrap/>
            <w:vAlign w:val="center"/>
          </w:tcPr>
          <w:p w14:paraId="4D6CC55E">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p>
        </w:tc>
        <w:tc>
          <w:tcPr>
            <w:tcW w:w="6359" w:type="dxa"/>
            <w:noWrap/>
            <w:vAlign w:val="top"/>
          </w:tcPr>
          <w:p w14:paraId="464DB60A">
            <w:pPr>
              <w:keepNext w:val="0"/>
              <w:keepLines w:val="0"/>
              <w:pageBreakBefore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采用低价优先法，即满足招标文件要求且投标价格最低的有效投标报价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有效投标报价为未被评标委员会判定为无效标的投标文件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为评标基准价，其价格分为满分。</w:t>
            </w:r>
          </w:p>
          <w:p w14:paraId="504EFACC">
            <w:pPr>
              <w:keepNext w:val="0"/>
              <w:keepLines w:val="0"/>
              <w:pageBreakBefore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其他投标人的价格分统一按下列公式计算：投标报价得分＝（评标基准价/投标报价）×</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（小数点保留两位）。</w:t>
            </w:r>
          </w:p>
        </w:tc>
      </w:tr>
      <w:tr w14:paraId="77305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noWrap/>
            <w:vAlign w:val="center"/>
          </w:tcPr>
          <w:p w14:paraId="1C9AEE51">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246" w:type="dxa"/>
            <w:noWrap/>
            <w:vAlign w:val="center"/>
          </w:tcPr>
          <w:p w14:paraId="036974E8">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业绩</w:t>
            </w:r>
          </w:p>
        </w:tc>
        <w:tc>
          <w:tcPr>
            <w:tcW w:w="1017" w:type="dxa"/>
            <w:noWrap/>
            <w:vAlign w:val="center"/>
          </w:tcPr>
          <w:p w14:paraId="4AD2FB0B">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c>
          <w:tcPr>
            <w:tcW w:w="6359" w:type="dxa"/>
            <w:noWrap/>
            <w:vAlign w:val="center"/>
          </w:tcPr>
          <w:p w14:paraId="078ACAA3">
            <w:pPr>
              <w:keepNext w:val="0"/>
              <w:keepLines w:val="0"/>
              <w:pageBreakBefore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或产品制造商自2022年1月1日（以合同签订时间为准）以来，承担过与本项目核心内容类似的项目业绩【类似项目指：自动化搬运设备（如AGV/机器人）、仓储管理软件系统、生产与物流仿真、系统集成等一项或多项核心内容的实训中心、实验室或自动化集成等类似项目】的，每有一项得2分，本项最高得6分。不提供不得分。</w:t>
            </w:r>
          </w:p>
          <w:p w14:paraId="6A129726">
            <w:pPr>
              <w:keepNext w:val="0"/>
              <w:keepLines w:val="0"/>
              <w:pageBreakBefore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需提供业绩合同关键页（清晰体现签订时间、标的物、甲乙双方盖章）；若合同对核心设备或系统集成内容表述不够清晰，可额外补充提供加盖公章的技术适配说明、项目验收报告或经采购方确认的供货清单作为佐证。</w:t>
            </w:r>
          </w:p>
        </w:tc>
      </w:tr>
      <w:tr w14:paraId="02E6E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noWrap/>
            <w:vAlign w:val="center"/>
          </w:tcPr>
          <w:p w14:paraId="1461DFAC">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246" w:type="dxa"/>
            <w:noWrap/>
            <w:vAlign w:val="center"/>
          </w:tcPr>
          <w:p w14:paraId="3931D19A">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技术参数</w:t>
            </w:r>
            <w:r>
              <w:rPr>
                <w:rFonts w:hint="eastAsia" w:ascii="宋体" w:hAnsi="宋体" w:eastAsia="宋体" w:cs="宋体"/>
                <w:color w:val="auto"/>
                <w:sz w:val="21"/>
                <w:szCs w:val="21"/>
                <w:highlight w:val="none"/>
                <w:lang w:val="en-US" w:eastAsia="zh-CN"/>
              </w:rPr>
              <w:t>响应</w:t>
            </w:r>
          </w:p>
        </w:tc>
        <w:tc>
          <w:tcPr>
            <w:tcW w:w="1017" w:type="dxa"/>
            <w:noWrap/>
            <w:vAlign w:val="center"/>
          </w:tcPr>
          <w:p w14:paraId="26B9B4CA">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28</w:t>
            </w:r>
            <w:r>
              <w:rPr>
                <w:rFonts w:hint="eastAsia" w:ascii="宋体" w:hAnsi="宋体" w:eastAsia="宋体" w:cs="宋体"/>
                <w:color w:val="auto"/>
                <w:sz w:val="21"/>
                <w:szCs w:val="21"/>
                <w:highlight w:val="none"/>
              </w:rPr>
              <w:t>分</w:t>
            </w:r>
          </w:p>
        </w:tc>
        <w:tc>
          <w:tcPr>
            <w:tcW w:w="6359" w:type="dxa"/>
            <w:noWrap/>
            <w:vAlign w:val="center"/>
          </w:tcPr>
          <w:p w14:paraId="52AF06DE">
            <w:pPr>
              <w:keepNext w:val="0"/>
              <w:keepLines w:val="0"/>
              <w:pageBreakBefore w:val="0"/>
              <w:widowControl w:val="0"/>
              <w:suppressLineNumbers w:val="0"/>
              <w:spacing w:before="0" w:beforeAutospacing="0" w:after="0" w:afterAutospacing="0" w:line="320" w:lineRule="exact"/>
              <w:ind w:left="0" w:right="0"/>
              <w:rPr>
                <w:rFonts w:hint="eastAsia"/>
                <w:color w:val="auto"/>
              </w:rPr>
            </w:pPr>
            <w:r>
              <w:rPr>
                <w:rFonts w:hint="eastAsia" w:ascii="宋体" w:hAnsi="宋体" w:eastAsia="宋体" w:cs="宋体"/>
                <w:color w:val="auto"/>
                <w:sz w:val="21"/>
                <w:szCs w:val="21"/>
                <w:highlight w:val="none"/>
                <w:lang w:val="en-US" w:eastAsia="zh-CN" w:bidi="ar-SA"/>
              </w:rPr>
              <w:t>采购需求中标注“▲”的技术参数为重要技术指标，共7项，有一项满足的得4分，本项最高加28分。</w:t>
            </w:r>
          </w:p>
          <w:p w14:paraId="64F0D7C7">
            <w:pPr>
              <w:keepNext w:val="0"/>
              <w:keepLines w:val="0"/>
              <w:pageBreakBefore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注：有效证明材料形式可包括：招标文件指定的证明文件（如有）、产品官方彩页（需注明发布日期）、原厂说明书、产品技术白皮书（须由产品研发主体出具）</w:t>
            </w:r>
            <w:r>
              <w:rPr>
                <w:rFonts w:hint="eastAsia" w:ascii="宋体" w:hAnsi="宋体" w:eastAsia="宋体" w:cs="宋体"/>
                <w:color w:val="0000FF"/>
                <w:sz w:val="21"/>
                <w:szCs w:val="21"/>
                <w:highlight w:val="none"/>
                <w:lang w:val="en-US" w:eastAsia="zh-CN" w:bidi="ar-SA"/>
              </w:rPr>
              <w:t>等能够证明技术参数符合要求的材料</w:t>
            </w:r>
            <w:r>
              <w:rPr>
                <w:rFonts w:hint="eastAsia" w:ascii="宋体" w:hAnsi="宋体" w:eastAsia="宋体" w:cs="宋体"/>
                <w:color w:val="auto"/>
                <w:sz w:val="21"/>
                <w:szCs w:val="21"/>
                <w:highlight w:val="none"/>
                <w:lang w:val="en-US" w:eastAsia="zh-CN" w:bidi="ar-SA"/>
              </w:rPr>
              <w:t>或承诺在中标后合同签订前提供具备相应认证资质的第三方检测机构出具的检验报告（承诺函格式自拟，相关检测费用由中标人承担）。</w:t>
            </w:r>
          </w:p>
        </w:tc>
      </w:tr>
      <w:tr w14:paraId="2981F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8" w:type="dxa"/>
            <w:noWrap/>
            <w:vAlign w:val="center"/>
          </w:tcPr>
          <w:p w14:paraId="03DD320B">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246" w:type="dxa"/>
            <w:noWrap/>
            <w:vAlign w:val="center"/>
          </w:tcPr>
          <w:p w14:paraId="00654ABF">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视频演示</w:t>
            </w:r>
          </w:p>
        </w:tc>
        <w:tc>
          <w:tcPr>
            <w:tcW w:w="1017" w:type="dxa"/>
            <w:noWrap/>
            <w:vAlign w:val="center"/>
          </w:tcPr>
          <w:p w14:paraId="620171A0">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12分</w:t>
            </w:r>
          </w:p>
        </w:tc>
        <w:tc>
          <w:tcPr>
            <w:tcW w:w="6359" w:type="dxa"/>
            <w:noWrap/>
            <w:vAlign w:val="center"/>
          </w:tcPr>
          <w:p w14:paraId="12937A97">
            <w:pPr>
              <w:pStyle w:val="213"/>
              <w:keepNext w:val="0"/>
              <w:keepLines w:val="0"/>
              <w:pageBreakBefore w:val="0"/>
              <w:widowControl w:val="0"/>
              <w:suppressLineNumbers w:val="0"/>
              <w:spacing w:before="0" w:beforeAutospacing="0" w:after="0" w:afterAutospacing="0"/>
              <w:ind w:left="0" w:right="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1.演示一（2分）</w:t>
            </w:r>
          </w:p>
          <w:p w14:paraId="27C0CEFD">
            <w:pPr>
              <w:pStyle w:val="213"/>
              <w:keepNext w:val="0"/>
              <w:keepLines w:val="0"/>
              <w:pageBreakBefore w:val="0"/>
              <w:widowControl w:val="0"/>
              <w:suppressLineNumbers w:val="0"/>
              <w:spacing w:before="0" w:beforeAutospacing="0" w:after="0" w:afterAutospacing="0"/>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供应商根据本项目第四章 采购需求中“★③包含自动化监控生产任务，进行生产过程模拟”要求提供演示，并能满</w:t>
            </w:r>
            <w:r>
              <w:rPr>
                <w:rFonts w:hint="eastAsia" w:ascii="宋体" w:hAnsi="宋体" w:eastAsia="宋体" w:cs="宋体"/>
                <w:color w:val="auto"/>
                <w:sz w:val="21"/>
                <w:szCs w:val="21"/>
                <w:highlight w:val="none"/>
                <w:lang w:val="en-US" w:eastAsia="zh-CN"/>
              </w:rPr>
              <w:t>足参数要求的得2分，不满足参数要求或缺少演示点或不提供演示的得0分，本项最高得2分。</w:t>
            </w:r>
          </w:p>
          <w:p w14:paraId="3722AA21">
            <w:pPr>
              <w:pStyle w:val="213"/>
              <w:keepNext w:val="0"/>
              <w:keepLines w:val="0"/>
              <w:pageBreakBefore w:val="0"/>
              <w:widowControl w:val="0"/>
              <w:suppressLineNumbers w:val="0"/>
              <w:spacing w:before="0" w:beforeAutospacing="0" w:after="0" w:afterAutospacing="0"/>
              <w:ind w:left="0" w:right="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2.演示二（2分）</w:t>
            </w:r>
          </w:p>
          <w:p w14:paraId="61228477">
            <w:pPr>
              <w:pStyle w:val="213"/>
              <w:keepNext w:val="0"/>
              <w:keepLines w:val="0"/>
              <w:pageBreakBefore w:val="0"/>
              <w:widowControl w:val="0"/>
              <w:suppressLineNumbers w:val="0"/>
              <w:spacing w:before="0" w:beforeAutospacing="0" w:after="0" w:afterAutospacing="0"/>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供应商根据本项目第四章 采购需求中“</w:t>
            </w:r>
            <w:r>
              <w:rPr>
                <w:rFonts w:hint="eastAsia" w:ascii="宋体" w:hAnsi="宋体" w:eastAsia="宋体" w:cs="宋体"/>
                <w:color w:val="auto"/>
                <w:sz w:val="21"/>
                <w:szCs w:val="21"/>
                <w:highlight w:val="none"/>
              </w:rPr>
              <w:t>★⑨</w:t>
            </w:r>
            <w:r>
              <w:rPr>
                <w:rFonts w:hint="eastAsia" w:ascii="宋体" w:hAnsi="宋体" w:cs="宋体"/>
                <w:color w:val="auto"/>
                <w:sz w:val="21"/>
                <w:szCs w:val="21"/>
                <w:highlight w:val="none"/>
              </w:rPr>
              <w:t>可视化查询管理</w:t>
            </w:r>
            <w:r>
              <w:rPr>
                <w:rFonts w:hint="eastAsia" w:ascii="宋体" w:hAnsi="宋体" w:cs="宋体"/>
                <w:color w:val="auto"/>
                <w:sz w:val="21"/>
                <w:szCs w:val="21"/>
                <w:highlight w:val="none"/>
                <w:u w:val="none"/>
                <w:lang w:val="en-US" w:eastAsia="zh-CN" w:bidi="ar-SA"/>
              </w:rPr>
              <w:t>”</w:t>
            </w:r>
            <w:r>
              <w:rPr>
                <w:rFonts w:hint="eastAsia" w:ascii="宋体" w:hAnsi="宋体" w:eastAsia="宋体" w:cs="宋体"/>
                <w:b w:val="0"/>
                <w:bCs/>
                <w:color w:val="auto"/>
                <w:sz w:val="21"/>
                <w:szCs w:val="21"/>
                <w:highlight w:val="none"/>
                <w:lang w:val="en-US" w:eastAsia="zh-CN"/>
              </w:rPr>
              <w:t>要求提供演示，并能满</w:t>
            </w:r>
            <w:r>
              <w:rPr>
                <w:rFonts w:hint="eastAsia" w:ascii="宋体" w:hAnsi="宋体" w:eastAsia="宋体" w:cs="宋体"/>
                <w:color w:val="auto"/>
                <w:sz w:val="21"/>
                <w:szCs w:val="21"/>
                <w:highlight w:val="none"/>
                <w:lang w:val="en-US" w:eastAsia="zh-CN"/>
              </w:rPr>
              <w:t>足参数要求的得2分，不满足参数要求或缺少演示点或不提供演示的得0分，本项最高得2分。</w:t>
            </w:r>
          </w:p>
          <w:p w14:paraId="2D74C9FA">
            <w:pPr>
              <w:pStyle w:val="213"/>
              <w:keepNext w:val="0"/>
              <w:keepLines w:val="0"/>
              <w:pageBreakBefore w:val="0"/>
              <w:widowControl w:val="0"/>
              <w:suppressLineNumbers w:val="0"/>
              <w:spacing w:before="0" w:beforeAutospacing="0" w:after="0" w:afterAutospacing="0"/>
              <w:ind w:left="0" w:right="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3.演示三（2分）</w:t>
            </w:r>
          </w:p>
          <w:p w14:paraId="6AB57C06">
            <w:pPr>
              <w:pStyle w:val="213"/>
              <w:keepNext w:val="0"/>
              <w:keepLines w:val="0"/>
              <w:pageBreakBefore w:val="0"/>
              <w:widowControl w:val="0"/>
              <w:suppressLineNumbers w:val="0"/>
              <w:spacing w:before="0" w:beforeAutospacing="0" w:after="0" w:afterAutospacing="0"/>
              <w:ind w:left="0" w:right="0"/>
              <w:jc w:val="both"/>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供应商根据本项目第四章</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b w:val="0"/>
                <w:bCs/>
                <w:color w:val="auto"/>
                <w:sz w:val="21"/>
                <w:szCs w:val="21"/>
                <w:highlight w:val="none"/>
                <w:lang w:val="en-US" w:eastAsia="zh-CN"/>
              </w:rPr>
              <w:t>采购需求中“</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rPr>
              <w:t>(2)</w:t>
            </w:r>
            <w:r>
              <w:rPr>
                <w:rFonts w:hint="eastAsia"/>
                <w:color w:val="auto"/>
                <w:sz w:val="21"/>
                <w:szCs w:val="21"/>
                <w:highlight w:val="none"/>
              </w:rPr>
              <w:t>订单操作</w:t>
            </w:r>
            <w:r>
              <w:rPr>
                <w:rFonts w:hint="eastAsia" w:ascii="宋体" w:hAnsi="宋体" w:cs="宋体"/>
                <w:color w:val="auto"/>
                <w:sz w:val="21"/>
                <w:szCs w:val="21"/>
                <w:highlight w:val="none"/>
                <w:u w:val="none"/>
                <w:lang w:val="en-US" w:eastAsia="zh-CN" w:bidi="ar-SA"/>
              </w:rPr>
              <w:t>”</w:t>
            </w:r>
            <w:r>
              <w:rPr>
                <w:rFonts w:hint="eastAsia" w:ascii="宋体" w:hAnsi="宋体" w:eastAsia="宋体" w:cs="宋体"/>
                <w:b w:val="0"/>
                <w:bCs w:val="0"/>
                <w:color w:val="auto"/>
                <w:sz w:val="21"/>
                <w:szCs w:val="21"/>
                <w:highlight w:val="none"/>
                <w:lang w:val="en-US" w:eastAsia="zh-CN"/>
              </w:rPr>
              <w:t>要求提供演示，并能满</w:t>
            </w:r>
            <w:r>
              <w:rPr>
                <w:rFonts w:hint="eastAsia" w:ascii="宋体" w:hAnsi="宋体" w:eastAsia="宋体" w:cs="宋体"/>
                <w:color w:val="auto"/>
                <w:sz w:val="21"/>
                <w:szCs w:val="21"/>
                <w:highlight w:val="none"/>
                <w:lang w:val="en-US" w:eastAsia="zh-CN"/>
              </w:rPr>
              <w:t>足参数要求的得2分，不满足参数要求或缺少演示点或不提供演示的得0分，本项最高得2分。</w:t>
            </w:r>
          </w:p>
          <w:p w14:paraId="05CEB9A2">
            <w:pPr>
              <w:pStyle w:val="213"/>
              <w:keepNext w:val="0"/>
              <w:keepLines w:val="0"/>
              <w:pageBreakBefore w:val="0"/>
              <w:widowControl w:val="0"/>
              <w:suppressLineNumbers w:val="0"/>
              <w:spacing w:before="0" w:beforeAutospacing="0" w:after="0" w:afterAutospacing="0"/>
              <w:ind w:left="0" w:right="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4.演示四（2分）</w:t>
            </w:r>
          </w:p>
          <w:p w14:paraId="24FAC708">
            <w:pPr>
              <w:pStyle w:val="213"/>
              <w:keepNext w:val="0"/>
              <w:keepLines w:val="0"/>
              <w:pageBreakBefore w:val="0"/>
              <w:widowControl w:val="0"/>
              <w:suppressLineNumbers w:val="0"/>
              <w:spacing w:before="0" w:beforeAutospacing="0" w:after="0" w:afterAutospacing="0"/>
              <w:ind w:left="0" w:right="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供应商根据本项目第四章</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b w:val="0"/>
                <w:bCs/>
                <w:color w:val="auto"/>
                <w:sz w:val="21"/>
                <w:szCs w:val="21"/>
                <w:highlight w:val="none"/>
                <w:lang w:val="en-US" w:eastAsia="zh-CN"/>
              </w:rPr>
              <w:t>采购需求中“</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rPr>
              <w:t>(2)</w:t>
            </w:r>
            <w:r>
              <w:rPr>
                <w:rFonts w:hint="eastAsia"/>
                <w:color w:val="auto"/>
                <w:sz w:val="21"/>
                <w:szCs w:val="21"/>
                <w:highlight w:val="none"/>
              </w:rPr>
              <w:t>财务及业务模块</w:t>
            </w:r>
            <w:r>
              <w:rPr>
                <w:rFonts w:hint="eastAsia" w:ascii="宋体" w:hAnsi="宋体" w:cs="宋体"/>
                <w:color w:val="auto"/>
                <w:sz w:val="21"/>
                <w:szCs w:val="21"/>
                <w:highlight w:val="none"/>
                <w:u w:val="none"/>
                <w:lang w:val="en-US" w:eastAsia="zh-CN" w:bidi="ar-SA"/>
              </w:rPr>
              <w:t>”</w:t>
            </w:r>
            <w:r>
              <w:rPr>
                <w:rFonts w:hint="eastAsia" w:ascii="宋体" w:hAnsi="宋体" w:eastAsia="宋体" w:cs="宋体"/>
                <w:b w:val="0"/>
                <w:bCs w:val="0"/>
                <w:color w:val="auto"/>
                <w:sz w:val="21"/>
                <w:szCs w:val="21"/>
                <w:highlight w:val="none"/>
                <w:lang w:val="en-US" w:eastAsia="zh-CN"/>
              </w:rPr>
              <w:t>要求提供演示，并能满足参数要求的得2分，不满足参数要求或缺少演示点或不提供演示的得0分，本项最高得2分。</w:t>
            </w:r>
          </w:p>
          <w:p w14:paraId="2E653890">
            <w:pPr>
              <w:pStyle w:val="213"/>
              <w:keepNext w:val="0"/>
              <w:keepLines w:val="0"/>
              <w:pageBreakBefore w:val="0"/>
              <w:widowControl w:val="0"/>
              <w:suppressLineNumbers w:val="0"/>
              <w:spacing w:before="0" w:beforeAutospacing="0" w:after="0" w:afterAutospacing="0"/>
              <w:ind w:left="0" w:right="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5.演示五（2分）</w:t>
            </w:r>
          </w:p>
          <w:p w14:paraId="00518C06">
            <w:pPr>
              <w:pStyle w:val="213"/>
              <w:keepNext w:val="0"/>
              <w:keepLines w:val="0"/>
              <w:pageBreakBefore w:val="0"/>
              <w:widowControl w:val="0"/>
              <w:suppressLineNumbers w:val="0"/>
              <w:spacing w:before="0" w:beforeAutospacing="0" w:after="0" w:afterAutospacing="0"/>
              <w:ind w:left="0" w:right="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供应商根据本项目第四章</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b w:val="0"/>
                <w:bCs/>
                <w:color w:val="auto"/>
                <w:sz w:val="21"/>
                <w:szCs w:val="21"/>
                <w:highlight w:val="none"/>
                <w:lang w:val="en-US" w:eastAsia="zh-CN"/>
              </w:rPr>
              <w:t>采购需求中“</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rPr>
              <w:t>(4)</w:t>
            </w:r>
            <w:r>
              <w:rPr>
                <w:rFonts w:hint="eastAsia"/>
                <w:color w:val="auto"/>
                <w:sz w:val="21"/>
                <w:szCs w:val="21"/>
                <w:highlight w:val="none"/>
              </w:rPr>
              <w:t>干线模块</w:t>
            </w:r>
            <w:r>
              <w:rPr>
                <w:rFonts w:hint="eastAsia" w:ascii="宋体" w:hAnsi="宋体" w:cs="宋体"/>
                <w:color w:val="auto"/>
                <w:sz w:val="21"/>
                <w:szCs w:val="21"/>
                <w:highlight w:val="none"/>
                <w:u w:val="none"/>
                <w:lang w:val="en-US" w:eastAsia="zh-CN" w:bidi="ar-SA"/>
              </w:rPr>
              <w:t>”</w:t>
            </w:r>
            <w:r>
              <w:rPr>
                <w:rFonts w:hint="eastAsia" w:ascii="宋体" w:hAnsi="宋体" w:eastAsia="宋体" w:cs="宋体"/>
                <w:color w:val="auto"/>
                <w:sz w:val="21"/>
                <w:szCs w:val="21"/>
                <w:highlight w:val="none"/>
                <w:lang w:val="en-US" w:eastAsia="zh-CN"/>
              </w:rPr>
              <w:t>要求提供演示，并能满足参数要求的得2分，不满足参数要求或缺少演示点或不提供演示的得0分，本项最高得2分。</w:t>
            </w:r>
          </w:p>
          <w:p w14:paraId="36FC8902">
            <w:pPr>
              <w:pStyle w:val="213"/>
              <w:keepNext w:val="0"/>
              <w:keepLines w:val="0"/>
              <w:pageBreakBefore w:val="0"/>
              <w:widowControl w:val="0"/>
              <w:suppressLineNumbers w:val="0"/>
              <w:spacing w:before="0" w:beforeAutospacing="0" w:after="0" w:afterAutospacing="0"/>
              <w:ind w:left="0" w:right="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6.演示六（2分）</w:t>
            </w:r>
          </w:p>
          <w:p w14:paraId="4985A8DF">
            <w:pPr>
              <w:pStyle w:val="213"/>
              <w:keepNext w:val="0"/>
              <w:keepLines w:val="0"/>
              <w:pageBreakBefore w:val="0"/>
              <w:widowControl w:val="0"/>
              <w:suppressLineNumbers w:val="0"/>
              <w:spacing w:before="0" w:beforeAutospacing="0" w:after="0" w:afterAutospacing="0"/>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供应商根据本项目第四章</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b w:val="0"/>
                <w:bCs w:val="0"/>
                <w:color w:val="auto"/>
                <w:sz w:val="21"/>
                <w:szCs w:val="21"/>
                <w:highlight w:val="none"/>
                <w:lang w:val="en-US" w:eastAsia="zh-CN"/>
              </w:rPr>
              <w:t>采购需求中“</w:t>
            </w:r>
            <w:r>
              <w:rPr>
                <w:rFonts w:hint="eastAsia" w:ascii="宋体" w:hAnsi="宋体" w:eastAsia="宋体" w:cs="宋体"/>
                <w:b w:val="0"/>
                <w:bCs w:val="0"/>
                <w:color w:val="auto"/>
                <w:szCs w:val="21"/>
                <w:highlight w:val="none"/>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仓储作业数据查询</w:t>
            </w:r>
            <w:r>
              <w:rPr>
                <w:rFonts w:hint="eastAsia" w:ascii="宋体" w:hAnsi="宋体" w:eastAsia="宋体" w:cs="宋体"/>
                <w:color w:val="auto"/>
                <w:sz w:val="21"/>
                <w:szCs w:val="21"/>
                <w:highlight w:val="none"/>
                <w:u w:val="none"/>
                <w:lang w:val="en-US" w:eastAsia="zh-CN" w:bidi="ar-SA"/>
              </w:rPr>
              <w:t>”</w:t>
            </w:r>
            <w:r>
              <w:rPr>
                <w:rFonts w:hint="eastAsia" w:ascii="宋体" w:hAnsi="宋体" w:eastAsia="宋体" w:cs="宋体"/>
                <w:color w:val="auto"/>
                <w:sz w:val="21"/>
                <w:szCs w:val="21"/>
                <w:highlight w:val="none"/>
                <w:lang w:val="en-US" w:eastAsia="zh-CN"/>
              </w:rPr>
              <w:t>要求提供演示，并能满足参数要求的得2分，不满足参数要求或缺少演示点或不提供演示的得0分，本项最高得2分。</w:t>
            </w:r>
          </w:p>
        </w:tc>
      </w:tr>
      <w:tr w14:paraId="04C22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jc w:val="center"/>
        </w:trPr>
        <w:tc>
          <w:tcPr>
            <w:tcW w:w="658" w:type="dxa"/>
            <w:noWrap/>
            <w:vAlign w:val="center"/>
          </w:tcPr>
          <w:p w14:paraId="10FC9415">
            <w:pPr>
              <w:keepNext w:val="0"/>
              <w:keepLines w:val="0"/>
              <w:pageBreakBefore w:val="0"/>
              <w:suppressLineNumbers w:val="0"/>
              <w:spacing w:before="0" w:beforeAutospacing="0" w:after="0" w:afterAutospacing="0" w:line="320" w:lineRule="exact"/>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246" w:type="dxa"/>
            <w:noWrap/>
            <w:vAlign w:val="center"/>
          </w:tcPr>
          <w:p w14:paraId="7B2AF09A">
            <w:pPr>
              <w:keepNext w:val="0"/>
              <w:keepLines w:val="0"/>
              <w:pageBreakBefore w:val="0"/>
              <w:suppressLineNumbers w:val="0"/>
              <w:spacing w:before="0" w:beforeAutospacing="0" w:after="0" w:afterAutospacing="0" w:line="320" w:lineRule="exact"/>
              <w:ind w:left="0" w:right="0"/>
              <w:jc w:val="center"/>
              <w:rPr>
                <w:rFonts w:hint="default" w:ascii="宋体" w:hAnsi="宋体" w:eastAsia="宋体" w:cs="宋体"/>
                <w:color w:val="auto"/>
                <w:sz w:val="21"/>
                <w:szCs w:val="21"/>
                <w:highlight w:val="none"/>
                <w:u w:val="none"/>
                <w:lang w:val="en-US" w:eastAsia="zh-CN" w:bidi="ar-SA"/>
              </w:rPr>
            </w:pPr>
            <w:r>
              <w:rPr>
                <w:rFonts w:hint="eastAsia" w:ascii="宋体" w:hAnsi="宋体" w:cs="宋体"/>
                <w:color w:val="auto"/>
                <w:sz w:val="21"/>
                <w:szCs w:val="21"/>
                <w:highlight w:val="none"/>
                <w:u w:val="none"/>
                <w:lang w:val="en-US" w:eastAsia="zh-CN"/>
              </w:rPr>
              <w:t>质保期承诺</w:t>
            </w:r>
          </w:p>
        </w:tc>
        <w:tc>
          <w:tcPr>
            <w:tcW w:w="1017" w:type="dxa"/>
            <w:noWrap/>
            <w:vAlign w:val="center"/>
          </w:tcPr>
          <w:p w14:paraId="400F49D7">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u w:val="none"/>
                <w:lang w:val="en-US" w:eastAsia="zh-CN" w:bidi="ar-SA"/>
              </w:rPr>
            </w:pPr>
            <w:r>
              <w:rPr>
                <w:rFonts w:hint="eastAsia" w:ascii="宋体" w:hAnsi="宋体" w:cs="宋体"/>
                <w:color w:val="auto"/>
                <w:sz w:val="21"/>
                <w:szCs w:val="21"/>
                <w:highlight w:val="none"/>
                <w:u w:val="none"/>
                <w:lang w:val="en-US" w:eastAsia="zh-CN"/>
              </w:rPr>
              <w:t>2分</w:t>
            </w:r>
          </w:p>
        </w:tc>
        <w:tc>
          <w:tcPr>
            <w:tcW w:w="6359" w:type="dxa"/>
            <w:noWrap/>
            <w:vAlign w:val="center"/>
          </w:tcPr>
          <w:p w14:paraId="69056124">
            <w:pPr>
              <w:pStyle w:val="231"/>
              <w:keepNext w:val="0"/>
              <w:keepLines w:val="0"/>
              <w:pageBreakBefore w:val="0"/>
              <w:widowControl/>
              <w:suppressLineNumbers w:val="0"/>
              <w:spacing w:before="0" w:beforeAutospacing="0" w:after="0" w:afterAutospacing="0" w:line="320" w:lineRule="exact"/>
              <w:ind w:left="0" w:right="0" w:firstLine="0"/>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供应商提供的货物及软件免费质保期不低于3年（自最终验收合格之日起计算），在此基础上每额外增加1年免费质保期，加1分，本项最高加</w:t>
            </w:r>
            <w:r>
              <w:rPr>
                <w:rFonts w:hint="eastAsia" w:cs="宋体"/>
                <w:color w:val="auto"/>
                <w:sz w:val="21"/>
                <w:szCs w:val="21"/>
                <w:highlight w:val="none"/>
                <w:u w:val="none"/>
                <w:lang w:val="en-US" w:eastAsia="zh-CN" w:bidi="ar-SA"/>
              </w:rPr>
              <w:t>2</w:t>
            </w:r>
            <w:r>
              <w:rPr>
                <w:rFonts w:hint="eastAsia" w:ascii="宋体" w:hAnsi="宋体" w:eastAsia="宋体" w:cs="宋体"/>
                <w:color w:val="auto"/>
                <w:sz w:val="21"/>
                <w:szCs w:val="21"/>
                <w:highlight w:val="none"/>
                <w:u w:val="none"/>
                <w:lang w:val="en-US" w:eastAsia="zh-CN" w:bidi="ar-SA"/>
              </w:rPr>
              <w:t>分。</w:t>
            </w:r>
          </w:p>
          <w:p w14:paraId="65651EF2">
            <w:pPr>
              <w:pStyle w:val="231"/>
              <w:keepNext w:val="0"/>
              <w:keepLines w:val="0"/>
              <w:pageBreakBefore w:val="0"/>
              <w:widowControl/>
              <w:suppressLineNumbers w:val="0"/>
              <w:spacing w:before="0" w:beforeAutospacing="0" w:after="0" w:afterAutospacing="0" w:line="320" w:lineRule="exact"/>
              <w:ind w:left="0" w:right="0" w:firstLine="0"/>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注：须提供加盖供应商公章的质保承诺函（格式自拟），承诺函</w:t>
            </w:r>
            <w:r>
              <w:rPr>
                <w:rFonts w:hint="eastAsia" w:cs="宋体"/>
                <w:color w:val="auto"/>
                <w:sz w:val="21"/>
                <w:szCs w:val="21"/>
                <w:highlight w:val="none"/>
                <w:u w:val="none"/>
                <w:lang w:val="en-US" w:eastAsia="zh-CN" w:bidi="ar-SA"/>
              </w:rPr>
              <w:t>至少应包含</w:t>
            </w:r>
            <w:r>
              <w:rPr>
                <w:rFonts w:hint="eastAsia" w:ascii="宋体" w:hAnsi="宋体" w:eastAsia="宋体" w:cs="宋体"/>
                <w:color w:val="auto"/>
                <w:sz w:val="21"/>
                <w:szCs w:val="21"/>
                <w:highlight w:val="none"/>
                <w:u w:val="none"/>
                <w:lang w:val="en-US" w:eastAsia="zh-CN" w:bidi="ar-SA"/>
              </w:rPr>
              <w:t>免费质保期总时长、质保范围及质保期内服务标准</w:t>
            </w:r>
            <w:r>
              <w:rPr>
                <w:rFonts w:hint="eastAsia" w:cs="宋体"/>
                <w:color w:val="auto"/>
                <w:sz w:val="21"/>
                <w:szCs w:val="21"/>
                <w:highlight w:val="none"/>
                <w:u w:val="none"/>
                <w:lang w:val="en-US" w:eastAsia="zh-CN" w:bidi="ar-SA"/>
              </w:rPr>
              <w:t>。</w:t>
            </w:r>
          </w:p>
        </w:tc>
      </w:tr>
      <w:tr w14:paraId="7A0F1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vMerge w:val="restart"/>
            <w:noWrap/>
            <w:vAlign w:val="center"/>
          </w:tcPr>
          <w:p w14:paraId="34074581">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p>
        </w:tc>
        <w:tc>
          <w:tcPr>
            <w:tcW w:w="1246" w:type="dxa"/>
            <w:vMerge w:val="restart"/>
            <w:noWrap/>
            <w:vAlign w:val="center"/>
          </w:tcPr>
          <w:p w14:paraId="64CE601F">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项目实施及售后服务方案</w:t>
            </w:r>
          </w:p>
        </w:tc>
        <w:tc>
          <w:tcPr>
            <w:tcW w:w="1017" w:type="dxa"/>
            <w:vMerge w:val="restart"/>
            <w:noWrap/>
            <w:vAlign w:val="center"/>
          </w:tcPr>
          <w:p w14:paraId="1BDBFD69">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分</w:t>
            </w:r>
          </w:p>
        </w:tc>
        <w:tc>
          <w:tcPr>
            <w:tcW w:w="6359" w:type="dxa"/>
            <w:noWrap/>
            <w:vAlign w:val="center"/>
          </w:tcPr>
          <w:p w14:paraId="1895C22D">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b/>
                <w:bCs/>
                <w:color w:val="auto"/>
                <w:sz w:val="21"/>
                <w:szCs w:val="21"/>
                <w:highlight w:val="none"/>
                <w:u w:val="none"/>
                <w:lang w:eastAsia="zh-CN"/>
              </w:rPr>
            </w:pPr>
            <w:r>
              <w:rPr>
                <w:rFonts w:hint="eastAsia" w:ascii="宋体" w:hAnsi="宋体" w:eastAsia="宋体" w:cs="宋体"/>
                <w:b/>
                <w:bCs/>
                <w:color w:val="auto"/>
                <w:sz w:val="21"/>
                <w:szCs w:val="21"/>
                <w:highlight w:val="none"/>
                <w:u w:val="none"/>
                <w:lang w:val="en-US" w:eastAsia="zh-CN"/>
              </w:rPr>
              <w:t>1.</w:t>
            </w:r>
            <w:r>
              <w:rPr>
                <w:rFonts w:hint="eastAsia" w:ascii="宋体" w:hAnsi="宋体" w:eastAsia="宋体" w:cs="宋体"/>
                <w:b/>
                <w:bCs/>
                <w:color w:val="auto"/>
                <w:sz w:val="21"/>
                <w:szCs w:val="21"/>
                <w:highlight w:val="none"/>
                <w:u w:val="none"/>
              </w:rPr>
              <w:t>安装</w:t>
            </w:r>
            <w:r>
              <w:rPr>
                <w:rFonts w:hint="eastAsia" w:ascii="宋体" w:hAnsi="宋体" w:eastAsia="宋体" w:cs="宋体"/>
                <w:b/>
                <w:bCs/>
                <w:color w:val="auto"/>
                <w:sz w:val="21"/>
                <w:szCs w:val="21"/>
                <w:highlight w:val="none"/>
                <w:u w:val="none"/>
                <w:lang w:eastAsia="zh-CN"/>
              </w:rPr>
              <w:t>、</w:t>
            </w:r>
            <w:r>
              <w:rPr>
                <w:rFonts w:hint="eastAsia" w:ascii="宋体" w:hAnsi="宋体" w:eastAsia="宋体" w:cs="宋体"/>
                <w:b/>
                <w:bCs/>
                <w:color w:val="auto"/>
                <w:sz w:val="21"/>
                <w:szCs w:val="21"/>
                <w:highlight w:val="none"/>
                <w:u w:val="none"/>
              </w:rPr>
              <w:t>调试及验收</w:t>
            </w:r>
            <w:r>
              <w:rPr>
                <w:rFonts w:hint="eastAsia" w:ascii="宋体" w:hAnsi="宋体" w:eastAsia="宋体" w:cs="宋体"/>
                <w:b/>
                <w:bCs/>
                <w:color w:val="auto"/>
                <w:sz w:val="21"/>
                <w:szCs w:val="21"/>
                <w:highlight w:val="none"/>
                <w:u w:val="none"/>
                <w:lang w:eastAsia="zh-CN"/>
              </w:rPr>
              <w:t>（</w:t>
            </w:r>
            <w:r>
              <w:rPr>
                <w:rFonts w:hint="eastAsia" w:ascii="宋体" w:hAnsi="宋体" w:eastAsia="宋体" w:cs="宋体"/>
                <w:b/>
                <w:bCs/>
                <w:color w:val="auto"/>
                <w:sz w:val="21"/>
                <w:szCs w:val="21"/>
                <w:highlight w:val="none"/>
                <w:u w:val="none"/>
                <w:lang w:val="en-US" w:eastAsia="zh-CN"/>
              </w:rPr>
              <w:t>7</w:t>
            </w:r>
            <w:r>
              <w:rPr>
                <w:rFonts w:hint="eastAsia" w:ascii="宋体" w:hAnsi="宋体" w:cs="宋体"/>
                <w:b/>
                <w:bCs/>
                <w:color w:val="auto"/>
                <w:sz w:val="21"/>
                <w:szCs w:val="21"/>
                <w:highlight w:val="none"/>
                <w:u w:val="none"/>
                <w:lang w:val="en-US" w:eastAsia="zh-CN"/>
              </w:rPr>
              <w:t>分</w:t>
            </w:r>
            <w:r>
              <w:rPr>
                <w:rFonts w:hint="eastAsia" w:ascii="宋体" w:hAnsi="宋体" w:eastAsia="宋体" w:cs="宋体"/>
                <w:b/>
                <w:bCs/>
                <w:color w:val="auto"/>
                <w:sz w:val="21"/>
                <w:szCs w:val="21"/>
                <w:highlight w:val="none"/>
                <w:u w:val="none"/>
                <w:lang w:eastAsia="zh-CN"/>
              </w:rPr>
              <w:t>）</w:t>
            </w:r>
          </w:p>
          <w:p w14:paraId="4D097281">
            <w:pPr>
              <w:pStyle w:val="231"/>
              <w:keepNext w:val="0"/>
              <w:keepLines w:val="0"/>
              <w:pageBreakBefore w:val="0"/>
              <w:widowControl/>
              <w:suppressLineNumbers w:val="0"/>
              <w:spacing w:before="0" w:beforeAutospacing="0" w:after="0" w:afterAutospacing="0" w:line="320" w:lineRule="exact"/>
              <w:ind w:left="0" w:right="0" w:firstLine="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供应商根据本项目第四章“1.安装、调试及验收方案”要求</w:t>
            </w:r>
            <w:r>
              <w:rPr>
                <w:rFonts w:hint="eastAsia" w:ascii="宋体" w:hAnsi="宋体" w:eastAsia="宋体" w:cs="宋体"/>
                <w:color w:val="auto"/>
                <w:sz w:val="21"/>
                <w:szCs w:val="21"/>
                <w:highlight w:val="none"/>
                <w:u w:val="none"/>
                <w:lang w:val="en-US" w:eastAsia="zh-CN"/>
              </w:rPr>
              <w:t>提供技术方案</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至少包括以下内容：</w:t>
            </w:r>
            <w:r>
              <w:rPr>
                <w:rFonts w:hint="eastAsia" w:ascii="宋体" w:hAnsi="宋体" w:eastAsia="宋体" w:cs="宋体"/>
                <w:color w:val="auto"/>
                <w:sz w:val="21"/>
                <w:szCs w:val="21"/>
                <w:highlight w:val="none"/>
                <w:u w:val="none"/>
              </w:rPr>
              <w:t>（1）安装计划；（2）安装</w:t>
            </w:r>
            <w:r>
              <w:rPr>
                <w:rFonts w:hint="eastAsia" w:ascii="宋体" w:hAnsi="宋体" w:eastAsia="宋体" w:cs="宋体"/>
                <w:color w:val="auto"/>
                <w:sz w:val="21"/>
                <w:szCs w:val="21"/>
                <w:highlight w:val="none"/>
                <w:u w:val="none"/>
                <w:lang w:val="en-US" w:eastAsia="zh-CN"/>
              </w:rPr>
              <w:t>及维护</w:t>
            </w:r>
            <w:r>
              <w:rPr>
                <w:rFonts w:hint="eastAsia" w:ascii="宋体" w:hAnsi="宋体" w:eastAsia="宋体" w:cs="宋体"/>
                <w:color w:val="auto"/>
                <w:sz w:val="21"/>
                <w:szCs w:val="21"/>
                <w:highlight w:val="none"/>
                <w:u w:val="none"/>
              </w:rPr>
              <w:t>人员配置；（3）调试方案；（</w:t>
            </w:r>
            <w:r>
              <w:rPr>
                <w:rFonts w:hint="eastAsia" w:cs="宋体"/>
                <w:color w:val="auto"/>
                <w:sz w:val="21"/>
                <w:szCs w:val="21"/>
                <w:highlight w:val="none"/>
                <w:u w:val="none"/>
                <w:lang w:val="en-US" w:eastAsia="zh-CN"/>
              </w:rPr>
              <w:t>4</w:t>
            </w:r>
            <w:r>
              <w:rPr>
                <w:rFonts w:hint="eastAsia" w:ascii="宋体" w:hAnsi="宋体" w:eastAsia="宋体" w:cs="宋体"/>
                <w:color w:val="auto"/>
                <w:sz w:val="21"/>
                <w:szCs w:val="21"/>
                <w:highlight w:val="none"/>
                <w:u w:val="none"/>
              </w:rPr>
              <w:t>）验收程序；</w:t>
            </w:r>
            <w:r>
              <w:rPr>
                <w:rFonts w:hint="eastAsia" w:ascii="宋体" w:hAnsi="宋体" w:eastAsia="宋体" w:cs="宋体"/>
                <w:color w:val="auto"/>
                <w:sz w:val="21"/>
                <w:szCs w:val="21"/>
                <w:highlight w:val="none"/>
                <w:u w:val="none"/>
                <w:lang w:val="en-US" w:eastAsia="zh-CN"/>
              </w:rPr>
              <w:t>方案优于项目需求的得</w:t>
            </w:r>
            <w:r>
              <w:rPr>
                <w:rFonts w:hint="eastAsia" w:cs="宋体"/>
                <w:color w:val="auto"/>
                <w:sz w:val="21"/>
                <w:szCs w:val="21"/>
                <w:highlight w:val="none"/>
                <w:u w:val="none"/>
                <w:lang w:val="en-US" w:eastAsia="zh-CN"/>
              </w:rPr>
              <w:t>7</w:t>
            </w:r>
            <w:r>
              <w:rPr>
                <w:rFonts w:hint="eastAsia" w:ascii="宋体" w:hAnsi="宋体" w:eastAsia="宋体" w:cs="宋体"/>
                <w:color w:val="auto"/>
                <w:sz w:val="21"/>
                <w:szCs w:val="21"/>
                <w:highlight w:val="none"/>
                <w:u w:val="none"/>
                <w:lang w:val="en-US" w:eastAsia="zh-CN"/>
              </w:rPr>
              <w:t>分；满足项目需求的得</w:t>
            </w:r>
            <w:r>
              <w:rPr>
                <w:rFonts w:hint="eastAsia"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lang w:val="en-US" w:eastAsia="zh-CN"/>
              </w:rPr>
              <w:t>分；不满足或无此项内容的本项不得分。</w:t>
            </w:r>
          </w:p>
          <w:p w14:paraId="2B963BE2">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1098A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vMerge w:val="continue"/>
            <w:noWrap/>
            <w:vAlign w:val="center"/>
          </w:tcPr>
          <w:p w14:paraId="2666CE94">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p>
        </w:tc>
        <w:tc>
          <w:tcPr>
            <w:tcW w:w="1246" w:type="dxa"/>
            <w:vMerge w:val="continue"/>
            <w:noWrap/>
            <w:vAlign w:val="center"/>
          </w:tcPr>
          <w:p w14:paraId="3862C8C4">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p>
        </w:tc>
        <w:tc>
          <w:tcPr>
            <w:tcW w:w="1017" w:type="dxa"/>
            <w:vMerge w:val="continue"/>
            <w:noWrap/>
            <w:vAlign w:val="center"/>
          </w:tcPr>
          <w:p w14:paraId="038C9278">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p>
        </w:tc>
        <w:tc>
          <w:tcPr>
            <w:tcW w:w="6359" w:type="dxa"/>
            <w:noWrap/>
            <w:vAlign w:val="center"/>
          </w:tcPr>
          <w:p w14:paraId="7E51160F">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b/>
                <w:bCs/>
                <w:color w:val="auto"/>
                <w:sz w:val="21"/>
                <w:szCs w:val="21"/>
                <w:highlight w:val="none"/>
                <w:u w:val="none"/>
                <w:lang w:eastAsia="zh-CN"/>
              </w:rPr>
            </w:pPr>
            <w:r>
              <w:rPr>
                <w:rFonts w:hint="eastAsia" w:ascii="宋体" w:hAnsi="宋体" w:cs="宋体"/>
                <w:b/>
                <w:bCs/>
                <w:color w:val="auto"/>
                <w:sz w:val="21"/>
                <w:szCs w:val="21"/>
                <w:highlight w:val="none"/>
                <w:u w:val="none"/>
                <w:lang w:val="en-US" w:eastAsia="zh-CN"/>
              </w:rPr>
              <w:t>2</w:t>
            </w:r>
            <w:r>
              <w:rPr>
                <w:rFonts w:hint="eastAsia" w:ascii="宋体" w:hAnsi="宋体" w:eastAsia="宋体" w:cs="宋体"/>
                <w:b/>
                <w:bCs/>
                <w:color w:val="auto"/>
                <w:sz w:val="21"/>
                <w:szCs w:val="21"/>
                <w:highlight w:val="none"/>
                <w:u w:val="none"/>
                <w:lang w:val="en-US" w:eastAsia="zh-CN"/>
              </w:rPr>
              <w:t>.培训方案</w:t>
            </w:r>
            <w:r>
              <w:rPr>
                <w:rFonts w:hint="eastAsia" w:ascii="宋体" w:hAnsi="宋体" w:eastAsia="宋体" w:cs="宋体"/>
                <w:b/>
                <w:bCs/>
                <w:color w:val="auto"/>
                <w:sz w:val="21"/>
                <w:szCs w:val="21"/>
                <w:highlight w:val="none"/>
                <w:u w:val="none"/>
                <w:lang w:eastAsia="zh-CN"/>
              </w:rPr>
              <w:t>（</w:t>
            </w:r>
            <w:r>
              <w:rPr>
                <w:rFonts w:hint="eastAsia" w:ascii="宋体" w:hAnsi="宋体" w:cs="宋体"/>
                <w:b/>
                <w:bCs/>
                <w:color w:val="auto"/>
                <w:sz w:val="21"/>
                <w:szCs w:val="21"/>
                <w:highlight w:val="none"/>
                <w:u w:val="none"/>
                <w:lang w:val="en-US" w:eastAsia="zh-CN"/>
              </w:rPr>
              <w:t>6</w:t>
            </w:r>
            <w:r>
              <w:rPr>
                <w:rFonts w:hint="eastAsia" w:ascii="宋体" w:hAnsi="宋体" w:eastAsia="宋体" w:cs="宋体"/>
                <w:b/>
                <w:bCs/>
                <w:color w:val="auto"/>
                <w:sz w:val="21"/>
                <w:szCs w:val="21"/>
                <w:highlight w:val="none"/>
                <w:u w:val="none"/>
                <w:lang w:val="en-US" w:eastAsia="zh-CN"/>
              </w:rPr>
              <w:t>分</w:t>
            </w:r>
            <w:r>
              <w:rPr>
                <w:rFonts w:hint="eastAsia" w:ascii="宋体" w:hAnsi="宋体" w:eastAsia="宋体" w:cs="宋体"/>
                <w:b/>
                <w:bCs/>
                <w:color w:val="auto"/>
                <w:sz w:val="21"/>
                <w:szCs w:val="21"/>
                <w:highlight w:val="none"/>
                <w:u w:val="none"/>
                <w:lang w:eastAsia="zh-CN"/>
              </w:rPr>
              <w:t>）</w:t>
            </w:r>
          </w:p>
          <w:p w14:paraId="3A7C54E4">
            <w:pPr>
              <w:pStyle w:val="231"/>
              <w:keepNext w:val="0"/>
              <w:keepLines w:val="0"/>
              <w:pageBreakBefore w:val="0"/>
              <w:widowControl/>
              <w:suppressLineNumbers w:val="0"/>
              <w:spacing w:before="0" w:beforeAutospacing="0" w:after="0" w:afterAutospacing="0" w:line="320" w:lineRule="exact"/>
              <w:ind w:left="0" w:right="0" w:firstLine="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供应商根据本项目第四章“</w:t>
            </w:r>
            <w:r>
              <w:rPr>
                <w:rFonts w:hint="eastAsia"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rPr>
              <w:t>培训方案”要求</w:t>
            </w:r>
            <w:r>
              <w:rPr>
                <w:rFonts w:hint="eastAsia" w:ascii="宋体" w:hAnsi="宋体" w:eastAsia="宋体" w:cs="宋体"/>
                <w:color w:val="auto"/>
                <w:sz w:val="21"/>
                <w:szCs w:val="21"/>
                <w:highlight w:val="none"/>
                <w:u w:val="none"/>
                <w:lang w:val="en-US" w:eastAsia="zh-CN"/>
              </w:rPr>
              <w:t>提供技术方案</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至少包括以下内容：</w:t>
            </w:r>
            <w:r>
              <w:rPr>
                <w:rFonts w:hint="eastAsia" w:ascii="宋体" w:hAnsi="宋体" w:eastAsia="宋体" w:cs="宋体"/>
                <w:color w:val="auto"/>
                <w:sz w:val="21"/>
                <w:szCs w:val="21"/>
                <w:highlight w:val="none"/>
                <w:u w:val="none"/>
              </w:rPr>
              <w:t>（1）培训计划与目标；（2）培训师资配置；（3）培训安排；（4）培训内容；（5）质量控制；</w:t>
            </w:r>
            <w:r>
              <w:rPr>
                <w:rFonts w:hint="eastAsia" w:ascii="宋体" w:hAnsi="宋体" w:eastAsia="宋体" w:cs="宋体"/>
                <w:color w:val="auto"/>
                <w:sz w:val="21"/>
                <w:szCs w:val="21"/>
                <w:highlight w:val="none"/>
                <w:u w:val="none"/>
                <w:lang w:val="en-US" w:eastAsia="zh-CN"/>
              </w:rPr>
              <w:t>方案优于项目需求的得</w:t>
            </w:r>
            <w:r>
              <w:rPr>
                <w:rFonts w:hint="eastAsia"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lang w:val="en-US" w:eastAsia="zh-CN"/>
              </w:rPr>
              <w:t>分；满足项目需求的得</w:t>
            </w:r>
            <w:r>
              <w:rPr>
                <w:rFonts w:hint="eastAsia" w:cs="宋体"/>
                <w:color w:val="auto"/>
                <w:sz w:val="21"/>
                <w:szCs w:val="21"/>
                <w:highlight w:val="none"/>
                <w:u w:val="none"/>
                <w:lang w:val="en-US" w:eastAsia="zh-CN"/>
              </w:rPr>
              <w:t>4</w:t>
            </w:r>
            <w:r>
              <w:rPr>
                <w:rFonts w:hint="eastAsia" w:ascii="宋体" w:hAnsi="宋体" w:eastAsia="宋体" w:cs="宋体"/>
                <w:color w:val="auto"/>
                <w:sz w:val="21"/>
                <w:szCs w:val="21"/>
                <w:highlight w:val="none"/>
                <w:u w:val="none"/>
                <w:lang w:val="en-US" w:eastAsia="zh-CN"/>
              </w:rPr>
              <w:t>分；不满足或无此项内容的本项不得分。</w:t>
            </w:r>
          </w:p>
          <w:p w14:paraId="38DB9B27">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3CC82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658" w:type="dxa"/>
            <w:vMerge w:val="continue"/>
            <w:noWrap/>
            <w:vAlign w:val="center"/>
          </w:tcPr>
          <w:p w14:paraId="2A46DB56">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p>
        </w:tc>
        <w:tc>
          <w:tcPr>
            <w:tcW w:w="1246" w:type="dxa"/>
            <w:vMerge w:val="continue"/>
            <w:noWrap/>
            <w:vAlign w:val="center"/>
          </w:tcPr>
          <w:p w14:paraId="023EAA5A">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rPr>
            </w:pPr>
          </w:p>
        </w:tc>
        <w:tc>
          <w:tcPr>
            <w:tcW w:w="1017" w:type="dxa"/>
            <w:vMerge w:val="continue"/>
            <w:noWrap/>
            <w:vAlign w:val="center"/>
          </w:tcPr>
          <w:p w14:paraId="753DA180">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p>
        </w:tc>
        <w:tc>
          <w:tcPr>
            <w:tcW w:w="6359" w:type="dxa"/>
            <w:noWrap/>
            <w:vAlign w:val="center"/>
          </w:tcPr>
          <w:p w14:paraId="52C7FB4D">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b/>
                <w:bCs/>
                <w:color w:val="auto"/>
                <w:sz w:val="21"/>
                <w:szCs w:val="21"/>
                <w:highlight w:val="none"/>
                <w:u w:val="none"/>
                <w:lang w:eastAsia="zh-CN"/>
              </w:rPr>
            </w:pPr>
            <w:r>
              <w:rPr>
                <w:rFonts w:hint="eastAsia" w:ascii="宋体" w:hAnsi="宋体" w:cs="宋体"/>
                <w:b/>
                <w:bCs/>
                <w:color w:val="auto"/>
                <w:sz w:val="21"/>
                <w:szCs w:val="21"/>
                <w:highlight w:val="none"/>
                <w:u w:val="none"/>
                <w:lang w:val="en-US" w:eastAsia="zh-CN"/>
              </w:rPr>
              <w:t>3</w:t>
            </w:r>
            <w:r>
              <w:rPr>
                <w:rFonts w:hint="eastAsia" w:ascii="宋体" w:hAnsi="宋体" w:eastAsia="宋体" w:cs="宋体"/>
                <w:b/>
                <w:bCs/>
                <w:color w:val="auto"/>
                <w:sz w:val="21"/>
                <w:szCs w:val="21"/>
                <w:highlight w:val="none"/>
                <w:u w:val="none"/>
                <w:lang w:val="en-US" w:eastAsia="zh-CN"/>
              </w:rPr>
              <w:t>.售后服务方案</w:t>
            </w:r>
            <w:r>
              <w:rPr>
                <w:rFonts w:hint="eastAsia" w:ascii="宋体" w:hAnsi="宋体" w:eastAsia="宋体" w:cs="宋体"/>
                <w:b/>
                <w:bCs/>
                <w:color w:val="auto"/>
                <w:sz w:val="21"/>
                <w:szCs w:val="21"/>
                <w:highlight w:val="none"/>
                <w:u w:val="none"/>
                <w:lang w:eastAsia="zh-CN"/>
              </w:rPr>
              <w:t>（</w:t>
            </w:r>
            <w:r>
              <w:rPr>
                <w:rFonts w:hint="eastAsia" w:ascii="宋体" w:hAnsi="宋体" w:eastAsia="宋体" w:cs="宋体"/>
                <w:b/>
                <w:bCs/>
                <w:color w:val="auto"/>
                <w:sz w:val="21"/>
                <w:szCs w:val="21"/>
                <w:highlight w:val="none"/>
                <w:u w:val="none"/>
                <w:lang w:val="en-US" w:eastAsia="zh-CN"/>
              </w:rPr>
              <w:t>7分</w:t>
            </w:r>
            <w:r>
              <w:rPr>
                <w:rFonts w:hint="eastAsia" w:ascii="宋体" w:hAnsi="宋体" w:eastAsia="宋体" w:cs="宋体"/>
                <w:b/>
                <w:bCs/>
                <w:color w:val="auto"/>
                <w:sz w:val="21"/>
                <w:szCs w:val="21"/>
                <w:highlight w:val="none"/>
                <w:u w:val="none"/>
                <w:lang w:eastAsia="zh-CN"/>
              </w:rPr>
              <w:t>）</w:t>
            </w:r>
          </w:p>
          <w:p w14:paraId="68152BBB">
            <w:pPr>
              <w:pStyle w:val="231"/>
              <w:keepNext w:val="0"/>
              <w:keepLines w:val="0"/>
              <w:pageBreakBefore w:val="0"/>
              <w:widowControl/>
              <w:suppressLineNumbers w:val="0"/>
              <w:spacing w:before="0" w:beforeAutospacing="0" w:after="0" w:afterAutospacing="0" w:line="320" w:lineRule="exact"/>
              <w:ind w:left="0" w:right="0" w:firstLine="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供应商根据本项目第四章“</w:t>
            </w:r>
            <w:r>
              <w:rPr>
                <w:rFonts w:hint="eastAsia" w:cs="宋体"/>
                <w:color w:val="auto"/>
                <w:sz w:val="21"/>
                <w:szCs w:val="21"/>
                <w:highlight w:val="none"/>
                <w:u w:val="none"/>
                <w:lang w:val="en-US" w:eastAsia="zh-CN"/>
              </w:rPr>
              <w:t>3.</w:t>
            </w:r>
            <w:r>
              <w:rPr>
                <w:rFonts w:hint="eastAsia" w:ascii="宋体" w:hAnsi="宋体" w:eastAsia="宋体" w:cs="宋体"/>
                <w:color w:val="auto"/>
                <w:sz w:val="21"/>
                <w:szCs w:val="21"/>
                <w:highlight w:val="none"/>
                <w:u w:val="none"/>
              </w:rPr>
              <w:t>售后服务方案”要求</w:t>
            </w:r>
            <w:r>
              <w:rPr>
                <w:rFonts w:hint="eastAsia" w:ascii="宋体" w:hAnsi="宋体" w:eastAsia="宋体" w:cs="宋体"/>
                <w:color w:val="auto"/>
                <w:sz w:val="21"/>
                <w:szCs w:val="21"/>
                <w:highlight w:val="none"/>
                <w:u w:val="none"/>
                <w:lang w:val="en-US" w:eastAsia="zh-CN"/>
              </w:rPr>
              <w:t>提供技术方案</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至少包括以下内容：</w:t>
            </w:r>
            <w:r>
              <w:rPr>
                <w:rFonts w:hint="eastAsia" w:ascii="宋体" w:hAnsi="宋体" w:eastAsia="宋体" w:cs="宋体"/>
                <w:color w:val="auto"/>
                <w:sz w:val="21"/>
                <w:szCs w:val="21"/>
                <w:highlight w:val="none"/>
                <w:u w:val="none"/>
              </w:rPr>
              <w:t>（1）售后服务响应时间</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服务流程</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rPr>
              <w:t>售后</w:t>
            </w:r>
            <w:r>
              <w:rPr>
                <w:rFonts w:hint="eastAsia" w:ascii="宋体" w:hAnsi="宋体" w:eastAsia="宋体" w:cs="宋体"/>
                <w:color w:val="auto"/>
                <w:sz w:val="21"/>
                <w:szCs w:val="21"/>
                <w:highlight w:val="none"/>
                <w:u w:val="none"/>
                <w:lang w:val="en-US" w:eastAsia="zh-CN"/>
              </w:rPr>
              <w:t>维保</w:t>
            </w:r>
            <w:r>
              <w:rPr>
                <w:rFonts w:hint="eastAsia" w:ascii="宋体" w:hAnsi="宋体" w:eastAsia="宋体" w:cs="宋体"/>
                <w:color w:val="auto"/>
                <w:sz w:val="21"/>
                <w:szCs w:val="21"/>
                <w:highlight w:val="none"/>
                <w:u w:val="none"/>
              </w:rPr>
              <w:t>服务人员；（</w:t>
            </w:r>
            <w:r>
              <w:rPr>
                <w:rFonts w:hint="eastAsia" w:ascii="宋体" w:hAnsi="宋体" w:eastAsia="宋体" w:cs="宋体"/>
                <w:color w:val="auto"/>
                <w:sz w:val="21"/>
                <w:szCs w:val="21"/>
                <w:highlight w:val="none"/>
                <w:u w:val="none"/>
                <w:lang w:val="en-US" w:eastAsia="zh-CN"/>
              </w:rPr>
              <w:t>3</w:t>
            </w:r>
            <w:r>
              <w:rPr>
                <w:rFonts w:hint="eastAsia" w:ascii="宋体" w:hAnsi="宋体" w:eastAsia="宋体" w:cs="宋体"/>
                <w:color w:val="auto"/>
                <w:sz w:val="21"/>
                <w:szCs w:val="21"/>
                <w:highlight w:val="none"/>
                <w:u w:val="none"/>
              </w:rPr>
              <w:t>）服务监督改进</w:t>
            </w:r>
            <w:r>
              <w:rPr>
                <w:rFonts w:hint="eastAsia" w:ascii="宋体" w:hAnsi="宋体" w:eastAsia="宋体" w:cs="宋体"/>
                <w:color w:val="auto"/>
                <w:sz w:val="21"/>
                <w:szCs w:val="21"/>
                <w:highlight w:val="none"/>
                <w:u w:val="none"/>
                <w:lang w:val="en-US" w:eastAsia="zh-CN"/>
              </w:rPr>
              <w:t>措施</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方案优于项目需求的得</w:t>
            </w:r>
            <w:r>
              <w:rPr>
                <w:rFonts w:hint="eastAsia" w:cs="宋体"/>
                <w:color w:val="auto"/>
                <w:sz w:val="21"/>
                <w:szCs w:val="21"/>
                <w:highlight w:val="none"/>
                <w:u w:val="none"/>
                <w:lang w:val="en-US" w:eastAsia="zh-CN"/>
              </w:rPr>
              <w:t>7</w:t>
            </w:r>
            <w:r>
              <w:rPr>
                <w:rFonts w:hint="eastAsia" w:ascii="宋体" w:hAnsi="宋体" w:eastAsia="宋体" w:cs="宋体"/>
                <w:color w:val="auto"/>
                <w:sz w:val="21"/>
                <w:szCs w:val="21"/>
                <w:highlight w:val="none"/>
                <w:u w:val="none"/>
                <w:lang w:val="en-US" w:eastAsia="zh-CN"/>
              </w:rPr>
              <w:t>分；满足项目需求的得</w:t>
            </w:r>
            <w:r>
              <w:rPr>
                <w:rFonts w:hint="eastAsia"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lang w:val="en-US" w:eastAsia="zh-CN"/>
              </w:rPr>
              <w:t>分；不满足或无此项内容的本项不得分。</w:t>
            </w:r>
          </w:p>
          <w:p w14:paraId="62A70431">
            <w:pPr>
              <w:keepNext w:val="0"/>
              <w:keepLines w:val="0"/>
              <w:pageBreakBefore w:val="0"/>
              <w:widowControl w:val="0"/>
              <w:suppressLineNumbers w:val="0"/>
              <w:spacing w:before="0" w:beforeAutospacing="0" w:after="0" w:afterAutospacing="0" w:line="320" w:lineRule="exact"/>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7F417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58" w:type="dxa"/>
            <w:noWrap/>
            <w:vAlign w:val="center"/>
          </w:tcPr>
          <w:p w14:paraId="0438B43B">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246" w:type="dxa"/>
            <w:noWrap/>
            <w:vAlign w:val="center"/>
          </w:tcPr>
          <w:p w14:paraId="29003C31">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节能环保</w:t>
            </w:r>
          </w:p>
        </w:tc>
        <w:tc>
          <w:tcPr>
            <w:tcW w:w="1017" w:type="dxa"/>
            <w:noWrap/>
            <w:vAlign w:val="center"/>
          </w:tcPr>
          <w:p w14:paraId="417F71D9">
            <w:pPr>
              <w:keepNext w:val="0"/>
              <w:keepLines w:val="0"/>
              <w:pageBreakBefore w:val="0"/>
              <w:suppressLineNumbers w:val="0"/>
              <w:spacing w:before="0" w:beforeAutospacing="0" w:after="0" w:afterAutospacing="0" w:line="32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2分</w:t>
            </w:r>
          </w:p>
        </w:tc>
        <w:tc>
          <w:tcPr>
            <w:tcW w:w="6359" w:type="dxa"/>
            <w:noWrap/>
            <w:vAlign w:val="center"/>
          </w:tcPr>
          <w:p w14:paraId="54C28287">
            <w:pPr>
              <w:pStyle w:val="231"/>
              <w:keepNext w:val="0"/>
              <w:keepLines w:val="0"/>
              <w:pageBreakBefore w:val="0"/>
              <w:widowControl/>
              <w:suppressLineNumbers w:val="0"/>
              <w:spacing w:before="0" w:beforeAutospacing="0" w:after="0" w:afterAutospacing="0" w:line="320" w:lineRule="exact"/>
              <w:ind w:left="0" w:right="0" w:firstLine="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p>
          <w:p w14:paraId="666638C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2.投标产品属于财政部、生态环境部公布的“环境标志产品品目清单”范围内的，投标人提供国家确定的认证机构出具的、处于有效期内的该环保产品认证证书的，有1个得0.5分，最多得1分。</w:t>
            </w:r>
          </w:p>
        </w:tc>
      </w:tr>
    </w:tbl>
    <w:p w14:paraId="5730DF5D">
      <w:pPr>
        <w:keepNext w:val="0"/>
        <w:keepLines w:val="0"/>
        <w:pageBreakBefore w:val="0"/>
        <w:widowControl w:val="0"/>
        <w:tabs>
          <w:tab w:val="left" w:pos="900"/>
        </w:tabs>
        <w:spacing w:line="360" w:lineRule="exact"/>
        <w:ind w:firstLine="422"/>
        <w:rPr>
          <w:color w:val="auto"/>
          <w:highlight w:val="none"/>
        </w:rPr>
      </w:pPr>
      <w:r>
        <w:rPr>
          <w:rFonts w:hint="eastAsia" w:ascii="宋体" w:hAnsi="宋体" w:eastAsia="宋体" w:cs="宋体"/>
          <w:b/>
          <w:color w:val="auto"/>
          <w:sz w:val="21"/>
          <w:szCs w:val="21"/>
          <w:highlight w:val="none"/>
          <w:lang w:val="en-US" w:eastAsia="zh-CN"/>
        </w:rPr>
        <w:t>注：</w:t>
      </w:r>
      <w:r>
        <w:rPr>
          <w:rFonts w:hint="eastAsia" w:ascii="宋体" w:hAnsi="宋体" w:cs="宋体"/>
          <w:b/>
          <w:color w:val="auto"/>
          <w:sz w:val="21"/>
          <w:szCs w:val="21"/>
          <w:highlight w:val="none"/>
          <w:lang w:val="en-US" w:eastAsia="zh-CN"/>
        </w:rPr>
        <w:t>1.</w:t>
      </w:r>
      <w:r>
        <w:rPr>
          <w:rFonts w:hint="eastAsia" w:ascii="宋体" w:hAnsi="宋体" w:eastAsia="宋体" w:cs="宋体"/>
          <w:b/>
          <w:color w:val="auto"/>
          <w:sz w:val="21"/>
          <w:szCs w:val="21"/>
          <w:highlight w:val="none"/>
          <w:lang w:val="en-US" w:eastAsia="zh-CN"/>
        </w:rPr>
        <w:t>上述加分项中需提供相关证明材料的，在该项目</w:t>
      </w:r>
      <w:r>
        <w:rPr>
          <w:rFonts w:hint="eastAsia" w:ascii="宋体" w:hAnsi="宋体" w:cs="宋体"/>
          <w:b/>
          <w:color w:val="auto"/>
          <w:sz w:val="21"/>
          <w:szCs w:val="21"/>
          <w:highlight w:val="none"/>
          <w:lang w:val="en-US" w:eastAsia="zh-CN"/>
        </w:rPr>
        <w:t>中标</w:t>
      </w:r>
      <w:r>
        <w:rPr>
          <w:rFonts w:hint="eastAsia" w:ascii="宋体" w:hAnsi="宋体" w:eastAsia="宋体" w:cs="宋体"/>
          <w:b/>
          <w:color w:val="auto"/>
          <w:sz w:val="21"/>
          <w:szCs w:val="21"/>
          <w:highlight w:val="none"/>
          <w:lang w:val="en-US" w:eastAsia="zh-CN"/>
        </w:rPr>
        <w:t>后七个工作日内，向招标人提供原件核查。如不提供或提供的原件与投标时提供的证明材料不一致，或提供虚假项目业绩，将被视为在投标过程中提供虚假材料谋取中标成交，将被取消成交资格，且采购人有权依据政府采购的有关规定，报请政府采购监管部门对该供应商进行相应的行政处罚和记录该供应商的失信信息。</w:t>
      </w:r>
    </w:p>
    <w:p w14:paraId="6CB396F4">
      <w:pPr>
        <w:keepNext w:val="0"/>
        <w:keepLines w:val="0"/>
        <w:pageBreakBefore w:val="0"/>
        <w:widowControl w:val="0"/>
        <w:tabs>
          <w:tab w:val="left" w:pos="900"/>
        </w:tabs>
        <w:spacing w:line="360" w:lineRule="exact"/>
        <w:ind w:firstLine="422"/>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2.</w:t>
      </w:r>
      <w:r>
        <w:rPr>
          <w:rFonts w:hint="eastAsia" w:ascii="宋体" w:hAnsi="宋体" w:eastAsia="宋体" w:cs="宋体"/>
          <w:b/>
          <w:color w:val="auto"/>
          <w:sz w:val="21"/>
          <w:szCs w:val="21"/>
          <w:highlight w:val="none"/>
          <w:lang w:val="en-US" w:eastAsia="zh-CN"/>
        </w:rPr>
        <w:t>供应商需按照</w:t>
      </w:r>
      <w:r>
        <w:rPr>
          <w:rFonts w:hint="eastAsia" w:ascii="宋体" w:hAnsi="宋体" w:cs="宋体"/>
          <w:b/>
          <w:color w:val="auto"/>
          <w:sz w:val="21"/>
          <w:szCs w:val="21"/>
          <w:highlight w:val="none"/>
          <w:lang w:val="en-US" w:eastAsia="zh-CN"/>
        </w:rPr>
        <w:t>招标</w:t>
      </w:r>
      <w:r>
        <w:rPr>
          <w:rFonts w:hint="eastAsia" w:ascii="宋体" w:hAnsi="宋体" w:eastAsia="宋体" w:cs="宋体"/>
          <w:b/>
          <w:color w:val="auto"/>
          <w:sz w:val="21"/>
          <w:szCs w:val="21"/>
          <w:highlight w:val="none"/>
          <w:lang w:val="en-US" w:eastAsia="zh-CN"/>
        </w:rPr>
        <w:t>文件规定的演示内容进行功能演示（视频画面须清晰</w:t>
      </w:r>
      <w:r>
        <w:rPr>
          <w:rFonts w:hint="eastAsia" w:ascii="宋体" w:hAnsi="宋体" w:cs="宋体"/>
          <w:b/>
          <w:color w:val="auto"/>
          <w:sz w:val="21"/>
          <w:szCs w:val="21"/>
          <w:highlight w:val="none"/>
          <w:lang w:val="en-US" w:eastAsia="zh-CN"/>
        </w:rPr>
        <w:t>，如不清晰导致评委无法评审的，责任由投标人自负</w:t>
      </w:r>
      <w:r>
        <w:rPr>
          <w:rFonts w:hint="eastAsia" w:ascii="宋体" w:hAnsi="宋体" w:eastAsia="宋体" w:cs="宋体"/>
          <w:b/>
          <w:color w:val="auto"/>
          <w:sz w:val="21"/>
          <w:szCs w:val="21"/>
          <w:highlight w:val="none"/>
          <w:lang w:val="en-US" w:eastAsia="zh-CN"/>
        </w:rPr>
        <w:t>），视频文件的格式为*.mp4或*.avi，供应商须将视频文件分段压缩为*.zip文件上传（单个文件不得大于50M，所有文件总共不得大于300M）。文件上传方式见《苏采云供应商操作手册》规定，上传的演示视频将作为投标文件的组成部分，每个项目根据演示</w:t>
      </w:r>
      <w:r>
        <w:rPr>
          <w:rFonts w:hint="eastAsia" w:ascii="宋体" w:hAnsi="宋体" w:cs="宋体"/>
          <w:b/>
          <w:color w:val="auto"/>
          <w:sz w:val="21"/>
          <w:szCs w:val="21"/>
          <w:highlight w:val="none"/>
          <w:lang w:val="en-US" w:eastAsia="zh-CN"/>
        </w:rPr>
        <w:t>点</w:t>
      </w:r>
      <w:r>
        <w:rPr>
          <w:rFonts w:hint="eastAsia" w:ascii="宋体" w:hAnsi="宋体" w:eastAsia="宋体" w:cs="宋体"/>
          <w:b/>
          <w:color w:val="auto"/>
          <w:sz w:val="21"/>
          <w:szCs w:val="21"/>
          <w:highlight w:val="none"/>
          <w:lang w:val="en-US" w:eastAsia="zh-CN"/>
        </w:rPr>
        <w:t>进行评分。</w:t>
      </w:r>
    </w:p>
    <w:p w14:paraId="51D15E9C">
      <w:pPr>
        <w:pStyle w:val="34"/>
        <w:spacing w:beforeAutospacing="0" w:afterAutospacing="0" w:line="360" w:lineRule="auto"/>
        <w:ind w:firstLine="480"/>
        <w:jc w:val="both"/>
        <w:rPr>
          <w:rFonts w:ascii="宋体" w:hAnsi="宋体" w:eastAsia="宋体" w:cs="宋体"/>
          <w:color w:val="auto"/>
        </w:rPr>
      </w:pPr>
    </w:p>
    <w:p w14:paraId="6868BE62">
      <w:pPr>
        <w:pStyle w:val="34"/>
        <w:spacing w:beforeAutospacing="0" w:afterAutospacing="0" w:line="360" w:lineRule="auto"/>
        <w:ind w:firstLine="480"/>
        <w:jc w:val="both"/>
        <w:rPr>
          <w:rFonts w:ascii="宋体" w:hAnsi="宋体" w:eastAsia="宋体" w:cs="宋体"/>
          <w:color w:val="auto"/>
        </w:rPr>
      </w:pPr>
    </w:p>
    <w:p w14:paraId="42B2342C">
      <w:pPr>
        <w:pStyle w:val="34"/>
        <w:spacing w:beforeAutospacing="0" w:afterAutospacing="0" w:line="360" w:lineRule="auto"/>
        <w:ind w:firstLine="480"/>
        <w:jc w:val="both"/>
        <w:rPr>
          <w:rFonts w:ascii="宋体" w:hAnsi="宋体" w:eastAsia="宋体" w:cs="宋体"/>
          <w:color w:val="auto"/>
        </w:rPr>
      </w:pPr>
    </w:p>
    <w:p w14:paraId="046A27EB">
      <w:pPr>
        <w:pStyle w:val="34"/>
        <w:spacing w:beforeAutospacing="0" w:afterAutospacing="0" w:line="360" w:lineRule="auto"/>
        <w:ind w:firstLine="480"/>
        <w:jc w:val="both"/>
        <w:rPr>
          <w:rFonts w:ascii="宋体" w:hAnsi="宋体" w:eastAsia="宋体" w:cs="宋体"/>
          <w:color w:val="auto"/>
        </w:rPr>
      </w:pPr>
    </w:p>
    <w:p w14:paraId="32C6FA0C">
      <w:pPr>
        <w:pStyle w:val="34"/>
        <w:spacing w:beforeAutospacing="0" w:afterAutospacing="0" w:line="360" w:lineRule="auto"/>
        <w:ind w:firstLine="480"/>
        <w:jc w:val="both"/>
        <w:rPr>
          <w:rFonts w:ascii="宋体" w:hAnsi="宋体" w:eastAsia="宋体" w:cs="宋体"/>
          <w:color w:val="auto"/>
        </w:rPr>
      </w:pPr>
    </w:p>
    <w:p w14:paraId="35897B5F">
      <w:pPr>
        <w:pStyle w:val="34"/>
        <w:spacing w:beforeAutospacing="0" w:afterAutospacing="0" w:line="360" w:lineRule="auto"/>
        <w:ind w:firstLine="480"/>
        <w:jc w:val="both"/>
        <w:rPr>
          <w:rFonts w:ascii="宋体" w:hAnsi="宋体" w:eastAsia="宋体" w:cs="宋体"/>
          <w:color w:val="auto"/>
        </w:rPr>
      </w:pPr>
    </w:p>
    <w:bookmarkEnd w:id="1"/>
    <w:bookmarkEnd w:id="42"/>
    <w:bookmarkEnd w:id="89"/>
    <w:bookmarkEnd w:id="90"/>
    <w:bookmarkEnd w:id="91"/>
    <w:bookmarkEnd w:id="92"/>
    <w:bookmarkEnd w:id="93"/>
    <w:bookmarkEnd w:id="94"/>
    <w:bookmarkEnd w:id="95"/>
    <w:bookmarkEnd w:id="96"/>
    <w:bookmarkEnd w:id="105"/>
    <w:bookmarkEnd w:id="106"/>
    <w:bookmarkEnd w:id="113"/>
    <w:bookmarkEnd w:id="160"/>
    <w:bookmarkEnd w:id="166"/>
    <w:p w14:paraId="51A052A7">
      <w:pPr>
        <w:pStyle w:val="34"/>
        <w:spacing w:beforeAutospacing="0" w:afterAutospacing="0" w:line="360" w:lineRule="auto"/>
        <w:ind w:firstLine="480"/>
        <w:jc w:val="both"/>
        <w:rPr>
          <w:rFonts w:ascii="宋体" w:hAnsi="宋体" w:eastAsia="宋体" w:cs="宋体"/>
          <w:color w:val="auto"/>
        </w:rPr>
      </w:pPr>
    </w:p>
    <w:p w14:paraId="58066F76">
      <w:pPr>
        <w:pStyle w:val="207"/>
        <w:rPr>
          <w:rFonts w:hint="eastAsia"/>
          <w:color w:val="auto"/>
        </w:rPr>
      </w:pPr>
      <w:bookmarkStart w:id="172" w:name="_Toc234256918"/>
      <w:bookmarkEnd w:id="172"/>
    </w:p>
    <w:p w14:paraId="35348FA1">
      <w:pPr>
        <w:pStyle w:val="207"/>
        <w:rPr>
          <w:rFonts w:hint="eastAsia"/>
          <w:color w:val="auto"/>
        </w:rPr>
      </w:pPr>
    </w:p>
    <w:p w14:paraId="4F3E4F27">
      <w:pPr>
        <w:pStyle w:val="207"/>
        <w:rPr>
          <w:rFonts w:hint="eastAsia"/>
          <w:color w:val="auto"/>
        </w:rPr>
      </w:pPr>
    </w:p>
    <w:p w14:paraId="6DE673BD">
      <w:pPr>
        <w:pStyle w:val="207"/>
        <w:rPr>
          <w:rFonts w:hint="eastAsia"/>
          <w:color w:val="auto"/>
        </w:rPr>
      </w:pPr>
    </w:p>
    <w:p w14:paraId="137C695D">
      <w:pPr>
        <w:pStyle w:val="207"/>
        <w:rPr>
          <w:rFonts w:hint="eastAsia"/>
          <w:color w:val="auto"/>
        </w:rPr>
      </w:pPr>
    </w:p>
    <w:p w14:paraId="2365CC61">
      <w:pPr>
        <w:pStyle w:val="207"/>
        <w:rPr>
          <w:rFonts w:hint="eastAsia"/>
          <w:color w:val="auto"/>
        </w:rPr>
      </w:pPr>
    </w:p>
    <w:p w14:paraId="081598C2">
      <w:pPr>
        <w:pStyle w:val="207"/>
        <w:rPr>
          <w:rFonts w:hint="eastAsia"/>
          <w:color w:val="auto"/>
        </w:rPr>
      </w:pPr>
    </w:p>
    <w:p w14:paraId="67501435">
      <w:pPr>
        <w:pStyle w:val="207"/>
        <w:rPr>
          <w:rFonts w:hint="eastAsia"/>
          <w:color w:val="auto"/>
        </w:rPr>
      </w:pPr>
    </w:p>
    <w:p w14:paraId="05839E5C">
      <w:pPr>
        <w:pStyle w:val="207"/>
        <w:rPr>
          <w:rFonts w:hint="eastAsia"/>
          <w:color w:val="auto"/>
        </w:rPr>
      </w:pPr>
    </w:p>
    <w:p w14:paraId="1ECA0C61">
      <w:pPr>
        <w:pStyle w:val="207"/>
        <w:rPr>
          <w:rFonts w:hint="eastAsia"/>
          <w:color w:val="auto"/>
        </w:rPr>
      </w:pPr>
    </w:p>
    <w:p w14:paraId="07F1C79A">
      <w:pPr>
        <w:pStyle w:val="207"/>
        <w:rPr>
          <w:rFonts w:hint="eastAsia"/>
          <w:color w:val="auto"/>
        </w:rPr>
      </w:pPr>
    </w:p>
    <w:p w14:paraId="52796C72">
      <w:pPr>
        <w:pStyle w:val="207"/>
        <w:rPr>
          <w:rFonts w:hint="eastAsia"/>
          <w:color w:val="auto"/>
        </w:rPr>
      </w:pPr>
    </w:p>
    <w:p w14:paraId="336F5C72">
      <w:pPr>
        <w:pStyle w:val="207"/>
        <w:rPr>
          <w:rFonts w:hint="eastAsia"/>
          <w:color w:val="auto"/>
        </w:rPr>
      </w:pPr>
    </w:p>
    <w:p w14:paraId="7CBEBEE0">
      <w:pPr>
        <w:widowControl/>
        <w:pBdr>
          <w:top w:val="none" w:color="000000" w:sz="0" w:space="0"/>
          <w:left w:val="none" w:color="000000" w:sz="0" w:space="0"/>
          <w:bottom w:val="none" w:color="000000" w:sz="0" w:space="0"/>
          <w:right w:val="none" w:color="000000" w:sz="0" w:space="0"/>
        </w:pBdr>
        <w:jc w:val="center"/>
        <w:outlineLvl w:val="0"/>
        <w:rPr>
          <w:rFonts w:ascii="微软雅黑" w:eastAsia="微软雅黑" w:cs="宋体" w:hAnsiTheme="minorEastAsia"/>
          <w:color w:val="auto"/>
          <w:sz w:val="44"/>
          <w:szCs w:val="44"/>
        </w:rPr>
      </w:pPr>
      <w:r>
        <w:rPr>
          <w:rFonts w:hint="eastAsia" w:ascii="黑体" w:hAnsi="黑体" w:eastAsia="黑体" w:cs="黑体"/>
          <w:color w:val="auto"/>
          <w:sz w:val="44"/>
          <w:szCs w:val="44"/>
        </w:rPr>
        <w:t>第六章 投标文件格式</w:t>
      </w:r>
    </w:p>
    <w:p w14:paraId="15C126BF">
      <w:pPr>
        <w:widowControl/>
        <w:rPr>
          <w:rFonts w:cs="Times New Roman" w:asciiTheme="minorEastAsia" w:hAnsiTheme="minorEastAsia"/>
          <w:b/>
          <w:color w:val="auto"/>
          <w:sz w:val="72"/>
          <w:szCs w:val="72"/>
        </w:rPr>
      </w:pPr>
    </w:p>
    <w:p w14:paraId="2D0E02E1">
      <w:pPr>
        <w:widowControl/>
        <w:rPr>
          <w:rFonts w:cs="Times New Roman" w:asciiTheme="minorEastAsia" w:hAnsiTheme="minorEastAsia"/>
          <w:b/>
          <w:color w:val="auto"/>
          <w:sz w:val="72"/>
          <w:szCs w:val="72"/>
        </w:rPr>
      </w:pPr>
    </w:p>
    <w:p w14:paraId="46519254">
      <w:pPr>
        <w:pStyle w:val="15"/>
        <w:rPr>
          <w:color w:val="auto"/>
        </w:rPr>
      </w:pPr>
    </w:p>
    <w:p w14:paraId="261EC6F5">
      <w:pPr>
        <w:widowControl/>
        <w:jc w:val="center"/>
        <w:rPr>
          <w:rFonts w:asciiTheme="minorEastAsia" w:hAnsiTheme="minorEastAsia" w:cstheme="minorEastAsia"/>
          <w:b/>
          <w:color w:val="auto"/>
          <w:sz w:val="84"/>
          <w:szCs w:val="84"/>
        </w:rPr>
      </w:pPr>
      <w:r>
        <w:rPr>
          <w:rFonts w:hint="eastAsia" w:asciiTheme="minorEastAsia" w:hAnsiTheme="minorEastAsia" w:cstheme="minorEastAsia"/>
          <w:b/>
          <w:color w:val="auto"/>
          <w:sz w:val="84"/>
          <w:szCs w:val="84"/>
        </w:rPr>
        <w:t>投 标 文 件</w:t>
      </w:r>
    </w:p>
    <w:p w14:paraId="5E17FE12">
      <w:pPr>
        <w:widowControl/>
        <w:rPr>
          <w:rFonts w:cs="Times New Roman" w:asciiTheme="minorEastAsia" w:hAnsiTheme="minorEastAsia"/>
          <w:color w:val="auto"/>
          <w:sz w:val="24"/>
        </w:rPr>
      </w:pPr>
    </w:p>
    <w:p w14:paraId="5BF2BE8B">
      <w:pPr>
        <w:widowControl/>
        <w:rPr>
          <w:rFonts w:cs="Times New Roman" w:asciiTheme="minorEastAsia" w:hAnsiTheme="minorEastAsia"/>
          <w:color w:val="auto"/>
          <w:sz w:val="24"/>
        </w:rPr>
      </w:pPr>
    </w:p>
    <w:p w14:paraId="4B72B92E">
      <w:pPr>
        <w:widowControl/>
        <w:rPr>
          <w:rFonts w:cs="Times New Roman" w:asciiTheme="minorEastAsia" w:hAnsiTheme="minorEastAsia"/>
          <w:color w:val="auto"/>
          <w:sz w:val="24"/>
        </w:rPr>
      </w:pPr>
    </w:p>
    <w:p w14:paraId="39B9BAD1">
      <w:pPr>
        <w:widowControl/>
        <w:rPr>
          <w:rFonts w:cs="Times New Roman" w:asciiTheme="minorEastAsia" w:hAnsiTheme="minorEastAsia"/>
          <w:color w:val="auto"/>
          <w:sz w:val="24"/>
        </w:rPr>
      </w:pPr>
    </w:p>
    <w:p w14:paraId="5364569E">
      <w:pPr>
        <w:pStyle w:val="15"/>
        <w:rPr>
          <w:rFonts w:asciiTheme="minorEastAsia" w:hAnsiTheme="minorEastAsia"/>
          <w:color w:val="auto"/>
          <w:sz w:val="24"/>
        </w:rPr>
      </w:pPr>
    </w:p>
    <w:p w14:paraId="7D8C1618">
      <w:pPr>
        <w:rPr>
          <w:color w:val="auto"/>
        </w:rPr>
      </w:pPr>
    </w:p>
    <w:p w14:paraId="6B026E7F">
      <w:pPr>
        <w:pStyle w:val="15"/>
        <w:rPr>
          <w:rFonts w:asciiTheme="minorEastAsia" w:hAnsiTheme="minorEastAsia"/>
          <w:color w:val="auto"/>
          <w:sz w:val="24"/>
        </w:rPr>
      </w:pPr>
    </w:p>
    <w:p w14:paraId="2844CB9E">
      <w:pPr>
        <w:pStyle w:val="15"/>
        <w:rPr>
          <w:color w:val="auto"/>
        </w:rPr>
      </w:pPr>
    </w:p>
    <w:p w14:paraId="4ABFBCA0">
      <w:pPr>
        <w:widowControl/>
        <w:rPr>
          <w:rFonts w:cs="Times New Roman" w:asciiTheme="minorEastAsia" w:hAnsiTheme="minorEastAsia"/>
          <w:color w:val="auto"/>
          <w:sz w:val="24"/>
        </w:rPr>
      </w:pPr>
    </w:p>
    <w:p w14:paraId="6173DA25">
      <w:pPr>
        <w:widowControl/>
        <w:spacing w:line="360" w:lineRule="auto"/>
        <w:ind w:firstLine="1134"/>
        <w:rPr>
          <w:rFonts w:asciiTheme="minorEastAsia" w:hAnsiTheme="minorEastAsia" w:cstheme="minorEastAsia"/>
          <w:b/>
          <w:color w:val="auto"/>
          <w:spacing w:val="46"/>
          <w:sz w:val="24"/>
          <w:u w:val="single"/>
        </w:rPr>
      </w:pPr>
      <w:r>
        <w:rPr>
          <w:rFonts w:hint="eastAsia" w:asciiTheme="minorEastAsia" w:hAnsiTheme="minorEastAsia" w:cstheme="minorEastAsia"/>
          <w:b/>
          <w:color w:val="auto"/>
          <w:spacing w:val="46"/>
          <w:sz w:val="36"/>
          <w:szCs w:val="36"/>
        </w:rPr>
        <w:t>项目名称：</w:t>
      </w:r>
      <w:r>
        <w:rPr>
          <w:rFonts w:hint="eastAsia" w:asciiTheme="minorEastAsia" w:hAnsiTheme="minorEastAsia" w:cstheme="minorEastAsia"/>
          <w:b/>
          <w:color w:val="auto"/>
          <w:spacing w:val="46"/>
          <w:sz w:val="36"/>
          <w:szCs w:val="36"/>
          <w:u w:val="single"/>
        </w:rPr>
        <w:t xml:space="preserve">               </w:t>
      </w:r>
    </w:p>
    <w:p w14:paraId="1280D3C5">
      <w:pPr>
        <w:widowControl/>
        <w:spacing w:line="360" w:lineRule="auto"/>
        <w:ind w:firstLine="1134"/>
        <w:rPr>
          <w:rFonts w:asciiTheme="minorEastAsia" w:hAnsiTheme="minorEastAsia" w:cstheme="minorEastAsia"/>
          <w:b/>
          <w:color w:val="auto"/>
          <w:spacing w:val="46"/>
          <w:sz w:val="24"/>
          <w:u w:val="single"/>
        </w:rPr>
      </w:pPr>
      <w:r>
        <w:rPr>
          <w:rFonts w:hint="eastAsia" w:asciiTheme="minorEastAsia" w:hAnsiTheme="minorEastAsia" w:cstheme="minorEastAsia"/>
          <w:b/>
          <w:color w:val="auto"/>
          <w:spacing w:val="46"/>
          <w:sz w:val="36"/>
          <w:szCs w:val="36"/>
        </w:rPr>
        <w:t>项目编号：</w:t>
      </w:r>
      <w:r>
        <w:rPr>
          <w:rFonts w:hint="eastAsia" w:asciiTheme="minorEastAsia" w:hAnsiTheme="minorEastAsia" w:cstheme="minorEastAsia"/>
          <w:b/>
          <w:color w:val="auto"/>
          <w:spacing w:val="46"/>
          <w:sz w:val="36"/>
          <w:szCs w:val="36"/>
          <w:u w:val="single"/>
        </w:rPr>
        <w:t xml:space="preserve">               </w:t>
      </w:r>
    </w:p>
    <w:p w14:paraId="7BF69026">
      <w:pPr>
        <w:widowControl/>
        <w:spacing w:line="360" w:lineRule="auto"/>
        <w:ind w:firstLine="1134"/>
        <w:outlineLvl w:val="1"/>
        <w:rPr>
          <w:rFonts w:asciiTheme="minorEastAsia" w:hAnsiTheme="minorEastAsia" w:cstheme="minorEastAsia"/>
          <w:b/>
          <w:color w:val="auto"/>
          <w:sz w:val="24"/>
        </w:rPr>
      </w:pPr>
      <w:r>
        <w:rPr>
          <w:rFonts w:hint="eastAsia" w:asciiTheme="minorEastAsia" w:hAnsiTheme="minorEastAsia" w:cstheme="minorEastAsia"/>
          <w:b/>
          <w:color w:val="auto"/>
          <w:sz w:val="36"/>
          <w:szCs w:val="36"/>
        </w:rPr>
        <w:t>投标人名称：</w:t>
      </w:r>
      <w:r>
        <w:rPr>
          <w:rFonts w:hint="eastAsia" w:asciiTheme="minorEastAsia" w:hAnsiTheme="minorEastAsia" w:cstheme="minorEastAsia"/>
          <w:b/>
          <w:color w:val="auto"/>
          <w:sz w:val="36"/>
          <w:szCs w:val="36"/>
          <w:u w:val="single"/>
        </w:rPr>
        <w:t xml:space="preserve"> （加盖CA电子公章）   </w:t>
      </w:r>
    </w:p>
    <w:p w14:paraId="448D7400">
      <w:pPr>
        <w:widowControl/>
        <w:spacing w:line="360" w:lineRule="auto"/>
        <w:ind w:firstLine="1134"/>
        <w:rPr>
          <w:rFonts w:ascii="黑体" w:hAnsi="黑体" w:cs="Times New Roman"/>
          <w:bCs/>
          <w:color w:val="auto"/>
          <w:sz w:val="24"/>
          <w:u w:val="single"/>
        </w:rPr>
      </w:pPr>
      <w:r>
        <w:rPr>
          <w:rFonts w:hint="eastAsia" w:asciiTheme="minorEastAsia" w:hAnsiTheme="minorEastAsia" w:cstheme="minorEastAsia"/>
          <w:b/>
          <w:color w:val="auto"/>
          <w:sz w:val="36"/>
          <w:szCs w:val="36"/>
        </w:rPr>
        <w:t>日期：</w:t>
      </w:r>
      <w:r>
        <w:rPr>
          <w:rFonts w:hint="eastAsia" w:asciiTheme="minorEastAsia" w:hAnsiTheme="minorEastAsia" w:cstheme="minorEastAsia"/>
          <w:b/>
          <w:color w:val="auto"/>
          <w:sz w:val="36"/>
          <w:szCs w:val="36"/>
          <w:u w:val="single"/>
        </w:rPr>
        <w:t xml:space="preserve">                       </w:t>
      </w:r>
    </w:p>
    <w:p w14:paraId="182CEBFB">
      <w:pPr>
        <w:widowControl/>
        <w:jc w:val="left"/>
        <w:rPr>
          <w:rFonts w:cs="Times New Roman" w:asciiTheme="minorEastAsia" w:hAnsiTheme="minorEastAsia"/>
          <w:b/>
          <w:bCs/>
          <w:color w:val="auto"/>
          <w:sz w:val="36"/>
          <w:szCs w:val="36"/>
        </w:rPr>
      </w:pPr>
      <w:r>
        <w:rPr>
          <w:rFonts w:cs="Times New Roman" w:asciiTheme="minorEastAsia" w:hAnsiTheme="minorEastAsia"/>
          <w:b/>
          <w:bCs/>
          <w:color w:val="auto"/>
          <w:sz w:val="36"/>
          <w:szCs w:val="36"/>
        </w:rPr>
        <w:br w:type="page" w:clear="all"/>
      </w:r>
    </w:p>
    <w:p w14:paraId="42A1733F">
      <w:pPr>
        <w:widowControl/>
        <w:spacing w:before="120"/>
        <w:jc w:val="center"/>
        <w:rPr>
          <w:rFonts w:asciiTheme="minorEastAsia" w:hAnsiTheme="minorEastAsia" w:cstheme="minorEastAsia"/>
          <w:b/>
          <w:bCs/>
          <w:color w:val="auto"/>
          <w:sz w:val="32"/>
          <w:szCs w:val="32"/>
        </w:rPr>
      </w:pPr>
      <w:r>
        <w:rPr>
          <w:rFonts w:hint="eastAsia" w:asciiTheme="minorEastAsia" w:hAnsiTheme="minorEastAsia" w:cstheme="minorEastAsia"/>
          <w:b/>
          <w:bCs/>
          <w:color w:val="auto"/>
          <w:sz w:val="32"/>
          <w:szCs w:val="32"/>
        </w:rPr>
        <w:t>投标文件目录</w:t>
      </w:r>
    </w:p>
    <w:p w14:paraId="2BF6EEDE">
      <w:pPr>
        <w:widowControl/>
        <w:spacing w:line="560" w:lineRule="exact"/>
        <w:ind w:firstLine="561"/>
        <w:outlineLvl w:val="1"/>
        <w:rPr>
          <w:rFonts w:asciiTheme="minorEastAsia" w:hAnsiTheme="minorEastAsia" w:cstheme="minorEastAsia"/>
          <w:color w:val="auto"/>
          <w:sz w:val="24"/>
        </w:rPr>
      </w:pPr>
      <w:r>
        <w:rPr>
          <w:rFonts w:hint="eastAsia" w:asciiTheme="minorEastAsia" w:hAnsiTheme="minorEastAsia" w:cstheme="minorEastAsia"/>
          <w:color w:val="auto"/>
          <w:sz w:val="24"/>
        </w:rPr>
        <w:t>一、法人或者其他组织的营业执照等证明文件，自然人的身份证明</w:t>
      </w:r>
    </w:p>
    <w:p w14:paraId="316D381D">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二、上一年度的财务状况报</w:t>
      </w:r>
      <w:r>
        <w:rPr>
          <w:rFonts w:hint="eastAsia" w:eastAsia="宋体" w:asciiTheme="minorEastAsia" w:hAnsiTheme="minorEastAsia" w:cstheme="minorEastAsia"/>
          <w:color w:val="auto"/>
          <w:sz w:val="24"/>
          <w:lang w:val="en-US" w:eastAsia="zh-CN"/>
        </w:rPr>
        <w:t>表</w:t>
      </w:r>
      <w:r>
        <w:rPr>
          <w:rFonts w:hint="eastAsia" w:asciiTheme="minorEastAsia" w:hAnsiTheme="minorEastAsia" w:cstheme="minorEastAsia"/>
          <w:color w:val="auto"/>
          <w:sz w:val="24"/>
        </w:rPr>
        <w:t>（至少提供资产负债表、利润表、现金流量表，投标人成立不满一年无需提供）</w:t>
      </w:r>
    </w:p>
    <w:p w14:paraId="33DE4159">
      <w:pPr>
        <w:widowControl/>
        <w:spacing w:line="560" w:lineRule="exact"/>
        <w:ind w:firstLine="561"/>
        <w:outlineLvl w:val="1"/>
        <w:rPr>
          <w:rFonts w:asciiTheme="minorEastAsia" w:hAnsiTheme="minorEastAsia" w:cstheme="minorEastAsia"/>
          <w:color w:val="auto"/>
          <w:sz w:val="24"/>
        </w:rPr>
      </w:pPr>
      <w:r>
        <w:rPr>
          <w:rFonts w:hint="eastAsia" w:asciiTheme="minorEastAsia" w:hAnsiTheme="minorEastAsia" w:cstheme="minorEastAsia"/>
          <w:color w:val="auto"/>
          <w:sz w:val="24"/>
        </w:rPr>
        <w:t>三、具备履行合同所必需的设备和专业技术能力的书面声明</w:t>
      </w:r>
    </w:p>
    <w:p w14:paraId="61921C3E">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四、依法缴纳税收和社会保障资金的相关材料（提交投标文件截止时间前一年内至少一个月依法缴纳税收及缴纳社会保障资金的证明材料。投标人依法享受缓缴、免缴税收、社会保障资金的提供证明材料）</w:t>
      </w:r>
    </w:p>
    <w:p w14:paraId="7B0E17D5">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五、参加政府采购活动前3年内在经营活动中没有重大违法记录的书面声明</w:t>
      </w:r>
    </w:p>
    <w:p w14:paraId="66F705E8">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六、特定资格要求的证明文件（如果本项目设置特定资格要求，则需要提供）</w:t>
      </w:r>
    </w:p>
    <w:p w14:paraId="27D41330">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七、法人授权书</w:t>
      </w:r>
    </w:p>
    <w:p w14:paraId="6AC1CB45">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八、投标函</w:t>
      </w:r>
    </w:p>
    <w:p w14:paraId="489028E9">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九、中小企业声明函</w:t>
      </w:r>
    </w:p>
    <w:p w14:paraId="5B91BDCC">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十、残疾人福利性单位声明函</w:t>
      </w:r>
    </w:p>
    <w:p w14:paraId="54AD55E3">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十一、关于符合本国产品标准的声明函</w:t>
      </w:r>
    </w:p>
    <w:p w14:paraId="0785F053">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十二、投标分项报价表</w:t>
      </w:r>
    </w:p>
    <w:p w14:paraId="3C88E662">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十三、技术要求响应及偏离表</w:t>
      </w:r>
    </w:p>
    <w:p w14:paraId="5D10FBE0">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十四、商务要求响应及偏离表</w:t>
      </w:r>
    </w:p>
    <w:p w14:paraId="7D893378">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十五、开标一览表</w:t>
      </w:r>
    </w:p>
    <w:p w14:paraId="01694CB2">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十六、</w:t>
      </w:r>
      <w:r>
        <w:rPr>
          <w:rFonts w:hint="eastAsia" w:ascii="宋体" w:hAnsi="宋体" w:eastAsia="宋体" w:cs="宋体"/>
          <w:color w:val="auto"/>
          <w:sz w:val="24"/>
        </w:rPr>
        <w:t>技术方案、服务承诺、培训承诺等</w:t>
      </w:r>
    </w:p>
    <w:p w14:paraId="09DA3741">
      <w:pPr>
        <w:widowControl/>
        <w:spacing w:line="560" w:lineRule="exact"/>
        <w:ind w:firstLine="561"/>
        <w:rPr>
          <w:rFonts w:asciiTheme="minorEastAsia" w:hAnsiTheme="minorEastAsia" w:cstheme="minorEastAsia"/>
          <w:color w:val="auto"/>
          <w:sz w:val="24"/>
        </w:rPr>
      </w:pPr>
      <w:r>
        <w:rPr>
          <w:rFonts w:hint="eastAsia" w:asciiTheme="minorEastAsia" w:hAnsiTheme="minorEastAsia" w:cstheme="minorEastAsia"/>
          <w:color w:val="auto"/>
          <w:sz w:val="24"/>
        </w:rPr>
        <w:t>十七、盐城市政府</w:t>
      </w:r>
      <w:r>
        <w:rPr>
          <w:rFonts w:hint="eastAsia" w:ascii="宋体" w:hAnsi="宋体" w:eastAsia="宋体" w:cs="宋体"/>
          <w:color w:val="auto"/>
          <w:sz w:val="24"/>
        </w:rPr>
        <w:t>采购</w:t>
      </w:r>
      <w:r>
        <w:rPr>
          <w:rFonts w:hint="eastAsia" w:asciiTheme="minorEastAsia" w:hAnsiTheme="minorEastAsia" w:cstheme="minorEastAsia"/>
          <w:color w:val="auto"/>
          <w:sz w:val="24"/>
        </w:rPr>
        <w:t>事前信用承诺书</w:t>
      </w:r>
    </w:p>
    <w:p w14:paraId="71AD96E4">
      <w:pPr>
        <w:rPr>
          <w:rFonts w:asciiTheme="minorEastAsia" w:hAnsiTheme="minorEastAsia" w:cstheme="minorEastAsia"/>
          <w:color w:val="auto"/>
          <w:sz w:val="24"/>
        </w:rPr>
      </w:pPr>
      <w:r>
        <w:rPr>
          <w:rFonts w:hint="eastAsia" w:asciiTheme="minorEastAsia" w:hAnsiTheme="minorEastAsia" w:cstheme="minorEastAsia"/>
          <w:color w:val="auto"/>
          <w:sz w:val="24"/>
        </w:rPr>
        <w:br w:type="page" w:clear="all"/>
      </w:r>
    </w:p>
    <w:p w14:paraId="24A1FCD1">
      <w:pPr>
        <w:pStyle w:val="232"/>
        <w:spacing w:beforeAutospacing="0" w:afterAutospacing="0" w:line="400" w:lineRule="exact"/>
        <w:jc w:val="center"/>
        <w:outlineLvl w:val="1"/>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一、法人或者其他组织的营业执照等证明文件，自然人的   身份证明</w:t>
      </w:r>
    </w:p>
    <w:p w14:paraId="5EA88313">
      <w:pPr>
        <w:widowControl/>
        <w:spacing w:before="120"/>
        <w:rPr>
          <w:rFonts w:asciiTheme="minorEastAsia" w:hAnsiTheme="minorEastAsia" w:cstheme="minorEastAsia"/>
          <w:b/>
          <w:bCs/>
          <w:color w:val="auto"/>
          <w:sz w:val="32"/>
          <w:szCs w:val="32"/>
        </w:rPr>
      </w:pPr>
    </w:p>
    <w:p w14:paraId="179C374D">
      <w:pPr>
        <w:widowControl/>
        <w:jc w:val="left"/>
        <w:rPr>
          <w:rFonts w:ascii="微软雅黑" w:hAnsi="宋体" w:eastAsia="微软雅黑" w:cs="黑体"/>
          <w:iCs/>
          <w:color w:val="auto"/>
          <w:sz w:val="30"/>
          <w:szCs w:val="30"/>
        </w:rPr>
      </w:pPr>
      <w:r>
        <w:rPr>
          <w:rFonts w:ascii="微软雅黑" w:hAnsi="宋体" w:eastAsia="微软雅黑" w:cs="黑体"/>
          <w:iCs/>
          <w:color w:val="auto"/>
          <w:sz w:val="30"/>
          <w:szCs w:val="30"/>
        </w:rPr>
        <w:br w:type="page" w:clear="all"/>
      </w:r>
    </w:p>
    <w:p w14:paraId="12E2232D">
      <w:pPr>
        <w:widowControl/>
        <w:spacing w:before="120" w:line="360" w:lineRule="auto"/>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二、上一年度的财务状况报告</w:t>
      </w:r>
    </w:p>
    <w:p w14:paraId="3577EDE3">
      <w:pPr>
        <w:widowControl/>
        <w:tabs>
          <w:tab w:val="left" w:pos="1331"/>
        </w:tabs>
        <w:spacing w:line="360" w:lineRule="auto"/>
        <w:jc w:val="center"/>
        <w:rPr>
          <w:rFonts w:ascii="宋体" w:hAnsi="宋体" w:eastAsia="宋体" w:cs="宋体"/>
          <w:iCs/>
          <w:color w:val="auto"/>
          <w:sz w:val="24"/>
        </w:rPr>
      </w:pPr>
      <w:r>
        <w:rPr>
          <w:rFonts w:hint="eastAsia" w:ascii="宋体" w:hAnsi="宋体" w:eastAsia="宋体" w:cs="宋体"/>
          <w:iCs/>
          <w:color w:val="auto"/>
          <w:sz w:val="24"/>
        </w:rPr>
        <w:t>（至少提供资产负债表、利润表、现金流量表，投标人成立不满一年无需提供）</w:t>
      </w:r>
    </w:p>
    <w:p w14:paraId="45D71ED8">
      <w:pPr>
        <w:pStyle w:val="34"/>
        <w:widowControl/>
        <w:spacing w:line="360" w:lineRule="auto"/>
        <w:jc w:val="both"/>
        <w:rPr>
          <w:rFonts w:ascii="宋体" w:hAnsi="宋体" w:eastAsia="宋体" w:cs="宋体"/>
          <w:color w:val="auto"/>
        </w:rPr>
      </w:pPr>
    </w:p>
    <w:p w14:paraId="7D6D5ACB">
      <w:pPr>
        <w:widowControl/>
        <w:jc w:val="left"/>
        <w:rPr>
          <w:rFonts w:ascii="微软雅黑" w:hAnsi="宋体" w:eastAsia="微软雅黑" w:cs="黑体"/>
          <w:iCs/>
          <w:color w:val="auto"/>
          <w:sz w:val="30"/>
          <w:szCs w:val="30"/>
        </w:rPr>
      </w:pPr>
      <w:r>
        <w:rPr>
          <w:rFonts w:ascii="微软雅黑" w:hAnsi="宋体" w:eastAsia="微软雅黑" w:cs="黑体"/>
          <w:iCs/>
          <w:color w:val="auto"/>
          <w:sz w:val="30"/>
          <w:szCs w:val="30"/>
        </w:rPr>
        <w:br w:type="page" w:clear="all"/>
      </w:r>
    </w:p>
    <w:p w14:paraId="6471AD71">
      <w:pPr>
        <w:widowControl/>
        <w:spacing w:before="12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三、具备履行合同所必需的设备和专业技术能力的书面声明</w:t>
      </w:r>
    </w:p>
    <w:p w14:paraId="3475456E">
      <w:pPr>
        <w:pStyle w:val="34"/>
        <w:widowControl/>
        <w:spacing w:line="560" w:lineRule="exact"/>
        <w:ind w:firstLine="480"/>
        <w:jc w:val="both"/>
        <w:rPr>
          <w:rFonts w:asciiTheme="minorEastAsia" w:hAnsiTheme="minorEastAsia" w:cstheme="minorEastAsia"/>
          <w:color w:val="auto"/>
        </w:rPr>
      </w:pPr>
      <w:r>
        <w:rPr>
          <w:rFonts w:hint="eastAsia" w:asciiTheme="minorEastAsia" w:hAnsiTheme="minorEastAsia" w:cstheme="minorEastAsia"/>
          <w:color w:val="auto"/>
        </w:rPr>
        <w:t>我单位郑重声明：我单位具备履行本项采购合同所必需的设备和专业技术能力，为履行本项采购合同我公司具备如下主要设备和主要专业技术能力：</w:t>
      </w:r>
    </w:p>
    <w:p w14:paraId="5B4B39AA">
      <w:pPr>
        <w:pStyle w:val="34"/>
        <w:widowControl/>
        <w:ind w:firstLine="480"/>
        <w:jc w:val="both"/>
        <w:rPr>
          <w:rFonts w:asciiTheme="minorEastAsia" w:hAnsiTheme="minorEastAsia" w:cstheme="minorEastAsia"/>
          <w:color w:val="auto"/>
        </w:rPr>
      </w:pPr>
      <w:r>
        <w:rPr>
          <w:rFonts w:hint="eastAsia" w:asciiTheme="minorEastAsia" w:hAnsiTheme="minorEastAsia" w:cstheme="minorEastAsia"/>
          <w:color w:val="auto"/>
        </w:rPr>
        <w:t>主要设备有：</w:t>
      </w:r>
      <w:r>
        <w:rPr>
          <w:rFonts w:hint="eastAsia" w:asciiTheme="minorEastAsia" w:hAnsiTheme="minorEastAsia" w:cstheme="minorEastAsia"/>
          <w:color w:val="auto"/>
          <w:u w:val="single"/>
        </w:rPr>
        <w:t xml:space="preserve">             </w:t>
      </w:r>
      <w:r>
        <w:rPr>
          <w:rFonts w:hint="eastAsia" w:asciiTheme="minorEastAsia" w:hAnsiTheme="minorEastAsia" w:cstheme="minorEastAsia"/>
          <w:color w:val="auto"/>
        </w:rPr>
        <w:t>。</w:t>
      </w:r>
    </w:p>
    <w:p w14:paraId="78250353">
      <w:pPr>
        <w:pStyle w:val="34"/>
        <w:widowControl/>
        <w:ind w:firstLine="480"/>
        <w:jc w:val="both"/>
        <w:rPr>
          <w:rFonts w:ascii="微软雅黑" w:hAnsi="宋体" w:eastAsia="微软雅黑" w:cs="宋体"/>
          <w:iCs/>
          <w:color w:val="auto"/>
        </w:rPr>
      </w:pPr>
      <w:r>
        <w:rPr>
          <w:rFonts w:hint="eastAsia" w:asciiTheme="minorEastAsia" w:hAnsiTheme="minorEastAsia" w:cstheme="minorEastAsia"/>
          <w:color w:val="auto"/>
        </w:rPr>
        <w:t>主要专业技术能力有：</w:t>
      </w:r>
      <w:r>
        <w:rPr>
          <w:rFonts w:hint="eastAsia" w:asciiTheme="minorEastAsia" w:hAnsiTheme="minorEastAsia" w:cstheme="minorEastAsia"/>
          <w:color w:val="auto"/>
          <w:u w:val="single"/>
        </w:rPr>
        <w:t xml:space="preserve">   </w:t>
      </w:r>
      <w:r>
        <w:rPr>
          <w:rFonts w:hint="eastAsia" w:asciiTheme="minorEastAsia" w:hAnsiTheme="minorEastAsia" w:cstheme="minorEastAsia"/>
          <w:color w:val="auto"/>
        </w:rPr>
        <w:t>。</w:t>
      </w:r>
    </w:p>
    <w:p w14:paraId="5FFD6206">
      <w:pPr>
        <w:widowControl/>
        <w:jc w:val="left"/>
        <w:rPr>
          <w:rFonts w:ascii="微软雅黑" w:hAnsi="宋体" w:eastAsia="微软雅黑" w:cs="黑体"/>
          <w:iCs/>
          <w:color w:val="auto"/>
          <w:sz w:val="30"/>
          <w:szCs w:val="30"/>
        </w:rPr>
      </w:pPr>
      <w:r>
        <w:rPr>
          <w:rFonts w:ascii="微软雅黑" w:hAnsi="宋体" w:eastAsia="微软雅黑" w:cs="黑体"/>
          <w:iCs/>
          <w:color w:val="auto"/>
          <w:sz w:val="30"/>
          <w:szCs w:val="30"/>
        </w:rPr>
        <w:br w:type="page" w:clear="all"/>
      </w:r>
    </w:p>
    <w:p w14:paraId="3B7D3BDC">
      <w:pPr>
        <w:widowControl/>
        <w:spacing w:before="12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四、依法缴纳税收和社会保障资金的相关材料</w:t>
      </w:r>
    </w:p>
    <w:p w14:paraId="1FD964CB">
      <w:pPr>
        <w:pStyle w:val="34"/>
        <w:widowControl/>
        <w:spacing w:beforeAutospacing="0" w:afterAutospacing="0" w:line="500" w:lineRule="exact"/>
        <w:ind w:firstLine="480"/>
        <w:jc w:val="both"/>
        <w:rPr>
          <w:rFonts w:ascii="宋体" w:hAnsi="宋体" w:eastAsia="宋体" w:cs="宋体"/>
          <w:color w:val="auto"/>
        </w:rPr>
      </w:pPr>
      <w:r>
        <w:rPr>
          <w:rFonts w:hint="eastAsia" w:asciiTheme="minorEastAsia" w:hAnsiTheme="minorEastAsia" w:cstheme="minorEastAsia"/>
          <w:color w:val="auto"/>
        </w:rPr>
        <w:t>提供提交响应文件截止时间前一年内至少一个月依法缴纳税收及缴纳社会保障资金的证明材料。供应商依法享受缓缴、免缴税收、社会保障资金的提供证明材料。</w:t>
      </w:r>
    </w:p>
    <w:p w14:paraId="37DF2406">
      <w:pPr>
        <w:widowControl/>
        <w:spacing w:line="500" w:lineRule="exact"/>
        <w:jc w:val="left"/>
        <w:rPr>
          <w:rFonts w:ascii="微软雅黑" w:hAnsi="宋体" w:eastAsia="微软雅黑" w:cs="黑体"/>
          <w:iCs/>
          <w:color w:val="auto"/>
          <w:sz w:val="30"/>
          <w:szCs w:val="30"/>
        </w:rPr>
      </w:pPr>
      <w:r>
        <w:rPr>
          <w:rFonts w:ascii="微软雅黑" w:hAnsi="宋体" w:eastAsia="微软雅黑" w:cs="黑体"/>
          <w:iCs/>
          <w:color w:val="auto"/>
          <w:sz w:val="30"/>
          <w:szCs w:val="30"/>
        </w:rPr>
        <w:br w:type="page" w:clear="all"/>
      </w:r>
    </w:p>
    <w:p w14:paraId="5C1DCD21">
      <w:pPr>
        <w:widowControl/>
        <w:spacing w:before="12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五、参加政府采购活动前3年内在经营活动中没有重大违法记录的书面声明</w:t>
      </w:r>
    </w:p>
    <w:p w14:paraId="786380CD">
      <w:pPr>
        <w:pStyle w:val="34"/>
        <w:widowControl/>
        <w:spacing w:line="500" w:lineRule="exact"/>
        <w:jc w:val="center"/>
        <w:rPr>
          <w:rFonts w:asciiTheme="minorEastAsia" w:hAnsiTheme="minorEastAsia" w:cstheme="minorEastAsia"/>
          <w:b/>
          <w:color w:val="auto"/>
        </w:rPr>
      </w:pPr>
      <w:r>
        <w:rPr>
          <w:rFonts w:hint="eastAsia" w:asciiTheme="minorEastAsia" w:hAnsiTheme="minorEastAsia" w:cstheme="minorEastAsia"/>
          <w:b/>
          <w:color w:val="auto"/>
          <w:sz w:val="44"/>
          <w:szCs w:val="44"/>
        </w:rPr>
        <w:t>声 明</w:t>
      </w:r>
    </w:p>
    <w:p w14:paraId="11D47A76">
      <w:pPr>
        <w:pStyle w:val="34"/>
        <w:widowControl/>
        <w:spacing w:line="500" w:lineRule="exact"/>
        <w:ind w:firstLine="480"/>
        <w:jc w:val="both"/>
        <w:rPr>
          <w:rFonts w:asciiTheme="minorEastAsia" w:hAnsiTheme="minorEastAsia" w:cstheme="minorEastAsia"/>
          <w:color w:val="auto"/>
        </w:rPr>
      </w:pPr>
      <w:r>
        <w:rPr>
          <w:rFonts w:hint="eastAsia" w:asciiTheme="minorEastAsia" w:hAnsiTheme="minorEastAsia" w:cstheme="minorEastAsia"/>
          <w:color w:val="auto"/>
        </w:rPr>
        <w:t>我单位郑重声明：参加本次政府采购活动前 3 年内，我单位在经营活动中没有因违法经营受到刑事处罚或者责令停产停业、吊销许可证或者执照、较大数额罚款等行政处罚。</w:t>
      </w:r>
    </w:p>
    <w:p w14:paraId="7D9DEE6B">
      <w:pPr>
        <w:pStyle w:val="34"/>
        <w:widowControl/>
        <w:spacing w:line="560" w:lineRule="exact"/>
        <w:jc w:val="both"/>
        <w:rPr>
          <w:rFonts w:asciiTheme="minorEastAsia" w:hAnsiTheme="minorEastAsia" w:cstheme="minorEastAsia"/>
          <w:color w:val="auto"/>
        </w:rPr>
      </w:pPr>
    </w:p>
    <w:p w14:paraId="79BB6B0A">
      <w:pPr>
        <w:widowControl/>
        <w:jc w:val="left"/>
        <w:rPr>
          <w:rFonts w:ascii="微软雅黑" w:hAnsi="宋体" w:eastAsia="微软雅黑" w:cs="黑体"/>
          <w:iCs/>
          <w:color w:val="auto"/>
          <w:sz w:val="30"/>
          <w:szCs w:val="30"/>
        </w:rPr>
      </w:pPr>
      <w:r>
        <w:rPr>
          <w:rFonts w:ascii="微软雅黑" w:hAnsi="宋体" w:eastAsia="微软雅黑" w:cs="黑体"/>
          <w:iCs/>
          <w:color w:val="auto"/>
          <w:sz w:val="30"/>
          <w:szCs w:val="30"/>
        </w:rPr>
        <w:br w:type="page" w:clear="all"/>
      </w:r>
    </w:p>
    <w:p w14:paraId="2D0672DC">
      <w:pPr>
        <w:widowControl/>
        <w:spacing w:before="120" w:line="36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六、特定资格要求的证明文件</w:t>
      </w:r>
    </w:p>
    <w:p w14:paraId="067F3D6E">
      <w:pPr>
        <w:pStyle w:val="34"/>
        <w:widowControl/>
        <w:spacing w:afterAutospacing="0" w:line="360" w:lineRule="exact"/>
        <w:jc w:val="center"/>
        <w:rPr>
          <w:rFonts w:ascii="宋体" w:hAnsi="宋体" w:eastAsia="宋体" w:cs="宋体"/>
          <w:color w:val="auto"/>
        </w:rPr>
      </w:pPr>
      <w:r>
        <w:rPr>
          <w:rFonts w:hint="eastAsia" w:ascii="宋体" w:hAnsi="宋体" w:eastAsia="宋体" w:cs="宋体"/>
          <w:color w:val="auto"/>
        </w:rPr>
        <w:t>如果本项目申请人的特定资格要求中要求提供的，必须提供。</w:t>
      </w:r>
    </w:p>
    <w:p w14:paraId="1E1BC35E">
      <w:pPr>
        <w:widowControl/>
        <w:jc w:val="left"/>
        <w:rPr>
          <w:rFonts w:cs="Times New Roman" w:asciiTheme="minorEastAsia" w:hAnsiTheme="minorEastAsia"/>
          <w:color w:val="auto"/>
          <w:sz w:val="32"/>
          <w:szCs w:val="32"/>
        </w:rPr>
      </w:pPr>
      <w:r>
        <w:rPr>
          <w:rFonts w:asciiTheme="minorEastAsia" w:hAnsiTheme="minorEastAsia"/>
          <w:color w:val="auto"/>
        </w:rPr>
        <w:br w:type="page" w:clear="all"/>
      </w:r>
    </w:p>
    <w:p w14:paraId="10DDA950">
      <w:pPr>
        <w:widowControl/>
        <w:spacing w:before="12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七、法人授权书</w:t>
      </w:r>
    </w:p>
    <w:p w14:paraId="36D153F7">
      <w:pPr>
        <w:pStyle w:val="34"/>
        <w:widowControl/>
        <w:spacing w:line="560" w:lineRule="exact"/>
        <w:ind w:firstLine="480"/>
        <w:jc w:val="both"/>
        <w:rPr>
          <w:rFonts w:asciiTheme="minorEastAsia" w:hAnsiTheme="minorEastAsia" w:cstheme="minorEastAsia"/>
          <w:color w:val="auto"/>
        </w:rPr>
      </w:pPr>
      <w:r>
        <w:rPr>
          <w:rFonts w:hint="eastAsia" w:asciiTheme="minorEastAsia" w:hAnsiTheme="minorEastAsia" w:cstheme="minorEastAsia"/>
          <w:color w:val="auto"/>
        </w:rPr>
        <w:t>本授权书声明：</w:t>
      </w:r>
      <w:r>
        <w:rPr>
          <w:rFonts w:hint="eastAsia" w:asciiTheme="minorEastAsia" w:hAnsiTheme="minorEastAsia" w:cstheme="minorEastAsia"/>
          <w:color w:val="auto"/>
          <w:u w:val="single"/>
        </w:rPr>
        <w:t xml:space="preserve">               </w:t>
      </w:r>
      <w:r>
        <w:rPr>
          <w:rFonts w:hint="eastAsia" w:asciiTheme="minorEastAsia" w:hAnsiTheme="minorEastAsia" w:cstheme="minorEastAsia"/>
          <w:color w:val="auto"/>
        </w:rPr>
        <w:t>（供应商名称）授权</w:t>
      </w:r>
      <w:r>
        <w:rPr>
          <w:rFonts w:hint="eastAsia" w:asciiTheme="minorEastAsia" w:hAnsiTheme="minorEastAsia" w:cstheme="minorEastAsia"/>
          <w:color w:val="auto"/>
          <w:u w:val="single"/>
        </w:rPr>
        <w:t xml:space="preserve">            </w:t>
      </w:r>
      <w:r>
        <w:rPr>
          <w:rFonts w:hint="eastAsia" w:asciiTheme="minorEastAsia" w:hAnsiTheme="minorEastAsia" w:cstheme="minorEastAsia"/>
          <w:color w:val="auto"/>
        </w:rPr>
        <w:t>（被授权人的姓名）为我方就</w:t>
      </w:r>
      <w:r>
        <w:rPr>
          <w:rFonts w:hint="eastAsia" w:eastAsia="宋体" w:asciiTheme="minorEastAsia" w:hAnsiTheme="minorEastAsia" w:cstheme="minorEastAsia"/>
          <w:color w:val="auto"/>
          <w:u w:val="single"/>
          <w:lang w:eastAsia="zh-CN"/>
        </w:rPr>
        <w:t>JSZC-320900-DNGC-G2026-0007</w:t>
      </w:r>
      <w:r>
        <w:rPr>
          <w:rFonts w:hint="eastAsia" w:asciiTheme="minorEastAsia" w:hAnsiTheme="minorEastAsia" w:cstheme="minorEastAsia"/>
          <w:color w:val="auto"/>
        </w:rPr>
        <w:t>号</w:t>
      </w:r>
      <w:r>
        <w:rPr>
          <w:rFonts w:hint="eastAsia" w:eastAsia="宋体" w:asciiTheme="minorEastAsia" w:hAnsiTheme="minorEastAsia" w:cstheme="minorEastAsia"/>
          <w:color w:val="auto"/>
          <w:u w:val="single"/>
          <w:lang w:eastAsia="zh-CN"/>
        </w:rPr>
        <w:t>江苏省盐城技师学院药品生产技术专业(化工仪表及自动化方向)教学设备添置采购项目、交通工程学院智慧物流实训中心采购项目</w:t>
      </w:r>
      <w:r>
        <w:rPr>
          <w:rFonts w:hint="eastAsia" w:asciiTheme="minorEastAsia" w:hAnsiTheme="minorEastAsia" w:cstheme="minorEastAsia"/>
          <w:color w:val="auto"/>
        </w:rPr>
        <w:t>采购活动的合法代理人，以本单位名义全权处理一切与该项目采购有关的事务。</w:t>
      </w:r>
    </w:p>
    <w:p w14:paraId="6B8C425F">
      <w:pPr>
        <w:pStyle w:val="34"/>
        <w:widowControl/>
        <w:spacing w:line="400" w:lineRule="exact"/>
        <w:ind w:firstLine="480"/>
        <w:jc w:val="both"/>
        <w:rPr>
          <w:rFonts w:asciiTheme="minorEastAsia" w:hAnsiTheme="minorEastAsia" w:cstheme="minorEastAsia"/>
          <w:color w:val="auto"/>
        </w:rPr>
      </w:pPr>
      <w:r>
        <w:rPr>
          <w:rFonts w:hint="eastAsia" w:asciiTheme="minorEastAsia" w:hAnsiTheme="minorEastAsia" w:cstheme="minorEastAsia"/>
          <w:color w:val="auto"/>
        </w:rPr>
        <w:t>本授权书于</w:t>
      </w:r>
      <w:r>
        <w:rPr>
          <w:rFonts w:hint="eastAsia" w:asciiTheme="minorEastAsia" w:hAnsiTheme="minorEastAsia" w:cstheme="minorEastAsia"/>
          <w:color w:val="auto"/>
          <w:u w:val="single"/>
        </w:rPr>
        <w:t xml:space="preserve">       </w:t>
      </w:r>
      <w:r>
        <w:rPr>
          <w:rFonts w:hint="eastAsia" w:asciiTheme="minorEastAsia" w:hAnsiTheme="minorEastAsia" w:cstheme="minorEastAsia"/>
          <w:color w:val="auto"/>
        </w:rPr>
        <w:t>年</w:t>
      </w:r>
      <w:r>
        <w:rPr>
          <w:rFonts w:hint="eastAsia" w:asciiTheme="minorEastAsia" w:hAnsiTheme="minorEastAsia" w:cstheme="minorEastAsia"/>
          <w:color w:val="auto"/>
          <w:u w:val="single"/>
        </w:rPr>
        <w:t xml:space="preserve">     </w:t>
      </w:r>
      <w:r>
        <w:rPr>
          <w:rFonts w:hint="eastAsia" w:asciiTheme="minorEastAsia" w:hAnsiTheme="minorEastAsia" w:cstheme="minorEastAsia"/>
          <w:color w:val="auto"/>
        </w:rPr>
        <w:t>月</w:t>
      </w:r>
      <w:r>
        <w:rPr>
          <w:rFonts w:hint="eastAsia" w:asciiTheme="minorEastAsia" w:hAnsiTheme="minorEastAsia" w:cstheme="minorEastAsia"/>
          <w:color w:val="auto"/>
          <w:u w:val="single"/>
        </w:rPr>
        <w:t xml:space="preserve">     </w:t>
      </w:r>
      <w:r>
        <w:rPr>
          <w:rFonts w:hint="eastAsia" w:asciiTheme="minorEastAsia" w:hAnsiTheme="minorEastAsia" w:cstheme="minorEastAsia"/>
          <w:color w:val="auto"/>
        </w:rPr>
        <w:t>日起生效，特此声明。</w:t>
      </w:r>
    </w:p>
    <w:p w14:paraId="7CC03CCF">
      <w:pPr>
        <w:pStyle w:val="34"/>
        <w:widowControl/>
        <w:tabs>
          <w:tab w:val="left" w:pos="360"/>
        </w:tabs>
        <w:spacing w:line="400" w:lineRule="exact"/>
        <w:ind w:firstLine="480"/>
        <w:jc w:val="both"/>
        <w:rPr>
          <w:rFonts w:asciiTheme="minorEastAsia" w:hAnsiTheme="minorEastAsia" w:cstheme="minorEastAsia"/>
          <w:color w:val="auto"/>
        </w:rPr>
      </w:pPr>
      <w:r>
        <w:rPr>
          <w:rFonts w:hint="eastAsia" w:asciiTheme="minorEastAsia" w:hAnsiTheme="minorEastAsia" w:cstheme="minorEastAsia"/>
          <w:color w:val="auto"/>
        </w:rPr>
        <w:t>被授权人身份证号码：</w:t>
      </w:r>
      <w:r>
        <w:rPr>
          <w:rFonts w:hint="eastAsia" w:asciiTheme="minorEastAsia" w:hAnsiTheme="minorEastAsia" w:cstheme="minorEastAsia"/>
          <w:color w:val="auto"/>
          <w:u w:val="single"/>
        </w:rPr>
        <w:t xml:space="preserve">                </w:t>
      </w:r>
    </w:p>
    <w:p w14:paraId="44F4AE70">
      <w:pPr>
        <w:pStyle w:val="34"/>
        <w:widowControl/>
        <w:tabs>
          <w:tab w:val="left" w:pos="360"/>
        </w:tabs>
        <w:spacing w:line="400" w:lineRule="exact"/>
        <w:ind w:firstLine="480"/>
        <w:jc w:val="both"/>
        <w:rPr>
          <w:rFonts w:asciiTheme="minorEastAsia" w:hAnsiTheme="minorEastAsia" w:cstheme="minorEastAsia"/>
          <w:color w:val="auto"/>
        </w:rPr>
      </w:pPr>
      <w:r>
        <w:rPr>
          <w:rFonts w:hint="eastAsia" w:asciiTheme="minorEastAsia" w:hAnsiTheme="minorEastAsia" w:cstheme="minorEastAsia"/>
          <w:color w:val="auto"/>
        </w:rPr>
        <w:t>被授权人联系电话：</w:t>
      </w:r>
      <w:r>
        <w:rPr>
          <w:rFonts w:hint="eastAsia" w:asciiTheme="minorEastAsia" w:hAnsiTheme="minorEastAsia" w:cstheme="minorEastAsia"/>
          <w:color w:val="auto"/>
          <w:u w:val="single"/>
        </w:rPr>
        <w:t xml:space="preserve">（手机）          </w:t>
      </w:r>
    </w:p>
    <w:p w14:paraId="7D15E88B">
      <w:pPr>
        <w:pStyle w:val="34"/>
        <w:widowControl/>
        <w:tabs>
          <w:tab w:val="left" w:pos="360"/>
        </w:tabs>
        <w:spacing w:line="400" w:lineRule="exact"/>
        <w:ind w:firstLine="480"/>
        <w:jc w:val="both"/>
        <w:rPr>
          <w:rFonts w:asciiTheme="minorEastAsia" w:hAnsiTheme="minorEastAsia" w:cstheme="minorEastAsia"/>
          <w:color w:val="auto"/>
        </w:rPr>
      </w:pPr>
      <w:r>
        <w:rPr>
          <w:rFonts w:hint="eastAsia" w:asciiTheme="minorEastAsia" w:hAnsiTheme="minorEastAsia" w:cstheme="minorEastAsia"/>
          <w:color w:val="auto"/>
        </w:rPr>
        <w:t>授权单位名称：</w:t>
      </w:r>
      <w:r>
        <w:rPr>
          <w:rFonts w:hint="eastAsia" w:asciiTheme="minorEastAsia" w:hAnsiTheme="minorEastAsia" w:cstheme="minorEastAsia"/>
          <w:color w:val="auto"/>
          <w:u w:val="single"/>
        </w:rPr>
        <w:t xml:space="preserve">    （加盖CA电子公章）         </w:t>
      </w:r>
    </w:p>
    <w:p w14:paraId="3CD93CC3">
      <w:pPr>
        <w:pStyle w:val="34"/>
        <w:widowControl/>
        <w:tabs>
          <w:tab w:val="left" w:pos="360"/>
        </w:tabs>
        <w:spacing w:line="400" w:lineRule="exact"/>
        <w:ind w:firstLine="480"/>
        <w:jc w:val="both"/>
        <w:rPr>
          <w:rFonts w:asciiTheme="minorEastAsia" w:hAnsiTheme="minorEastAsia" w:cstheme="minorEastAsia"/>
          <w:color w:val="auto"/>
        </w:rPr>
      </w:pPr>
      <w:r>
        <w:rPr>
          <w:rFonts w:hint="eastAsia" w:asciiTheme="minorEastAsia" w:hAnsiTheme="minorEastAsia" w:cstheme="minorEastAsia"/>
          <w:color w:val="auto"/>
        </w:rPr>
        <w:t>单位地址：</w:t>
      </w:r>
      <w:r>
        <w:rPr>
          <w:rFonts w:hint="eastAsia" w:asciiTheme="minorEastAsia" w:hAnsiTheme="minorEastAsia" w:cstheme="minorEastAsia"/>
          <w:color w:val="auto"/>
          <w:u w:val="single"/>
        </w:rPr>
        <w:t xml:space="preserve">                          </w:t>
      </w:r>
    </w:p>
    <w:p w14:paraId="01B42EF5">
      <w:pPr>
        <w:pStyle w:val="34"/>
        <w:widowControl/>
        <w:tabs>
          <w:tab w:val="left" w:pos="360"/>
        </w:tabs>
        <w:spacing w:line="400" w:lineRule="exact"/>
        <w:ind w:firstLine="480"/>
        <w:jc w:val="both"/>
        <w:rPr>
          <w:rFonts w:asciiTheme="minorEastAsia" w:hAnsiTheme="minorEastAsia" w:cstheme="minorEastAsia"/>
          <w:color w:val="auto"/>
        </w:rPr>
      </w:pPr>
      <w:r>
        <w:rPr>
          <w:rFonts w:hint="eastAsia" w:asciiTheme="minorEastAsia" w:hAnsiTheme="minorEastAsia" w:cstheme="minorEastAsia"/>
          <w:color w:val="auto"/>
        </w:rPr>
        <w:t>日    期：</w:t>
      </w:r>
      <w:r>
        <w:rPr>
          <w:rFonts w:hint="eastAsia" w:asciiTheme="minorEastAsia" w:hAnsiTheme="minorEastAsia" w:cstheme="minorEastAsia"/>
          <w:color w:val="auto"/>
          <w:u w:val="single"/>
        </w:rPr>
        <w:t xml:space="preserve">                                 </w:t>
      </w:r>
    </w:p>
    <w:p w14:paraId="52FC9DF8">
      <w:pPr>
        <w:widowControl/>
        <w:rPr>
          <w:rFonts w:ascii="微软雅黑" w:hAnsi="宋体" w:eastAsia="微软雅黑" w:cs="黑体"/>
          <w:iCs/>
          <w:color w:val="auto"/>
          <w:sz w:val="30"/>
          <w:szCs w:val="30"/>
        </w:rPr>
      </w:pPr>
      <w:r>
        <w:rPr>
          <w:rFonts w:ascii="微软雅黑" w:hAnsi="宋体" w:eastAsia="微软雅黑" w:cs="黑体"/>
          <w:iCs/>
          <w:color w:val="auto"/>
          <w:sz w:val="30"/>
          <w:szCs w:val="30"/>
        </w:rPr>
        <w:br w:type="page" w:clear="all"/>
      </w:r>
    </w:p>
    <w:p w14:paraId="5F03934D">
      <w:pPr>
        <w:widowControl/>
        <w:spacing w:before="12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八、投标函</w:t>
      </w:r>
    </w:p>
    <w:p w14:paraId="713979ED">
      <w:pPr>
        <w:widowControl/>
        <w:spacing w:line="500" w:lineRule="exact"/>
        <w:jc w:val="left"/>
        <w:rPr>
          <w:rFonts w:hint="default" w:ascii="宋体" w:hAnsi="宋体" w:eastAsia="宋体" w:cs="宋体"/>
          <w:color w:val="auto"/>
          <w:sz w:val="24"/>
          <w:lang w:val="en-US" w:eastAsia="zh-CN"/>
        </w:rPr>
      </w:pPr>
      <w:r>
        <w:rPr>
          <w:rFonts w:hint="eastAsia" w:ascii="宋体" w:hAnsi="宋体" w:cs="宋体"/>
          <w:color w:val="auto"/>
          <w:sz w:val="24"/>
        </w:rPr>
        <w:t>致：</w:t>
      </w:r>
      <w:r>
        <w:rPr>
          <w:rFonts w:hint="eastAsia" w:ascii="宋体" w:hAnsi="宋体" w:eastAsia="宋体" w:cs="宋体"/>
          <w:color w:val="auto"/>
          <w:sz w:val="24"/>
          <w:lang w:val="en-US" w:eastAsia="zh-CN"/>
        </w:rPr>
        <w:t>江苏省盐城技师学院</w:t>
      </w:r>
    </w:p>
    <w:p w14:paraId="21D8B76C">
      <w:pPr>
        <w:widowControl/>
        <w:spacing w:line="500" w:lineRule="exact"/>
        <w:ind w:firstLine="480"/>
        <w:jc w:val="left"/>
        <w:rPr>
          <w:rFonts w:ascii="宋体" w:hAnsi="宋体" w:cs="宋体"/>
          <w:color w:val="auto"/>
          <w:sz w:val="24"/>
        </w:rPr>
      </w:pPr>
      <w:r>
        <w:rPr>
          <w:rFonts w:hint="eastAsia" w:ascii="宋体" w:hAnsi="宋体" w:cs="宋体"/>
          <w:color w:val="auto"/>
          <w:sz w:val="24"/>
        </w:rPr>
        <w:t>根据贵方的</w:t>
      </w:r>
      <w:r>
        <w:rPr>
          <w:rFonts w:hint="eastAsia" w:ascii="宋体" w:hAnsi="宋体" w:cs="宋体"/>
          <w:color w:val="auto"/>
          <w:sz w:val="24"/>
          <w:u w:val="single"/>
        </w:rPr>
        <w:t xml:space="preserve"> </w:t>
      </w:r>
      <w:r>
        <w:rPr>
          <w:rFonts w:hint="eastAsia" w:ascii="宋体" w:hAnsi="宋体" w:eastAsia="宋体" w:cs="宋体"/>
          <w:color w:val="auto"/>
          <w:sz w:val="24"/>
          <w:u w:val="single"/>
          <w:lang w:eastAsia="zh-CN"/>
        </w:rPr>
        <w:t>JSZC-320900-DNGC-G2026-0007</w:t>
      </w:r>
      <w:r>
        <w:rPr>
          <w:rFonts w:hint="eastAsia" w:ascii="宋体" w:hAnsi="宋体" w:cs="宋体"/>
          <w:color w:val="auto"/>
          <w:sz w:val="24"/>
        </w:rPr>
        <w:t>号招标文件，正式授权下述签字人______(姓名)代表我方______________（投标人的名称），全权处理本次项目投标的有关事宜。</w:t>
      </w:r>
    </w:p>
    <w:p w14:paraId="0F11E574">
      <w:pPr>
        <w:widowControl/>
        <w:spacing w:line="500" w:lineRule="exact"/>
        <w:ind w:firstLine="480"/>
        <w:jc w:val="left"/>
        <w:rPr>
          <w:rFonts w:ascii="宋体" w:hAnsi="宋体" w:cs="宋体"/>
          <w:color w:val="auto"/>
          <w:sz w:val="24"/>
        </w:rPr>
      </w:pPr>
      <w:r>
        <w:rPr>
          <w:rFonts w:hint="eastAsia" w:ascii="宋体" w:hAnsi="宋体" w:cs="宋体"/>
          <w:color w:val="auto"/>
          <w:sz w:val="24"/>
        </w:rPr>
        <w:t>据此函，__________签字人兹宣布同意如下：</w:t>
      </w:r>
    </w:p>
    <w:p w14:paraId="3B3FE08F">
      <w:pPr>
        <w:widowControl/>
        <w:spacing w:line="500" w:lineRule="exact"/>
        <w:ind w:firstLine="480"/>
        <w:rPr>
          <w:rFonts w:ascii="宋体" w:hAnsi="宋体" w:cs="宋体"/>
          <w:color w:val="auto"/>
          <w:sz w:val="24"/>
        </w:rPr>
      </w:pPr>
      <w:r>
        <w:rPr>
          <w:rFonts w:hint="eastAsia" w:ascii="宋体" w:hAnsi="宋体" w:cs="宋体"/>
          <w:color w:val="auto"/>
          <w:sz w:val="24"/>
        </w:rPr>
        <w:t>1.按招标文件规定的各项要求，向买方提供所需货物（包含与货物相关的服务）。</w:t>
      </w:r>
    </w:p>
    <w:p w14:paraId="16AC4FFB">
      <w:pPr>
        <w:widowControl/>
        <w:spacing w:line="500" w:lineRule="exact"/>
        <w:ind w:firstLine="480"/>
        <w:rPr>
          <w:rFonts w:ascii="宋体" w:hAnsi="宋体" w:cs="宋体"/>
          <w:color w:val="auto"/>
          <w:sz w:val="24"/>
        </w:rPr>
      </w:pPr>
      <w:r>
        <w:rPr>
          <w:rFonts w:hint="eastAsia" w:ascii="宋体" w:hAnsi="宋体" w:cs="宋体"/>
          <w:color w:val="auto"/>
          <w:sz w:val="24"/>
        </w:rPr>
        <w:t>2.我们完全理解贵方不一定将合同授予最低报价的投标人。</w:t>
      </w:r>
    </w:p>
    <w:p w14:paraId="6B746182">
      <w:pPr>
        <w:widowControl/>
        <w:spacing w:line="500" w:lineRule="exact"/>
        <w:ind w:firstLine="480"/>
        <w:rPr>
          <w:rFonts w:ascii="宋体" w:hAnsi="宋体" w:cs="宋体"/>
          <w:color w:val="auto"/>
          <w:sz w:val="24"/>
        </w:rPr>
      </w:pPr>
      <w:r>
        <w:rPr>
          <w:rFonts w:hint="eastAsia" w:ascii="宋体" w:hAnsi="宋体" w:cs="宋体"/>
          <w:color w:val="auto"/>
          <w:sz w:val="24"/>
        </w:rPr>
        <w:t>3.我们已详细审核全部招标文件及其有效补充文件，我们知道必须放弃提出含糊不清或误解问题的权利。</w:t>
      </w:r>
    </w:p>
    <w:p w14:paraId="005FA3CF">
      <w:pPr>
        <w:widowControl/>
        <w:spacing w:line="500" w:lineRule="exact"/>
        <w:ind w:firstLine="480"/>
        <w:rPr>
          <w:rFonts w:ascii="宋体" w:hAnsi="宋体" w:cs="宋体"/>
          <w:color w:val="auto"/>
          <w:sz w:val="24"/>
        </w:rPr>
      </w:pPr>
      <w:r>
        <w:rPr>
          <w:rFonts w:hint="eastAsia" w:ascii="宋体" w:hAnsi="宋体" w:cs="宋体"/>
          <w:color w:val="auto"/>
          <w:sz w:val="24"/>
        </w:rPr>
        <w:t>4.我们同意从规定的开标日期起遵循本投标文件，并在规定的投标有效期期满之前均具有约束力。</w:t>
      </w:r>
    </w:p>
    <w:p w14:paraId="37CB38C5">
      <w:pPr>
        <w:widowControl/>
        <w:spacing w:line="500" w:lineRule="exact"/>
        <w:ind w:firstLine="480"/>
        <w:rPr>
          <w:rFonts w:ascii="宋体" w:hAnsi="宋体" w:cs="宋体"/>
          <w:color w:val="auto"/>
          <w:sz w:val="24"/>
        </w:rPr>
      </w:pPr>
      <w:r>
        <w:rPr>
          <w:rFonts w:hint="eastAsia" w:ascii="宋体" w:hAnsi="宋体" w:cs="宋体"/>
          <w:color w:val="auto"/>
          <w:sz w:val="24"/>
        </w:rPr>
        <w:t>5.同意向贵方提供贵方可能另外要求的与投标有关的任何证据或资料，并保证我方已提供和将要提供的文件是真实的、准确的。</w:t>
      </w:r>
    </w:p>
    <w:p w14:paraId="4A89D01A">
      <w:pPr>
        <w:widowControl/>
        <w:spacing w:line="500" w:lineRule="exact"/>
        <w:ind w:firstLine="480"/>
        <w:rPr>
          <w:rFonts w:ascii="宋体" w:hAnsi="宋体" w:cs="宋体"/>
          <w:color w:val="auto"/>
          <w:sz w:val="24"/>
        </w:rPr>
      </w:pPr>
      <w:r>
        <w:rPr>
          <w:rFonts w:hint="eastAsia" w:ascii="宋体" w:hAnsi="宋体" w:cs="宋体"/>
          <w:color w:val="auto"/>
          <w:sz w:val="24"/>
        </w:rPr>
        <w:t>6.一旦我方中标，我方将根据招标文件的规定，严格履行合同的责任和义务，并保证在招标文件规定的时间内完成项目，交付买方验收、使用。</w:t>
      </w:r>
    </w:p>
    <w:p w14:paraId="2ABB893E">
      <w:pPr>
        <w:widowControl/>
        <w:spacing w:line="500" w:lineRule="exact"/>
        <w:ind w:firstLine="480"/>
        <w:jc w:val="left"/>
        <w:outlineLvl w:val="2"/>
        <w:rPr>
          <w:rFonts w:ascii="宋体" w:hAnsi="宋体" w:cs="宋体"/>
          <w:color w:val="auto"/>
          <w:sz w:val="24"/>
        </w:rPr>
      </w:pPr>
      <w:r>
        <w:rPr>
          <w:rFonts w:hint="eastAsia" w:ascii="宋体" w:hAnsi="宋体" w:cs="宋体"/>
          <w:color w:val="auto"/>
          <w:sz w:val="24"/>
        </w:rPr>
        <w:t>7.与本投标有关的正式通讯地址为：</w:t>
      </w:r>
    </w:p>
    <w:p w14:paraId="5F533FE0">
      <w:pPr>
        <w:widowControl/>
        <w:spacing w:line="500" w:lineRule="exact"/>
        <w:ind w:firstLine="480"/>
        <w:jc w:val="left"/>
        <w:rPr>
          <w:rFonts w:ascii="宋体" w:hAnsi="宋体" w:cs="宋体"/>
          <w:color w:val="auto"/>
          <w:sz w:val="24"/>
        </w:rPr>
      </w:pPr>
      <w:r>
        <w:rPr>
          <w:rFonts w:hint="eastAsia" w:ascii="宋体" w:hAnsi="宋体" w:cs="宋体"/>
          <w:color w:val="auto"/>
          <w:sz w:val="24"/>
        </w:rPr>
        <w:t>地    址：</w:t>
      </w:r>
    </w:p>
    <w:p w14:paraId="48A9CC88">
      <w:pPr>
        <w:widowControl/>
        <w:spacing w:line="500" w:lineRule="exact"/>
        <w:ind w:firstLine="480"/>
        <w:jc w:val="left"/>
        <w:rPr>
          <w:rFonts w:ascii="宋体" w:hAnsi="宋体" w:cs="宋体"/>
          <w:color w:val="auto"/>
          <w:sz w:val="24"/>
        </w:rPr>
      </w:pPr>
      <w:r>
        <w:rPr>
          <w:rFonts w:hint="eastAsia" w:ascii="宋体" w:hAnsi="宋体" w:cs="宋体"/>
          <w:color w:val="auto"/>
          <w:sz w:val="24"/>
        </w:rPr>
        <w:t>邮    编：</w:t>
      </w:r>
    </w:p>
    <w:p w14:paraId="40220E42">
      <w:pPr>
        <w:widowControl/>
        <w:spacing w:line="500" w:lineRule="exact"/>
        <w:ind w:firstLine="480"/>
        <w:jc w:val="left"/>
        <w:rPr>
          <w:rFonts w:ascii="宋体" w:hAnsi="宋体" w:cs="宋体"/>
          <w:color w:val="auto"/>
          <w:sz w:val="24"/>
        </w:rPr>
      </w:pPr>
      <w:r>
        <w:rPr>
          <w:rFonts w:hint="eastAsia" w:ascii="宋体" w:hAnsi="宋体" w:cs="宋体"/>
          <w:color w:val="auto"/>
          <w:sz w:val="24"/>
        </w:rPr>
        <w:t>电    话：</w:t>
      </w:r>
    </w:p>
    <w:p w14:paraId="550A5305">
      <w:pPr>
        <w:widowControl/>
        <w:spacing w:line="500" w:lineRule="exact"/>
        <w:ind w:firstLine="480"/>
        <w:jc w:val="left"/>
        <w:rPr>
          <w:rFonts w:ascii="宋体" w:hAnsi="宋体" w:cs="宋体"/>
          <w:color w:val="auto"/>
          <w:sz w:val="24"/>
        </w:rPr>
      </w:pPr>
      <w:r>
        <w:rPr>
          <w:rFonts w:hint="eastAsia" w:ascii="宋体" w:hAnsi="宋体" w:cs="宋体"/>
          <w:color w:val="auto"/>
          <w:sz w:val="24"/>
        </w:rPr>
        <w:t>传      真：</w:t>
      </w:r>
    </w:p>
    <w:p w14:paraId="6B60D9BA">
      <w:pPr>
        <w:widowControl/>
        <w:spacing w:line="500" w:lineRule="exact"/>
        <w:ind w:firstLine="480"/>
        <w:jc w:val="left"/>
        <w:rPr>
          <w:rFonts w:ascii="宋体" w:hAnsi="宋体" w:cs="宋体"/>
          <w:color w:val="auto"/>
          <w:sz w:val="24"/>
        </w:rPr>
      </w:pPr>
      <w:r>
        <w:rPr>
          <w:rFonts w:hint="eastAsia" w:ascii="宋体" w:hAnsi="宋体" w:cs="宋体"/>
          <w:color w:val="auto"/>
          <w:sz w:val="24"/>
        </w:rPr>
        <w:t>投标人开户行：</w:t>
      </w:r>
    </w:p>
    <w:p w14:paraId="6A46084B">
      <w:pPr>
        <w:widowControl/>
        <w:spacing w:line="500" w:lineRule="exact"/>
        <w:ind w:firstLine="480"/>
        <w:jc w:val="left"/>
        <w:rPr>
          <w:rFonts w:ascii="宋体" w:hAnsi="宋体" w:cs="宋体"/>
          <w:color w:val="auto"/>
          <w:sz w:val="24"/>
        </w:rPr>
      </w:pPr>
      <w:r>
        <w:rPr>
          <w:rFonts w:hint="eastAsia" w:ascii="宋体" w:hAnsi="宋体" w:cs="宋体"/>
          <w:color w:val="auto"/>
          <w:sz w:val="24"/>
        </w:rPr>
        <w:t>账      号：</w:t>
      </w:r>
    </w:p>
    <w:p w14:paraId="4B44A1F4">
      <w:pPr>
        <w:widowControl/>
        <w:spacing w:line="500" w:lineRule="exact"/>
        <w:ind w:firstLine="480"/>
        <w:jc w:val="left"/>
        <w:rPr>
          <w:rFonts w:hint="eastAsia" w:eastAsiaTheme="minorEastAsia"/>
          <w:color w:val="auto"/>
          <w:lang w:eastAsia="zh-CN"/>
        </w:rPr>
      </w:pPr>
      <w:r>
        <w:rPr>
          <w:rFonts w:hint="eastAsia" w:ascii="宋体" w:hAnsi="宋体" w:cs="宋体"/>
          <w:color w:val="auto"/>
          <w:sz w:val="24"/>
        </w:rPr>
        <w:t>日    期：______年____月____日</w:t>
      </w:r>
    </w:p>
    <w:p w14:paraId="554A47CD">
      <w:pPr>
        <w:widowControl/>
        <w:jc w:val="left"/>
        <w:rPr>
          <w:rFonts w:ascii="黑体" w:hAnsi="黑体" w:eastAsia="黑体" w:cs="黑体"/>
          <w:i/>
          <w:color w:val="auto"/>
          <w:sz w:val="32"/>
          <w:szCs w:val="32"/>
        </w:rPr>
      </w:pPr>
      <w:r>
        <w:rPr>
          <w:rFonts w:ascii="黑体" w:hAnsi="黑体" w:eastAsia="黑体" w:cs="黑体"/>
          <w:i/>
          <w:color w:val="auto"/>
          <w:sz w:val="32"/>
          <w:szCs w:val="32"/>
        </w:rPr>
        <w:br w:type="page" w:clear="all"/>
      </w:r>
    </w:p>
    <w:p w14:paraId="5EB03C5F">
      <w:pPr>
        <w:widowControl/>
        <w:spacing w:before="12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九、中小企业声明函（货物）</w:t>
      </w:r>
    </w:p>
    <w:p w14:paraId="54540901">
      <w:pPr>
        <w:widowControl/>
        <w:pBdr>
          <w:top w:val="none" w:color="000000" w:sz="0" w:space="0"/>
          <w:left w:val="none" w:color="000000" w:sz="0" w:space="0"/>
          <w:bottom w:val="none" w:color="000000" w:sz="0" w:space="0"/>
          <w:right w:val="none" w:color="000000" w:sz="0" w:space="0"/>
        </w:pBdr>
        <w:spacing w:line="519" w:lineRule="atLeast"/>
        <w:ind w:firstLine="480"/>
        <w:rPr>
          <w:rFonts w:ascii="宋体" w:hAnsi="宋体" w:cs="宋体"/>
          <w:color w:val="auto"/>
          <w:sz w:val="24"/>
        </w:rPr>
      </w:pPr>
      <w:r>
        <w:rPr>
          <w:rFonts w:ascii="宋体" w:hAnsi="宋体" w:cs="宋体"/>
          <w:color w:val="auto"/>
          <w:sz w:val="24"/>
        </w:rPr>
        <w:t>本公司（联合体）郑重声明，根据《政府采购促进中小企业发展管理办法》(财库</w:t>
      </w:r>
      <w:r>
        <w:rPr>
          <w:rFonts w:hint="eastAsia" w:ascii="宋体" w:hAnsi="宋体" w:cs="宋体"/>
          <w:color w:val="auto"/>
          <w:sz w:val="24"/>
        </w:rPr>
        <w:t>〔2020〕46号</w:t>
      </w:r>
      <w:r>
        <w:rPr>
          <w:rFonts w:ascii="宋体" w:hAnsi="宋体" w:cs="宋体"/>
          <w:color w:val="auto"/>
          <w:sz w:val="24"/>
        </w:rPr>
        <w:t>)的规定，本公司（联合体）参加</w:t>
      </w:r>
      <w:r>
        <w:rPr>
          <w:rFonts w:hint="eastAsia" w:ascii="宋体" w:hAnsi="宋体" w:eastAsia="宋体" w:cs="宋体"/>
          <w:color w:val="auto"/>
          <w:sz w:val="24"/>
          <w:lang w:val="en-US" w:eastAsia="zh-CN"/>
        </w:rPr>
        <w:t>江苏省盐城技师学院</w:t>
      </w:r>
      <w:r>
        <w:rPr>
          <w:rFonts w:ascii="宋体" w:hAnsi="宋体" w:cs="宋体"/>
          <w:color w:val="auto"/>
          <w:sz w:val="24"/>
        </w:rPr>
        <w:t>组织的</w:t>
      </w:r>
      <w:r>
        <w:rPr>
          <w:rFonts w:hint="eastAsia" w:ascii="宋体" w:hAnsi="宋体" w:cs="宋体"/>
          <w:color w:val="auto"/>
          <w:sz w:val="24"/>
        </w:rPr>
        <w:t>，</w:t>
      </w:r>
      <w:r>
        <w:rPr>
          <w:rFonts w:ascii="宋体" w:hAnsi="宋体" w:cs="宋体"/>
          <w:color w:val="auto"/>
          <w:sz w:val="24"/>
        </w:rPr>
        <w:t>采购编号为</w:t>
      </w:r>
      <w:r>
        <w:rPr>
          <w:rFonts w:hint="eastAsia" w:ascii="宋体" w:hAnsi="宋体" w:eastAsia="宋体" w:cs="宋体"/>
          <w:color w:val="auto"/>
          <w:sz w:val="24"/>
          <w:u w:val="single"/>
          <w:lang w:eastAsia="zh-CN"/>
        </w:rPr>
        <w:t>JSZC-320900-DNGC-G2026-0007</w:t>
      </w:r>
      <w:r>
        <w:rPr>
          <w:rFonts w:ascii="宋体" w:hAnsi="宋体" w:cs="宋体"/>
          <w:color w:val="auto"/>
          <w:sz w:val="24"/>
        </w:rPr>
        <w:t>，</w:t>
      </w:r>
      <w:r>
        <w:rPr>
          <w:rFonts w:hint="eastAsia" w:ascii="宋体" w:hAnsi="宋体" w:eastAsia="宋体" w:cs="宋体"/>
          <w:color w:val="auto"/>
          <w:sz w:val="24"/>
          <w:u w:val="single"/>
          <w:lang w:eastAsia="zh-CN"/>
        </w:rPr>
        <w:t>江苏省盐城技师学院药品生产技术专业(化工仪表及自动化方向)教学设备添置采购项目、交通工程学院智慧物流实训中心采购项目</w:t>
      </w:r>
      <w:r>
        <w:rPr>
          <w:rFonts w:ascii="宋体" w:hAnsi="宋体" w:cs="宋体"/>
          <w:color w:val="auto"/>
          <w:sz w:val="24"/>
        </w:rPr>
        <w:t>的采购活动，提供的货物全部由符合政策要</w:t>
      </w:r>
      <w:r>
        <w:rPr>
          <w:rFonts w:hint="eastAsia" w:ascii="宋体" w:hAnsi="宋体" w:cs="宋体"/>
          <w:color w:val="auto"/>
          <w:sz w:val="24"/>
        </w:rPr>
        <w:t>求的</w:t>
      </w:r>
      <w:r>
        <w:rPr>
          <w:rFonts w:ascii="宋体" w:hAnsi="宋体" w:cs="宋体"/>
          <w:color w:val="auto"/>
          <w:sz w:val="24"/>
        </w:rPr>
        <w:t>中小企业制造。根据《工业和信息化部、国家统计局、国家发展和改革委员会、财政部关于印发中小企业划型标准规定的通知》(工信部联企业</w:t>
      </w:r>
      <w:r>
        <w:rPr>
          <w:rFonts w:hint="eastAsia" w:ascii="宋体" w:hAnsi="宋体" w:cs="宋体"/>
          <w:color w:val="auto"/>
          <w:sz w:val="24"/>
        </w:rPr>
        <w:t>〔2011〕300号</w:t>
      </w:r>
      <w:r>
        <w:rPr>
          <w:rFonts w:ascii="宋体" w:hAnsi="宋体" w:cs="宋体"/>
          <w:color w:val="auto"/>
          <w:sz w:val="24"/>
        </w:rPr>
        <w:t>)的规定，相关企业（含联合体中的小微企业、签订分包意向协议的小微企业）的具体情况如下：</w:t>
      </w:r>
    </w:p>
    <w:p w14:paraId="2C81BF88">
      <w:pPr>
        <w:widowControl/>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1.</w:t>
      </w:r>
      <w:r>
        <w:rPr>
          <w:rFonts w:ascii="宋体" w:hAnsi="宋体" w:cs="宋体"/>
          <w:i/>
          <w:color w:val="auto"/>
          <w:sz w:val="24"/>
          <w:u w:val="single"/>
        </w:rPr>
        <w:t>（标的名称）</w:t>
      </w:r>
      <w:r>
        <w:rPr>
          <w:rFonts w:ascii="宋体" w:hAnsi="宋体" w:cs="宋体"/>
          <w:color w:val="auto"/>
          <w:sz w:val="24"/>
        </w:rPr>
        <w:t>，属于</w:t>
      </w:r>
      <w:r>
        <w:rPr>
          <w:rFonts w:ascii="宋体" w:hAnsi="宋体" w:cs="宋体"/>
          <w:i/>
          <w:color w:val="auto"/>
          <w:sz w:val="24"/>
          <w:u w:val="single"/>
        </w:rPr>
        <w:t>（采购文件中明确的所属行业）</w:t>
      </w:r>
      <w:r>
        <w:rPr>
          <w:rFonts w:ascii="宋体" w:hAnsi="宋体" w:cs="宋体"/>
          <w:color w:val="auto"/>
          <w:sz w:val="24"/>
        </w:rPr>
        <w:t>行业；</w:t>
      </w:r>
      <w:r>
        <w:rPr>
          <w:rFonts w:hint="eastAsia" w:ascii="宋体" w:hAnsi="宋体" w:cs="宋体"/>
          <w:color w:val="auto"/>
          <w:sz w:val="24"/>
        </w:rPr>
        <w:t>制造商为</w:t>
      </w:r>
      <w:r>
        <w:rPr>
          <w:rFonts w:ascii="宋体" w:hAnsi="宋体" w:cs="宋体"/>
          <w:color w:val="auto"/>
          <w:sz w:val="24"/>
        </w:rPr>
        <w:t>（</w:t>
      </w:r>
      <w:r>
        <w:rPr>
          <w:rFonts w:ascii="宋体" w:hAnsi="宋体" w:cs="宋体"/>
          <w:i/>
          <w:color w:val="auto"/>
          <w:sz w:val="24"/>
          <w:u w:val="single"/>
        </w:rPr>
        <w:t>企业名称</w:t>
      </w:r>
      <w:r>
        <w:rPr>
          <w:rFonts w:ascii="宋体" w:hAnsi="宋体" w:cs="宋体"/>
          <w:color w:val="auto"/>
          <w:sz w:val="24"/>
        </w:rPr>
        <w:t>），从业人员</w:t>
      </w:r>
      <w:r>
        <w:rPr>
          <w:rFonts w:ascii="宋体" w:hAnsi="宋体" w:cs="宋体"/>
          <w:color w:val="auto"/>
          <w:sz w:val="24"/>
          <w:u w:val="single"/>
        </w:rPr>
        <w:t xml:space="preserve"> </w:t>
      </w:r>
      <w:r>
        <w:rPr>
          <w:rFonts w:ascii="宋体" w:hAnsi="宋体" w:cs="宋体"/>
          <w:color w:val="auto"/>
          <w:sz w:val="24"/>
        </w:rPr>
        <w:t>人，营业收入为</w:t>
      </w:r>
      <w:r>
        <w:rPr>
          <w:rFonts w:ascii="宋体" w:hAnsi="宋体" w:cs="宋体"/>
          <w:color w:val="auto"/>
          <w:sz w:val="24"/>
          <w:u w:val="single"/>
        </w:rPr>
        <w:t xml:space="preserve"> </w:t>
      </w:r>
      <w:r>
        <w:rPr>
          <w:rFonts w:ascii="宋体" w:hAnsi="宋体" w:cs="宋体"/>
          <w:color w:val="auto"/>
          <w:sz w:val="24"/>
        </w:rPr>
        <w:t>万元，资产总额为万元，属于（</w:t>
      </w:r>
      <w:r>
        <w:rPr>
          <w:rFonts w:ascii="宋体" w:hAnsi="宋体" w:cs="宋体"/>
          <w:i/>
          <w:color w:val="auto"/>
          <w:sz w:val="24"/>
          <w:u w:val="single"/>
        </w:rPr>
        <w:t>中型企业、小型企业、微型企业</w:t>
      </w:r>
      <w:r>
        <w:rPr>
          <w:rFonts w:ascii="宋体" w:hAnsi="宋体" w:cs="宋体"/>
          <w:color w:val="auto"/>
          <w:sz w:val="24"/>
        </w:rPr>
        <w:t>）；</w:t>
      </w:r>
    </w:p>
    <w:p w14:paraId="33704EBD">
      <w:pPr>
        <w:widowControl/>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2.</w:t>
      </w:r>
      <w:r>
        <w:rPr>
          <w:rFonts w:ascii="宋体" w:hAnsi="宋体" w:cs="宋体"/>
          <w:i/>
          <w:color w:val="auto"/>
          <w:sz w:val="24"/>
          <w:u w:val="single"/>
        </w:rPr>
        <w:t>（标的名称）</w:t>
      </w:r>
      <w:r>
        <w:rPr>
          <w:rFonts w:ascii="宋体" w:hAnsi="宋体" w:cs="宋体"/>
          <w:color w:val="auto"/>
          <w:sz w:val="24"/>
        </w:rPr>
        <w:t>，属于</w:t>
      </w:r>
      <w:r>
        <w:rPr>
          <w:rFonts w:ascii="宋体" w:hAnsi="宋体" w:cs="宋体"/>
          <w:i/>
          <w:color w:val="auto"/>
          <w:sz w:val="24"/>
          <w:u w:val="single"/>
        </w:rPr>
        <w:t>（采购文件中明确的所属行业）</w:t>
      </w:r>
      <w:r>
        <w:rPr>
          <w:rFonts w:ascii="宋体" w:hAnsi="宋体" w:cs="宋体"/>
          <w:color w:val="auto"/>
          <w:sz w:val="24"/>
        </w:rPr>
        <w:t>行业；</w:t>
      </w:r>
      <w:r>
        <w:rPr>
          <w:rFonts w:hint="eastAsia" w:ascii="宋体" w:hAnsi="宋体" w:cs="宋体"/>
          <w:color w:val="auto"/>
          <w:sz w:val="24"/>
        </w:rPr>
        <w:t>制造商为</w:t>
      </w:r>
      <w:r>
        <w:rPr>
          <w:rFonts w:ascii="宋体" w:hAnsi="宋体" w:cs="宋体"/>
          <w:color w:val="auto"/>
          <w:sz w:val="24"/>
        </w:rPr>
        <w:t>（</w:t>
      </w:r>
      <w:r>
        <w:rPr>
          <w:rFonts w:ascii="宋体" w:hAnsi="宋体" w:cs="宋体"/>
          <w:i/>
          <w:color w:val="auto"/>
          <w:sz w:val="24"/>
          <w:u w:val="single"/>
        </w:rPr>
        <w:t>企业名称</w:t>
      </w:r>
      <w:r>
        <w:rPr>
          <w:rFonts w:ascii="宋体" w:hAnsi="宋体" w:cs="宋体"/>
          <w:color w:val="auto"/>
          <w:sz w:val="24"/>
        </w:rPr>
        <w:t>），从业人员</w:t>
      </w:r>
      <w:r>
        <w:rPr>
          <w:rFonts w:ascii="宋体" w:hAnsi="宋体" w:cs="宋体"/>
          <w:color w:val="auto"/>
          <w:sz w:val="24"/>
          <w:u w:val="single"/>
        </w:rPr>
        <w:t xml:space="preserve">  </w:t>
      </w:r>
      <w:r>
        <w:rPr>
          <w:rFonts w:ascii="宋体" w:hAnsi="宋体" w:cs="宋体"/>
          <w:color w:val="auto"/>
          <w:sz w:val="24"/>
        </w:rPr>
        <w:t>人，营业收入为</w:t>
      </w:r>
      <w:r>
        <w:rPr>
          <w:rFonts w:ascii="宋体" w:hAnsi="宋体" w:cs="宋体"/>
          <w:color w:val="auto"/>
          <w:sz w:val="24"/>
          <w:u w:val="single"/>
        </w:rPr>
        <w:t xml:space="preserve"> </w:t>
      </w:r>
      <w:r>
        <w:rPr>
          <w:rFonts w:ascii="宋体" w:hAnsi="宋体" w:cs="宋体"/>
          <w:color w:val="auto"/>
          <w:sz w:val="24"/>
        </w:rPr>
        <w:t>万元，资产总额为万元，属于（</w:t>
      </w:r>
      <w:r>
        <w:rPr>
          <w:rFonts w:ascii="宋体" w:hAnsi="宋体" w:cs="宋体"/>
          <w:i/>
          <w:color w:val="auto"/>
          <w:sz w:val="24"/>
          <w:u w:val="single"/>
        </w:rPr>
        <w:t>中型企业、小型企业、微型企业</w:t>
      </w:r>
      <w:r>
        <w:rPr>
          <w:rFonts w:ascii="宋体" w:hAnsi="宋体" w:cs="宋体"/>
          <w:color w:val="auto"/>
          <w:sz w:val="24"/>
        </w:rPr>
        <w:t>）；</w:t>
      </w:r>
    </w:p>
    <w:p w14:paraId="7EC2CE23">
      <w:pPr>
        <w:widowControl/>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w:t>
      </w:r>
    </w:p>
    <w:p w14:paraId="776374E9">
      <w:pPr>
        <w:widowControl/>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以上企业，不属于大企业的分支机构，不存在控股股东为大企业的情形，也不存在与大企业的负责人为同一人的情形。</w:t>
      </w:r>
    </w:p>
    <w:p w14:paraId="17B42A91">
      <w:pPr>
        <w:widowControl/>
        <w:pBdr>
          <w:top w:val="none" w:color="000000" w:sz="0" w:space="0"/>
          <w:left w:val="none" w:color="000000" w:sz="0" w:space="0"/>
          <w:bottom w:val="none" w:color="000000" w:sz="0" w:space="0"/>
          <w:right w:val="none" w:color="000000" w:sz="0" w:space="0"/>
        </w:pBdr>
        <w:spacing w:line="519" w:lineRule="atLeast"/>
        <w:ind w:firstLine="480"/>
        <w:outlineLvl w:val="2"/>
        <w:rPr>
          <w:color w:val="auto"/>
        </w:rPr>
      </w:pPr>
      <w:r>
        <w:rPr>
          <w:rFonts w:ascii="宋体" w:hAnsi="宋体" w:cs="宋体"/>
          <w:color w:val="auto"/>
          <w:sz w:val="24"/>
        </w:rPr>
        <w:t>本企业对上述声明内容的真实性负责。如有虚假，将依法承担相应责任</w:t>
      </w:r>
      <w:r>
        <w:rPr>
          <w:rFonts w:hint="eastAsia" w:ascii="宋体" w:hAnsi="宋体" w:cs="宋体"/>
          <w:color w:val="auto"/>
          <w:sz w:val="24"/>
        </w:rPr>
        <w:t>。</w:t>
      </w:r>
    </w:p>
    <w:p w14:paraId="739948E4">
      <w:pPr>
        <w:widowControl/>
        <w:pBdr>
          <w:top w:val="none" w:color="000000" w:sz="0" w:space="0"/>
          <w:left w:val="none" w:color="000000" w:sz="0" w:space="0"/>
          <w:bottom w:val="none" w:color="000000" w:sz="0" w:space="0"/>
          <w:right w:val="none" w:color="000000" w:sz="0" w:space="0"/>
        </w:pBdr>
        <w:spacing w:line="519" w:lineRule="atLeast"/>
        <w:ind w:firstLine="480"/>
        <w:rPr>
          <w:rFonts w:hint="eastAsia" w:eastAsiaTheme="minorEastAsia"/>
          <w:color w:val="auto"/>
          <w:lang w:eastAsia="zh-CN"/>
        </w:rPr>
      </w:pPr>
    </w:p>
    <w:p w14:paraId="51E2D5A3">
      <w:pPr>
        <w:widowControl/>
        <w:pBdr>
          <w:top w:val="none" w:color="000000" w:sz="0" w:space="0"/>
          <w:left w:val="none" w:color="000000" w:sz="0" w:space="0"/>
          <w:bottom w:val="none" w:color="000000" w:sz="0" w:space="0"/>
          <w:right w:val="none" w:color="000000" w:sz="0" w:space="0"/>
        </w:pBdr>
        <w:spacing w:line="519" w:lineRule="atLeast"/>
        <w:ind w:firstLine="480"/>
        <w:jc w:val="right"/>
        <w:rPr>
          <w:color w:val="auto"/>
        </w:rPr>
      </w:pPr>
      <w:r>
        <w:rPr>
          <w:rFonts w:ascii="宋体" w:hAnsi="宋体" w:cs="宋体"/>
          <w:color w:val="auto"/>
          <w:sz w:val="24"/>
        </w:rPr>
        <w:t>企业名称（加盖CA电子公章）：</w:t>
      </w:r>
    </w:p>
    <w:p w14:paraId="1F23582D">
      <w:pPr>
        <w:widowControl/>
        <w:pBdr>
          <w:top w:val="none" w:color="000000" w:sz="0" w:space="0"/>
          <w:left w:val="none" w:color="000000" w:sz="0" w:space="0"/>
          <w:bottom w:val="none" w:color="000000" w:sz="0" w:space="0"/>
          <w:right w:val="none" w:color="000000" w:sz="0" w:space="0"/>
        </w:pBdr>
        <w:spacing w:line="519" w:lineRule="atLeast"/>
        <w:ind w:firstLine="480"/>
        <w:jc w:val="right"/>
        <w:rPr>
          <w:color w:val="auto"/>
        </w:rPr>
      </w:pPr>
      <w:r>
        <w:rPr>
          <w:rFonts w:ascii="宋体" w:hAnsi="宋体" w:cs="宋体"/>
          <w:color w:val="auto"/>
          <w:sz w:val="24"/>
        </w:rPr>
        <w:t>日期：</w:t>
      </w:r>
    </w:p>
    <w:p w14:paraId="19B21047">
      <w:pPr>
        <w:widowControl/>
        <w:pBdr>
          <w:top w:val="none" w:color="000000" w:sz="0" w:space="0"/>
          <w:left w:val="none" w:color="000000" w:sz="0" w:space="0"/>
          <w:bottom w:val="none" w:color="000000" w:sz="0" w:space="0"/>
          <w:right w:val="none" w:color="000000" w:sz="0" w:space="0"/>
        </w:pBdr>
        <w:spacing w:line="499" w:lineRule="atLeast"/>
        <w:ind w:firstLine="480"/>
        <w:rPr>
          <w:color w:val="auto"/>
        </w:rPr>
      </w:pPr>
      <w:r>
        <w:rPr>
          <w:rFonts w:ascii="宋体" w:hAnsi="宋体" w:eastAsia="宋体" w:cs="宋体"/>
          <w:color w:val="auto"/>
          <w:sz w:val="24"/>
        </w:rPr>
        <w:t>备注1：从业人员、营业收入、资产总额填报上一年度数据，无上一年度数据的新成立企业可不填报。</w:t>
      </w:r>
    </w:p>
    <w:p w14:paraId="4B873F2B">
      <w:pPr>
        <w:widowControl/>
        <w:pBdr>
          <w:top w:val="none" w:color="000000" w:sz="0" w:space="0"/>
          <w:left w:val="none" w:color="000000" w:sz="0" w:space="0"/>
          <w:bottom w:val="none" w:color="000000" w:sz="0" w:space="0"/>
          <w:right w:val="none" w:color="000000" w:sz="0" w:space="0"/>
        </w:pBdr>
        <w:spacing w:line="499" w:lineRule="atLeast"/>
        <w:ind w:firstLine="480"/>
        <w:rPr>
          <w:color w:val="auto"/>
        </w:rPr>
      </w:pPr>
      <w:r>
        <w:rPr>
          <w:rFonts w:ascii="宋体" w:hAnsi="宋体" w:eastAsia="宋体" w:cs="宋体"/>
          <w:color w:val="auto"/>
          <w:sz w:val="24"/>
        </w:rPr>
        <w:t>备注2：供应商如不提供此声明函，价格将不做相应扣除（如项目全面面向中小企业，则资格审查不通过）。</w:t>
      </w:r>
    </w:p>
    <w:p w14:paraId="1939E023">
      <w:pPr>
        <w:pStyle w:val="34"/>
        <w:widowControl/>
        <w:tabs>
          <w:tab w:val="left" w:pos="4864"/>
        </w:tabs>
        <w:spacing w:line="0" w:lineRule="atLeast"/>
        <w:ind w:right="1560" w:firstLine="120"/>
        <w:jc w:val="center"/>
        <w:rPr>
          <w:rFonts w:ascii="黑体" w:hAnsi="黑体" w:eastAsia="黑体" w:cs="黑体"/>
          <w:i/>
          <w:color w:val="auto"/>
          <w:sz w:val="32"/>
          <w:szCs w:val="32"/>
        </w:rPr>
      </w:pPr>
      <w:r>
        <w:rPr>
          <w:rFonts w:ascii="黑体" w:hAnsi="黑体" w:eastAsia="黑体" w:cs="黑体"/>
          <w:i/>
          <w:color w:val="auto"/>
          <w:sz w:val="32"/>
          <w:szCs w:val="32"/>
        </w:rPr>
        <w:br w:type="page" w:clear="all"/>
      </w:r>
    </w:p>
    <w:p w14:paraId="0B6205FB">
      <w:pPr>
        <w:widowControl/>
        <w:spacing w:before="12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十、残疾人福利性单位声明函</w:t>
      </w:r>
    </w:p>
    <w:p w14:paraId="4F670DD9">
      <w:pPr>
        <w:widowControl/>
        <w:spacing w:line="560" w:lineRule="exact"/>
        <w:ind w:firstLine="480"/>
        <w:jc w:val="left"/>
        <w:rPr>
          <w:rFonts w:ascii="宋体" w:hAnsi="宋体" w:cs="宋体"/>
          <w:color w:val="auto"/>
          <w:sz w:val="24"/>
        </w:rPr>
      </w:pPr>
      <w:r>
        <w:rPr>
          <w:rFonts w:hint="eastAsia" w:ascii="宋体" w:hAnsi="宋体" w:cs="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0"/>
          <w:u w:val="single"/>
          <w:lang w:val="en-US" w:eastAsia="zh-CN"/>
        </w:rPr>
        <w:t>江苏省盐城技师学院</w:t>
      </w:r>
      <w:r>
        <w:rPr>
          <w:rFonts w:hint="eastAsia" w:ascii="宋体" w:hAnsi="宋体" w:cs="宋体"/>
          <w:color w:val="auto"/>
          <w:sz w:val="24"/>
        </w:rPr>
        <w:t>单位的采购文件编号为</w:t>
      </w:r>
      <w:r>
        <w:rPr>
          <w:rFonts w:hint="eastAsia" w:ascii="宋体" w:hAnsi="宋体" w:eastAsia="宋体" w:cs="宋体"/>
          <w:color w:val="auto"/>
          <w:sz w:val="24"/>
          <w:u w:val="single"/>
          <w:lang w:eastAsia="zh-CN"/>
        </w:rPr>
        <w:t>JSZC-320900-DNGC-G2026-0007</w:t>
      </w:r>
      <w:r>
        <w:rPr>
          <w:rFonts w:hint="eastAsia" w:ascii="宋体" w:hAnsi="宋体" w:cs="宋体"/>
          <w:color w:val="auto"/>
          <w:sz w:val="24"/>
        </w:rPr>
        <w:t>的</w:t>
      </w:r>
      <w:r>
        <w:rPr>
          <w:rFonts w:hint="eastAsia" w:ascii="宋体" w:hAnsi="宋体" w:eastAsia="宋体" w:cs="宋体"/>
          <w:color w:val="auto"/>
          <w:sz w:val="24"/>
          <w:u w:val="single"/>
          <w:lang w:eastAsia="zh-CN"/>
        </w:rPr>
        <w:t>江苏省盐城技师学院药品生产技术专业(化工仪表及自动化方向)教学设备添置采购项目、交通工程学院智慧物流实训中心采购项目</w:t>
      </w:r>
      <w:r>
        <w:rPr>
          <w:rFonts w:hint="eastAsia" w:ascii="宋体" w:hAnsi="宋体" w:cs="宋体"/>
          <w:color w:val="auto"/>
          <w:sz w:val="24"/>
        </w:rPr>
        <w:t>采购活动提供本单位制造的货物，或者提供其他残疾人福利性单位制造的货物（不包括使用非残疾人福利性单位注册商标的货物）。</w:t>
      </w:r>
    </w:p>
    <w:p w14:paraId="08F39F83">
      <w:pPr>
        <w:widowControl/>
        <w:spacing w:line="560" w:lineRule="exact"/>
        <w:ind w:firstLine="480"/>
        <w:jc w:val="left"/>
        <w:rPr>
          <w:rFonts w:ascii="宋体" w:hAnsi="宋体" w:cs="宋体"/>
          <w:color w:val="auto"/>
          <w:sz w:val="24"/>
        </w:rPr>
      </w:pPr>
      <w:r>
        <w:rPr>
          <w:rFonts w:hint="eastAsia" w:ascii="宋体" w:hAnsi="宋体" w:cs="宋体"/>
          <w:color w:val="auto"/>
          <w:sz w:val="24"/>
        </w:rPr>
        <w:t>本单位对上述声明的真实性负责。如有虚假，将依法承担相应责任。</w:t>
      </w:r>
    </w:p>
    <w:p w14:paraId="2A6A0D89">
      <w:pPr>
        <w:widowControl/>
        <w:spacing w:line="560" w:lineRule="exact"/>
        <w:ind w:firstLine="482"/>
        <w:jc w:val="left"/>
        <w:rPr>
          <w:rFonts w:ascii="宋体" w:hAnsi="宋体" w:cs="宋体"/>
          <w:color w:val="auto"/>
          <w:sz w:val="24"/>
        </w:rPr>
      </w:pPr>
    </w:p>
    <w:p w14:paraId="7C69BD3C">
      <w:pPr>
        <w:widowControl/>
        <w:pBdr>
          <w:top w:val="none" w:color="000000" w:sz="0" w:space="0"/>
          <w:left w:val="none" w:color="000000" w:sz="0" w:space="0"/>
          <w:bottom w:val="none" w:color="000000" w:sz="0" w:space="0"/>
          <w:right w:val="none" w:color="000000" w:sz="0" w:space="0"/>
        </w:pBdr>
        <w:spacing w:line="499" w:lineRule="atLeast"/>
        <w:ind w:firstLine="480"/>
        <w:rPr>
          <w:rFonts w:ascii="宋体" w:hAnsi="宋体" w:eastAsia="宋体" w:cs="宋体"/>
          <w:color w:val="auto"/>
          <w:sz w:val="24"/>
        </w:rPr>
      </w:pPr>
      <w:r>
        <w:rPr>
          <w:rFonts w:ascii="宋体" w:hAnsi="宋体" w:eastAsia="宋体" w:cs="宋体"/>
          <w:color w:val="auto"/>
          <w:sz w:val="24"/>
        </w:rPr>
        <w:t>备注：1、供应商如不提供此声明函，价格将不做相应扣除（如项目全面面向中小企业，则资格审查不通过）。2、中标人为残疾人福利单位的，此声明函将随中标结果同时公告，接受社会监督</w:t>
      </w:r>
      <w:r>
        <w:rPr>
          <w:rFonts w:hint="eastAsia" w:ascii="宋体" w:hAnsi="宋体" w:eastAsia="宋体" w:cs="宋体"/>
          <w:color w:val="auto"/>
          <w:sz w:val="24"/>
        </w:rPr>
        <w:t>。</w:t>
      </w:r>
    </w:p>
    <w:p w14:paraId="2138CC7F">
      <w:pPr>
        <w:widowControl/>
        <w:spacing w:line="520" w:lineRule="exact"/>
        <w:ind w:firstLine="480"/>
        <w:jc w:val="left"/>
        <w:rPr>
          <w:rFonts w:ascii="宋体" w:hAnsi="宋体" w:cs="宋体"/>
          <w:color w:val="auto"/>
          <w:sz w:val="24"/>
        </w:rPr>
      </w:pPr>
    </w:p>
    <w:p w14:paraId="56BA758E">
      <w:pPr>
        <w:widowControl/>
        <w:spacing w:line="520" w:lineRule="exact"/>
        <w:ind w:firstLine="480"/>
        <w:jc w:val="left"/>
        <w:rPr>
          <w:rFonts w:ascii="宋体" w:hAnsi="宋体" w:cs="宋体"/>
          <w:color w:val="auto"/>
          <w:sz w:val="24"/>
        </w:rPr>
      </w:pPr>
    </w:p>
    <w:p w14:paraId="6820D0A1">
      <w:pPr>
        <w:widowControl/>
        <w:spacing w:line="520" w:lineRule="exact"/>
        <w:ind w:right="480" w:firstLine="480"/>
        <w:jc w:val="right"/>
        <w:rPr>
          <w:rFonts w:ascii="宋体" w:hAnsi="宋体" w:cs="宋体"/>
          <w:color w:val="auto"/>
          <w:sz w:val="24"/>
        </w:rPr>
      </w:pPr>
      <w:r>
        <w:rPr>
          <w:rFonts w:hint="eastAsia" w:ascii="宋体" w:hAnsi="宋体" w:cs="宋体"/>
          <w:color w:val="auto"/>
          <w:sz w:val="24"/>
        </w:rPr>
        <w:t>企业名称（加盖CA电子公章）：</w:t>
      </w:r>
    </w:p>
    <w:p w14:paraId="5DC1CBBE">
      <w:pPr>
        <w:widowControl/>
        <w:spacing w:line="520" w:lineRule="exact"/>
        <w:ind w:right="480" w:firstLine="480"/>
        <w:jc w:val="right"/>
        <w:rPr>
          <w:color w:val="auto"/>
        </w:rPr>
      </w:pPr>
      <w:r>
        <w:rPr>
          <w:rFonts w:hint="eastAsia" w:ascii="宋体" w:hAnsi="宋体" w:cs="宋体"/>
          <w:color w:val="auto"/>
          <w:sz w:val="24"/>
        </w:rPr>
        <w:t>日期：</w:t>
      </w:r>
    </w:p>
    <w:p w14:paraId="644A1211">
      <w:pPr>
        <w:widowControl/>
        <w:rPr>
          <w:rFonts w:ascii="微软雅黑" w:hAnsi="宋体" w:eastAsia="微软雅黑" w:cs="黑体"/>
          <w:iCs/>
          <w:color w:val="auto"/>
          <w:sz w:val="30"/>
          <w:szCs w:val="30"/>
        </w:rPr>
      </w:pPr>
      <w:r>
        <w:rPr>
          <w:rFonts w:ascii="微软雅黑" w:hAnsi="宋体" w:eastAsia="微软雅黑" w:cs="黑体"/>
          <w:iCs/>
          <w:color w:val="auto"/>
          <w:sz w:val="30"/>
          <w:szCs w:val="30"/>
        </w:rPr>
        <w:br w:type="page" w:clear="all"/>
      </w:r>
    </w:p>
    <w:p w14:paraId="33CA3ACA">
      <w:pPr>
        <w:pStyle w:val="34"/>
        <w:spacing w:beforeAutospacing="0" w:afterAutospacing="0"/>
        <w:jc w:val="center"/>
        <w:rPr>
          <w:color w:val="auto"/>
        </w:rPr>
      </w:pPr>
      <w:r>
        <w:rPr>
          <w:rFonts w:hint="eastAsia" w:ascii="黑体" w:hAnsi="黑体" w:eastAsia="黑体" w:cs="黑体"/>
          <w:i/>
          <w:color w:val="auto"/>
          <w:sz w:val="32"/>
          <w:szCs w:val="32"/>
          <w:u w:val="single"/>
        </w:rPr>
        <w:t>十一、关于符合本国产品标准的声明函</w:t>
      </w:r>
    </w:p>
    <w:p w14:paraId="3A8985D2">
      <w:pPr>
        <w:pStyle w:val="34"/>
        <w:spacing w:beforeAutospacing="0" w:afterAutospacing="0"/>
        <w:ind w:firstLine="420"/>
        <w:jc w:val="both"/>
        <w:rPr>
          <w:rFonts w:hint="eastAsia" w:eastAsiaTheme="minorEastAsia"/>
          <w:color w:val="auto"/>
          <w:lang w:eastAsia="zh-CN"/>
        </w:rPr>
      </w:pPr>
    </w:p>
    <w:p w14:paraId="4709376A">
      <w:pPr>
        <w:pStyle w:val="34"/>
        <w:spacing w:beforeAutospacing="0" w:afterAutospacing="0" w:line="360" w:lineRule="auto"/>
        <w:ind w:firstLine="420"/>
        <w:jc w:val="both"/>
        <w:rPr>
          <w:color w:val="auto"/>
        </w:rPr>
      </w:pPr>
      <w:r>
        <w:rPr>
          <w:rFonts w:ascii="宋体" w:hAnsi="宋体" w:eastAsia="宋体" w:cs="宋体"/>
          <w:color w:val="auto"/>
        </w:rPr>
        <w:t>本公司（单位）郑重声明，根据《国务院办公厅关于在政府采购中实施本国产品标准及相关政策的通知》（国办发〔2025〕34号）的规定，本公司（单位）提供的以下产品属于本国产品。具体情况如下：</w:t>
      </w:r>
    </w:p>
    <w:p w14:paraId="18176145">
      <w:pPr>
        <w:pStyle w:val="34"/>
        <w:spacing w:before="30" w:beforeAutospacing="0" w:after="30" w:afterAutospacing="0" w:line="360" w:lineRule="auto"/>
        <w:ind w:firstLine="420"/>
        <w:jc w:val="both"/>
        <w:rPr>
          <w:color w:val="auto"/>
        </w:rPr>
      </w:pPr>
      <w:r>
        <w:rPr>
          <w:rFonts w:ascii="宋体" w:hAnsi="宋体" w:eastAsia="宋体" w:cs="宋体"/>
          <w:color w:val="auto"/>
          <w:shd w:val="clear" w:color="auto" w:fill="FFFFFF"/>
        </w:rPr>
        <w:t>1.</w:t>
      </w:r>
      <w:r>
        <w:rPr>
          <w:rFonts w:ascii="宋体" w:hAnsi="宋体" w:eastAsia="宋体" w:cs="宋体"/>
          <w:color w:val="auto"/>
          <w:u w:val="single"/>
          <w:shd w:val="clear" w:color="auto" w:fill="FFFFFF"/>
        </w:rPr>
        <w:t>（产品名称1）</w:t>
      </w:r>
      <w:r>
        <w:rPr>
          <w:rFonts w:ascii="宋体" w:hAnsi="宋体" w:eastAsia="宋体" w:cs="宋体"/>
          <w:color w:val="auto"/>
          <w:shd w:val="clear" w:color="auto" w:fill="FFFFFF"/>
          <w:vertAlign w:val="superscript"/>
        </w:rPr>
        <w:t>1</w:t>
      </w:r>
      <w:r>
        <w:rPr>
          <w:rFonts w:ascii="宋体" w:hAnsi="宋体" w:eastAsia="宋体" w:cs="宋体"/>
          <w:color w:val="auto"/>
          <w:shd w:val="clear" w:color="auto" w:fill="FFFFFF"/>
        </w:rPr>
        <w:t>，生产厂为</w:t>
      </w:r>
      <w:r>
        <w:rPr>
          <w:rFonts w:ascii="宋体" w:hAnsi="宋体" w:eastAsia="宋体" w:cs="宋体"/>
          <w:color w:val="auto"/>
          <w:u w:val="single"/>
          <w:shd w:val="clear" w:color="auto" w:fill="FFFFFF"/>
        </w:rPr>
        <w:t>（厂名）</w:t>
      </w:r>
      <w:r>
        <w:rPr>
          <w:rFonts w:ascii="宋体" w:hAnsi="宋体" w:eastAsia="宋体" w:cs="宋体"/>
          <w:color w:val="auto"/>
          <w:shd w:val="clear" w:color="auto" w:fill="FFFFFF"/>
          <w:vertAlign w:val="superscript"/>
        </w:rPr>
        <w:t>2</w:t>
      </w:r>
      <w:r>
        <w:rPr>
          <w:rFonts w:ascii="宋体" w:hAnsi="宋体" w:eastAsia="宋体" w:cs="宋体"/>
          <w:color w:val="auto"/>
          <w:shd w:val="clear" w:color="auto" w:fill="FFFFFF"/>
        </w:rPr>
        <w:t>，厂址为</w:t>
      </w:r>
      <w:r>
        <w:rPr>
          <w:rFonts w:ascii="宋体" w:hAnsi="宋体" w:eastAsia="宋体" w:cs="宋体"/>
          <w:color w:val="auto"/>
          <w:u w:val="single"/>
          <w:shd w:val="clear" w:color="auto" w:fill="FFFFFF"/>
        </w:rPr>
        <w:t>（生产厂址）</w:t>
      </w:r>
      <w:r>
        <w:rPr>
          <w:rFonts w:ascii="宋体" w:hAnsi="宋体" w:eastAsia="宋体" w:cs="宋体"/>
          <w:color w:val="auto"/>
          <w:shd w:val="clear" w:color="auto" w:fill="FFFFFF"/>
        </w:rPr>
        <w:t>。</w:t>
      </w:r>
      <w:r>
        <w:rPr>
          <w:rFonts w:ascii="宋体" w:hAnsi="宋体" w:eastAsia="宋体" w:cs="宋体"/>
          <w:strike/>
          <w:color w:val="auto"/>
          <w:u w:val="single"/>
          <w:shd w:val="clear" w:color="auto" w:fill="FFFFFF"/>
        </w:rPr>
        <w:t>（产品名称1）</w:t>
      </w:r>
      <w:r>
        <w:rPr>
          <w:rFonts w:ascii="宋体" w:hAnsi="宋体" w:eastAsia="宋体" w:cs="宋体"/>
          <w:color w:val="auto"/>
          <w:shd w:val="clear" w:color="auto" w:fill="FFFFFF"/>
        </w:rPr>
        <w:t>的中国境内生产的组件成本占比≥</w:t>
      </w:r>
      <w:r>
        <w:rPr>
          <w:rFonts w:ascii="宋体" w:hAnsi="宋体" w:eastAsia="宋体" w:cs="宋体"/>
          <w:strike/>
          <w:color w:val="auto"/>
          <w:u w:val="single"/>
          <w:shd w:val="clear" w:color="auto" w:fill="FFFFFF"/>
        </w:rPr>
        <w:t>（规定比例）</w:t>
      </w:r>
      <w:r>
        <w:rPr>
          <w:rFonts w:ascii="宋体" w:hAnsi="宋体" w:eastAsia="宋体" w:cs="宋体"/>
          <w:strike/>
          <w:color w:val="auto"/>
          <w:shd w:val="clear" w:color="auto" w:fill="FFFFFF"/>
          <w:vertAlign w:val="superscript"/>
        </w:rPr>
        <w:t>3</w:t>
      </w:r>
      <w:r>
        <w:rPr>
          <w:rFonts w:ascii="宋体" w:hAnsi="宋体" w:eastAsia="宋体" w:cs="宋体"/>
          <w:color w:val="auto"/>
          <w:shd w:val="clear" w:color="auto" w:fill="FFFFFF"/>
        </w:rPr>
        <w:t>。</w:t>
      </w:r>
      <w:r>
        <w:rPr>
          <w:rFonts w:ascii="宋体" w:hAnsi="宋体" w:eastAsia="宋体" w:cs="宋体"/>
          <w:strike/>
          <w:color w:val="auto"/>
          <w:u w:val="single"/>
          <w:shd w:val="clear" w:color="auto" w:fill="FFFFFF"/>
        </w:rPr>
        <w:t>（产品名称1）</w:t>
      </w:r>
      <w:r>
        <w:rPr>
          <w:rFonts w:ascii="宋体" w:hAnsi="宋体" w:eastAsia="宋体" w:cs="宋体"/>
          <w:color w:val="auto"/>
          <w:shd w:val="clear" w:color="auto" w:fill="FFFFFF"/>
        </w:rPr>
        <w:t>的</w:t>
      </w:r>
      <w:r>
        <w:rPr>
          <w:rFonts w:ascii="宋体" w:hAnsi="宋体" w:eastAsia="宋体" w:cs="宋体"/>
          <w:strike/>
          <w:color w:val="auto"/>
          <w:u w:val="single"/>
          <w:shd w:val="clear" w:color="auto" w:fill="FFFFFF"/>
        </w:rPr>
        <w:t>（关键组件）</w:t>
      </w:r>
      <w:r>
        <w:rPr>
          <w:rFonts w:ascii="宋体" w:hAnsi="宋体" w:eastAsia="宋体" w:cs="宋体"/>
          <w:strike/>
          <w:color w:val="auto"/>
          <w:shd w:val="clear" w:color="auto" w:fill="FFFFFF"/>
          <w:vertAlign w:val="superscript"/>
        </w:rPr>
        <w:t>4</w:t>
      </w:r>
      <w:r>
        <w:rPr>
          <w:rFonts w:ascii="宋体" w:hAnsi="宋体" w:eastAsia="宋体" w:cs="宋体"/>
          <w:color w:val="auto"/>
          <w:shd w:val="clear" w:color="auto" w:fill="FFFFFF"/>
        </w:rPr>
        <w:t>在中国境内生产。</w:t>
      </w:r>
      <w:r>
        <w:rPr>
          <w:rFonts w:ascii="宋体" w:hAnsi="宋体" w:eastAsia="宋体" w:cs="宋体"/>
          <w:strike/>
          <w:color w:val="auto"/>
          <w:u w:val="single"/>
          <w:shd w:val="clear" w:color="auto" w:fill="FFFFFF"/>
        </w:rPr>
        <w:t>（产品名称1）</w:t>
      </w:r>
      <w:r>
        <w:rPr>
          <w:rFonts w:ascii="宋体" w:hAnsi="宋体" w:eastAsia="宋体" w:cs="宋体"/>
          <w:color w:val="auto"/>
          <w:shd w:val="clear" w:color="auto" w:fill="FFFFFF"/>
        </w:rPr>
        <w:t>的</w:t>
      </w:r>
      <w:r>
        <w:rPr>
          <w:rFonts w:ascii="宋体" w:hAnsi="宋体" w:eastAsia="宋体" w:cs="宋体"/>
          <w:strike/>
          <w:color w:val="auto"/>
          <w:u w:val="single"/>
          <w:shd w:val="clear" w:color="auto" w:fill="FFFFFF"/>
        </w:rPr>
        <w:t>（关键工序）</w:t>
      </w:r>
      <w:r>
        <w:rPr>
          <w:rFonts w:ascii="宋体" w:hAnsi="宋体" w:eastAsia="宋体" w:cs="宋体"/>
          <w:strike/>
          <w:color w:val="auto"/>
          <w:shd w:val="clear" w:color="auto" w:fill="FFFFFF"/>
          <w:vertAlign w:val="superscript"/>
        </w:rPr>
        <w:t>5</w:t>
      </w:r>
      <w:r>
        <w:rPr>
          <w:rFonts w:ascii="宋体" w:hAnsi="宋体" w:eastAsia="宋体" w:cs="宋体"/>
          <w:color w:val="auto"/>
          <w:shd w:val="clear" w:color="auto" w:fill="FFFFFF"/>
        </w:rPr>
        <w:t>在中国境内完成。</w:t>
      </w:r>
    </w:p>
    <w:p w14:paraId="1962312B">
      <w:pPr>
        <w:pStyle w:val="34"/>
        <w:spacing w:before="30" w:beforeAutospacing="0" w:after="30" w:afterAutospacing="0" w:line="360" w:lineRule="auto"/>
        <w:ind w:firstLine="420"/>
        <w:jc w:val="both"/>
        <w:rPr>
          <w:color w:val="auto"/>
        </w:rPr>
      </w:pPr>
      <w:r>
        <w:rPr>
          <w:rFonts w:ascii="宋体" w:hAnsi="宋体" w:eastAsia="宋体" w:cs="宋体"/>
          <w:color w:val="auto"/>
          <w:shd w:val="clear" w:color="auto" w:fill="FFFFFF"/>
        </w:rPr>
        <w:t>2.</w:t>
      </w:r>
      <w:r>
        <w:rPr>
          <w:rFonts w:ascii="宋体" w:hAnsi="宋体" w:eastAsia="宋体" w:cs="宋体"/>
          <w:color w:val="auto"/>
          <w:u w:val="single"/>
          <w:shd w:val="clear" w:color="auto" w:fill="FFFFFF"/>
        </w:rPr>
        <w:t>（产品名称2）</w:t>
      </w:r>
      <w:r>
        <w:rPr>
          <w:rFonts w:ascii="宋体" w:hAnsi="宋体" w:eastAsia="宋体" w:cs="宋体"/>
          <w:color w:val="auto"/>
          <w:shd w:val="clear" w:color="auto" w:fill="FFFFFF"/>
        </w:rPr>
        <w:t>，生产厂为</w:t>
      </w:r>
      <w:r>
        <w:rPr>
          <w:rFonts w:ascii="宋体" w:hAnsi="宋体" w:eastAsia="宋体" w:cs="宋体"/>
          <w:color w:val="auto"/>
          <w:u w:val="single"/>
          <w:shd w:val="clear" w:color="auto" w:fill="FFFFFF"/>
        </w:rPr>
        <w:t>（厂名）</w:t>
      </w:r>
      <w:r>
        <w:rPr>
          <w:rFonts w:ascii="宋体" w:hAnsi="宋体" w:eastAsia="宋体" w:cs="宋体"/>
          <w:color w:val="auto"/>
          <w:shd w:val="clear" w:color="auto" w:fill="FFFFFF"/>
        </w:rPr>
        <w:t>，厂址为</w:t>
      </w:r>
      <w:r>
        <w:rPr>
          <w:rFonts w:ascii="宋体" w:hAnsi="宋体" w:eastAsia="宋体" w:cs="宋体"/>
          <w:color w:val="auto"/>
          <w:u w:val="single"/>
          <w:shd w:val="clear" w:color="auto" w:fill="FFFFFF"/>
        </w:rPr>
        <w:t>（生产厂址）</w:t>
      </w:r>
      <w:r>
        <w:rPr>
          <w:rFonts w:ascii="宋体" w:hAnsi="宋体" w:eastAsia="宋体" w:cs="宋体"/>
          <w:color w:val="auto"/>
          <w:shd w:val="clear" w:color="auto" w:fill="FFFFFF"/>
        </w:rPr>
        <w:t>。</w:t>
      </w:r>
      <w:r>
        <w:rPr>
          <w:rFonts w:ascii="宋体" w:hAnsi="宋体" w:eastAsia="宋体" w:cs="宋体"/>
          <w:strike/>
          <w:color w:val="auto"/>
          <w:u w:val="single"/>
          <w:shd w:val="clear" w:color="auto" w:fill="FFFFFF"/>
        </w:rPr>
        <w:t>（产品名称2）</w:t>
      </w:r>
      <w:r>
        <w:rPr>
          <w:rFonts w:ascii="宋体" w:hAnsi="宋体" w:eastAsia="宋体" w:cs="宋体"/>
          <w:color w:val="auto"/>
          <w:shd w:val="clear" w:color="auto" w:fill="FFFFFF"/>
        </w:rPr>
        <w:t>的中国境内生产的组件成本占比≥</w:t>
      </w:r>
      <w:r>
        <w:rPr>
          <w:rFonts w:ascii="宋体" w:hAnsi="宋体" w:eastAsia="宋体" w:cs="宋体"/>
          <w:strike/>
          <w:color w:val="auto"/>
          <w:u w:val="single"/>
          <w:shd w:val="clear" w:color="auto" w:fill="FFFFFF"/>
        </w:rPr>
        <w:t>（规定比例）</w:t>
      </w:r>
      <w:r>
        <w:rPr>
          <w:rFonts w:ascii="宋体" w:hAnsi="宋体" w:eastAsia="宋体" w:cs="宋体"/>
          <w:color w:val="auto"/>
          <w:shd w:val="clear" w:color="auto" w:fill="FFFFFF"/>
        </w:rPr>
        <w:t>。</w:t>
      </w:r>
      <w:r>
        <w:rPr>
          <w:rFonts w:ascii="宋体" w:hAnsi="宋体" w:eastAsia="宋体" w:cs="宋体"/>
          <w:strike/>
          <w:color w:val="auto"/>
          <w:u w:val="single"/>
          <w:shd w:val="clear" w:color="auto" w:fill="FFFFFF"/>
        </w:rPr>
        <w:t>（产品名称2）</w:t>
      </w:r>
      <w:r>
        <w:rPr>
          <w:rFonts w:ascii="宋体" w:hAnsi="宋体" w:eastAsia="宋体" w:cs="宋体"/>
          <w:color w:val="auto"/>
          <w:shd w:val="clear" w:color="auto" w:fill="FFFFFF"/>
        </w:rPr>
        <w:t>的</w:t>
      </w:r>
      <w:r>
        <w:rPr>
          <w:rFonts w:ascii="宋体" w:hAnsi="宋体" w:eastAsia="宋体" w:cs="宋体"/>
          <w:strike/>
          <w:color w:val="auto"/>
          <w:u w:val="single"/>
          <w:shd w:val="clear" w:color="auto" w:fill="FFFFFF"/>
        </w:rPr>
        <w:t>（关键组件）</w:t>
      </w:r>
      <w:r>
        <w:rPr>
          <w:rFonts w:ascii="宋体" w:hAnsi="宋体" w:eastAsia="宋体" w:cs="宋体"/>
          <w:color w:val="auto"/>
          <w:shd w:val="clear" w:color="auto" w:fill="FFFFFF"/>
        </w:rPr>
        <w:t>在中国境内生产。</w:t>
      </w:r>
      <w:r>
        <w:rPr>
          <w:rFonts w:ascii="宋体" w:hAnsi="宋体" w:eastAsia="宋体" w:cs="宋体"/>
          <w:strike/>
          <w:color w:val="auto"/>
          <w:u w:val="single"/>
          <w:shd w:val="clear" w:color="auto" w:fill="FFFFFF"/>
        </w:rPr>
        <w:t>（产品名称1）</w:t>
      </w:r>
      <w:r>
        <w:rPr>
          <w:rFonts w:ascii="宋体" w:hAnsi="宋体" w:eastAsia="宋体" w:cs="宋体"/>
          <w:color w:val="auto"/>
          <w:shd w:val="clear" w:color="auto" w:fill="FFFFFF"/>
        </w:rPr>
        <w:t>的</w:t>
      </w:r>
      <w:r>
        <w:rPr>
          <w:rFonts w:ascii="宋体" w:hAnsi="宋体" w:eastAsia="宋体" w:cs="宋体"/>
          <w:strike/>
          <w:color w:val="auto"/>
          <w:u w:val="single"/>
          <w:shd w:val="clear" w:color="auto" w:fill="FFFFFF"/>
        </w:rPr>
        <w:t>（关键工序）</w:t>
      </w:r>
      <w:r>
        <w:rPr>
          <w:rFonts w:ascii="宋体" w:hAnsi="宋体" w:eastAsia="宋体" w:cs="宋体"/>
          <w:color w:val="auto"/>
          <w:shd w:val="clear" w:color="auto" w:fill="FFFFFF"/>
        </w:rPr>
        <w:t>在中国境内完成。</w:t>
      </w:r>
    </w:p>
    <w:p w14:paraId="6441ED2B">
      <w:pPr>
        <w:pStyle w:val="34"/>
        <w:spacing w:before="30" w:beforeAutospacing="0" w:after="30" w:afterAutospacing="0" w:line="360" w:lineRule="auto"/>
        <w:ind w:firstLine="420"/>
        <w:jc w:val="both"/>
        <w:rPr>
          <w:color w:val="auto"/>
        </w:rPr>
      </w:pPr>
      <w:r>
        <w:rPr>
          <w:rFonts w:ascii="宋体" w:hAnsi="宋体" w:eastAsia="宋体" w:cs="宋体"/>
          <w:color w:val="auto"/>
          <w:shd w:val="clear" w:color="auto" w:fill="FFFFFF"/>
        </w:rPr>
        <w:t>……</w:t>
      </w:r>
    </w:p>
    <w:p w14:paraId="3B90E654">
      <w:pPr>
        <w:pStyle w:val="34"/>
        <w:spacing w:before="30" w:beforeAutospacing="0" w:after="30" w:afterAutospacing="0" w:line="360" w:lineRule="auto"/>
        <w:ind w:right="480"/>
        <w:rPr>
          <w:rFonts w:ascii="宋体" w:hAnsi="宋体" w:eastAsia="宋体" w:cs="宋体"/>
          <w:color w:val="auto"/>
          <w:shd w:val="clear" w:color="auto" w:fill="FFFFFF"/>
        </w:rPr>
      </w:pPr>
      <w:r>
        <w:rPr>
          <w:rFonts w:ascii="宋体" w:hAnsi="宋体" w:eastAsia="宋体" w:cs="宋体"/>
          <w:color w:val="auto"/>
          <w:shd w:val="clear" w:color="auto" w:fill="FFFFFF"/>
        </w:rPr>
        <w:t>本公司（单位）对上述声明内容的真实性负责。如有虚假，愿承担相应法律责任。</w:t>
      </w:r>
      <w:r>
        <w:rPr>
          <w:rFonts w:hint="eastAsia" w:ascii="宋体" w:hAnsi="宋体" w:eastAsia="宋体" w:cs="宋体"/>
          <w:color w:val="auto"/>
          <w:shd w:val="clear" w:color="auto" w:fill="FFFFFF"/>
        </w:rPr>
        <w:t xml:space="preserve"> </w:t>
      </w:r>
    </w:p>
    <w:p w14:paraId="5BA6B925">
      <w:pPr>
        <w:pStyle w:val="34"/>
        <w:spacing w:before="30" w:beforeAutospacing="0" w:after="30" w:afterAutospacing="0" w:line="360" w:lineRule="auto"/>
        <w:ind w:right="480"/>
        <w:jc w:val="center"/>
        <w:rPr>
          <w:color w:val="auto"/>
        </w:rPr>
      </w:pPr>
      <w:r>
        <w:rPr>
          <w:rFonts w:hint="eastAsia" w:ascii="宋体" w:hAnsi="宋体" w:eastAsia="宋体" w:cs="宋体"/>
          <w:color w:val="auto"/>
          <w:shd w:val="clear" w:color="auto" w:fill="FFFFFF"/>
        </w:rPr>
        <w:t xml:space="preserve">                                           </w:t>
      </w:r>
      <w:r>
        <w:rPr>
          <w:rFonts w:ascii="宋体" w:hAnsi="宋体" w:eastAsia="宋体" w:cs="宋体"/>
          <w:color w:val="auto"/>
          <w:shd w:val="clear" w:color="auto" w:fill="FFFFFF"/>
        </w:rPr>
        <w:t>公司（单位）名称（盖章）：</w:t>
      </w:r>
    </w:p>
    <w:p w14:paraId="379A36D7">
      <w:pPr>
        <w:pStyle w:val="34"/>
        <w:spacing w:before="30" w:beforeAutospacing="0" w:after="30" w:afterAutospacing="0" w:line="360" w:lineRule="auto"/>
        <w:jc w:val="both"/>
        <w:rPr>
          <w:color w:val="auto"/>
        </w:rPr>
      </w:pPr>
      <w:r>
        <w:rPr>
          <w:rFonts w:ascii="宋体" w:hAnsi="宋体" w:eastAsia="宋体" w:cs="宋体"/>
          <w:color w:val="auto"/>
          <w:shd w:val="clear" w:color="auto" w:fill="FFFFFF"/>
        </w:rPr>
        <w:t>日期：　   年　  月　  日</w:t>
      </w:r>
    </w:p>
    <w:p w14:paraId="59821FED">
      <w:pPr>
        <w:pStyle w:val="34"/>
        <w:spacing w:before="30" w:beforeAutospacing="0" w:after="30" w:afterAutospacing="0" w:line="360" w:lineRule="auto"/>
        <w:jc w:val="both"/>
        <w:rPr>
          <w:b/>
          <w:bCs/>
          <w:color w:val="auto"/>
        </w:rPr>
      </w:pPr>
      <w:r>
        <w:rPr>
          <w:rFonts w:ascii="宋体" w:hAnsi="宋体" w:eastAsia="宋体" w:cs="宋体"/>
          <w:b/>
          <w:bCs/>
          <w:color w:val="auto"/>
          <w:shd w:val="clear" w:color="auto" w:fill="FFFFFF"/>
        </w:rPr>
        <w:t>1.产品如有型号，请在“产品名称”栏一并填写。</w:t>
      </w:r>
    </w:p>
    <w:p w14:paraId="191F8534">
      <w:pPr>
        <w:pStyle w:val="34"/>
        <w:spacing w:before="30" w:beforeAutospacing="0" w:after="30" w:afterAutospacing="0" w:line="360" w:lineRule="auto"/>
        <w:jc w:val="both"/>
        <w:rPr>
          <w:b/>
          <w:bCs/>
          <w:color w:val="auto"/>
        </w:rPr>
      </w:pPr>
      <w:r>
        <w:rPr>
          <w:rFonts w:ascii="宋体" w:hAnsi="宋体" w:eastAsia="宋体" w:cs="宋体"/>
          <w:b/>
          <w:bCs/>
          <w:color w:val="auto"/>
          <w:shd w:val="clear" w:color="auto" w:fill="FFFFFF"/>
        </w:rPr>
        <w:t>2.生产厂名与厂址应与生产厂营业执照载明的相关信息保持一致。</w:t>
      </w:r>
    </w:p>
    <w:p w14:paraId="226FE8E7">
      <w:pPr>
        <w:pStyle w:val="34"/>
        <w:spacing w:before="30" w:beforeAutospacing="0" w:after="30" w:afterAutospacing="0" w:line="360" w:lineRule="auto"/>
        <w:jc w:val="both"/>
        <w:rPr>
          <w:b/>
          <w:bCs/>
          <w:color w:val="auto"/>
        </w:rPr>
      </w:pPr>
      <w:r>
        <w:rPr>
          <w:rFonts w:ascii="宋体" w:hAnsi="宋体" w:eastAsia="宋体" w:cs="宋体"/>
          <w:b/>
          <w:bCs/>
          <w:color w:val="auto"/>
          <w:shd w:val="clear" w:color="auto" w:fill="FFFFFF"/>
        </w:rPr>
        <w:t>3.该产品的中国境内生产的组件成本占比相关要求实施前，“规定比例”栏可不填，下同。</w:t>
      </w:r>
    </w:p>
    <w:p w14:paraId="5D737761">
      <w:pPr>
        <w:pStyle w:val="34"/>
        <w:spacing w:before="30" w:beforeAutospacing="0" w:after="30" w:afterAutospacing="0" w:line="360" w:lineRule="auto"/>
        <w:jc w:val="both"/>
        <w:rPr>
          <w:b/>
          <w:bCs/>
          <w:color w:val="auto"/>
        </w:rPr>
      </w:pPr>
      <w:r>
        <w:rPr>
          <w:rFonts w:ascii="宋体" w:hAnsi="宋体" w:eastAsia="宋体" w:cs="宋体"/>
          <w:b/>
          <w:bCs/>
          <w:color w:val="auto"/>
          <w:shd w:val="clear" w:color="auto" w:fill="FFFFFF"/>
        </w:rPr>
        <w:t>4.该产品的关键组件要求实施前，“关键组件”栏可不填，下同。</w:t>
      </w:r>
    </w:p>
    <w:p w14:paraId="16A038E3">
      <w:pPr>
        <w:pStyle w:val="34"/>
        <w:spacing w:before="30" w:beforeAutospacing="0" w:after="30" w:afterAutospacing="0" w:line="360" w:lineRule="auto"/>
        <w:jc w:val="both"/>
        <w:rPr>
          <w:b/>
          <w:bCs/>
          <w:color w:val="auto"/>
        </w:rPr>
      </w:pPr>
      <w:r>
        <w:rPr>
          <w:rFonts w:ascii="宋体" w:hAnsi="宋体" w:eastAsia="宋体" w:cs="宋体"/>
          <w:b/>
          <w:bCs/>
          <w:color w:val="auto"/>
          <w:shd w:val="clear" w:color="auto" w:fill="FFFFFF"/>
        </w:rPr>
        <w:t>5.该产品的关键工序要求实施前，“关键工序”栏可不填，下同。</w:t>
      </w:r>
    </w:p>
    <w:p w14:paraId="5BBDDC83">
      <w:pPr>
        <w:pStyle w:val="34"/>
        <w:spacing w:before="30" w:beforeAutospacing="0" w:after="30" w:afterAutospacing="0" w:line="360" w:lineRule="auto"/>
        <w:jc w:val="both"/>
        <w:rPr>
          <w:rFonts w:ascii="宋体" w:hAnsi="宋体" w:eastAsia="宋体" w:cs="宋体"/>
          <w:b/>
          <w:bCs/>
          <w:color w:val="auto"/>
          <w:shd w:val="clear" w:color="auto" w:fill="FFFFFF"/>
        </w:rPr>
      </w:pPr>
      <w:r>
        <w:rPr>
          <w:rFonts w:ascii="宋体" w:hAnsi="宋体" w:eastAsia="宋体" w:cs="宋体"/>
          <w:b/>
          <w:bCs/>
          <w:color w:val="auto"/>
          <w:shd w:val="clear" w:color="auto" w:fill="FFFFFF"/>
        </w:rPr>
        <w:t>6.用</w:t>
      </w:r>
      <w:r>
        <w:rPr>
          <w:rFonts w:hint="eastAsia" w:ascii="宋体" w:hAnsi="宋体" w:eastAsia="宋体" w:cs="宋体"/>
          <w:b/>
          <w:bCs/>
          <w:color w:val="auto"/>
          <w:shd w:val="clear" w:color="auto" w:fill="FFFFFF"/>
        </w:rPr>
        <w:t>横</w:t>
      </w:r>
      <w:r>
        <w:rPr>
          <w:rFonts w:ascii="宋体" w:hAnsi="宋体" w:eastAsia="宋体" w:cs="宋体"/>
          <w:b/>
          <w:bCs/>
          <w:color w:val="auto"/>
          <w:shd w:val="clear" w:color="auto" w:fill="FFFFFF"/>
        </w:rPr>
        <w:t>线划除的地方无需填写。</w:t>
      </w:r>
    </w:p>
    <w:p w14:paraId="3CF48B03">
      <w:pPr>
        <w:spacing w:line="360" w:lineRule="auto"/>
        <w:rPr>
          <w:b/>
          <w:bCs/>
          <w:color w:val="auto"/>
        </w:rPr>
      </w:pPr>
      <w:r>
        <w:rPr>
          <w:rFonts w:hint="eastAsia" w:ascii="宋体" w:hAnsi="宋体" w:eastAsia="宋体" w:cs="宋体"/>
          <w:b/>
          <w:bCs/>
          <w:color w:val="auto"/>
          <w:sz w:val="24"/>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u w:val="single"/>
        </w:rPr>
        <w:t>故，如供应商所提供产品为本国产品的，应当对其提供的产品出具《关于符合本国产品标准的声明函》（以下简称《声明函》），不出具《声明函》的，不享受政府采购对本国产品的支持政策。</w:t>
      </w:r>
    </w:p>
    <w:p w14:paraId="13A14A19">
      <w:pPr>
        <w:widowControl/>
        <w:spacing w:before="12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十二、投标分项报价表</w:t>
      </w:r>
    </w:p>
    <w:p w14:paraId="184A7843">
      <w:pPr>
        <w:pStyle w:val="15"/>
        <w:rPr>
          <w:color w:val="auto"/>
        </w:rPr>
      </w:pPr>
    </w:p>
    <w:tbl>
      <w:tblPr>
        <w:tblStyle w:val="40"/>
        <w:tblW w:w="8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568"/>
        <w:gridCol w:w="980"/>
        <w:gridCol w:w="980"/>
        <w:gridCol w:w="980"/>
        <w:gridCol w:w="1280"/>
        <w:gridCol w:w="1157"/>
        <w:gridCol w:w="1012"/>
      </w:tblGrid>
      <w:tr w14:paraId="68B1D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39" w:type="dxa"/>
            <w:shd w:val="clear" w:color="auto" w:fill="auto"/>
            <w:noWrap w:val="0"/>
            <w:vAlign w:val="center"/>
          </w:tcPr>
          <w:p w14:paraId="00E44A08">
            <w:pPr>
              <w:keepNext w:val="0"/>
              <w:keepLines w:val="0"/>
              <w:widowControl/>
              <w:suppressLineNumbers w:val="0"/>
              <w:spacing w:before="0" w:beforeAutospacing="0" w:after="0" w:afterAutospacing="0"/>
              <w:ind w:left="0" w:right="0"/>
              <w:rPr>
                <w:rFonts w:hint="eastAsia" w:ascii="Calibri" w:hAnsi="Calibri" w:eastAsia="宋体" w:cs="宋体"/>
                <w:color w:val="auto"/>
                <w:sz w:val="24"/>
              </w:rPr>
            </w:pPr>
            <w:bookmarkStart w:id="173" w:name="RANGE!A2"/>
            <w:bookmarkEnd w:id="173"/>
            <w:r>
              <w:rPr>
                <w:rFonts w:hint="eastAsia" w:ascii="宋体" w:hAnsi="宋体" w:eastAsia="宋体" w:cs="宋体"/>
                <w:color w:val="auto"/>
                <w:sz w:val="24"/>
              </w:rPr>
              <w:t>序号</w:t>
            </w:r>
          </w:p>
        </w:tc>
        <w:tc>
          <w:tcPr>
            <w:tcW w:w="1568" w:type="dxa"/>
            <w:shd w:val="clear" w:color="auto" w:fill="auto"/>
            <w:noWrap w:val="0"/>
            <w:vAlign w:val="center"/>
          </w:tcPr>
          <w:p w14:paraId="57E01272">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产品名称</w:t>
            </w:r>
          </w:p>
        </w:tc>
        <w:tc>
          <w:tcPr>
            <w:tcW w:w="980" w:type="dxa"/>
            <w:shd w:val="clear" w:color="auto" w:fill="auto"/>
            <w:noWrap w:val="0"/>
            <w:vAlign w:val="center"/>
          </w:tcPr>
          <w:p w14:paraId="75CC3BD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品牌及型号</w:t>
            </w:r>
          </w:p>
        </w:tc>
        <w:tc>
          <w:tcPr>
            <w:tcW w:w="980" w:type="dxa"/>
            <w:shd w:val="clear" w:color="auto" w:fill="auto"/>
            <w:noWrap w:val="0"/>
            <w:vAlign w:val="center"/>
          </w:tcPr>
          <w:p w14:paraId="5C24AA3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交付期</w:t>
            </w:r>
          </w:p>
        </w:tc>
        <w:tc>
          <w:tcPr>
            <w:tcW w:w="980" w:type="dxa"/>
            <w:shd w:val="clear" w:color="auto" w:fill="auto"/>
            <w:noWrap w:val="0"/>
            <w:vAlign w:val="center"/>
          </w:tcPr>
          <w:p w14:paraId="30938FBE">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数量</w:t>
            </w:r>
          </w:p>
        </w:tc>
        <w:tc>
          <w:tcPr>
            <w:tcW w:w="1280" w:type="dxa"/>
            <w:shd w:val="clear" w:color="auto" w:fill="auto"/>
            <w:noWrap w:val="0"/>
            <w:vAlign w:val="center"/>
          </w:tcPr>
          <w:p w14:paraId="3B428E40">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分项单价</w:t>
            </w:r>
          </w:p>
        </w:tc>
        <w:tc>
          <w:tcPr>
            <w:tcW w:w="1157" w:type="dxa"/>
            <w:shd w:val="clear" w:color="auto" w:fill="auto"/>
            <w:noWrap w:val="0"/>
            <w:vAlign w:val="center"/>
          </w:tcPr>
          <w:p w14:paraId="7E834019">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分项</w:t>
            </w:r>
          </w:p>
          <w:p w14:paraId="1A23263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总价</w:t>
            </w:r>
          </w:p>
        </w:tc>
        <w:tc>
          <w:tcPr>
            <w:tcW w:w="1012" w:type="dxa"/>
            <w:shd w:val="clear" w:color="auto" w:fill="auto"/>
            <w:noWrap w:val="0"/>
            <w:vAlign w:val="center"/>
          </w:tcPr>
          <w:p w14:paraId="39F2F32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备注</w:t>
            </w:r>
          </w:p>
        </w:tc>
      </w:tr>
      <w:tr w14:paraId="5A669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39" w:type="dxa"/>
            <w:shd w:val="clear" w:color="auto" w:fill="auto"/>
            <w:noWrap w:val="0"/>
            <w:vAlign w:val="center"/>
          </w:tcPr>
          <w:p w14:paraId="19B1F1CE">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1</w:t>
            </w:r>
          </w:p>
        </w:tc>
        <w:tc>
          <w:tcPr>
            <w:tcW w:w="1568" w:type="dxa"/>
            <w:shd w:val="clear" w:color="auto" w:fill="auto"/>
            <w:noWrap w:val="0"/>
            <w:vAlign w:val="center"/>
          </w:tcPr>
          <w:p w14:paraId="6AB6445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p>
        </w:tc>
        <w:tc>
          <w:tcPr>
            <w:tcW w:w="980" w:type="dxa"/>
            <w:shd w:val="clear" w:color="auto" w:fill="auto"/>
            <w:noWrap w:val="0"/>
            <w:vAlign w:val="center"/>
          </w:tcPr>
          <w:p w14:paraId="5D82A0E2">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345259F6">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21F2FFA6">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280" w:type="dxa"/>
            <w:shd w:val="clear" w:color="auto" w:fill="auto"/>
            <w:noWrap w:val="0"/>
            <w:vAlign w:val="center"/>
          </w:tcPr>
          <w:p w14:paraId="0EFDA77E">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157" w:type="dxa"/>
            <w:shd w:val="clear" w:color="auto" w:fill="auto"/>
            <w:noWrap w:val="0"/>
            <w:vAlign w:val="center"/>
          </w:tcPr>
          <w:p w14:paraId="6CF758A8">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012" w:type="dxa"/>
            <w:shd w:val="clear" w:color="auto" w:fill="auto"/>
            <w:noWrap w:val="0"/>
            <w:vAlign w:val="center"/>
          </w:tcPr>
          <w:p w14:paraId="6A36FED5">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r>
      <w:tr w14:paraId="30C51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9" w:type="dxa"/>
            <w:shd w:val="clear" w:color="auto" w:fill="auto"/>
            <w:noWrap w:val="0"/>
            <w:vAlign w:val="center"/>
          </w:tcPr>
          <w:p w14:paraId="267BFFBD">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2</w:t>
            </w:r>
          </w:p>
        </w:tc>
        <w:tc>
          <w:tcPr>
            <w:tcW w:w="1568" w:type="dxa"/>
            <w:shd w:val="clear" w:color="auto" w:fill="auto"/>
            <w:noWrap w:val="0"/>
            <w:vAlign w:val="center"/>
          </w:tcPr>
          <w:p w14:paraId="23C4363F">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p>
        </w:tc>
        <w:tc>
          <w:tcPr>
            <w:tcW w:w="980" w:type="dxa"/>
            <w:shd w:val="clear" w:color="auto" w:fill="auto"/>
            <w:noWrap w:val="0"/>
            <w:vAlign w:val="center"/>
          </w:tcPr>
          <w:p w14:paraId="7257EF17">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55EBFB94">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710F300C">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280" w:type="dxa"/>
            <w:shd w:val="clear" w:color="auto" w:fill="auto"/>
            <w:noWrap w:val="0"/>
            <w:vAlign w:val="center"/>
          </w:tcPr>
          <w:p w14:paraId="46579E30">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157" w:type="dxa"/>
            <w:shd w:val="clear" w:color="auto" w:fill="auto"/>
            <w:noWrap w:val="0"/>
            <w:vAlign w:val="center"/>
          </w:tcPr>
          <w:p w14:paraId="7C6FFB9E">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012" w:type="dxa"/>
            <w:shd w:val="clear" w:color="auto" w:fill="auto"/>
            <w:noWrap w:val="0"/>
            <w:vAlign w:val="center"/>
          </w:tcPr>
          <w:p w14:paraId="5E1D2879">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r>
      <w:tr w14:paraId="53B34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9" w:type="dxa"/>
            <w:shd w:val="clear" w:color="auto" w:fill="auto"/>
            <w:noWrap w:val="0"/>
            <w:vAlign w:val="center"/>
          </w:tcPr>
          <w:p w14:paraId="19DF9930">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3</w:t>
            </w:r>
          </w:p>
        </w:tc>
        <w:tc>
          <w:tcPr>
            <w:tcW w:w="1568" w:type="dxa"/>
            <w:shd w:val="clear" w:color="auto" w:fill="auto"/>
            <w:noWrap w:val="0"/>
            <w:vAlign w:val="center"/>
          </w:tcPr>
          <w:p w14:paraId="7ED5811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p>
        </w:tc>
        <w:tc>
          <w:tcPr>
            <w:tcW w:w="980" w:type="dxa"/>
            <w:shd w:val="clear" w:color="auto" w:fill="auto"/>
            <w:noWrap w:val="0"/>
            <w:vAlign w:val="center"/>
          </w:tcPr>
          <w:p w14:paraId="7D7A628F">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656E62D9">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68373801">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280" w:type="dxa"/>
            <w:shd w:val="clear" w:color="auto" w:fill="auto"/>
            <w:noWrap w:val="0"/>
            <w:vAlign w:val="center"/>
          </w:tcPr>
          <w:p w14:paraId="7F89AD48">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157" w:type="dxa"/>
            <w:shd w:val="clear" w:color="auto" w:fill="auto"/>
            <w:noWrap w:val="0"/>
            <w:vAlign w:val="center"/>
          </w:tcPr>
          <w:p w14:paraId="47B40D5C">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012" w:type="dxa"/>
            <w:shd w:val="clear" w:color="auto" w:fill="auto"/>
            <w:noWrap w:val="0"/>
            <w:vAlign w:val="center"/>
          </w:tcPr>
          <w:p w14:paraId="54FD6686">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r>
      <w:tr w14:paraId="4AE48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39" w:type="dxa"/>
            <w:shd w:val="clear" w:color="auto" w:fill="auto"/>
            <w:noWrap w:val="0"/>
            <w:vAlign w:val="center"/>
          </w:tcPr>
          <w:p w14:paraId="19E29E82">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4</w:t>
            </w:r>
          </w:p>
        </w:tc>
        <w:tc>
          <w:tcPr>
            <w:tcW w:w="1568" w:type="dxa"/>
            <w:shd w:val="clear" w:color="auto" w:fill="auto"/>
            <w:noWrap w:val="0"/>
            <w:vAlign w:val="center"/>
          </w:tcPr>
          <w:p w14:paraId="685EBAD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p>
        </w:tc>
        <w:tc>
          <w:tcPr>
            <w:tcW w:w="980" w:type="dxa"/>
            <w:shd w:val="clear" w:color="auto" w:fill="auto"/>
            <w:noWrap w:val="0"/>
            <w:vAlign w:val="center"/>
          </w:tcPr>
          <w:p w14:paraId="1658954B">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61A9D878">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2AA0C15F">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280" w:type="dxa"/>
            <w:shd w:val="clear" w:color="auto" w:fill="auto"/>
            <w:noWrap w:val="0"/>
            <w:vAlign w:val="center"/>
          </w:tcPr>
          <w:p w14:paraId="573218BC">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157" w:type="dxa"/>
            <w:shd w:val="clear" w:color="auto" w:fill="auto"/>
            <w:noWrap w:val="0"/>
            <w:vAlign w:val="center"/>
          </w:tcPr>
          <w:p w14:paraId="609C6564">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012" w:type="dxa"/>
            <w:shd w:val="clear" w:color="auto" w:fill="auto"/>
            <w:noWrap w:val="0"/>
            <w:vAlign w:val="center"/>
          </w:tcPr>
          <w:p w14:paraId="137933CC">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r>
      <w:tr w14:paraId="2B401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39" w:type="dxa"/>
            <w:shd w:val="clear" w:color="auto" w:fill="auto"/>
            <w:noWrap w:val="0"/>
            <w:vAlign w:val="center"/>
          </w:tcPr>
          <w:p w14:paraId="3172BAE0">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5</w:t>
            </w:r>
          </w:p>
        </w:tc>
        <w:tc>
          <w:tcPr>
            <w:tcW w:w="1568" w:type="dxa"/>
            <w:shd w:val="clear" w:color="auto" w:fill="auto"/>
            <w:noWrap w:val="0"/>
            <w:vAlign w:val="center"/>
          </w:tcPr>
          <w:p w14:paraId="5C587EC1">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p>
        </w:tc>
        <w:tc>
          <w:tcPr>
            <w:tcW w:w="980" w:type="dxa"/>
            <w:shd w:val="clear" w:color="auto" w:fill="auto"/>
            <w:noWrap w:val="0"/>
            <w:vAlign w:val="center"/>
          </w:tcPr>
          <w:p w14:paraId="2D42E1CF">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35D414FF">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44C20EA9">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280" w:type="dxa"/>
            <w:shd w:val="clear" w:color="auto" w:fill="auto"/>
            <w:noWrap w:val="0"/>
            <w:vAlign w:val="center"/>
          </w:tcPr>
          <w:p w14:paraId="4A43E922">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157" w:type="dxa"/>
            <w:shd w:val="clear" w:color="auto" w:fill="auto"/>
            <w:noWrap w:val="0"/>
            <w:vAlign w:val="center"/>
          </w:tcPr>
          <w:p w14:paraId="15520CEC">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012" w:type="dxa"/>
            <w:shd w:val="clear" w:color="auto" w:fill="auto"/>
            <w:noWrap w:val="0"/>
            <w:vAlign w:val="center"/>
          </w:tcPr>
          <w:p w14:paraId="5A9BF7E7">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r>
      <w:tr w14:paraId="50E0B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739" w:type="dxa"/>
            <w:shd w:val="clear" w:color="auto" w:fill="auto"/>
            <w:noWrap w:val="0"/>
            <w:vAlign w:val="center"/>
          </w:tcPr>
          <w:p w14:paraId="280EB7A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w:t>
            </w:r>
          </w:p>
        </w:tc>
        <w:tc>
          <w:tcPr>
            <w:tcW w:w="1568" w:type="dxa"/>
            <w:shd w:val="clear" w:color="auto" w:fill="auto"/>
            <w:noWrap w:val="0"/>
            <w:vAlign w:val="center"/>
          </w:tcPr>
          <w:p w14:paraId="12235F46">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w:t>
            </w:r>
          </w:p>
        </w:tc>
        <w:tc>
          <w:tcPr>
            <w:tcW w:w="980" w:type="dxa"/>
            <w:shd w:val="clear" w:color="auto" w:fill="auto"/>
            <w:noWrap w:val="0"/>
            <w:vAlign w:val="center"/>
          </w:tcPr>
          <w:p w14:paraId="6584996D">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70EFD903">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980" w:type="dxa"/>
            <w:shd w:val="clear" w:color="auto" w:fill="auto"/>
            <w:noWrap w:val="0"/>
            <w:vAlign w:val="center"/>
          </w:tcPr>
          <w:p w14:paraId="213081F1">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280" w:type="dxa"/>
            <w:shd w:val="clear" w:color="auto" w:fill="auto"/>
            <w:noWrap w:val="0"/>
            <w:vAlign w:val="center"/>
          </w:tcPr>
          <w:p w14:paraId="75E4DDF5">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157" w:type="dxa"/>
            <w:shd w:val="clear" w:color="auto" w:fill="auto"/>
            <w:noWrap w:val="0"/>
            <w:vAlign w:val="center"/>
          </w:tcPr>
          <w:p w14:paraId="6FBF1EFE">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c>
          <w:tcPr>
            <w:tcW w:w="1012" w:type="dxa"/>
            <w:shd w:val="clear" w:color="auto" w:fill="auto"/>
            <w:noWrap w:val="0"/>
            <w:vAlign w:val="center"/>
          </w:tcPr>
          <w:p w14:paraId="60D53CAE">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r>
      <w:tr w14:paraId="36787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684" w:type="dxa"/>
            <w:gridSpan w:val="7"/>
            <w:shd w:val="clear" w:color="auto" w:fill="auto"/>
            <w:noWrap w:val="0"/>
            <w:vAlign w:val="center"/>
          </w:tcPr>
          <w:p w14:paraId="171EC7D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rPr>
            </w:pPr>
            <w:r>
              <w:rPr>
                <w:rFonts w:hint="eastAsia" w:ascii="宋体" w:hAnsi="宋体" w:eastAsia="宋体" w:cs="宋体"/>
                <w:color w:val="auto"/>
                <w:sz w:val="24"/>
              </w:rPr>
              <w:t>投标总报价（人民币：元）</w:t>
            </w:r>
          </w:p>
        </w:tc>
        <w:tc>
          <w:tcPr>
            <w:tcW w:w="1012" w:type="dxa"/>
            <w:shd w:val="clear" w:color="auto" w:fill="auto"/>
            <w:noWrap w:val="0"/>
            <w:vAlign w:val="center"/>
          </w:tcPr>
          <w:p w14:paraId="7972BE1D">
            <w:pPr>
              <w:keepNext w:val="0"/>
              <w:keepLines w:val="0"/>
              <w:widowControl/>
              <w:suppressLineNumbers w:val="0"/>
              <w:spacing w:before="0" w:beforeAutospacing="0" w:after="0" w:afterAutospacing="0"/>
              <w:ind w:left="0" w:right="0"/>
              <w:jc w:val="center"/>
              <w:rPr>
                <w:rFonts w:hint="eastAsia" w:ascii="Calibri" w:hAnsi="Calibri" w:eastAsia="宋体" w:cs="宋体"/>
                <w:color w:val="auto"/>
                <w:sz w:val="24"/>
              </w:rPr>
            </w:pPr>
          </w:p>
        </w:tc>
      </w:tr>
      <w:tr w14:paraId="19911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8696" w:type="dxa"/>
            <w:gridSpan w:val="8"/>
            <w:shd w:val="clear" w:color="auto" w:fill="auto"/>
            <w:noWrap w:val="0"/>
            <w:vAlign w:val="center"/>
          </w:tcPr>
          <w:p w14:paraId="527AD471">
            <w:pPr>
              <w:keepNext w:val="0"/>
              <w:keepLines w:val="0"/>
              <w:widowControl/>
              <w:suppressLineNumbers w:val="0"/>
              <w:spacing w:before="0" w:beforeAutospacing="0" w:after="0" w:afterAutospacing="0"/>
              <w:ind w:left="0" w:right="0"/>
              <w:rPr>
                <w:rFonts w:hint="eastAsia" w:ascii="宋体" w:hAnsi="宋体" w:eastAsia="宋体" w:cs="宋体"/>
                <w:color w:val="auto"/>
                <w:sz w:val="24"/>
              </w:rPr>
            </w:pPr>
            <w:r>
              <w:rPr>
                <w:rFonts w:hint="eastAsia" w:ascii="宋体" w:hAnsi="宋体" w:eastAsia="宋体" w:cs="宋体"/>
                <w:color w:val="auto"/>
                <w:sz w:val="24"/>
              </w:rPr>
              <w:t>本采购包中提供的符合本国产品标准的产品成本之和占该采购包提供的全部产品成本之和的比例为</w:t>
            </w:r>
            <w:r>
              <w:rPr>
                <w:rFonts w:hint="eastAsia" w:ascii="宋体" w:hAnsi="宋体" w:eastAsia="宋体" w:cs="宋体"/>
                <w:color w:val="auto"/>
                <w:sz w:val="24"/>
                <w:u w:val="single"/>
              </w:rPr>
              <w:t>***</w:t>
            </w:r>
            <w:r>
              <w:rPr>
                <w:rFonts w:hint="eastAsia" w:ascii="宋体" w:hAnsi="宋体" w:eastAsia="宋体" w:cs="宋体"/>
                <w:color w:val="auto"/>
                <w:sz w:val="24"/>
              </w:rPr>
              <w:t>%。</w:t>
            </w:r>
          </w:p>
        </w:tc>
      </w:tr>
    </w:tbl>
    <w:p w14:paraId="3E1DA24D">
      <w:pPr>
        <w:widowControl/>
        <w:spacing w:line="5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备注：</w:t>
      </w:r>
    </w:p>
    <w:p w14:paraId="36AB4160">
      <w:pPr>
        <w:widowControl/>
        <w:spacing w:line="5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1.投标报价采用总承包方式，“投标总报价”应包括所投货物（包含与货物相关的服务）费用、本地化部署费用、安装调试费、测试验收费、培训费、运行维护费用、税金、国际国内运输保险、报关清关、开证、办理全套免税手续费用及其他有关的为完成本项目发生的所有费用，招标文件中另有规定的除外。</w:t>
      </w:r>
    </w:p>
    <w:p w14:paraId="696A50BA">
      <w:pPr>
        <w:widowControl/>
        <w:spacing w:line="5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2.“投标分项报价表”中“投标总报价”数额应当与“开标一览表”中“投标总报价”数额一致。</w:t>
      </w:r>
    </w:p>
    <w:p w14:paraId="77C2C16D">
      <w:pPr>
        <w:widowControl/>
        <w:spacing w:line="56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00A80AB">
      <w:pPr>
        <w:widowControl/>
        <w:spacing w:before="120" w:line="400" w:lineRule="exact"/>
        <w:jc w:val="center"/>
        <w:rPr>
          <w:rFonts w:hint="eastAsia" w:ascii="黑体" w:hAnsi="黑体" w:eastAsia="黑体" w:cs="黑体"/>
          <w:i/>
          <w:color w:val="auto"/>
          <w:sz w:val="32"/>
          <w:szCs w:val="32"/>
          <w:u w:val="single"/>
        </w:rPr>
      </w:pPr>
    </w:p>
    <w:p w14:paraId="1806B29C">
      <w:pPr>
        <w:widowControl/>
        <w:spacing w:before="120" w:line="4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十三、技术要求响应及偏离表</w:t>
      </w:r>
    </w:p>
    <w:tbl>
      <w:tblPr>
        <w:tblStyle w:val="40"/>
        <w:tblpPr w:leftFromText="180" w:rightFromText="180" w:vertAnchor="text" w:horzAnchor="page" w:tblpXSpec="center" w:tblpY="390"/>
        <w:tblW w:w="8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6"/>
        <w:gridCol w:w="3260"/>
        <w:gridCol w:w="2031"/>
        <w:gridCol w:w="1555"/>
        <w:gridCol w:w="1323"/>
      </w:tblGrid>
      <w:tr w14:paraId="05385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jc w:val="center"/>
        </w:trPr>
        <w:tc>
          <w:tcPr>
            <w:tcW w:w="806" w:type="dxa"/>
            <w:noWrap w:val="0"/>
            <w:vAlign w:val="center"/>
          </w:tcPr>
          <w:p w14:paraId="3C81AFA2">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序号</w:t>
            </w:r>
          </w:p>
        </w:tc>
        <w:tc>
          <w:tcPr>
            <w:tcW w:w="3260" w:type="dxa"/>
            <w:noWrap w:val="0"/>
            <w:vAlign w:val="center"/>
          </w:tcPr>
          <w:p w14:paraId="0241FBA2">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招标文件要求</w:t>
            </w:r>
          </w:p>
        </w:tc>
        <w:tc>
          <w:tcPr>
            <w:tcW w:w="2031" w:type="dxa"/>
            <w:noWrap w:val="0"/>
            <w:vAlign w:val="center"/>
          </w:tcPr>
          <w:p w14:paraId="001650CF">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投标响应情况</w:t>
            </w:r>
          </w:p>
        </w:tc>
        <w:tc>
          <w:tcPr>
            <w:tcW w:w="1555" w:type="dxa"/>
            <w:noWrap w:val="0"/>
            <w:vAlign w:val="center"/>
          </w:tcPr>
          <w:p w14:paraId="4F2FF7C5">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超出、符合或偏离</w:t>
            </w:r>
          </w:p>
        </w:tc>
        <w:tc>
          <w:tcPr>
            <w:tcW w:w="1323" w:type="dxa"/>
            <w:noWrap w:val="0"/>
            <w:vAlign w:val="center"/>
          </w:tcPr>
          <w:p w14:paraId="613580F5">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证明材料</w:t>
            </w:r>
          </w:p>
        </w:tc>
      </w:tr>
      <w:tr w14:paraId="1E1F4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noWrap w:val="0"/>
            <w:vAlign w:val="center"/>
          </w:tcPr>
          <w:p w14:paraId="10806227">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p>
        </w:tc>
        <w:tc>
          <w:tcPr>
            <w:tcW w:w="3260" w:type="dxa"/>
            <w:noWrap w:val="0"/>
            <w:vAlign w:val="center"/>
          </w:tcPr>
          <w:p w14:paraId="74D8FD02">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2031" w:type="dxa"/>
            <w:noWrap w:val="0"/>
            <w:vAlign w:val="center"/>
          </w:tcPr>
          <w:p w14:paraId="776BAEE7">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1555" w:type="dxa"/>
            <w:noWrap w:val="0"/>
            <w:vAlign w:val="center"/>
          </w:tcPr>
          <w:p w14:paraId="2931830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323" w:type="dxa"/>
            <w:noWrap w:val="0"/>
            <w:vAlign w:val="center"/>
          </w:tcPr>
          <w:p w14:paraId="67D3A13C">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7A89C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noWrap w:val="0"/>
            <w:vAlign w:val="center"/>
          </w:tcPr>
          <w:p w14:paraId="10531C5B">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p>
        </w:tc>
        <w:tc>
          <w:tcPr>
            <w:tcW w:w="3260" w:type="dxa"/>
            <w:noWrap w:val="0"/>
            <w:vAlign w:val="center"/>
          </w:tcPr>
          <w:p w14:paraId="47EA0B5B">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2031" w:type="dxa"/>
            <w:noWrap w:val="0"/>
            <w:vAlign w:val="center"/>
          </w:tcPr>
          <w:p w14:paraId="374C7A55">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1555" w:type="dxa"/>
            <w:noWrap w:val="0"/>
            <w:vAlign w:val="center"/>
          </w:tcPr>
          <w:p w14:paraId="08FAB3C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323" w:type="dxa"/>
            <w:noWrap w:val="0"/>
            <w:vAlign w:val="center"/>
          </w:tcPr>
          <w:p w14:paraId="5F61F8F6">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1446D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noWrap w:val="0"/>
            <w:vAlign w:val="center"/>
          </w:tcPr>
          <w:p w14:paraId="1D5655AF">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p>
        </w:tc>
        <w:tc>
          <w:tcPr>
            <w:tcW w:w="3260" w:type="dxa"/>
            <w:noWrap w:val="0"/>
            <w:vAlign w:val="center"/>
          </w:tcPr>
          <w:p w14:paraId="32388703">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2031" w:type="dxa"/>
            <w:noWrap w:val="0"/>
            <w:vAlign w:val="center"/>
          </w:tcPr>
          <w:p w14:paraId="4517D12B">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1555" w:type="dxa"/>
            <w:noWrap w:val="0"/>
            <w:vAlign w:val="center"/>
          </w:tcPr>
          <w:p w14:paraId="37F005B7">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323" w:type="dxa"/>
            <w:noWrap w:val="0"/>
            <w:vAlign w:val="center"/>
          </w:tcPr>
          <w:p w14:paraId="76A14492">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7CB0F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noWrap w:val="0"/>
            <w:vAlign w:val="center"/>
          </w:tcPr>
          <w:p w14:paraId="5463243F">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p>
        </w:tc>
        <w:tc>
          <w:tcPr>
            <w:tcW w:w="3260" w:type="dxa"/>
            <w:noWrap w:val="0"/>
            <w:vAlign w:val="center"/>
          </w:tcPr>
          <w:p w14:paraId="05A31437">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2031" w:type="dxa"/>
            <w:noWrap w:val="0"/>
            <w:vAlign w:val="center"/>
          </w:tcPr>
          <w:p w14:paraId="013B87FF">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1555" w:type="dxa"/>
            <w:noWrap w:val="0"/>
            <w:vAlign w:val="center"/>
          </w:tcPr>
          <w:p w14:paraId="1457F01C">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323" w:type="dxa"/>
            <w:noWrap w:val="0"/>
            <w:vAlign w:val="center"/>
          </w:tcPr>
          <w:p w14:paraId="52824EA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55851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noWrap w:val="0"/>
            <w:vAlign w:val="center"/>
          </w:tcPr>
          <w:p w14:paraId="320768F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p>
        </w:tc>
        <w:tc>
          <w:tcPr>
            <w:tcW w:w="3260" w:type="dxa"/>
            <w:noWrap w:val="0"/>
            <w:vAlign w:val="center"/>
          </w:tcPr>
          <w:p w14:paraId="090919F4">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2031" w:type="dxa"/>
            <w:noWrap w:val="0"/>
            <w:vAlign w:val="center"/>
          </w:tcPr>
          <w:p w14:paraId="61C8FD2F">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1555" w:type="dxa"/>
            <w:noWrap w:val="0"/>
            <w:vAlign w:val="center"/>
          </w:tcPr>
          <w:p w14:paraId="0DFB83C1">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323" w:type="dxa"/>
            <w:noWrap w:val="0"/>
            <w:vAlign w:val="center"/>
          </w:tcPr>
          <w:p w14:paraId="20EC4721">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4877F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noWrap w:val="0"/>
            <w:vAlign w:val="center"/>
          </w:tcPr>
          <w:p w14:paraId="391BC54F">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p>
        </w:tc>
        <w:tc>
          <w:tcPr>
            <w:tcW w:w="3260" w:type="dxa"/>
            <w:noWrap w:val="0"/>
            <w:vAlign w:val="center"/>
          </w:tcPr>
          <w:p w14:paraId="05ABE7C7">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2031" w:type="dxa"/>
            <w:noWrap w:val="0"/>
            <w:vAlign w:val="center"/>
          </w:tcPr>
          <w:p w14:paraId="746FA4D1">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1555" w:type="dxa"/>
            <w:noWrap w:val="0"/>
            <w:vAlign w:val="center"/>
          </w:tcPr>
          <w:p w14:paraId="2C682720">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323" w:type="dxa"/>
            <w:noWrap w:val="0"/>
            <w:vAlign w:val="center"/>
          </w:tcPr>
          <w:p w14:paraId="63789B6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35011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noWrap w:val="0"/>
            <w:vAlign w:val="center"/>
          </w:tcPr>
          <w:p w14:paraId="58FF5B56">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p>
        </w:tc>
        <w:tc>
          <w:tcPr>
            <w:tcW w:w="3260" w:type="dxa"/>
            <w:noWrap w:val="0"/>
            <w:vAlign w:val="center"/>
          </w:tcPr>
          <w:p w14:paraId="4E594EE0">
            <w:pPr>
              <w:keepNext w:val="0"/>
              <w:keepLines w:val="0"/>
              <w:widowControl/>
              <w:suppressLineNumbers w:val="0"/>
              <w:spacing w:before="0" w:beforeAutospacing="0" w:after="0" w:afterAutospacing="0" w:line="5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w:t>
            </w:r>
          </w:p>
        </w:tc>
        <w:tc>
          <w:tcPr>
            <w:tcW w:w="2031" w:type="dxa"/>
            <w:noWrap w:val="0"/>
            <w:vAlign w:val="center"/>
          </w:tcPr>
          <w:p w14:paraId="2BC9A4C4">
            <w:pPr>
              <w:keepNext w:val="0"/>
              <w:keepLines w:val="0"/>
              <w:widowControl/>
              <w:suppressLineNumbers w:val="0"/>
              <w:spacing w:before="0" w:beforeAutospacing="0" w:after="0" w:afterAutospacing="0" w:line="500" w:lineRule="exact"/>
              <w:ind w:left="0" w:right="0"/>
              <w:jc w:val="left"/>
              <w:rPr>
                <w:rFonts w:hint="eastAsia" w:asciiTheme="minorEastAsia" w:hAnsiTheme="minorEastAsia" w:cstheme="minorEastAsia"/>
                <w:color w:val="auto"/>
                <w:sz w:val="24"/>
              </w:rPr>
            </w:pPr>
          </w:p>
        </w:tc>
        <w:tc>
          <w:tcPr>
            <w:tcW w:w="1555" w:type="dxa"/>
            <w:noWrap w:val="0"/>
            <w:vAlign w:val="center"/>
          </w:tcPr>
          <w:p w14:paraId="104D81BC">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323" w:type="dxa"/>
            <w:noWrap w:val="0"/>
            <w:vAlign w:val="center"/>
          </w:tcPr>
          <w:p w14:paraId="48CD6FD1">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bl>
    <w:p w14:paraId="07052D50">
      <w:pPr>
        <w:pStyle w:val="34"/>
        <w:widowControl/>
        <w:rPr>
          <w:rFonts w:asciiTheme="minorEastAsia" w:hAnsiTheme="minorEastAsia" w:cstheme="minorEastAsia"/>
          <w:color w:val="auto"/>
        </w:rPr>
      </w:pPr>
      <w:r>
        <w:rPr>
          <w:rFonts w:hint="eastAsia" w:asciiTheme="minorEastAsia" w:hAnsiTheme="minorEastAsia" w:cstheme="minorEastAsia"/>
          <w:color w:val="auto"/>
        </w:rPr>
        <w:t>注：行数不够，可自行添加。</w:t>
      </w:r>
      <w:r>
        <w:rPr>
          <w:rFonts w:asciiTheme="minorEastAsia" w:hAnsiTheme="minorEastAsia"/>
          <w:color w:val="auto"/>
        </w:rPr>
        <w:br w:type="page" w:clear="all"/>
      </w:r>
    </w:p>
    <w:p w14:paraId="633AC5D3">
      <w:pPr>
        <w:widowControl/>
        <w:spacing w:before="120" w:line="4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十四、商务要求响应及偏离表</w:t>
      </w:r>
    </w:p>
    <w:tbl>
      <w:tblPr>
        <w:tblStyle w:val="40"/>
        <w:tblpPr w:leftFromText="180" w:rightFromText="180" w:vertAnchor="text" w:horzAnchor="page" w:tblpX="1738" w:tblpY="39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1"/>
        <w:gridCol w:w="1900"/>
        <w:gridCol w:w="2006"/>
        <w:gridCol w:w="2304"/>
        <w:gridCol w:w="1514"/>
      </w:tblGrid>
      <w:tr w14:paraId="1074B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4A20A340">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序号</w:t>
            </w:r>
          </w:p>
        </w:tc>
        <w:tc>
          <w:tcPr>
            <w:tcW w:w="1900" w:type="dxa"/>
            <w:noWrap w:val="0"/>
            <w:vAlign w:val="center"/>
          </w:tcPr>
          <w:p w14:paraId="369E9640">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招标文件要求</w:t>
            </w:r>
          </w:p>
        </w:tc>
        <w:tc>
          <w:tcPr>
            <w:tcW w:w="2006" w:type="dxa"/>
            <w:noWrap w:val="0"/>
            <w:vAlign w:val="center"/>
          </w:tcPr>
          <w:p w14:paraId="0ED28E7B">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投标响应情况</w:t>
            </w:r>
          </w:p>
        </w:tc>
        <w:tc>
          <w:tcPr>
            <w:tcW w:w="2304" w:type="dxa"/>
            <w:noWrap w:val="0"/>
            <w:vAlign w:val="center"/>
          </w:tcPr>
          <w:p w14:paraId="7AD93E8D">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超出、符合或偏离</w:t>
            </w:r>
          </w:p>
        </w:tc>
        <w:tc>
          <w:tcPr>
            <w:tcW w:w="1514" w:type="dxa"/>
            <w:noWrap w:val="0"/>
            <w:vAlign w:val="center"/>
          </w:tcPr>
          <w:p w14:paraId="645406FD">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证明材料</w:t>
            </w:r>
          </w:p>
        </w:tc>
      </w:tr>
      <w:tr w14:paraId="19989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15DB80BD">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900" w:type="dxa"/>
            <w:noWrap w:val="0"/>
            <w:vAlign w:val="center"/>
          </w:tcPr>
          <w:p w14:paraId="5140C495">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006" w:type="dxa"/>
            <w:noWrap w:val="0"/>
            <w:vAlign w:val="center"/>
          </w:tcPr>
          <w:p w14:paraId="017FABA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304" w:type="dxa"/>
            <w:noWrap w:val="0"/>
            <w:vAlign w:val="center"/>
          </w:tcPr>
          <w:p w14:paraId="2F1B2727">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514" w:type="dxa"/>
            <w:noWrap w:val="0"/>
            <w:vAlign w:val="center"/>
          </w:tcPr>
          <w:p w14:paraId="69072B1C">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1DDFD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0E95FDDC">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900" w:type="dxa"/>
            <w:noWrap w:val="0"/>
            <w:vAlign w:val="center"/>
          </w:tcPr>
          <w:p w14:paraId="091CF2D3">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006" w:type="dxa"/>
            <w:noWrap w:val="0"/>
            <w:vAlign w:val="center"/>
          </w:tcPr>
          <w:p w14:paraId="753AD1F1">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304" w:type="dxa"/>
            <w:noWrap w:val="0"/>
            <w:vAlign w:val="center"/>
          </w:tcPr>
          <w:p w14:paraId="3E639325">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514" w:type="dxa"/>
            <w:noWrap w:val="0"/>
            <w:vAlign w:val="center"/>
          </w:tcPr>
          <w:p w14:paraId="3048B99F">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0197D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5F1F8609">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900" w:type="dxa"/>
            <w:noWrap w:val="0"/>
            <w:vAlign w:val="center"/>
          </w:tcPr>
          <w:p w14:paraId="31CD2341">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006" w:type="dxa"/>
            <w:noWrap w:val="0"/>
            <w:vAlign w:val="center"/>
          </w:tcPr>
          <w:p w14:paraId="6194E0FA">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304" w:type="dxa"/>
            <w:noWrap w:val="0"/>
            <w:vAlign w:val="center"/>
          </w:tcPr>
          <w:p w14:paraId="70ABF99D">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514" w:type="dxa"/>
            <w:noWrap w:val="0"/>
            <w:vAlign w:val="center"/>
          </w:tcPr>
          <w:p w14:paraId="73511CC9">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62B80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1E131D06">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900" w:type="dxa"/>
            <w:noWrap w:val="0"/>
            <w:vAlign w:val="center"/>
          </w:tcPr>
          <w:p w14:paraId="441B665B">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006" w:type="dxa"/>
            <w:noWrap w:val="0"/>
            <w:vAlign w:val="center"/>
          </w:tcPr>
          <w:p w14:paraId="63EE0A0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304" w:type="dxa"/>
            <w:noWrap w:val="0"/>
            <w:vAlign w:val="center"/>
          </w:tcPr>
          <w:p w14:paraId="4502D31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514" w:type="dxa"/>
            <w:noWrap w:val="0"/>
            <w:vAlign w:val="center"/>
          </w:tcPr>
          <w:p w14:paraId="31C8DA3F">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190AF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7E3FB691">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900" w:type="dxa"/>
            <w:noWrap w:val="0"/>
            <w:vAlign w:val="center"/>
          </w:tcPr>
          <w:p w14:paraId="09CD66FE">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006" w:type="dxa"/>
            <w:noWrap w:val="0"/>
            <w:vAlign w:val="center"/>
          </w:tcPr>
          <w:p w14:paraId="2613603C">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304" w:type="dxa"/>
            <w:noWrap w:val="0"/>
            <w:vAlign w:val="center"/>
          </w:tcPr>
          <w:p w14:paraId="28105E72">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514" w:type="dxa"/>
            <w:noWrap w:val="0"/>
            <w:vAlign w:val="center"/>
          </w:tcPr>
          <w:p w14:paraId="332C0A4A">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7E1C9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319C0A14">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900" w:type="dxa"/>
            <w:noWrap w:val="0"/>
            <w:vAlign w:val="center"/>
          </w:tcPr>
          <w:p w14:paraId="4144F9D7">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006" w:type="dxa"/>
            <w:noWrap w:val="0"/>
            <w:vAlign w:val="center"/>
          </w:tcPr>
          <w:p w14:paraId="5A2AD33E">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304" w:type="dxa"/>
            <w:noWrap w:val="0"/>
            <w:vAlign w:val="center"/>
          </w:tcPr>
          <w:p w14:paraId="005064E2">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514" w:type="dxa"/>
            <w:noWrap w:val="0"/>
            <w:vAlign w:val="center"/>
          </w:tcPr>
          <w:p w14:paraId="7981ABBE">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2CE0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3CC4ED04">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900" w:type="dxa"/>
            <w:noWrap w:val="0"/>
            <w:vAlign w:val="center"/>
          </w:tcPr>
          <w:p w14:paraId="57775716">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006" w:type="dxa"/>
            <w:noWrap w:val="0"/>
            <w:vAlign w:val="center"/>
          </w:tcPr>
          <w:p w14:paraId="72C077A7">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304" w:type="dxa"/>
            <w:noWrap w:val="0"/>
            <w:vAlign w:val="center"/>
          </w:tcPr>
          <w:p w14:paraId="43B34603">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514" w:type="dxa"/>
            <w:noWrap w:val="0"/>
            <w:vAlign w:val="center"/>
          </w:tcPr>
          <w:p w14:paraId="215CBBFE">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r w14:paraId="1896A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971" w:type="dxa"/>
            <w:noWrap w:val="0"/>
            <w:vAlign w:val="center"/>
          </w:tcPr>
          <w:p w14:paraId="19E31498">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900" w:type="dxa"/>
            <w:noWrap w:val="0"/>
            <w:vAlign w:val="center"/>
          </w:tcPr>
          <w:p w14:paraId="7DB2E8DB">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w:t>
            </w:r>
          </w:p>
        </w:tc>
        <w:tc>
          <w:tcPr>
            <w:tcW w:w="2006" w:type="dxa"/>
            <w:noWrap w:val="0"/>
            <w:vAlign w:val="center"/>
          </w:tcPr>
          <w:p w14:paraId="15BECA6B">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2304" w:type="dxa"/>
            <w:noWrap w:val="0"/>
            <w:vAlign w:val="center"/>
          </w:tcPr>
          <w:p w14:paraId="49DEB2AA">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c>
          <w:tcPr>
            <w:tcW w:w="1514" w:type="dxa"/>
            <w:noWrap w:val="0"/>
            <w:vAlign w:val="center"/>
          </w:tcPr>
          <w:p w14:paraId="1FE322B9">
            <w:pPr>
              <w:keepNext w:val="0"/>
              <w:keepLines w:val="0"/>
              <w:widowControl/>
              <w:suppressLineNumbers w:val="0"/>
              <w:spacing w:before="0" w:beforeAutospacing="0" w:after="0" w:afterAutospacing="0" w:line="400" w:lineRule="exact"/>
              <w:ind w:left="0" w:right="0"/>
              <w:jc w:val="center"/>
              <w:rPr>
                <w:rFonts w:hint="eastAsia" w:asciiTheme="minorEastAsia" w:hAnsiTheme="minorEastAsia" w:cstheme="minorEastAsia"/>
                <w:color w:val="auto"/>
                <w:sz w:val="24"/>
              </w:rPr>
            </w:pPr>
            <w:r>
              <w:rPr>
                <w:rFonts w:hint="eastAsia" w:asciiTheme="minorEastAsia" w:hAnsiTheme="minorEastAsia" w:cstheme="minorEastAsia"/>
                <w:color w:val="auto"/>
                <w:sz w:val="24"/>
              </w:rPr>
              <w:t>　</w:t>
            </w:r>
          </w:p>
        </w:tc>
      </w:tr>
    </w:tbl>
    <w:p w14:paraId="577B837C">
      <w:pPr>
        <w:pStyle w:val="34"/>
        <w:widowControl/>
        <w:rPr>
          <w:rFonts w:ascii="微软雅黑" w:hAnsi="宋体" w:eastAsia="微软雅黑" w:cs="黑体"/>
          <w:iCs/>
          <w:color w:val="auto"/>
          <w:sz w:val="30"/>
          <w:szCs w:val="30"/>
        </w:rPr>
      </w:pPr>
      <w:r>
        <w:rPr>
          <w:rFonts w:hint="eastAsia" w:asciiTheme="minorEastAsia" w:hAnsiTheme="minorEastAsia" w:cstheme="minorEastAsia"/>
          <w:color w:val="auto"/>
        </w:rPr>
        <w:t>注：行数不够，可自行添加。</w:t>
      </w:r>
    </w:p>
    <w:p w14:paraId="56D1FE3C">
      <w:pPr>
        <w:widowControl/>
        <w:jc w:val="left"/>
        <w:rPr>
          <w:rFonts w:cs="Times New Roman" w:asciiTheme="minorEastAsia" w:hAnsiTheme="minorEastAsia"/>
          <w:color w:val="auto"/>
          <w:sz w:val="32"/>
          <w:szCs w:val="32"/>
        </w:rPr>
      </w:pPr>
      <w:r>
        <w:rPr>
          <w:rFonts w:asciiTheme="minorEastAsia" w:hAnsiTheme="minorEastAsia"/>
          <w:color w:val="auto"/>
        </w:rPr>
        <w:br w:type="page" w:clear="all"/>
      </w:r>
    </w:p>
    <w:p w14:paraId="0DE0F164">
      <w:pPr>
        <w:widowControl/>
        <w:spacing w:before="120" w:line="400" w:lineRule="exact"/>
        <w:jc w:val="center"/>
        <w:rPr>
          <w:rFonts w:hint="eastAsia" w:ascii="黑体" w:hAnsi="黑体" w:eastAsia="黑体" w:cs="黑体"/>
          <w:i/>
          <w:color w:val="auto"/>
          <w:sz w:val="32"/>
          <w:szCs w:val="32"/>
          <w:u w:val="single"/>
          <w:lang w:eastAsia="zh-CN"/>
        </w:rPr>
      </w:pPr>
      <w:r>
        <w:rPr>
          <w:rFonts w:hint="eastAsia" w:ascii="黑体" w:hAnsi="黑体" w:eastAsia="黑体" w:cs="黑体"/>
          <w:i/>
          <w:color w:val="auto"/>
          <w:sz w:val="32"/>
          <w:szCs w:val="32"/>
          <w:u w:val="single"/>
        </w:rPr>
        <w:t>十五、开标一览表</w:t>
      </w:r>
      <w:r>
        <w:rPr>
          <w:rFonts w:hint="eastAsia" w:ascii="黑体" w:hAnsi="黑体" w:eastAsia="黑体" w:cs="黑体"/>
          <w:i/>
          <w:color w:val="auto"/>
          <w:sz w:val="32"/>
          <w:szCs w:val="32"/>
          <w:u w:val="single"/>
          <w:lang w:eastAsia="zh-CN"/>
        </w:rPr>
        <w:t>（</w:t>
      </w:r>
      <w:r>
        <w:rPr>
          <w:rFonts w:hint="eastAsia" w:ascii="黑体" w:hAnsi="黑体" w:eastAsia="黑体" w:cs="黑体"/>
          <w:i/>
          <w:color w:val="auto"/>
          <w:sz w:val="32"/>
          <w:szCs w:val="32"/>
          <w:u w:val="single"/>
          <w:lang w:val="en-US" w:eastAsia="zh-CN"/>
        </w:rPr>
        <w:t>总价</w:t>
      </w:r>
      <w:r>
        <w:rPr>
          <w:rFonts w:hint="eastAsia" w:ascii="黑体" w:hAnsi="黑体" w:eastAsia="黑体" w:cs="黑体"/>
          <w:i/>
          <w:color w:val="auto"/>
          <w:sz w:val="32"/>
          <w:szCs w:val="32"/>
          <w:u w:val="single"/>
          <w:lang w:eastAsia="zh-CN"/>
        </w:rPr>
        <w:t>）</w:t>
      </w:r>
    </w:p>
    <w:p w14:paraId="027F3689">
      <w:pPr>
        <w:widowControl/>
        <w:pBdr>
          <w:top w:val="none" w:color="000000" w:sz="0" w:space="0"/>
          <w:left w:val="none" w:color="000000" w:sz="0" w:space="0"/>
          <w:bottom w:val="none" w:color="000000" w:sz="0" w:space="0"/>
          <w:right w:val="none" w:color="000000" w:sz="0" w:space="0"/>
        </w:pBdr>
        <w:spacing w:before="50" w:after="50"/>
        <w:jc w:val="center"/>
        <w:rPr>
          <w:color w:val="auto"/>
          <w:sz w:val="22"/>
          <w:szCs w:val="22"/>
        </w:rPr>
      </w:pPr>
    </w:p>
    <w:p w14:paraId="59783EEB">
      <w:pPr>
        <w:widowControl/>
        <w:pBdr>
          <w:top w:val="none" w:color="000000" w:sz="0" w:space="0"/>
          <w:left w:val="none" w:color="000000" w:sz="0" w:space="0"/>
          <w:bottom w:val="none" w:color="000000" w:sz="0" w:space="0"/>
          <w:right w:val="none" w:color="000000" w:sz="0" w:space="0"/>
        </w:pBdr>
        <w:spacing w:before="100" w:after="100" w:line="360" w:lineRule="auto"/>
        <w:rPr>
          <w:rFonts w:ascii="宋体" w:hAnsi="宋体" w:eastAsia="宋体" w:cs="宋体"/>
          <w:color w:val="auto"/>
        </w:rPr>
      </w:pPr>
      <w:r>
        <w:rPr>
          <w:rFonts w:hint="eastAsia" w:ascii="宋体" w:hAnsi="宋体" w:eastAsia="宋体" w:cs="宋体"/>
          <w:color w:val="auto"/>
          <w:sz w:val="24"/>
        </w:rPr>
        <w:t>投标人全称（CA公章）：供应商名称</w:t>
      </w:r>
    </w:p>
    <w:p w14:paraId="15B49A0F">
      <w:pPr>
        <w:widowControl/>
        <w:pBdr>
          <w:top w:val="none" w:color="000000" w:sz="0" w:space="0"/>
          <w:left w:val="none" w:color="000000" w:sz="0" w:space="0"/>
          <w:bottom w:val="none" w:color="000000" w:sz="0" w:space="0"/>
          <w:right w:val="none" w:color="000000" w:sz="0" w:space="0"/>
        </w:pBdr>
        <w:spacing w:before="100" w:after="100" w:line="360" w:lineRule="auto"/>
        <w:rPr>
          <w:rFonts w:hint="eastAsia" w:ascii="宋体" w:hAnsi="宋体" w:eastAsia="宋体" w:cs="宋体"/>
          <w:color w:val="auto"/>
          <w:lang w:eastAsia="zh-CN"/>
        </w:rPr>
      </w:pPr>
      <w:r>
        <w:rPr>
          <w:rFonts w:hint="eastAsia" w:ascii="宋体" w:hAnsi="宋体" w:eastAsia="宋体" w:cs="宋体"/>
          <w:color w:val="auto"/>
          <w:sz w:val="24"/>
        </w:rPr>
        <w:t>项目名称：</w:t>
      </w:r>
      <w:r>
        <w:rPr>
          <w:rFonts w:hint="eastAsia" w:ascii="宋体" w:hAnsi="宋体" w:eastAsia="宋体" w:cs="宋体"/>
          <w:color w:val="auto"/>
          <w:sz w:val="24"/>
          <w:lang w:eastAsia="zh-CN"/>
        </w:rPr>
        <w:t>江苏省盐城技师学院药品生产技术专业(化工仪表及自动化方向)教学设备添置采购项目、交通工程学院智慧物流实训中心采购项目</w:t>
      </w:r>
    </w:p>
    <w:p w14:paraId="0E0B0A83">
      <w:pPr>
        <w:widowControl/>
        <w:pBdr>
          <w:top w:val="none" w:color="000000" w:sz="0" w:space="0"/>
          <w:left w:val="none" w:color="000000" w:sz="0" w:space="0"/>
          <w:bottom w:val="none" w:color="000000" w:sz="0" w:space="0"/>
          <w:right w:val="none" w:color="000000" w:sz="0" w:space="0"/>
        </w:pBdr>
        <w:spacing w:before="100" w:after="100" w:line="360" w:lineRule="auto"/>
        <w:rPr>
          <w:rFonts w:hint="eastAsia" w:ascii="宋体" w:hAnsi="宋体" w:eastAsia="宋体" w:cs="宋体"/>
          <w:color w:val="auto"/>
          <w:lang w:eastAsia="zh-CN"/>
        </w:rPr>
      </w:pPr>
      <w:r>
        <w:rPr>
          <w:rFonts w:hint="eastAsia" w:ascii="宋体" w:hAnsi="宋体" w:eastAsia="宋体" w:cs="宋体"/>
          <w:color w:val="auto"/>
          <w:sz w:val="24"/>
        </w:rPr>
        <w:t>项目编号：</w:t>
      </w:r>
      <w:r>
        <w:rPr>
          <w:rFonts w:hint="eastAsia" w:ascii="宋体" w:hAnsi="宋体" w:eastAsia="宋体" w:cs="宋体"/>
          <w:color w:val="auto"/>
          <w:sz w:val="24"/>
          <w:lang w:eastAsia="zh-CN"/>
        </w:rPr>
        <w:t>JSZC-320900-DNGC-G2026-0007</w:t>
      </w:r>
    </w:p>
    <w:p w14:paraId="784FC474">
      <w:pPr>
        <w:widowControl/>
        <w:pBdr>
          <w:top w:val="none" w:color="000000" w:sz="0" w:space="0"/>
          <w:left w:val="none" w:color="000000" w:sz="0" w:space="0"/>
          <w:bottom w:val="none" w:color="000000" w:sz="0" w:space="0"/>
          <w:right w:val="none" w:color="000000" w:sz="0" w:space="0"/>
        </w:pBdr>
        <w:spacing w:before="100" w:after="100" w:line="360" w:lineRule="auto"/>
        <w:rPr>
          <w:rFonts w:ascii="宋体" w:hAnsi="宋体" w:eastAsia="宋体" w:cs="宋体"/>
          <w:color w:val="auto"/>
        </w:rPr>
      </w:pPr>
      <w:r>
        <w:rPr>
          <w:rFonts w:hint="eastAsia" w:ascii="宋体" w:hAnsi="宋体" w:eastAsia="宋体" w:cs="宋体"/>
          <w:color w:val="auto"/>
          <w:sz w:val="24"/>
        </w:rPr>
        <w:t>分包号：/</w:t>
      </w:r>
    </w:p>
    <w:tbl>
      <w:tblPr>
        <w:tblStyle w:val="41"/>
        <w:tblW w:w="87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527"/>
        <w:gridCol w:w="4173"/>
      </w:tblGrid>
      <w:tr w14:paraId="620E58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3" w:hRule="atLeast"/>
          <w:jc w:val="center"/>
        </w:trPr>
        <w:tc>
          <w:tcPr>
            <w:tcW w:w="4527"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7CDDD5E8">
            <w:pPr>
              <w:keepNext w:val="0"/>
              <w:keepLines w:val="0"/>
              <w:widowControl/>
              <w:suppressLineNumbers w:val="0"/>
              <w:pBdr>
                <w:top w:val="none" w:color="000000" w:sz="0" w:space="0"/>
                <w:left w:val="none" w:color="000000" w:sz="0" w:space="0"/>
                <w:bottom w:val="none" w:color="000000" w:sz="0" w:space="0"/>
                <w:right w:val="none" w:color="000000" w:sz="0" w:space="0"/>
              </w:pBdr>
              <w:spacing w:before="100" w:beforeAutospacing="0" w:after="100" w:afterAutospacing="0"/>
              <w:ind w:left="0" w:right="0"/>
              <w:jc w:val="center"/>
              <w:rPr>
                <w:rFonts w:hint="eastAsia" w:ascii="宋体" w:hAnsi="宋体" w:eastAsia="宋体" w:cs="宋体"/>
                <w:color w:val="auto"/>
              </w:rPr>
            </w:pPr>
            <w:r>
              <w:rPr>
                <w:rFonts w:hint="eastAsia" w:ascii="宋体" w:hAnsi="宋体" w:eastAsia="宋体" w:cs="宋体"/>
                <w:color w:val="auto"/>
                <w:sz w:val="24"/>
              </w:rPr>
              <w:t>投标货物名称</w:t>
            </w:r>
          </w:p>
        </w:tc>
        <w:tc>
          <w:tcPr>
            <w:tcW w:w="4173"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7F81A637">
            <w:pPr>
              <w:keepNext w:val="0"/>
              <w:keepLines w:val="0"/>
              <w:widowControl/>
              <w:suppressLineNumbers w:val="0"/>
              <w:pBdr>
                <w:top w:val="none" w:color="000000" w:sz="0" w:space="0"/>
                <w:left w:val="none" w:color="000000" w:sz="0" w:space="0"/>
                <w:bottom w:val="none" w:color="000000" w:sz="0" w:space="0"/>
                <w:right w:val="none" w:color="000000" w:sz="0" w:space="0"/>
              </w:pBdr>
              <w:spacing w:before="100" w:beforeAutospacing="0" w:after="100" w:afterAutospacing="0"/>
              <w:ind w:left="0" w:right="0"/>
              <w:jc w:val="center"/>
              <w:rPr>
                <w:rFonts w:hint="eastAsia" w:ascii="宋体" w:hAnsi="宋体" w:eastAsia="宋体" w:cs="宋体"/>
                <w:color w:val="auto"/>
              </w:rPr>
            </w:pPr>
            <w:r>
              <w:rPr>
                <w:rFonts w:hint="eastAsia" w:ascii="宋体" w:hAnsi="宋体" w:eastAsia="宋体" w:cs="宋体"/>
                <w:color w:val="auto"/>
                <w:sz w:val="24"/>
              </w:rPr>
              <w:t>总价（小写）</w:t>
            </w:r>
          </w:p>
        </w:tc>
      </w:tr>
      <w:tr w14:paraId="7550A6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48" w:hRule="atLeast"/>
          <w:jc w:val="center"/>
        </w:trPr>
        <w:tc>
          <w:tcPr>
            <w:tcW w:w="4527"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224BCD76">
            <w:pPr>
              <w:keepNext w:val="0"/>
              <w:keepLines w:val="0"/>
              <w:widowControl/>
              <w:suppressLineNumbers w:val="0"/>
              <w:pBdr>
                <w:top w:val="none" w:color="000000" w:sz="0" w:space="0"/>
                <w:left w:val="none" w:color="000000" w:sz="0" w:space="0"/>
                <w:bottom w:val="none" w:color="000000" w:sz="0" w:space="0"/>
                <w:right w:val="none" w:color="000000" w:sz="0" w:space="0"/>
              </w:pBdr>
              <w:spacing w:before="100" w:beforeAutospacing="0" w:after="100" w:afterAutospacing="0"/>
              <w:ind w:left="0" w:right="0"/>
              <w:jc w:val="center"/>
              <w:rPr>
                <w:rFonts w:hint="eastAsia" w:ascii="宋体" w:hAnsi="宋体" w:eastAsia="宋体" w:cs="宋体"/>
                <w:color w:val="auto"/>
              </w:rPr>
            </w:pPr>
            <w:r>
              <w:rPr>
                <w:rFonts w:hint="eastAsia" w:ascii="宋体" w:hAnsi="宋体" w:eastAsia="宋体" w:cs="宋体"/>
                <w:color w:val="auto"/>
                <w:sz w:val="24"/>
              </w:rPr>
              <w:t>投标产品名称</w:t>
            </w:r>
          </w:p>
        </w:tc>
        <w:tc>
          <w:tcPr>
            <w:tcW w:w="4173"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9D1CBC3">
            <w:pPr>
              <w:keepNext w:val="0"/>
              <w:keepLines w:val="0"/>
              <w:widowControl/>
              <w:suppressLineNumbers w:val="0"/>
              <w:pBdr>
                <w:top w:val="none" w:color="000000" w:sz="0" w:space="0"/>
                <w:left w:val="none" w:color="000000" w:sz="0" w:space="0"/>
                <w:bottom w:val="none" w:color="000000" w:sz="0" w:space="0"/>
                <w:right w:val="none" w:color="000000" w:sz="0" w:space="0"/>
              </w:pBdr>
              <w:spacing w:before="100" w:beforeAutospacing="0" w:after="100" w:afterAutospacing="0"/>
              <w:ind w:left="0" w:right="0"/>
              <w:jc w:val="center"/>
              <w:rPr>
                <w:rFonts w:hint="eastAsia" w:ascii="宋体" w:hAnsi="宋体" w:eastAsia="宋体" w:cs="宋体"/>
                <w:color w:val="auto"/>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元</w:t>
            </w:r>
          </w:p>
        </w:tc>
      </w:tr>
      <w:tr w14:paraId="6B765E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04" w:hRule="atLeast"/>
          <w:jc w:val="center"/>
        </w:trPr>
        <w:tc>
          <w:tcPr>
            <w:tcW w:w="4527"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1D28BAD6">
            <w:pPr>
              <w:keepNext w:val="0"/>
              <w:keepLines w:val="0"/>
              <w:widowControl/>
              <w:suppressLineNumbers w:val="0"/>
              <w:pBdr>
                <w:top w:val="none" w:color="000000" w:sz="0" w:space="0"/>
                <w:left w:val="none" w:color="000000" w:sz="0" w:space="0"/>
                <w:bottom w:val="none" w:color="000000" w:sz="0" w:space="0"/>
                <w:right w:val="none" w:color="000000" w:sz="0" w:space="0"/>
              </w:pBdr>
              <w:spacing w:before="100" w:beforeAutospacing="0" w:after="100" w:afterAutospacing="0"/>
              <w:ind w:left="0" w:right="0"/>
              <w:jc w:val="center"/>
              <w:rPr>
                <w:rFonts w:hint="eastAsia" w:ascii="宋体" w:hAnsi="宋体" w:eastAsia="宋体" w:cs="宋体"/>
                <w:color w:val="auto"/>
              </w:rPr>
            </w:pPr>
            <w:r>
              <w:rPr>
                <w:rFonts w:hint="eastAsia" w:ascii="宋体" w:hAnsi="宋体" w:eastAsia="宋体" w:cs="宋体"/>
                <w:color w:val="auto"/>
                <w:sz w:val="24"/>
              </w:rPr>
              <w:t>核心产品品牌：</w:t>
            </w:r>
          </w:p>
        </w:tc>
        <w:tc>
          <w:tcPr>
            <w:tcW w:w="4173"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448E0F4D">
            <w:pPr>
              <w:keepNext w:val="0"/>
              <w:keepLines w:val="0"/>
              <w:widowControl/>
              <w:suppressLineNumbers w:val="0"/>
              <w:pBdr>
                <w:top w:val="none" w:color="000000" w:sz="0" w:space="0"/>
                <w:left w:val="none" w:color="000000" w:sz="0" w:space="0"/>
                <w:bottom w:val="none" w:color="000000" w:sz="0" w:space="0"/>
                <w:right w:val="none" w:color="000000" w:sz="0" w:space="0"/>
              </w:pBdr>
              <w:spacing w:before="100" w:beforeAutospacing="0" w:after="100" w:afterAutospacing="0"/>
              <w:ind w:left="0" w:right="0"/>
              <w:rPr>
                <w:rFonts w:hint="eastAsia" w:ascii="宋体" w:hAnsi="宋体" w:eastAsia="宋体" w:cs="宋体"/>
                <w:color w:val="auto"/>
              </w:rPr>
            </w:pPr>
          </w:p>
        </w:tc>
      </w:tr>
    </w:tbl>
    <w:p w14:paraId="7DB9A04B">
      <w:pPr>
        <w:widowControl/>
        <w:pBdr>
          <w:top w:val="none" w:color="000000" w:sz="0" w:space="0"/>
          <w:left w:val="none" w:color="000000" w:sz="0" w:space="0"/>
          <w:bottom w:val="none" w:color="000000" w:sz="0" w:space="0"/>
          <w:right w:val="none" w:color="000000" w:sz="0" w:space="0"/>
        </w:pBdr>
        <w:spacing w:before="100" w:after="100"/>
        <w:rPr>
          <w:color w:val="auto"/>
        </w:rPr>
      </w:pPr>
    </w:p>
    <w:p w14:paraId="56DED4C8">
      <w:pPr>
        <w:widowControl/>
        <w:pBdr>
          <w:top w:val="none" w:color="000000" w:sz="0" w:space="0"/>
          <w:left w:val="none" w:color="000000" w:sz="0" w:space="0"/>
          <w:bottom w:val="none" w:color="000000" w:sz="0" w:space="0"/>
          <w:right w:val="none" w:color="000000" w:sz="0" w:space="0"/>
        </w:pBdr>
        <w:spacing w:before="100" w:after="100"/>
        <w:jc w:val="right"/>
        <w:rPr>
          <w:rFonts w:ascii="宋体" w:hAnsi="宋体" w:eastAsia="宋体" w:cs="宋体"/>
          <w:color w:val="auto"/>
          <w:sz w:val="24"/>
          <w:szCs w:val="21"/>
        </w:rPr>
      </w:pPr>
      <w:r>
        <w:rPr>
          <w:rFonts w:ascii="宋体" w:hAnsi="宋体" w:eastAsia="宋体" w:cs="宋体"/>
          <w:color w:val="auto"/>
          <w:sz w:val="24"/>
        </w:rPr>
        <w:t>日期：</w:t>
      </w:r>
      <w:r>
        <w:rPr>
          <w:rFonts w:ascii="Calibri" w:hAnsi="Calibri" w:eastAsia="Calibri" w:cs="Calibri"/>
          <w:color w:val="auto"/>
          <w:sz w:val="24"/>
        </w:rPr>
        <w:t xml:space="preserve">   </w:t>
      </w:r>
      <w:r>
        <w:rPr>
          <w:rFonts w:hint="eastAsia" w:ascii="Calibri" w:hAnsi="Calibri" w:eastAsia="宋体" w:cs="Calibri"/>
          <w:color w:val="auto"/>
          <w:sz w:val="24"/>
        </w:rPr>
        <w:t xml:space="preserve">  </w:t>
      </w:r>
      <w:r>
        <w:rPr>
          <w:rFonts w:ascii="宋体" w:hAnsi="宋体" w:eastAsia="宋体" w:cs="宋体"/>
          <w:color w:val="auto"/>
          <w:sz w:val="24"/>
        </w:rPr>
        <w:t>年   月   日</w:t>
      </w:r>
    </w:p>
    <w:p w14:paraId="633F8307">
      <w:pPr>
        <w:widowControl/>
        <w:rPr>
          <w:rFonts w:ascii="黑体" w:hAnsi="黑体" w:eastAsia="黑体" w:cs="黑体"/>
          <w:i/>
          <w:color w:val="auto"/>
          <w:sz w:val="32"/>
          <w:szCs w:val="32"/>
          <w:u w:val="single"/>
        </w:rPr>
      </w:pPr>
      <w:r>
        <w:rPr>
          <w:rFonts w:hint="eastAsia" w:ascii="黑体" w:hAnsi="黑体" w:eastAsia="黑体" w:cs="黑体"/>
          <w:i/>
          <w:color w:val="auto"/>
          <w:sz w:val="32"/>
          <w:szCs w:val="32"/>
          <w:u w:val="single"/>
        </w:rPr>
        <w:br w:type="page" w:clear="all"/>
      </w:r>
    </w:p>
    <w:p w14:paraId="617A0E02">
      <w:pPr>
        <w:widowControl/>
        <w:spacing w:before="120" w:line="4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十六、技术方案、服务承诺、培训承诺等</w:t>
      </w:r>
    </w:p>
    <w:p w14:paraId="26DD419B">
      <w:pPr>
        <w:widowControl/>
        <w:spacing w:before="120" w:line="400" w:lineRule="exact"/>
        <w:jc w:val="center"/>
        <w:rPr>
          <w:rFonts w:ascii="黑体" w:hAnsi="黑体" w:eastAsia="黑体" w:cs="黑体"/>
          <w:i/>
          <w:color w:val="auto"/>
          <w:sz w:val="32"/>
          <w:szCs w:val="32"/>
          <w:u w:val="single"/>
        </w:rPr>
      </w:pPr>
    </w:p>
    <w:p w14:paraId="2DB72999">
      <w:pPr>
        <w:widowControl/>
        <w:spacing w:line="499" w:lineRule="atLeast"/>
        <w:jc w:val="center"/>
        <w:rPr>
          <w:rFonts w:cs="Times New Roman" w:asciiTheme="minorEastAsia" w:hAnsiTheme="minorEastAsia"/>
          <w:color w:val="auto"/>
          <w:sz w:val="32"/>
          <w:szCs w:val="32"/>
        </w:rPr>
      </w:pPr>
    </w:p>
    <w:p w14:paraId="45F5EACB">
      <w:pPr>
        <w:widowControl/>
        <w:spacing w:line="499" w:lineRule="atLeast"/>
        <w:jc w:val="center"/>
        <w:rPr>
          <w:rFonts w:cs="Times New Roman" w:asciiTheme="minorEastAsia" w:hAnsiTheme="minorEastAsia"/>
          <w:color w:val="auto"/>
          <w:sz w:val="32"/>
          <w:szCs w:val="32"/>
        </w:rPr>
      </w:pPr>
    </w:p>
    <w:p w14:paraId="51BF128B">
      <w:pPr>
        <w:widowControl/>
        <w:spacing w:line="499" w:lineRule="atLeast"/>
        <w:jc w:val="center"/>
        <w:rPr>
          <w:rFonts w:cs="Times New Roman" w:asciiTheme="minorEastAsia" w:hAnsiTheme="minorEastAsia"/>
          <w:color w:val="auto"/>
          <w:sz w:val="32"/>
          <w:szCs w:val="32"/>
        </w:rPr>
      </w:pPr>
    </w:p>
    <w:p w14:paraId="3BC9004C">
      <w:pPr>
        <w:widowControl/>
        <w:rPr>
          <w:rFonts w:cs="Times New Roman" w:asciiTheme="minorEastAsia" w:hAnsiTheme="minorEastAsia"/>
          <w:color w:val="auto"/>
          <w:sz w:val="32"/>
          <w:szCs w:val="32"/>
        </w:rPr>
      </w:pPr>
      <w:r>
        <w:rPr>
          <w:rFonts w:cs="Times New Roman" w:asciiTheme="minorEastAsia" w:hAnsiTheme="minorEastAsia"/>
          <w:color w:val="auto"/>
          <w:sz w:val="32"/>
          <w:szCs w:val="32"/>
        </w:rPr>
        <w:br w:type="page" w:clear="all"/>
      </w:r>
    </w:p>
    <w:p w14:paraId="1DB8F898">
      <w:pPr>
        <w:widowControl/>
        <w:spacing w:before="120" w:line="4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十七、盐城市政府采购事前信用承诺书</w:t>
      </w:r>
    </w:p>
    <w:p w14:paraId="3B7FECD7">
      <w:pPr>
        <w:widowControl/>
        <w:spacing w:line="520" w:lineRule="exact"/>
        <w:ind w:firstLine="440"/>
        <w:rPr>
          <w:color w:val="auto"/>
          <w:sz w:val="24"/>
        </w:rPr>
      </w:pPr>
      <w:r>
        <w:rPr>
          <w:rFonts w:hint="eastAsia"/>
          <w:color w:val="auto"/>
          <w:sz w:val="24"/>
        </w:rPr>
        <w:t>为营造我市公开、公平、公正、诚实守信的政府采购交易环境，树立诚信守法的投标人形象，本人代表本单位作出以下承诺：</w:t>
      </w:r>
    </w:p>
    <w:p w14:paraId="5553A0C7">
      <w:pPr>
        <w:widowControl/>
        <w:spacing w:line="520" w:lineRule="exact"/>
        <w:ind w:firstLine="440"/>
        <w:rPr>
          <w:color w:val="auto"/>
          <w:sz w:val="24"/>
        </w:rPr>
      </w:pPr>
      <w:r>
        <w:rPr>
          <w:rFonts w:hint="eastAsia"/>
          <w:color w:val="auto"/>
          <w:sz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0A28088A">
      <w:pPr>
        <w:widowControl/>
        <w:spacing w:line="520" w:lineRule="exact"/>
        <w:ind w:firstLine="440"/>
        <w:rPr>
          <w:color w:val="auto"/>
          <w:sz w:val="24"/>
        </w:rPr>
      </w:pPr>
      <w:r>
        <w:rPr>
          <w:rFonts w:hint="eastAsia"/>
          <w:color w:val="auto"/>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8BC38F2">
      <w:pPr>
        <w:widowControl/>
        <w:spacing w:line="520" w:lineRule="exact"/>
        <w:ind w:firstLine="440"/>
        <w:rPr>
          <w:color w:val="auto"/>
          <w:sz w:val="24"/>
        </w:rPr>
      </w:pPr>
      <w:r>
        <w:rPr>
          <w:rFonts w:hint="eastAsia"/>
          <w:color w:val="auto"/>
          <w:sz w:val="24"/>
        </w:rPr>
        <w:t xml:space="preserve">（三）严格依照国家和省、市关于政府采购的法律、法规、规章、规范性文件，参加政府采购投标活动；积极履行社会责任，促进廉政建设； </w:t>
      </w:r>
    </w:p>
    <w:p w14:paraId="3E9DFA41">
      <w:pPr>
        <w:widowControl/>
        <w:spacing w:line="520" w:lineRule="exact"/>
        <w:ind w:firstLine="440"/>
        <w:rPr>
          <w:color w:val="auto"/>
          <w:sz w:val="24"/>
        </w:rPr>
      </w:pPr>
      <w:r>
        <w:rPr>
          <w:rFonts w:hint="eastAsia"/>
          <w:color w:val="auto"/>
          <w:sz w:val="24"/>
        </w:rPr>
        <w:t>（四）严格遵守即时信息公示规定，及时维护和更新盐城市政府采购网中与本单位相关的信息；</w:t>
      </w:r>
    </w:p>
    <w:p w14:paraId="14BCE8C7">
      <w:pPr>
        <w:widowControl/>
        <w:spacing w:line="520" w:lineRule="exact"/>
        <w:ind w:firstLine="440"/>
        <w:rPr>
          <w:color w:val="auto"/>
          <w:sz w:val="24"/>
        </w:rPr>
      </w:pPr>
      <w:r>
        <w:rPr>
          <w:rFonts w:hint="eastAsia"/>
          <w:color w:val="auto"/>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64C6B3B4">
      <w:pPr>
        <w:widowControl/>
        <w:spacing w:line="520" w:lineRule="exact"/>
        <w:ind w:firstLine="440"/>
        <w:outlineLvl w:val="2"/>
        <w:rPr>
          <w:color w:val="auto"/>
          <w:sz w:val="24"/>
        </w:rPr>
      </w:pPr>
      <w:r>
        <w:rPr>
          <w:rFonts w:hint="eastAsia"/>
          <w:color w:val="auto"/>
          <w:sz w:val="24"/>
        </w:rPr>
        <w:t>（六）自觉接受政府、行业组织、社会公众、新闻舆论的监督；</w:t>
      </w:r>
    </w:p>
    <w:p w14:paraId="0AE7FBFF">
      <w:pPr>
        <w:widowControl/>
        <w:spacing w:line="520" w:lineRule="exact"/>
        <w:ind w:firstLine="440"/>
        <w:rPr>
          <w:color w:val="auto"/>
          <w:sz w:val="24"/>
        </w:rPr>
      </w:pPr>
      <w:r>
        <w:rPr>
          <w:rFonts w:hint="eastAsia"/>
          <w:color w:val="auto"/>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2A52A22">
      <w:pPr>
        <w:widowControl/>
        <w:spacing w:line="520" w:lineRule="exact"/>
        <w:ind w:firstLine="440"/>
        <w:outlineLvl w:val="2"/>
        <w:rPr>
          <w:color w:val="auto"/>
          <w:sz w:val="24"/>
        </w:rPr>
      </w:pPr>
      <w:r>
        <w:rPr>
          <w:rFonts w:hint="eastAsia"/>
          <w:color w:val="auto"/>
          <w:sz w:val="24"/>
        </w:rPr>
        <w:t>（八）本人已认真阅读了上述承诺，并向本单位员工做了宣传教育。</w:t>
      </w:r>
    </w:p>
    <w:p w14:paraId="041D0D80">
      <w:pPr>
        <w:widowControl/>
        <w:spacing w:line="520" w:lineRule="exact"/>
        <w:rPr>
          <w:color w:val="auto"/>
          <w:sz w:val="24"/>
        </w:rPr>
      </w:pPr>
    </w:p>
    <w:p w14:paraId="0033D724">
      <w:pPr>
        <w:widowControl/>
        <w:spacing w:line="520" w:lineRule="exact"/>
        <w:ind w:firstLine="440"/>
        <w:jc w:val="right"/>
        <w:rPr>
          <w:color w:val="auto"/>
          <w:sz w:val="24"/>
        </w:rPr>
      </w:pPr>
      <w:r>
        <w:rPr>
          <w:rFonts w:hint="eastAsia"/>
          <w:color w:val="auto"/>
          <w:sz w:val="24"/>
        </w:rPr>
        <w:t>法定代表人（签名）：</w:t>
      </w:r>
    </w:p>
    <w:p w14:paraId="4F06A22F">
      <w:pPr>
        <w:widowControl/>
        <w:spacing w:line="520" w:lineRule="exact"/>
        <w:ind w:firstLine="440"/>
        <w:jc w:val="right"/>
        <w:rPr>
          <w:color w:val="auto"/>
          <w:sz w:val="24"/>
        </w:rPr>
      </w:pPr>
      <w:r>
        <w:rPr>
          <w:rFonts w:hint="eastAsia"/>
          <w:color w:val="auto"/>
          <w:sz w:val="24"/>
        </w:rPr>
        <w:t>单位名称（盖章）：</w:t>
      </w:r>
    </w:p>
    <w:p w14:paraId="72756F8A">
      <w:pPr>
        <w:widowControl/>
        <w:spacing w:line="520" w:lineRule="exact"/>
        <w:jc w:val="center"/>
        <w:rPr>
          <w:color w:val="auto"/>
          <w:sz w:val="24"/>
        </w:rPr>
      </w:pPr>
      <w:r>
        <w:rPr>
          <w:rFonts w:hint="eastAsia"/>
          <w:color w:val="auto"/>
          <w:sz w:val="24"/>
        </w:rPr>
        <w:t xml:space="preserve">                                                          年  月  日</w:t>
      </w:r>
    </w:p>
    <w:p w14:paraId="074918EF">
      <w:pPr>
        <w:widowControl/>
        <w:spacing w:line="520" w:lineRule="exact"/>
        <w:rPr>
          <w:rFonts w:cs="Times New Roman" w:asciiTheme="minorEastAsia" w:hAnsiTheme="minorEastAsia"/>
          <w:color w:val="auto"/>
          <w:sz w:val="32"/>
          <w:szCs w:val="32"/>
        </w:rPr>
      </w:pPr>
      <w:r>
        <w:rPr>
          <w:rFonts w:asciiTheme="minorEastAsia" w:hAnsiTheme="minorEastAsia"/>
          <w:color w:val="auto"/>
        </w:rPr>
        <w:br w:type="page" w:clear="all"/>
      </w:r>
    </w:p>
    <w:p w14:paraId="658405C3">
      <w:pPr>
        <w:widowControl/>
        <w:spacing w:before="120" w:line="4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质疑函范本</w:t>
      </w:r>
    </w:p>
    <w:p w14:paraId="65855797">
      <w:pPr>
        <w:pStyle w:val="34"/>
        <w:widowControl/>
        <w:ind w:firstLine="482"/>
        <w:jc w:val="both"/>
        <w:outlineLvl w:val="1"/>
        <w:rPr>
          <w:rFonts w:asciiTheme="minorEastAsia" w:hAnsiTheme="minorEastAsia" w:cstheme="minorEastAsia"/>
          <w:b/>
          <w:color w:val="auto"/>
        </w:rPr>
      </w:pPr>
      <w:r>
        <w:rPr>
          <w:rFonts w:hint="eastAsia" w:asciiTheme="minorEastAsia" w:hAnsiTheme="minorEastAsia" w:cstheme="minorEastAsia"/>
          <w:b/>
          <w:color w:val="auto"/>
        </w:rPr>
        <w:t>一、质疑供应商基本信息</w:t>
      </w:r>
    </w:p>
    <w:p w14:paraId="49FB1883">
      <w:pPr>
        <w:pStyle w:val="34"/>
        <w:widowControl/>
        <w:ind w:firstLine="482"/>
        <w:jc w:val="both"/>
        <w:rPr>
          <w:rFonts w:asciiTheme="minorEastAsia" w:hAnsiTheme="minorEastAsia" w:cstheme="minorEastAsia"/>
          <w:b/>
          <w:bCs/>
          <w:color w:val="auto"/>
        </w:rPr>
      </w:pPr>
      <w:r>
        <w:rPr>
          <w:rFonts w:hint="eastAsia" w:asciiTheme="minorEastAsia" w:hAnsiTheme="minorEastAsia" w:cstheme="minorEastAsia"/>
          <w:bCs/>
          <w:color w:val="auto"/>
        </w:rPr>
        <w:t>质疑供应商：</w:t>
      </w:r>
      <w:r>
        <w:rPr>
          <w:rFonts w:hint="eastAsia" w:asciiTheme="minorEastAsia" w:hAnsiTheme="minorEastAsia" w:cstheme="minorEastAsia"/>
          <w:bCs/>
          <w:color w:val="auto"/>
          <w:u w:val="single"/>
        </w:rPr>
        <w:t xml:space="preserve">                                </w:t>
      </w:r>
    </w:p>
    <w:p w14:paraId="06390524">
      <w:pPr>
        <w:pStyle w:val="34"/>
        <w:widowControl/>
        <w:ind w:firstLine="482"/>
        <w:jc w:val="both"/>
        <w:rPr>
          <w:rFonts w:hint="eastAsia" w:asciiTheme="minorEastAsia" w:hAnsiTheme="minorEastAsia" w:eastAsiaTheme="minorEastAsia" w:cstheme="minorEastAsia"/>
          <w:b/>
          <w:bCs/>
          <w:color w:val="auto"/>
          <w:u w:val="single"/>
          <w:lang w:eastAsia="zh-CN"/>
        </w:rPr>
      </w:pPr>
      <w:r>
        <w:rPr>
          <w:rFonts w:hint="eastAsia" w:asciiTheme="minorEastAsia" w:hAnsiTheme="minorEastAsia" w:cstheme="minorEastAsia"/>
          <w:bCs/>
          <w:color w:val="auto"/>
        </w:rPr>
        <w:t>地址：</w:t>
      </w:r>
      <w:r>
        <w:rPr>
          <w:rFonts w:hint="eastAsia" w:asciiTheme="minorEastAsia" w:hAnsiTheme="minorEastAsia" w:cstheme="minorEastAsia"/>
          <w:bCs/>
          <w:color w:val="auto"/>
          <w:u w:val="single"/>
        </w:rPr>
        <w:t xml:space="preserve">                               </w:t>
      </w:r>
    </w:p>
    <w:p w14:paraId="40029292">
      <w:pPr>
        <w:pStyle w:val="34"/>
        <w:widowControl/>
        <w:ind w:firstLine="482"/>
        <w:jc w:val="both"/>
        <w:rPr>
          <w:rFonts w:asciiTheme="minorEastAsia" w:hAnsiTheme="minorEastAsia" w:cstheme="minorEastAsia"/>
          <w:color w:val="auto"/>
        </w:rPr>
      </w:pPr>
      <w:r>
        <w:rPr>
          <w:rFonts w:hint="eastAsia" w:asciiTheme="minorEastAsia" w:hAnsiTheme="minorEastAsia" w:cstheme="minorEastAsia"/>
          <w:bCs/>
          <w:color w:val="auto"/>
        </w:rPr>
        <w:t>邮编：</w:t>
      </w:r>
      <w:r>
        <w:rPr>
          <w:rFonts w:hint="eastAsia" w:asciiTheme="minorEastAsia" w:hAnsiTheme="minorEastAsia" w:cstheme="minorEastAsia"/>
          <w:color w:val="auto"/>
          <w:u w:val="single"/>
        </w:rPr>
        <w:t xml:space="preserve">                                                              </w:t>
      </w:r>
    </w:p>
    <w:p w14:paraId="76CEEA86">
      <w:pPr>
        <w:pStyle w:val="34"/>
        <w:widowControl/>
        <w:ind w:firstLine="482"/>
        <w:jc w:val="both"/>
        <w:rPr>
          <w:rFonts w:hint="eastAsia" w:asciiTheme="minorEastAsia" w:hAnsiTheme="minorEastAsia" w:eastAsiaTheme="minorEastAsia" w:cstheme="minorEastAsia"/>
          <w:b/>
          <w:bCs/>
          <w:color w:val="auto"/>
          <w:u w:val="single"/>
          <w:lang w:eastAsia="zh-CN"/>
        </w:rPr>
      </w:pPr>
      <w:r>
        <w:rPr>
          <w:rFonts w:hint="eastAsia" w:asciiTheme="minorEastAsia" w:hAnsiTheme="minorEastAsia" w:cstheme="minorEastAsia"/>
          <w:bCs/>
          <w:color w:val="auto"/>
        </w:rPr>
        <w:t>联系人：</w:t>
      </w:r>
      <w:r>
        <w:rPr>
          <w:rFonts w:hint="eastAsia" w:asciiTheme="minorEastAsia" w:hAnsiTheme="minorEastAsia" w:cstheme="minorEastAsia"/>
          <w:bCs/>
          <w:color w:val="auto"/>
          <w:u w:val="single"/>
        </w:rPr>
        <w:t xml:space="preserve">                               </w:t>
      </w:r>
    </w:p>
    <w:p w14:paraId="6E93258B">
      <w:pPr>
        <w:pStyle w:val="34"/>
        <w:widowControl/>
        <w:ind w:firstLine="482"/>
        <w:jc w:val="both"/>
        <w:rPr>
          <w:rFonts w:hint="eastAsia" w:asciiTheme="minorEastAsia" w:hAnsiTheme="minorEastAsia" w:eastAsiaTheme="minorEastAsia" w:cstheme="minorEastAsia"/>
          <w:b/>
          <w:bCs/>
          <w:color w:val="auto"/>
          <w:lang w:eastAsia="zh-CN"/>
        </w:rPr>
      </w:pPr>
      <w:r>
        <w:rPr>
          <w:rFonts w:hint="eastAsia" w:asciiTheme="minorEastAsia" w:hAnsiTheme="minorEastAsia" w:cstheme="minorEastAsia"/>
          <w:bCs/>
          <w:color w:val="auto"/>
        </w:rPr>
        <w:t>联系电话：</w:t>
      </w:r>
      <w:r>
        <w:rPr>
          <w:rFonts w:hint="eastAsia" w:asciiTheme="minorEastAsia" w:hAnsiTheme="minorEastAsia" w:cstheme="minorEastAsia"/>
          <w:bCs/>
          <w:color w:val="auto"/>
          <w:u w:val="single"/>
        </w:rPr>
        <w:t xml:space="preserve">                               </w:t>
      </w:r>
    </w:p>
    <w:p w14:paraId="5B80CE41">
      <w:pPr>
        <w:pStyle w:val="34"/>
        <w:widowControl/>
        <w:ind w:firstLine="482"/>
        <w:jc w:val="both"/>
        <w:rPr>
          <w:rFonts w:hint="eastAsia" w:asciiTheme="minorEastAsia" w:hAnsiTheme="minorEastAsia" w:eastAsiaTheme="minorEastAsia" w:cstheme="minorEastAsia"/>
          <w:b/>
          <w:bCs/>
          <w:color w:val="auto"/>
          <w:lang w:eastAsia="zh-CN"/>
        </w:rPr>
      </w:pPr>
      <w:r>
        <w:rPr>
          <w:rFonts w:hint="eastAsia" w:asciiTheme="minorEastAsia" w:hAnsiTheme="minorEastAsia" w:cstheme="minorEastAsia"/>
          <w:bCs/>
          <w:color w:val="auto"/>
        </w:rPr>
        <w:t>授权代表：</w:t>
      </w:r>
      <w:r>
        <w:rPr>
          <w:rFonts w:hint="eastAsia" w:asciiTheme="minorEastAsia" w:hAnsiTheme="minorEastAsia" w:cstheme="minorEastAsia"/>
          <w:bCs/>
          <w:color w:val="auto"/>
          <w:u w:val="single"/>
        </w:rPr>
        <w:t xml:space="preserve">                              </w:t>
      </w:r>
    </w:p>
    <w:p w14:paraId="01D55352">
      <w:pPr>
        <w:pStyle w:val="34"/>
        <w:widowControl/>
        <w:ind w:firstLine="482"/>
        <w:jc w:val="both"/>
        <w:rPr>
          <w:rFonts w:asciiTheme="minorEastAsia" w:hAnsiTheme="minorEastAsia" w:cstheme="minorEastAsia"/>
          <w:b/>
          <w:bCs/>
          <w:color w:val="auto"/>
        </w:rPr>
      </w:pPr>
      <w:r>
        <w:rPr>
          <w:rFonts w:hint="eastAsia" w:asciiTheme="minorEastAsia" w:hAnsiTheme="minorEastAsia" w:cstheme="minorEastAsia"/>
          <w:bCs/>
          <w:color w:val="auto"/>
        </w:rPr>
        <w:t>联系电话：</w:t>
      </w:r>
      <w:r>
        <w:rPr>
          <w:rFonts w:hint="eastAsia" w:asciiTheme="minorEastAsia" w:hAnsiTheme="minorEastAsia" w:cstheme="minorEastAsia"/>
          <w:bCs/>
          <w:color w:val="auto"/>
          <w:u w:val="single"/>
        </w:rPr>
        <w:t xml:space="preserve">                                                        </w:t>
      </w:r>
    </w:p>
    <w:p w14:paraId="1633A326">
      <w:pPr>
        <w:pStyle w:val="34"/>
        <w:widowControl/>
        <w:ind w:firstLine="482"/>
        <w:jc w:val="both"/>
        <w:rPr>
          <w:rFonts w:asciiTheme="minorEastAsia" w:hAnsiTheme="minorEastAsia" w:cstheme="minorEastAsia"/>
          <w:b/>
          <w:bCs/>
          <w:color w:val="auto"/>
          <w:u w:val="single"/>
        </w:rPr>
      </w:pPr>
      <w:r>
        <w:rPr>
          <w:rFonts w:hint="eastAsia" w:asciiTheme="minorEastAsia" w:hAnsiTheme="minorEastAsia" w:cstheme="minorEastAsia"/>
          <w:bCs/>
          <w:color w:val="auto"/>
        </w:rPr>
        <w:t>地址：</w:t>
      </w:r>
      <w:r>
        <w:rPr>
          <w:rFonts w:hint="eastAsia" w:asciiTheme="minorEastAsia" w:hAnsiTheme="minorEastAsia" w:cstheme="minorEastAsia"/>
          <w:bCs/>
          <w:color w:val="auto"/>
          <w:u w:val="single"/>
        </w:rPr>
        <w:t xml:space="preserve">                                                            </w:t>
      </w:r>
    </w:p>
    <w:p w14:paraId="6C837ADB">
      <w:pPr>
        <w:pStyle w:val="34"/>
        <w:widowControl/>
        <w:ind w:firstLine="482"/>
        <w:jc w:val="both"/>
        <w:rPr>
          <w:rFonts w:asciiTheme="minorEastAsia" w:hAnsiTheme="minorEastAsia" w:cstheme="minorEastAsia"/>
          <w:b/>
          <w:bCs/>
          <w:color w:val="auto"/>
        </w:rPr>
      </w:pPr>
      <w:r>
        <w:rPr>
          <w:rFonts w:hint="eastAsia" w:asciiTheme="minorEastAsia" w:hAnsiTheme="minorEastAsia" w:cstheme="minorEastAsia"/>
          <w:bCs/>
          <w:color w:val="auto"/>
        </w:rPr>
        <w:t>邮编：</w:t>
      </w:r>
      <w:r>
        <w:rPr>
          <w:rFonts w:hint="eastAsia" w:asciiTheme="minorEastAsia" w:hAnsiTheme="minorEastAsia" w:cstheme="minorEastAsia"/>
          <w:bCs/>
          <w:color w:val="auto"/>
          <w:u w:val="single"/>
        </w:rPr>
        <w:t xml:space="preserve">                                                            </w:t>
      </w:r>
    </w:p>
    <w:p w14:paraId="6465CE66">
      <w:pPr>
        <w:pStyle w:val="34"/>
        <w:widowControl/>
        <w:ind w:firstLine="482"/>
        <w:jc w:val="both"/>
        <w:outlineLvl w:val="1"/>
        <w:rPr>
          <w:rFonts w:asciiTheme="minorEastAsia" w:hAnsiTheme="minorEastAsia" w:cstheme="minorEastAsia"/>
          <w:b/>
          <w:color w:val="auto"/>
        </w:rPr>
      </w:pPr>
      <w:r>
        <w:rPr>
          <w:rFonts w:hint="eastAsia" w:asciiTheme="minorEastAsia" w:hAnsiTheme="minorEastAsia" w:cstheme="minorEastAsia"/>
          <w:b/>
          <w:color w:val="auto"/>
        </w:rPr>
        <w:t>二、质疑项目基本情况</w:t>
      </w:r>
    </w:p>
    <w:p w14:paraId="2E7501C4">
      <w:pPr>
        <w:pStyle w:val="34"/>
        <w:widowControl/>
        <w:ind w:firstLine="482"/>
        <w:jc w:val="both"/>
        <w:rPr>
          <w:rFonts w:asciiTheme="minorEastAsia" w:hAnsiTheme="minorEastAsia" w:cstheme="minorEastAsia"/>
          <w:b/>
          <w:bCs/>
          <w:color w:val="auto"/>
        </w:rPr>
      </w:pPr>
      <w:r>
        <w:rPr>
          <w:rFonts w:hint="eastAsia" w:asciiTheme="minorEastAsia" w:hAnsiTheme="minorEastAsia" w:cstheme="minorEastAsia"/>
          <w:bCs/>
          <w:color w:val="auto"/>
        </w:rPr>
        <w:t>质疑项目的名称：</w:t>
      </w:r>
      <w:r>
        <w:rPr>
          <w:rFonts w:hint="eastAsia" w:asciiTheme="minorEastAsia" w:hAnsiTheme="minorEastAsia" w:cstheme="minorEastAsia"/>
          <w:bCs/>
          <w:color w:val="auto"/>
          <w:u w:val="single"/>
        </w:rPr>
        <w:t xml:space="preserve">                                                   </w:t>
      </w:r>
    </w:p>
    <w:p w14:paraId="73F44D33">
      <w:pPr>
        <w:pStyle w:val="34"/>
        <w:widowControl/>
        <w:ind w:firstLine="482"/>
        <w:jc w:val="both"/>
        <w:rPr>
          <w:rFonts w:hint="eastAsia" w:asciiTheme="minorEastAsia" w:hAnsiTheme="minorEastAsia" w:eastAsiaTheme="minorEastAsia" w:cstheme="minorEastAsia"/>
          <w:b/>
          <w:bCs/>
          <w:color w:val="auto"/>
          <w:u w:val="single"/>
          <w:lang w:eastAsia="zh-CN"/>
        </w:rPr>
      </w:pPr>
      <w:r>
        <w:rPr>
          <w:rFonts w:hint="eastAsia" w:asciiTheme="minorEastAsia" w:hAnsiTheme="minorEastAsia" w:cstheme="minorEastAsia"/>
          <w:bCs/>
          <w:color w:val="auto"/>
        </w:rPr>
        <w:t>质疑项目的编号：</w:t>
      </w:r>
      <w:r>
        <w:rPr>
          <w:rFonts w:hint="eastAsia" w:asciiTheme="minorEastAsia" w:hAnsiTheme="minorEastAsia" w:cstheme="minorEastAsia"/>
          <w:bCs/>
          <w:color w:val="auto"/>
          <w:u w:val="single"/>
        </w:rPr>
        <w:t xml:space="preserve">                                 </w:t>
      </w:r>
    </w:p>
    <w:p w14:paraId="1A2FF066">
      <w:pPr>
        <w:pStyle w:val="34"/>
        <w:widowControl/>
        <w:ind w:firstLine="482"/>
        <w:jc w:val="both"/>
        <w:rPr>
          <w:rFonts w:hint="eastAsia" w:asciiTheme="minorEastAsia" w:hAnsiTheme="minorEastAsia" w:eastAsiaTheme="minorEastAsia" w:cstheme="minorEastAsia"/>
          <w:b/>
          <w:bCs/>
          <w:color w:val="auto"/>
          <w:lang w:eastAsia="zh-CN"/>
        </w:rPr>
      </w:pPr>
      <w:r>
        <w:rPr>
          <w:rFonts w:hint="eastAsia" w:asciiTheme="minorEastAsia" w:hAnsiTheme="minorEastAsia" w:cstheme="minorEastAsia"/>
          <w:bCs/>
          <w:color w:val="auto"/>
        </w:rPr>
        <w:t>包号：</w:t>
      </w:r>
      <w:r>
        <w:rPr>
          <w:rFonts w:hint="eastAsia" w:asciiTheme="minorEastAsia" w:hAnsiTheme="minorEastAsia" w:cstheme="minorEastAsia"/>
          <w:bCs/>
          <w:color w:val="auto"/>
          <w:u w:val="single"/>
        </w:rPr>
        <w:t xml:space="preserve">                                 </w:t>
      </w:r>
    </w:p>
    <w:p w14:paraId="5F8A7C73">
      <w:pPr>
        <w:pStyle w:val="34"/>
        <w:widowControl/>
        <w:ind w:firstLine="482"/>
        <w:jc w:val="both"/>
        <w:rPr>
          <w:rFonts w:hint="eastAsia" w:asciiTheme="minorEastAsia" w:hAnsiTheme="minorEastAsia" w:eastAsiaTheme="minorEastAsia" w:cstheme="minorEastAsia"/>
          <w:b/>
          <w:bCs/>
          <w:color w:val="auto"/>
          <w:lang w:eastAsia="zh-CN"/>
        </w:rPr>
      </w:pPr>
      <w:r>
        <w:rPr>
          <w:rFonts w:hint="eastAsia" w:asciiTheme="minorEastAsia" w:hAnsiTheme="minorEastAsia" w:cstheme="minorEastAsia"/>
          <w:bCs/>
          <w:color w:val="auto"/>
        </w:rPr>
        <w:t>采购人名称：</w:t>
      </w:r>
      <w:r>
        <w:rPr>
          <w:rFonts w:hint="eastAsia" w:asciiTheme="minorEastAsia" w:hAnsiTheme="minorEastAsia" w:cstheme="minorEastAsia"/>
          <w:bCs/>
          <w:color w:val="auto"/>
          <w:u w:val="single"/>
        </w:rPr>
        <w:t xml:space="preserve">                                   </w:t>
      </w:r>
    </w:p>
    <w:p w14:paraId="49A25C78">
      <w:pPr>
        <w:pStyle w:val="34"/>
        <w:widowControl/>
        <w:ind w:firstLine="482"/>
        <w:jc w:val="both"/>
        <w:rPr>
          <w:rFonts w:hint="eastAsia" w:asciiTheme="minorEastAsia" w:hAnsiTheme="minorEastAsia" w:eastAsiaTheme="minorEastAsia" w:cstheme="minorEastAsia"/>
          <w:b/>
          <w:bCs/>
          <w:color w:val="auto"/>
          <w:lang w:eastAsia="zh-CN"/>
        </w:rPr>
      </w:pPr>
      <w:r>
        <w:rPr>
          <w:rFonts w:hint="eastAsia" w:asciiTheme="minorEastAsia" w:hAnsiTheme="minorEastAsia" w:cstheme="minorEastAsia"/>
          <w:bCs/>
          <w:color w:val="auto"/>
        </w:rPr>
        <w:t>采购文件获取日期：</w:t>
      </w:r>
      <w:r>
        <w:rPr>
          <w:rFonts w:hint="eastAsia" w:asciiTheme="minorEastAsia" w:hAnsiTheme="minorEastAsia" w:cstheme="minorEastAsia"/>
          <w:bCs/>
          <w:color w:val="auto"/>
          <w:u w:val="single"/>
        </w:rPr>
        <w:t xml:space="preserve">                                   </w:t>
      </w:r>
    </w:p>
    <w:p w14:paraId="47BD3334">
      <w:pPr>
        <w:pStyle w:val="34"/>
        <w:widowControl/>
        <w:ind w:firstLine="482"/>
        <w:jc w:val="both"/>
        <w:outlineLvl w:val="1"/>
        <w:rPr>
          <w:rFonts w:asciiTheme="minorEastAsia" w:hAnsiTheme="minorEastAsia" w:cstheme="minorEastAsia"/>
          <w:b/>
          <w:color w:val="auto"/>
        </w:rPr>
      </w:pPr>
      <w:r>
        <w:rPr>
          <w:rFonts w:hint="eastAsia" w:asciiTheme="minorEastAsia" w:hAnsiTheme="minorEastAsia" w:cstheme="minorEastAsia"/>
          <w:b/>
          <w:color w:val="auto"/>
        </w:rPr>
        <w:t>三、质疑事项具体内容</w:t>
      </w:r>
    </w:p>
    <w:p w14:paraId="15E51AF7">
      <w:pPr>
        <w:pStyle w:val="34"/>
        <w:widowControl/>
        <w:ind w:firstLine="482"/>
        <w:jc w:val="both"/>
        <w:rPr>
          <w:rFonts w:hint="eastAsia" w:asciiTheme="minorEastAsia" w:hAnsiTheme="minorEastAsia" w:eastAsiaTheme="minorEastAsia" w:cstheme="minorEastAsia"/>
          <w:b/>
          <w:bCs/>
          <w:color w:val="auto"/>
          <w:lang w:eastAsia="zh-CN"/>
        </w:rPr>
      </w:pPr>
      <w:r>
        <w:rPr>
          <w:rFonts w:hint="eastAsia" w:asciiTheme="minorEastAsia" w:hAnsiTheme="minorEastAsia" w:cstheme="minorEastAsia"/>
          <w:bCs/>
          <w:color w:val="auto"/>
        </w:rPr>
        <w:t>质疑事项1：</w:t>
      </w:r>
      <w:r>
        <w:rPr>
          <w:rFonts w:hint="eastAsia" w:asciiTheme="minorEastAsia" w:hAnsiTheme="minorEastAsia" w:cstheme="minorEastAsia"/>
          <w:bCs/>
          <w:color w:val="auto"/>
          <w:u w:val="single"/>
        </w:rPr>
        <w:t xml:space="preserve">                                    </w:t>
      </w:r>
    </w:p>
    <w:p w14:paraId="4936C23C">
      <w:pPr>
        <w:pStyle w:val="34"/>
        <w:widowControl/>
        <w:ind w:firstLine="482"/>
        <w:rPr>
          <w:rFonts w:hint="eastAsia" w:asciiTheme="minorEastAsia" w:hAnsiTheme="minorEastAsia" w:eastAsiaTheme="minorEastAsia" w:cstheme="minorEastAsia"/>
          <w:b/>
          <w:bCs/>
          <w:color w:val="auto"/>
          <w:lang w:eastAsia="zh-CN"/>
        </w:rPr>
      </w:pPr>
      <w:r>
        <w:rPr>
          <w:rFonts w:hint="eastAsia" w:asciiTheme="minorEastAsia" w:hAnsiTheme="minorEastAsia" w:cstheme="minorEastAsia"/>
          <w:bCs/>
          <w:color w:val="auto"/>
        </w:rPr>
        <w:t>事实依据：</w:t>
      </w:r>
      <w:r>
        <w:rPr>
          <w:rFonts w:hint="eastAsia" w:asciiTheme="minorEastAsia" w:hAnsiTheme="minorEastAsia" w:cstheme="minorEastAsia"/>
          <w:bCs/>
          <w:color w:val="auto"/>
          <w:u w:val="single"/>
        </w:rPr>
        <w:t xml:space="preserve">                                 </w:t>
      </w:r>
    </w:p>
    <w:p w14:paraId="34698CC9">
      <w:pPr>
        <w:pStyle w:val="34"/>
        <w:widowControl/>
        <w:ind w:firstLine="482"/>
        <w:jc w:val="both"/>
        <w:rPr>
          <w:rFonts w:hint="eastAsia" w:asciiTheme="minorEastAsia" w:hAnsiTheme="minorEastAsia" w:eastAsiaTheme="minorEastAsia" w:cstheme="minorEastAsia"/>
          <w:b/>
          <w:bCs/>
          <w:color w:val="auto"/>
          <w:lang w:eastAsia="zh-CN"/>
        </w:rPr>
      </w:pPr>
      <w:r>
        <w:rPr>
          <w:rFonts w:hint="eastAsia" w:asciiTheme="minorEastAsia" w:hAnsiTheme="minorEastAsia" w:cstheme="minorEastAsia"/>
          <w:bCs/>
          <w:color w:val="auto"/>
        </w:rPr>
        <w:t>法律依据：</w:t>
      </w:r>
      <w:r>
        <w:rPr>
          <w:rFonts w:hint="eastAsia" w:asciiTheme="minorEastAsia" w:hAnsiTheme="minorEastAsia" w:cstheme="minorEastAsia"/>
          <w:bCs/>
          <w:color w:val="auto"/>
          <w:u w:val="single"/>
        </w:rPr>
        <w:t xml:space="preserve">                                 </w:t>
      </w:r>
    </w:p>
    <w:p w14:paraId="18632F45">
      <w:pPr>
        <w:pStyle w:val="34"/>
        <w:widowControl/>
        <w:ind w:firstLine="482"/>
        <w:jc w:val="both"/>
        <w:rPr>
          <w:rFonts w:asciiTheme="minorEastAsia" w:hAnsiTheme="minorEastAsia" w:cstheme="minorEastAsia"/>
          <w:b/>
          <w:bCs/>
          <w:color w:val="auto"/>
        </w:rPr>
      </w:pPr>
      <w:r>
        <w:rPr>
          <w:rFonts w:hint="eastAsia" w:asciiTheme="minorEastAsia" w:hAnsiTheme="minorEastAsia" w:cstheme="minorEastAsia"/>
          <w:bCs/>
          <w:color w:val="auto"/>
        </w:rPr>
        <w:t>质疑事项2</w:t>
      </w:r>
    </w:p>
    <w:p w14:paraId="127E7842">
      <w:pPr>
        <w:pStyle w:val="34"/>
        <w:widowControl/>
        <w:ind w:firstLine="482"/>
        <w:jc w:val="both"/>
        <w:rPr>
          <w:rFonts w:asciiTheme="minorEastAsia" w:hAnsiTheme="minorEastAsia" w:cstheme="minorEastAsia"/>
          <w:b/>
          <w:bCs/>
          <w:color w:val="auto"/>
        </w:rPr>
      </w:pPr>
      <w:r>
        <w:rPr>
          <w:rFonts w:hint="eastAsia" w:asciiTheme="minorEastAsia" w:hAnsiTheme="minorEastAsia" w:cstheme="minorEastAsia"/>
          <w:bCs/>
          <w:color w:val="auto"/>
        </w:rPr>
        <w:t>……</w:t>
      </w:r>
    </w:p>
    <w:p w14:paraId="20340AC4">
      <w:pPr>
        <w:pStyle w:val="34"/>
        <w:widowControl/>
        <w:ind w:firstLine="482"/>
        <w:jc w:val="both"/>
        <w:outlineLvl w:val="1"/>
        <w:rPr>
          <w:rFonts w:asciiTheme="minorEastAsia" w:hAnsiTheme="minorEastAsia" w:cstheme="minorEastAsia"/>
          <w:b/>
          <w:color w:val="auto"/>
        </w:rPr>
      </w:pPr>
      <w:r>
        <w:rPr>
          <w:rFonts w:hint="eastAsia" w:asciiTheme="minorEastAsia" w:hAnsiTheme="minorEastAsia" w:cstheme="minorEastAsia"/>
          <w:b/>
          <w:color w:val="auto"/>
        </w:rPr>
        <w:t>四、与质疑事项相关的质疑请求</w:t>
      </w:r>
    </w:p>
    <w:p w14:paraId="6C074B7F">
      <w:pPr>
        <w:pStyle w:val="34"/>
        <w:widowControl/>
        <w:ind w:firstLine="482"/>
        <w:jc w:val="both"/>
        <w:rPr>
          <w:rFonts w:asciiTheme="minorEastAsia" w:hAnsiTheme="minorEastAsia" w:cstheme="minorEastAsia"/>
          <w:b/>
          <w:bCs/>
          <w:color w:val="auto"/>
        </w:rPr>
      </w:pPr>
      <w:r>
        <w:rPr>
          <w:rFonts w:hint="eastAsia" w:asciiTheme="minorEastAsia" w:hAnsiTheme="minorEastAsia" w:cstheme="minorEastAsia"/>
          <w:bCs/>
          <w:color w:val="auto"/>
        </w:rPr>
        <w:t>请求：</w:t>
      </w:r>
      <w:r>
        <w:rPr>
          <w:rFonts w:hint="eastAsia" w:asciiTheme="minorEastAsia" w:hAnsiTheme="minorEastAsia" w:cstheme="minorEastAsia"/>
          <w:bCs/>
          <w:color w:val="auto"/>
          <w:u w:val="single"/>
        </w:rPr>
        <w:t xml:space="preserve">                                                              </w:t>
      </w:r>
    </w:p>
    <w:p w14:paraId="5765610D">
      <w:pPr>
        <w:pStyle w:val="34"/>
        <w:widowControl/>
        <w:ind w:firstLine="482"/>
        <w:jc w:val="both"/>
        <w:rPr>
          <w:rFonts w:hint="eastAsia" w:asciiTheme="minorEastAsia" w:hAnsiTheme="minorEastAsia" w:eastAsiaTheme="minorEastAsia" w:cstheme="minorEastAsia"/>
          <w:b/>
          <w:bCs/>
          <w:color w:val="auto"/>
          <w:lang w:eastAsia="zh-CN"/>
        </w:rPr>
      </w:pPr>
      <w:r>
        <w:rPr>
          <w:rFonts w:hint="eastAsia" w:asciiTheme="minorEastAsia" w:hAnsiTheme="minorEastAsia" w:cstheme="minorEastAsia"/>
          <w:bCs/>
          <w:color w:val="auto"/>
        </w:rPr>
        <w:t>签字（签章）：        公章：             日期：</w:t>
      </w:r>
    </w:p>
    <w:p w14:paraId="1DC7C03D">
      <w:pPr>
        <w:widowControl/>
        <w:spacing w:line="520" w:lineRule="exact"/>
        <w:ind w:firstLine="440"/>
        <w:rPr>
          <w:color w:val="auto"/>
          <w:sz w:val="24"/>
        </w:rPr>
      </w:pPr>
      <w:r>
        <w:rPr>
          <w:rFonts w:hint="eastAsia"/>
          <w:color w:val="auto"/>
          <w:sz w:val="24"/>
        </w:rPr>
        <w:t>质疑函制作说明：</w:t>
      </w:r>
    </w:p>
    <w:p w14:paraId="57D0AEF0">
      <w:pPr>
        <w:widowControl/>
        <w:spacing w:line="520" w:lineRule="exact"/>
        <w:ind w:firstLine="440"/>
        <w:outlineLvl w:val="2"/>
        <w:rPr>
          <w:rFonts w:ascii="宋体" w:hAnsi="宋体" w:eastAsia="宋体" w:cs="宋体"/>
          <w:color w:val="auto"/>
          <w:sz w:val="24"/>
        </w:rPr>
      </w:pPr>
      <w:r>
        <w:rPr>
          <w:rFonts w:hint="eastAsia" w:ascii="宋体" w:hAnsi="宋体" w:eastAsia="宋体" w:cs="宋体"/>
          <w:color w:val="auto"/>
          <w:sz w:val="24"/>
        </w:rPr>
        <w:t>1.供应商提出质疑时，应提交质疑函和必要的证明材料。</w:t>
      </w:r>
    </w:p>
    <w:p w14:paraId="0637942A">
      <w:pPr>
        <w:widowControl/>
        <w:spacing w:line="520" w:lineRule="exact"/>
        <w:ind w:firstLine="440"/>
        <w:rPr>
          <w:rFonts w:ascii="宋体" w:hAnsi="宋体" w:eastAsia="宋体" w:cs="宋体"/>
          <w:color w:val="auto"/>
          <w:sz w:val="24"/>
        </w:rPr>
      </w:pPr>
      <w:r>
        <w:rPr>
          <w:rFonts w:hint="eastAsia" w:ascii="宋体" w:hAnsi="宋体" w:eastAsia="宋体" w:cs="宋体"/>
          <w:color w:val="auto"/>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B146975">
      <w:pPr>
        <w:widowControl/>
        <w:spacing w:line="520" w:lineRule="exact"/>
        <w:ind w:firstLine="440"/>
        <w:rPr>
          <w:rFonts w:ascii="宋体" w:hAnsi="宋体" w:eastAsia="宋体" w:cs="宋体"/>
          <w:color w:val="auto"/>
          <w:sz w:val="24"/>
        </w:rPr>
      </w:pPr>
      <w:r>
        <w:rPr>
          <w:rFonts w:hint="eastAsia" w:ascii="宋体" w:hAnsi="宋体" w:eastAsia="宋体" w:cs="宋体"/>
          <w:color w:val="auto"/>
          <w:sz w:val="24"/>
        </w:rPr>
        <w:t>3.质疑供应商若对项目的某一分包进行质疑，质疑函中应列明具体分包号。</w:t>
      </w:r>
    </w:p>
    <w:p w14:paraId="0ABCA2CA">
      <w:pPr>
        <w:widowControl/>
        <w:spacing w:line="520" w:lineRule="exact"/>
        <w:ind w:firstLine="440"/>
        <w:rPr>
          <w:rFonts w:ascii="宋体" w:hAnsi="宋体" w:eastAsia="宋体" w:cs="宋体"/>
          <w:color w:val="auto"/>
          <w:sz w:val="24"/>
        </w:rPr>
      </w:pPr>
      <w:r>
        <w:rPr>
          <w:rFonts w:hint="eastAsia" w:ascii="宋体" w:hAnsi="宋体" w:eastAsia="宋体" w:cs="宋体"/>
          <w:color w:val="auto"/>
          <w:sz w:val="24"/>
        </w:rPr>
        <w:t>4.质疑函的质疑事项应具体、明确，并有必要的事实依据和法律依据。</w:t>
      </w:r>
    </w:p>
    <w:p w14:paraId="2E4C2DD7">
      <w:pPr>
        <w:widowControl/>
        <w:spacing w:line="520" w:lineRule="exact"/>
        <w:ind w:firstLine="440"/>
        <w:outlineLvl w:val="2"/>
        <w:rPr>
          <w:rFonts w:ascii="宋体" w:hAnsi="宋体" w:eastAsia="宋体" w:cs="宋体"/>
          <w:color w:val="auto"/>
          <w:sz w:val="24"/>
        </w:rPr>
      </w:pPr>
      <w:r>
        <w:rPr>
          <w:rFonts w:hint="eastAsia" w:ascii="宋体" w:hAnsi="宋体" w:eastAsia="宋体" w:cs="宋体"/>
          <w:color w:val="auto"/>
          <w:sz w:val="24"/>
        </w:rPr>
        <w:t>5.质疑函的质疑请求应与质疑事项相关。</w:t>
      </w:r>
    </w:p>
    <w:p w14:paraId="0857D3AC">
      <w:pPr>
        <w:widowControl/>
        <w:spacing w:line="520" w:lineRule="exact"/>
        <w:ind w:firstLine="440"/>
        <w:rPr>
          <w:color w:val="auto"/>
        </w:rPr>
      </w:pPr>
      <w:r>
        <w:rPr>
          <w:rFonts w:hint="eastAsia" w:ascii="宋体" w:hAnsi="宋体" w:eastAsia="宋体" w:cs="宋体"/>
          <w:color w:val="auto"/>
          <w:sz w:val="24"/>
        </w:rPr>
        <w:t>6.质疑供应商为自然人的，质疑函应由本人签字；质疑供应商为法人或者其他组织的，质疑函应由法定代表人、主要负责人，或者其授权代表签字或者盖章，并加盖公章。</w:t>
      </w:r>
    </w:p>
    <w:p w14:paraId="0A23D361">
      <w:pPr>
        <w:pStyle w:val="34"/>
        <w:spacing w:beforeAutospacing="0" w:afterAutospacing="0"/>
        <w:rPr>
          <w:color w:val="auto"/>
        </w:rPr>
      </w:pPr>
    </w:p>
    <w:p w14:paraId="05F5A3FA">
      <w:pPr>
        <w:pStyle w:val="34"/>
        <w:spacing w:beforeAutospacing="0" w:afterAutospacing="0"/>
        <w:rPr>
          <w:color w:val="auto"/>
        </w:rPr>
      </w:pPr>
    </w:p>
    <w:sectPr>
      <w:footerReference r:id="rId4" w:type="default"/>
      <w:pgSz w:w="11906" w:h="16838"/>
      <w:pgMar w:top="1440" w:right="1463" w:bottom="1440" w:left="1463"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auto"/>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auto"/>
    <w:pitch w:val="default"/>
    <w:sig w:usb0="800001E3" w:usb1="1200FFEF" w:usb2="00040000" w:usb3="04000000" w:csb0="00000001" w:csb1="40000000"/>
  </w:font>
  <w:font w:name="方正魏碑_G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 w:name="Cambria Math">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541FB">
    <w:pPr>
      <w:pStyle w:val="20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4AE959">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234AE959">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999A8">
    <w:pPr>
      <w:pStyle w:val="20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75C3EB85">
    <w:pPr>
      <w:pStyle w:val="20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C294BB"/>
    <w:multiLevelType w:val="multilevel"/>
    <w:tmpl w:val="82C294BB"/>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86CF3AD8"/>
    <w:multiLevelType w:val="multilevel"/>
    <w:tmpl w:val="86CF3AD8"/>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8FDC7497"/>
    <w:multiLevelType w:val="multilevel"/>
    <w:tmpl w:val="8FDC749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9643408A"/>
    <w:multiLevelType w:val="multilevel"/>
    <w:tmpl w:val="9643408A"/>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B97B51F"/>
    <w:multiLevelType w:val="multilevel"/>
    <w:tmpl w:val="BB97B51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AB9DB16"/>
    <w:multiLevelType w:val="multilevel"/>
    <w:tmpl w:val="CAB9DB16"/>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6441264"/>
    <w:multiLevelType w:val="singleLevel"/>
    <w:tmpl w:val="36441264"/>
    <w:lvl w:ilvl="0" w:tentative="0">
      <w:start w:val="2"/>
      <w:numFmt w:val="chineseCounting"/>
      <w:suff w:val="nothing"/>
      <w:lvlText w:val="%1、"/>
      <w:lvlJc w:val="left"/>
      <w:rPr>
        <w:rFonts w:hint="eastAsia"/>
      </w:rPr>
    </w:lvl>
  </w:abstractNum>
  <w:abstractNum w:abstractNumId="7">
    <w:nsid w:val="5297A690"/>
    <w:multiLevelType w:val="multilevel"/>
    <w:tmpl w:val="5297A690"/>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C611A34"/>
    <w:multiLevelType w:val="multilevel"/>
    <w:tmpl w:val="5C611A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E537F37"/>
    <w:multiLevelType w:val="multilevel"/>
    <w:tmpl w:val="5E537F37"/>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BB5FC93"/>
    <w:multiLevelType w:val="multilevel"/>
    <w:tmpl w:val="7BB5FC93"/>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7"/>
  </w:num>
  <w:num w:numId="3">
    <w:abstractNumId w:val="2"/>
  </w:num>
  <w:num w:numId="4">
    <w:abstractNumId w:val="8"/>
  </w:num>
  <w:num w:numId="5">
    <w:abstractNumId w:val="10"/>
  </w:num>
  <w:num w:numId="6">
    <w:abstractNumId w:val="5"/>
  </w:num>
  <w:num w:numId="7">
    <w:abstractNumId w:val="6"/>
  </w:num>
  <w:num w:numId="8">
    <w:abstractNumId w:val="3"/>
  </w:num>
  <w:num w:numId="9">
    <w:abstractNumId w:val="4"/>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393A2F"/>
    <w:rsid w:val="087A3BFD"/>
    <w:rsid w:val="12A84FD0"/>
    <w:rsid w:val="12B02035"/>
    <w:rsid w:val="12FC0B67"/>
    <w:rsid w:val="18EC0953"/>
    <w:rsid w:val="19CF7C98"/>
    <w:rsid w:val="4B55287C"/>
    <w:rsid w:val="55E6609F"/>
    <w:rsid w:val="713E5355"/>
    <w:rsid w:val="75450684"/>
    <w:rsid w:val="75CC5F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等线"/>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205"/>
    <w:qFormat/>
    <w:uiPriority w:val="0"/>
    <w:pPr>
      <w:keepNext/>
      <w:keepLines/>
      <w:spacing w:before="340" w:after="330" w:line="578" w:lineRule="auto"/>
      <w:outlineLvl w:val="0"/>
    </w:pPr>
    <w:rPr>
      <w:b/>
      <w:bCs/>
      <w:sz w:val="44"/>
      <w:szCs w:val="44"/>
    </w:rPr>
  </w:style>
  <w:style w:type="paragraph" w:styleId="3">
    <w:name w:val="heading 2"/>
    <w:basedOn w:val="1"/>
    <w:next w:val="1"/>
    <w:link w:val="222"/>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217"/>
    <w:semiHidden/>
    <w:unhideWhenUsed/>
    <w:qFormat/>
    <w:uiPriority w:val="0"/>
    <w:pPr>
      <w:keepNext/>
      <w:keepLines/>
      <w:spacing w:line="360" w:lineRule="auto"/>
      <w:ind w:firstLine="880"/>
      <w:outlineLvl w:val="2"/>
    </w:pPr>
    <w:rPr>
      <w:rFonts w:ascii="宋体" w:hAnsi="宋体" w:eastAsia="宋体" w:cs="宋体"/>
      <w:b/>
      <w:sz w:val="28"/>
      <w:szCs w:val="22"/>
    </w:rPr>
  </w:style>
  <w:style w:type="paragraph" w:styleId="5">
    <w:name w:val="heading 4"/>
    <w:basedOn w:val="1"/>
    <w:next w:val="1"/>
    <w:link w:val="218"/>
    <w:semiHidden/>
    <w:unhideWhenUsed/>
    <w:qFormat/>
    <w:uiPriority w:val="0"/>
    <w:pPr>
      <w:keepNext/>
      <w:keepLines/>
      <w:spacing w:line="360" w:lineRule="auto"/>
      <w:outlineLvl w:val="3"/>
    </w:pPr>
    <w:rPr>
      <w:rFonts w:ascii="Arial" w:hAnsi="Arial" w:eastAsia="宋体" w:cs="宋体"/>
      <w:b/>
      <w:sz w:val="24"/>
      <w:szCs w:val="22"/>
    </w:rPr>
  </w:style>
  <w:style w:type="paragraph" w:styleId="6">
    <w:name w:val="heading 5"/>
    <w:basedOn w:val="1"/>
    <w:next w:val="1"/>
    <w:link w:val="219"/>
    <w:semiHidden/>
    <w:unhideWhenUsed/>
    <w:qFormat/>
    <w:uiPriority w:val="0"/>
    <w:pPr>
      <w:keepNext/>
      <w:keepLines/>
      <w:spacing w:before="280" w:after="290" w:line="372" w:lineRule="auto"/>
      <w:outlineLvl w:val="4"/>
    </w:pPr>
    <w:rPr>
      <w:rFonts w:ascii="宋体" w:hAnsi="宋体" w:eastAsia="宋体" w:cs="宋体"/>
      <w:b/>
      <w:sz w:val="28"/>
      <w:szCs w:val="22"/>
    </w:rPr>
  </w:style>
  <w:style w:type="paragraph" w:styleId="7">
    <w:name w:val="heading 6"/>
    <w:basedOn w:val="1"/>
    <w:next w:val="1"/>
    <w:link w:val="211"/>
    <w:semiHidden/>
    <w:unhideWhenUsed/>
    <w:qFormat/>
    <w:uiPriority w:val="0"/>
    <w:pPr>
      <w:keepNext/>
      <w:keepLines/>
      <w:spacing w:before="240" w:after="64" w:line="320" w:lineRule="auto"/>
      <w:outlineLvl w:val="5"/>
    </w:pPr>
    <w:rPr>
      <w:rFonts w:asciiTheme="majorHAnsi" w:hAnsiTheme="majorHAnsi" w:eastAsiaTheme="majorEastAsia" w:cstheme="majorBidi"/>
      <w:b/>
      <w:bCs/>
      <w:sz w:val="24"/>
    </w:rPr>
  </w:style>
  <w:style w:type="paragraph" w:styleId="8">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pPr>
      <w:keepNext w:val="0"/>
      <w:keepLines w:val="0"/>
      <w:widowControl/>
      <w:suppressLineNumbers w:val="0"/>
      <w:spacing w:before="0" w:beforeAutospacing="0" w:after="0" w:afterAutospacing="0"/>
      <w:ind w:left="0" w:right="0"/>
    </w:pPr>
    <w:rPr>
      <w:rFonts w:hint="eastAsia" w:ascii="等线" w:hAnsi="等线" w:eastAsia="等线" w:cs="等线"/>
      <w:sz w:val="20"/>
      <w:szCs w:val="20"/>
    </w:rPr>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link w:val="214"/>
    <w:qFormat/>
    <w:uiPriority w:val="0"/>
    <w:pPr>
      <w:jc w:val="left"/>
    </w:pPr>
  </w:style>
  <w:style w:type="paragraph" w:styleId="15">
    <w:name w:val="Body Text"/>
    <w:basedOn w:val="1"/>
    <w:next w:val="1"/>
    <w:unhideWhenUsed/>
    <w:qFormat/>
    <w:uiPriority w:val="0"/>
    <w:pPr>
      <w:spacing w:after="120"/>
    </w:pPr>
    <w:rPr>
      <w:rFonts w:ascii="Calibri" w:hAnsi="Calibri"/>
      <w:szCs w:val="22"/>
    </w:rPr>
  </w:style>
  <w:style w:type="paragraph" w:styleId="16">
    <w:name w:val="Body Text Indent"/>
    <w:basedOn w:val="1"/>
    <w:next w:val="17"/>
    <w:link w:val="220"/>
    <w:qFormat/>
    <w:uiPriority w:val="0"/>
    <w:pPr>
      <w:spacing w:after="120"/>
      <w:ind w:left="420"/>
    </w:pPr>
  </w:style>
  <w:style w:type="paragraph" w:styleId="17">
    <w:name w:val="envelope return"/>
    <w:basedOn w:val="1"/>
    <w:qFormat/>
    <w:uiPriority w:val="99"/>
    <w:rPr>
      <w:rFonts w:ascii="Arial" w:hAnsi="Arial" w:cs="Arial"/>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widowControl/>
      <w:spacing w:after="100" w:line="259" w:lineRule="auto"/>
      <w:ind w:left="440"/>
      <w:jc w:val="left"/>
    </w:pPr>
    <w:rPr>
      <w:rFonts w:cs="Times New Roman"/>
      <w:sz w:val="22"/>
      <w:szCs w:val="22"/>
    </w:rPr>
  </w:style>
  <w:style w:type="paragraph" w:styleId="20">
    <w:name w:val="Plain Text"/>
    <w:basedOn w:val="1"/>
    <w:unhideWhenUsed/>
    <w:qFormat/>
    <w:uiPriority w:val="0"/>
    <w:rPr>
      <w:rFonts w:ascii="宋体" w:hAnsi="Courier New" w:cs="Courier New"/>
      <w:szCs w:val="21"/>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94"/>
    <w:semiHidden/>
    <w:unhideWhenUsed/>
    <w:qFormat/>
    <w:uiPriority w:val="99"/>
    <w:pPr>
      <w:spacing w:after="0" w:line="240" w:lineRule="auto"/>
    </w:pPr>
    <w:rPr>
      <w:sz w:val="20"/>
    </w:rPr>
  </w:style>
  <w:style w:type="paragraph" w:styleId="23">
    <w:name w:val="Balloon Text"/>
    <w:basedOn w:val="1"/>
    <w:link w:val="216"/>
    <w:qFormat/>
    <w:uiPriority w:val="0"/>
    <w:rPr>
      <w:sz w:val="18"/>
      <w:szCs w:val="18"/>
    </w:rPr>
  </w:style>
  <w:style w:type="paragraph" w:styleId="24">
    <w:name w:val="footer"/>
    <w:basedOn w:val="1"/>
    <w:link w:val="199"/>
    <w:qFormat/>
    <w:uiPriority w:val="0"/>
    <w:pPr>
      <w:tabs>
        <w:tab w:val="center" w:pos="4153"/>
        <w:tab w:val="right" w:pos="8306"/>
      </w:tabs>
      <w:jc w:val="left"/>
    </w:pPr>
    <w:rPr>
      <w:sz w:val="18"/>
      <w:szCs w:val="18"/>
    </w:rPr>
  </w:style>
  <w:style w:type="paragraph" w:styleId="25">
    <w:name w:val="header"/>
    <w:basedOn w:val="1"/>
    <w:link w:val="198"/>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widowControl/>
      <w:spacing w:after="100" w:line="259" w:lineRule="auto"/>
      <w:jc w:val="left"/>
    </w:pPr>
    <w:rPr>
      <w:rFonts w:cs="Times New Roman"/>
      <w:sz w:val="22"/>
      <w:szCs w:val="22"/>
    </w:r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60"/>
    <w:qFormat/>
    <w:uiPriority w:val="11"/>
    <w:pPr>
      <w:spacing w:before="200" w:after="200"/>
    </w:pPr>
    <w:rPr>
      <w:sz w:val="24"/>
      <w:szCs w:val="24"/>
    </w:rPr>
  </w:style>
  <w:style w:type="paragraph" w:styleId="29">
    <w:name w:val="footnote text"/>
    <w:basedOn w:val="1"/>
    <w:link w:val="193"/>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qFormat/>
    <w:uiPriority w:val="39"/>
    <w:pPr>
      <w:ind w:left="420"/>
    </w:pPr>
  </w:style>
  <w:style w:type="paragraph" w:styleId="33">
    <w:name w:val="toc 9"/>
    <w:basedOn w:val="1"/>
    <w:next w:val="1"/>
    <w:unhideWhenUsed/>
    <w:qFormat/>
    <w:uiPriority w:val="39"/>
    <w:pPr>
      <w:spacing w:after="57"/>
      <w:ind w:left="2268" w:right="0" w:firstLine="0"/>
    </w:pPr>
  </w:style>
  <w:style w:type="paragraph" w:styleId="34">
    <w:name w:val="Normal (Web)"/>
    <w:basedOn w:val="1"/>
    <w:link w:val="208"/>
    <w:qFormat/>
    <w:uiPriority w:val="0"/>
    <w:pPr>
      <w:spacing w:beforeAutospacing="1" w:afterAutospacing="1"/>
      <w:jc w:val="left"/>
    </w:pPr>
    <w:rPr>
      <w:rFonts w:cs="Times New Roman"/>
      <w:sz w:val="24"/>
    </w:rPr>
  </w:style>
  <w:style w:type="paragraph" w:styleId="35">
    <w:name w:val="Title"/>
    <w:basedOn w:val="1"/>
    <w:next w:val="1"/>
    <w:link w:val="210"/>
    <w:qFormat/>
    <w:uiPriority w:val="0"/>
    <w:pPr>
      <w:spacing w:before="120" w:after="120"/>
      <w:jc w:val="center"/>
      <w:outlineLvl w:val="0"/>
    </w:pPr>
    <w:rPr>
      <w:rFonts w:eastAsia="黑体" w:asciiTheme="majorHAnsi" w:hAnsiTheme="majorHAnsi" w:cstheme="majorBidi"/>
      <w:b/>
      <w:bCs/>
      <w:sz w:val="44"/>
      <w:szCs w:val="32"/>
    </w:rPr>
  </w:style>
  <w:style w:type="paragraph" w:styleId="36">
    <w:name w:val="annotation subject"/>
    <w:basedOn w:val="14"/>
    <w:next w:val="14"/>
    <w:link w:val="215"/>
    <w:qFormat/>
    <w:uiPriority w:val="0"/>
    <w:rPr>
      <w:b/>
      <w:bCs/>
    </w:rPr>
  </w:style>
  <w:style w:type="paragraph" w:styleId="37">
    <w:name w:val="Body Text First Indent"/>
    <w:basedOn w:val="15"/>
    <w:next w:val="1"/>
    <w:unhideWhenUsed/>
    <w:qFormat/>
    <w:uiPriority w:val="99"/>
    <w:pPr>
      <w:ind w:firstLine="420"/>
    </w:pPr>
  </w:style>
  <w:style w:type="paragraph" w:styleId="38">
    <w:name w:val="Body Text First Indent 2"/>
    <w:basedOn w:val="16"/>
    <w:next w:val="39"/>
    <w:link w:val="221"/>
    <w:qFormat/>
    <w:uiPriority w:val="0"/>
    <w:pPr>
      <w:ind w:firstLine="420"/>
    </w:pPr>
  </w:style>
  <w:style w:type="paragraph" w:customStyle="1" w:styleId="39">
    <w:name w:val="样式 标题 3 + (中文) 黑体 小四 非加粗 段前: 7.8 磅 段后: 0 磅 行距: 固定值 20 磅_0"/>
    <w:basedOn w:val="1"/>
    <w:qFormat/>
    <w:uiPriority w:val="0"/>
    <w:pPr>
      <w:keepNext/>
      <w:keepLines/>
      <w:spacing w:line="400" w:lineRule="exact"/>
      <w:outlineLvl w:val="2"/>
    </w:pPr>
    <w:rPr>
      <w:rFonts w:eastAsia="黑体" w:cs="宋体"/>
      <w:szCs w:val="21"/>
    </w:r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Strong"/>
    <w:basedOn w:val="42"/>
    <w:qFormat/>
    <w:uiPriority w:val="0"/>
    <w:rPr>
      <w:b/>
    </w:rPr>
  </w:style>
  <w:style w:type="character" w:styleId="44">
    <w:name w:val="endnote reference"/>
    <w:basedOn w:val="42"/>
    <w:semiHidden/>
    <w:unhideWhenUsed/>
    <w:qFormat/>
    <w:uiPriority w:val="99"/>
    <w:rPr>
      <w:vertAlign w:val="superscript"/>
    </w:rPr>
  </w:style>
  <w:style w:type="character" w:styleId="45">
    <w:name w:val="Emphasis"/>
    <w:qFormat/>
    <w:uiPriority w:val="0"/>
    <w:rPr>
      <w:i/>
    </w:rPr>
  </w:style>
  <w:style w:type="character" w:styleId="46">
    <w:name w:val="Hyperlink"/>
    <w:basedOn w:val="42"/>
    <w:unhideWhenUsed/>
    <w:qFormat/>
    <w:uiPriority w:val="99"/>
    <w:rPr>
      <w:color w:val="0563C1" w:themeColor="hyperlink"/>
      <w:u w:val="single"/>
      <w14:textFill>
        <w14:solidFill>
          <w14:schemeClr w14:val="hlink"/>
        </w14:solidFill>
      </w14:textFill>
    </w:rPr>
  </w:style>
  <w:style w:type="character" w:styleId="47">
    <w:name w:val="annotation reference"/>
    <w:basedOn w:val="42"/>
    <w:qFormat/>
    <w:uiPriority w:val="0"/>
    <w:rPr>
      <w:sz w:val="21"/>
      <w:szCs w:val="21"/>
    </w:rPr>
  </w:style>
  <w:style w:type="character" w:styleId="48">
    <w:name w:val="footnote reference"/>
    <w:basedOn w:val="42"/>
    <w:unhideWhenUsed/>
    <w:qFormat/>
    <w:uiPriority w:val="99"/>
    <w:rPr>
      <w:vertAlign w:val="superscript"/>
    </w:rPr>
  </w:style>
  <w:style w:type="character" w:customStyle="1" w:styleId="49">
    <w:name w:val="Heading 1 Char"/>
    <w:basedOn w:val="42"/>
    <w:qFormat/>
    <w:uiPriority w:val="9"/>
    <w:rPr>
      <w:rFonts w:ascii="Arial" w:hAnsi="Arial" w:eastAsia="Arial" w:cs="Arial"/>
      <w:sz w:val="40"/>
      <w:szCs w:val="40"/>
    </w:rPr>
  </w:style>
  <w:style w:type="character" w:customStyle="1" w:styleId="50">
    <w:name w:val="Heading 2 Char"/>
    <w:basedOn w:val="42"/>
    <w:qFormat/>
    <w:uiPriority w:val="9"/>
    <w:rPr>
      <w:rFonts w:ascii="Arial" w:hAnsi="Arial" w:eastAsia="Arial" w:cs="Arial"/>
      <w:sz w:val="34"/>
    </w:rPr>
  </w:style>
  <w:style w:type="character" w:customStyle="1" w:styleId="51">
    <w:name w:val="Heading 3 Char"/>
    <w:basedOn w:val="42"/>
    <w:qFormat/>
    <w:uiPriority w:val="9"/>
    <w:rPr>
      <w:rFonts w:ascii="Arial" w:hAnsi="Arial" w:eastAsia="Arial" w:cs="Arial"/>
      <w:sz w:val="30"/>
      <w:szCs w:val="30"/>
    </w:rPr>
  </w:style>
  <w:style w:type="character" w:customStyle="1" w:styleId="52">
    <w:name w:val="Heading 4 Char"/>
    <w:basedOn w:val="42"/>
    <w:qFormat/>
    <w:uiPriority w:val="9"/>
    <w:rPr>
      <w:rFonts w:ascii="Arial" w:hAnsi="Arial" w:eastAsia="Arial" w:cs="Arial"/>
      <w:b/>
      <w:bCs/>
      <w:sz w:val="26"/>
      <w:szCs w:val="26"/>
    </w:rPr>
  </w:style>
  <w:style w:type="character" w:customStyle="1" w:styleId="53">
    <w:name w:val="Heading 5 Char"/>
    <w:basedOn w:val="42"/>
    <w:qFormat/>
    <w:uiPriority w:val="9"/>
    <w:rPr>
      <w:rFonts w:ascii="Arial" w:hAnsi="Arial" w:eastAsia="Arial" w:cs="Arial"/>
      <w:b/>
      <w:bCs/>
      <w:sz w:val="24"/>
      <w:szCs w:val="24"/>
    </w:rPr>
  </w:style>
  <w:style w:type="character" w:customStyle="1" w:styleId="54">
    <w:name w:val="Heading 6 Char"/>
    <w:basedOn w:val="42"/>
    <w:qFormat/>
    <w:uiPriority w:val="9"/>
    <w:rPr>
      <w:rFonts w:ascii="Arial" w:hAnsi="Arial" w:eastAsia="Arial" w:cs="Arial"/>
      <w:b/>
      <w:bCs/>
      <w:sz w:val="22"/>
      <w:szCs w:val="22"/>
    </w:rPr>
  </w:style>
  <w:style w:type="character" w:customStyle="1" w:styleId="55">
    <w:name w:val="Heading 7 Char"/>
    <w:basedOn w:val="42"/>
    <w:link w:val="8"/>
    <w:qFormat/>
    <w:uiPriority w:val="9"/>
    <w:rPr>
      <w:rFonts w:ascii="Arial" w:hAnsi="Arial" w:eastAsia="Arial" w:cs="Arial"/>
      <w:b/>
      <w:bCs/>
      <w:i/>
      <w:iCs/>
      <w:sz w:val="22"/>
      <w:szCs w:val="22"/>
    </w:rPr>
  </w:style>
  <w:style w:type="character" w:customStyle="1" w:styleId="56">
    <w:name w:val="Heading 8 Char"/>
    <w:basedOn w:val="42"/>
    <w:link w:val="9"/>
    <w:qFormat/>
    <w:uiPriority w:val="9"/>
    <w:rPr>
      <w:rFonts w:ascii="Arial" w:hAnsi="Arial" w:eastAsia="Arial" w:cs="Arial"/>
      <w:i/>
      <w:iCs/>
      <w:sz w:val="22"/>
      <w:szCs w:val="22"/>
    </w:rPr>
  </w:style>
  <w:style w:type="character" w:customStyle="1" w:styleId="57">
    <w:name w:val="Heading 9 Char"/>
    <w:basedOn w:val="42"/>
    <w:link w:val="10"/>
    <w:qFormat/>
    <w:uiPriority w:val="9"/>
    <w:rPr>
      <w:rFonts w:ascii="Arial" w:hAnsi="Arial" w:eastAsia="Arial" w:cs="Arial"/>
      <w:i/>
      <w:iCs/>
      <w:sz w:val="21"/>
      <w:szCs w:val="21"/>
    </w:rPr>
  </w:style>
  <w:style w:type="paragraph" w:styleId="58">
    <w:name w:val="No Spacing"/>
    <w:qFormat/>
    <w:uiPriority w:val="1"/>
    <w:pPr>
      <w:spacing w:before="0" w:after="0" w:line="240" w:lineRule="auto"/>
    </w:pPr>
    <w:rPr>
      <w:rFonts w:hint="default" w:ascii="等线" w:hAnsi="等线" w:eastAsia="等线" w:cs="等线"/>
    </w:rPr>
  </w:style>
  <w:style w:type="character" w:customStyle="1" w:styleId="59">
    <w:name w:val="Title Char"/>
    <w:basedOn w:val="42"/>
    <w:qFormat/>
    <w:uiPriority w:val="10"/>
    <w:rPr>
      <w:sz w:val="48"/>
      <w:szCs w:val="48"/>
    </w:rPr>
  </w:style>
  <w:style w:type="character" w:customStyle="1" w:styleId="60">
    <w:name w:val="Subtitle Char"/>
    <w:basedOn w:val="42"/>
    <w:link w:val="28"/>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basedOn w:val="42"/>
    <w:qFormat/>
    <w:uiPriority w:val="99"/>
  </w:style>
  <w:style w:type="character" w:customStyle="1" w:styleId="66">
    <w:name w:val="Footer Char"/>
    <w:basedOn w:val="42"/>
    <w:qFormat/>
    <w:uiPriority w:val="99"/>
  </w:style>
  <w:style w:type="character" w:customStyle="1" w:styleId="67">
    <w:name w:val="Caption Char"/>
    <w:qFormat/>
    <w:uiPriority w:val="99"/>
  </w:style>
  <w:style w:type="table" w:customStyle="1" w:styleId="68">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6">
    <w:name w:val="Grid Table 1 Light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7">
    <w:name w:val="Grid Table 1 Light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8">
    <w:name w:val="Grid Table 1 Light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9">
    <w:name w:val="Grid Table 1 Light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0">
    <w:name w:val="Grid Table 1 Light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1">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2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2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2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2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2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0">
    <w:name w:val="Grid Table 3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3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3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3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3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40"/>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7">
    <w:name w:val="Grid Table 4 - Accent 2"/>
    <w:basedOn w:val="40"/>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8">
    <w:name w:val="Grid Table 4 - Accent 3"/>
    <w:basedOn w:val="40"/>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9">
    <w:name w:val="Grid Table 4 - Accent 4"/>
    <w:basedOn w:val="40"/>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0">
    <w:name w:val="Grid Table 4 - Accent 5"/>
    <w:basedOn w:val="40"/>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1">
    <w:name w:val="Grid Table 4 - Accent 6"/>
    <w:basedOn w:val="40"/>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2">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4">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5">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6">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7">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8">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9">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basedOn w:val="40"/>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basedOn w:val="40"/>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basedOn w:val="40"/>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6 Colorful - Accent 6"/>
    <w:basedOn w:val="40"/>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6">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basedOn w:val="40"/>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basedOn w:val="40"/>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basedOn w:val="40"/>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basedOn w:val="40"/>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basedOn w:val="40"/>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2">
    <w:name w:val="Grid Table 7 Colorful - Accent 6"/>
    <w:basedOn w:val="40"/>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3">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40"/>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5">
    <w:name w:val="List Table 1 Light - Accent 2"/>
    <w:basedOn w:val="40"/>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6">
    <w:name w:val="List Table 1 Light - Accent 3"/>
    <w:basedOn w:val="40"/>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7">
    <w:name w:val="List Table 1 Light - Accent 4"/>
    <w:basedOn w:val="40"/>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8">
    <w:name w:val="List Table 1 Light - Accent 5"/>
    <w:basedOn w:val="40"/>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9">
    <w:name w:val="List Table 1 Light - Accent 6"/>
    <w:basedOn w:val="40"/>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0">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40"/>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2">
    <w:name w:val="List Table 2 - Accent 2"/>
    <w:basedOn w:val="40"/>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3">
    <w:name w:val="List Table 2 - Accent 3"/>
    <w:basedOn w:val="40"/>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4">
    <w:name w:val="List Table 2 - Accent 4"/>
    <w:basedOn w:val="40"/>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5">
    <w:name w:val="List Table 2 - Accent 5"/>
    <w:basedOn w:val="40"/>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6">
    <w:name w:val="List Table 2 - Accent 6"/>
    <w:basedOn w:val="40"/>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7">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40"/>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9">
    <w:name w:val="List Table 3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0">
    <w:name w:val="List Table 3 - Accent 3"/>
    <w:basedOn w:val="40"/>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1">
    <w:name w:val="List Table 3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2">
    <w:name w:val="List Table 3 - Accent 5"/>
    <w:basedOn w:val="40"/>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3">
    <w:name w:val="List Table 3 - Accent 6"/>
    <w:basedOn w:val="40"/>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4">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40"/>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6">
    <w:name w:val="List Table 4 - Accent 2"/>
    <w:basedOn w:val="40"/>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7">
    <w:name w:val="List Table 4 - Accent 3"/>
    <w:basedOn w:val="40"/>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8">
    <w:name w:val="List Table 4 - Accent 4"/>
    <w:basedOn w:val="40"/>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9">
    <w:name w:val="List Table 4 - Accent 5"/>
    <w:basedOn w:val="40"/>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0">
    <w:name w:val="List Table 4 - Accent 6"/>
    <w:basedOn w:val="40"/>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1">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40"/>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3">
    <w:name w:val="List Table 5 Dark - Accent 2"/>
    <w:basedOn w:val="40"/>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4">
    <w:name w:val="List Table 5 Dark - Accent 3"/>
    <w:basedOn w:val="40"/>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5">
    <w:name w:val="List Table 5 Dark - Accent 4"/>
    <w:basedOn w:val="40"/>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6">
    <w:name w:val="List Table 5 Dark - Accent 5"/>
    <w:basedOn w:val="40"/>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7">
    <w:name w:val="List Table 5 Dark - Accent 6"/>
    <w:basedOn w:val="40"/>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8">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basedOn w:val="40"/>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6 Colorful - Accent 2"/>
    <w:basedOn w:val="40"/>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basedOn w:val="40"/>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basedOn w:val="40"/>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basedOn w:val="40"/>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basedOn w:val="40"/>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basedOn w:val="40"/>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7">
    <w:name w:val="List Table 7 Colorful - Accent 2"/>
    <w:basedOn w:val="40"/>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basedOn w:val="40"/>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basedOn w:val="40"/>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basedOn w:val="40"/>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basedOn w:val="40"/>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2">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40"/>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Lined - Accent 2"/>
    <w:basedOn w:val="40"/>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Lined - Accent 3"/>
    <w:basedOn w:val="40"/>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Lined - Accent 4"/>
    <w:basedOn w:val="40"/>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Lined - Accent 5"/>
    <w:basedOn w:val="40"/>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Lined - Accent 6"/>
    <w:basedOn w:val="40"/>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40"/>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1">
    <w:name w:val="Bordered &amp; Lined - Accent 2"/>
    <w:basedOn w:val="40"/>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2">
    <w:name w:val="Bordered &amp; Lined - Accent 3"/>
    <w:basedOn w:val="40"/>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3">
    <w:name w:val="Bordered &amp; Lined - Accent 4"/>
    <w:basedOn w:val="40"/>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4">
    <w:name w:val="Bordered &amp; Lined - Accent 5"/>
    <w:basedOn w:val="40"/>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5">
    <w:name w:val="Bordered &amp; Lined - Accent 6"/>
    <w:basedOn w:val="40"/>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6">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8">
    <w:name w:val="Bordered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9">
    <w:name w:val="Bordered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0">
    <w:name w:val="Bordered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1">
    <w:name w:val="Bordered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2">
    <w:name w:val="Bordered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3">
    <w:name w:val="Footnote Text Char"/>
    <w:link w:val="29"/>
    <w:qFormat/>
    <w:uiPriority w:val="99"/>
    <w:rPr>
      <w:sz w:val="18"/>
    </w:rPr>
  </w:style>
  <w:style w:type="character" w:customStyle="1" w:styleId="194">
    <w:name w:val="Endnote Text Char"/>
    <w:link w:val="22"/>
    <w:qFormat/>
    <w:uiPriority w:val="99"/>
    <w:rPr>
      <w:sz w:val="20"/>
    </w:rPr>
  </w:style>
  <w:style w:type="paragraph" w:customStyle="1" w:styleId="195">
    <w:name w:val="TOC Heading"/>
    <w:unhideWhenUsed/>
    <w:qFormat/>
    <w:uiPriority w:val="39"/>
    <w:rPr>
      <w:rFonts w:hint="default" w:ascii="等线" w:hAnsi="等线" w:eastAsia="等线" w:cs="等线"/>
    </w:rPr>
  </w:style>
  <w:style w:type="paragraph" w:customStyle="1" w:styleId="196">
    <w:name w:val="正文缩进1"/>
    <w:basedOn w:val="1"/>
    <w:qFormat/>
    <w:uiPriority w:val="0"/>
    <w:pPr>
      <w:ind w:firstLine="420"/>
    </w:pPr>
  </w:style>
  <w:style w:type="paragraph" w:customStyle="1" w:styleId="197">
    <w:name w:val="Default"/>
    <w:basedOn w:val="1"/>
    <w:semiHidden/>
    <w:qFormat/>
    <w:uiPriority w:val="0"/>
    <w:pPr>
      <w:jc w:val="left"/>
    </w:pPr>
    <w:rPr>
      <w:rFonts w:ascii="宋体" w:hAnsi="Calibri" w:cs="宋体"/>
      <w:color w:val="000000"/>
      <w:sz w:val="24"/>
    </w:rPr>
  </w:style>
  <w:style w:type="character" w:customStyle="1" w:styleId="198">
    <w:name w:val="页眉 字符"/>
    <w:basedOn w:val="42"/>
    <w:link w:val="25"/>
    <w:qFormat/>
    <w:uiPriority w:val="0"/>
    <w:rPr>
      <w:rFonts w:asciiTheme="minorHAnsi" w:hAnsiTheme="minorHAnsi" w:eastAsiaTheme="minorEastAsia" w:cstheme="minorBidi"/>
      <w:sz w:val="18"/>
      <w:szCs w:val="18"/>
    </w:rPr>
  </w:style>
  <w:style w:type="character" w:customStyle="1" w:styleId="199">
    <w:name w:val="页脚 字符"/>
    <w:basedOn w:val="42"/>
    <w:link w:val="24"/>
    <w:qFormat/>
    <w:uiPriority w:val="0"/>
    <w:rPr>
      <w:rFonts w:asciiTheme="minorHAnsi" w:hAnsiTheme="minorHAnsi" w:eastAsiaTheme="minorEastAsia" w:cstheme="minorBidi"/>
      <w:sz w:val="18"/>
      <w:szCs w:val="18"/>
    </w:rPr>
  </w:style>
  <w:style w:type="paragraph" w:customStyle="1" w:styleId="20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01">
    <w:name w:val="页脚1"/>
    <w:basedOn w:val="1"/>
    <w:unhideWhenUsed/>
    <w:qFormat/>
    <w:uiPriority w:val="99"/>
    <w:pPr>
      <w:tabs>
        <w:tab w:val="center" w:pos="4153"/>
        <w:tab w:val="right" w:pos="8306"/>
      </w:tabs>
      <w:jc w:val="left"/>
    </w:pPr>
    <w:rPr>
      <w:sz w:val="18"/>
      <w:szCs w:val="18"/>
    </w:rPr>
  </w:style>
  <w:style w:type="paragraph" w:customStyle="1" w:styleId="202">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03">
    <w:name w:val="正文首行缩进 21"/>
    <w:basedOn w:val="204"/>
    <w:qFormat/>
    <w:uiPriority w:val="0"/>
    <w:pPr>
      <w:ind w:firstLine="420"/>
    </w:pPr>
  </w:style>
  <w:style w:type="paragraph" w:customStyle="1" w:styleId="204">
    <w:name w:val="正文文本缩进1"/>
    <w:basedOn w:val="1"/>
    <w:qFormat/>
    <w:uiPriority w:val="0"/>
    <w:pPr>
      <w:spacing w:after="120"/>
      <w:ind w:left="420"/>
    </w:pPr>
  </w:style>
  <w:style w:type="character" w:customStyle="1" w:styleId="205">
    <w:name w:val="标题 1 字符"/>
    <w:basedOn w:val="42"/>
    <w:link w:val="2"/>
    <w:qFormat/>
    <w:uiPriority w:val="0"/>
    <w:rPr>
      <w:rFonts w:asciiTheme="minorHAnsi" w:hAnsiTheme="minorHAnsi" w:eastAsiaTheme="minorEastAsia" w:cstheme="minorBidi"/>
      <w:b/>
      <w:bCs/>
      <w:sz w:val="44"/>
      <w:szCs w:val="44"/>
    </w:rPr>
  </w:style>
  <w:style w:type="paragraph" w:customStyle="1" w:styleId="206">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sz w:val="32"/>
      <w:szCs w:val="32"/>
    </w:rPr>
  </w:style>
  <w:style w:type="paragraph" w:customStyle="1" w:styleId="207">
    <w:name w:val="标题123"/>
    <w:basedOn w:val="34"/>
    <w:link w:val="209"/>
    <w:qFormat/>
    <w:uiPriority w:val="0"/>
    <w:pPr>
      <w:keepNext/>
      <w:spacing w:beforeAutospacing="0" w:afterAutospacing="0"/>
      <w:jc w:val="center"/>
      <w:outlineLvl w:val="0"/>
    </w:pPr>
    <w:rPr>
      <w:rFonts w:ascii="黑体" w:hAnsi="宋体" w:eastAsia="黑体" w:cs="黑体"/>
      <w:b/>
      <w:bCs/>
      <w:color w:val="000000"/>
      <w:sz w:val="44"/>
      <w:szCs w:val="44"/>
    </w:rPr>
  </w:style>
  <w:style w:type="character" w:customStyle="1" w:styleId="208">
    <w:name w:val="普通(网站) 字符"/>
    <w:basedOn w:val="42"/>
    <w:link w:val="34"/>
    <w:qFormat/>
    <w:uiPriority w:val="0"/>
    <w:rPr>
      <w:rFonts w:asciiTheme="minorHAnsi" w:hAnsiTheme="minorHAnsi" w:eastAsiaTheme="minorEastAsia"/>
      <w:sz w:val="24"/>
      <w:szCs w:val="24"/>
    </w:rPr>
  </w:style>
  <w:style w:type="character" w:customStyle="1" w:styleId="209">
    <w:name w:val="标题123 字符"/>
    <w:basedOn w:val="208"/>
    <w:link w:val="207"/>
    <w:qFormat/>
    <w:uiPriority w:val="0"/>
    <w:rPr>
      <w:rFonts w:ascii="黑体" w:hAnsi="宋体" w:eastAsia="黑体" w:cs="黑体"/>
      <w:b/>
      <w:bCs/>
      <w:color w:val="000000"/>
      <w:sz w:val="44"/>
      <w:szCs w:val="44"/>
    </w:rPr>
  </w:style>
  <w:style w:type="character" w:customStyle="1" w:styleId="210">
    <w:name w:val="标题 字符"/>
    <w:basedOn w:val="42"/>
    <w:link w:val="35"/>
    <w:qFormat/>
    <w:uiPriority w:val="0"/>
    <w:rPr>
      <w:rFonts w:eastAsia="黑体" w:asciiTheme="majorHAnsi" w:hAnsiTheme="majorHAnsi" w:cstheme="majorBidi"/>
      <w:b/>
      <w:bCs/>
      <w:sz w:val="44"/>
      <w:szCs w:val="32"/>
    </w:rPr>
  </w:style>
  <w:style w:type="character" w:customStyle="1" w:styleId="211">
    <w:name w:val="标题 6 字符"/>
    <w:basedOn w:val="42"/>
    <w:link w:val="7"/>
    <w:qFormat/>
    <w:uiPriority w:val="9"/>
    <w:rPr>
      <w:rFonts w:asciiTheme="majorHAnsi" w:hAnsiTheme="majorHAnsi" w:eastAsiaTheme="majorEastAsia" w:cstheme="majorBidi"/>
      <w:b/>
      <w:bCs/>
      <w:sz w:val="24"/>
      <w:szCs w:val="24"/>
    </w:rPr>
  </w:style>
  <w:style w:type="table" w:customStyle="1" w:styleId="212">
    <w:name w:val="网格型1"/>
    <w:basedOn w:val="4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13">
    <w:name w:val="List Paragraph"/>
    <w:basedOn w:val="1"/>
    <w:qFormat/>
    <w:uiPriority w:val="99"/>
    <w:pPr>
      <w:ind w:firstLine="420"/>
    </w:pPr>
  </w:style>
  <w:style w:type="character" w:customStyle="1" w:styleId="214">
    <w:name w:val="批注文字 字符"/>
    <w:basedOn w:val="42"/>
    <w:link w:val="14"/>
    <w:qFormat/>
    <w:uiPriority w:val="0"/>
    <w:rPr>
      <w:rFonts w:asciiTheme="minorHAnsi" w:hAnsiTheme="minorHAnsi" w:eastAsiaTheme="minorEastAsia" w:cstheme="minorBidi"/>
      <w:sz w:val="21"/>
      <w:szCs w:val="24"/>
    </w:rPr>
  </w:style>
  <w:style w:type="character" w:customStyle="1" w:styleId="215">
    <w:name w:val="批注主题 字符"/>
    <w:basedOn w:val="214"/>
    <w:link w:val="36"/>
    <w:qFormat/>
    <w:uiPriority w:val="0"/>
    <w:rPr>
      <w:rFonts w:asciiTheme="minorHAnsi" w:hAnsiTheme="minorHAnsi" w:eastAsiaTheme="minorEastAsia" w:cstheme="minorBidi"/>
      <w:b/>
      <w:bCs/>
      <w:sz w:val="21"/>
      <w:szCs w:val="24"/>
    </w:rPr>
  </w:style>
  <w:style w:type="character" w:customStyle="1" w:styleId="216">
    <w:name w:val="批注框文本 字符"/>
    <w:basedOn w:val="42"/>
    <w:link w:val="23"/>
    <w:qFormat/>
    <w:uiPriority w:val="0"/>
    <w:rPr>
      <w:rFonts w:asciiTheme="minorHAnsi" w:hAnsiTheme="minorHAnsi" w:eastAsiaTheme="minorEastAsia" w:cstheme="minorBidi"/>
      <w:sz w:val="18"/>
      <w:szCs w:val="18"/>
    </w:rPr>
  </w:style>
  <w:style w:type="character" w:customStyle="1" w:styleId="217">
    <w:name w:val="标题 3 字符"/>
    <w:basedOn w:val="42"/>
    <w:link w:val="4"/>
    <w:semiHidden/>
    <w:qFormat/>
    <w:uiPriority w:val="0"/>
    <w:rPr>
      <w:rFonts w:ascii="宋体" w:hAnsi="宋体" w:cs="宋体"/>
      <w:b/>
      <w:sz w:val="28"/>
      <w:szCs w:val="22"/>
    </w:rPr>
  </w:style>
  <w:style w:type="character" w:customStyle="1" w:styleId="218">
    <w:name w:val="标题 4 字符"/>
    <w:basedOn w:val="42"/>
    <w:link w:val="5"/>
    <w:semiHidden/>
    <w:qFormat/>
    <w:uiPriority w:val="0"/>
    <w:rPr>
      <w:rFonts w:ascii="Arial" w:hAnsi="Arial" w:cs="宋体"/>
      <w:b/>
      <w:sz w:val="24"/>
      <w:szCs w:val="22"/>
    </w:rPr>
  </w:style>
  <w:style w:type="character" w:customStyle="1" w:styleId="219">
    <w:name w:val="标题 5 字符"/>
    <w:basedOn w:val="42"/>
    <w:link w:val="6"/>
    <w:semiHidden/>
    <w:qFormat/>
    <w:uiPriority w:val="0"/>
    <w:rPr>
      <w:rFonts w:ascii="宋体" w:hAnsi="宋体" w:cs="宋体"/>
      <w:b/>
      <w:sz w:val="28"/>
      <w:szCs w:val="22"/>
    </w:rPr>
  </w:style>
  <w:style w:type="character" w:customStyle="1" w:styleId="220">
    <w:name w:val="正文文本缩进 字符"/>
    <w:basedOn w:val="42"/>
    <w:link w:val="16"/>
    <w:qFormat/>
    <w:uiPriority w:val="0"/>
    <w:rPr>
      <w:rFonts w:asciiTheme="minorHAnsi" w:hAnsiTheme="minorHAnsi" w:eastAsiaTheme="minorEastAsia" w:cstheme="minorBidi"/>
      <w:sz w:val="21"/>
      <w:szCs w:val="24"/>
    </w:rPr>
  </w:style>
  <w:style w:type="character" w:customStyle="1" w:styleId="221">
    <w:name w:val="正文文本首行缩进 2 字符"/>
    <w:basedOn w:val="220"/>
    <w:link w:val="38"/>
    <w:qFormat/>
    <w:uiPriority w:val="0"/>
    <w:rPr>
      <w:rFonts w:asciiTheme="minorHAnsi" w:hAnsiTheme="minorHAnsi" w:eastAsiaTheme="minorEastAsia" w:cstheme="minorBidi"/>
      <w:sz w:val="21"/>
      <w:szCs w:val="24"/>
    </w:rPr>
  </w:style>
  <w:style w:type="character" w:customStyle="1" w:styleId="222">
    <w:name w:val="标题 2 字符"/>
    <w:link w:val="3"/>
    <w:semiHidden/>
    <w:qFormat/>
    <w:uiPriority w:val="0"/>
    <w:rPr>
      <w:rFonts w:ascii="宋体" w:hAnsi="宋体"/>
      <w:b/>
      <w:bCs/>
      <w:sz w:val="36"/>
      <w:szCs w:val="36"/>
    </w:rPr>
  </w:style>
  <w:style w:type="paragraph" w:customStyle="1" w:styleId="223">
    <w:name w:val="纯文本1"/>
    <w:basedOn w:val="1"/>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楷体_GB2312" w:cs="Times New Roman"/>
      <w:sz w:val="28"/>
      <w:szCs w:val="20"/>
      <w:lang w:val="en-US" w:eastAsia="zh-CN" w:bidi="ar"/>
    </w:rPr>
  </w:style>
  <w:style w:type="paragraph" w:customStyle="1" w:styleId="224">
    <w:name w:val="Heading 21"/>
    <w:basedOn w:val="1"/>
    <w:next w:val="1"/>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customStyle="1" w:styleId="225">
    <w:name w:val="普通(网站)12"/>
    <w:basedOn w:val="1"/>
    <w:qFormat/>
    <w:uiPriority w:val="0"/>
    <w:pPr>
      <w:spacing w:beforeAutospacing="1" w:afterAutospacing="1"/>
      <w:jc w:val="left"/>
    </w:pPr>
    <w:rPr>
      <w:rFonts w:cs="Times New Roman"/>
      <w:sz w:val="24"/>
    </w:rPr>
  </w:style>
  <w:style w:type="character" w:customStyle="1" w:styleId="226">
    <w:name w:val="font51"/>
    <w:basedOn w:val="42"/>
    <w:qFormat/>
    <w:uiPriority w:val="0"/>
    <w:rPr>
      <w:rFonts w:hint="eastAsia" w:ascii="宋体" w:hAnsi="宋体" w:eastAsia="宋体" w:cs="宋体"/>
      <w:color w:val="000000"/>
      <w:sz w:val="20"/>
      <w:szCs w:val="20"/>
      <w:u w:val="none"/>
    </w:rPr>
  </w:style>
  <w:style w:type="character" w:customStyle="1" w:styleId="227">
    <w:name w:val="font01"/>
    <w:basedOn w:val="42"/>
    <w:qFormat/>
    <w:uiPriority w:val="0"/>
    <w:rPr>
      <w:rFonts w:hint="eastAsia" w:ascii="宋体" w:hAnsi="宋体" w:eastAsia="宋体" w:cs="宋体"/>
      <w:color w:val="000000"/>
      <w:sz w:val="22"/>
      <w:szCs w:val="22"/>
      <w:u w:val="none"/>
    </w:rPr>
  </w:style>
  <w:style w:type="character" w:customStyle="1" w:styleId="228">
    <w:name w:val="font131"/>
    <w:basedOn w:val="42"/>
    <w:qFormat/>
    <w:uiPriority w:val="0"/>
    <w:rPr>
      <w:rFonts w:ascii="Segoe UI Symbol" w:hAnsi="Segoe UI Symbol" w:eastAsia="Segoe UI Symbol" w:cs="Segoe UI Symbol"/>
      <w:color w:val="000000"/>
      <w:sz w:val="20"/>
      <w:szCs w:val="20"/>
      <w:u w:val="none"/>
    </w:rPr>
  </w:style>
  <w:style w:type="paragraph" w:customStyle="1" w:styleId="229">
    <w:name w:val="_Style 13"/>
    <w:qFormat/>
    <w:uiPriority w:val="0"/>
    <w:pPr>
      <w:spacing w:before="120" w:after="120" w:line="288" w:lineRule="auto"/>
      <w:ind w:left="0"/>
      <w:jc w:val="left"/>
    </w:pPr>
    <w:rPr>
      <w:rFonts w:hint="default" w:ascii="Arial" w:hAnsi="Arial" w:eastAsia="等线" w:cs="Arial"/>
      <w:sz w:val="22"/>
      <w:szCs w:val="22"/>
    </w:rPr>
  </w:style>
  <w:style w:type="paragraph" w:customStyle="1" w:styleId="230">
    <w:name w:val="标题 11"/>
    <w:basedOn w:val="1"/>
    <w:next w:val="1"/>
    <w:qFormat/>
    <w:uiPriority w:val="0"/>
    <w:pPr>
      <w:spacing w:before="39"/>
      <w:ind w:left="120"/>
      <w:outlineLvl w:val="0"/>
    </w:pPr>
    <w:rPr>
      <w:sz w:val="27"/>
      <w:szCs w:val="27"/>
    </w:rPr>
  </w:style>
  <w:style w:type="paragraph" w:customStyle="1" w:styleId="231">
    <w:name w:val="Table Text"/>
    <w:basedOn w:val="1"/>
    <w:semiHidden/>
    <w:qFormat/>
    <w:uiPriority w:val="0"/>
    <w:rPr>
      <w:rFonts w:ascii="宋体" w:hAnsi="宋体" w:eastAsia="宋体" w:cs="宋体"/>
      <w:sz w:val="24"/>
      <w:szCs w:val="24"/>
    </w:rPr>
  </w:style>
  <w:style w:type="paragraph" w:customStyle="1" w:styleId="232">
    <w:name w:val="普通(网站)1"/>
    <w:basedOn w:val="1"/>
    <w:qFormat/>
    <w:uiPriority w:val="0"/>
    <w:pPr>
      <w:widowControl/>
      <w:spacing w:before="100" w:beforeAutospacing="1" w:after="100" w:afterAutospacing="1" w:line="360" w:lineRule="auto"/>
      <w:ind w:firstLine="420"/>
      <w:jc w:val="left"/>
    </w:pPr>
    <w:rPr>
      <w:rFonts w:ascii="宋体" w:hAnsi="宋体" w:eastAsia="宋体" w:cs="宋体"/>
      <w:color w:val="000000"/>
      <w:sz w:val="24"/>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4496F2-8972-4A23-A1CA-F9AA555E9041}">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127</Pages>
  <Words>14089</Words>
  <Characters>15123</Characters>
  <TotalTime>3</TotalTime>
  <ScaleCrop>false</ScaleCrop>
  <LinksUpToDate>false</LinksUpToDate>
  <CharactersWithSpaces>15276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陈辉</cp:lastModifiedBy>
  <dcterms:modified xsi:type="dcterms:W3CDTF">2026-08-31T07:27:45Z</dcterms:modified>
  <cp:revision>229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C89DFDF25F21453AAAE1EC683AC96DE9_13</vt:lpwstr>
  </property>
  <property fmtid="{D5CDD505-2E9C-101B-9397-08002B2CF9AE}" pid="4" name="KSOTemplateDocerSaveRecord">
    <vt:lpwstr>eyJoZGlkIjoiOGNjNDM3YjE1ZmFjNDY2OWQ2MjY3N2I1ZWI0OGI2ZTQiLCJ1c2VySWQiOiI3MjY2ODQwMDkifQ==</vt:lpwstr>
  </property>
</Properties>
</file>