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84"/>
        </w:rPr>
        <w:t xml:space="preserve"> </w:t>
      </w:r>
      <w:r/>
    </w:p>
    <w:p>
      <w:pPr>
        <w:ind w:left="0" w:right="0" w:firstLine="0"/>
        <w:jc w:val="center"/>
        <w:spacing w:before="12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询 价 文 件</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项目名称：盐城市大丰区2026年秋粮抗逆防灾物资采购项目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项目编号：JSZC-320904-YCHY-X2026-0003</w:t>
        <w:tab/>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盐城市大丰区农业农村局</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盐城宏源工程管理有限公司</w:t>
      </w:r>
      <w:r/>
    </w:p>
    <w:p>
      <w:pPr>
        <w:ind w:left="0" w:right="0" w:firstLine="0"/>
        <w:jc w:val="center"/>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二〇二六年八月</w:t>
      </w:r>
      <w:r/>
    </w:p>
    <w:p>
      <w:pPr>
        <w:ind w:left="0" w:right="0" w:firstLine="3780"/>
        <w:jc w:val="both"/>
        <w:spacing w:before="120" w:after="12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120" w:after="12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Hei" w:hAnsi="SimHei" w:eastAsia="SimHei" w:cs="SimHei"/>
          <w:b/>
          <w:color w:val="000000"/>
          <w:sz w:val="44"/>
          <w:u w:val="none"/>
        </w:rPr>
        <w:t xml:space="preserve">总</w:t>
      </w:r>
      <w:r>
        <w:rPr>
          <w:rFonts w:ascii="SimHei" w:hAnsi="SimHei" w:eastAsia="SimHei" w:cs="SimHei"/>
          <w:b/>
          <w:color w:val="000000"/>
          <w:sz w:val="44"/>
        </w:rPr>
        <w:t xml:space="preserve">  </w:t>
      </w:r>
      <w:r>
        <w:rPr>
          <w:rFonts w:ascii="SimHei" w:hAnsi="SimHei" w:eastAsia="SimHei" w:cs="SimHei"/>
          <w:b/>
          <w:color w:val="000000"/>
          <w:sz w:val="44"/>
          <w:u w:val="none"/>
        </w:rPr>
        <w:t xml:space="preserve">目</w:t>
      </w:r>
      <w:r>
        <w:rPr>
          <w:rFonts w:ascii="SimSun" w:hAnsi="SimSun" w:eastAsia="SimSun" w:cs="SimSun"/>
          <w:b/>
          <w:color w:val="000000"/>
          <w:sz w:val="44"/>
          <w:u w:val="none"/>
        </w:rPr>
        <w:t xml:space="preserve">  </w:t>
      </w:r>
      <w:r>
        <w:rPr>
          <w:rFonts w:ascii="SimHei" w:hAnsi="SimHei" w:eastAsia="SimHei" w:cs="SimHei"/>
          <w:b/>
          <w:color w:val="000000"/>
          <w:sz w:val="44"/>
          <w:u w:val="none"/>
        </w:rPr>
        <w:t xml:space="preserve">录</w:t>
      </w:r>
      <w:r/>
    </w:p>
    <w:p>
      <w:pPr>
        <w:ind w:left="2160" w:right="0" w:hanging="1440"/>
        <w:jc w:val="both"/>
        <w:spacing w:before="0" w:after="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160" w:right="0" w:hanging="1440"/>
        <w:jc w:val="both"/>
        <w:spacing w:before="0" w:after="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询价公告……………………………………3</w:t>
      </w:r>
      <w:r/>
    </w:p>
    <w:p>
      <w:pPr>
        <w:ind w:left="2160" w:right="0" w:hanging="1440"/>
        <w:jc w:val="both"/>
        <w:spacing w:before="0" w:after="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供应商须知…………………………………7 </w:t>
      </w:r>
      <w:r/>
    </w:p>
    <w:p>
      <w:pPr>
        <w:ind w:left="2160" w:right="0" w:hanging="1440"/>
        <w:jc w:val="both"/>
        <w:spacing w:before="0" w:after="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合同条款……………………………………17</w:t>
      </w:r>
      <w:r/>
    </w:p>
    <w:p>
      <w:pPr>
        <w:ind w:left="2160" w:right="0" w:hanging="1440"/>
        <w:jc w:val="both"/>
        <w:spacing w:before="0" w:after="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采购需求……………………………………22</w:t>
      </w:r>
      <w:r/>
    </w:p>
    <w:p>
      <w:pPr>
        <w:ind w:left="2160" w:right="0" w:hanging="1440"/>
        <w:jc w:val="both"/>
        <w:spacing w:before="0" w:after="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响应文件格式………………………………24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第一部分询 价 公 告</w:t>
      </w:r>
      <w:r/>
    </w:p>
    <w:p>
      <w:pPr>
        <w:ind w:left="0" w:right="0" w:firstLine="480"/>
        <w:jc w:val="both"/>
        <w:spacing w:before="0" w:after="0" w:line="47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47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盐城市大丰区2026年秋粮抗逆防灾物资采购项目</w:t>
      </w:r>
      <w:r>
        <w:rPr>
          <w:rFonts w:ascii="SimSun" w:hAnsi="SimSun" w:eastAsia="SimSun" w:cs="SimSun"/>
          <w:color w:val="000000"/>
          <w:sz w:val="24"/>
        </w:rPr>
        <w:t xml:space="preserve">的潜在供应商应在</w:t>
      </w:r>
      <w:r>
        <w:rPr>
          <w:rFonts w:ascii="SimSun" w:hAnsi="SimSun" w:eastAsia="SimSun" w:cs="SimSun"/>
          <w:color w:val="000000"/>
          <w:sz w:val="24"/>
          <w:highlight w:val="white"/>
        </w:rPr>
        <w:t xml:space="preserve">“苏采云”系统内免费下载（投标人必须在苏采云系统中获取询价文件，方能参与政府采购项目）</w:t>
      </w:r>
      <w:r>
        <w:rPr>
          <w:rFonts w:ascii="SimSun" w:hAnsi="SimSun" w:eastAsia="SimSun" w:cs="SimSun"/>
          <w:color w:val="000000"/>
          <w:sz w:val="24"/>
        </w:rPr>
        <w:t xml:space="preserve">，并于</w:t>
      </w:r>
      <w:r>
        <w:rPr>
          <w:rFonts w:ascii="SimSun" w:hAnsi="SimSun" w:eastAsia="SimSun" w:cs="SimSun"/>
          <w:color w:val="000000"/>
          <w:sz w:val="24"/>
          <w:u w:val="single"/>
        </w:rPr>
        <w:t xml:space="preserve">2026年9月1日15点30分（</w:t>
      </w:r>
      <w:r>
        <w:rPr>
          <w:rFonts w:ascii="SimSun" w:hAnsi="SimSun" w:eastAsia="SimSun" w:cs="SimSun"/>
          <w:color w:val="000000"/>
          <w:sz w:val="24"/>
        </w:rPr>
        <w:t xml:space="preserve">北京时间）前递交响应文件。</w:t>
      </w:r>
      <w:r/>
    </w:p>
    <w:p>
      <w:pPr>
        <w:ind w:left="0" w:right="0" w:firstLine="49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1.项目编号：JSZC-320904-YCHY-X2026-0003</w:t>
        <w:tab/>
        <w:tab/>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2.项目名称：盐城市大丰区2026年秋粮抗逆防灾物资采购项目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3.采购方式：询价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4.预算金额：176.3万元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5.最高限价（如有）：总价176.3万元，控制价1.4万元/吨。供应商投标单价超过上述最高限价的作无效标论处。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6.采购需求：</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7"/>
        <w:gridCol w:w="1545"/>
        <w:gridCol w:w="3751"/>
        <w:gridCol w:w="700"/>
        <w:gridCol w:w="1264"/>
        <w:gridCol w:w="1177"/>
      </w:tblGrid>
      <w:tr>
        <w:trPr>
          <w:trHeight w:val="1087"/>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17" w:type="dxa"/>
            <w:vAlign w:val="center"/>
            <w:textDirection w:val="lrTb"/>
            <w:noWrap w:val="false"/>
          </w:tcPr>
          <w:p>
            <w:pPr>
              <w:ind w:left="0" w:right="0" w:firstLine="0"/>
              <w:jc w:val="center"/>
              <w:spacing w:before="0" w:after="21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545" w:type="dxa"/>
            <w:vAlign w:val="center"/>
            <w:textDirection w:val="lrTb"/>
            <w:noWrap w:val="false"/>
          </w:tcPr>
          <w:p>
            <w:pPr>
              <w:ind w:left="0" w:right="0" w:firstLine="0"/>
              <w:jc w:val="center"/>
              <w:spacing w:before="0" w:after="21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751" w:type="dxa"/>
            <w:vAlign w:val="center"/>
            <w:textDirection w:val="lrTb"/>
            <w:noWrap w:val="false"/>
          </w:tcPr>
          <w:p>
            <w:pPr>
              <w:ind w:left="0" w:right="0" w:firstLine="0"/>
              <w:jc w:val="center"/>
              <w:spacing w:before="0" w:after="21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产品参数、防治对象、包装规格</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700" w:type="dxa"/>
            <w:vAlign w:val="center"/>
            <w:textDirection w:val="lrTb"/>
            <w:noWrap w:val="false"/>
          </w:tcPr>
          <w:p>
            <w:pPr>
              <w:ind w:left="0" w:right="0" w:firstLine="0"/>
              <w:jc w:val="center"/>
              <w:spacing w:before="0" w:after="21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264" w:type="dxa"/>
            <w:vAlign w:val="center"/>
            <w:textDirection w:val="lrTb"/>
            <w:noWrap w:val="false"/>
          </w:tcPr>
          <w:p>
            <w:pPr>
              <w:ind w:left="0" w:right="0" w:firstLine="0"/>
              <w:jc w:val="center"/>
              <w:spacing w:before="0" w:after="21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控制单价（元/吨）</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177" w:type="dxa"/>
            <w:vAlign w:val="center"/>
            <w:textDirection w:val="lrTb"/>
            <w:noWrap w:val="false"/>
          </w:tcPr>
          <w:p>
            <w:pPr>
              <w:ind w:left="0" w:right="0" w:firstLine="0"/>
              <w:jc w:val="center"/>
              <w:spacing w:before="0" w:after="21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p>
            <w:pPr>
              <w:ind w:left="0" w:right="0" w:firstLine="0"/>
              <w:jc w:val="center"/>
              <w:spacing w:before="0" w:after="21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r>
        <w:trPr>
          <w:trHeight w:val="145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1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45" w:type="dxa"/>
            <w:vAlign w:val="center"/>
            <w:textDirection w:val="lrTb"/>
            <w:noWrap w:val="false"/>
          </w:tcPr>
          <w:p>
            <w:pPr>
              <w:ind w:left="0" w:right="0" w:firstLine="0"/>
              <w:jc w:val="center"/>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磷酸二氢钾</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751" w:type="dxa"/>
            <w:vAlign w:val="center"/>
            <w:textDirection w:val="lrTb"/>
            <w:noWrap w:val="false"/>
          </w:tcPr>
          <w:p>
            <w:pPr>
              <w:ind w:left="0" w:right="0" w:firstLine="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膨化、闪溶、研磨等工艺（需提供企业标准证明），粉剂，磷酸二氢钾的质量分数≥98%，水溶性五氧化二磷的质量分数≥51%，氧化钾的质量分数≥33.8%，其他成分符合行业标准HG/T2321-2016，包装要求：10—25kg/袋，以供应大包装为主，方便规模种植主体使用，供应商应配置15%左右1kg/袋的小包装（以采购人实际需求为准），方便分发到户。采购人有权调整包装规格，供应商须无条件配合采购人提供，且不增加任何费用，投标时须提供产品外包装图片。本项目实施足额采购。</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00"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64"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140000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77" w:type="dxa"/>
            <w:vAlign w:val="center"/>
            <w:textDirection w:val="lrTb"/>
            <w:noWrap w:val="false"/>
          </w:tcPr>
          <w:p>
            <w:pPr>
              <w:ind w:left="0" w:right="0" w:firstLine="0"/>
              <w:jc w:val="center"/>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1763000</w:t>
            </w:r>
            <w:r/>
          </w:p>
        </w:tc>
      </w:tr>
    </w:tbl>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履行期限：确定为成交人后，5个日历天内供货完成，并通过采购人验收。（因本项目涉及应急救灾，为保障生产安全，如成交人无法在规定时间内按采购人要求供货到位，则采购人有权终止合同并没收其履约保证金，造成的损失均由成交人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8.本项目不接受联合体参与本项目的询价。</w:t>
      </w:r>
      <w:r/>
    </w:p>
    <w:p>
      <w:pPr>
        <w:ind w:left="0" w:right="0" w:firstLine="49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2.上一年度的财务状况报告（成立不满一年不需提供）。</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6.单位负责人为同一人或者存在直接控股、管理关系的不同供应商，不得同时参加本项目采购活动。</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本项目无落实政府采购政策需满足的资格要求</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w:t>
      </w:r>
      <w:r>
        <w:rPr>
          <w:rFonts w:ascii="SimSun" w:hAnsi="SimSun" w:eastAsia="SimSun" w:cs="SimSun"/>
          <w:color w:val="000000"/>
          <w:sz w:val="24"/>
          <w:u w:val="none"/>
        </w:rPr>
        <w:t xml:space="preserve">特定资格要求</w:t>
      </w:r>
      <w:r>
        <w:rPr>
          <w:rFonts w:ascii="SimSun" w:hAnsi="SimSun" w:eastAsia="SimSun" w:cs="SimSun"/>
          <w:color w:val="000000"/>
          <w:sz w:val="24"/>
        </w:rPr>
        <w:t xml:space="preserve">： </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投标人需是产品的生产商或经销商，生产商需提供本次投标产品的企业标准证明文件；经销商需提供有效的生产企业授权书、本次投标产品的企业标准证明文件；</w:t>
      </w:r>
      <w:r/>
    </w:p>
    <w:p>
      <w:pPr>
        <w:ind w:left="0" w:right="0" w:firstLine="49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三、获取询价文件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w:t>
      </w:r>
      <w:r>
        <w:rPr>
          <w:rFonts w:ascii="SimSun" w:hAnsi="SimSun" w:eastAsia="SimSun" w:cs="SimSun"/>
          <w:color w:val="000000"/>
          <w:sz w:val="24"/>
        </w:rPr>
        <w:t xml:space="preserve">自询价文件公告发布之日起3个工作日。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2.地点：“苏采云”系统，网址：</w:t>
      </w:r>
      <w:hyperlink r:id="rId12" w:tooltip="https://jszfcg.jsczt.cn/" w:history="1">
        <w:r>
          <w:rPr>
            <w:rStyle w:val="744"/>
            <w:rFonts w:ascii="SimSun" w:hAnsi="SimSun" w:eastAsia="SimSun" w:cs="SimSun"/>
            <w:color w:val="0000ee"/>
            <w:sz w:val="24"/>
            <w:u w:val="single"/>
          </w:rPr>
          <w:t xml:space="preserve">https://jszfcg.jsczt.cn</w:t>
        </w:r>
        <w:r>
          <w:rPr>
            <w:rStyle w:val="744"/>
            <w:rFonts w:ascii="SimSun" w:hAnsi="SimSun" w:eastAsia="SimSun" w:cs="SimSun"/>
            <w:color w:val="0000ee"/>
            <w:sz w:val="24"/>
            <w:u w:val="none"/>
          </w:rPr>
          <w:t xml:space="preserve"> </w:t>
        </w:r>
      </w:hyperlink>
      <w:r>
        <w:rPr>
          <w:rFonts w:ascii="SimSun" w:hAnsi="SimSun" w:eastAsia="SimSun" w:cs="SimSun"/>
          <w:color w:val="000000"/>
          <w:sz w:val="24"/>
        </w:rPr>
        <w:t xml:space="preserve">（投标人必须在苏采云系统中获取询价采购文件，方能参与政府采购项目）；</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3.方式：本项目采用网上注册登记方式。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p>
    <w:p>
      <w:pPr>
        <w:ind w:left="0" w:right="0" w:firstLine="49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1.截止时间：</w:t>
      </w:r>
      <w:r>
        <w:rPr>
          <w:rFonts w:ascii="SimSun" w:hAnsi="SimSun" w:eastAsia="SimSun" w:cs="SimSun"/>
          <w:color w:val="000000"/>
          <w:sz w:val="24"/>
          <w:u w:val="single"/>
        </w:rPr>
        <w:t xml:space="preserve">2026年9月1日15点30分</w:t>
      </w:r>
      <w:r>
        <w:rPr>
          <w:rFonts w:ascii="SimSun" w:hAnsi="SimSun" w:eastAsia="SimSun" w:cs="SimSun"/>
          <w:color w:val="000000"/>
          <w:sz w:val="24"/>
        </w:rPr>
        <w:t xml:space="preserve">（北京时间）。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2.地点：“苏采云”系统（网址：</w:t>
      </w:r>
      <w:hyperlink r:id="rId13" w:tooltip="https://jszfcg.jsczt.cn/" w:history="1">
        <w:r>
          <w:rPr>
            <w:rStyle w:val="744"/>
            <w:rFonts w:ascii="SimSun" w:hAnsi="SimSun" w:eastAsia="SimSun" w:cs="SimSun"/>
            <w:color w:val="0000ee"/>
            <w:sz w:val="24"/>
            <w:u w:val="single"/>
          </w:rPr>
          <w:t xml:space="preserve">https://jszfcg.jsczt.cn</w:t>
        </w:r>
        <w:r>
          <w:rPr>
            <w:rStyle w:val="744"/>
            <w:rFonts w:ascii="SimSun" w:hAnsi="SimSun" w:eastAsia="SimSun" w:cs="SimSun"/>
            <w:color w:val="0000ee"/>
            <w:sz w:val="24"/>
            <w:u w:val="none"/>
          </w:rPr>
          <w:t xml:space="preserve"> </w:t>
        </w:r>
      </w:hyperlink>
      <w:r>
        <w:rPr>
          <w:rFonts w:ascii="SimSun" w:hAnsi="SimSun" w:eastAsia="SimSun" w:cs="SimSun"/>
          <w:color w:val="000000"/>
          <w:sz w:val="24"/>
        </w:rPr>
        <w:t xml:space="preserve">）“开标大厅” 。</w:t>
      </w:r>
      <w:r/>
    </w:p>
    <w:p>
      <w:pPr>
        <w:ind w:left="0" w:right="0" w:firstLine="49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五、开启</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w:t>
      </w:r>
      <w:r>
        <w:rPr>
          <w:rFonts w:ascii="SimSun" w:hAnsi="SimSun" w:eastAsia="SimSun" w:cs="SimSun"/>
          <w:color w:val="000000"/>
          <w:sz w:val="24"/>
          <w:u w:val="single"/>
        </w:rPr>
        <w:t xml:space="preserve">2026年9月1日15点30分</w:t>
      </w:r>
      <w:r>
        <w:rPr>
          <w:rFonts w:ascii="SimSun" w:hAnsi="SimSun" w:eastAsia="SimSun" w:cs="SimSun"/>
          <w:color w:val="000000"/>
          <w:sz w:val="24"/>
        </w:rPr>
        <w:t xml:space="preserve">（北京时间）。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2.地点：“苏采云”系统（网址：</w:t>
      </w:r>
      <w:hyperlink r:id="rId14" w:tooltip="https://jszfcg.jsczt.cn/" w:history="1">
        <w:r>
          <w:rPr>
            <w:rStyle w:val="744"/>
            <w:rFonts w:ascii="SimSun" w:hAnsi="SimSun" w:eastAsia="SimSun" w:cs="SimSun"/>
            <w:color w:val="0000ee"/>
            <w:sz w:val="24"/>
            <w:u w:val="single"/>
          </w:rPr>
          <w:t xml:space="preserve">https://jszfcg.jsczt.cn</w:t>
        </w:r>
        <w:r>
          <w:rPr>
            <w:rStyle w:val="744"/>
            <w:rFonts w:ascii="SimSun" w:hAnsi="SimSun" w:eastAsia="SimSun" w:cs="SimSun"/>
            <w:color w:val="0000ee"/>
            <w:sz w:val="24"/>
            <w:u w:val="none"/>
          </w:rPr>
          <w:t xml:space="preserve"> </w:t>
        </w:r>
      </w:hyperlink>
      <w:r>
        <w:rPr>
          <w:rFonts w:ascii="SimSun" w:hAnsi="SimSun" w:eastAsia="SimSun" w:cs="SimSun"/>
          <w:color w:val="000000"/>
          <w:sz w:val="24"/>
        </w:rPr>
        <w:t xml:space="preserve">）“开标大厅”。</w:t>
      </w:r>
      <w:r/>
    </w:p>
    <w:p>
      <w:pPr>
        <w:pStyle w:val="704"/>
        <w:ind w:left="0" w:right="0" w:firstLine="482"/>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56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numPr>
          <w:ilvl w:val="0"/>
          <w:numId w:val="13"/>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其他补充事宜</w:t>
      </w:r>
      <w:r/>
    </w:p>
    <w:p>
      <w:pPr>
        <w:numPr>
          <w:ilvl w:val="0"/>
          <w:numId w:val="14"/>
        </w:numPr>
        <w:jc w:val="both"/>
        <w:spacing w:before="0" w:after="0" w:line="479" w:lineRule="atLeast"/>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w:t>
      </w:r>
      <w:r>
        <w:rPr>
          <w:rFonts w:ascii="SimSun" w:hAnsi="SimSun" w:eastAsia="SimSun" w:cs="SimSun"/>
          <w:color w:val="000000"/>
          <w:sz w:val="24"/>
          <w:highlight w:val="white"/>
        </w:rPr>
        <w:t xml:space="preserve">请至</w:t>
      </w:r>
      <w:r>
        <w:rPr>
          <w:rFonts w:ascii="SimSun" w:hAnsi="SimSun" w:eastAsia="SimSun" w:cs="SimSun"/>
          <w:color w:val="000000"/>
          <w:sz w:val="24"/>
        </w:rPr>
        <w:t xml:space="preserve">盐城市盐都区府西路1号盐城市政务服务中心4楼盐城市公共资源交易中心10号、11号窗口</w:t>
      </w:r>
      <w:r>
        <w:rPr>
          <w:rFonts w:ascii="SimSun" w:hAnsi="SimSun" w:eastAsia="SimSun" w:cs="SimSun"/>
          <w:color w:val="000000"/>
          <w:sz w:val="24"/>
          <w:highlight w:val="white"/>
        </w:rPr>
        <w:t xml:space="preserve">办理，联系电话：15051556883，办理邮箱：yancheng@ideabank.net.cn</w:t>
      </w:r>
      <w:r>
        <w:rPr>
          <w:rFonts w:ascii="SimSun" w:hAnsi="SimSun" w:eastAsia="SimSun" w:cs="SimSun"/>
          <w:color w:val="000000"/>
          <w:sz w:val="24"/>
        </w:rPr>
        <w:t xml:space="preserve">，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2.潜在供应商访问电子招标响应交易平台的网络地址和方法：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2.1“苏采云”系统用户注册－－获取“CA 数字证书”--CA 绑定与登录--参与投 标--下载</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文件（后缀名为“kedt”）--将后缀名为“kedt”的</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潜在投标人访问“苏采云”系统方法：江苏省政府采购网首页－“苏采云”链接。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文件（后缀名为“kedt”）、供应商操作手册及政府采购客户端 工具可通过“苏采云”系统相应链接进行下载。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采购代理机构将数据电文形式的</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文件加载至“苏采云”系统，供潜在供应商下载或者查阅。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请潜在投标单位提前安装相应的控件（详见《“苏采云”系统供应商操作手册》）并使用谷歌浏览器登录“苏采云”系统参与不见面开评标。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如潜在投标人未按上述要求操作，将自行承担所产生的风险。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有关本次询价的事项若存在变动或修改，敬请及时关注采购代理机构在“中国政府采购网”“江苏政府采购网”“盐城市政府采购网”发布的更正公告。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本次询价不收取询价保证金，不收取质量保证金。</w:t>
      </w:r>
      <w:r/>
    </w:p>
    <w:p>
      <w:pPr>
        <w:pStyle w:val="704"/>
        <w:ind w:left="0" w:right="0" w:firstLine="482"/>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单位名称：盐城市大丰区农业农村局</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单位地址：盐城市大丰区健康西路15号</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联系人：刘女士</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联系电话：13813413997</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2.采购代理机构信息（如有）</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单位名称：盐城宏源工程管理有限公司</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址：盐城市大丰区黄海西路南侧富贵园小区2幢201室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联系人：朱亮峰</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联系电话：15950328527</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项目联系人：朱亮峰</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电话：15950328527　 </w:t>
      </w:r>
      <w:r/>
    </w:p>
    <w:p>
      <w:pPr>
        <w:ind w:left="0" w:right="84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w:t>
      </w:r>
      <w:r>
        <w:rPr>
          <w:rFonts w:ascii="SimSun" w:hAnsi="SimSun" w:eastAsia="SimSun" w:cs="SimSun"/>
          <w:b/>
          <w:color w:val="000000"/>
          <w:sz w:val="44"/>
        </w:rPr>
        <w:t xml:space="preserve">  </w:t>
      </w:r>
      <w:r>
        <w:rPr>
          <w:rFonts w:ascii="SimHei" w:hAnsi="SimHei" w:eastAsia="SimHei" w:cs="SimHei"/>
          <w:b/>
          <w:color w:val="000000"/>
          <w:sz w:val="44"/>
        </w:rPr>
        <w:t xml:space="preserve">供应商须知</w:t>
      </w:r>
      <w:r/>
    </w:p>
    <w:p>
      <w:pPr>
        <w:ind w:left="0" w:right="0" w:firstLine="498"/>
        <w:jc w:val="both"/>
        <w:spacing w:before="145" w:after="145"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一、总则</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采购方式</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本次政府采购活动采取询价采购（以下简称询价）方式，本询价文件仅适用于询价公告中所述项目。</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合格的供应商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2.1满足询价公告中供应商资格要求的规定。</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满足本询价文件实质性要求和条件的规定。</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w:t>
      </w:r>
      <w:r>
        <w:rPr>
          <w:rFonts w:ascii="SimSun" w:hAnsi="SimSun" w:eastAsia="SimSun" w:cs="SimSun"/>
          <w:color w:val="000000"/>
          <w:sz w:val="24"/>
        </w:rPr>
        <w:t xml:space="preserve">适用法律和标准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本次询价及由此产生的合同受中华人民共和国有关的法律法规制约和保护。</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 在本项目政府采购活动过程中，如果所执行的标准有更新的，按照最新标准执行。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4.询价费用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4.1供应商应自行承担所有与参加本次询价有关的费用，无论询价过程中的做法和结果如何，采购人或采购代理机构在任何情况下均无义务和责任承担这些费用。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4.2本项目代理服务费由中标人支付，参照苏政采协〔2024〕20号文货物类收费标准。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5.询价文件的约束力</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5.1供应商一旦参加本项目采购活动，即被认为接受了本询价文件的规定和约束。</w:t>
      </w:r>
      <w:r/>
    </w:p>
    <w:p>
      <w:pPr>
        <w:ind w:left="0" w:right="0" w:firstLine="321"/>
        <w:jc w:val="both"/>
        <w:spacing w:before="145" w:after="145"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w:t>
      </w:r>
      <w:r>
        <w:rPr>
          <w:rFonts w:ascii="SimSun" w:hAnsi="SimSun" w:eastAsia="SimSun" w:cs="SimSun"/>
          <w:b/>
          <w:color w:val="000000"/>
          <w:sz w:val="24"/>
        </w:rPr>
        <w:t xml:space="preserve">询价文件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6.</w:t>
      </w:r>
      <w:r>
        <w:rPr>
          <w:rFonts w:ascii="SimSun" w:hAnsi="SimSun" w:eastAsia="SimSun" w:cs="SimSun"/>
          <w:color w:val="000000"/>
          <w:sz w:val="24"/>
        </w:rPr>
        <w:t xml:space="preserve">询价文件构成</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6.1询价文件由以下部分组成：</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（1）询价公告</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（5）响应文件格式</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请仔细检查询价文件是否齐全，如有缺漏请立即与采购人或采购代理机构联系解决。</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w:t>
      </w:r>
      <w:r>
        <w:rPr>
          <w:rFonts w:ascii="SimSun" w:hAnsi="SimSun" w:eastAsia="SimSun" w:cs="SimSun"/>
          <w:color w:val="000000"/>
          <w:sz w:val="24"/>
        </w:rPr>
        <w:t xml:space="preserve">询价文件的澄清</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任何要求对询价文件进行澄清的供应商，应在询价截止期3个工作日前按询价公告中的通讯地址，以书面形式通知采购人或采购代理机构。</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w:t>
      </w:r>
      <w:r>
        <w:rPr>
          <w:rFonts w:ascii="SimSun" w:hAnsi="SimSun" w:eastAsia="SimSun" w:cs="SimSun"/>
          <w:color w:val="000000"/>
          <w:sz w:val="24"/>
        </w:rPr>
        <w:t xml:space="preserve">询价文件的澄清和修改</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在响应文件提交截止时间前，采购人或采购代理机构可以对询价文件进行澄清和修改， 澄清或者修改的内容作为询价文件的组成部分。澄清或者修改的内容可能影响响应文件编制的，</w:t>
      </w:r>
      <w:r>
        <w:rPr>
          <w:rFonts w:ascii="SimSun" w:hAnsi="SimSun" w:eastAsia="SimSun" w:cs="SimSun"/>
          <w:color w:val="000000"/>
          <w:sz w:val="24"/>
          <w:u w:val="none"/>
        </w:rPr>
        <w:t xml:space="preserve">采购人或采购代理机构</w:t>
      </w:r>
      <w:r>
        <w:rPr>
          <w:rFonts w:ascii="SimSun" w:hAnsi="SimSun" w:eastAsia="SimSun" w:cs="SimSun"/>
          <w:color w:val="000000"/>
          <w:sz w:val="24"/>
        </w:rPr>
        <w:t xml:space="preserve">将在提交首次响应文件截止时间至少3个工作日前，在“中国政府采购网”“江苏政府采购网”“盐城市政府采购网”上发布书面更正公告形式通知所有获取询价文件的供应商， 更正公告内容将作为询价文件的组成部分，并对供应商具有约束力。不足3个工作日的，采购人或采购代理机构将顺延提交首次响应文件截止时间。</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8.2采购人或采购代理机构可以视采购项目的具体情况，组织供应商进行现场考察或召开询价前答疑会，但不单独或分别组织只有一个供应商参加的现场考察和答疑会。</w:t>
      </w:r>
      <w:r/>
    </w:p>
    <w:p>
      <w:pPr>
        <w:ind w:left="0" w:right="0" w:firstLine="482"/>
        <w:jc w:val="both"/>
        <w:spacing w:before="145" w:after="145"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三、响应文件的编制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w:t>
      </w:r>
      <w:r>
        <w:rPr>
          <w:rFonts w:ascii="SimSun" w:hAnsi="SimSun" w:eastAsia="SimSun" w:cs="SimSun"/>
          <w:color w:val="000000"/>
          <w:sz w:val="24"/>
        </w:rPr>
        <w:t xml:space="preserve">响应文件的语言及度量衡单位</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9.1供应商提交的响应文件以及供应商与采购人或采购代理机构就有关询价的所有来往通知、函件和文件均应使用简体中文。</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w:t>
      </w:r>
      <w:r>
        <w:rPr>
          <w:rFonts w:ascii="SimSun" w:hAnsi="SimSun" w:eastAsia="SimSun" w:cs="SimSun"/>
          <w:color w:val="000000"/>
          <w:sz w:val="24"/>
        </w:rPr>
        <w:t xml:space="preserve">响应文件构成</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10.1供应商编写的响应文件应包括资格证明文件、符合性证明文件、分项报价表、技术要求响应及偏离表、商务要求响应及偏离表、其他证明文件、询价响应函等部分。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如标书制作工具中格式和内容与“中国政府采购网”“江苏政府采购网”“盐城市政府采购网”发布的询价文件不一致，请以“中国政府采购网”“江苏政府采购网”“盐城市政府采购网”发布的询价文件为准。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w:t>
      </w:r>
      <w:r>
        <w:rPr>
          <w:rFonts w:ascii="SimSun" w:hAnsi="SimSun" w:eastAsia="SimSun" w:cs="SimSun"/>
          <w:color w:val="000000"/>
          <w:sz w:val="24"/>
        </w:rPr>
        <w:t xml:space="preserve">证明询价响应标的符合询价文件规定的文件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11.1供应商应按照询价文件要求提交证明文件，证明其及询价响应标的符合询价文件规定。</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11.2询价文件对证明文件无明确形式要求的，证明文件可以以文字资料、图纸和数据等形式提交。</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12.分项报价表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12.1供应商应按照询价文件规定格式填报分项报价表。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12.2询价货币。响应文件中的单价和总价无特殊规定的采用人民币报价，以元为单位标注。询价文件中另有规定的按规定执行。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13.1供应商需对询价文件中的技术要求与商务要求逐项作出响应或偏离，并说明原因。</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14.服务承诺、培训计划、人员安排及其他</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14.1供应商需根据询价文件要求提供有关售后服务的管理制度，售后服务机构的分布情况，售后服务人员的数量、素质、技术水平及售后服务的反应能力等。</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14.2供应商需根据询价文件要求提供培训计划。</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14.3供应商需根据询价文件要求提供询价响应标的的主要组成部分、功能设计、实现思路及关键技术等。</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15.</w:t>
      </w:r>
      <w:r>
        <w:rPr>
          <w:rFonts w:ascii="SimSun" w:hAnsi="SimSun" w:eastAsia="SimSun" w:cs="SimSun"/>
          <w:color w:val="000000"/>
          <w:sz w:val="24"/>
        </w:rPr>
        <w:t xml:space="preserve">询价响应函</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15.1供应商应按照询价文件中提供的格式完整、正确填写询价响应函。</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16.</w:t>
      </w:r>
      <w:r>
        <w:rPr>
          <w:rFonts w:ascii="SimSun" w:hAnsi="SimSun" w:eastAsia="SimSun" w:cs="SimSun"/>
          <w:color w:val="000000"/>
          <w:sz w:val="24"/>
        </w:rPr>
        <w:t xml:space="preserve">询价有效期</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16.1询价有效期为采购人或采购代理机构规定的提交响应文件截止之日后九十（90）天。询价有效期比规定短的将被视为非实质性响应询价文件而予以拒绝。</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17.询价有效期的延长</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或采购代理机构于原询价有效期满之前，可向供应商提出延长询价有效期的要求。这种要求与答复均应采用书面形式。供应商可以拒绝采购人或采购代理机构的这一要求而放弃询价，同意延长询价有效期的供应商既不能要求也不允许修改其响应文件。受询价有效期约束的所有权利与义务均延长至新的有效期。</w:t>
      </w:r>
      <w:r/>
    </w:p>
    <w:p>
      <w:pPr>
        <w:ind w:left="0" w:right="0" w:firstLine="482"/>
        <w:jc w:val="both"/>
        <w:spacing w:before="145" w:after="145"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四、响应文件的递交</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18.</w:t>
      </w:r>
      <w:r>
        <w:rPr>
          <w:rFonts w:ascii="SimSun" w:hAnsi="SimSun" w:eastAsia="SimSun" w:cs="SimSun"/>
          <w:color w:val="000000"/>
          <w:sz w:val="24"/>
        </w:rPr>
        <w:t xml:space="preserve">电子询价响应文件的递交</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19.提交响应文件截止时间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19.1供应商上传电子响应文件的时间不得迟于询价公告中规定的提交响应文件截止时间。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供应商应充分考虑到网络环境、网络带宽等风险因素，如因供应商自身原因造成的电子响应文件上传不成功的按照本询价文件第二章第26.3.2条规定作无效响应处理。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采购人或采购代理机构可以按照规定，通过修改询价文件酌情延长提交响应文件截止日期，在此情况下，供应商的所有权利和义务以及供应商受制的截止日期均应以延长后新的截止日期为准。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20.响应文件的拒收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采购人或采购代理机构拒绝接收在其规定的提交响应文件截止时间后上传的任何电子响应文件。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21.响应文件的撤回和修改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21.1.2供应商撤回电子响应文件，则认为其不再参与本项目询价活动。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在提交响应文件截止时间之后，供应商不得对其电子响应文件作任何修改。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在提交响应文件截止时间至询价文件中规定的询价有效期满之间的这段时间内，供应商不得撤回其响应文件。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五、响应文件的解密与评审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22.响应文件解密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22.1供应商应当按照《操作手册》规定，在苏采云系统规定的时间内对询价响应文件进行解密。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23.询价小组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23.1采购人或采购代理机构将组织询价小组对响应文件进行评审。询价小组由采购人代表和有关技术、经济等方面的专家组成，且人员构成符合政府采购有关规定。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23.2询价小组独立工作，负责评审所有响应文件并确定成交候选人。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24.评审过程的保密与公正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24.1询价小组、采购人和采购代理机构工作人员、相关监督人员等与评审工作有关的人员，对评审情况以及在评审过程中获悉的国家秘密、商业秘密负有保密责任。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24.2在评审过程中，供应商不得以任何行为影响询价评审过程，否则其响应文件将被作为无效响应文件。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24.3在项目评审期间，采购代理机构将设专门人员与供应商联系。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采购人和询价小组不向未成交的供应商解释未成交原因，也不公布评审过程中的相关细节。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w:t>
      </w:r>
      <w:r>
        <w:rPr>
          <w:rFonts w:ascii="SimSun" w:hAnsi="SimSun" w:eastAsia="SimSun" w:cs="SimSun"/>
          <w:color w:val="000000"/>
          <w:sz w:val="24"/>
        </w:rPr>
        <w:t xml:space="preserve">评审过程中的澄清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询价小组并非对每个供应商都作澄清要求。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接到询价小组澄清、说明和更正要求的供应商如未按规定作出澄清、说明和 更正，其风险由供应商自行承担。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w:t>
      </w:r>
      <w:r>
        <w:rPr>
          <w:rFonts w:ascii="SimSun" w:hAnsi="SimSun" w:eastAsia="SimSun" w:cs="SimSun"/>
          <w:color w:val="000000"/>
          <w:sz w:val="24"/>
        </w:rPr>
        <w:t xml:space="preserve">对响应文件的审查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资格审查：由询价小组依据法律法规和询价文件的规定，对响应文件中的资格证明文件进行审查，以确定供应商是否具备参加询价的资格。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询价小组在进行资格审查的同时，将在“信用中国”网站（www.creditchina.gov.cn）查询供应商的信用记录，以确定供应商是否具备询价资格，将查询结果留存并归档。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w:t>
      </w:r>
      <w:r>
        <w:rPr>
          <w:rFonts w:ascii="SimSun" w:hAnsi="SimSun" w:eastAsia="SimSun" w:cs="SimSun"/>
          <w:color w:val="000000"/>
          <w:sz w:val="24"/>
          <w:u w:val="none"/>
        </w:rPr>
        <w:t xml:space="preserve">依据询价文件的规定，由询价小组从响应文件的有效性、完整性和对询价文件的响应程度进行审查，以确定是否对询价文件的实质性要求作出响应。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未通过资格审查或符合性审查的供应商，询价小组将在苏采云系统中告知未通过资格审查或符合性审查的原因，评审结束后，询价小组将不再告知未通过资格审查或符合性审查的原因。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26.2在详细评审之前，询价小组将首先审查每份响应文件是否实质性响应了询价文件的要求。实质性响应的响应文件应该是与询价文件要求的条款、条件和规格相符，没有重大偏离或保留。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询价文件规定的实质性要求存在负偏离，或者在实质上与询价文件不一致，而且限制了合同中买方和采购人或采购代理机构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26.3未实质性响应询价文件的情形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26.3.2供应商未按照询价文件要求上传电子响应文件的。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26.3.3同一供应商提交两个（含两个）以上不同的响应文件或者报价的。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26.3.4供应商不具备询价文件中规定资格要求的。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26.3.5供应商的报价超过了采购预算。</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26.3.6不符合询价文件中规定的实质性要求和条件的</w:t>
      </w:r>
      <w:r>
        <w:rPr>
          <w:rFonts w:ascii="SimSun" w:hAnsi="SimSun" w:eastAsia="SimSun" w:cs="SimSun"/>
          <w:i/>
          <w:color w:val="000000"/>
          <w:sz w:val="24"/>
          <w:u w:val="single"/>
        </w:rPr>
        <w:t xml:space="preserve">（本询价文件中斜体且有下划线部分为实质性要求和条件）。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26.3.9供应商不能证明其报价合理性的，询价小组应当将其作为无效响应处理。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（一）评审过程中出现下列情形之一的，询价小组应当启动异常低价响应审查程序：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1.投标（响应）报价低于全部通过符合性审查供应商投标（响应）报价平均值50%的，即投标（响应）报价〈全部通过符合性审查供应商投标（响应）报价平均值×50%；</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2.投标（响应）报价低于通过符合性审查的次低报价供应商投标（响应）报价50%的，即投标（响应）报价〈通过符合性审查的次低报价供应商投标（响应）报价×50%；</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3.投标（响应）报价低于采购项目最高限价45%的，即投标（响应）报价〈采购项目最高限价×45%；</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采购人可以结合具体项目实际情况，提高上述第1项至第3项中启动异常低价投标（响应）审查的数值标准，但是最高不得超过65%。</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26.3.10响应文件未按照询价文件要求加盖CA电子公章的。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26.4未实质性响应询价文件的响应文件按无效响应处理。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26.5如果响应文件实质上没有响应询价文件的要求，询价小组将予以拒绝，供应商不得通过修改或撤销不符合要求的偏离或保留而使其成为实质性响应的文件。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26.6供应商在项目评审全过程中应</w:t>
      </w:r>
      <w:r>
        <w:rPr>
          <w:rFonts w:ascii="SimSun" w:hAnsi="SimSun" w:eastAsia="SimSun" w:cs="SimSun"/>
          <w:color w:val="000000"/>
          <w:sz w:val="24"/>
        </w:rPr>
        <w:t xml:space="preserve">保持通信畅通，并安排专人与采购人及询价小组联系。</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27.询价程序及成交原则</w:t>
      </w:r>
      <w:r/>
    </w:p>
    <w:p>
      <w:pPr>
        <w:ind w:left="0" w:right="0" w:firstLine="478"/>
        <w:jc w:val="both"/>
        <w:spacing w:before="0" w:after="145" w:line="479" w:lineRule="atLeast"/>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27.1询价程序</w:t>
      </w:r>
      <w:r/>
    </w:p>
    <w:p>
      <w:pPr>
        <w:ind w:left="0" w:right="0" w:firstLine="478"/>
        <w:jc w:val="both"/>
        <w:spacing w:before="0" w:after="145" w:line="479" w:lineRule="atLeast"/>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r/>
    </w:p>
    <w:p>
      <w:pPr>
        <w:ind w:left="0" w:right="0" w:firstLine="478"/>
        <w:jc w:val="both"/>
        <w:spacing w:before="0" w:after="145" w:line="479" w:lineRule="atLeast"/>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成交原则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27.2.1询价小组将从质量和服务均能满足</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文件实质性响应要求的供应商中，按照报价由低到高顺序推荐2名成交候选供应商，并编写评审报告。</w:t>
      </w:r>
      <w:r>
        <w:rPr>
          <w:rFonts w:ascii="SimSun" w:hAnsi="SimSun" w:eastAsia="SimSun" w:cs="SimSun"/>
          <w:b/>
          <w:color w:val="000000"/>
          <w:sz w:val="24"/>
        </w:rPr>
        <w:t xml:space="preserve">其中第1、2成交人合同份额依次约占60%、40%，第二成交人合同单价应按第一成交人合同单价执行，若第二成交人不予执行，则视为放弃合同。第二成交人放弃后，采购人将推荐第三名成交候选供应商为第二成交人，合同单价按第一成交人成交单价执行。若第二、三名成交候选人均不同意按上述规定执行，则本项目合同内容均由第一成交人供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 提供相同品牌相同型号产品且通过资格审查、符合性审查的不同供应商参加同一合同项下响应的，按一家供应商计算，在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 供应商的报价如相同，则优先采购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展改革委最新公布的《节能产品品目清单》内的产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 采购人在确定成交供应商后，采购人或采购代理机构将在“中国政府采购网”“江苏政府采购网”“盐城市政府采购网”发布成交结果公告，公告期限为1个工作日。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27.2.5对小微型企业、监狱企业和残疾人福利单位的价格扣除（如为专门面向中小企业采购的项目，不执行价格扣除）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①本项目对小型和微型企业提供的服务（制造的货物）给予20%的扣除价格，用扣除后的价格参与评审。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②供应商需按照采购文件的要求提供相应的《小微企业声明函》。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③企业标准请参照《关于印发中小企业划型标准规定的通知》（工信部联企业〔2011〕300号）文件规定自行填写。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①本项目对残疾人福利性单位视同小型、微型企业，给予20%的扣除价格，用扣除后的价格参与评审。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②残疾人福利单位需按照采购文件的要求提供《残疾人福利性单位声明函》。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③残疾人福利单位标准请参照《关于促进残疾人就业政府采购政策的通知》（财库〔2017〕141号）。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①本项目对监狱和戒毒企业（简称监狱企业）视同小型、微型企业，给予20%的扣除价格，用扣除后的价格参与评审。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③监狱企业标准请参照《关于政府采购支持监狱企业发展有关问题的通知》（财库〔2014〕68号）。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参加询价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（6）联合体各方均为小型、微型企业（残疾人福利单位、监狱企业）的，联合体享受20%的扣除价格，用扣除后的价格参与评审。</w:t>
      </w:r>
      <w:r/>
    </w:p>
    <w:p>
      <w:pPr>
        <w:ind w:left="0" w:right="0" w:firstLine="478"/>
        <w:jc w:val="both"/>
        <w:spacing w:before="0" w:after="145" w:line="479" w:lineRule="atLeast"/>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360"/>
        <w:jc w:val="both"/>
        <w:spacing w:before="0" w:after="145" w:line="479" w:lineRule="atLeast"/>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出现下列情形之一的，本次竞争性询价采购活动将被终止：</w:t>
      </w:r>
      <w:r/>
    </w:p>
    <w:p>
      <w:pPr>
        <w:ind w:left="0" w:right="0" w:firstLine="360"/>
        <w:jc w:val="both"/>
        <w:spacing w:before="0" w:after="145" w:line="479" w:lineRule="atLeast"/>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27.3.1因情况变化，不再符合规定的询价采购方式适用情形的。</w:t>
      </w:r>
      <w:r/>
    </w:p>
    <w:p>
      <w:pPr>
        <w:ind w:left="0" w:right="0" w:firstLine="360"/>
        <w:jc w:val="both"/>
        <w:spacing w:before="0" w:after="145" w:line="479" w:lineRule="atLeast"/>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360"/>
        <w:jc w:val="both"/>
        <w:spacing w:before="0" w:after="145" w:line="479" w:lineRule="atLeast"/>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27.3.3在采购过程中符合要求的供应商或者报价未超过采购预算的供应商不足3家的。</w:t>
      </w:r>
      <w:r/>
    </w:p>
    <w:p>
      <w:pPr>
        <w:ind w:left="0" w:right="0" w:firstLine="360"/>
        <w:jc w:val="both"/>
        <w:spacing w:before="0" w:after="145" w:line="479" w:lineRule="atLeast"/>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28.成交供应商被取消成交资格情形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若有充分证据证明，成交供应商出现下列情况之一的，一经查实，将被取消成交资格：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28.1提供虚假材料谋取成交的。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28.2与评审专家、采购人、其他供应商或者采购代理机构工作人员恶意串通的。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28.3向评审专家、采购人或采购代理机构工作人员行贿或者提供其他不正当利益的。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28.4恶意竞争，报价明显低于其自身合理成本且又无法提供证明的。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28.5不满足本询价文件规定的实质性要求，但在评审过程中又未被询价小组发现的。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28.6成交后无正当理由拒不与采购人签订政府采购合同或者未按照询价文件确定的事项签订政府采购合同的。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28.7将政府采购合同转包的。</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文件的，可以对</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文件、</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过程和</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结果使自己的权益受到损害的，可以在知道或应知其权益受到损害之日起七个工作日内，以书面形式根据下述29.4条款的规定向采购人或采购代理机构提出质疑。上述应知其权益受到损害之日，是指：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文件提出质疑的，为收到</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文件之日或者采购</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29.2.2对</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过程提出质疑的，为各</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29.2.3对成交结果提出质疑的，为成交结果公告期限届满之日。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询价文件中《质疑函范本》要求的格式和内容进行填写。供应商如组成联合体参加询价，则《质疑函范本》中要求签字、盖章、加盖公章之处，联合体各方均须按要求签字、盖章、加盖公章。</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采购方式、采购需求、供应商资格条件、评审方法与评审标准、合同文本的询问、质疑请向采购人提出，由采购人负责答复。供应商对其他事项的询问、质疑请向采购人或采购代理机构提出，由采购人或采购代理机构负责答复。</w:t>
      </w:r>
      <w:r/>
    </w:p>
    <w:p>
      <w:pPr>
        <w:ind w:left="0" w:right="0" w:firstLine="480"/>
        <w:spacing w:before="0" w:after="0" w:line="479" w:lineRule="atLeast"/>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采购人及采购代理机构只接收以纸质原件形式送达的质疑，采购人或采购代理机构不接受未填写快递运单的快件。质疑接收部门为采购人或采购代理机构业务受理处。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未参加询价活动的供应商或在询价活动中自身权益未受到损害的供应商所提出的质疑。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29.5.5供应商组成联合体参加询价，联合体中任何一方或多方未按要求签字、盖章、加盖公章的质疑。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30.成交通知书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七、授予合同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31.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31.l成交供应商应当在成交通知书发出之日起三十日内，按照询价文件确定的事项与采购人签订政府采购合同。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31.2询价文件、成交供应商的响应文件及询价过程中有关澄清、承诺文件均应作为合同附件。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。未经采购人同意，成交供应商也不得采用分包形式履行合同，否则采购人有权终止合同。转包或分包造成采购人损失的，成交供应商应承担相应赔偿责任。</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32.标的物的追加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474" w:right="0" w:firstLine="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33.政府采购政策功能落实</w:t>
      </w:r>
      <w:r/>
    </w:p>
    <w:p>
      <w:pPr>
        <w:ind w:left="0" w:right="0" w:firstLine="48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33.1政府采购线上合同信用融资政策</w:t>
      </w:r>
      <w:r/>
    </w:p>
    <w:p>
      <w:pPr>
        <w:ind w:left="0" w:right="0" w:firstLine="48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82"/>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33.2进口产品</w:t>
      </w:r>
      <w:r/>
    </w:p>
    <w:p>
      <w:pPr>
        <w:ind w:left="0" w:right="0" w:firstLine="48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2"/>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33.3中小企业、监狱企业及残疾人福利性单位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33.3.1中小企业定义：</w:t>
      </w:r>
      <w:r/>
    </w:p>
    <w:p>
      <w:pPr>
        <w:ind w:left="0" w:right="0" w:firstLine="48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w:t>
      </w:r>
      <w:r>
        <w:rPr>
          <w:rFonts w:ascii="SimSun" w:hAnsi="SimSun" w:eastAsia="SimSun" w:cs="SimSun"/>
          <w:color w:val="000000"/>
          <w:sz w:val="24"/>
        </w:rPr>
        <w:t xml:space="preserve"> 号）。</w:t>
      </w:r>
      <w:r/>
    </w:p>
    <w:p>
      <w:pPr>
        <w:ind w:left="0" w:right="0" w:firstLine="48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33.3.2供应商提供的货物、工程或者服务符合下列情形的，享受中小企业扶持政策：</w:t>
      </w:r>
      <w:r/>
    </w:p>
    <w:p>
      <w:pPr>
        <w:ind w:left="0" w:right="0" w:firstLine="48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33.3.2.1在货物采购项目中，货物由中小企业制造，即货物由中小企业生产且使用该中小企业商号或者注册商标；</w:t>
      </w:r>
      <w:r/>
    </w:p>
    <w:p>
      <w:pPr>
        <w:ind w:left="0" w:right="0" w:firstLine="48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33.3.2.2在工程采购项目中，工程由中小企业承建，即工程施工单位为中小企业；</w:t>
      </w:r>
      <w:r/>
    </w:p>
    <w:p>
      <w:pPr>
        <w:ind w:left="0" w:right="0" w:firstLine="48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33.3.2.3在服务采购项目中，服务由中小企业承接，即提供服务的人员为中小企业依照《中华人民共和国劳动合同法》订立劳动合同的从业人员。</w:t>
      </w:r>
      <w:r/>
    </w:p>
    <w:p>
      <w:pPr>
        <w:ind w:left="0" w:right="0" w:firstLine="48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33.3.3在货物采购项目中，供应商提供的货物既有中小企业制造货物，也有大型企业制造货物的，不享受中小企业扶持政策。</w:t>
      </w:r>
      <w:r/>
    </w:p>
    <w:p>
      <w:pPr>
        <w:ind w:left="0" w:right="0" w:firstLine="48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33.3.4以联合体形式参加政府采购活动，联合体各方均为中小企业的，联合体视同中小企业。其中，联合体各方均为小微企业的，联合体视同小微企业。</w:t>
      </w:r>
      <w:r/>
    </w:p>
    <w:p>
      <w:pPr>
        <w:ind w:left="0" w:right="0" w:firstLine="48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33.3.6残疾人福利单位定义：享受政府采购支持政策的残疾人福利性单位应当同时满足以下条件：</w:t>
      </w:r>
      <w:r/>
    </w:p>
    <w:p>
      <w:pPr>
        <w:ind w:left="0" w:right="0" w:firstLine="48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33.3.6.1安置的残疾人占本单位在职职工人数的比例不低于25%（含25%），并且安置的残疾人人数不少于10 人（含10 人）；</w:t>
      </w:r>
      <w:r/>
    </w:p>
    <w:p>
      <w:pPr>
        <w:ind w:left="0" w:right="0" w:firstLine="48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33.3.6.2依法与安置的每位残疾人签订了一年以上（含一年）的劳动合同或服务协议；</w:t>
      </w:r>
      <w:r/>
    </w:p>
    <w:p>
      <w:pPr>
        <w:ind w:left="0" w:right="0" w:firstLine="48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33.3.6.3为安置的每位残疾人按月足额缴纳了基本养老保险、基本医疗保险、失业保险、工伤保险和生育保险等社会保险费；</w:t>
      </w:r>
      <w:r/>
    </w:p>
    <w:p>
      <w:pPr>
        <w:ind w:left="0" w:right="0" w:firstLine="48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33.3.6.4通过银行等金融机构向安置的每位残疾人，按月支付了不低于单位所在区县适用的经省级人民政府批准的月最低工资标准的工资；</w:t>
      </w:r>
      <w:r/>
    </w:p>
    <w:p>
      <w:pPr>
        <w:ind w:left="0" w:right="0" w:firstLine="48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33.3.6.5提供本单位制造的货物、承担的工程或者服务（以下简称产品），或者提供其他残疾人福利性单位制造的货物（不包括使用非残疾人福利性单位注册商标的货物）；</w:t>
      </w:r>
      <w:r/>
    </w:p>
    <w:p>
      <w:pPr>
        <w:ind w:left="0" w:right="0" w:firstLine="48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33.3.7本项目是否专门面向中小企业预留采购份额见第一章《询价公告》。</w:t>
      </w:r>
      <w:r/>
    </w:p>
    <w:p>
      <w:pPr>
        <w:ind w:left="0" w:right="0" w:firstLine="48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33.3.8采购标的对应的中小企业划分标准所属行业见第四章《采购需求》。</w:t>
      </w:r>
      <w:r/>
    </w:p>
    <w:p>
      <w:pPr>
        <w:ind w:left="0" w:right="0" w:firstLine="48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33.3.9小微企业价格评审优惠的政策：见第二章第27.2.5条。</w:t>
      </w:r>
      <w:r/>
    </w:p>
    <w:p>
      <w:pPr>
        <w:ind w:left="0" w:right="0" w:firstLine="482"/>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33.4政府采购节能产品、环境标志产品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SimSun" w:hAnsi="SimSun" w:eastAsia="SimSun" w:cs="SimSun"/>
          <w:b/>
          <w:i/>
          <w:color w:val="000000"/>
          <w:sz w:val="24"/>
        </w:rPr>
        <w:t xml:space="preserve">如属政府强制采购产品未提供认证证书的或认证证书提供不全的将视为未实质性响应采购要求</w:t>
      </w:r>
      <w:r>
        <w:rPr>
          <w:rFonts w:ascii="SimSun" w:hAnsi="SimSun" w:eastAsia="SimSun" w:cs="SimSun"/>
          <w:i/>
          <w:color w:val="000000"/>
          <w:sz w:val="24"/>
        </w:rPr>
        <w:t xml:space="preserve">。</w:t>
      </w:r>
      <w:r>
        <w:rPr>
          <w:rFonts w:ascii="SimSun" w:hAnsi="SimSun" w:eastAsia="SimSun" w:cs="SimSun"/>
          <w:color w:val="000000"/>
          <w:sz w:val="24"/>
        </w:rPr>
        <w:t xml:space="preserve">其他条件相同情况下，应当优先采购节能产品、环境标志产品。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2"/>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33.5绿色包装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82"/>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33.6政府采购创新产品</w:t>
      </w:r>
      <w:r/>
    </w:p>
    <w:p>
      <w:pPr>
        <w:ind w:left="0" w:right="0" w:firstLine="47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采购人优先采购各级政府部门公开发布的有效期内的创新产品、创新服务、首台套、首购首用等《目录》的创新产品。</w:t>
      </w:r>
      <w:r/>
    </w:p>
    <w:p>
      <w:pPr>
        <w:ind w:left="0" w:right="0" w:firstLine="482"/>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33.7绿色数据中心政策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文件中若涉及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ascii="SimSun" w:hAnsi="SimSun" w:eastAsia="SimSun" w:cs="SimSun"/>
          <w:color w:val="000000"/>
          <w:sz w:val="24"/>
          <w:highlight w:val="white"/>
        </w:rPr>
        <w:t xml:space="preserve">询价</w:t>
      </w:r>
      <w:r>
        <w:rPr>
          <w:rFonts w:ascii="SimSun" w:hAnsi="SimSun" w:eastAsia="SimSun" w:cs="SimSun"/>
          <w:color w:val="000000"/>
          <w:sz w:val="24"/>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82"/>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33.8履约保证金政策</w:t>
      </w:r>
      <w:r/>
    </w:p>
    <w:p>
      <w:pPr>
        <w:ind w:left="0" w:right="0" w:firstLine="482"/>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履约保证金的形式：转账、履约担保或者投标人基本账户开户行出具的银行保函、保险公司保险单。</w:t>
      </w:r>
      <w:r/>
    </w:p>
    <w:p>
      <w:pPr>
        <w:ind w:left="0" w:right="0" w:firstLine="482"/>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履约保证金的金额：中标价的10%。</w:t>
      </w:r>
      <w:r/>
    </w:p>
    <w:p>
      <w:pPr>
        <w:ind w:left="0" w:right="0" w:firstLine="482"/>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2"/>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如以履约保函（保险）形式缴纳履约保证金，供应商可通过政府采购电子履约保函（保险）平台（www.jsdzbh.com）在线申请履约保函（保险）。</w:t>
      </w:r>
      <w:r/>
    </w:p>
    <w:p>
      <w:pPr>
        <w:ind w:left="0" w:right="0" w:firstLine="482"/>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left="0" w:right="0" w:firstLine="482"/>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预付款制度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本项目落实预付款制度，预付款比例为</w:t>
      </w:r>
      <w:r>
        <w:rPr>
          <w:rFonts w:ascii="SimSun" w:hAnsi="SimSun" w:eastAsia="SimSun" w:cs="SimSun"/>
          <w:color w:val="000000"/>
          <w:sz w:val="24"/>
          <w:u w:val="single"/>
        </w:rPr>
        <w:t xml:space="preserve">30</w:t>
      </w:r>
      <w:r>
        <w:rPr>
          <w:rFonts w:ascii="SimSun" w:hAnsi="SimSun" w:eastAsia="SimSun" w:cs="SimSun"/>
          <w:color w:val="000000"/>
          <w:sz w:val="24"/>
        </w:rPr>
        <w:t xml:space="preserve">%。在签订合同时，中标、成交供应商明确书面表示无需预付款或者主动要求降低预付款比例的，采购人可就预付款比例作相应调整。</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u w:val="non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第三章合同条款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SimSun" w:hAnsi="SimSun" w:eastAsia="SimSun" w:cs="SimSun"/>
          <w:color w:val="000000"/>
          <w:sz w:val="24"/>
          <w:u w:val="single"/>
        </w:rPr>
        <w:t xml:space="preserve">盐城市大丰区农业农村局</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  盐城市大丰区2026年秋粮抗逆防灾物资采购项目  </w:t>
      </w:r>
      <w:r>
        <w:rPr>
          <w:rFonts w:ascii="SimSun" w:hAnsi="SimSun" w:eastAsia="SimSun" w:cs="SimSun"/>
          <w:color w:val="000000"/>
          <w:sz w:val="24"/>
        </w:rPr>
        <w:t xml:space="preserve"> 公开招标的结果，签署本合同。</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货物名称：</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剂型：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数量（单位）：</w:t>
      </w:r>
      <w:r/>
    </w:p>
    <w:p>
      <w:pPr>
        <w:ind w:left="0" w:right="0" w:firstLine="482"/>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1.4包装标准：按采购人需求提供，采购人有权调整包装规格，乙方须无条件配合，且不增加任何费用。</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2.1成交价格（单价）：每吨  元，采购  吨，合计人民币      元（大写：        ）。指供应到户价格，包括产品生产、包装、运输、上下力资、仓储、质量检验、分发、宣传培训、保险、税费等为完成本项目发生的所有费用。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2.2根据上述合同文件要求，合同期内的供货价格不得高于本合同约定价格，并且在合同期内不受市场价格波动的影响。</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3.1乙方应按招标文件规定的时间向甲方提供有关技术资料。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乙方应保证甲方在使用、接受本合同中产品和服务或其任何一部分时不受第三方提出侵犯其专利权、版权、商标权和工业设计权等知识产权的起诉。一旦出现侵权，由乙方负全部责任。</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乙方保证所交付标的的所有权完全属于乙方且无任何抵押、查封等产权瑕疵。</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乙方交纳人民币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元作为本合同的履约保证金（合同总价10%）。该项目实施完成并验收合格后一个月内无息全额退还。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采购人对AA评级及以上政府采购供应商（需提供信用管理部门备案的第三方信用报告），免收履约保证金或降低履约保证金缴纳比例。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履约保证金形式：供应商应当以支票、汇票、本票或者金融机构、担保机构出具的保函等非现金形式提交。</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七、转包或分包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7.1本合同范围内产品或服务，应由乙方直接供应，不得转让他人供应；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除非得到甲方的书面同意，乙方不得部分分包给他人供应。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7.3如有转让和未经甲方同意的分包行为，甲方有权给予终止合同。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八、交付期、交付方式及交付地点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交货期：确定为成交人后，5个日历天内供货完成，并通过采购人验收。（因本项目涉及应急救灾，为保障生产安全，如成交人无法在规定时间内按采购人要求供货到位，则采购人有权终止合同并没收其履约保证金，造成的损失均由成交人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交货地点：按甲方指定的地点。乙方不得以批量小为由拒绝送货、供货。</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九、合同款支付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合同签订后，乙方须提供税务发票后10个工作日内支付合同价款的30%的预付款，乙方按照合同规定将中标产品送至指定地点，货到当场验收（乙方提供同批次产品检测报告）。项目实施完成经验收合格，待财政资金到账后30日内一次性结清，付款时须提供合法的税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在签订合同时，中标人明确表示无需预付款或者主动要求降低预付款比例的，采购人可不适用上述关于预付款的规定；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合同款一律通过银行非现金结算，结算方式：转账。</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十、税费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本合同执行中相关的一切税费均由乙方负担。</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十一、质量保证及售后服务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乙方应按招标文件规定的货物性能、技术要求、质量标准向甲方提供未经使用的全新产品。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乙方提供的货物在保质期内因货物本身出现质量问题，根据实际情况，经双方协商，可按以下办法处理：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⑴更换：由乙方承担所发生的全部费用。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⑵退货处理：无条件退货，并退还甲方支付的合同款，同时应承担该货物的直接费用（运输、保险、检验、货款利息及银行手续费等）。甲方不承担发生任何费用。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如在使用过程中发生质量问题，乙方在接到甲方通知后在</w:t>
      </w:r>
      <w:r>
        <w:rPr>
          <w:rFonts w:ascii="SimSun" w:hAnsi="SimSun" w:eastAsia="SimSun" w:cs="SimSun"/>
          <w:color w:val="000000"/>
          <w:sz w:val="24"/>
          <w:u w:val="single"/>
        </w:rPr>
        <w:t xml:space="preserve">24</w:t>
      </w:r>
      <w:r>
        <w:rPr>
          <w:rFonts w:ascii="SimSun" w:hAnsi="SimSun" w:eastAsia="SimSun" w:cs="SimSun"/>
          <w:color w:val="000000"/>
          <w:sz w:val="24"/>
        </w:rPr>
        <w:t xml:space="preserve">小时内到达甲方现场。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在保质期内，乙方应对货物出现的质量及安全问题负责处理解决并承担一切费用。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11.5上述货物的保质期≧18个月（自交货之日起计算）。</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十二、验收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甲方对乙方提交的货物依据招标文件上的技术规格要求和国家有关质量标准进行现场初步验收，甲乙双方同时在场，外观、说明书符合招标文件技术要求的，给予签收，并留存该批次样品，初步验收不合格的不予签收，同时，按照国家有关产品质量标准进行抽检，检测费用由乙方承担。如大丰区农户使用过程中提出异议或举报有质量问题应重新验收，包括产品质量抽检。甲方可请国家认可的有资质检测机构出具质量检测报告，检测费用由乙方承担。若质量抽检不合格，乙方承担所有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乙方交货前应对产品作出全面检查和对验收文件进行整理，并列出清单，作为甲方收货验收和使用的技术条件依据，检验的结果应随货物交给甲方。</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十三、合同内容的交付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乙方应在货物发运前对其进行满足运输距离、防潮和防破损装卸等要求包装，以保证货物安全运达甲方指定地点。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产品使用说明书、合格证一并附于货物内。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乙方在货物发运手续办理完毕后24小时内或货到甲方指定地点48小时前通知甲方，以准备接货。</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货物在交付甲方项目区前发生的风险均由乙方负责。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 货物在规定的交付期限内由乙方送达甲方指定的地点视为交付，乙方同时需通知甲方货物已送达。</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十四、违约责任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甲方无正当理由拒收货物的，甲方向乙方偿付拒收货款总值的百分之五违约金。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甲方无故逾期验收和办理货款支付手续的，甲方应按逾期付款总额每日万分之五向乙方支付违约金。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十五、不可抗力事件处理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在合同有效期内，任何一方因不可抗力事件导致不能履行合同，则合同履行期可延长，其延长期与不可抗力影响期相同。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不可抗力事件发生后，应立即通知对方，并寄送有关权威机构出具的证明。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不可抗力事件延续10天以上，双方应通过友好协商，确定是否继续履行合同。</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十六、诉讼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双方在执行合同中所发生的一切争议，应通过协商解决。如协商不成，可向合同签订地法院起诉，合同签订地在此约定为盐城市大丰区。</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十七、合同生效及其他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合同经双方法定代表人或授权委托代表人签字并加盖单位公章后生效。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17.2本合同未尽事宜，遵照《中华人民共和国民法典》《中华人民共和国政府采购法》等有关条文执行。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17.3本合同正本一式四份，具有同等法律效力，甲方二份、乙方及招标代理公司各执一份。</w:t>
      </w:r>
      <w:r/>
    </w:p>
    <w:p>
      <w:pPr>
        <w:ind w:left="420" w:right="0" w:hanging="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                                    乙方：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法定代表人或授权代表：</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联系电话：                                联系电话：</w:t>
      </w:r>
      <w:r/>
    </w:p>
    <w:p>
      <w:pPr>
        <w:ind w:left="0" w:right="0" w:firstLine="480"/>
        <w:jc w:val="both"/>
        <w:spacing w:before="0" w:after="0" w:line="113" w:lineRule="atLeast"/>
        <w:tabs>
          <w:tab w:val="left" w:pos="24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tabs>
          <w:tab w:val="left" w:pos="24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2026 年  月  日</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政府采购合同履约验收书（参考格式）</w:t>
      </w:r>
      <w:r/>
    </w:p>
    <w:p>
      <w:pPr>
        <w:ind w:left="0" w:right="0" w:firstLine="60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根据政府采购合同（编号：</w:t>
      </w:r>
      <w:r>
        <w:rPr>
          <w:rFonts w:ascii="SimSun" w:hAnsi="SimSun" w:eastAsia="SimSun" w:cs="SimSun"/>
          <w:color w:val="000000"/>
          <w:sz w:val="21"/>
          <w:u w:val="single"/>
        </w:rPr>
        <w:t xml:space="preserve">          </w:t>
      </w:r>
      <w:r>
        <w:rPr>
          <w:rFonts w:ascii="SimSun" w:hAnsi="SimSun" w:eastAsia="SimSun" w:cs="SimSun"/>
          <w:color w:val="000000"/>
          <w:sz w:val="21"/>
        </w:rPr>
        <w:t xml:space="preserve">）的约定，我单位组织对</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项目中标（成交）供应商</w:t>
      </w:r>
      <w:r>
        <w:rPr>
          <w:rFonts w:ascii="SimSun" w:hAnsi="SimSun" w:eastAsia="SimSun" w:cs="SimSun"/>
          <w:color w:val="000000"/>
          <w:sz w:val="21"/>
          <w:u w:val="single"/>
        </w:rPr>
        <w:t xml:space="preserve">（公司名称）</w:t>
      </w:r>
      <w:r>
        <w:rPr>
          <w:rFonts w:ascii="SimSun" w:hAnsi="SimSun" w:eastAsia="SimSun" w:cs="SimSun"/>
          <w:color w:val="000000"/>
          <w:sz w:val="21"/>
        </w:rPr>
        <w:t xml:space="preserve">提供的货物（工程、服务）进行了履约验收，验收情况如下：</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25"/>
        <w:gridCol w:w="2893"/>
        <w:gridCol w:w="1666"/>
        <w:gridCol w:w="2523"/>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9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82"/>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验收情况和验收意见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（可另附）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验收小组（签字）：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1"/>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供应商确认意见（签章）：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采购人确认意见（签章）：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1"/>
              </w:rPr>
              <w:t xml:space="preserve">                              年    月    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566"/>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项目属性：货物类项目。</w:t>
      </w:r>
      <w:r/>
    </w:p>
    <w:p>
      <w:pPr>
        <w:ind w:left="0" w:right="0" w:firstLine="566"/>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一、采购概况</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3"/>
        <w:gridCol w:w="1323"/>
        <w:gridCol w:w="3285"/>
        <w:gridCol w:w="754"/>
        <w:gridCol w:w="1607"/>
        <w:gridCol w:w="895"/>
      </w:tblGrid>
      <w:tr>
        <w:trPr>
          <w:trHeight w:val="66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8"/>
                <w:sz w:val="20"/>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8"/>
                <w:sz w:val="20"/>
              </w:rPr>
              <w:t xml:space="preserve">货物名称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8"/>
                <w:sz w:val="20"/>
              </w:rPr>
              <w:t xml:space="preserve">规格类型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9"/>
                <w:sz w:val="20"/>
              </w:rPr>
              <w:t xml:space="preserve">采购控制单价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8"/>
                <w:sz w:val="20"/>
              </w:rPr>
              <w:t xml:space="preserve">采购金额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8"/>
                <w:sz w:val="20"/>
              </w:rPr>
              <w:t xml:space="preserve">备注</w:t>
            </w:r>
            <w:r/>
          </w:p>
        </w:tc>
      </w:tr>
      <w:tr>
        <w:trPr>
          <w:trHeight w:val="72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8"/>
                <w:sz w:val="20"/>
              </w:rPr>
              <w:t xml:space="preserve">采购包一</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0"/>
              </w:rPr>
              <w:t xml:space="preserve">磷酸二氢钾</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0"/>
              </w:rPr>
              <w:t xml:space="preserve">具备膨化、闪溶、研磨等工艺（需提供企业标准证明），粉剂，磷酸二氢钾的质量分数≥98%，水溶性五氧化二磷的质量分数≥51%，氧化钾的质量分数≥33.8%，其他成分符合行业标准HG/T2321-2016，包装要求：10—25kg/袋，以供应大包装为主，方便规模种植主体使用，供应商应配置15%左右1kg/袋的小包装（以采购人实际需求为准），方便分发到户。采购人有权调整包装规格，供应商须无条件配合采购人提供，且不增加任何费用，投标时须提供产品外包装图片。本项目实施足额采购。</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8"/>
              </w:rPr>
              <w:t xml:space="preserve">14000元/吨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
                <w:sz w:val="20"/>
              </w:rPr>
              <w:t xml:space="preserve">176.3万元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pacing w:val="8"/>
                <w:sz w:val="20"/>
              </w:rPr>
              <w:t xml:space="preserve">足额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pacing w:val="7"/>
                <w:sz w:val="20"/>
              </w:rPr>
              <w:t xml:space="preserve">采购</w:t>
            </w:r>
            <w:r/>
          </w:p>
        </w:tc>
      </w:tr>
      <w:tr>
        <w:trPr>
          <w:trHeight w:val="416"/>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9"/>
                <w:sz w:val="20"/>
              </w:rPr>
              <w:t xml:space="preserve">采购标的需实现的功能或目标</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0"/>
              </w:rPr>
              <w:t xml:space="preserve">采购人要求全部内容</w:t>
            </w:r>
            <w:r/>
          </w:p>
        </w:tc>
      </w:tr>
      <w:tr>
        <w:trPr>
          <w:trHeight w:val="416"/>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9"/>
                <w:sz w:val="20"/>
              </w:rPr>
              <w:t xml:space="preserve">质保期要求</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0"/>
              </w:rPr>
              <w:t xml:space="preserve">质保期</w:t>
            </w:r>
            <w:r>
              <w:rPr>
                <w:rFonts w:ascii="Microsoft YaHei" w:hAnsi="Microsoft YaHei" w:eastAsia="Microsoft YaHei" w:cs="Microsoft YaHei"/>
                <w:color w:val="000000"/>
                <w:sz w:val="20"/>
                <w:u w:val="single"/>
              </w:rPr>
              <w:t xml:space="preserve"> 18个月 </w:t>
            </w:r>
            <w:r>
              <w:rPr>
                <w:rFonts w:ascii="Microsoft YaHei" w:hAnsi="Microsoft YaHei" w:eastAsia="Microsoft YaHei" w:cs="Microsoft YaHei"/>
                <w:color w:val="000000"/>
                <w:sz w:val="20"/>
              </w:rPr>
              <w:t xml:space="preserve">以上（自交货验收合格之日起计）</w:t>
            </w:r>
            <w:r/>
          </w:p>
        </w:tc>
      </w:tr>
      <w:tr>
        <w:trPr>
          <w:trHeight w:val="416"/>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9"/>
                <w:sz w:val="20"/>
              </w:rPr>
              <w:t xml:space="preserve">实施或交货时间</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5"/>
                <w:sz w:val="20"/>
              </w:rPr>
              <w:t xml:space="preserve">确定成交人后5日内供货到位</w:t>
            </w:r>
            <w:r/>
          </w:p>
        </w:tc>
      </w:tr>
      <w:tr>
        <w:trPr>
          <w:trHeight w:val="416"/>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9"/>
                <w:sz w:val="20"/>
              </w:rPr>
              <w:t xml:space="preserve">实施或交货地点</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10"/>
                <w:sz w:val="20"/>
              </w:rPr>
              <w:t xml:space="preserve">采购人指定地点（大丰区范围内）</w:t>
            </w:r>
            <w:r/>
          </w:p>
        </w:tc>
      </w:tr>
      <w:tr>
        <w:trPr>
          <w:trHeight w:val="416"/>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9"/>
                <w:sz w:val="20"/>
              </w:rPr>
              <w:t xml:space="preserve">售后服务要求</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9"/>
                <w:sz w:val="20"/>
              </w:rPr>
              <w:t xml:space="preserve">按照合同条款执行</w:t>
            </w:r>
            <w:r/>
          </w:p>
        </w:tc>
      </w:tr>
      <w:tr>
        <w:trPr>
          <w:trHeight w:val="416"/>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9"/>
                <w:sz w:val="20"/>
              </w:rPr>
              <w:t xml:space="preserve">验收标准</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9"/>
                <w:sz w:val="20"/>
              </w:rPr>
              <w:t xml:space="preserve">按照合同条款执行</w:t>
            </w:r>
            <w:r/>
          </w:p>
        </w:tc>
      </w:tr>
      <w:tr>
        <w:trPr>
          <w:trHeight w:val="416"/>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9"/>
                <w:sz w:val="20"/>
              </w:rPr>
              <w:t xml:space="preserve">备品备件及耗材等要求</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5"/>
                <w:sz w:val="20"/>
              </w:rPr>
              <w:t xml:space="preserve">无</w:t>
            </w:r>
            <w:r/>
          </w:p>
        </w:tc>
      </w:tr>
      <w:tr>
        <w:trPr>
          <w:trHeight w:val="416"/>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8"/>
                <w:sz w:val="20"/>
              </w:rPr>
              <w:t xml:space="preserve">包装标准</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8"/>
                <w:sz w:val="20"/>
              </w:rPr>
              <w:t xml:space="preserve">包装达到国标或行业标准。</w:t>
            </w:r>
            <w:r/>
          </w:p>
        </w:tc>
      </w:tr>
      <w:tr>
        <w:trPr>
          <w:trHeight w:val="416"/>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8"/>
                <w:sz w:val="20"/>
              </w:rPr>
              <w:t xml:space="preserve">付款方式</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6"/>
                <w:sz w:val="18"/>
              </w:rPr>
              <w:t xml:space="preserve">合同签订后甲方支付合同价款的30%作为预付款，乙方按照合同约定将产品送至指定地点，货到当场验收（乙方提供同批次产品检测报告）。项目实施完成经验收合格后，待财政资金到账后一次性结清，付款时需提供合法的税票。如中标单位明确书面表示无需预付款或者主动要求降低预付款比例的，采购方可就预付款比例作相应调整。</w:t>
            </w:r>
            <w:r/>
          </w:p>
        </w:tc>
      </w:tr>
      <w:tr>
        <w:trPr>
          <w:trHeight w:val="988"/>
        </w:trPr>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6"/>
                <w:sz w:val="18"/>
              </w:rPr>
              <w:t xml:space="preserve">注 ：本次采购投标人的投标总价必须与采购人的采购金额相同，投标数量精确到小数点后3位数，投标单价按元为单位精确到小数点后2位数（如出现因四舍五入原因导致投标总价超过176.3万元，则按176.3万元计算）。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6"/>
                <w:sz w:val="18"/>
              </w:rPr>
              <w:t xml:space="preserve">1.</w:t>
            </w:r>
            <w:r>
              <w:rPr>
                <w:rFonts w:ascii="Microsoft YaHei" w:hAnsi="Microsoft YaHei" w:eastAsia="Microsoft YaHei" w:cs="Microsoft YaHei"/>
                <w:color w:val="000000"/>
                <w:sz w:val="20"/>
              </w:rPr>
              <w:t xml:space="preserve">磷酸二氢钾</w:t>
            </w:r>
            <w:r>
              <w:rPr>
                <w:rFonts w:ascii="Microsoft YaHei" w:hAnsi="Microsoft YaHei" w:eastAsia="Microsoft YaHei" w:cs="Microsoft YaHei"/>
                <w:color w:val="000000"/>
                <w:spacing w:val="6"/>
                <w:sz w:val="18"/>
              </w:rPr>
              <w:t xml:space="preserve">，采购金额176.3万元；投标单价高于</w:t>
            </w:r>
            <w:r>
              <w:rPr>
                <w:rFonts w:ascii="Microsoft YaHei" w:hAnsi="Microsoft YaHei" w:eastAsia="Microsoft YaHei" w:cs="Microsoft YaHei"/>
                <w:color w:val="000000"/>
                <w:spacing w:val="6"/>
                <w:sz w:val="18"/>
                <w:u w:val="single"/>
              </w:rPr>
              <w:t xml:space="preserve">14000元/</w:t>
            </w:r>
            <w:r>
              <w:rPr>
                <w:rFonts w:ascii="Microsoft YaHei" w:hAnsi="Microsoft YaHei" w:eastAsia="Microsoft YaHei" w:cs="Microsoft YaHei"/>
                <w:color w:val="000000"/>
                <w:spacing w:val="6"/>
                <w:sz w:val="18"/>
              </w:rPr>
              <w:t xml:space="preserve">吨的为无效投标。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pacing w:val="6"/>
                <w:sz w:val="18"/>
              </w:rPr>
              <w:t xml:space="preserve">采购人根据询价小组推荐成交候选供应商确定2名成交人，其中第1、2成交人合同份额依次约占60%、40%，第2成交人合同单价应按第1成交人合同单价执行，若第2成交人不予执行，则视为放弃合同。第2成交人放弃后，采购人将确定第3名成交候选供应商为第2成交人，合同单价按第1成交人成交单价执行。若第2、3名成交候选人均不同意按上述规定执行，则本项目合同内容均由第1成交人供应。</w:t>
            </w:r>
            <w:r/>
          </w:p>
        </w:tc>
      </w:tr>
    </w:tbl>
    <w:p>
      <w:pPr>
        <w:ind w:left="0" w:right="0" w:firstLine="569"/>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二、采购标的对应的中小企业划分标准所属行业一览表</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61"/>
        <w:gridCol w:w="3333"/>
        <w:gridCol w:w="3262"/>
      </w:tblGrid>
      <w:tr>
        <w:trPr>
          <w:trHeight w:val="6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566"/>
              <w:jc w:val="both"/>
              <w:spacing w:before="156"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33" w:type="dxa"/>
            <w:vAlign w:val="center"/>
            <w:textDirection w:val="lrTb"/>
            <w:noWrap w:val="false"/>
          </w:tcPr>
          <w:p>
            <w:pPr>
              <w:ind w:left="0" w:right="0" w:firstLine="569"/>
              <w:jc w:val="center"/>
              <w:spacing w:before="156"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62" w:type="dxa"/>
            <w:vAlign w:val="center"/>
            <w:textDirection w:val="lrTb"/>
            <w:noWrap w:val="false"/>
          </w:tcPr>
          <w:p>
            <w:pPr>
              <w:ind w:left="0" w:right="0" w:firstLine="0"/>
              <w:jc w:val="both"/>
              <w:spacing w:before="156"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对应中小企业划分标准所属行业</w:t>
            </w:r>
            <w:r/>
          </w:p>
        </w:tc>
      </w:tr>
      <w:tr>
        <w:trPr>
          <w:trHeight w:val="3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156"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3" w:type="dxa"/>
            <w:vAlign w:val="center"/>
            <w:textDirection w:val="lrTb"/>
            <w:noWrap w:val="false"/>
          </w:tcPr>
          <w:p>
            <w:pPr>
              <w:ind w:left="0" w:right="0" w:firstLine="0"/>
              <w:jc w:val="center"/>
              <w:spacing w:before="156"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磷酸二氢钾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2" w:type="dxa"/>
            <w:vAlign w:val="center"/>
            <w:textDirection w:val="lrTb"/>
            <w:noWrap w:val="false"/>
          </w:tcPr>
          <w:p>
            <w:pPr>
              <w:ind w:left="0" w:right="0" w:firstLine="0"/>
              <w:jc w:val="center"/>
              <w:spacing w:before="156"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bl>
    <w:p>
      <w:pPr>
        <w:ind w:left="0" w:right="0" w:firstLine="566"/>
        <w:jc w:val="both"/>
        <w:spacing w:before="156"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Sun" w:hAnsi="SimSun" w:eastAsia="SimSun" w:cs="SimSun"/>
          <w:color w:val="000000"/>
          <w:sz w:val="44"/>
        </w:rPr>
        <w:t xml:space="preserve">  </w:t>
      </w:r>
      <w:r>
        <w:rPr>
          <w:rFonts w:ascii="SimHei" w:hAnsi="SimHei" w:eastAsia="SimHei" w:cs="SimHei"/>
          <w:color w:val="000000"/>
          <w:sz w:val="44"/>
        </w:rPr>
        <w:t xml:space="preserve">响应文件格式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二、上一年度财务状况报表（成立不满一年不需提供）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依法缴纳税收和社会保障资金的相关材料（提供提交询价响应文件截止时间前一年内至少一个月依法缴纳税收及缴纳社会保障资金的证明材料。询价供应商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 3 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六、特定资格要求的证明文件（如果本项目设置特定资格要求，则需要提供）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七、法人授权书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八、询价响应函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 关于符合本国产品标准的声明函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十三、技术要求响应及偏离表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十四、商务要求响应及偏离表</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十五、询价报价表（开标一览表）</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十六、盐城市大丰区政府采购事前信用承诺书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二、上一年度的财务状况报告</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上一年度（2024年度或2025年度）的财务状况报告（财务报告至少应当包括资产负债表、利润表，距投标截止之日止，成立不足一年的供应商，可不提供财务报告）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0" w:right="0" w:firstLine="49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2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提供提交响应文件截止时间前一年内至少一个月依法缴纳税收及缴纳社会保障资金的证明材料。供应商依法享受缓缴、免缴税收、社会保障资金的提供证明材料。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  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六、特定资格要求的证明文件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0" w:right="0" w:firstLine="48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（供应商名称）授权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72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480"/>
        <w:spacing w:before="100" w:after="10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附：被授权人身份证扫描件。</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52"/>
        <w:gridCol w:w="4111"/>
      </w:tblGrid>
      <w:tr>
        <w:trPr>
          <w:trHeight w:val="3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top"/>
            <w:textDirection w:val="lrTb"/>
            <w:noWrap w:val="false"/>
          </w:tcPr>
          <w:p>
            <w:pPr>
              <w:ind w:left="0" w:right="0" w:firstLine="0"/>
              <w:jc w:val="center"/>
              <w:spacing w:before="10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10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10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正面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top"/>
            <w:textDirection w:val="lrTb"/>
            <w:noWrap w:val="false"/>
          </w:tcPr>
          <w:p>
            <w:pPr>
              <w:ind w:left="0" w:right="0" w:firstLine="0"/>
              <w:jc w:val="center"/>
              <w:spacing w:before="10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10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10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反面</w:t>
            </w:r>
            <w:r/>
          </w:p>
        </w:tc>
      </w:tr>
    </w:tbl>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八、询价响应函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                           </w:t>
      </w:r>
      <w:r>
        <w:rPr>
          <w:rFonts w:ascii="SimSun" w:hAnsi="SimSun" w:eastAsia="SimSun" w:cs="SimSun"/>
          <w:color w:val="000000"/>
          <w:sz w:val="24"/>
        </w:rPr>
        <w:t xml:space="preserve">号询价文件，正式授权下述签字人______（姓名）代表我方______________（供应商的名称），全权处理本次项目询价的有关事宜。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据此函，兹宣布同意如下：</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1.按询价文件规定的各项要求，向买方提供所需货物、服务（包含与货物相关的服务及与服务相关的货物）。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2.我们已详细审核全部询价文件及其有效补充文件，我们知道必须放弃提出含糊不清或误解问题的权利。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3.我们同意从规定的开标日期起遵循本响应文件，并在规定的询价有效期期满之前均具有约束力。</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4.同意向贵方提供贵方可能另外要求的与询价有关的任何证据或资料，并保证我方已提供和将要提供的文件是真实的、准确的。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5.一旦我方成交，我方将根据询价文件的规定，严格履行合同的责任和义务，并保证在询价文件规定的时间内完成项目，交付买方验收、使用。</w:t>
      </w:r>
      <w:r/>
    </w:p>
    <w:p>
      <w:pPr>
        <w:ind w:left="425"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6.我方与本次询价有关的正式通讯地址为：</w:t>
      </w:r>
      <w:r/>
    </w:p>
    <w:p>
      <w:pPr>
        <w:ind w:left="42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42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0" w:right="180" w:firstLine="9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单位名称（加盖CA电子公章）：</w:t>
      </w:r>
      <w:r/>
    </w:p>
    <w:p>
      <w:pPr>
        <w:ind w:left="42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被授权人（签字）：</w:t>
      </w:r>
      <w:r/>
    </w:p>
    <w:p>
      <w:pPr>
        <w:ind w:left="42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九、中小企业声明函（货物）</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号）的规定，本公司</w:t>
      </w:r>
      <w:r>
        <w:rPr>
          <w:rFonts w:ascii="SimSun" w:hAnsi="SimSun" w:eastAsia="SimSun" w:cs="SimSun"/>
          <w:color w:val="000000"/>
          <w:sz w:val="24"/>
          <w:u w:val="single"/>
        </w:rPr>
        <w:t xml:space="preserve">        </w:t>
      </w:r>
      <w:r>
        <w:rPr>
          <w:rFonts w:ascii="SimSun" w:hAnsi="SimSun" w:eastAsia="SimSun" w:cs="SimSun"/>
          <w:color w:val="000000"/>
          <w:sz w:val="24"/>
        </w:rPr>
        <w:t xml:space="preserve">（联合体）参加采购人组织的</w:t>
      </w:r>
      <w:r>
        <w:rPr>
          <w:rFonts w:ascii="SimSun" w:hAnsi="SimSun" w:eastAsia="SimSun" w:cs="SimSun"/>
          <w:i/>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的采购活动，服务全部由符合政策要求的中小企业承接。相关企业（含联合体中的中小企业、签订分包意向协议的中小企业）的具体情况如下：</w:t>
      </w:r>
      <w:r/>
    </w:p>
    <w:p>
      <w:pPr>
        <w:numPr>
          <w:ilvl w:val="0"/>
          <w:numId w:val="15"/>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i/>
          <w:color w:val="000000"/>
          <w:sz w:val="24"/>
          <w:u w:val="single"/>
        </w:rPr>
        <w:t xml:space="preserve">（询价文件中明确的所属行业）</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numPr>
          <w:ilvl w:val="0"/>
          <w:numId w:val="15"/>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i/>
          <w:color w:val="000000"/>
          <w:sz w:val="24"/>
          <w:u w:val="single"/>
        </w:rPr>
        <w:t xml:space="preserve">（询价文件中明确的所属行业）</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numPr>
          <w:ilvl w:val="0"/>
          <w:numId w:val="15"/>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i/>
          <w:color w:val="000000"/>
          <w:sz w:val="24"/>
          <w:u w:val="single"/>
        </w:rPr>
        <w:t xml:space="preserve">（询价文件中明确的所属行业）</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numPr>
          <w:ilvl w:val="0"/>
          <w:numId w:val="15"/>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i/>
          <w:color w:val="000000"/>
          <w:sz w:val="24"/>
          <w:u w:val="single"/>
        </w:rPr>
        <w:t xml:space="preserve">（询价文件中明确的所属行业）</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备注2：供应商如不提供此声明函，价格将不做相应扣除（如项目全面面向中小企业，则资格审查不通过）。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十、残疾人福利性单位声明函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ascii="FangSong" w:hAnsi="FangSong" w:eastAsia="FangSong" w:cs="FangSong"/>
          <w:color w:val="000000"/>
          <w:sz w:val="28"/>
          <w:highlight w:val="white"/>
        </w:rPr>
        <w:t xml:space="preserve">询价</w:t>
      </w:r>
      <w:r>
        <w:rPr>
          <w:rFonts w:ascii="SimSun" w:hAnsi="SimSun" w:eastAsia="SimSun" w:cs="SimSun"/>
          <w:color w:val="000000"/>
          <w:sz w:val="24"/>
        </w:rPr>
        <w:t xml:space="preserve">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备注：1、供应商如不提供此声明函，价格将不做相应扣除（如项目全面面向中小企业，则资格审查不通过）。2、成交供应商为残疾人福利单位的，此声明函将随成交结果同时公告，接受社会监督</w:t>
      </w:r>
      <w:r/>
    </w:p>
    <w:p>
      <w:pPr>
        <w:ind w:left="0" w:right="0" w:firstLine="6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624"/>
        <w:jc w:val="center"/>
        <w:spacing w:before="0" w:after="0"/>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供应商全称（加盖CA电子公章）：</w:t>
      </w:r>
      <w:r/>
    </w:p>
    <w:p>
      <w:pPr>
        <w:ind w:left="0" w:right="1560" w:firstLine="480"/>
        <w:jc w:val="center"/>
        <w:spacing w:before="0" w:after="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 关于符合本国产品标准的声明函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strike/>
          <w:color w:val="000000"/>
          <w:sz w:val="24"/>
          <w:highlight w:val="white"/>
          <w:u w:val="single"/>
        </w:rPr>
        <w:t xml:space="preserve"> （产品名称1）</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的中国境内生产的组件成本占比≥</w:t>
      </w:r>
      <w:r>
        <w:rPr>
          <w:rFonts w:ascii="SimSun" w:hAnsi="SimSun" w:eastAsia="SimSun" w:cs="SimSun"/>
          <w:strike/>
          <w:color w:val="000000"/>
          <w:sz w:val="24"/>
          <w:highlight w:val="white"/>
          <w:u w:val="single"/>
        </w:rPr>
        <w:t xml:space="preserve">（规定比例）</w:t>
      </w:r>
      <w:r>
        <w:rPr>
          <w:rFonts w:ascii="SimSun" w:hAnsi="SimSun" w:eastAsia="SimSun" w:cs="SimSun"/>
          <w:strike/>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strike/>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strike/>
          <w:color w:val="000000"/>
          <w:sz w:val="24"/>
          <w:highlight w:val="white"/>
          <w:u w:val="single"/>
        </w:rPr>
        <w:t xml:space="preserve">（关键组件）</w:t>
      </w:r>
      <w:r>
        <w:rPr>
          <w:rFonts w:ascii="SimSun" w:hAnsi="SimSun" w:eastAsia="SimSun" w:cs="SimSun"/>
          <w:strike/>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strike/>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strike/>
          <w:color w:val="000000"/>
          <w:sz w:val="24"/>
          <w:highlight w:val="white"/>
          <w:u w:val="single"/>
        </w:rPr>
        <w:t xml:space="preserve">（关键工序）</w:t>
      </w:r>
      <w:r>
        <w:rPr>
          <w:rFonts w:ascii="SimSun" w:hAnsi="SimSun" w:eastAsia="SimSun" w:cs="SimSun"/>
          <w:strike/>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strike/>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strike/>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strike/>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strike/>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strike/>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strike/>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6.用横线划除的地方无需填写。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16"/>
        </w:numPr>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分项报价表（货物类）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7"/>
        <w:gridCol w:w="827"/>
        <w:gridCol w:w="702"/>
        <w:gridCol w:w="981"/>
        <w:gridCol w:w="589"/>
        <w:gridCol w:w="711"/>
        <w:gridCol w:w="554"/>
        <w:gridCol w:w="955"/>
        <w:gridCol w:w="877"/>
        <w:gridCol w:w="878"/>
      </w:tblGrid>
      <w:tr>
        <w:trPr>
          <w:trHeight w:val="5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5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有效成分含量及包装规格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所投产品生产厂家</w:t>
            </w:r>
            <w:r/>
          </w:p>
        </w:tc>
      </w:tr>
      <w:tr>
        <w:trPr>
          <w:trHeight w:val="6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7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77"/>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9" w:type="dxa"/>
            <w:vAlign w:val="center"/>
            <w:textDirection w:val="lrTb"/>
            <w:noWrap w:val="false"/>
          </w:tcPr>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本采购包中提供的符合本国产品标准的产品成本之和占该采购包提供的全部产品成本之和的比例为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tc>
      </w:tr>
    </w:tbl>
    <w:p>
      <w:pPr>
        <w:numPr>
          <w:ilvl w:val="0"/>
          <w:numId w:val="17"/>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本项目为足额采购，投标人的投标单价及总价不得超过控制单价及总价。</w:t>
      </w:r>
      <w:r/>
    </w:p>
    <w:p>
      <w:pPr>
        <w:numPr>
          <w:ilvl w:val="0"/>
          <w:numId w:val="17"/>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合同供货数量为采购总额除报价单价，数量保留小数点2位。</w:t>
      </w:r>
      <w:r/>
    </w:p>
    <w:p>
      <w:pPr>
        <w:ind w:left="0" w:right="0" w:firstLine="7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62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33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法定代表人或被授权人（签字）：</w:t>
      </w:r>
      <w:r/>
    </w:p>
    <w:p>
      <w:pPr>
        <w:ind w:left="0" w:right="0" w:firstLine="16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120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十三、技术要求响应及偏离表</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询价文件要求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十四、商务要求响应及偏离表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询价文件要求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十五、询价报价表（开标一览表）</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28"/>
        <w:gridCol w:w="6696"/>
      </w:tblGrid>
      <w:tr>
        <w:trPr>
          <w:trHeight w:val="7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8"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 目 编 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96" w:type="dxa"/>
            <w:vAlign w:val="center"/>
            <w:textDirection w:val="lrTb"/>
            <w:noWrap w:val="false"/>
          </w:tcPr>
          <w:p>
            <w:pPr>
              <w:ind w:left="0" w:right="0" w:firstLine="686"/>
              <w:jc w:val="both"/>
              <w:spacing w:before="260" w:after="2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rHeight w:val="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8"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 目 名 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6" w:type="dxa"/>
            <w:vAlign w:val="center"/>
            <w:textDirection w:val="lrTb"/>
            <w:noWrap w:val="false"/>
          </w:tcPr>
          <w:p>
            <w:pPr>
              <w:ind w:left="0" w:right="0" w:firstLine="0"/>
              <w:jc w:val="both"/>
              <w:spacing w:before="260" w:after="2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rHeight w:val="82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项目投标报价：（大写）</w:t>
            </w:r>
            <w:r>
              <w:rPr>
                <w:rFonts w:ascii="SimSun" w:hAnsi="SimSun" w:eastAsia="SimSun" w:cs="SimSun"/>
                <w:b/>
                <w:color w:val="000000"/>
                <w:sz w:val="21"/>
                <w:u w:val="single"/>
              </w:rPr>
              <w:t xml:space="preserve">           元/吨</w:t>
            </w:r>
            <w:r>
              <w:rPr>
                <w:rFonts w:ascii="SimSun" w:hAnsi="SimSun" w:eastAsia="SimSun" w:cs="SimSun"/>
                <w:b/>
                <w:color w:val="000000"/>
                <w:sz w:val="21"/>
              </w:rPr>
              <w:t xml:space="preserve">，小写：</w:t>
            </w:r>
            <w:r>
              <w:rPr>
                <w:rFonts w:ascii="SimSun" w:hAnsi="SimSun" w:eastAsia="SimSun" w:cs="SimSun"/>
                <w:b/>
                <w:color w:val="000000"/>
                <w:sz w:val="21"/>
                <w:u w:val="single"/>
              </w:rPr>
              <w:t xml:space="preserve">                     元/吨</w:t>
            </w:r>
            <w:r>
              <w:rPr>
                <w:rFonts w:ascii="SimSun" w:hAnsi="SimSun" w:eastAsia="SimSun" w:cs="SimSun"/>
                <w:b/>
                <w:color w:val="000000"/>
                <w:sz w:val="21"/>
              </w:rPr>
              <w:t xml:space="preserve"> </w:t>
            </w:r>
            <w:r/>
          </w:p>
        </w:tc>
      </w:tr>
      <w:tr>
        <w:trPr>
          <w:trHeight w:val="82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是否提供《企业类型声明函》：</w:t>
            </w:r>
            <w:r>
              <w:rPr>
                <w:rFonts w:ascii="SimSun" w:hAnsi="SimSun" w:eastAsia="SimSun" w:cs="SimSun"/>
                <w:b/>
                <w:color w:val="000000"/>
                <w:sz w:val="21"/>
                <w:u w:val="single"/>
              </w:rPr>
              <w:t xml:space="preserve">  是/否   </w:t>
            </w:r>
            <w:r>
              <w:rPr>
                <w:rFonts w:ascii="SimSun" w:hAnsi="SimSun" w:eastAsia="SimSun" w:cs="SimSun"/>
                <w:b/>
                <w:color w:val="000000"/>
                <w:sz w:val="21"/>
              </w:rPr>
              <w:t xml:space="preserve">           见</w:t>
            </w:r>
            <w:r>
              <w:rPr>
                <w:rFonts w:ascii="SimSun" w:hAnsi="SimSun" w:eastAsia="SimSun" w:cs="SimSun"/>
                <w:b/>
                <w:color w:val="000000"/>
                <w:sz w:val="21"/>
                <w:u w:val="single"/>
              </w:rPr>
              <w:t xml:space="preserve">（          ）</w:t>
            </w:r>
            <w:r>
              <w:rPr>
                <w:rFonts w:ascii="SimSun" w:hAnsi="SimSun" w:eastAsia="SimSun" w:cs="SimSun"/>
                <w:b/>
                <w:color w:val="000000"/>
                <w:sz w:val="21"/>
              </w:rPr>
              <w:t xml:space="preserve">页</w:t>
            </w:r>
            <w:r/>
          </w:p>
        </w:tc>
      </w:tr>
      <w:tr>
        <w:trPr>
          <w:trHeight w:val="82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品牌：       </w:t>
            </w:r>
            <w:r/>
          </w:p>
        </w:tc>
      </w:tr>
      <w:tr>
        <w:trPr>
          <w:trHeight w:val="80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项目实施时间（供期或工期）：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填写说明：</w:t>
      </w:r>
      <w:r/>
    </w:p>
    <w:p>
      <w:pPr>
        <w:numPr>
          <w:ilvl w:val="0"/>
          <w:numId w:val="18"/>
        </w:numPr>
        <w:jc w:val="both"/>
        <w:spacing w:before="0" w:after="0"/>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开标一览表不得填报选择性报价，否则将作为无效投标；</w:t>
      </w:r>
      <w:r/>
    </w:p>
    <w:p>
      <w:pPr>
        <w:numPr>
          <w:ilvl w:val="0"/>
          <w:numId w:val="18"/>
        </w:numPr>
        <w:jc w:val="both"/>
        <w:spacing w:before="0" w:after="0"/>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开标一览表中报价与投标分项明细报价表中不符时，以开标一览表为准；</w:t>
      </w:r>
      <w:r/>
    </w:p>
    <w:p>
      <w:pPr>
        <w:ind w:left="0" w:right="0" w:firstLine="2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72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十六、</w:t>
      </w:r>
      <w:r>
        <w:rPr>
          <w:rFonts w:ascii="SimSun" w:hAnsi="SimSun" w:eastAsia="SimSun" w:cs="SimSun"/>
          <w:color w:val="000000"/>
          <w:sz w:val="32"/>
        </w:rPr>
        <w:t xml:space="preserve">盐城市大丰区政府招标采购供应商承诺书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为营造公开、公平、公正、诚实守信的政府招标采购交易环境，树立诚信守法的投标人形象，本单位参加政府招标采购项目：</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的招标采购活动，本人代表本单位作出以下承诺：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（二）本单位无涉及政府招标采购活动的违法、违规不良记录，我公司及相关负责人无因存在重大隐患整改不力、发生重大社会影响生产安全事故或其他严重违法违规行为而被列入失信联合惩戒的不良记录；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（三）严格依照国家和省、市关于政府招标采购的法律法规、规章、规范性文件，参加政府招标采购的投标活动；积极履行社会责任，促进廉政建设；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（四）严格遵守即时信息公示规定，及时维护和更新盐城市政府采购网、公共资源交易平台中与本单位相关的信息；</w:t>
      </w:r>
      <w:r/>
    </w:p>
    <w:p>
      <w:pPr>
        <w:ind w:left="0" w:right="0" w:firstLine="36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left="0" w:right="0" w:firstLine="36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（六）自觉接受政府、行业组织、社会公众、新闻舆论的监督；</w:t>
      </w:r>
      <w:r/>
    </w:p>
    <w:p>
      <w:pPr>
        <w:ind w:left="0" w:right="0" w:firstLine="36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36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（八）本人已认真阅读了上述承诺，并向本单位员工做了宣传教育。</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法定代表人签名：单位名称（盖章）：</w:t>
      </w:r>
      <w:r/>
    </w:p>
    <w:p>
      <w:pPr>
        <w:ind w:left="0" w:right="0" w:firstLine="6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tab/>
        <w:t xml:space="preserve"> </w:t>
        <w:tab/>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tab/>
        <w:tab/>
        <w:tab/>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tab/>
        <w:tab/>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tab/>
        <w:tab/>
        <w:tab/>
        <w:tab/>
        <w:tab/>
        <w:tab/>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tab/>
        <w:tab/>
        <w:tab/>
        <w:tab/>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tab/>
        <w:tab/>
        <w:tab/>
        <w:tab/>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tab/>
        <w:tab/>
        <w:tab/>
        <w:tab/>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tab/>
        <w:tab/>
        <w:tab/>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询价</w:t>
      </w:r>
      <w:r>
        <w:rPr>
          <w:rFonts w:ascii="SimSun" w:hAnsi="SimSun" w:eastAsia="SimSun" w:cs="SimSun"/>
          <w:color w:val="000000"/>
          <w:sz w:val="24"/>
        </w:rPr>
        <w:t xml:space="preserve">文件获取日期：</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headerReference w:type="default" r:id="rId9"/>
      <w:footerReference w:type="default" r:id="rId10"/>
      <w:footnotePr/>
      <w:endnotePr/>
      <w:type w:val="nextPage"/>
      <w:pgSz w:w="11907" w:h="16840" w:orient="portrait"/>
      <w:pgMar w:top="1440" w:right="1587" w:bottom="1440" w:left="1587"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Cambria">
    <w:panose1 w:val="02040503050406030204"/>
  </w:font>
  <w:font w:name="Verdana">
    <w:panose1 w:val="020B0604030504040204"/>
  </w:font>
  <w:font w:name="仿宋_GB2312">
    <w:panose1 w:val="02010609060101010101"/>
  </w:font>
  <w:font w:name="黑体">
    <w:panose1 w:val="02010609060101010101"/>
  </w:font>
  <w:font w:name="SimSun">
    <w:panose1 w:val="02010600030101010101"/>
  </w:font>
  <w:font w:name="宋体">
    <w:panose1 w:val="02010600030101010101"/>
  </w:font>
  <w:font w:name="Microsoft YaHei">
    <w:panose1 w:val="020B05030202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rPr>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8"/>
                          </w:pPr>
                          <w:r>
                            <w:fldChar w:fldCharType="begin"/>
                          </w:r>
                          <w:r>
                            <w:instrText xml:space="preserve"> PAGE  \* MERGEFORMAT </w:instrText>
                          </w:r>
                          <w:r>
                            <w:fldChar w:fldCharType="separate"/>
                          </w:r>
                          <w:r>
                            <w:t xml:space="preserve">22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8"/>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1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2">
    <w:multiLevelType w:val="hybridMultilevel"/>
    <w:lvl w:ilvl="0">
      <w:start w:val="7"/>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5">
    <w:multiLevelType w:val="hybridMultilevel"/>
    <w:lvl w:ilvl="0">
      <w:start w:val="1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7">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next w:val="714"/>
    <w:uiPriority w:val="0"/>
    <w:qFormat/>
    <w:pPr>
      <w:jc w:val="both"/>
      <w:widowControl w:val="off"/>
    </w:pPr>
    <w:rPr>
      <w:rFonts w:hint="default" w:ascii="Times New Roman" w:hAnsi="Times New Roman" w:eastAsia="宋体" w:cs="Times New Roman"/>
      <w:sz w:val="21"/>
      <w:szCs w:val="24"/>
    </w:rPr>
  </w:style>
  <w:style w:type="paragraph" w:styleId="703">
    <w:name w:val="Heading 1"/>
    <w:basedOn w:val="702"/>
    <w:next w:val="702"/>
    <w:link w:val="910"/>
    <w:uiPriority w:val="0"/>
    <w:qFormat/>
    <w:pPr>
      <w:keepLines/>
      <w:keepNext/>
      <w:spacing w:before="340" w:after="330" w:line="578" w:lineRule="auto"/>
      <w:outlineLvl w:val="0"/>
    </w:pPr>
    <w:rPr>
      <w:rFonts w:eastAsia="黑体"/>
      <w:b/>
      <w:bCs/>
      <w:sz w:val="36"/>
      <w:szCs w:val="44"/>
    </w:rPr>
  </w:style>
  <w:style w:type="paragraph" w:styleId="704">
    <w:name w:val="Heading 2"/>
    <w:basedOn w:val="702"/>
    <w:next w:val="702"/>
    <w:link w:val="911"/>
    <w:uiPriority w:val="0"/>
    <w:qFormat/>
    <w:pPr>
      <w:keepLines/>
      <w:keepNext/>
      <w:spacing w:before="260" w:after="260" w:line="416" w:lineRule="auto"/>
      <w:outlineLvl w:val="1"/>
    </w:pPr>
    <w:rPr>
      <w:rFonts w:ascii="Cambria" w:hAnsi="Cambria"/>
      <w:b/>
      <w:bCs/>
      <w:sz w:val="32"/>
      <w:szCs w:val="32"/>
    </w:rPr>
  </w:style>
  <w:style w:type="paragraph" w:styleId="705">
    <w:name w:val="Heading 3"/>
    <w:basedOn w:val="702"/>
    <w:next w:val="715"/>
    <w:link w:val="912"/>
    <w:uiPriority w:val="0"/>
    <w:qFormat/>
    <w:pPr>
      <w:keepLines/>
      <w:keepNext/>
      <w:spacing w:before="260" w:after="260" w:line="416" w:lineRule="auto"/>
      <w:outlineLvl w:val="2"/>
    </w:pPr>
    <w:rPr>
      <w:b/>
      <w:bCs/>
      <w:sz w:val="32"/>
      <w:szCs w:val="32"/>
    </w:rPr>
  </w:style>
  <w:style w:type="paragraph" w:styleId="706">
    <w:name w:val="Heading 4"/>
    <w:basedOn w:val="702"/>
    <w:next w:val="702"/>
    <w:link w:val="914"/>
    <w:uiPriority w:val="0"/>
    <w:qFormat/>
    <w:pPr>
      <w:keepLines/>
      <w:keepNext/>
      <w:spacing w:before="280" w:after="290" w:line="376" w:lineRule="auto"/>
      <w:outlineLvl w:val="3"/>
    </w:pPr>
    <w:rPr>
      <w:rFonts w:ascii="Cambria" w:hAnsi="Cambria"/>
      <w:b/>
      <w:bCs/>
      <w:sz w:val="28"/>
      <w:szCs w:val="28"/>
    </w:rPr>
  </w:style>
  <w:style w:type="paragraph" w:styleId="707">
    <w:name w:val="Heading 5"/>
    <w:basedOn w:val="702"/>
    <w:next w:val="702"/>
    <w:link w:val="766"/>
    <w:uiPriority w:val="9"/>
    <w:unhideWhenUsed/>
    <w:qFormat/>
    <w:pPr>
      <w:keepLines/>
      <w:keepNext/>
      <w:spacing w:before="320" w:after="200"/>
      <w:outlineLvl w:val="4"/>
    </w:pPr>
    <w:rPr>
      <w:rFonts w:ascii="Arial" w:hAnsi="Arial" w:eastAsia="Arial" w:cs="Arial"/>
      <w:b/>
      <w:bCs/>
      <w:sz w:val="24"/>
    </w:rPr>
  </w:style>
  <w:style w:type="paragraph" w:styleId="708">
    <w:name w:val="Heading 6"/>
    <w:basedOn w:val="702"/>
    <w:next w:val="702"/>
    <w:link w:val="767"/>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68"/>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69"/>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70"/>
    <w:uiPriority w:val="9"/>
    <w:unhideWhenUsed/>
    <w:qFormat/>
    <w:pPr>
      <w:keepLines/>
      <w:keepNext/>
      <w:spacing w:before="320" w:after="200"/>
      <w:outlineLvl w:val="8"/>
    </w:pPr>
    <w:rPr>
      <w:rFonts w:ascii="Arial" w:hAnsi="Arial" w:eastAsia="Arial" w:cs="Arial"/>
      <w:i/>
      <w:iCs/>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customStyle="1">
    <w:name w:val="TOC 标题1"/>
    <w:next w:val="702"/>
    <w:uiPriority w:val="39"/>
    <w:unhideWhenUsed/>
    <w:qFormat/>
    <w:pPr>
      <w:spacing w:after="200" w:line="276" w:lineRule="auto"/>
    </w:pPr>
    <w:rPr>
      <w:rFonts w:ascii="Calibri" w:hAnsi="Calibri" w:eastAsia="宋体" w:cs="Times New Roman"/>
      <w:sz w:val="22"/>
      <w:szCs w:val="22"/>
      <w:lang w:val="en-US" w:eastAsia="en-US" w:bidi="ar-SA"/>
    </w:rPr>
  </w:style>
  <w:style w:type="paragraph" w:styleId="715">
    <w:name w:val="Normal Indent"/>
    <w:basedOn w:val="702"/>
    <w:link w:val="913"/>
    <w:uiPriority w:val="0"/>
    <w:qFormat/>
    <w:pPr>
      <w:ind w:firstLine="420"/>
    </w:pPr>
    <w:rPr>
      <w:szCs w:val="21"/>
    </w:rPr>
  </w:style>
  <w:style w:type="paragraph" w:styleId="716">
    <w:name w:val="toc 7"/>
    <w:basedOn w:val="702"/>
    <w:next w:val="702"/>
    <w:uiPriority w:val="39"/>
    <w:unhideWhenUsed/>
    <w:qFormat/>
    <w:pPr>
      <w:ind w:left="1701"/>
      <w:spacing w:after="57"/>
    </w:pPr>
  </w:style>
  <w:style w:type="paragraph" w:styleId="717">
    <w:name w:val="Caption"/>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annotation text"/>
    <w:basedOn w:val="702"/>
    <w:uiPriority w:val="0"/>
    <w:qFormat/>
    <w:pPr>
      <w:jc w:val="left"/>
    </w:pPr>
  </w:style>
  <w:style w:type="paragraph" w:styleId="719">
    <w:name w:val="Body Text"/>
    <w:basedOn w:val="702"/>
    <w:next w:val="702"/>
    <w:uiPriority w:val="0"/>
    <w:unhideWhenUsed/>
    <w:qFormat/>
    <w:pPr>
      <w:spacing w:after="120"/>
    </w:pPr>
    <w:rPr>
      <w:rFonts w:ascii="Calibri" w:hAnsi="Calibri"/>
      <w:szCs w:val="22"/>
    </w:rPr>
  </w:style>
  <w:style w:type="paragraph" w:styleId="720">
    <w:name w:val="Body Text Indent"/>
    <w:next w:val="702"/>
    <w:uiPriority w:val="0"/>
    <w:qFormat/>
    <w:pPr>
      <w:ind w:firstLine="420"/>
      <w:jc w:val="both"/>
      <w:spacing w:line="360" w:lineRule="auto"/>
      <w:widowControl w:val="off"/>
    </w:pPr>
    <w:rPr>
      <w:rFonts w:hint="default" w:ascii="宋体" w:hAnsi="Times New Roman" w:eastAsia="宋体" w:cs="Times New Roman"/>
      <w:sz w:val="24"/>
      <w:szCs w:val="24"/>
      <w:lang w:val="en-US" w:eastAsia="zh-CN" w:bidi="ar-SA"/>
    </w:rPr>
  </w:style>
  <w:style w:type="paragraph" w:styleId="721">
    <w:name w:val="toc 5"/>
    <w:basedOn w:val="702"/>
    <w:next w:val="702"/>
    <w:uiPriority w:val="39"/>
    <w:unhideWhenUsed/>
    <w:qFormat/>
    <w:pPr>
      <w:ind w:left="1134"/>
      <w:spacing w:after="57"/>
    </w:pPr>
  </w:style>
  <w:style w:type="paragraph" w:styleId="722">
    <w:name w:val="toc 3"/>
    <w:basedOn w:val="702"/>
    <w:next w:val="702"/>
    <w:uiPriority w:val="39"/>
    <w:unhideWhenUsed/>
    <w:qFormat/>
    <w:pPr>
      <w:ind w:left="567"/>
      <w:spacing w:after="57"/>
    </w:pPr>
  </w:style>
  <w:style w:type="paragraph" w:styleId="723">
    <w:name w:val="Plain Text"/>
    <w:basedOn w:val="702"/>
    <w:link w:val="915"/>
    <w:uiPriority w:val="0"/>
    <w:qFormat/>
    <w:rPr>
      <w:rFonts w:ascii="宋体" w:hAnsi="Courier New"/>
      <w:szCs w:val="20"/>
    </w:rPr>
  </w:style>
  <w:style w:type="paragraph" w:styleId="724">
    <w:name w:val="toc 8"/>
    <w:basedOn w:val="702"/>
    <w:next w:val="702"/>
    <w:uiPriority w:val="39"/>
    <w:unhideWhenUsed/>
    <w:qFormat/>
    <w:pPr>
      <w:ind w:left="1984"/>
      <w:spacing w:after="57"/>
    </w:pPr>
  </w:style>
  <w:style w:type="paragraph" w:styleId="725">
    <w:name w:val="Date"/>
    <w:basedOn w:val="702"/>
    <w:next w:val="702"/>
    <w:uiPriority w:val="0"/>
    <w:qFormat/>
    <w:rPr>
      <w:rFonts w:ascii="宋体" w:eastAsia="黑体"/>
      <w:spacing w:val="10"/>
      <w:position w:val="2"/>
      <w:sz w:val="30"/>
    </w:rPr>
  </w:style>
  <w:style w:type="paragraph" w:styleId="726">
    <w:name w:val="endnote text"/>
    <w:basedOn w:val="702"/>
    <w:link w:val="908"/>
    <w:uiPriority w:val="99"/>
    <w:semiHidden/>
    <w:unhideWhenUsed/>
    <w:qFormat/>
    <w:rPr>
      <w:sz w:val="20"/>
    </w:rPr>
  </w:style>
  <w:style w:type="paragraph" w:styleId="727">
    <w:name w:val="Balloon Text"/>
    <w:basedOn w:val="702"/>
    <w:uiPriority w:val="0"/>
    <w:semiHidden/>
    <w:qFormat/>
    <w:rPr>
      <w:sz w:val="18"/>
      <w:szCs w:val="18"/>
    </w:rPr>
  </w:style>
  <w:style w:type="paragraph" w:styleId="728">
    <w:name w:val="Footer"/>
    <w:basedOn w:val="702"/>
    <w:link w:val="916"/>
    <w:uiPriority w:val="99"/>
    <w:qFormat/>
    <w:pPr>
      <w:jc w:val="left"/>
      <w:tabs>
        <w:tab w:val="center" w:pos="4153" w:leader="none"/>
        <w:tab w:val="right" w:pos="8306" w:leader="none"/>
      </w:tabs>
    </w:pPr>
    <w:rPr>
      <w:sz w:val="18"/>
      <w:szCs w:val="20"/>
    </w:rPr>
  </w:style>
  <w:style w:type="paragraph" w:styleId="729">
    <w:name w:val="Header"/>
    <w:basedOn w:val="702"/>
    <w:link w:val="917"/>
    <w:uiPriority w:val="0"/>
    <w:qFormat/>
    <w:pPr>
      <w:jc w:val="center"/>
      <w:tabs>
        <w:tab w:val="center" w:pos="4153" w:leader="none"/>
        <w:tab w:val="right" w:pos="8306" w:leader="none"/>
      </w:tabs>
      <w:pBdr>
        <w:bottom w:val="single" w:color="000000" w:sz="6" w:space="1"/>
      </w:pBdr>
    </w:pPr>
    <w:rPr>
      <w:sz w:val="18"/>
      <w:szCs w:val="18"/>
    </w:rPr>
  </w:style>
  <w:style w:type="paragraph" w:styleId="730">
    <w:name w:val="toc 1"/>
    <w:basedOn w:val="702"/>
    <w:next w:val="702"/>
    <w:uiPriority w:val="39"/>
    <w:unhideWhenUsed/>
    <w:qFormat/>
    <w:pPr>
      <w:spacing w:after="57"/>
    </w:pPr>
  </w:style>
  <w:style w:type="paragraph" w:styleId="731">
    <w:name w:val="toc 4"/>
    <w:basedOn w:val="702"/>
    <w:next w:val="702"/>
    <w:uiPriority w:val="39"/>
    <w:unhideWhenUsed/>
    <w:qFormat/>
    <w:pPr>
      <w:ind w:left="850"/>
      <w:spacing w:after="57"/>
    </w:pPr>
  </w:style>
  <w:style w:type="paragraph" w:styleId="732">
    <w:name w:val="Subtitle"/>
    <w:basedOn w:val="702"/>
    <w:next w:val="702"/>
    <w:link w:val="774"/>
    <w:uiPriority w:val="11"/>
    <w:qFormat/>
    <w:pPr>
      <w:spacing w:before="200" w:after="200"/>
    </w:pPr>
    <w:rPr>
      <w:sz w:val="24"/>
    </w:rPr>
  </w:style>
  <w:style w:type="paragraph" w:styleId="733">
    <w:name w:val="footnote text"/>
    <w:basedOn w:val="702"/>
    <w:link w:val="907"/>
    <w:uiPriority w:val="99"/>
    <w:semiHidden/>
    <w:unhideWhenUsed/>
    <w:qFormat/>
    <w:pPr>
      <w:spacing w:after="40"/>
    </w:pPr>
    <w:rPr>
      <w:sz w:val="18"/>
    </w:rPr>
  </w:style>
  <w:style w:type="paragraph" w:styleId="734">
    <w:name w:val="toc 6"/>
    <w:basedOn w:val="702"/>
    <w:next w:val="702"/>
    <w:uiPriority w:val="39"/>
    <w:unhideWhenUsed/>
    <w:qFormat/>
    <w:pPr>
      <w:ind w:left="1417"/>
      <w:spacing w:after="57"/>
    </w:pPr>
  </w:style>
  <w:style w:type="paragraph" w:styleId="735">
    <w:name w:val="table of figures"/>
    <w:basedOn w:val="702"/>
    <w:next w:val="702"/>
    <w:uiPriority w:val="99"/>
    <w:unhideWhenUsed/>
    <w:qFormat/>
  </w:style>
  <w:style w:type="paragraph" w:styleId="736">
    <w:name w:val="toc 2"/>
    <w:basedOn w:val="702"/>
    <w:next w:val="702"/>
    <w:uiPriority w:val="39"/>
    <w:unhideWhenUsed/>
    <w:qFormat/>
    <w:pPr>
      <w:ind w:left="283"/>
      <w:spacing w:after="57"/>
    </w:pPr>
  </w:style>
  <w:style w:type="paragraph" w:styleId="737">
    <w:name w:val="toc 9"/>
    <w:basedOn w:val="702"/>
    <w:next w:val="702"/>
    <w:uiPriority w:val="39"/>
    <w:unhideWhenUsed/>
    <w:qFormat/>
    <w:pPr>
      <w:ind w:left="2268"/>
      <w:spacing w:after="57"/>
    </w:pPr>
  </w:style>
  <w:style w:type="paragraph" w:styleId="738">
    <w:name w:val="Normal (Web)"/>
    <w:basedOn w:val="702"/>
    <w:uiPriority w:val="0"/>
    <w:qFormat/>
    <w:pPr>
      <w:jc w:val="left"/>
      <w:spacing w:before="100" w:beforeAutospacing="1" w:after="100" w:afterAutospacing="1"/>
      <w:widowControl/>
    </w:pPr>
    <w:rPr>
      <w:rFonts w:ascii="宋体" w:hAnsi="宋体" w:cs="宋体"/>
      <w:sz w:val="24"/>
    </w:rPr>
  </w:style>
  <w:style w:type="paragraph" w:styleId="739">
    <w:name w:val="Title"/>
    <w:basedOn w:val="702"/>
    <w:next w:val="702"/>
    <w:link w:val="773"/>
    <w:uiPriority w:val="10"/>
    <w:qFormat/>
    <w:pPr>
      <w:contextualSpacing/>
      <w:spacing w:before="300" w:after="200"/>
    </w:pPr>
    <w:rPr>
      <w:sz w:val="48"/>
      <w:szCs w:val="48"/>
    </w:rPr>
  </w:style>
  <w:style w:type="table" w:styleId="740">
    <w:name w:val="Table Grid"/>
    <w:basedOn w:val="71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1">
    <w:name w:val="Strong"/>
    <w:uiPriority w:val="0"/>
    <w:qFormat/>
    <w:rPr>
      <w:b/>
      <w:bCs/>
    </w:rPr>
  </w:style>
  <w:style w:type="character" w:styleId="742">
    <w:name w:val="endnote reference"/>
    <w:uiPriority w:val="99"/>
    <w:semiHidden/>
    <w:unhideWhenUsed/>
    <w:qFormat/>
    <w:rPr>
      <w:vertAlign w:val="superscript"/>
    </w:rPr>
  </w:style>
  <w:style w:type="character" w:styleId="743">
    <w:name w:val="page number"/>
    <w:uiPriority w:val="0"/>
    <w:qFormat/>
  </w:style>
  <w:style w:type="character" w:styleId="744">
    <w:name w:val="Hyperlink"/>
    <w:uiPriority w:val="0"/>
    <w:qFormat/>
    <w:rPr>
      <w:color w:val="0000ff"/>
      <w:u w:val="single"/>
    </w:rPr>
  </w:style>
  <w:style w:type="character" w:styleId="745">
    <w:name w:val="footnote reference"/>
    <w:uiPriority w:val="99"/>
    <w:unhideWhenUsed/>
    <w:qFormat/>
    <w:rPr>
      <w:vertAlign w:val="superscript"/>
    </w:rPr>
  </w:style>
  <w:style w:type="paragraph" w:styleId="746" w:customStyle="1">
    <w:name w:val="正文1"/>
    <w:basedOn w:val="747"/>
    <w:uiPriority w:val="0"/>
    <w:qFormat/>
    <w:pPr>
      <w:ind w:firstLine="510"/>
      <w:spacing w:before="156"/>
    </w:pPr>
  </w:style>
  <w:style w:type="paragraph" w:styleId="747" w:customStyle="1">
    <w:name w:val="正文11"/>
    <w:next w:val="748"/>
    <w:uiPriority w:val="0"/>
    <w:qFormat/>
    <w:pPr>
      <w:jc w:val="both"/>
      <w:widowControl w:val="off"/>
    </w:pPr>
    <w:rPr>
      <w:rFonts w:hint="default" w:ascii="Times New Roman" w:hAnsi="Times New Roman" w:eastAsia="Arial" w:cs="Times New Roman"/>
      <w14:ligatures w14:val="standardContextual"/>
    </w:rPr>
  </w:style>
  <w:style w:type="paragraph" w:styleId="748" w:customStyle="1">
    <w:name w:val="文本块1"/>
    <w:basedOn w:val="749"/>
    <w:uiPriority w:val="0"/>
    <w:qFormat/>
    <w:pPr>
      <w:ind w:left="567" w:right="454" w:firstLine="498"/>
      <w:jc w:val="left"/>
      <w:widowControl/>
    </w:pPr>
    <w:rPr>
      <w:rFonts w:ascii="仿宋_GB2312" w:eastAsia="仿宋_GB2312"/>
      <w:sz w:val="30"/>
    </w:rPr>
  </w:style>
  <w:style w:type="paragraph" w:styleId="749" w:customStyle="1">
    <w:name w:val="正文111"/>
    <w:next w:val="748"/>
    <w:uiPriority w:val="0"/>
    <w:qFormat/>
    <w:pPr>
      <w:jc w:val="both"/>
      <w:widowControl w:val="off"/>
    </w:pPr>
    <w:rPr>
      <w:rFonts w:hint="default" w:ascii="Times New Roman" w:hAnsi="Times New Roman" w:eastAsia="宋体" w:cs="Times New Roman"/>
      <w:sz w:val="21"/>
      <w:szCs w:val="24"/>
      <w14:ligatures w14:val="standardContextual"/>
    </w:rPr>
  </w:style>
  <w:style w:type="paragraph" w:styleId="750" w:customStyle="1">
    <w:name w:val="Default"/>
    <w:basedOn w:val="702"/>
    <w:uiPriority w:val="0"/>
    <w:semiHidden/>
    <w:qFormat/>
    <w:pPr>
      <w:jc w:val="left"/>
    </w:pPr>
    <w:rPr>
      <w:rFonts w:ascii="宋体" w:hAnsi="Calibri" w:cs="宋体"/>
      <w:color w:val="000000"/>
      <w:sz w:val="24"/>
    </w:rPr>
  </w:style>
  <w:style w:type="character" w:styleId="751" w:customStyle="1">
    <w:name w:val="Heading 5 Char"/>
    <w:basedOn w:val="712"/>
    <w:uiPriority w:val="9"/>
    <w:qFormat/>
    <w:rPr>
      <w:rFonts w:ascii="Arial" w:hAnsi="Arial" w:eastAsia="Arial" w:cs="Arial"/>
      <w:b/>
      <w:bCs/>
      <w:sz w:val="24"/>
      <w:szCs w:val="24"/>
    </w:rPr>
  </w:style>
  <w:style w:type="character" w:styleId="752" w:customStyle="1">
    <w:name w:val="Heading 6 Char"/>
    <w:basedOn w:val="712"/>
    <w:uiPriority w:val="9"/>
    <w:qFormat/>
    <w:rPr>
      <w:rFonts w:ascii="Arial" w:hAnsi="Arial" w:eastAsia="Arial" w:cs="Arial"/>
      <w:b/>
      <w:bCs/>
      <w:sz w:val="22"/>
      <w:szCs w:val="22"/>
    </w:rPr>
  </w:style>
  <w:style w:type="character" w:styleId="753" w:customStyle="1">
    <w:name w:val="Heading 7 Char"/>
    <w:basedOn w:val="712"/>
    <w:uiPriority w:val="9"/>
    <w:qFormat/>
    <w:rPr>
      <w:rFonts w:ascii="Arial" w:hAnsi="Arial" w:eastAsia="Arial" w:cs="Arial"/>
      <w:b/>
      <w:bCs/>
      <w:i/>
      <w:iCs/>
      <w:sz w:val="22"/>
      <w:szCs w:val="22"/>
    </w:rPr>
  </w:style>
  <w:style w:type="character" w:styleId="754" w:customStyle="1">
    <w:name w:val="Heading 8 Char"/>
    <w:basedOn w:val="712"/>
    <w:uiPriority w:val="9"/>
    <w:qFormat/>
    <w:rPr>
      <w:rFonts w:ascii="Arial" w:hAnsi="Arial" w:eastAsia="Arial" w:cs="Arial"/>
      <w:i/>
      <w:iCs/>
      <w:sz w:val="22"/>
      <w:szCs w:val="22"/>
    </w:rPr>
  </w:style>
  <w:style w:type="character" w:styleId="755" w:customStyle="1">
    <w:name w:val="Heading 9 Char"/>
    <w:basedOn w:val="712"/>
    <w:uiPriority w:val="9"/>
    <w:qFormat/>
    <w:rPr>
      <w:rFonts w:ascii="Arial" w:hAnsi="Arial" w:eastAsia="Arial" w:cs="Arial"/>
      <w:i/>
      <w:iCs/>
      <w:sz w:val="21"/>
      <w:szCs w:val="21"/>
    </w:rPr>
  </w:style>
  <w:style w:type="character" w:styleId="756" w:customStyle="1">
    <w:name w:val="Title Char"/>
    <w:basedOn w:val="712"/>
    <w:uiPriority w:val="10"/>
    <w:qFormat/>
    <w:rPr>
      <w:sz w:val="48"/>
      <w:szCs w:val="48"/>
    </w:rPr>
  </w:style>
  <w:style w:type="character" w:styleId="757" w:customStyle="1">
    <w:name w:val="Subtitle Char"/>
    <w:basedOn w:val="712"/>
    <w:uiPriority w:val="11"/>
    <w:qFormat/>
    <w:rPr>
      <w:sz w:val="24"/>
      <w:szCs w:val="24"/>
    </w:rPr>
  </w:style>
  <w:style w:type="character" w:styleId="758" w:customStyle="1">
    <w:name w:val="Quote Char"/>
    <w:uiPriority w:val="29"/>
    <w:qFormat/>
    <w:rPr>
      <w:i/>
    </w:rPr>
  </w:style>
  <w:style w:type="character" w:styleId="759" w:customStyle="1">
    <w:name w:val="Intense Quote Char"/>
    <w:uiPriority w:val="30"/>
    <w:qFormat/>
    <w:rPr>
      <w:i/>
    </w:rPr>
  </w:style>
  <w:style w:type="character" w:styleId="760" w:customStyle="1">
    <w:name w:val="Footnote Text Char"/>
    <w:uiPriority w:val="99"/>
    <w:qFormat/>
    <w:rPr>
      <w:sz w:val="18"/>
    </w:rPr>
  </w:style>
  <w:style w:type="character" w:styleId="761" w:customStyle="1">
    <w:name w:val="Endnote Text Char"/>
    <w:uiPriority w:val="99"/>
    <w:qFormat/>
    <w:rPr>
      <w:sz w:val="20"/>
    </w:rPr>
  </w:style>
  <w:style w:type="character" w:styleId="762" w:customStyle="1">
    <w:name w:val="Heading 1 Char"/>
    <w:uiPriority w:val="9"/>
    <w:qFormat/>
    <w:rPr>
      <w:rFonts w:ascii="Arial" w:hAnsi="Arial" w:eastAsia="Arial" w:cs="Arial"/>
      <w:sz w:val="40"/>
      <w:szCs w:val="40"/>
    </w:rPr>
  </w:style>
  <w:style w:type="character" w:styleId="763" w:customStyle="1">
    <w:name w:val="Heading 2 Char"/>
    <w:uiPriority w:val="9"/>
    <w:qFormat/>
    <w:rPr>
      <w:rFonts w:ascii="Arial" w:hAnsi="Arial" w:eastAsia="Arial" w:cs="Arial"/>
      <w:sz w:val="34"/>
    </w:rPr>
  </w:style>
  <w:style w:type="character" w:styleId="764" w:customStyle="1">
    <w:name w:val="Heading 3 Char"/>
    <w:uiPriority w:val="9"/>
    <w:qFormat/>
    <w:rPr>
      <w:rFonts w:ascii="Arial" w:hAnsi="Arial" w:eastAsia="Arial" w:cs="Arial"/>
      <w:sz w:val="30"/>
      <w:szCs w:val="30"/>
    </w:rPr>
  </w:style>
  <w:style w:type="character" w:styleId="765" w:customStyle="1">
    <w:name w:val="Heading 4 Char"/>
    <w:uiPriority w:val="9"/>
    <w:qFormat/>
    <w:rPr>
      <w:rFonts w:ascii="Arial" w:hAnsi="Arial" w:eastAsia="Arial" w:cs="Arial"/>
      <w:b/>
      <w:bCs/>
      <w:sz w:val="26"/>
      <w:szCs w:val="26"/>
    </w:rPr>
  </w:style>
  <w:style w:type="character" w:styleId="766" w:customStyle="1">
    <w:name w:val="标题 5 字符"/>
    <w:link w:val="707"/>
    <w:uiPriority w:val="9"/>
    <w:qFormat/>
    <w:rPr>
      <w:rFonts w:ascii="Arial" w:hAnsi="Arial" w:eastAsia="Arial" w:cs="Arial"/>
      <w:b/>
      <w:bCs/>
      <w:sz w:val="24"/>
      <w:szCs w:val="24"/>
    </w:rPr>
  </w:style>
  <w:style w:type="character" w:styleId="767" w:customStyle="1">
    <w:name w:val="标题 6 字符"/>
    <w:link w:val="708"/>
    <w:uiPriority w:val="9"/>
    <w:qFormat/>
    <w:rPr>
      <w:rFonts w:ascii="Arial" w:hAnsi="Arial" w:eastAsia="Arial" w:cs="Arial"/>
      <w:b/>
      <w:bCs/>
      <w:sz w:val="22"/>
      <w:szCs w:val="22"/>
    </w:rPr>
  </w:style>
  <w:style w:type="character" w:styleId="768" w:customStyle="1">
    <w:name w:val="标题 7 字符"/>
    <w:link w:val="709"/>
    <w:uiPriority w:val="9"/>
    <w:qFormat/>
    <w:rPr>
      <w:rFonts w:ascii="Arial" w:hAnsi="Arial" w:eastAsia="Arial" w:cs="Arial"/>
      <w:b/>
      <w:bCs/>
      <w:i/>
      <w:iCs/>
      <w:sz w:val="22"/>
      <w:szCs w:val="22"/>
    </w:rPr>
  </w:style>
  <w:style w:type="character" w:styleId="769" w:customStyle="1">
    <w:name w:val="标题 8 字符"/>
    <w:link w:val="710"/>
    <w:uiPriority w:val="9"/>
    <w:qFormat/>
    <w:rPr>
      <w:rFonts w:ascii="Arial" w:hAnsi="Arial" w:eastAsia="Arial" w:cs="Arial"/>
      <w:i/>
      <w:iCs/>
      <w:sz w:val="22"/>
      <w:szCs w:val="22"/>
    </w:rPr>
  </w:style>
  <w:style w:type="character" w:styleId="770" w:customStyle="1">
    <w:name w:val="标题 9 字符"/>
    <w:link w:val="711"/>
    <w:uiPriority w:val="9"/>
    <w:qFormat/>
    <w:rPr>
      <w:rFonts w:ascii="Arial" w:hAnsi="Arial" w:eastAsia="Arial" w:cs="Arial"/>
      <w:i/>
      <w:iCs/>
      <w:sz w:val="21"/>
      <w:szCs w:val="21"/>
    </w:rPr>
  </w:style>
  <w:style w:type="paragraph" w:styleId="771">
    <w:name w:val="List Paragraph"/>
    <w:basedOn w:val="702"/>
    <w:uiPriority w:val="34"/>
    <w:qFormat/>
    <w:pPr>
      <w:contextualSpacing/>
      <w:ind w:left="720"/>
    </w:pPr>
  </w:style>
  <w:style w:type="paragraph" w:styleId="772">
    <w:name w:val="No Spacing"/>
    <w:uiPriority w:val="1"/>
    <w:qFormat/>
    <w:rPr>
      <w:rFonts w:hint="default" w:ascii="Times New Roman" w:hAnsi="Times New Roman" w:eastAsia="宋体" w:cs="Times New Roman"/>
    </w:rPr>
  </w:style>
  <w:style w:type="character" w:styleId="773" w:customStyle="1">
    <w:name w:val="标题 字符"/>
    <w:link w:val="739"/>
    <w:uiPriority w:val="10"/>
    <w:qFormat/>
    <w:rPr>
      <w:sz w:val="48"/>
      <w:szCs w:val="48"/>
    </w:rPr>
  </w:style>
  <w:style w:type="character" w:styleId="774" w:customStyle="1">
    <w:name w:val="副标题 字符"/>
    <w:link w:val="732"/>
    <w:uiPriority w:val="11"/>
    <w:qFormat/>
    <w:rPr>
      <w:sz w:val="24"/>
      <w:szCs w:val="24"/>
    </w:rPr>
  </w:style>
  <w:style w:type="paragraph" w:styleId="775">
    <w:name w:val="Quote"/>
    <w:basedOn w:val="702"/>
    <w:next w:val="702"/>
    <w:link w:val="776"/>
    <w:uiPriority w:val="29"/>
    <w:qFormat/>
    <w:pPr>
      <w:ind w:left="720" w:right="720"/>
    </w:pPr>
    <w:rPr>
      <w:i/>
    </w:rPr>
  </w:style>
  <w:style w:type="character" w:styleId="776" w:customStyle="1">
    <w:name w:val="引用 字符"/>
    <w:link w:val="775"/>
    <w:uiPriority w:val="29"/>
    <w:qFormat/>
    <w:rPr>
      <w:i/>
    </w:rPr>
  </w:style>
  <w:style w:type="paragraph" w:styleId="777">
    <w:name w:val="Intense Quote"/>
    <w:basedOn w:val="702"/>
    <w:next w:val="702"/>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明显引用 字符"/>
    <w:link w:val="777"/>
    <w:uiPriority w:val="30"/>
    <w:qFormat/>
    <w:rPr>
      <w:i/>
    </w:rPr>
  </w:style>
  <w:style w:type="character" w:styleId="779" w:customStyle="1">
    <w:name w:val="Header Char"/>
    <w:uiPriority w:val="99"/>
    <w:qFormat/>
  </w:style>
  <w:style w:type="character" w:styleId="780" w:customStyle="1">
    <w:name w:val="Footer Char"/>
    <w:uiPriority w:val="99"/>
    <w:qFormat/>
  </w:style>
  <w:style w:type="character" w:styleId="781" w:customStyle="1">
    <w:name w:val="Caption Char"/>
    <w:uiPriority w:val="99"/>
    <w:qFormat/>
  </w:style>
  <w:style w:type="table" w:styleId="78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7" w:customStyle="1">
    <w:name w:val="脚注文本 字符"/>
    <w:link w:val="733"/>
    <w:uiPriority w:val="99"/>
    <w:qFormat/>
    <w:rPr>
      <w:sz w:val="18"/>
    </w:rPr>
  </w:style>
  <w:style w:type="character" w:styleId="908" w:customStyle="1">
    <w:name w:val="尾注文本 字符"/>
    <w:link w:val="726"/>
    <w:uiPriority w:val="99"/>
    <w:qFormat/>
    <w:rPr>
      <w:sz w:val="20"/>
    </w:rPr>
  </w:style>
  <w:style w:type="paragraph" w:styleId="909" w:customStyle="1">
    <w:name w:val="TOC Heading"/>
    <w:uiPriority w:val="39"/>
    <w:unhideWhenUsed/>
    <w:qFormat/>
    <w:rPr>
      <w:rFonts w:hint="default" w:ascii="Times New Roman" w:hAnsi="Times New Roman" w:eastAsia="宋体" w:cs="Times New Roman"/>
    </w:rPr>
  </w:style>
  <w:style w:type="character" w:styleId="910" w:customStyle="1">
    <w:name w:val="标题 1 字符"/>
    <w:link w:val="703"/>
    <w:uiPriority w:val="0"/>
    <w:qFormat/>
    <w:rPr>
      <w:rFonts w:eastAsia="黑体"/>
      <w:b/>
      <w:bCs/>
      <w:sz w:val="36"/>
      <w:szCs w:val="44"/>
      <w:lang w:val="en-US" w:eastAsia="zh-CN" w:bidi="ar-SA"/>
    </w:rPr>
  </w:style>
  <w:style w:type="character" w:styleId="911" w:customStyle="1">
    <w:name w:val="标题 2 字符"/>
    <w:link w:val="704"/>
    <w:uiPriority w:val="0"/>
    <w:semiHidden/>
    <w:qFormat/>
    <w:rPr>
      <w:rFonts w:ascii="Cambria" w:hAnsi="Cambria" w:eastAsia="宋体" w:cs="Times New Roman"/>
      <w:b/>
      <w:bCs/>
      <w:sz w:val="32"/>
      <w:szCs w:val="32"/>
    </w:rPr>
  </w:style>
  <w:style w:type="character" w:styleId="912" w:customStyle="1">
    <w:name w:val="标题 3 字符"/>
    <w:link w:val="705"/>
    <w:uiPriority w:val="0"/>
    <w:qFormat/>
    <w:rPr>
      <w:b/>
      <w:bCs/>
      <w:sz w:val="32"/>
      <w:szCs w:val="32"/>
    </w:rPr>
  </w:style>
  <w:style w:type="character" w:styleId="913" w:customStyle="1">
    <w:name w:val="正文缩进 字符"/>
    <w:link w:val="715"/>
    <w:uiPriority w:val="0"/>
    <w:qFormat/>
    <w:rPr>
      <w:sz w:val="21"/>
      <w:szCs w:val="21"/>
    </w:rPr>
  </w:style>
  <w:style w:type="character" w:styleId="914" w:customStyle="1">
    <w:name w:val="标题 4 字符"/>
    <w:link w:val="706"/>
    <w:uiPriority w:val="0"/>
    <w:qFormat/>
    <w:rPr>
      <w:rFonts w:ascii="Cambria" w:hAnsi="Cambria" w:eastAsia="宋体" w:cs="Times New Roman"/>
      <w:b/>
      <w:bCs/>
      <w:sz w:val="28"/>
      <w:szCs w:val="28"/>
    </w:rPr>
  </w:style>
  <w:style w:type="character" w:styleId="915" w:customStyle="1">
    <w:name w:val="纯文本 字符"/>
    <w:link w:val="723"/>
    <w:uiPriority w:val="0"/>
    <w:qFormat/>
    <w:rPr>
      <w:rFonts w:ascii="宋体" w:hAnsi="Courier New" w:eastAsia="宋体"/>
      <w:sz w:val="21"/>
      <w:lang w:val="en-US" w:eastAsia="zh-CN" w:bidi="ar-SA"/>
    </w:rPr>
  </w:style>
  <w:style w:type="character" w:styleId="916" w:customStyle="1">
    <w:name w:val="页脚 字符"/>
    <w:link w:val="728"/>
    <w:uiPriority w:val="99"/>
    <w:qFormat/>
    <w:rPr>
      <w:sz w:val="18"/>
    </w:rPr>
  </w:style>
  <w:style w:type="character" w:styleId="917" w:customStyle="1">
    <w:name w:val="页眉 字符"/>
    <w:link w:val="729"/>
    <w:uiPriority w:val="0"/>
    <w:qFormat/>
    <w:rPr>
      <w:sz w:val="18"/>
      <w:szCs w:val="18"/>
    </w:rPr>
  </w:style>
  <w:style w:type="paragraph" w:styleId="918" w:customStyle="1">
    <w:name w:val="p0"/>
    <w:basedOn w:val="702"/>
    <w:uiPriority w:val="0"/>
    <w:qFormat/>
    <w:pPr>
      <w:jc w:val="left"/>
      <w:spacing w:before="100" w:beforeAutospacing="1" w:after="100" w:afterAutospacing="1"/>
      <w:widowControl/>
    </w:pPr>
    <w:rPr>
      <w:rFonts w:ascii="宋体" w:hAnsi="宋体" w:cs="宋体"/>
      <w:sz w:val="24"/>
    </w:rPr>
  </w:style>
  <w:style w:type="paragraph" w:styleId="919" w:customStyle="1">
    <w:name w:val="普通正文"/>
    <w:basedOn w:val="702"/>
    <w:uiPriority w:val="0"/>
    <w:qFormat/>
    <w:pPr>
      <w:ind w:firstLine="480"/>
      <w:jc w:val="left"/>
      <w:spacing w:before="120" w:after="120" w:line="360" w:lineRule="auto"/>
    </w:pPr>
    <w:rPr>
      <w:rFonts w:ascii="Arial" w:hAnsi="Arial"/>
      <w:sz w:val="24"/>
    </w:rPr>
  </w:style>
  <w:style w:type="paragraph" w:styleId="920" w:customStyle="1">
    <w:name w:val="Char"/>
    <w:basedOn w:val="702"/>
    <w:uiPriority w:val="0"/>
    <w:qFormat/>
    <w:pPr>
      <w:ind w:firstLine="200"/>
      <w:tabs>
        <w:tab w:val="left" w:pos="360" w:leader="none"/>
      </w:tabs>
    </w:pPr>
    <w:rPr>
      <w:sz w:val="28"/>
      <w:szCs w:val="30"/>
    </w:rPr>
  </w:style>
  <w:style w:type="paragraph" w:styleId="921" w:customStyle="1">
    <w:name w:val="Char Char Char Char Char Char Char Char Char Char"/>
    <w:basedOn w:val="702"/>
    <w:uiPriority w:val="0"/>
    <w:qFormat/>
    <w:pPr>
      <w:jc w:val="left"/>
      <w:spacing w:after="160" w:line="240" w:lineRule="exact"/>
      <w:widowControl/>
    </w:pPr>
    <w:rPr>
      <w:rFonts w:ascii="Verdana" w:hAnsi="Verdana" w:eastAsia="仿宋_GB2312"/>
      <w:sz w:val="24"/>
      <w:szCs w:val="20"/>
      <w:lang w:eastAsia="en-US"/>
    </w:rPr>
  </w:style>
  <w:style w:type="paragraph" w:styleId="922"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923" w:customStyle="1">
    <w:name w:val="页脚1"/>
    <w:basedOn w:val="702"/>
    <w:uiPriority w:val="99"/>
    <w:unhideWhenUsed/>
    <w:qFormat/>
    <w:pPr>
      <w:jc w:val="left"/>
      <w:tabs>
        <w:tab w:val="center" w:pos="4153" w:leader="none"/>
        <w:tab w:val="right" w:pos="8306" w:leader="none"/>
      </w:tabs>
    </w:pPr>
    <w:rPr>
      <w:sz w:val="18"/>
      <w:szCs w:val="18"/>
    </w:rPr>
  </w:style>
  <w:style w:type="paragraph" w:styleId="924" w:customStyle="1">
    <w:name w:val="正文首行缩进 21"/>
    <w:basedOn w:val="925"/>
    <w:uiPriority w:val="0"/>
    <w:qFormat/>
    <w:pPr>
      <w:ind w:firstLine="420"/>
    </w:pPr>
  </w:style>
  <w:style w:type="paragraph" w:styleId="925" w:customStyle="1">
    <w:name w:val="正文文本缩进1"/>
    <w:basedOn w:val="702"/>
    <w:uiPriority w:val="0"/>
    <w:qFormat/>
    <w:pPr>
      <w:ind w:left="420"/>
      <w:spacing w:after="120"/>
    </w:pPr>
  </w:style>
  <w:style w:type="paragraph" w:styleId="926" w:customStyle="1">
    <w:name w:val="Revision"/>
    <w:uiPriority w:val="99"/>
    <w:unhideWhenUsed/>
    <w:qFormat/>
    <w:rPr>
      <w:rFonts w:hint="default" w:ascii="Times New Roman" w:hAnsi="Times New Roman" w:eastAsia="宋体" w:cs="Times New Roman"/>
      <w:sz w:val="21"/>
      <w:szCs w:val="24"/>
    </w:rPr>
  </w:style>
  <w:style w:type="paragraph" w:styleId="927" w:customStyle="1">
    <w:name w:val="普通(网站)1"/>
    <w:basedOn w:val="702"/>
    <w:uiPriority w:val="0"/>
    <w:qFormat/>
    <w:pPr>
      <w:jc w:val="left"/>
      <w:spacing w:before="100" w:beforeAutospacing="1" w:after="100" w:afterAutospacing="1"/>
      <w:widowControl/>
    </w:pPr>
    <w:rPr>
      <w:rFonts w:ascii="宋体" w:hAnsi="宋体" w:cs="宋体"/>
      <w:sz w:val="24"/>
    </w:rPr>
  </w:style>
  <w:style w:type="character" w:styleId="928" w:customStyle="1">
    <w:name w:val="NormalCharacter"/>
    <w:uiPriority w:val="0"/>
    <w:semiHidden/>
    <w:qFormat/>
  </w:style>
  <w:style w:type="paragraph" w:styleId="929" w:customStyle="1">
    <w:name w:val="页眉1"/>
    <w:uiPriority w:val="99"/>
    <w:qFormat/>
    <w:pPr>
      <w:jc w:val="both"/>
      <w:widowControl w:val="off"/>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hint="default" w:ascii="Times New Roman" w:hAnsi="Times New Roman" w:eastAsia="宋体" w:cs="Times New Roman"/>
      <w:sz w:val="18"/>
      <w:szCs w:val="20"/>
      <w:lang w:val="en-US" w:eastAsia="zh-CN" w:bidi="ar-SA"/>
    </w:rPr>
  </w:style>
  <w:style w:type="paragraph" w:styleId="930" w:customStyle="1">
    <w:name w:val="正文空2格  1."/>
    <w:basedOn w:val="702"/>
    <w:uiPriority w:val="0"/>
    <w:qFormat/>
    <w:pPr>
      <w:ind w:firstLine="480"/>
    </w:pPr>
    <w:rPr>
      <w:rFonts w:cs="宋体"/>
      <w:szCs w:val="20"/>
    </w:rPr>
  </w:style>
  <w:style w:type="numbering" w:styleId="9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s://jszfcg.jsczt.cn/" TargetMode="External"/><Relationship Id="rId13" Type="http://schemas.openxmlformats.org/officeDocument/2006/relationships/hyperlink" Target="https://jszfcg.jsczt.cn/" TargetMode="External"/><Relationship Id="rId14" Type="http://schemas.openxmlformats.org/officeDocument/2006/relationships/hyperlink" Target="https://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WPS_1682298907</dc:creator>
  <cp:lastModifiedBy>朱亮峰</cp:lastModifiedBy>
  <cp:revision>30</cp:revision>
  <dcterms:created xsi:type="dcterms:W3CDTF">2025-03-26T01:45:00Z</dcterms:created>
  <dcterms:modified xsi:type="dcterms:W3CDTF">2026-08-26T10:31:01Z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eyJoZGlkIjoiM2U3MzFhZjU3ODU2YzU1OTgyMDg0Mzc5ZmEzYTg4NDQiLCJ1c2VySWQiOiIyMDE0NTY0MzUifQ==</vt:lpwstr>
  </property>
  <property fmtid="{D5CDD505-2E9C-101B-9397-08002B2CF9AE}" pid="3" name="KSOProductBuildVer">
    <vt:lpwstr>2052-12.1.0.28043</vt:lpwstr>
  </property>
  <property fmtid="{D5CDD505-2E9C-101B-9397-08002B2CF9AE}" pid="4" name="ICV">
    <vt:lpwstr>C6DA2045408E4713A92FD78838508E6C_13</vt:lpwstr>
  </property>
</Properties>
</file>