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9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项目编号：JSZC-320902-JZCG-G2026-0044</w:t>
      </w:r>
      <w:r/>
    </w:p>
    <w:p>
      <w:pPr>
        <w:ind w:left="0" w:right="0" w:firstLine="90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项目名称：盐城市新洋第二实验学校2026年物业服务项目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盐城市新洋第二实验学校</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2026年8月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第一章招标公告………………………………2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第二章投标人须知……………………………6</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第三章合同文本………………………………25</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第四章采购需求………………………………46</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第五章评标方法与评标标准…………………85</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第六章投标文件格式…………………………93</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招标公告</w:t>
      </w:r>
      <w:r/>
    </w:p>
    <w:p>
      <w:pPr>
        <w:ind w:left="0" w:right="0" w:firstLine="0"/>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盐城市新洋第二实验学校2026年度物业服务项目 JSZC-320902-JZCG-G2026-0044招标项目的潜在投标人应在“苏采云”系统内免费下载（投标人必须在苏采云系统中获取采购文件，方能参与政府采购项目）。获取招标文件，并于2026年</w:t>
      </w:r>
      <w:r>
        <w:rPr>
          <w:rFonts w:ascii="SimSun" w:hAnsi="SimSun" w:eastAsia="SimSun" w:cs="SimSun"/>
          <w:color w:val="000000"/>
          <w:sz w:val="24"/>
          <w:u w:val="single"/>
        </w:rPr>
        <w:t xml:space="preserve"> 9 </w:t>
      </w:r>
      <w:r>
        <w:rPr>
          <w:rFonts w:ascii="SimSun" w:hAnsi="SimSun" w:eastAsia="SimSun" w:cs="SimSun"/>
          <w:color w:val="000000"/>
          <w:sz w:val="24"/>
        </w:rPr>
        <w:t xml:space="preserve">月</w:t>
      </w:r>
      <w:r>
        <w:rPr>
          <w:rFonts w:ascii="SimSun" w:hAnsi="SimSun" w:eastAsia="SimSun" w:cs="SimSun"/>
          <w:color w:val="000000"/>
          <w:sz w:val="24"/>
          <w:u w:val="single"/>
        </w:rPr>
        <w:t xml:space="preserve"> 11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分（北京时间）前递交投标文件。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项目编号：JSZC-320902-JZCG-G2026-0044</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项目名称：盐城市新洋第二实验学校2026年度物业服务项目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预算金额：34.67万元</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最高限价：34.67万元</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采购需求：盐城市新洋第二实验学校2026年度物业服务项目，服务主要内容及人员，包含保洁员</w:t>
      </w:r>
      <w:r>
        <w:rPr>
          <w:rFonts w:ascii="SimSun" w:hAnsi="SimSun" w:eastAsia="SimSun" w:cs="SimSun"/>
          <w:color w:val="ff0000"/>
          <w:sz w:val="24"/>
        </w:rPr>
        <w:t xml:space="preserve">4</w:t>
      </w:r>
      <w:r>
        <w:rPr>
          <w:rFonts w:ascii="SimSun" w:hAnsi="SimSun" w:eastAsia="SimSun" w:cs="SimSun"/>
          <w:color w:val="000000"/>
          <w:sz w:val="24"/>
        </w:rPr>
        <w:t xml:space="preserve">人、水电工</w:t>
      </w:r>
      <w:r>
        <w:rPr>
          <w:rFonts w:ascii="SimSun" w:hAnsi="SimSun" w:eastAsia="SimSun" w:cs="SimSun"/>
          <w:color w:val="ff0000"/>
          <w:sz w:val="24"/>
        </w:rPr>
        <w:t xml:space="preserve">1</w:t>
      </w:r>
      <w:r>
        <w:rPr>
          <w:rFonts w:ascii="SimSun" w:hAnsi="SimSun" w:eastAsia="SimSun" w:cs="SimSun"/>
          <w:color w:val="000000"/>
          <w:sz w:val="24"/>
        </w:rPr>
        <w:t xml:space="preserve">人（兼职）、文印操作人员</w:t>
      </w:r>
      <w:r>
        <w:rPr>
          <w:rFonts w:ascii="SimSun" w:hAnsi="SimSun" w:eastAsia="SimSun" w:cs="SimSun"/>
          <w:color w:val="ff0000"/>
          <w:sz w:val="24"/>
        </w:rPr>
        <w:t xml:space="preserve">1</w:t>
      </w:r>
      <w:r>
        <w:rPr>
          <w:rFonts w:ascii="SimSun" w:hAnsi="SimSun" w:eastAsia="SimSun" w:cs="SimSun"/>
          <w:color w:val="000000"/>
          <w:sz w:val="24"/>
        </w:rPr>
        <w:t xml:space="preserve">人、夜间值班巡逻人员</w:t>
      </w:r>
      <w:r>
        <w:rPr>
          <w:rFonts w:ascii="SimSun" w:hAnsi="SimSun" w:eastAsia="SimSun" w:cs="SimSun"/>
          <w:color w:val="ff0000"/>
          <w:sz w:val="24"/>
        </w:rPr>
        <w:t xml:space="preserve">1</w:t>
      </w:r>
      <w:r>
        <w:rPr>
          <w:rFonts w:ascii="SimSun" w:hAnsi="SimSun" w:eastAsia="SimSun" w:cs="SimSun"/>
          <w:color w:val="000000"/>
          <w:sz w:val="24"/>
        </w:rPr>
        <w:t xml:space="preserve">人（由安保服务单位派遣、采购单位统筹管理），详见招标采购需求（详细内容见本招标文件第四章），招标人保留对服务内容进行适当调整的权利。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rPr>
          <w:rFonts w:ascii="SimSun" w:hAnsi="SimSun" w:eastAsia="SimSun" w:cs="SimSun"/>
          <w:color w:val="000000"/>
          <w:sz w:val="24"/>
          <w:u w:val="none"/>
        </w:rPr>
        <w:t xml:space="preserve">试用</w:t>
      </w:r>
      <w:r>
        <w:rPr>
          <w:rFonts w:ascii="SimSun" w:hAnsi="SimSun" w:eastAsia="SimSun" w:cs="SimSun"/>
          <w:color w:val="000000"/>
          <w:sz w:val="24"/>
        </w:rPr>
        <w:t xml:space="preserve">期3个月）。</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1.法人或者其他组织的营业执照等证明文件，或自然人的身份证明。</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2.上一年度的财务状况报告（至少提供资产负债表、利润表、现金流量表，投标人成立不满一年无需提供）。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4.依法缴纳税收和社会保障资金的相关材料（提供投标文件截止时间前一年内至少一个月依法缴纳税收及缴纳社会保障资金的证明材料。供应商依法享受缓缴、免缴税收、社会保障资金的提供证明材料。）。</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8.单位负责人为同一人或者存在直接控股、管理关系的不同供应商，不得参加同一合同项下的政府采购活动。（投标文件中需提供声明）</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2.地点：“苏采云”系统内免费下载（供应商必须在苏采云系统中获取采购文件，方能参与政府采购项目）。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w:t>
      </w:r>
      <w:r>
        <w:rPr>
          <w:rFonts w:ascii="SimSun" w:hAnsi="SimSun" w:eastAsia="SimSun" w:cs="SimSun"/>
          <w:color w:val="000000"/>
          <w:sz w:val="24"/>
          <w:u w:val="single"/>
        </w:rPr>
        <w:t xml:space="preserve"> 9 </w:t>
      </w:r>
      <w:r>
        <w:rPr>
          <w:rFonts w:ascii="SimSun" w:hAnsi="SimSun" w:eastAsia="SimSun" w:cs="SimSun"/>
          <w:color w:val="000000"/>
          <w:sz w:val="24"/>
        </w:rPr>
        <w:t xml:space="preserve">月</w:t>
      </w:r>
      <w:r>
        <w:rPr>
          <w:rFonts w:ascii="SimSun" w:hAnsi="SimSun" w:eastAsia="SimSun" w:cs="SimSun"/>
          <w:color w:val="000000"/>
          <w:sz w:val="24"/>
          <w:u w:val="single"/>
        </w:rPr>
        <w:t xml:space="preserve"> 11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2.2潜在供应商访问“苏采云”系统方法：江苏省政府采购网首页-“苏采云”链接。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2.3采购文件（后缀名为“.kedt”）、供应商操作手册及政府采购客户端工具可通过“苏采云”系统相应链接进行下载。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如潜在供应商未按上述要求操作，将自行承担所产生的风险。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名称：盐城市新洋第二实验学校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地址：盐城市亭湖区新洋经济区新龙路16号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人：张老师            联系方式：15251020573</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名称：盐城市亭湖区公共资源交易中心</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地址：盐城市亭湖区希望大道中路18号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人：纪先生            联系方式：0515-89802019</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项目联系人：纪先生          电话：0515-89802019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 投标人须知</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3、适用法律和标准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3.2在本项目政府采购活动过程中，如果所执行的标准有更新的，按照最新标准执行。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4.1投标人应自行承担所有与参加投标有关的费用，无论投标过程中的做法和结果如何，盐城市政府采购中心（以下简称采购中心）在任何情况下均无义务和责任承担这些费用。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前按招标公告中的通讯地址，以书面形式通知采购中心。</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8.1在投标截止时间前，采购中心可以对招标文件进行修改。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8.2采购中心有权按照法定的要求推迟投标截止日期和开标日期。</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8.3招标文件的修改将在“中国政府采购网”、“江苏政府采购网”、“盐城市政府采购网”公布，补充文件将作为招标文件的组成部分，并对供应商具有约束力。</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分项报价表，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（1）用于保洁的日常易耗品、工具等物品由投标人购置并承担费用。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（2）所有人员的通讯、工作服装（分不同季节）由投标人购置并承担费用，安检器械等由采购人购置并承担费用。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（3）各投标人根据采购人提供的服务内容、招标文件及答疑文件等资料要求，并根据市场行情、结合自身公司实力、管理水平等因素，按要求进行报价。</w:t>
      </w:r>
      <w:r/>
    </w:p>
    <w:p>
      <w:pPr>
        <w:ind w:left="0" w:right="0" w:firstLine="482"/>
        <w:spacing w:before="0" w:after="0" w:line="460" w:lineRule="atLeast"/>
        <w:tabs>
          <w:tab w:val="left" w:pos="35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12.4人员工资：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①保洁员（4人）每人不低于</w:t>
      </w:r>
      <w:r>
        <w:rPr>
          <w:rFonts w:ascii="Times New Roman" w:hAnsi="Times New Roman" w:eastAsia="Times New Roman" w:cs="Times New Roman"/>
          <w:b/>
          <w:color w:val="000000"/>
          <w:sz w:val="24"/>
        </w:rPr>
        <w:t xml:space="preserve">2430</w:t>
      </w:r>
      <w:r>
        <w:rPr>
          <w:rFonts w:ascii="SimSun" w:hAnsi="SimSun" w:eastAsia="SimSun" w:cs="SimSun"/>
          <w:b/>
          <w:color w:val="000000"/>
          <w:sz w:val="24"/>
        </w:rPr>
        <w:t xml:space="preserve">元/月，所有人员必须足额缴纳社保费用，社保（企业部分）不得低于1292.47元/人/每月，住房公积金不得低于114元/人/每月，法定节假日加班费不得低于4357.25元/人/每年。</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②水电工（1人）为兼职，按照核定工作量系数计算费用（核定费用=51394.89元*工作量系数0.5），即不低于25697.45元/年，此费用包含但不限于：人员工资、社保、公积金、福利等。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文印操作人员（1人）按照核定工作量系数计算费用（核定费用=51394.89元*工作量系数1.42），即不低于72980.74元/年，此费用包含但不限于：人员工资、社保、公积金、福利等。由采购单位（盐城市新洋第二实验学校）招聘，由物业服务单位进行管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④夜间值班巡逻人员（1人）由保安兼，工资不低于1500元/月，不缴纳社保、公积金，无加班费。该人员由学校安保服务单位派遣，补贴由本项目中标服务单位发放，由采购单位（盐城市新洋第二实验学校）管理。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⑤税金费率不得低于6.72%。</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所提供人员的费用按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12.5投标人根据招标内容的要求准确报价，一经报出，不得更改。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投标报价的单位为人民币（元）年。如果中标人未能按合同、招标投标文件履约的，采购人有权终止合同，履约保证金不予退还，并不支付服务期间的物业服务费用。采购人终止合同的，中标人应承担相应的完全责任，包括赔偿因此而给采购人及第三人带来的相应损失。合同期满并完成与后续物业服务企业的衔接后，方可退出，中标人退出本物业管理时必须向采购人移交全套档案等资料，经采购人验收合格后，采购人退还履约保证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12.7对于超出招标文件的其他临时性服务项目，由甲乙双方协商解决。</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15.1投标有效期为采购中心规定的开标之日后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17、投标文件的递交</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17.1电子投标文件的递交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18、投标截止时间</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rPr>
          <w:rFonts w:ascii="SimSun" w:hAnsi="SimSun" w:eastAsia="SimSun" w:cs="SimSun"/>
          <w:i/>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18.2采购中心可以按照规定，通过修改招标文件酌情延长投标截止时间，在此情况下，投标人的所有权利和义务以及投标人受制的截止时间均应以延长后新的截止时间为准。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19、投标文件的拒收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19.1采购中心拒绝接收在其规定的投标截止时间后上传的任何投标文件。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20、投标文件的撤回和修改</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20.1投标文件的撤回</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20.2投标文件的修改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21、开标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21.1采购中心将在招标公告中规定的时间和地点组织公开开标。投标人应当按照《操作手册》规定，参加开标活动和在苏采云系统规定的时间内对投标文件进行解密。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21.2开标仪式由采购中心组织。苏采云系统将自动对项目进行开标，并宣布各投标人名称和投标价格。</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22、评标委员会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22.1开标后，采购中心将立即组织评标委员会（以下简称评委会）进行评标。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23.1凡是与审查、澄清、评价和比较投标的有关资料以及授标建议等，采购人、评委、采购中心均不得向投标人或与评标无关的其他人员透露。</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23.3采购中心和评标委员会不向未中标的投标人解释未中标原因，也不公布评标过程中的相关细节。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24、投标文件的澄清</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投标人的澄清、说明或者补正不得超出投标文件的范围或者改变投标文件的实质性内容。评标委员会并非对每个投标人都做澄清要求。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25、对投标文件的初审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25.6投标人在开、评标全过程中应保持通讯畅通，及时登录苏采云系统查阅、答复相关信息，并安排专人与采购中心及评标委员会联系。</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26、无效投标条款和废标条款</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i/>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26.3投标截止时间结束后参加投标的供应商不足三家的处理：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27、确定中标单位</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27.3采购中心将在“中国政府采购网”、“江苏政府采购网”、“盐城市政府采购网”发布中标公告，公告期限为1个工作日。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27.4.2向采购人、采购中心行贿或者提供其他不正当利益的。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27.5有下列情形之一的，视为投标人串通投标，投标无效：</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采购中心及采购人只接收以纸质原件形式送达的质疑，采购人和采购中心不接受未填写快递运单的快件。质疑接收部门为公共资源交易中心业务受理处，联系地址</w:t>
      </w:r>
      <w:r>
        <w:rPr>
          <w:rFonts w:ascii="SimSun" w:hAnsi="SimSun" w:eastAsia="SimSun" w:cs="SimSun"/>
          <w:color w:val="ff0000"/>
          <w:sz w:val="24"/>
        </w:rPr>
        <w:t xml:space="preserve">：</w:t>
      </w:r>
      <w:r>
        <w:rPr>
          <w:rFonts w:ascii="SimSun" w:hAnsi="SimSun" w:eastAsia="SimSun" w:cs="SimSun"/>
          <w:color w:val="000000"/>
          <w:sz w:val="24"/>
        </w:rPr>
        <w:t xml:space="preserve">盐城市亭湖区希望大道中路18号，联系电话：0515-89802019</w:t>
      </w:r>
      <w:r>
        <w:rPr>
          <w:rFonts w:ascii="SimSun" w:hAnsi="SimSun" w:eastAsia="SimSun" w:cs="SimSun"/>
          <w:color w:val="ff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30.签订合同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32、政府采购政策功能落实</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32.1政府采购线上合同信用融资政策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32.2进口产品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32.3中小企业、监狱企业及残疾人福利性单位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w:t>
      </w:r>
      <w:r>
        <w:rPr>
          <w:rFonts w:ascii="SimSun" w:hAnsi="SimSun" w:eastAsia="SimSun" w:cs="SimSun"/>
          <w:color w:val="000000"/>
          <w:sz w:val="24"/>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32.3.6.1安置的残疾人占本单位在职职工人数的比例不低于25%（含25%），并且安置的残疾人人数不少于10人（含10人）；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32.4政府采购节能产品、环境标志产品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32.5绿色包装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32.6政府采购创新产品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32.7绿色数据中心政策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32.8实施本国产品标准及相关政策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32.8.1本项目对采购本国产品给予政策支持，具体内容见招标文件“第五章 评标方法与评标标准”。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32.9履约保证金政策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ascii="SimSun" w:hAnsi="SimSun" w:eastAsia="SimSun" w:cs="SimSun"/>
          <w:b/>
          <w:color w:val="000000"/>
          <w:sz w:val="24"/>
        </w:rPr>
        <w:t xml:space="preserve">降低履约保证金缴纳比例为</w:t>
      </w:r>
      <w:r>
        <w:rPr>
          <w:rFonts w:ascii="SimSun" w:hAnsi="SimSun" w:eastAsia="SimSun" w:cs="SimSun"/>
          <w:b/>
          <w:color w:val="000000"/>
          <w:sz w:val="24"/>
          <w:u w:val="single"/>
        </w:rPr>
        <w:t xml:space="preserve">5%</w:t>
      </w:r>
      <w:r>
        <w:rPr>
          <w:rFonts w:ascii="SimSun" w:hAnsi="SimSun" w:eastAsia="SimSun" w:cs="SimSun"/>
          <w:color w:val="000000"/>
          <w:sz w:val="24"/>
        </w:rPr>
        <w:t xml:space="preserve">。</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33.预付款制度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。在签订合同时，中标、成交供应商明确书面表示无需预付款或者主动要求降低预付款比例的，采购人可就预付款比例作相应调整。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政府采购合同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盐城市新洋第二实验学校2026年物业服务项目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盐城市新洋第二实验学校</w:t>
      </w:r>
      <w:r>
        <w:rPr>
          <w:rFonts w:ascii="SimSun" w:hAnsi="SimSun" w:eastAsia="SimSun" w:cs="SimSun"/>
          <w:color w:val="000000"/>
          <w:sz w:val="24"/>
        </w:rPr>
        <w:t xml:space="preserve">（简称甲方）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rPr>
          <w:rFonts w:ascii="SimSun" w:hAnsi="SimSun" w:eastAsia="SimSun" w:cs="SimSun"/>
          <w:color w:val="000000"/>
          <w:sz w:val="24"/>
        </w:rPr>
        <w:t xml:space="preserve">（简称乙方）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甲、乙双方根据盐城市政府采购中心</w:t>
      </w:r>
      <w:r>
        <w:rPr>
          <w:rFonts w:ascii="SimSun" w:hAnsi="SimSun" w:eastAsia="SimSun" w:cs="SimSun"/>
          <w:color w:val="000000"/>
          <w:sz w:val="24"/>
          <w:u w:val="single"/>
        </w:rPr>
        <w:t xml:space="preserve">盐城市新洋第二实验学校2026年物业服务项目</w:t>
      </w:r>
      <w:r>
        <w:rPr>
          <w:rFonts w:ascii="SimSun" w:hAnsi="SimSun" w:eastAsia="SimSun" w:cs="SimSun"/>
          <w:color w:val="000000"/>
          <w:sz w:val="24"/>
        </w:rPr>
        <w:t xml:space="preserve">公开招标的结果，签署本合同。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物业基本情况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1、物业名称：</w:t>
      </w:r>
      <w:r>
        <w:rPr>
          <w:rFonts w:ascii="SimSun" w:hAnsi="SimSun" w:eastAsia="SimSun" w:cs="SimSun"/>
          <w:color w:val="000000"/>
          <w:sz w:val="24"/>
          <w:u w:val="single"/>
        </w:rPr>
        <w:t xml:space="preserve">盐城市新洋第二实验学校2026年物业服务项目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2、坐落位置：</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3、建筑面积：</w:t>
      </w:r>
      <w:r>
        <w:rPr>
          <w:rFonts w:ascii="SimSun" w:hAnsi="SimSun" w:eastAsia="SimSun" w:cs="SimSun"/>
          <w:color w:val="000000"/>
          <w:sz w:val="24"/>
          <w:u w:val="single"/>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委托管理事项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服务项目包含卫生保洁、垃圾清运、绿化养护、水电安全管理及设备维修维护、文印、夜间值班巡逻（由安保服务单位派遣、采购单位管理）等内容。具体以现场实际情况为准，服务项目总价包干</w:t>
      </w:r>
      <w:r>
        <w:rPr>
          <w:rFonts w:ascii="SimSun" w:hAnsi="SimSun" w:eastAsia="SimSun" w:cs="SimSun"/>
          <w:color w:val="000000"/>
          <w:sz w:val="24"/>
        </w:rPr>
        <w:t xml:space="preserve">。</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（一）卫生保洁</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①公共区域保洁：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打扫1次各楼层通道和楼梯台阶，并拖洗干净；水磨石或水泥地面每半月至少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w:t>
      </w:r>
      <w:r>
        <w:rPr>
          <w:rFonts w:ascii="SimSun" w:hAnsi="SimSun" w:eastAsia="SimSun" w:cs="SimSun"/>
          <w:color w:val="000000"/>
          <w:sz w:val="24"/>
        </w:rPr>
        <w:t xml:space="preserve">、水泥地面干净无杂物、污迹；保持楼梯道内外玻璃，玻璃、门窗等明亮、干净。</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电梯及电梯厅保洁：保持电梯轿箱清洁，石材地面的每日一次推尘，地毯地面的每周更换1次地毯，必要时增加更换次数；循环对电梯厅的地面每日一次进行清洁；电梯地板每周清洁1次；标准：玻璃镜面保持光亮、无手印污迹，灯具、天花板无灰尘，轿箱四壁干净无灰尘，不锈钢表面光亮，无灰尘、污迹；地毯干净无污迹。</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②公用卫生间保洁：</w:t>
      </w:r>
      <w:r>
        <w:rPr>
          <w:rFonts w:ascii="SimSun" w:hAnsi="SimSun" w:eastAsia="SimSun" w:cs="SimSun"/>
          <w:color w:val="000000"/>
          <w:sz w:val="24"/>
        </w:rPr>
        <w:t xml:space="preserve">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w:t>
      </w:r>
      <w:r>
        <w:rPr>
          <w:rFonts w:ascii="SimSun" w:hAnsi="SimSun" w:eastAsia="SimSun" w:cs="SimSun"/>
          <w:color w:val="000000"/>
          <w:sz w:val="24"/>
        </w:rPr>
        <w:t xml:space="preserve">无黄渍。</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③垃圾箱、垃圾池日产日清。④校园道路、广场：</w:t>
      </w:r>
      <w:r>
        <w:rPr>
          <w:rFonts w:ascii="SimSun" w:hAnsi="SimSun" w:eastAsia="SimSun" w:cs="SimSun"/>
          <w:color w:val="000000"/>
          <w:sz w:val="24"/>
        </w:rPr>
        <w:t xml:space="preserve">每日清扫一次，每2小时巡查一次，发现有零星的杂物及时清理。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⑤绿化养护：</w:t>
      </w:r>
      <w:r>
        <w:rPr>
          <w:rFonts w:ascii="SimSun" w:hAnsi="SimSun" w:eastAsia="SimSun" w:cs="SimSun"/>
          <w:color w:val="ff0000"/>
          <w:sz w:val="24"/>
        </w:rPr>
        <w:t xml:space="preserve">负责绿化的修剪、施肥、喷药、保温、浇水等日常养护工作（肥料、农药购置费由中标服务单位负责），负责新增绿化的养护（苗木购置、栽植费用由学校负责）。</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（二）学校高压配电房</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1、配电房工作人员要持证上岗,严格遵守操作规程,严守岗位职责,做好值班记录和巡查记录,认真执行交接班制度。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2、严格操作规程和安全生产规则，杜绝违章操作和不安全行为。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3、对设备和安全设施要勤查,发现隐患及时报告。精心维护和保养好设备,确保学校正常安全供电。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4、做好配电房的防水、防潮工作,注意随手关闭好门窗,经常查看防护网、密封条防护情况,谨防小动物窜入配电间而发生意外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5、严格禁火制度。严禁将易燃易爆危险物品带进配电间:配电间内严禁吸烟。工作人员须能熟练使用消防器材。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6、严禁无关人员进出。未经培训,不得随便开关操作室内设施、设备。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7、管理员应经常检查设施、设备运作情况发现隐患,及时处理。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8、增强保密观念,不得向无关人员泄露配电房设备情况。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9、做好对电器设备的日常维护工作,注意电压表、电流表、功率因数表的指示情况:禁止让电器设备超负荷使用和带病运转。</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10、经常保持配电房地面及设备外表清洁无尘配电设备的倒闸操作时由值班员单独进行,其他在场人员只作监护,不得插手;严禁两人同时倒闸操作,以免发生错误。</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（三）给排水、水电设备维修维护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做好给排水、</w:t>
      </w:r>
      <w:r>
        <w:rPr>
          <w:rFonts w:ascii="SimSun" w:hAnsi="SimSun" w:eastAsia="SimSun" w:cs="SimSun"/>
          <w:color w:val="ff0000"/>
          <w:sz w:val="24"/>
        </w:rPr>
        <w:t xml:space="preserve">水电设备维修维护保养工作，</w:t>
      </w:r>
      <w:r>
        <w:rPr>
          <w:rFonts w:ascii="SimSun" w:hAnsi="SimSun" w:eastAsia="SimSun" w:cs="SimSun"/>
          <w:color w:val="000000"/>
          <w:sz w:val="24"/>
        </w:rPr>
        <w:t xml:space="preserve">及时清理涉水电垃圾清理、机房清洁工程，确保校内给排水、</w:t>
      </w:r>
      <w:r>
        <w:rPr>
          <w:rFonts w:ascii="SimSun" w:hAnsi="SimSun" w:eastAsia="SimSun" w:cs="SimSun"/>
          <w:color w:val="ff0000"/>
          <w:sz w:val="24"/>
        </w:rPr>
        <w:t xml:space="preserve">水电设备</w:t>
      </w:r>
      <w:r>
        <w:rPr>
          <w:rFonts w:ascii="SimSun" w:hAnsi="SimSun" w:eastAsia="SimSun" w:cs="SimSun"/>
          <w:color w:val="000000"/>
          <w:sz w:val="24"/>
        </w:rPr>
        <w:t xml:space="preserve">正常运行。</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（四）日常会务和大型活动服务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日常会务和大型活动，乙方须无条件提供卫生保洁、会务服务等工作。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①服务人员上岗前要按规定着装，认真整理工装、工牌、仪容仪表端庄、整洁、精神饱满。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②帮助布置会场，卫生工作。</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（五）文印操作服务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完成学校文印室承担的试卷等排版印刷工作，文印室的文印资料，非经学校允许，不得泄露。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（六）档案、资料管理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（七）建立健全物业管理制度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根据盐城市新洋第二实验学校的具体情况，乙方应制定详细的内部管理制度、日常服务的运作管理制度等相关制度。</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合同期限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服务管理时间：1年（含3个月试用期）。本合同有效期为自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甲方的权利和义务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1、乙方招录员工须进行政审，</w:t>
      </w:r>
      <w:r>
        <w:rPr>
          <w:rFonts w:ascii="SimSun" w:hAnsi="SimSun" w:eastAsia="SimSun" w:cs="SimSun"/>
          <w:color w:val="ff0000"/>
          <w:sz w:val="24"/>
        </w:rPr>
        <w:t xml:space="preserve">心理健康筛查、</w:t>
      </w:r>
      <w:r>
        <w:rPr>
          <w:rFonts w:ascii="SimSun" w:hAnsi="SimSun" w:eastAsia="SimSun" w:cs="SimSun"/>
          <w:color w:val="000000"/>
          <w:sz w:val="24"/>
        </w:rPr>
        <w:t xml:space="preserve">经培训合格并报甲方备案后上岗。甲方有权根据本单位服务工作实际需要，有权要求调整物业服务岗位，乙方应予执行。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2、对乙方管理服务情况实施监督检查，每月审议一次乙方物业管理工作。如乙方因管理不善，造成甲方重大经济损失或管理水平下降的，甲方有权终止合同。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3、积极配合乙方依法和依照本合同规定开展管理活动。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4、法律法规规定的应由甲方承担的其他责任。</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乙方的权利和义务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2、遵照有关法律、法规及物业管理有关规定，拟定本物业的管理规定、规章制度，实施方案和考核办法，提交甲方审议后执行。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3、加强员工职业道德教育和业务培训，爱岗敬业，确保各项管理服务规范有序进行。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4、对本物业公共设施不得擅自占用和改变使用功能，如需改变用途，须报甲方批准。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6、不得将本物业的管理责任转让给第三方，不得与任何一家物业管理公司进行合作管理本物业。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7、乙方应加强对员工的教育管理，员工如出现违规、违纪行为，造成纠纷、财产损失、人员伤亡的，乙方负全部责任。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8、协助处理非乙方原因产生的各种纠纷。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10、乙方所有服务人员上班时均统一着装并挂牌上岗。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11、接受盐城市房产局物管处及政府有关部门的监督指导，遵守甲方的管理制度，服从甲方整体管理。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12、法律法规规定的应由乙方承担的其他责任。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13、本合同终止后，乙方必须向甲方移交全部管理用房及物业管理的全部档案资料，甲方不负责乙方招聘人员的安排。</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管理目标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总体要求：乙方根据甲方的委托管理事项制定出本物业“管理分项标准”(各项管理服务的工作标准和考核办法),与甲方协商同意后作为本合同的必备附件。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履约保证金、管理服务费用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1.乙方交纳人民币_________元作为本合同的履约保证金。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（备注：履约保证金金额为合同金额的10%，乙方如为AA评级及以上政府采购供应商，需提供信用管理部门备案的第三方信用报告，履约保证金缴纳金额为合同金额的5%。）</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2.确需收取履约保证金的，履约保证金的缴纳形式：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如以履约保函（保险）形式缴纳履约保证金，供应商可通过政府采购电子履约保函（保险）平台（www.jsdzbh.com）在线申请履约保函（保险）。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2.3合同履行结束后，甲方应在30日内无息退还乙方交纳的履约保证金。验收标准以甲方书面确认为准，若存在质量争议，保证金退还期限自动顺延至争议解决之日。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2.4履约保证金的退还：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2.4.1方式：无息退还至乙方缴纳履约保证金的账户。如为保函，在到期时自行失效。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2.4.2时间：如为支票、汇票、本票，在服务期满后30日内退还。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2.4.3条件：按合同要求全部履约完成并经甲方验收合格。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2.4.4不予退还情形：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除不可抗力情况外，乙方出现下列情形之一的，其履约保证金，甲方将视情节决定不予退还或部分不予退还。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（1）乙方无正当理由拒绝签订合同的，或者在签订合同时向甲方提出附加条件或者更改合同实质性内容要求的；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（2）乙方不履行与甲方订立的合同的；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（3）乙方所供服务不符合招标文件规定要求的；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（4）乙方采取欺骗、弄虚作假方式投标的或与其它投标人串通投标的；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（5）乙方将合同内容转包、违法分包的；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（6）乙方故意捏造事实或伪造证明材料，进行虚假恶意投诉或反映的。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2.4.5逾期退还的违约责任：甲方逾期无故未退还履约保证金的，按中国人民银行同期贷款基准利率上浮20%后的利率支付超期资金占用费，但因供应商自身原因导致无法及时退还的除外。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3.本合同履约期间的物业服务费为人民币（大写）：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4.支付方式：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4.1预付款支付时间：合同签订后，甲方收到发票后10个工作日，预付款支付比例：合同金额的30%。（乙方需提供等额税票。在签订合同时，乙方明确表示无需预付款的，可不执行）。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4.2试用期（3个月）期满，考核合格后，付试用期期间的管理费用。如果未能按合同、招标投标文件履约的，试用期结束后，并不支付试用期间的物业服务费用。试用期满后，</w:t>
      </w:r>
      <w:r>
        <w:rPr>
          <w:rFonts w:ascii="SimSun" w:hAnsi="SimSun" w:eastAsia="SimSun" w:cs="SimSun"/>
          <w:color w:val="000000"/>
          <w:sz w:val="24"/>
          <w:highlight w:val="whit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5.本物业的管理服务费至少应包括但不限于：</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5.1保洁员工资、社会保险、公积金、福利等。人员工资、加班费不得低于国家法定标准，福利不得低于约定的标准。物业人员应每月提交缴纳社会保险、公积金凭证，工资按时足额发放。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5.2水电工为兼职，按照核定工作量系数计算费用（核定费用=51394.89元*工作量系数0.5），即不低于25697.45元/年，此费用包含但不限于：人员工资、社保、公积金、福利等。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文印操作人员按照核定工作量系数计算费用（核定费用=51394.89元*工作量系数1.42），即不低于72980.74元/年，此费用包含但不限于：人员工资、社保、公积金、福利等。由采购单位（盐城市新洋第二实验学校）招聘，由物业服务单位进行管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5.4夜间值班巡逻人员由保安兼，工资不低于1500元/月，不缴纳社保、公积金，无加班费。该人员由学校安保服务单位派遣，补贴由本项目中标服务单位发放，由采购单位（盐城市新洋第二实验学校）管理。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5.5物业共用部位、共有设施设备日常运维费用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1）公共照明系统管理（灯管调换等，低压线路常规维护等）；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2）供配电基础设备、线路、发电机组、消防设施设备日常维护；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5.6物业公共区域清洁卫生费用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1）清洁机械费用；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2）清洁器具、耗材（垃圾袋、清洁剂、卫生球、洗衣粉、扫帚、抹布、卫生纸等）；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3）公区消杀费用</w:t>
      </w:r>
      <w:r>
        <w:rPr>
          <w:rFonts w:ascii="SimSun" w:hAnsi="SimSun" w:eastAsia="SimSun" w:cs="SimSun"/>
          <w:color w:val="ff0000"/>
          <w:sz w:val="24"/>
        </w:rPr>
        <w:t xml:space="preserve">（含消毒消杀剂等）</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4）公区垃圾清运费用。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5.7绿化养护肥料、农药购置费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5.8物业行政办公费用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1）交通、通讯费用；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2）文具、办公用品等低值易耗品费用；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3）员工各类服装费（冬、夏两季）；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5.9物业管理企业固定资产折旧费（此项含物业服务企业涉及交通工具、通讯器材、办公设备设施、工程维修各类器具及维修设备按月度分摊。）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5.10税金：按国家规定计取。</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注：1.物业服务合同期限内，如遇招标人重大活动，物业服务单位提供增值服务，可通过提请甲方“一事一议”方式予以费用支出。</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乙方承诺固定总价已包含所有可能因政策变动、市场波动等因素导致的成本增加风险，包括但不限于最低工资标准调整、社保基数上调、原材料价格上涨等情形。</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合同的构成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2、本招标文件；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3、中标人投标文件；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4、盐城市新洋第二实验学校物业管理服务考核办法；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5、国家相关法律法规。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物业服务主要要求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1、物业服务主要要求详见采购需求。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2、物业服务合同终止时，乙方应当将物业管理用房和所有物管资料、档案完整地移交给业主。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3、物业服务合同终止时，业主选聘了新的物业管理企业的，物业管理企业之间应当做好交接工作。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4、乙方可以将物业管理区域内的专项服务业务委托给专业性服务企业，但不得将该区域内的全部物业管理一并委托给他人。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5、未尽事宜，按国家和地方最新《物业管理条例》执行，有冲突处，按高标准执行。</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1、如因乙方原因，造成不能完成管理目标或直接造成甲方经济损失的，乙方应给予甲方相应赔偿。甲方有权要求乙方限期整改，在整改后仍不能完成管理目标的，甲方有权终止合同。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2、甲、乙双方如有采取不正当竞争手段而取得管理权或致使对方失去管理权，或造成对方经济损失的，应当承担全部责任。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3、乙方违反收费标准，甲方有权终止合同，并要求乙方退还多出的收费金额，并按多收费用的双倍支付甲方违约金。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4、投标项目经理原则上中标后不得更换，如确需更换须提前一个月书面申请报甲方审核并经同意，更换后的项目经理年龄、资历、业绩等不得低于原项目经理。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5、如甲方发现乙方存在挂靠、转包、分包行为，甲方可立即单方终止合同，并扣除履约保证金。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6、本合同期满或解除（终止）之日内，乙方须向甲方移交所有的资料，台账等，否则应向甲方支付违约金为全年物业费的5%。</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其他事项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1、甲方将每个季度对乙方进行考核统计，考核的依据为“物业管理项目规范服务考核评分细则”。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2、如因乙方管理不善导致甲方解除合同，则乙方将被列入黑名单。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3、双方可对本合同的条款进行修订更改或补充，以书面签订补充协议，补充协议与本合同具有同等效力。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4、合同规定的管理期满，本合同自然终止。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5、本合同执行期间，如遇不可抗力，致使合同无法履行时，双方均不承担违约责任并按有关法规政策规定及时协商处理。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6、本合同在履行中如发生争议，双方应协商解决，协商不成时，提请物业管理主管部门调解，调解不成的，提交亭湖区人民法院管辖。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8、双方约定合同份数：壹式</w:t>
      </w:r>
      <w:r>
        <w:rPr>
          <w:rFonts w:ascii="SimSun" w:hAnsi="SimSun" w:eastAsia="SimSun" w:cs="SimSun"/>
          <w:color w:val="000000"/>
          <w:sz w:val="24"/>
          <w:u w:val="single"/>
        </w:rPr>
        <w:t xml:space="preserve"> 肆</w:t>
      </w:r>
      <w:r>
        <w:rPr>
          <w:rFonts w:ascii="SimSun" w:hAnsi="SimSun" w:eastAsia="SimSun" w:cs="SimSun"/>
          <w:color w:val="000000"/>
          <w:sz w:val="24"/>
        </w:rPr>
        <w:t xml:space="preserve"> 份，甲方 </w:t>
      </w:r>
      <w:r>
        <w:rPr>
          <w:rFonts w:ascii="SimSun" w:hAnsi="SimSun" w:eastAsia="SimSun" w:cs="SimSun"/>
          <w:color w:val="000000"/>
          <w:sz w:val="24"/>
          <w:u w:val="single"/>
        </w:rPr>
        <w:t xml:space="preserve">贰 </w:t>
      </w:r>
      <w:r>
        <w:rPr>
          <w:rFonts w:ascii="SimSun" w:hAnsi="SimSun" w:eastAsia="SimSun" w:cs="SimSun"/>
          <w:color w:val="000000"/>
          <w:sz w:val="24"/>
        </w:rPr>
        <w:t xml:space="preserve">份，乙方</w:t>
      </w:r>
      <w:r>
        <w:rPr>
          <w:rFonts w:ascii="SimSun" w:hAnsi="SimSun" w:eastAsia="SimSun" w:cs="SimSun"/>
          <w:color w:val="000000"/>
          <w:sz w:val="24"/>
          <w:u w:val="single"/>
        </w:rPr>
        <w:t xml:space="preserve"> 贰 </w:t>
      </w:r>
      <w:r>
        <w:rPr>
          <w:rFonts w:ascii="SimSun" w:hAnsi="SimSun" w:eastAsia="SimSun" w:cs="SimSun"/>
          <w:color w:val="000000"/>
          <w:sz w:val="24"/>
        </w:rPr>
        <w:t xml:space="preserve">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9、本合同自双方签订之日起生效。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或授权委托人（签字）：或授权委托人（签字）：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附表：盐城市新洋第二实验学校物业考核办法</w:t>
      </w:r>
      <w:r/>
    </w:p>
    <w:p>
      <w:pPr>
        <w:ind w:left="0" w:right="0" w:firstLine="47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盐城市新洋第二实验学校物业考核办法</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一、考核办法的实施原则与目的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二、考核内容与评分标准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日常管理百分考核（总分：100分）</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5023"/>
        <w:gridCol w:w="970"/>
        <w:gridCol w:w="575"/>
        <w:gridCol w:w="650"/>
        <w:gridCol w:w="619"/>
        <w:gridCol w:w="687"/>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人员考核细则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考核满分（分）</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考核得分（分）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备  注</w:t>
            </w:r>
            <w:r/>
          </w:p>
        </w:tc>
      </w:tr>
      <w:tr>
        <w:trPr>
          <w:trHeight w:val="28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月</w:t>
            </w:r>
            <w:r/>
          </w:p>
        </w:tc>
        <w:tc>
          <w:tcPr>
            <w:vMerge w:val="continue"/>
            <w:textDirection w:val="lrTb"/>
            <w:noWrap w:val="false"/>
          </w:tcPr>
          <w:p>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着装统一，保持良好的精神面貌。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制度公示上墙，持证上岗并公示上墙。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上班时间段内，当班人员按要求规范上岗，正确使用文明用语。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保持值班室的卫生，物品装备摆放整齐。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保洁台账、交接班台账、巡查台账、绿化台账、维修台账等规范填写。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学校整体环境良好，无保洁死角；道路整洁无垃圾、落叶，室外构筑物走道、栏杆、顶棚整洁卫生，地下车库整洁无垃圾。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按甲方要求做好常态化工作。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垃圾每日收集1次，做到日产日清，无垃圾桶、果壳箱满溢现象，定期对垃圾桶进行冲洗，冲洗后无异味。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保证在环境卫生品质不降低的前提下，严格合理的控制物料消耗，对物料及机械管理，及时规范详实的做好盘点、发放登记、日常维护及使用情况。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宿管督促学生按时作息，抓好晚睡纪律。与值日领导一起带领值寝学生进行查晚寝，按时熄灯、锁门，并做好记录；有特殊情况应妥善处理，并及时向当天值日领导反映。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每天做好值班室及公共区域的卫生，督促学生做好宿舍内卫生的清理，负责检查学生宿舍内卫生，督促学生保持宿舍内整洁和宿舍区干净，并及时记录各宿舍卫生情况，出现公共卫生没清理应及时向学校反映。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负责维护宿舍区的安全:① 经常对本宿舍区域进行巡查，对违反《学生宿舍管理条例》的人和事进行阻止、处理，正确行使管理职能。② 做好学生亲属来访出入等登记工作。③ 按规定时间执行关锁宿舍区大门、熄灯等工作，每晚检查学生住宿情况,对学生夜不归宿等违纪行为进行查处并做好检查登记记录。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维修及时高效，发生突发事件（如停电、停水等）要及时赶到现场处理，并及时向有关领导报告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人员要认真学习消防、防恐防暴知识，熟知使用消防、防暴器材的方法。发现消防隐患，及时上报，提出整改意见，避免事故。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发生突发事件（如停电、停水等）要及时赶到现场处理，并及时向有关领导报告。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确保项目内的治安安全，按上级要求，及时纠正和处理治安安全事件。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上下团结，齐心协力，为整体物业工作出力献策。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小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69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7" w:type="dxa"/>
            <w:vAlign w:val="center"/>
            <w:textDirection w:val="lrTb"/>
            <w:noWrap w:val="false"/>
          </w:tcPr>
          <w:p>
            <w:pPr>
              <w:ind w:left="27" w:right="0" w:hanging="27"/>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p>
            <w:pPr>
              <w:ind w:left="27" w:right="0" w:hanging="27"/>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1、甲方将对物业服务情况每月进行一次专项考核，每季度进行一次全面考核。</w:t>
            </w:r>
            <w:r/>
          </w:p>
          <w:p>
            <w:pPr>
              <w:numPr>
                <w:ilvl w:val="0"/>
                <w:numId w:val="7"/>
              </w:numP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物业人员表现突出者，可适当给予相应加分。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3、在备注栏里对加分、扣分情况进行说明。</w:t>
            </w:r>
            <w:r/>
          </w:p>
        </w:tc>
      </w:tr>
    </w:tbl>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三、考核的组织人员与实施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1、校方成立由物业管理考核小组，具体工作由总务处牵头，具体负责相关考核工作。考核小组依据百分考核情况（满分为100分）。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2、考核小组定期对物管服务进行考核，编制物业管理工作考核表。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四、考核的认定与评判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1、考核标准：综合得分90分以上为优秀；80至90分为良好；70至80分为合格；70分以下为不合格。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五、考核奖惩</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项目属性:服务类项目。</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一、项目基本概况</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9"/>
        <w:gridCol w:w="3842"/>
      </w:tblGrid>
      <w:tr>
        <w:trPr>
          <w:trHeight w:val="7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物业地址</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盐城市新洋第二实验学校2026年度物业服务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盐城市亭湖区新洋经济区新龙路16号</w:t>
            </w:r>
            <w:r/>
          </w:p>
        </w:tc>
      </w:tr>
    </w:tbl>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二、物业服务范围</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新洋第二实验学校2026年度物业服务项目，服务主要内容及人员，包含保洁员4人、水电工1人、文印操作人员1人、夜间值班巡逻人员1人（由安保服务单位派遣、采购单位统筹管理），具体以现场实际情况为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三、项目总体要求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1、物业公司在学校独立进行内部管理的同时，还必须服从学校相关职能部门的监督和领导。</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2、投标单位必须全面认真了解学校的全天候管理内容及要求，能够确保按时保质保量完成管理任务。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3、学校提供智能化管理系统，物业公司安排专业人员（持证上岗）负责系统的运营管理。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4、物业公司招聘的工作的人员，需满足采购人需求。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物业公司安排到盐城市新洋第二实验学校工作的人员，（1）必须服从采购人的工作安排，遵守学校的相关纪律要求，品德高尚，作风正派，关心热爱学生，身体、心理健康（不能有肝炎、肺结核、肺炎等传染病，不能有精神病），吃苦耐劳；无犯罪记录。（2）能从事午间、夜间值班工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6、对因工作不到位而引起学校、师生财产损失的，将追究当事人责任并根据情况予以赔偿。</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7、物业管理费用由甲方经考评后按月度发放。中标人领取费用时必须出具税务机关开出的正式发票。甲方按月度付清中标人物业费用，不再负责中标人因此产生的债务或其他经济问题。</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9、采购人考核时如发现现场人数与投标人数不符的，采购人付款时将按投标工资双倍扣款。</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11、中标人要按时足额发放所有人员工资。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color w:val="000000"/>
          <w:sz w:val="24"/>
          <w:u w:val="none"/>
        </w:rPr>
        <w:t xml:space="preserve">用工人数参见本章《人员配置要求表》，实际用工人数不得小于表内配置人数。</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四、物业管理范围及具体服务项目</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盐城市新洋第二实验学校内范围物业服务项目包含卫生保洁、消毒消杀、垃圾清运、绿化养护、水电设备安全管理及设备维修维护保养、文印操作以及学校安排的其他有关物业管理事项。</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1.项目经理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负责体校物业服务管理处全面工作，实施对全体人员的管理和考核工作，与学校相关部门保持沟通协调，全面做好学校保洁、</w:t>
      </w:r>
      <w:r>
        <w:rPr>
          <w:rFonts w:ascii="SimSun" w:hAnsi="SimSun" w:eastAsia="SimSun" w:cs="SimSun"/>
          <w:color w:val="ff0000"/>
          <w:sz w:val="24"/>
        </w:rPr>
        <w:t xml:space="preserve">垃圾清运</w:t>
      </w:r>
      <w:r>
        <w:rPr>
          <w:rFonts w:ascii="SimSun" w:hAnsi="SimSun" w:eastAsia="SimSun" w:cs="SimSun"/>
          <w:color w:val="000000"/>
          <w:sz w:val="24"/>
        </w:rPr>
        <w:t xml:space="preserve">、绿化养护、</w:t>
      </w:r>
      <w:r>
        <w:rPr>
          <w:rFonts w:ascii="SimSun" w:hAnsi="SimSun" w:eastAsia="SimSun" w:cs="SimSun"/>
          <w:color w:val="ff0000"/>
          <w:sz w:val="24"/>
        </w:rPr>
        <w:t xml:space="preserve">消毒消杀、水电安全及水电设备维修维护保养</w:t>
      </w:r>
      <w:r>
        <w:rPr>
          <w:rFonts w:ascii="SimSun" w:hAnsi="SimSun" w:eastAsia="SimSun" w:cs="SimSun"/>
          <w:color w:val="000000"/>
          <w:sz w:val="24"/>
        </w:rPr>
        <w:t xml:space="preserve">、</w:t>
      </w:r>
      <w:r>
        <w:rPr>
          <w:rFonts w:ascii="SimSun" w:hAnsi="SimSun" w:eastAsia="SimSun" w:cs="SimSun"/>
          <w:color w:val="ff0000"/>
          <w:sz w:val="24"/>
        </w:rPr>
        <w:t xml:space="preserve">文印、会务</w:t>
      </w:r>
      <w:r>
        <w:rPr>
          <w:rFonts w:ascii="SimSun" w:hAnsi="SimSun" w:eastAsia="SimSun" w:cs="SimSun"/>
          <w:color w:val="000000"/>
          <w:sz w:val="24"/>
        </w:rPr>
        <w:t xml:space="preserve">等管理监督工作，确保学校后勤保障工作的正常运行。</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2.基本服务</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
        <w:gridCol w:w="1395"/>
        <w:gridCol w:w="5757"/>
      </w:tblGrid>
      <w:tr>
        <w:trPr>
          <w:trHeight w:val="5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目标与   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（1）结合采购人要求及物业服务实际情况，制定年度管理目标，</w:t>
            </w:r>
            <w:r>
              <w:rPr>
                <w:rFonts w:ascii="SimSun" w:hAnsi="SimSun" w:eastAsia="SimSun" w:cs="SimSun"/>
                <w:color w:val="ff0000"/>
                <w:sz w:val="24"/>
              </w:rPr>
              <w:t xml:space="preserve">制定详细的内部管理制度、日常服务的运作管理制度等相关制度。</w:t>
            </w:r>
            <w:r>
              <w:rPr>
                <w:rFonts w:ascii="SimSun" w:hAnsi="SimSun" w:eastAsia="SimSun" w:cs="SimSun"/>
                <w:color w:val="000000"/>
                <w:sz w:val="24"/>
              </w:rPr>
              <w:t xml:space="preserve">明确责任分工，并制定配套实施方案。</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（2）配合采购人进行各类大型活动现场保洁工作。</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 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（1）每季度至少开展1次岗位技能、职业素质、服务知识等教育培训，并进行适当形式的考核。</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（2）根据要求对服务人员进行从业资格审查，审查结果向采购人报备。</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（5）着装分类统一，佩戴标识。仪容整洁、姿态端正、举止文明。用语文明礼貌，态度温和耐心。</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保密和思想政治教育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top"/>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（1）建立保密管理制度。制度内容应当包括但不限于：①明确重点要害岗位保密职责。②对涉密工作岗位的保密要求。</w:t>
            </w:r>
            <w:r/>
          </w:p>
        </w:tc>
      </w:tr>
      <w:tr>
        <w:trPr>
          <w:trHeight w:val="2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（3）发现服务人员违法违规或重大过失，应及时报告采购人，并采取必要补救措施。</w:t>
            </w:r>
            <w:r/>
          </w:p>
        </w:tc>
      </w:tr>
      <w:tr>
        <w:trPr>
          <w:trHeight w:val="59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（1）加强有关物业的档案和资料的管理。</w:t>
            </w:r>
            <w:r>
              <w:rPr>
                <w:rFonts w:ascii="SimSun" w:hAnsi="SimSun" w:eastAsia="SimSun" w:cs="SimSun"/>
                <w:color w:val="000000"/>
                <w:sz w:val="24"/>
              </w:rPr>
              <w:t xml:space="preserve">建立物业信息，准确、及时地对文件资料和服务记录进行归档保存，并确保其物理安全。</w:t>
            </w:r>
            <w:r>
              <w:rPr>
                <w:rFonts w:ascii="SimSun" w:hAnsi="SimSun" w:eastAsia="SimSun" w:cs="SimSun"/>
                <w:color w:val="ff0000"/>
                <w:sz w:val="24"/>
              </w:rPr>
              <w:t xml:space="preserve">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r>
        <w:trPr>
          <w:trHeight w:val="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（2）档案、资料管理。以及具体的管理方案。包括但不限于：</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①采购人建议与投诉等。教育培训和考核记录。保密、思想  政治教育培训记录。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②保洁服务：工作日志、清洁检查表、用品清单、客户反馈表等。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③公用设施设备维护服务：设备设施运行记录、值班记录等。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④其他：信报信息登记、大件物品进出登记等。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建立健全物业管理制度</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根据招标人具体情况，投标人应制定企业详细的内部管理制度、日常管理的运作管理制度等相关制度。制度至少应包括：</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①物业服务员工行为规范；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②服务人员岗位职责；</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③办公室工作职责；</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④保洁工作职责；</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⑤花名册；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⑥管理人员、操作人员考核细则（百分考核）；</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⑦考核奖惩制度；</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 综合服务制度；</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⑨其他制度。</w:t>
            </w:r>
            <w:r/>
          </w:p>
        </w:tc>
      </w:tr>
      <w:tr>
        <w:trPr>
          <w:trHeight w:val="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（3）遵守采购人的信息、档案资料保密要求，未经许可，不得将建筑物平面图等资料转作其他用途或向其他单位、个人提供。</w:t>
            </w:r>
            <w:r/>
          </w:p>
        </w:tc>
      </w:tr>
      <w:tr>
        <w:trPr>
          <w:trHeight w:val="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服务改进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（1）明确责任人，定期对物业服务过程进行自查，结合反馈意见与评价结果采取改进措施，持续提升管理与服务水平。</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（2）对不合格服务进行控制，对不合格服务的原因进行识别和分析，及时采取纠正措施，消除不合格的原因，防止不合格再发生。</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（3）需整改问题及时整改完成。</w:t>
            </w:r>
            <w:r/>
          </w:p>
        </w:tc>
      </w:tr>
      <w:tr>
        <w:trPr>
          <w:trHeight w:val="2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日常会务和</w:t>
            </w:r>
            <w:r>
              <w:rPr>
                <w:rFonts w:ascii="SimSun" w:hAnsi="SimSun" w:eastAsia="SimSun" w:cs="SimSun"/>
                <w:color w:val="000000"/>
                <w:sz w:val="24"/>
              </w:rPr>
              <w:t xml:space="preserve">重大活动保障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日常会务和大型活动，乙方须无条件提供卫生保洁、会务服务等工作。①服务人员上岗前要按规定着装，认真整理工装、工牌、仪容仪表端庄、整洁、精神饱满。②帮助布置会场，现场卫生保洁工作。</w:t>
            </w:r>
            <w:r/>
          </w:p>
        </w:tc>
      </w:tr>
      <w:tr>
        <w:trPr>
          <w:trHeight w:val="138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（1）制订流程。配合采购人制订重大活动后勤保障工作流程，需对任务进行详细了解，并根据工作安排制定详细的后勤保障计划。</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（3）收尾工作。对现场进行检查，做好清理工作。</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应急保障  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服务方案及工作制度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（1）制定工作制度，主要包括：人员录用制度、档案管理制度、物业服务管理制度等相关管理制度等。</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（2）制定项目实施方案，主要包括：交接方案、人员培训方案、人员稳定性方案等。</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（3）制定物业服务方案，主要包括：保洁服务方案、水电维护服务等方案。</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服务热线</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及紧急维修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（1）设置24小时报修服务热线。</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（2）紧急维修应当15分钟内到达现场，不间断维修直至修复。</w:t>
            </w:r>
            <w:r/>
          </w:p>
        </w:tc>
      </w:tr>
    </w:tbl>
    <w:p>
      <w:pPr>
        <w:numPr>
          <w:ilvl w:val="0"/>
          <w:numId w:val="8"/>
        </w:numPr>
        <w:spacing w:before="0" w:after="0" w:line="49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3.1保洁服务</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
        <w:gridCol w:w="209"/>
        <w:gridCol w:w="9079"/>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r>
      <w:tr>
        <w:trPr>
          <w:trHeight w:val="1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9" w:type="dxa"/>
            <w:vAlign w:val="center"/>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（1）建立保洁服务的工作制度及工作计划，并按照执行。</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（2）做好保洁服务工作记录，记录填写规范、保存完好。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（3）作业时采取安全防护措施，防止对作业人员或他人造成伤害。相关耗材的环保、安全性等应当符合国家相关规定要求。</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公共场地区域保洁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9" w:type="dxa"/>
            <w:vAlign w:val="center"/>
            <w:textDirection w:val="lrTb"/>
            <w:noWrap/>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负责办公区域、室外路面卫生保洁及绿化带内白色垃圾等杂物的清理。责任区域无瓜果皮壳、纸屑、烟头等杂物,无积水、污迹:外部垃圾及时处理,内部如有堵塞及时反映、疏通。</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每天巡查1~3次区域内的卫生状况,清除卫生包干区的废纸、污物,保持责任区域的卫生整洁。拖擦楼层面每日一次,擦洗门窗及楼道附属物每周至少一次清扫墙壁每月至少一次,全日保洁。</w:t>
            </w:r>
            <w:r>
              <w:rPr>
                <w:rFonts w:ascii="SimSun" w:hAnsi="SimSun" w:eastAsia="SimSun" w:cs="SimSun"/>
                <w:color w:val="000000"/>
                <w:sz w:val="24"/>
              </w:rPr>
              <w:t xml:space="preserve">每日打扫1次各楼层通道和楼梯台阶，并拖洗干净；水磨石或水泥地面每半月至少刷洗1次；</w:t>
            </w:r>
            <w:r>
              <w:rPr>
                <w:rFonts w:ascii="SimSun" w:hAnsi="SimSun" w:eastAsia="SimSun" w:cs="SimSun"/>
                <w:color w:val="ff0000"/>
                <w:sz w:val="24"/>
              </w:rPr>
              <w:t xml:space="preserve">每间隔２小时巡回清理电梯口和通道摆放的烟灰缸内的垃圾和烟头，每日至少清洗1次烟缸或石米；</w:t>
            </w:r>
            <w:r>
              <w:rPr>
                <w:rFonts w:ascii="SimSun" w:hAnsi="SimSun" w:eastAsia="SimSun" w:cs="SimSun"/>
                <w:color w:val="000000"/>
                <w:sz w:val="24"/>
              </w:rPr>
              <w:t xml:space="preserve">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SimSun" w:hAnsi="SimSun" w:eastAsia="SimSun" w:cs="SimSun"/>
                <w:color w:val="ff0000"/>
                <w:sz w:val="24"/>
              </w:rPr>
              <w:t xml:space="preserve">电梯及电梯厅保洁：保持电梯轿箱清洁，石材地面的每日一次推尘； 循环对电梯厅的地面每日一次进行清洁；电梯地板每周清洁1次；标准：玻璃镜面保持光亮、无手印污迹，灯具、天花板无灰尘，轿箱四壁干净无灰尘，不锈钢表面光亮，无灰尘、污迹；地毯干净无污迹。</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公用卫生间保洁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9" w:type="dxa"/>
            <w:vAlign w:val="center"/>
            <w:textDirection w:val="lrTb"/>
            <w:noWrap/>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厕所每日要保洁1~2次,要做到无积便、无污垢。夏季无蚊蝇。</w:t>
            </w:r>
            <w:r>
              <w:rPr>
                <w:rFonts w:ascii="SimSun" w:hAnsi="SimSun" w:eastAsia="SimSun" w:cs="SimSun"/>
                <w:color w:val="000000"/>
                <w:sz w:val="24"/>
              </w:rPr>
              <w:t xml:space="preserve">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w:t>
            </w:r>
            <w:r>
              <w:rPr>
                <w:rFonts w:ascii="SimSun" w:hAnsi="SimSun" w:eastAsia="SimSun" w:cs="SimSun"/>
                <w:color w:val="000000"/>
                <w:sz w:val="24"/>
              </w:rPr>
              <w:t xml:space="preserve">洁净无黄渍。</w:t>
            </w:r>
            <w:r/>
          </w:p>
        </w:tc>
      </w:tr>
      <w:tr>
        <w:trPr>
          <w:trHeight w:val="2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垃圾箱、垃圾池日产 日清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9" w:type="dxa"/>
            <w:vAlign w:val="center"/>
            <w:textDirection w:val="lrTb"/>
            <w:noWrap/>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ff0000"/>
                <w:sz w:val="24"/>
              </w:rPr>
              <w:t xml:space="preserve">每天清理设置在责任区的垃圾箱,不定期清除大道两旁垃圾箱内的垃圾。</w:t>
            </w:r>
            <w:r>
              <w:rPr>
                <w:rFonts w:ascii="SimSun" w:hAnsi="SimSun" w:eastAsia="SimSun" w:cs="SimSun"/>
                <w:color w:val="000000"/>
                <w:sz w:val="24"/>
              </w:rPr>
              <w:t xml:space="preserve">每日要对楼层产生的垃圾，进行清理分类，垃圾装袋，日产日清，并运至垃圾集中存放点。</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（2）桶身表面干净无污渍，每日开展至少1次清洁作业。</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（3）垃圾中转池保持整洁，无明显异味，每周至少开展1次清洁作业。</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校园道路、广场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9" w:type="dxa"/>
            <w:vAlign w:val="top"/>
            <w:textDirection w:val="lrTb"/>
            <w:noWrap/>
          </w:tcPr>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每日清扫路面1~2次,每2小时巡查一次，发现有零星的杂物及时清理。</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9" w:type="dxa"/>
            <w:vAlign w:val="center"/>
            <w:textDirection w:val="lrTb"/>
            <w:noWrap/>
          </w:tcPr>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会议茶杯清洗以及桌椅整理、场地保洁服务等。</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3.2地面和墙面清洁具体要求</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1"/>
        <w:gridCol w:w="699"/>
        <w:gridCol w:w="8223"/>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清洁要求</w:t>
            </w:r>
            <w:r/>
          </w:p>
        </w:tc>
      </w:tr>
      <w:tr>
        <w:trPr>
          <w:trHeight w:val="5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环氧地坪地面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（1）清理垃圾：清理地面上的垃圾和杂物。</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（3）浸泡：将清洁剂或去污剂浸泡在环氧地坪上，加强去除污渍的效果。</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（4）冲洗：用清水将地面冲洗干净，以去除残留的清洁剂或去污剂。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瓷砖地面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（1）日常清洁：推尘，保持地面干净无杂物。</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（2）深度清洁：使用洗洁精或肥皂水清理。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石材地面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定期使用中性清洁剂清洁，避免使用强酸或强碱清洁剂。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水磨石地面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（1）日常清洁：推尘，保持地面干净无杂物。</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（2）深度清洁：使用洗洁精或肥皂水清理。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地毯地面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日常用吸尘机除尘，局部脏污用湿布配中性清洁液重点清洁。</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乳胶漆内墙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有污渍时用半干布擦拭。</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木饰面内墙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有污渍时用中性清洁剂、半干布擦拭。</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真石漆外墙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定期专业清洗。</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干挂石材</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定期专业清洗。</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玻璃幕墙</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3" w:type="dxa"/>
            <w:vAlign w:val="center"/>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定期专业清洗。</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3.3水电安全管理和设备维修维护</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7"/>
        <w:gridCol w:w="773"/>
        <w:gridCol w:w="8104"/>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4"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配电房：</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1、配电房工作人员要持证上岗,严格遵守操作规程,严守岗位职责,做好值班记录和巡查记录,认真执行交接班制度。</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2、严格操作规程和安全生产规则,杜绝违章操作和不安全行为,</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3、对设备和安全设施要勤查,发现隐患及时报告。精心维护和保养好设备,确保学校正常安全供电。</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4、做好配电房的防水、防潮工作,注意随手关闭好门窗,经常查看防护网、密封条防护情况,谨防小动物窜入配电间而发生意外</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5、严格禁火制度。严禁将易燃易爆危险物品带进配电间:配电间内严禁吸烟。工作人员须能熟练使用消防器材。</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6、严禁无关人员进出。未经培训,不得随便开关操作室内设施、设备。</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7、管理员应经常检查设施、设备运作情况发现隐患,及时处理。</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8、增强保密观念,不得向无关人员泄露配电房设备情况。</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9、做好对电器设备的日常维护工作,注意电压表、电流表、功率因数表的指示情况:禁止让电器设备超负荷使用和带病运转。</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10、经常保持配电房地面及设备外表清洁无尘配电设备的倒闸操作时由值班员单独进行,其他在场人员只作监护,不得插手;严禁两人同时倒闸操作,以免发生错误。</w:t>
            </w:r>
            <w:r/>
          </w:p>
        </w:tc>
      </w:tr>
      <w:tr>
        <w:trPr>
          <w:trHeight w:val="48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4"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给排水、水电设备维修维护保养：</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做好给排水、水电设备维修维护保养工作，及时清理有关水电用房的垃圾，定期做好空调室内外机组的清洁工程，确保校内给排水、水电设备正常运行。</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3.4绿化养护</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1"/>
        <w:gridCol w:w="394"/>
        <w:gridCol w:w="8719"/>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center"/>
            <w:textDirection w:val="lrTb"/>
            <w:noWrap/>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内苗木修剪至少3次（含高空树木修剪）；施肥至少2次；除草、除藤蔓等杂草至少8次；治虫至少3次。养护包括抹芽、病虫害防治、抗旱、抗台、抗涝、防冻保温等。在接管养护任务后，确保合同期内绿化长势良好，如因养护工作措施不到位造成乔木病枯死，乙方承担全部责任，须在三周内补栽同等规格和品种的乔木并包成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不可抗力因素，如台风造成树木倒伏，要简易的固定；严重的需重新栽植的，结合实际情况协商完成。修剪下来的树枝树叶、枯木、杂草等及时清运出校园。</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3.5大型活动服务</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2"/>
        <w:gridCol w:w="951"/>
        <w:gridCol w:w="7801"/>
      </w:tblGrid>
      <w:tr>
        <w:trPr>
          <w:trHeight w:val="5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1" w:type="dxa"/>
            <w:vAlign w:val="center"/>
            <w:textDirection w:val="lrTb"/>
            <w:noWrap/>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服务人员上岗前要按规定着装，认真整理工装、工牌、仪容仪表端庄、整洁、精神饱满。帮助布置会场，现场卫生保洁工作。</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3.6文印管理</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1216"/>
        <w:gridCol w:w="7385"/>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5" w:type="dxa"/>
            <w:vAlign w:val="center"/>
            <w:textDirection w:val="lrTb"/>
            <w:noWrap/>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完成学校文印室承担的试卷等排版印刷工作，文印室的文印资料，非经学校允许，不得泄露。</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3.7档案、资料管理</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
        <w:gridCol w:w="440"/>
        <w:gridCol w:w="8646"/>
      </w:tblGrid>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服务标准</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6" w:type="dxa"/>
            <w:vAlign w:val="center"/>
            <w:textDirection w:val="lrTb"/>
            <w:noWrap/>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rPr>
          <w:rFonts w:ascii="Arial" w:hAnsi="Arial" w:eastAsia="Arial" w:cs="Arial"/>
          <w:color w:val="000000"/>
          <w:sz w:val="24"/>
        </w:rPr>
        <w:t xml:space="preserve">建立健全物业管理制度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w:t>
      </w:r>
      <w:r>
        <w:rPr>
          <w:rFonts w:ascii="SimSun" w:hAnsi="SimSun" w:eastAsia="SimSun" w:cs="SimSun"/>
          <w:color w:val="000000"/>
          <w:sz w:val="24"/>
        </w:rPr>
        <w:t xml:space="preserve">盐城市新洋第二实验学校</w:t>
      </w:r>
      <w:r>
        <w:rPr>
          <w:rFonts w:ascii="Arial" w:hAnsi="Arial" w:eastAsia="Arial" w:cs="Arial"/>
          <w:color w:val="000000"/>
          <w:sz w:val="24"/>
        </w:rPr>
        <w:t xml:space="preserve">的具体情况，中标单位应制定详细的内部管理制度、日常服务的运作管理制度等相关制度。</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Arial" w:hAnsi="Arial" w:eastAsia="Arial" w:cs="Arial"/>
          <w:b/>
          <w:color w:val="000000"/>
          <w:sz w:val="24"/>
        </w:rPr>
        <w:t xml:space="preserve">、供应商履行合同所需的设备</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5"/>
        <w:gridCol w:w="1647"/>
        <w:gridCol w:w="5679"/>
        <w:gridCol w:w="719"/>
        <w:gridCol w:w="734"/>
      </w:tblGrid>
      <w:tr>
        <w:trPr>
          <w:trHeight w:val="6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扫帚、抹布、垃圾袋、专用清洁剂、平拖、软布拖把等，</w:t>
            </w:r>
            <w:r>
              <w:rPr>
                <w:rFonts w:ascii="SimSun" w:hAnsi="SimSun" w:eastAsia="SimSun" w:cs="SimSun"/>
                <w:color w:val="ff0000"/>
                <w:sz w:val="24"/>
              </w:rPr>
              <w:t xml:space="preserve">公共区域（不含室内）消毒消杀剂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水电设备检查、维修维护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常用的仪器、工具等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套</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肥料、农药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批</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大型活动服务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工装、工牌等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r>
    </w:tbl>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Arial" w:hAnsi="Arial" w:eastAsia="Arial" w:cs="Arial"/>
          <w:b/>
          <w:color w:val="000000"/>
          <w:sz w:val="24"/>
        </w:rPr>
        <w:t xml:space="preserve">、人员要求：</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、人员基本原则：精干 高效 专业 敬业 健康。</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、人员数量要求：</w:t>
      </w:r>
      <w:r>
        <w:rPr>
          <w:rFonts w:ascii="SimSun" w:hAnsi="SimSun" w:eastAsia="SimSun" w:cs="SimSun"/>
          <w:b/>
          <w:color w:val="000000"/>
          <w:sz w:val="24"/>
        </w:rPr>
        <w:t xml:space="preserve">投标人投入本项目的各类人员不得低于以下标准，数量不得低于以下总人数。本项目要求国假加班人员数不得少于2人，人员必须用足，中标方需统筹安排满足甲方工作要求，具体要求及范围按项目需求实施。</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6"/>
        <w:gridCol w:w="3993"/>
        <w:gridCol w:w="2956"/>
      </w:tblGrid>
      <w:tr>
        <w:trPr>
          <w:trHeight w:val="6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人员数量要求</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保洁员（其中1人兼任项目经理）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水电工（兼职）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文印操作员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夜间值班训练人员（保安兼）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0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bl>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Arial" w:hAnsi="Arial" w:eastAsia="Arial" w:cs="Arial"/>
          <w:color w:val="000000"/>
          <w:sz w:val="24"/>
        </w:rPr>
        <w:t xml:space="preserve">人员综合素质要求（投入本项目的人员综合素质不低于以下要求）：</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8"/>
        <w:gridCol w:w="1714"/>
        <w:gridCol w:w="5368"/>
      </w:tblGrid>
      <w:tr>
        <w:trPr>
          <w:trHeight w:val="6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人员综合素质要求</w:t>
            </w:r>
            <w:r/>
          </w:p>
        </w:tc>
      </w:tr>
      <w:tr>
        <w:trPr>
          <w:trHeight w:val="1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专科及以上学历，男女不限，45周岁以下,</w:t>
            </w:r>
            <w:r>
              <w:rPr>
                <w:rFonts w:ascii="SimSun" w:hAnsi="SimSun" w:eastAsia="SimSun" w:cs="SimSun"/>
                <w:color w:val="000000"/>
                <w:sz w:val="24"/>
                <w:highlight w:val="white"/>
              </w:rPr>
              <w:t xml:space="preserve">有一定的组</w:t>
            </w:r>
            <w:r>
              <w:rPr>
                <w:rFonts w:ascii="SimSun" w:hAnsi="SimSun" w:eastAsia="SimSun" w:cs="SimSun"/>
                <w:color w:val="000000"/>
                <w:sz w:val="24"/>
              </w:rPr>
              <w:t xml:space="preserve">织管理能力和协调能力，有较强的组织领导能力，未受过刑事处罚。持有健康证。</w:t>
            </w:r>
            <w:r/>
          </w:p>
        </w:tc>
      </w:tr>
      <w:tr>
        <w:trPr>
          <w:trHeight w:val="1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女性，50周岁以下，初中以上文化，有吃苦耐劳精神，责任心强，有一定的物业保洁服务工作经历，经培训，采购人与中标人共同考核合格后上岗。持有健康证。</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水电工（兼职）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男性，55周岁以下，身体健康，有相关实践工作经验，有责任心，工作能力强，须持有符合国家规定的电工作业证。持有健康证。</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文印操作员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男性55周岁以下，女性50周岁以下，有在企事业单位从事文印操作三年以上工作经历，能完成排版及文印等工作。身体健康，责任心强。持有健康证。</w:t>
            </w:r>
            <w:r/>
          </w:p>
        </w:tc>
      </w:tr>
    </w:tbl>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注：1、以上所有人员无重大疾病和传染病，诚实守信，责任心强并是在岗职工，不接受退休人员为项目组成员。与招标人签订物业合同上岗前须持有健康体检证明。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3、由于各类活动、突击迎检、节假日期间等因素导致的费用，不论这些因素是可预测或不可预测的，均已包含在投标报价中。除甲方要求外，不作调整。</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注：投标时无须提供以上人员其他相关证书及证明，中标人必须按岗位定员数量和素质要求配备人员，否则视为违约。</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七、项目管理服务方案</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投标人应根据采购需求和本项目实际，制订相应的服务方案至少包括以下内容：</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符合政策法规的整体设想及策划</w:t>
      </w:r>
      <w:r>
        <w:rPr>
          <w:rFonts w:ascii="SimSun" w:hAnsi="SimSun" w:eastAsia="SimSun" w:cs="SimSun"/>
          <w:b/>
          <w:color w:val="000000"/>
          <w:sz w:val="24"/>
        </w:rPr>
        <w:t xml:space="preserve">至少包括以下内容：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环境卫生管理：教学区深度保洁、公共区域精细化保洁、宿舍环境、绿化美化、设施设备运行维护、功能室管理等，做到打扫和保洁,及时、彻底、到位，配合绿化维保单位做好室外绿化养护及管理工作，定期对功能室进行卫生保洁、设备设施的检测维护与保养、水电设施的检查、门窗关锁的检查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会议活动考试保障：考场区域静音作业、环境深度清洁、运动会、艺术节、家长会、开学/毕业典礼的场地布置、保洁支持等，做到各类设备的开启、物品有序摆放、灯光开启、桌椅摆放整齐、卫生整洁等达到预期的使用和展示效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（3）会务服务管理：核心防 “准备漏项、服务失标”，重点考核 “会前准备完整性、会中服务响应速度、会后收尾及时性、设备保障率”，需杜绝 “音响故障、茶水短缺、会场遗留垃圾”等。</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2.组织机构设置、人员配备、培训与管理方案至少包括以下内容：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职责：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（2）员工配备：投标方应针对本项目实际运行状况及服务要求，拟定配备员工人数,投标方负责提供岗位人员配备清单及排班表等。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（3）培训与管理：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1）所有员工必须经过政审、岗前培训同时提供健康证明、</w:t>
      </w:r>
      <w:r>
        <w:rPr>
          <w:rFonts w:ascii="SimSun" w:hAnsi="SimSun" w:eastAsia="SimSun" w:cs="SimSun"/>
          <w:color w:val="ff0000"/>
          <w:sz w:val="24"/>
        </w:rPr>
        <w:t xml:space="preserve">心理健康筛查结论，</w:t>
      </w:r>
      <w:r>
        <w:rPr>
          <w:rFonts w:ascii="SimSun" w:hAnsi="SimSun" w:eastAsia="SimSun" w:cs="SimSun"/>
          <w:color w:val="000000"/>
          <w:sz w:val="24"/>
        </w:rPr>
        <w:t xml:space="preserve">培训合格方能入职，物业员工需具有垃圾分类、节能环保等意识。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有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3）岗位制度通用要求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岗前培训：新员工需完成岗位制度专项培训（不少于 4 小时），考核合格（如模拟访客登记、学生出入核验）方可上岗；</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每日晨会：各岗位每日上岗前开 10 分钟晨会，重申制度重点（如 “今日需重点核查校外施工人员证件”），通报前日违规案例；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离岗交接：岗位人员换班需填写《岗位交接记录表》，注明 “未处理事项”（如 “某访客等待对接人确认”），避免工作断档。</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3.制度的建立方案至少包括以下内容：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（1）管理制度：建立健全管理制度，制订突发性应急预案和处理办法，安全基础台账、应急预案规范：建立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为原则，先搭建制度框架明确权责，再聚焦突发场景制定应急预案，最后规范安全台账实现过程留痕，确保所有物业管理动作有章可循、有据可查。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（2）岗位管理制度：建立健全各项岗位管理制度，要实现 “岗位有规范”，需以 “岗位定责明权” 为核心，搭建覆盖全岗位的管理制度体系，确保制度落地、管控见效。</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（3）人员使用制度：建立健全人员使用政审和报告制度。至少包含员工招聘审查、培训办法，岗位职责、人员分工任务表等内部管理考核台账，资料健全等。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 “谁用工、谁负责” 原则，物业企业作为政审责任主体，设立由人力资源部、安全管理部组成的政审工作组；校园甲方（学校）安全管理部门对政审过程进行监督复核，核查政审结果。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（一）政审内容与标准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通用审查内容（所有岗位）</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身份资质核查：确认年满 18 周岁、中国公民身份真实有效，学历、职业资格证书真实合规，无伪造或隐瞒情况。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违法犯罪记录审查：通过公安机关查询，确认无故意犯罪记录，无收容教育、强制隔离戒毒、行政拘留等情形。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道德品行审查：通过原工作单位、社区居委会核实，无盗窃、诈骗、虐待等不良行为记录，无严重违反职业道德被辞退情况。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健康状况审查：提供有效期内健康证明，无影响岗位履职的传染病或精神疾病史，</w:t>
      </w:r>
      <w:r>
        <w:rPr>
          <w:rFonts w:ascii="SimSun" w:hAnsi="SimSun" w:eastAsia="SimSun" w:cs="SimSun"/>
          <w:color w:val="ff0000"/>
          <w:sz w:val="24"/>
        </w:rPr>
        <w:t xml:space="preserve">进行心理健康排查。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核心岗位专项审查内容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在通用审查基础上，增加以下内容：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政治素质审查：核查是否拥护中国共产党领导、遵守国家法律法规，无涉恐、涉邪教等不良关联记录。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社会关系审查：主要社会关系成员无危害国家安全或严重违法犯罪行为。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职业背景深度核查：近 3 年工作经历逐一核实，重点排查安全失职、信息泄露等职业污点。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政审结果判定标准</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1"/>
        <w:gridCol w:w="3769"/>
        <w:gridCol w:w="2718"/>
      </w:tblGrid>
      <w:tr>
        <w:trPr>
          <w:trHeight w:val="660"/>
        </w:trPr>
        <w:tc>
          <w:tcPr>
            <w:shd w:val="clear" w:color="f2f2f2" w:fill="f2f2f2"/>
            <w:tcBorders>
              <w:top w:val="single" w:color="000000" w:sz="8" w:space="0"/>
              <w:left w:val="single" w:color="000000" w:sz="8" w:space="0"/>
              <w:bottom w:val="single" w:color="000000" w:sz="8" w:space="0"/>
              <w:right w:val="single" w:color="000000" w:sz="8" w:space="0"/>
            </w:tcBorders>
            <w:tcMar>
              <w:left w:w="135" w:type="dxa"/>
              <w:top w:w="90" w:type="dxa"/>
              <w:right w:w="135" w:type="dxa"/>
              <w:bottom w:w="90" w:type="dxa"/>
            </w:tcMar>
            <w:tcW w:w="126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 级</w:t>
            </w:r>
            <w:r/>
          </w:p>
        </w:tc>
        <w:tc>
          <w:tcPr>
            <w:shd w:val="clear" w:color="f2f2f2" w:fill="f2f2f2"/>
            <w:tcBorders>
              <w:top w:val="single" w:color="000000" w:sz="8" w:space="0"/>
              <w:left w:val="none" w:color="000000" w:sz="4" w:space="0"/>
              <w:bottom w:val="single" w:color="000000" w:sz="8" w:space="0"/>
              <w:right w:val="single" w:color="000000" w:sz="8" w:space="0"/>
            </w:tcBorders>
            <w:tcMar>
              <w:left w:w="135" w:type="dxa"/>
              <w:top w:w="90" w:type="dxa"/>
              <w:right w:w="135" w:type="dxa"/>
              <w:bottom w:w="90" w:type="dxa"/>
            </w:tcMar>
            <w:tcW w:w="3769" w:type="dxa"/>
            <w:vAlign w:val="center"/>
            <w:textDirection w:val="lrTb"/>
            <w:noWrap w:val="false"/>
          </w:tcPr>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适用情形</w:t>
            </w:r>
            <w:r/>
          </w:p>
        </w:tc>
        <w:tc>
          <w:tcPr>
            <w:shd w:val="clear" w:color="f2f2f2" w:fill="f2f2f2"/>
            <w:tcBorders>
              <w:top w:val="single" w:color="000000" w:sz="8" w:space="0"/>
              <w:left w:val="none" w:color="000000" w:sz="4" w:space="0"/>
              <w:bottom w:val="single" w:color="000000" w:sz="8" w:space="0"/>
              <w:right w:val="single" w:color="000000" w:sz="8" w:space="0"/>
            </w:tcBorders>
            <w:tcMar>
              <w:left w:w="135" w:type="dxa"/>
              <w:top w:w="90" w:type="dxa"/>
              <w:right w:w="135" w:type="dxa"/>
              <w:bottom w:w="90" w:type="dxa"/>
            </w:tcMar>
            <w:tcW w:w="2718" w:type="dxa"/>
            <w:vAlign w:val="center"/>
            <w:textDirection w:val="lrTb"/>
            <w:noWrap w:val="false"/>
          </w:tcPr>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处理方式</w:t>
            </w:r>
            <w:r/>
          </w:p>
        </w:tc>
      </w:tr>
      <w:tr>
        <w:trPr/>
        <w:tc>
          <w:tcPr>
            <w:tcBorders>
              <w:top w:val="none" w:color="000000" w:sz="4" w:space="0"/>
              <w:left w:val="single" w:color="000000" w:sz="8" w:space="0"/>
              <w:bottom w:val="single" w:color="000000" w:sz="8" w:space="0"/>
              <w:right w:val="single" w:color="000000" w:sz="8" w:space="0"/>
            </w:tcBorders>
            <w:tcMar>
              <w:left w:w="135" w:type="dxa"/>
              <w:top w:w="90" w:type="dxa"/>
              <w:right w:w="135" w:type="dxa"/>
              <w:bottom w:w="90" w:type="dxa"/>
            </w:tcMar>
            <w:tcW w:w="126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c>
          <w:tcPr>
            <w:tcBorders>
              <w:top w:val="none" w:color="000000" w:sz="4" w:space="0"/>
              <w:left w:val="none" w:color="000000" w:sz="4" w:space="0"/>
              <w:bottom w:val="single" w:color="000000" w:sz="8" w:space="0"/>
              <w:right w:val="single" w:color="000000" w:sz="8" w:space="0"/>
            </w:tcBorders>
            <w:tcMar>
              <w:left w:w="135" w:type="dxa"/>
              <w:top w:w="90" w:type="dxa"/>
              <w:right w:w="135" w:type="dxa"/>
              <w:bottom w:w="90" w:type="dxa"/>
            </w:tcMar>
            <w:tcW w:w="3769"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符合通用审查全部要求，核心岗位同时满足专项审查标准，无任何负面记录。</w:t>
            </w:r>
            <w:r/>
          </w:p>
        </w:tc>
        <w:tc>
          <w:tcPr>
            <w:tcBorders>
              <w:top w:val="none" w:color="000000" w:sz="4" w:space="0"/>
              <w:left w:val="none" w:color="000000" w:sz="4" w:space="0"/>
              <w:bottom w:val="single" w:color="000000" w:sz="8" w:space="0"/>
              <w:right w:val="single" w:color="000000" w:sz="8" w:space="0"/>
            </w:tcBorders>
            <w:tcMar>
              <w:left w:w="135" w:type="dxa"/>
              <w:top w:w="90" w:type="dxa"/>
              <w:right w:w="135" w:type="dxa"/>
              <w:bottom w:w="90" w:type="dxa"/>
            </w:tcMar>
            <w:tcW w:w="2718"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准予录用，政审材料存档。</w:t>
            </w:r>
            <w:r/>
          </w:p>
        </w:tc>
      </w:tr>
      <w:tr>
        <w:trPr/>
        <w:tc>
          <w:tcPr>
            <w:tcBorders>
              <w:top w:val="none" w:color="000000" w:sz="4" w:space="0"/>
              <w:left w:val="single" w:color="000000" w:sz="8" w:space="0"/>
              <w:bottom w:val="single" w:color="000000" w:sz="8" w:space="0"/>
              <w:right w:val="single" w:color="000000" w:sz="8" w:space="0"/>
            </w:tcBorders>
            <w:tcMar>
              <w:left w:w="135" w:type="dxa"/>
              <w:top w:w="90" w:type="dxa"/>
              <w:right w:w="135" w:type="dxa"/>
              <w:bottom w:w="90" w:type="dxa"/>
            </w:tcMar>
            <w:tcW w:w="126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暂缓录用</w:t>
            </w:r>
            <w:r/>
          </w:p>
        </w:tc>
        <w:tc>
          <w:tcPr>
            <w:tcBorders>
              <w:top w:val="none" w:color="000000" w:sz="4" w:space="0"/>
              <w:left w:val="none" w:color="000000" w:sz="4" w:space="0"/>
              <w:bottom w:val="single" w:color="000000" w:sz="8" w:space="0"/>
              <w:right w:val="single" w:color="000000" w:sz="8" w:space="0"/>
            </w:tcBorders>
            <w:tcMar>
              <w:left w:w="135" w:type="dxa"/>
              <w:top w:w="90" w:type="dxa"/>
              <w:right w:w="135" w:type="dxa"/>
              <w:bottom w:w="90" w:type="dxa"/>
            </w:tcMar>
            <w:tcW w:w="3769"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存在轻微瑕疵（如非故意的行政处罚记录），经甲方同意且承诺整改。</w:t>
            </w:r>
            <w:r/>
          </w:p>
        </w:tc>
        <w:tc>
          <w:tcPr>
            <w:tcBorders>
              <w:top w:val="none" w:color="000000" w:sz="4" w:space="0"/>
              <w:left w:val="none" w:color="000000" w:sz="4" w:space="0"/>
              <w:bottom w:val="single" w:color="000000" w:sz="8" w:space="0"/>
              <w:right w:val="single" w:color="000000" w:sz="8" w:space="0"/>
            </w:tcBorders>
            <w:tcMar>
              <w:left w:w="135" w:type="dxa"/>
              <w:top w:w="90" w:type="dxa"/>
              <w:right w:w="135" w:type="dxa"/>
              <w:bottom w:w="90" w:type="dxa"/>
            </w:tcMar>
            <w:tcW w:w="2718"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签订《安全履职承诺书》，试用期内跟踪考察。</w:t>
            </w:r>
            <w:r/>
          </w:p>
        </w:tc>
      </w:tr>
      <w:tr>
        <w:trPr/>
        <w:tc>
          <w:tcPr>
            <w:tcBorders>
              <w:top w:val="none" w:color="000000" w:sz="4" w:space="0"/>
              <w:left w:val="single" w:color="000000" w:sz="8" w:space="0"/>
              <w:bottom w:val="single" w:color="000000" w:sz="8" w:space="0"/>
              <w:right w:val="single" w:color="000000" w:sz="8" w:space="0"/>
            </w:tcBorders>
            <w:tcMar>
              <w:left w:w="135" w:type="dxa"/>
              <w:top w:w="90" w:type="dxa"/>
              <w:right w:w="135" w:type="dxa"/>
              <w:bottom w:w="90" w:type="dxa"/>
            </w:tcMar>
            <w:tcW w:w="126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一票否决</w:t>
            </w:r>
            <w:r/>
          </w:p>
        </w:tc>
        <w:tc>
          <w:tcPr>
            <w:tcBorders>
              <w:top w:val="none" w:color="000000" w:sz="4" w:space="0"/>
              <w:left w:val="none" w:color="000000" w:sz="4" w:space="0"/>
              <w:bottom w:val="single" w:color="000000" w:sz="8" w:space="0"/>
              <w:right w:val="single" w:color="000000" w:sz="8" w:space="0"/>
            </w:tcBorders>
            <w:tcMar>
              <w:left w:w="135" w:type="dxa"/>
              <w:top w:w="90" w:type="dxa"/>
              <w:right w:w="135" w:type="dxa"/>
              <w:bottom w:w="90" w:type="dxa"/>
            </w:tcMar>
            <w:tcW w:w="3769" w:type="dxa"/>
            <w:vAlign w:val="center"/>
            <w:textDirection w:val="lrTb"/>
            <w:noWrap w:val="false"/>
          </w:tcPr>
          <w:p>
            <w:pPr>
              <w:numPr>
                <w:ilvl w:val="0"/>
                <w:numId w:val="9"/>
              </w:numPr>
              <w:spacing w:before="0" w:after="0" w:line="49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有故意犯罪、性侵、虐待未成年人等前科；</w:t>
            </w:r>
            <w:r/>
          </w:p>
          <w:p>
            <w:pPr>
              <w:numPr>
                <w:ilvl w:val="0"/>
                <w:numId w:val="9"/>
              </w:numPr>
              <w:spacing w:before="0" w:after="0" w:line="49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提供虚假政审材料；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3.核心岗位政治素质不达标。</w:t>
            </w:r>
            <w:r/>
          </w:p>
        </w:tc>
        <w:tc>
          <w:tcPr>
            <w:tcBorders>
              <w:top w:val="none" w:color="000000" w:sz="4" w:space="0"/>
              <w:left w:val="none" w:color="000000" w:sz="4" w:space="0"/>
              <w:bottom w:val="single" w:color="000000" w:sz="8" w:space="0"/>
              <w:right w:val="single" w:color="000000" w:sz="8" w:space="0"/>
            </w:tcBorders>
            <w:tcMar>
              <w:left w:w="135" w:type="dxa"/>
              <w:top w:w="90" w:type="dxa"/>
              <w:right w:w="135" w:type="dxa"/>
              <w:bottom w:w="90" w:type="dxa"/>
            </w:tcMar>
            <w:tcW w:w="2718"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坚决不予录用，记录入企业 “禁聘人员名录”。</w:t>
            </w:r>
            <w:r/>
          </w:p>
        </w:tc>
      </w:tr>
    </w:tbl>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（二）物业人员政审报告制度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报告主体：物业企业政审工作组，指定专人负责报告材料的汇总、报送与存档；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报告对象：校园甲方（学校）安全管理部门，重大情况同步报属地公安机关。</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档案留存：物业企业：建立 “一人一档”，政审材料与报告回执合并存档，留存期不少于离职后 3 年；</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甲方部门：分类存放报备表、季度报告及应急报告，电子档备份不少于 5 年，确保可追溯。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（三）保障与监督机制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1）培训与考核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每月开展 1 次政审业务培训，覆盖法律法规、调查技巧、保密要求，考核不合格者不得参与政审工作；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将政审与报告工作质量纳入物业企业绩效考核，与服务费用挂钩。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2）责任追究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候选人提供虚假材料的，立即辞退并列入禁聘名录，涉嫌违法的移交公安机关；</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政审人员存在 “漏查关键信息、泄露隐私、隐瞒问题” 等行为的，给予纪律处分，造成安全事故的追究法律责任；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物业企业未按规定报告的，甲方有权扣除相应考核分数，限期整改仍不合格的终止服务合同。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3）保密管理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政审材料存储于加密档案柜，电子档设置访问权限，仅限政审工作组与甲方审核人员查看；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销毁过期材料需执行 “双人监销”，填写《档案销毁记录》，禁止随意丢弃含个人信息的文件。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4.拟采取的管理服务模式方案至少包括以下内容：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（1）环境卫生管理：至少包含教学</w:t>
      </w:r>
      <w:r>
        <w:rPr>
          <w:rFonts w:ascii="SimSun" w:hAnsi="SimSun" w:eastAsia="SimSun" w:cs="SimSun"/>
          <w:color w:val="ff0000"/>
          <w:sz w:val="24"/>
        </w:rPr>
        <w:t xml:space="preserve">办公</w:t>
      </w:r>
      <w:r>
        <w:rPr>
          <w:rFonts w:ascii="SimSun" w:hAnsi="SimSun" w:eastAsia="SimSun" w:cs="SimSun"/>
          <w:color w:val="000000"/>
          <w:sz w:val="24"/>
        </w:rPr>
        <w:t xml:space="preserve">区、公共区域与绿化等，达到无脏杂物、无污迹，无异味。重点考核 “清洁频次、卫生达标率、垃圾分类合规率、消毒记录完整性”，需杜绝 “卫生间异味、垃圾满溢、消毒无记录” 等扣分项。防 “卫生死角、消毒缺记录”。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具体管理措施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垃圾分类实行 “督导员 + 标识引导”：每个垃圾点配备 1 名督导员，指导师生正确分类，每日记录《垃圾分类台账》（可回收物、厨余垃圾、其他垃圾重量）。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考核保障：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每日下班前，保洁组长对各区域进行 “自查评分”（按招标人考核标准打分，低于 90 分立即整改），留存自查记录。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季度考核前 1 周，对卫生死角（如楼梯转角、垃圾桶底部）进行 “深度清洁”，同步整理《消毒记录》（如卫生间每日消毒 2 次、食堂餐具每批次消毒），确保记录完整可查。</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（2）设施设备运维管理：至少包含功能室的管理、季节性维护等内容，达到熟练掌握各功能室内电源、灯光设备、音响设备、大屏控制设备的使用方法，定期维护。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色管理模式：至少包含考试保障、活动与会务、假期管理等内容，做到及时清理（清场），检查是否有遗留物品、未熄灭的火种等，所有场所在未使用时均保持整洁，卫生达标，能随时投入使用，避免发生任何安全事件。</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5.适合本项目的各种突发事件的处理预案方案至少包括以下内容：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物业服务、宿舍管理安全方面在学校遇到以下几个场景中提出的处理预案：①安全事故应急预案，如宿舍内的突发安全事件（如火灾隐患、学生冲突）等）；②消防安全事故应急预案（如发现宿舍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6.日常管理措施等包括以下内容：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卫生保洁、</w:t>
      </w:r>
      <w:r>
        <w:rPr>
          <w:rFonts w:ascii="SimSun" w:hAnsi="SimSun" w:eastAsia="SimSun" w:cs="SimSun"/>
          <w:color w:val="000000"/>
          <w:sz w:val="24"/>
        </w:rPr>
        <w:t xml:space="preserve">绿化养护、水电公共设备设施管理、清洁保洁管理、会务服务管理、文印管理等，根据招标人《考核细则》综合量化考核， 针对性的制定区域职能管理措施，做到日常考核、季度考核、专项考核大于等于90分以上。</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八、体系认证</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企业诚信管理体系认证证书的</w:t>
      </w:r>
      <w:r>
        <w:rPr>
          <w:rFonts w:ascii="SimSun" w:hAnsi="SimSun" w:eastAsia="SimSun" w:cs="SimSun"/>
          <w:b/>
          <w:color w:val="000000"/>
          <w:sz w:val="24"/>
        </w:rPr>
        <w:t xml:space="preserve">优先</w:t>
      </w:r>
      <w:r>
        <w:rPr>
          <w:rFonts w:ascii="SimSun" w:hAnsi="SimSun" w:eastAsia="SimSun" w:cs="SimSun"/>
          <w:color w:val="000000"/>
          <w:sz w:val="24"/>
        </w:rPr>
        <w:t xml:space="preserve">。</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九、业绩</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投标人需要具备丰富的物业服务相关承接经验，确保本项目的顺利实施，投标人自2023年1月1日以来（以合同签订日期为准）承接过类似物业服务项目业绩的</w:t>
      </w:r>
      <w:r>
        <w:rPr>
          <w:rFonts w:ascii="SimSun" w:hAnsi="SimSun" w:eastAsia="SimSun" w:cs="SimSun"/>
          <w:b/>
          <w:color w:val="000000"/>
          <w:sz w:val="24"/>
        </w:rPr>
        <w:t xml:space="preserve">优先</w:t>
      </w:r>
      <w:r>
        <w:rPr>
          <w:rFonts w:ascii="SimSun" w:hAnsi="SimSun" w:eastAsia="SimSun" w:cs="SimSun"/>
          <w:color w:val="000000"/>
          <w:sz w:val="24"/>
        </w:rPr>
        <w:t xml:space="preserve">。</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十、人员</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项目为盐城市新洋第二实验学校2026年物业管理服务，根据盐城市亭湖区盐城市新洋第二实验学校工作环境的要求，针对服务对象实际情况，投标人应为本项目配备具有丰富经验的物业服务团队，物业经理、绿化维护、文印员、会务服务员等需要一定工作经验的人员，未经采购人认可，不可随意更换。</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十一、采购标的对应的中小企业划分标准所属行业一览表</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
        <w:gridCol w:w="3812"/>
        <w:gridCol w:w="3308"/>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盐城市新洋第二实验学校</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年度物业服务项目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w:t>
            </w:r>
            <w:r/>
          </w:p>
        </w:tc>
      </w:tr>
    </w:tbl>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合同履行期限：一年（试用期3个月）</w:t>
      </w:r>
      <w:r>
        <w:rPr>
          <w:rFonts w:ascii="SimSun" w:hAnsi="SimSun" w:eastAsia="SimSun" w:cs="SimSun"/>
          <w:b/>
          <w:color w:val="ff0000"/>
          <w:sz w:val="24"/>
        </w:rPr>
        <w:t xml:space="preserve">。</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  评标方法与评标标准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综合评分</w:t>
      </w:r>
      <w:r>
        <w:rPr>
          <w:rFonts w:ascii="SimSun" w:hAnsi="SimSun" w:eastAsia="SimSun" w:cs="SimSun"/>
          <w:color w:val="000000"/>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1、小微型企业价格扣除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（1）本项目专门面向中小企业采购，不再对小型和微型企业报价给予价格扣除。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2、残疾人福利单位价格扣除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3、监狱和戒毒企业价格扣除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5、采购本国产品的支持政策</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 20%的价格扣除，用扣除后的价格参与评审。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Arial" w:hAnsi="Arial" w:eastAsia="Arial" w:cs="Arial"/>
          <w:b/>
          <w:i/>
          <w:color w:val="000000"/>
          <w:sz w:val="24"/>
        </w:rPr>
        <w:t xml:space="preserve">如属政府强制采购产品未提供认证证书的或认证证书提供不全的将视为未实质性响应采购要求</w:t>
      </w:r>
      <w:r>
        <w:rPr>
          <w:rFonts w:ascii="Arial" w:hAnsi="Arial" w:eastAsia="Arial" w:cs="Arial"/>
          <w:color w:val="000000"/>
          <w:sz w:val="24"/>
        </w:rPr>
        <w:t xml:space="preserve">。其他条件相同情况下，应当优先采购节能产品、环境标志产品。</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二、评标方法与评标标准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本项目评分总分值为</w:t>
      </w:r>
      <w:r>
        <w:rPr>
          <w:rFonts w:ascii="SimSun" w:hAnsi="SimSun" w:eastAsia="SimSun" w:cs="SimSun"/>
          <w:color w:val="000000"/>
          <w:sz w:val="24"/>
        </w:rPr>
        <w:t xml:space="preserve">100</w:t>
      </w:r>
      <w:r>
        <w:rPr>
          <w:rFonts w:ascii="Arial" w:hAnsi="Arial" w:eastAsia="Arial" w:cs="Arial"/>
          <w:color w:val="000000"/>
          <w:sz w:val="24"/>
        </w:rPr>
        <w:t xml:space="preserve">分。</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0"/>
        <w:gridCol w:w="6250"/>
        <w:gridCol w:w="754"/>
      </w:tblGrid>
      <w:tr>
        <w:trPr>
          <w:trHeight w:val="9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105" w:right="-10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w:t>
            </w:r>
            <w:r/>
          </w:p>
          <w:p>
            <w:pPr>
              <w:ind w:left="-105" w:right="-10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0" w:type="dxa"/>
            <w:vAlign w:val="center"/>
            <w:textDirection w:val="lrTb"/>
            <w:noWrap w:val="false"/>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0" w:type="dxa"/>
            <w:vAlign w:val="center"/>
            <w:textDirection w:val="lrTb"/>
            <w:noWrap w:val="false"/>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投标人自2023年1月1日以来(以合同签订时间为准)承接过类似物业服务项目业绩，每提供1个类似业绩得2分，本项最高得6分。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注：投标人须提供合同扫描件并加盖投标人公章，合同中必须包含服务内容、合同签订时间等信息，否则不计分。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0" w:type="dxa"/>
            <w:vAlign w:val="center"/>
            <w:textDirection w:val="lrTb"/>
            <w:noWrap w:val="false"/>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投标人取得有效期内的质量管理体系认证证书、环境管理体系认证证书、职业健康安全管理体系认证证书，每提供1项证书得2分，最高得6分。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0" w:type="dxa"/>
            <w:vAlign w:val="center"/>
            <w:textDirection w:val="lrTb"/>
            <w:noWrap w:val="false"/>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1.符合政策法规的整体设想及策划（7分）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2.组织机构设置、人员配备、培训与管理（7分）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3.制度的建立（6分）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投标人根据本项目第四章第七条第三款中“制度的建立方案”要求至少包含：①管理制度；②岗位管理制度；③人员使用制度等；优于项目需求得6分，满足项目需求得5分，不满足或不提供得0分。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4.拟采取的管理服务模式（6分）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第四章第七条第四款中“拟采取的管理服务模式方案”要求至少包含：①环境卫生管理；②绿化养护管理；③特色管理模式管理方案等；优于项目需求得6分，满足项目需求得5分，不满足或不提供得0分。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5.适合本项目的各种突发事件的处理预案（6分）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6.日常管理措施（6分）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投标人根据本项目第四章第七条第六款中“日常管理措施”要求至少包含：①卫生保洁；②绿化养护等；优于项目需求得6分，满足项目需求得5分，不满足或不提供得0分。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r>
    </w:tbl>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ascii="Times New Roman" w:hAnsi="Times New Roman" w:eastAsia="Times New Roman" w:cs="Times New Roman"/>
          <w:b/>
          <w:i/>
          <w:color w:val="000000"/>
          <w:sz w:val="24"/>
          <w:u w:val="single"/>
        </w:rPr>
        <w:t xml:space="preserve">80</w:t>
      </w:r>
      <w:r>
        <w:rPr>
          <w:rFonts w:ascii="SimSun" w:hAnsi="SimSun" w:eastAsia="SimSun" w:cs="SimSun"/>
          <w:b/>
          <w:i/>
          <w:color w:val="000000"/>
          <w:sz w:val="24"/>
          <w:u w:val="single"/>
        </w:rPr>
        <w:t xml:space="preserve">页，违反上述规定方案分得</w:t>
      </w:r>
      <w:r>
        <w:rPr>
          <w:rFonts w:ascii="Times New Roman" w:hAnsi="Times New Roman" w:eastAsia="Times New Roman" w:cs="Times New Roman"/>
          <w:b/>
          <w:i/>
          <w:color w:val="000000"/>
          <w:sz w:val="24"/>
          <w:u w:val="single"/>
        </w:rPr>
        <w:t xml:space="preserve">0</w:t>
      </w:r>
      <w:r>
        <w:rPr>
          <w:rFonts w:ascii="SimSun" w:hAnsi="SimSun" w:eastAsia="SimSun" w:cs="SimSun"/>
          <w:b/>
          <w:i/>
          <w:color w:val="000000"/>
          <w:sz w:val="24"/>
          <w:u w:val="single"/>
        </w:rPr>
        <w:t xml:space="preserve">分；上传的“明标”材料中不得出现与服务方案相关的内容，否则作无效标书处理。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84"/>
        </w:rPr>
        <w:t xml:space="preserve">投 标 文 件</w:t>
      </w:r>
      <w:r/>
    </w:p>
    <w:p>
      <w:pPr>
        <w:ind w:left="0" w:right="0" w:firstLine="72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446"/>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446"/>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 </w:t>
      </w:r>
      <w:r/>
    </w:p>
    <w:p>
      <w:pPr>
        <w:ind w:left="0" w:right="0" w:firstLine="1446"/>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投标文件目录</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一、法人或者其他组织的营业执照等证明文件，或自然人的身份证明</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二、上一年度的财务状况报告（成立不满一年无需提供）</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六、单位负责人为同一人或者存在直接控股、管理关系的不同供应商，不得参加同一合同项下的政府采购活动（投标文件中需提供声明）</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七、特定资格要求的证明文件（如果本项目设置特定资格要求，则需要提供）</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八、法人授权书</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九、投标函</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十六、服务方案等</w:t>
      </w:r>
      <w:r/>
    </w:p>
    <w:p>
      <w:pPr>
        <w:ind w:left="0" w:right="0" w:firstLine="56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一、法人或者其他组织的营业执照等证明文件，或自然人的身份证明</w:t>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 记录的书面声明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声</w:t>
      </w:r>
      <w:r>
        <w:rPr>
          <w:rFonts w:ascii="SimSun" w:hAnsi="SimSun" w:eastAsia="SimSun" w:cs="SimSun"/>
          <w:color w:val="000000"/>
          <w:sz w:val="44"/>
        </w:rPr>
        <w:t xml:space="preserve">  </w:t>
      </w:r>
      <w:r>
        <w:rPr>
          <w:rFonts w:ascii="Arial" w:hAnsi="Arial" w:eastAsia="Arial" w:cs="Arial"/>
          <w:color w:val="000000"/>
          <w:sz w:val="44"/>
        </w:rPr>
        <w:t xml:space="preserve">明</w:t>
      </w:r>
      <w:r/>
    </w:p>
    <w:p>
      <w:pPr>
        <w:ind w:left="0" w:right="0" w:firstLine="480"/>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六、单位负责人为同一人或者存在直接控股、管理关系的不同供应商，不得参加同一合同项下的政府采购活动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声 明</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我单位郑重声明：在参加本次政府采购活动中，我单位没有与参加本项目投标的其他供应商存在单位负责人为同一人或者存在直接控股、管理关系情形。</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3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3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center"/>
        <w:spacing w:before="18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8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采购活动的合法代理人，以本单位名义全权处理一切与该项目采购有关的事务。</w:t>
      </w:r>
      <w:r/>
    </w:p>
    <w:p>
      <w:pPr>
        <w:ind w:left="0" w:right="0" w:firstLine="480"/>
        <w:jc w:val="both"/>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jc w:val="both"/>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w:t>
      </w:r>
      <w:r>
        <w:rPr>
          <w:rFonts w:ascii="SimSun" w:hAnsi="SimSun" w:eastAsia="SimSun" w:cs="SimSun"/>
          <w:color w:val="000000"/>
          <w:sz w:val="24"/>
          <w:u w:val="single"/>
        </w:rPr>
        <w:t xml:space="preserve">         （手机）         </w:t>
      </w:r>
      <w:r/>
    </w:p>
    <w:p>
      <w:pPr>
        <w:ind w:left="0" w:right="0" w:firstLine="480"/>
        <w:jc w:val="both"/>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      （加盖CA电子公章）      </w:t>
      </w:r>
      <w:r/>
    </w:p>
    <w:p>
      <w:pPr>
        <w:ind w:left="0" w:right="0" w:firstLine="480"/>
        <w:jc w:val="both"/>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br w:type="page" w:clear="all"/>
      </w:r>
      <w:r/>
    </w:p>
    <w:p>
      <w:pPr>
        <w:ind w:left="0" w:right="0" w:firstLine="480"/>
        <w:jc w:val="both"/>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九、投标函</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致：盐城市政府采购中心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4"/>
        </w:rPr>
        <w:t xml:space="preserve">号招标文件，正式授权下述签字人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(姓名)（</w:t>
      </w:r>
      <w:r>
        <w:rPr>
          <w:rFonts w:ascii="SimSun" w:hAnsi="SimSun" w:eastAsia="SimSun" w:cs="SimSun"/>
          <w:b/>
          <w:color w:val="000000"/>
          <w:sz w:val="24"/>
        </w:rPr>
        <w:t xml:space="preserve">此处手写签字、机打姓名均可</w:t>
      </w:r>
      <w:r>
        <w:rPr>
          <w:rFonts w:ascii="SimSun" w:hAnsi="SimSun" w:eastAsia="SimSun" w:cs="SimSun"/>
          <w:color w:val="000000"/>
          <w:sz w:val="24"/>
        </w:rPr>
        <w:t xml:space="preserve">）代表我方______________（投标人的名称），全权处理本次项目投标的有关事宜。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w:t>
      </w:r>
      <w:r>
        <w:rPr>
          <w:rFonts w:ascii="SimSun" w:hAnsi="SimSun" w:eastAsia="SimSun" w:cs="SimSun"/>
          <w:b/>
          <w:color w:val="000000"/>
          <w:sz w:val="24"/>
        </w:rPr>
        <w:t xml:space="preserve">此处手写签字、机打姓名均可</w:t>
      </w:r>
      <w:r>
        <w:rPr>
          <w:rFonts w:ascii="SimSun" w:hAnsi="SimSun" w:eastAsia="SimSun" w:cs="SimSun"/>
          <w:color w:val="000000"/>
          <w:sz w:val="24"/>
        </w:rPr>
        <w:t xml:space="preserve">）兹宣布同意如下：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日期：______年____月____日</w:t>
      </w:r>
      <w:r/>
    </w:p>
    <w:p>
      <w:pPr>
        <w:ind w:left="0" w:right="0" w:firstLine="0"/>
        <w:jc w:val="center"/>
        <w:spacing w:before="18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18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十、中小企业声明函（服务）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本公司（联合体）郑重声明，根据《政府采购促进中小企业发展管理办法》(财库〔2020〕46号)的规定，本公司（联合体）参加盐城市政府采购中心组织的</w:t>
      </w:r>
      <w:r>
        <w:rPr>
          <w:rFonts w:ascii="SimSun" w:hAnsi="SimSun" w:eastAsia="SimSun" w:cs="SimSun"/>
          <w:color w:val="000000"/>
          <w:sz w:val="21"/>
          <w:u w:val="single"/>
        </w:rPr>
        <w:t xml:space="preserve">           </w:t>
      </w:r>
      <w:r>
        <w:rPr>
          <w:rFonts w:ascii="SimSun" w:hAnsi="SimSun" w:eastAsia="SimSun" w:cs="SimSun"/>
          <w:color w:val="000000"/>
          <w:sz w:val="24"/>
        </w:rPr>
        <w:t xml:space="preserve">，采购编号为</w:t>
      </w:r>
      <w:r>
        <w:rPr>
          <w:rFonts w:ascii="SimSun" w:hAnsi="SimSun" w:eastAsia="SimSun" w:cs="SimSun"/>
          <w:color w:val="000000"/>
          <w:sz w:val="21"/>
          <w:u w:val="single"/>
        </w:rPr>
        <w:t xml:space="preserve">           </w:t>
      </w:r>
      <w:r>
        <w:rPr>
          <w:rFonts w:ascii="SimSun" w:hAnsi="SimSun" w:eastAsia="SimSun" w:cs="SimSun"/>
          <w:color w:val="000000"/>
          <w:sz w:val="24"/>
        </w:rPr>
        <w:t xml:space="preserve">，</w:t>
      </w:r>
      <w:r>
        <w:rPr>
          <w:rFonts w:ascii="SimSun" w:hAnsi="SimSun" w:eastAsia="SimSun" w:cs="SimSun"/>
          <w:color w:val="000000"/>
          <w:sz w:val="21"/>
          <w:u w:val="single"/>
        </w:rPr>
        <w:t xml:space="preserve">           </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十一、残疾人福利性单位声明函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1"/>
          <w:u w:val="single"/>
        </w:rPr>
        <w:t xml:space="preserve">           </w:t>
      </w:r>
      <w:r>
        <w:rPr>
          <w:rFonts w:ascii="SimSun" w:hAnsi="SimSun" w:eastAsia="SimSun" w:cs="SimSun"/>
          <w:color w:val="000000"/>
          <w:sz w:val="24"/>
        </w:rPr>
        <w:t xml:space="preserve">单位的采购文件编号为</w:t>
      </w:r>
      <w:r>
        <w:rPr>
          <w:rFonts w:ascii="SimSun" w:hAnsi="SimSun" w:eastAsia="SimSun" w:cs="SimSun"/>
          <w:color w:val="000000"/>
          <w:sz w:val="21"/>
          <w:u w:val="single"/>
        </w:rPr>
        <w:t xml:space="preserve">           </w:t>
      </w:r>
      <w:r>
        <w:rPr>
          <w:rFonts w:ascii="SimSun" w:hAnsi="SimSun" w:eastAsia="SimSun" w:cs="SimSun"/>
          <w:color w:val="000000"/>
          <w:sz w:val="24"/>
        </w:rPr>
        <w:t xml:space="preserve">的</w:t>
      </w:r>
      <w:r>
        <w:rPr>
          <w:rFonts w:ascii="SimSun" w:hAnsi="SimSun" w:eastAsia="SimSun" w:cs="SimSun"/>
          <w:color w:val="000000"/>
          <w:sz w:val="21"/>
          <w:u w:val="single"/>
        </w:rPr>
        <w:t xml:space="preserve">           </w:t>
      </w:r>
      <w:r>
        <w:rPr>
          <w:rFonts w:ascii="SimSun" w:hAnsi="SimSun" w:eastAsia="SimSun" w:cs="SimSun"/>
          <w:color w:val="000000"/>
          <w:sz w:val="24"/>
        </w:rPr>
        <w:t xml:space="preserve">采购活动由本单位提供服务。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十二、投标分项报价表</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820"/>
        <w:gridCol w:w="1492"/>
        <w:gridCol w:w="773"/>
        <w:gridCol w:w="1132"/>
        <w:gridCol w:w="335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 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人员工资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备注栏内要求必须完全响应否则作无效标书处理。</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月工资×12月×人数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不得低于2430元/人/每月填报，否则作无效标书处理</w:t>
            </w:r>
            <w:r/>
          </w:p>
        </w:tc>
      </w:tr>
      <w:tr>
        <w:trPr>
          <w:trHeight w:val="177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夜间值班巡逻人员（保安兼）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月工资×12月×人数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夜间值班巡逻人员由学校安保服务单位派遣，实行兼任，不得低于1500元/人/每月填报，否则作无效标书处理。不缴纳社保、公积金、无加班费。</w:t>
            </w:r>
            <w:r/>
          </w:p>
        </w:tc>
      </w:tr>
      <w:tr>
        <w:trPr>
          <w:trHeight w:val="197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水电工1人（兼职）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年工资×人数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按照核定工作量系数计算费用（核定费用=51394.89元*工作量系数0.5），即不低于25697.45元/年，否则作无效标书处理。此费用包含但不限于：人员工资、社保、公积金、福利等。</w:t>
            </w:r>
            <w:r/>
          </w:p>
        </w:tc>
      </w:tr>
      <w:tr>
        <w:trPr>
          <w:trHeight w:val="17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文印操作人员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年工资×人数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核定工作量系数计算费用（核定费用=51394.89元*工作量系数1.42），即不低于72980.74元/年，此费用包含但不限于：人员工资、社保、公积金、福利等。由采购单位（盐城市新洋第二实验学校）招聘，由物业服务单位进行管理。</w:t>
            </w:r>
            <w:r/>
          </w:p>
        </w:tc>
      </w:tr>
      <w:tr>
        <w:trPr>
          <w:trHeight w:val="1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每月社保缴纳金额×12月×人数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所有人员必须足额缴纳社保费用，社保（企业部分）不得低于1292.47元/人/每月，否则作无效标书处理。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住房公积金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每月公积金缴纳金额×12月×人数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住房公积金不得低于114元/人/每月填报，否则作无效标书处理。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国假加班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国假加班费×人数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每年国假加班天数为13天，各投标人须按不低于4357.25元/人/每年填报，否则作无效标书处理。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其他费用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服装费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服装费×人数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由各投标人自行填报</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福利费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福利费×人数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由各投标人自行填报</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保洁耗材费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由各投标人自行填报</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耗材费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由各投标人自行填报</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不可预见费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由各投标人自行填报</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利润（管理费）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由各投标人自行填报</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法定税费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（1+2+…+6+7）</w:t>
            </w:r>
            <w:r>
              <w:rPr>
                <w:rFonts w:ascii="SimSun" w:hAnsi="SimSun" w:eastAsia="SimSun" w:cs="SimSun"/>
                <w:color w:val="000000"/>
                <w:sz w:val="20"/>
              </w:rPr>
              <w:t xml:space="preserve">*6.72%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投标人填报的税金费率统一按6.72%进行计算</w:t>
            </w:r>
            <w:r/>
          </w:p>
        </w:tc>
      </w:tr>
      <w:tr>
        <w:trPr>
          <w:trHeight w:val="2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（1+2+…+6+7+8）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7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注：投标人所提供人员的费用不得低于上述标准进行测算，否则视为未实质性响应招标文件要求</w:t>
      </w:r>
      <w:r>
        <w:rPr>
          <w:rFonts w:ascii="SimSun" w:hAnsi="SimSun" w:eastAsia="SimSun" w:cs="SimSun"/>
          <w:b/>
          <w:color w:val="000000"/>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十三、技术要求响应及偏离表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13"/>
          <w:u w:val="single"/>
        </w:rPr>
        <w:t xml:space="preserve"> </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2369"/>
        <w:gridCol w:w="2240"/>
        <w:gridCol w:w="1920"/>
        <w:gridCol w:w="1679"/>
      </w:tblGrid>
      <w:tr>
        <w:trPr>
          <w:trHeight w:val="10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十四、商务要求响应及偏离表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13"/>
          <w:u w:val="single"/>
        </w:rPr>
        <w:t xml:space="preserve"> </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2011"/>
        <w:gridCol w:w="2304"/>
        <w:gridCol w:w="1920"/>
        <w:gridCol w:w="1813"/>
      </w:tblGrid>
      <w:tr>
        <w:trPr>
          <w:trHeight w:val="9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4"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tcPr>
          <w:p>
            <w:pPr>
              <w:ind w:left="0" w:right="0" w:firstLine="60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十五、开标一览表</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项目名称：盐城市新洋第二实验学校2026年度物业服务项目</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    </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19"/>
      </w:tblGrid>
      <w:tr>
        <w:trPr>
          <w:trHeight w:val="11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9" w:type="dxa"/>
            <w:vAlign w:val="center"/>
            <w:textDirection w:val="lrTb"/>
            <w:noWrap/>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1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9" w:type="dxa"/>
            <w:vAlign w:val="center"/>
            <w:textDirection w:val="lrTb"/>
            <w:noWrap/>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       </w:t>
            </w:r>
            <w:r/>
          </w:p>
        </w:tc>
      </w:tr>
      <w:tr>
        <w:trPr>
          <w:trHeight w:val="1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9" w:type="dxa"/>
            <w:vAlign w:val="center"/>
            <w:textDirection w:val="lrTb"/>
            <w:noWrap/>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        金额大写     </w:t>
            </w:r>
            <w:r/>
          </w:p>
        </w:tc>
      </w:tr>
    </w:tbl>
    <w:p>
      <w:pPr>
        <w:ind w:left="0"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十六、服务方案等</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420" w:firstLine="0"/>
        <w:jc w:val="center"/>
        <w:spacing w:before="0" w:after="0" w:line="53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十七、招标投标廉洁自律承诺保证书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为了保证此次采购交易活动正常有序进行，有效遏制虚假招投标和围标、串标等问题的发生，确保整个招投标过程公开、公平、公正，我们特向招标单位承诺：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1.自觉遵守国家法律法规及亭湖区财政局、亭湖区公共资源交易中心的各项制度。限额标准以下的，自觉遵守采购单位的内部控制制度。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2.不使用不正当手段妨碍、排挤其他投标单位或串通投标。按照招标文件规定的方式组织投标，不组织、不参与围标、串标。保证不弄虚作假，协助他人骗取中标。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3.不向涉及招标的部门及个人支付好处费、介绍费等。发现相关人员在招标过程中有索要财物，或其他违纪违规行为的，及时向监督管理部门和纪检监察部门举报。</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5.本承诺书对我方具有法律效力。</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w:t>
      </w:r>
      <w:r/>
    </w:p>
    <w:p>
      <w:pPr>
        <w:ind w:left="0" w:right="0" w:firstLine="28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82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十八、盐城市亭湖区政府采购事前信用承诺书</w:t>
      </w:r>
      <w:r/>
    </w:p>
    <w:p>
      <w:pPr>
        <w:ind w:left="0" w:right="0" w:firstLine="7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为营造我区公开、公平、公正、诚实守信的政府采购交易环境，树立诚信守法的投标人形象，本人代表本单位作出以下承诺：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（四）严格遵守即时信息公示规定，及时维护和更新盐城市政府采购网中与本单位相关的信息；</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（八）本人已认真阅读上述承诺，并向本单位员工做了宣传教育。</w:t>
      </w:r>
      <w:r/>
    </w:p>
    <w:p>
      <w:pPr>
        <w:ind w:left="0" w:right="0" w:firstLine="510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0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p>
    <w:p>
      <w:pPr>
        <w:ind w:left="0" w:right="0" w:firstLine="510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质疑函范本</w:t>
      </w:r>
      <w:r/>
    </w:p>
    <w:p>
      <w:pPr>
        <w:ind w:left="0" w:right="0" w:firstLine="0"/>
        <w:jc w:val="both"/>
        <w:spacing w:before="29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tabs>
          <w:tab w:val="left" w:pos="76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Courier New">
    <w:panose1 w:val="02070309020205020404"/>
  </w:font>
  <w:font w:name="Calibri">
    <w:panose1 w:val="020F0502020204030204"/>
  </w:font>
  <w:font w:name="Garamond">
    <w:panose1 w:val="02020404030301010803"/>
  </w:font>
  <w:font w:name="Verdana">
    <w:panose1 w:val="020B0604030504040204"/>
  </w:font>
  <w:font w:name="幼圆">
    <w:panose1 w:val="02010509060101010101"/>
  </w:font>
  <w:font w:name="Symbol">
    <w:panose1 w:val="05050102010706020507"/>
  </w:font>
  <w:font w:name="楷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12420" cy="15621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988"/>
                            <w:tabs>
                              <w:tab w:val="clear" w:pos="7143" w:leader="none"/>
                              <w:tab w:val="clear" w:pos="14287" w:leader="none"/>
                            </w:tabs>
                          </w:pPr>
                          <w:r/>
                          <w:r/>
                        </w:p>
                        <w:p>
                          <w:pPr>
                            <w:pStyle w:val="964"/>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988"/>
                      <w:tabs>
                        <w:tab w:val="clear" w:pos="7143" w:leader="none"/>
                        <w:tab w:val="clear" w:pos="14287" w:leader="none"/>
                      </w:tabs>
                    </w:pPr>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4"/>
    <w:next w:val="964"/>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64"/>
    <w:next w:val="964"/>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64"/>
    <w:next w:val="964"/>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link w:val="791"/>
    <w:uiPriority w:val="9"/>
    <w:rPr>
      <w:rFonts w:ascii="Arial" w:hAnsi="Arial" w:eastAsia="Arial" w:cs="Arial"/>
      <w:sz w:val="30"/>
      <w:szCs w:val="30"/>
    </w:rPr>
  </w:style>
  <w:style w:type="paragraph" w:styleId="793">
    <w:name w:val="Heading 4"/>
    <w:basedOn w:val="964"/>
    <w:next w:val="964"/>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link w:val="793"/>
    <w:uiPriority w:val="9"/>
    <w:rPr>
      <w:rFonts w:ascii="Arial" w:hAnsi="Arial" w:eastAsia="Arial" w:cs="Arial"/>
      <w:b/>
      <w:bCs/>
      <w:sz w:val="26"/>
      <w:szCs w:val="26"/>
    </w:rPr>
  </w:style>
  <w:style w:type="paragraph" w:styleId="795">
    <w:name w:val="Heading 5"/>
    <w:basedOn w:val="964"/>
    <w:next w:val="964"/>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link w:val="795"/>
    <w:uiPriority w:val="9"/>
    <w:rPr>
      <w:rFonts w:ascii="Arial" w:hAnsi="Arial" w:eastAsia="Arial" w:cs="Arial"/>
      <w:b/>
      <w:bCs/>
      <w:sz w:val="24"/>
      <w:szCs w:val="24"/>
    </w:rPr>
  </w:style>
  <w:style w:type="paragraph" w:styleId="797">
    <w:name w:val="Heading 6"/>
    <w:basedOn w:val="964"/>
    <w:next w:val="964"/>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link w:val="797"/>
    <w:uiPriority w:val="9"/>
    <w:rPr>
      <w:rFonts w:ascii="Arial" w:hAnsi="Arial" w:eastAsia="Arial" w:cs="Arial"/>
      <w:b/>
      <w:bCs/>
      <w:sz w:val="22"/>
      <w:szCs w:val="22"/>
    </w:rPr>
  </w:style>
  <w:style w:type="paragraph" w:styleId="799">
    <w:name w:val="Heading 7"/>
    <w:basedOn w:val="964"/>
    <w:next w:val="964"/>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link w:val="799"/>
    <w:uiPriority w:val="9"/>
    <w:rPr>
      <w:rFonts w:ascii="Arial" w:hAnsi="Arial" w:eastAsia="Arial" w:cs="Arial"/>
      <w:b/>
      <w:bCs/>
      <w:i/>
      <w:iCs/>
      <w:sz w:val="22"/>
      <w:szCs w:val="22"/>
    </w:rPr>
  </w:style>
  <w:style w:type="paragraph" w:styleId="801">
    <w:name w:val="Heading 8"/>
    <w:basedOn w:val="964"/>
    <w:next w:val="964"/>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link w:val="801"/>
    <w:uiPriority w:val="9"/>
    <w:rPr>
      <w:rFonts w:ascii="Arial" w:hAnsi="Arial" w:eastAsia="Arial" w:cs="Arial"/>
      <w:i/>
      <w:iCs/>
      <w:sz w:val="22"/>
      <w:szCs w:val="22"/>
    </w:rPr>
  </w:style>
  <w:style w:type="paragraph" w:styleId="803">
    <w:name w:val="Heading 9"/>
    <w:basedOn w:val="964"/>
    <w:next w:val="964"/>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link w:val="803"/>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rFonts w:ascii="Times New Roman" w:hAnsi="Times New Roman" w:eastAsia="宋体" w:cs="Times New Roman"/>
      <w:sz w:val="21"/>
      <w:szCs w:val="24"/>
    </w:rPr>
  </w:style>
  <w:style w:type="character" w:styleId="965">
    <w:name w:val="默认段落字体"/>
    <w:next w:val="965"/>
    <w:link w:val="964"/>
    <w:semiHidden/>
  </w:style>
  <w:style w:type="table" w:styleId="966">
    <w:name w:val="普通表格"/>
    <w:next w:val="966"/>
    <w:link w:val="964"/>
    <w:semiHidden/>
    <w:qFormat/>
    <w:tblPr/>
  </w:style>
  <w:style w:type="paragraph" w:styleId="967">
    <w:name w:val="批注文字"/>
    <w:basedOn w:val="964"/>
    <w:next w:val="967"/>
    <w:link w:val="964"/>
    <w:qFormat/>
    <w:pPr>
      <w:jc w:val="left"/>
    </w:pPr>
  </w:style>
  <w:style w:type="paragraph" w:styleId="968">
    <w:name w:val="正文文本"/>
    <w:basedOn w:val="964"/>
    <w:next w:val="968"/>
    <w:link w:val="964"/>
    <w:uiPriority w:val="99"/>
    <w:qFormat/>
    <w:rPr>
      <w:rFonts w:ascii="楷体" w:hAnsi="Arial" w:eastAsia="楷体"/>
      <w:sz w:val="28"/>
      <w:szCs w:val="28"/>
    </w:rPr>
  </w:style>
  <w:style w:type="paragraph" w:styleId="969">
    <w:name w:val="文本块"/>
    <w:basedOn w:val="964"/>
    <w:next w:val="969"/>
    <w:link w:val="964"/>
    <w:uiPriority w:val="99"/>
    <w:qFormat/>
    <w:pPr>
      <w:ind w:left="560" w:right="-512"/>
    </w:pPr>
    <w:rPr>
      <w:rFonts w:ascii="幼圆" w:eastAsia="幼圆" w:cs="Garamond"/>
      <w:sz w:val="24"/>
      <w:szCs w:val="21"/>
    </w:rPr>
  </w:style>
  <w:style w:type="paragraph" w:styleId="970">
    <w:name w:val="页脚"/>
    <w:basedOn w:val="964"/>
    <w:next w:val="970"/>
    <w:link w:val="964"/>
    <w:unhideWhenUsed/>
    <w:qFormat/>
    <w:pPr>
      <w:jc w:val="left"/>
      <w:tabs>
        <w:tab w:val="center" w:pos="4153" w:leader="none"/>
        <w:tab w:val="right" w:pos="8306" w:leader="none"/>
      </w:tabs>
    </w:pPr>
    <w:rPr>
      <w:sz w:val="18"/>
      <w:szCs w:val="18"/>
    </w:rPr>
  </w:style>
  <w:style w:type="paragraph" w:styleId="971">
    <w:name w:val="页眉"/>
    <w:basedOn w:val="964"/>
    <w:next w:val="971"/>
    <w:link w:val="96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72">
    <w:name w:val="普通(网站)"/>
    <w:basedOn w:val="964"/>
    <w:next w:val="972"/>
    <w:link w:val="964"/>
    <w:qFormat/>
    <w:pPr>
      <w:jc w:val="left"/>
      <w:spacing w:beforeAutospacing="1" w:afterAutospacing="1"/>
    </w:pPr>
    <w:rPr>
      <w:sz w:val="24"/>
    </w:rPr>
  </w:style>
  <w:style w:type="table" w:styleId="973">
    <w:name w:val="网格型"/>
    <w:next w:val="973"/>
    <w:link w:val="964"/>
    <w:uiPriority w:val="59"/>
    <w:qFormat/>
    <w:tblPr/>
  </w:style>
  <w:style w:type="character" w:styleId="974">
    <w:name w:val="要点"/>
    <w:basedOn w:val="965"/>
    <w:next w:val="974"/>
    <w:link w:val="964"/>
    <w:qFormat/>
    <w:rPr>
      <w:b/>
    </w:rPr>
  </w:style>
  <w:style w:type="paragraph" w:styleId="975">
    <w:name w:val="Default"/>
    <w:basedOn w:val="964"/>
    <w:next w:val="975"/>
    <w:link w:val="964"/>
    <w:semiHidden/>
    <w:qFormat/>
    <w:pPr>
      <w:jc w:val="left"/>
    </w:pPr>
    <w:rPr>
      <w:rFonts w:ascii="宋体" w:hAnsi="Calibri" w:cs="宋体"/>
      <w:color w:val="000000"/>
      <w:sz w:val="24"/>
    </w:rPr>
  </w:style>
  <w:style w:type="paragraph" w:styleId="976">
    <w:name w:val="文本块1"/>
    <w:basedOn w:val="964"/>
    <w:next w:val="976"/>
    <w:link w:val="964"/>
    <w:uiPriority w:val="99"/>
    <w:qFormat/>
    <w:pPr>
      <w:ind w:left="1440" w:right="1440"/>
      <w:spacing w:after="120"/>
      <w:tabs>
        <w:tab w:val="left" w:pos="9000" w:leader="none"/>
      </w:tabs>
    </w:pPr>
  </w:style>
  <w:style w:type="paragraph" w:styleId="977">
    <w:name w:val="普通正文"/>
    <w:basedOn w:val="964"/>
    <w:next w:val="977"/>
    <w:link w:val="964"/>
    <w:qFormat/>
    <w:pPr>
      <w:ind w:firstLine="480"/>
      <w:jc w:val="left"/>
      <w:spacing w:before="120" w:after="120" w:line="360" w:lineRule="auto"/>
    </w:pPr>
    <w:rPr>
      <w:rFonts w:ascii="Arial" w:hAnsi="Arial"/>
      <w:sz w:val="24"/>
    </w:rPr>
  </w:style>
  <w:style w:type="paragraph" w:styleId="978">
    <w:name w:val="日期1"/>
    <w:basedOn w:val="964"/>
    <w:next w:val="964"/>
    <w:link w:val="964"/>
    <w:qFormat/>
    <w:rPr>
      <w:sz w:val="24"/>
      <w:szCs w:val="20"/>
    </w:rPr>
  </w:style>
  <w:style w:type="paragraph" w:styleId="979">
    <w:name w:val="普通(网站)11"/>
    <w:basedOn w:val="964"/>
    <w:next w:val="979"/>
    <w:link w:val="964"/>
    <w:qFormat/>
    <w:pPr>
      <w:jc w:val="left"/>
      <w:spacing w:before="100" w:beforeAutospacing="1" w:after="100" w:afterAutospacing="1"/>
      <w:widowControl/>
    </w:pPr>
    <w:rPr>
      <w:rFonts w:ascii="宋体" w:hAnsi="宋体" w:cs="宋体"/>
      <w:sz w:val="24"/>
    </w:rPr>
  </w:style>
  <w:style w:type="paragraph" w:styleId="980">
    <w:name w:val="批注文字1"/>
    <w:basedOn w:val="964"/>
    <w:next w:val="980"/>
    <w:link w:val="964"/>
    <w:qFormat/>
    <w:pPr>
      <w:jc w:val="left"/>
    </w:pPr>
    <w:rPr>
      <w:rFonts w:ascii="Calibri" w:hAnsi="Calibri"/>
      <w:szCs w:val="22"/>
    </w:rPr>
  </w:style>
  <w:style w:type="paragraph" w:styleId="981">
    <w:name w:val="Char Char Char Char Char Char Char Char"/>
    <w:basedOn w:val="964"/>
    <w:next w:val="981"/>
    <w:link w:val="964"/>
    <w:qFormat/>
    <w:pPr>
      <w:ind w:firstLine="420"/>
      <w:jc w:val="left"/>
      <w:spacing w:after="160" w:line="240" w:lineRule="exact"/>
      <w:widowControl/>
    </w:pPr>
    <w:rPr>
      <w:rFonts w:ascii="Verdana" w:hAnsi="Verdana"/>
      <w:color w:val="000000"/>
      <w:sz w:val="20"/>
      <w:szCs w:val="20"/>
      <w:lang w:eastAsia="en-US"/>
    </w:rPr>
  </w:style>
  <w:style w:type="paragraph" w:styleId="982">
    <w:name w:val="标题 1121"/>
    <w:basedOn w:val="964"/>
    <w:next w:val="964"/>
    <w:link w:val="964"/>
    <w:qFormat/>
    <w:pPr>
      <w:jc w:val="center"/>
      <w:keepNext/>
      <w:outlineLvl w:val="0"/>
    </w:pPr>
    <w:rPr>
      <w:rFonts w:ascii="楷体" w:eastAsia="楷体"/>
      <w:sz w:val="28"/>
      <w:szCs w:val="28"/>
    </w:rPr>
  </w:style>
  <w:style w:type="paragraph" w:styleId="983">
    <w:name w:val="普通(网站)1"/>
    <w:basedOn w:val="964"/>
    <w:next w:val="983"/>
    <w:link w:val="964"/>
    <w:qFormat/>
    <w:pPr>
      <w:jc w:val="left"/>
      <w:spacing w:before="100" w:beforeAutospacing="1" w:after="100" w:afterAutospacing="1"/>
      <w:widowControl/>
    </w:pPr>
    <w:rPr>
      <w:rFonts w:ascii="宋体" w:hAnsi="宋体" w:cs="宋体"/>
      <w:sz w:val="24"/>
    </w:rPr>
  </w:style>
  <w:style w:type="paragraph" w:styleId="984">
    <w:name w:val="页眉1111"/>
    <w:basedOn w:val="964"/>
    <w:next w:val="984"/>
    <w:link w:val="964"/>
    <w:qFormat/>
    <w:pPr>
      <w:jc w:val="center"/>
      <w:tabs>
        <w:tab w:val="center" w:pos="4153" w:leader="none"/>
        <w:tab w:val="right" w:pos="8306" w:leader="none"/>
      </w:tabs>
      <w:pBdr>
        <w:bottom w:val="single" w:color="000000" w:sz="6" w:space="1"/>
      </w:pBdr>
    </w:pPr>
    <w:rPr>
      <w:sz w:val="18"/>
      <w:szCs w:val="18"/>
    </w:rPr>
  </w:style>
  <w:style w:type="paragraph" w:styleId="985">
    <w:name w:val="页脚11"/>
    <w:basedOn w:val="964"/>
    <w:next w:val="985"/>
    <w:link w:val="964"/>
    <w:qFormat/>
    <w:pPr>
      <w:jc w:val="left"/>
      <w:tabs>
        <w:tab w:val="center" w:pos="4153" w:leader="none"/>
        <w:tab w:val="right" w:pos="8306" w:leader="none"/>
      </w:tabs>
    </w:pPr>
    <w:rPr>
      <w:sz w:val="18"/>
      <w:szCs w:val="20"/>
    </w:rPr>
  </w:style>
  <w:style w:type="character" w:styleId="986">
    <w:name w:val="页码11"/>
    <w:next w:val="986"/>
    <w:link w:val="964"/>
    <w:qFormat/>
  </w:style>
  <w:style w:type="paragraph" w:styleId="987">
    <w:name w:val="页脚1"/>
    <w:basedOn w:val="964"/>
    <w:next w:val="987"/>
    <w:link w:val="964"/>
    <w:qFormat/>
    <w:pPr>
      <w:jc w:val="left"/>
      <w:tabs>
        <w:tab w:val="center" w:pos="4153" w:leader="none"/>
        <w:tab w:val="right" w:pos="8306" w:leader="none"/>
      </w:tabs>
    </w:pPr>
    <w:rPr>
      <w:sz w:val="18"/>
      <w:szCs w:val="18"/>
    </w:rPr>
  </w:style>
  <w:style w:type="paragraph" w:styleId="988">
    <w:name w:val="Footer1"/>
    <w:basedOn w:val="964"/>
    <w:next w:val="988"/>
    <w:link w:val="964"/>
    <w:qFormat/>
    <w:pPr>
      <w:tabs>
        <w:tab w:val="center" w:pos="7143" w:leader="none"/>
        <w:tab w:val="right" w:pos="14287" w:leader="none"/>
      </w:tabs>
    </w:pPr>
  </w:style>
  <w:style w:type="paragraph" w:styleId="989">
    <w:name w:val="List Paragraph"/>
    <w:basedOn w:val="964"/>
    <w:next w:val="989"/>
    <w:link w:val="964"/>
    <w:uiPriority w:val="99"/>
    <w:unhideWhenUsed/>
    <w:qFormat/>
    <w:pPr>
      <w:ind w:firstLine="420"/>
    </w:p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2</cp:revision>
  <dcterms:created xsi:type="dcterms:W3CDTF">2022-08-21T09:23:00Z</dcterms:created>
  <dcterms:modified xsi:type="dcterms:W3CDTF">2026-08-13T08:41:54Z</dcterms:modified>
</cp:coreProperties>
</file>