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AF6EBB">
      <w:pPr>
        <w:pStyle w:val="34"/>
        <w:spacing w:before="120" w:beforeAutospacing="0" w:after="120" w:afterAutospacing="0" w:line="360" w:lineRule="auto"/>
        <w:rPr>
          <w:highlight w:val="none"/>
        </w:rPr>
      </w:pPr>
      <w:r>
        <w:rPr>
          <w:highlight w:val="none"/>
        </w:rPr>
        <w:t> </w:t>
      </w:r>
    </w:p>
    <w:p w14:paraId="75B3235D">
      <w:pPr>
        <w:pStyle w:val="34"/>
        <w:spacing w:before="120" w:beforeAutospacing="0" w:after="120" w:afterAutospacing="0" w:line="360" w:lineRule="auto"/>
        <w:jc w:val="center"/>
        <w:rPr>
          <w:highlight w:val="none"/>
        </w:rPr>
      </w:pPr>
      <w:r>
        <w:rPr>
          <w:rFonts w:ascii="Arial" w:hAnsi="Arial" w:cs="Arial"/>
          <w:b/>
          <w:color w:val="000000"/>
          <w:sz w:val="84"/>
          <w:szCs w:val="84"/>
          <w:highlight w:val="none"/>
        </w:rPr>
        <w:t>招 标 文 件</w:t>
      </w:r>
    </w:p>
    <w:p w14:paraId="1D120177">
      <w:pPr>
        <w:pStyle w:val="34"/>
        <w:spacing w:before="120" w:beforeAutospacing="0" w:after="120" w:afterAutospacing="0" w:line="360" w:lineRule="auto"/>
        <w:jc w:val="center"/>
        <w:rPr>
          <w:rFonts w:hint="eastAsia" w:ascii="Arial" w:hAnsi="Arial" w:cs="Arial"/>
          <w:b/>
          <w:color w:val="000000"/>
          <w:sz w:val="32"/>
          <w:szCs w:val="32"/>
          <w:highlight w:val="none"/>
          <w:lang w:val="en-US" w:eastAsia="zh-CN"/>
        </w:rPr>
      </w:pPr>
      <w:r>
        <w:rPr>
          <w:rFonts w:ascii="Arial" w:hAnsi="Arial" w:cs="Arial"/>
          <w:b/>
          <w:color w:val="000000"/>
          <w:sz w:val="32"/>
          <w:szCs w:val="32"/>
          <w:highlight w:val="none"/>
        </w:rPr>
        <w:t>项目名称：</w:t>
      </w:r>
      <w:r>
        <w:rPr>
          <w:rFonts w:hint="eastAsia" w:ascii="Arial" w:hAnsi="Arial" w:cs="Arial"/>
          <w:b/>
          <w:color w:val="000000"/>
          <w:sz w:val="32"/>
          <w:szCs w:val="32"/>
          <w:highlight w:val="none"/>
          <w:lang w:val="en-US" w:eastAsia="zh-CN"/>
        </w:rPr>
        <w:t>东台市海防监控点位建设项目</w:t>
      </w:r>
    </w:p>
    <w:p w14:paraId="09CDD542">
      <w:pPr>
        <w:pStyle w:val="34"/>
        <w:spacing w:before="120" w:beforeAutospacing="0" w:after="120" w:afterAutospacing="0" w:line="360" w:lineRule="auto"/>
        <w:jc w:val="center"/>
        <w:rPr>
          <w:rFonts w:hint="eastAsia"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t>项目编号：JSZC-320981-HRMB-G2026-0008</w:t>
      </w:r>
    </w:p>
    <w:p w14:paraId="4B85F335">
      <w:pPr>
        <w:pStyle w:val="34"/>
        <w:spacing w:beforeAutospacing="0" w:afterAutospacing="0" w:line="360" w:lineRule="auto"/>
        <w:rPr>
          <w:highlight w:val="none"/>
        </w:rPr>
      </w:pPr>
      <w:r>
        <w:rPr>
          <w:highlight w:val="none"/>
        </w:rPr>
        <w:t> </w:t>
      </w:r>
    </w:p>
    <w:p w14:paraId="162EEFFC">
      <w:pPr>
        <w:pStyle w:val="34"/>
        <w:spacing w:beforeAutospacing="0" w:afterAutospacing="0" w:line="360" w:lineRule="auto"/>
        <w:rPr>
          <w:highlight w:val="none"/>
        </w:rPr>
      </w:pPr>
      <w:r>
        <w:rPr>
          <w:highlight w:val="none"/>
        </w:rPr>
        <w:t> </w:t>
      </w:r>
    </w:p>
    <w:p w14:paraId="74AB0904">
      <w:pPr>
        <w:pStyle w:val="34"/>
        <w:spacing w:beforeAutospacing="0" w:afterAutospacing="0" w:line="360" w:lineRule="auto"/>
        <w:rPr>
          <w:highlight w:val="none"/>
        </w:rPr>
      </w:pPr>
      <w:r>
        <w:rPr>
          <w:highlight w:val="none"/>
        </w:rPr>
        <w:t> </w:t>
      </w:r>
    </w:p>
    <w:p w14:paraId="41A43ED7">
      <w:pPr>
        <w:pStyle w:val="34"/>
        <w:spacing w:beforeAutospacing="0" w:afterAutospacing="0" w:line="360" w:lineRule="auto"/>
        <w:rPr>
          <w:highlight w:val="none"/>
        </w:rPr>
      </w:pPr>
      <w:r>
        <w:rPr>
          <w:highlight w:val="none"/>
        </w:rPr>
        <w:t> </w:t>
      </w:r>
    </w:p>
    <w:p w14:paraId="0A7DA49F">
      <w:pPr>
        <w:pStyle w:val="34"/>
        <w:spacing w:beforeAutospacing="0" w:afterAutospacing="0" w:line="360" w:lineRule="auto"/>
        <w:rPr>
          <w:highlight w:val="none"/>
        </w:rPr>
      </w:pPr>
      <w:r>
        <w:rPr>
          <w:highlight w:val="none"/>
        </w:rPr>
        <w:t> </w:t>
      </w:r>
    </w:p>
    <w:p w14:paraId="5BC08F94">
      <w:pPr>
        <w:pStyle w:val="34"/>
        <w:spacing w:beforeAutospacing="0" w:afterAutospacing="0" w:line="360" w:lineRule="auto"/>
        <w:rPr>
          <w:highlight w:val="none"/>
        </w:rPr>
      </w:pPr>
      <w:r>
        <w:rPr>
          <w:highlight w:val="none"/>
        </w:rPr>
        <w:t> </w:t>
      </w:r>
    </w:p>
    <w:p w14:paraId="7F4D6C43">
      <w:pPr>
        <w:pStyle w:val="34"/>
        <w:spacing w:beforeAutospacing="0" w:afterAutospacing="0" w:line="360" w:lineRule="auto"/>
        <w:rPr>
          <w:highlight w:val="none"/>
        </w:rPr>
      </w:pPr>
      <w:r>
        <w:rPr>
          <w:highlight w:val="none"/>
        </w:rPr>
        <w:t> </w:t>
      </w:r>
    </w:p>
    <w:p w14:paraId="718E6245">
      <w:pPr>
        <w:ind w:firstLine="0"/>
        <w:jc w:val="center"/>
        <w:rPr>
          <w:rFonts w:hint="eastAsia" w:cs="Arial" w:asciiTheme="minorEastAsia" w:hAnsiTheme="minorEastAsia"/>
          <w:b/>
          <w:color w:val="000000"/>
          <w:sz w:val="32"/>
          <w:szCs w:val="32"/>
        </w:rPr>
      </w:pPr>
    </w:p>
    <w:p w14:paraId="145D332A">
      <w:pPr>
        <w:ind w:firstLine="0"/>
        <w:jc w:val="center"/>
        <w:rPr>
          <w:rFonts w:hint="eastAsia" w:cs="Arial" w:asciiTheme="minorEastAsia" w:hAnsiTheme="minorEastAsia"/>
          <w:b/>
          <w:color w:val="000000"/>
          <w:sz w:val="32"/>
          <w:szCs w:val="32"/>
        </w:rPr>
      </w:pPr>
    </w:p>
    <w:p w14:paraId="4F726F91">
      <w:pPr>
        <w:ind w:firstLine="0"/>
        <w:jc w:val="center"/>
        <w:rPr>
          <w:rFonts w:hint="eastAsia" w:cs="Arial" w:asciiTheme="minorEastAsia" w:hAnsiTheme="minorEastAsia"/>
          <w:b/>
          <w:color w:val="000000"/>
          <w:sz w:val="32"/>
          <w:szCs w:val="32"/>
        </w:rPr>
      </w:pPr>
    </w:p>
    <w:p w14:paraId="7556F33B">
      <w:pPr>
        <w:pStyle w:val="2"/>
        <w:rPr>
          <w:rFonts w:hint="eastAsia" w:cs="Arial" w:asciiTheme="minorEastAsia" w:hAnsiTheme="minorEastAsia"/>
          <w:b/>
          <w:color w:val="000000"/>
          <w:sz w:val="32"/>
          <w:szCs w:val="32"/>
        </w:rPr>
      </w:pPr>
    </w:p>
    <w:p w14:paraId="25288C59">
      <w:pPr>
        <w:pStyle w:val="2"/>
        <w:rPr>
          <w:rFonts w:hint="eastAsia" w:cs="Arial" w:asciiTheme="minorEastAsia" w:hAnsiTheme="minorEastAsia"/>
          <w:b/>
          <w:color w:val="000000"/>
          <w:sz w:val="32"/>
          <w:szCs w:val="32"/>
        </w:rPr>
      </w:pPr>
    </w:p>
    <w:p w14:paraId="56FE8CA1">
      <w:pPr>
        <w:pStyle w:val="2"/>
        <w:rPr>
          <w:rFonts w:hint="eastAsia" w:cs="Arial" w:asciiTheme="minorEastAsia" w:hAnsiTheme="minorEastAsia"/>
          <w:b/>
          <w:color w:val="000000"/>
          <w:sz w:val="32"/>
          <w:szCs w:val="32"/>
        </w:rPr>
      </w:pPr>
    </w:p>
    <w:p w14:paraId="25F5AD15">
      <w:pPr>
        <w:ind w:firstLine="0"/>
        <w:jc w:val="center"/>
        <w:rPr>
          <w:rFonts w:hint="eastAsia" w:cs="Arial" w:asciiTheme="minorEastAsia" w:hAnsiTheme="minorEastAsia"/>
          <w:b/>
          <w:color w:val="000000"/>
          <w:sz w:val="32"/>
          <w:szCs w:val="32"/>
        </w:rPr>
      </w:pPr>
    </w:p>
    <w:p w14:paraId="29205B7E">
      <w:pPr>
        <w:ind w:firstLine="0"/>
        <w:jc w:val="center"/>
        <w:rPr>
          <w:rFonts w:hint="eastAsia" w:cs="Arial" w:asciiTheme="minorEastAsia" w:hAnsiTheme="minorEastAsia"/>
          <w:b/>
          <w:color w:val="000000"/>
          <w:sz w:val="32"/>
          <w:szCs w:val="32"/>
        </w:rPr>
      </w:pPr>
    </w:p>
    <w:p w14:paraId="022ABE48">
      <w:pPr>
        <w:ind w:firstLine="0"/>
        <w:jc w:val="center"/>
        <w:rPr>
          <w:rFonts w:hint="eastAsia" w:cs="Arial" w:asciiTheme="minorEastAsia" w:hAnsiTheme="minorEastAsia"/>
          <w:b/>
          <w:color w:val="000000"/>
          <w:sz w:val="32"/>
          <w:szCs w:val="32"/>
        </w:rPr>
      </w:pPr>
    </w:p>
    <w:p w14:paraId="4BAD8681">
      <w:pPr>
        <w:ind w:firstLine="0"/>
        <w:jc w:val="center"/>
        <w:rPr>
          <w:rFonts w:hint="eastAsia" w:cs="Arial" w:asciiTheme="minorEastAsia" w:hAnsiTheme="minorEastAsia" w:eastAsiaTheme="minorEastAsia"/>
          <w:b/>
          <w:color w:val="000000"/>
          <w:sz w:val="32"/>
          <w:szCs w:val="32"/>
          <w:lang w:val="en-US" w:eastAsia="zh-CN"/>
        </w:rPr>
      </w:pPr>
      <w:r>
        <w:rPr>
          <w:rFonts w:hint="eastAsia" w:cs="Arial" w:asciiTheme="minorEastAsia" w:hAnsiTheme="minorEastAsia"/>
          <w:b/>
          <w:color w:val="000000"/>
          <w:sz w:val="32"/>
          <w:szCs w:val="32"/>
        </w:rPr>
        <w:t>采购单位：东台市</w:t>
      </w:r>
      <w:r>
        <w:rPr>
          <w:rFonts w:hint="eastAsia" w:cs="Arial" w:asciiTheme="minorEastAsia" w:hAnsiTheme="minorEastAsia"/>
          <w:b/>
          <w:color w:val="000000"/>
          <w:sz w:val="32"/>
          <w:szCs w:val="32"/>
          <w:lang w:val="en-US" w:eastAsia="zh-CN"/>
        </w:rPr>
        <w:t>公安局</w:t>
      </w:r>
    </w:p>
    <w:p w14:paraId="3CA41707">
      <w:pPr>
        <w:pStyle w:val="34"/>
        <w:spacing w:before="120" w:beforeAutospacing="0" w:after="120" w:afterAutospacing="0" w:line="360" w:lineRule="auto"/>
        <w:jc w:val="center"/>
        <w:rPr>
          <w:rFonts w:ascii="Arial" w:hAnsi="Arial" w:cs="Arial"/>
          <w:b/>
          <w:color w:val="000000"/>
          <w:sz w:val="32"/>
          <w:szCs w:val="32"/>
          <w:highlight w:val="none"/>
        </w:rPr>
      </w:pPr>
      <w:r>
        <w:rPr>
          <w:rFonts w:hint="eastAsia" w:cs="Arial" w:asciiTheme="minorEastAsia" w:hAnsiTheme="minorEastAsia"/>
          <w:b/>
          <w:color w:val="000000"/>
          <w:sz w:val="32"/>
          <w:szCs w:val="32"/>
        </w:rPr>
        <w:t>采购代理机构：江苏</w:t>
      </w:r>
      <w:r>
        <w:rPr>
          <w:rFonts w:hint="eastAsia" w:eastAsia="宋体" w:cs="Arial" w:asciiTheme="minorEastAsia" w:hAnsiTheme="minorEastAsia"/>
          <w:b/>
          <w:color w:val="000000"/>
          <w:sz w:val="32"/>
          <w:szCs w:val="32"/>
          <w:lang w:val="en-US" w:eastAsia="zh-CN"/>
        </w:rPr>
        <w:t>跃盛项目管理有限公司</w:t>
      </w:r>
    </w:p>
    <w:p w14:paraId="312FA8C6">
      <w:pPr>
        <w:pStyle w:val="34"/>
        <w:spacing w:before="120" w:beforeAutospacing="0" w:after="120" w:afterAutospacing="0" w:line="360" w:lineRule="auto"/>
        <w:jc w:val="center"/>
        <w:rPr>
          <w:rFonts w:hint="default" w:eastAsiaTheme="minorEastAsia"/>
          <w:highlight w:val="none"/>
          <w:lang w:val="en-US" w:eastAsia="zh-CN"/>
        </w:rPr>
      </w:pPr>
      <w:r>
        <w:rPr>
          <w:rFonts w:hint="eastAsia" w:ascii="Arial" w:hAnsi="Arial" w:cs="Arial"/>
          <w:b/>
          <w:color w:val="000000"/>
          <w:sz w:val="32"/>
          <w:szCs w:val="32"/>
          <w:highlight w:val="none"/>
          <w:lang w:val="en-US" w:eastAsia="zh-CN"/>
        </w:rPr>
        <w:t>2026</w:t>
      </w:r>
      <w:r>
        <w:rPr>
          <w:rFonts w:ascii="Arial" w:hAnsi="Arial" w:cs="Arial"/>
          <w:b/>
          <w:color w:val="000000"/>
          <w:sz w:val="32"/>
          <w:szCs w:val="32"/>
          <w:highlight w:val="none"/>
        </w:rPr>
        <w:t>年</w:t>
      </w:r>
      <w:r>
        <w:rPr>
          <w:rFonts w:hint="eastAsia" w:ascii="Arial" w:hAnsi="Arial" w:cs="Arial"/>
          <w:b/>
          <w:color w:val="000000"/>
          <w:sz w:val="32"/>
          <w:szCs w:val="32"/>
          <w:highlight w:val="none"/>
          <w:lang w:val="en-US" w:eastAsia="zh-CN"/>
        </w:rPr>
        <w:t>06</w:t>
      </w:r>
      <w:r>
        <w:rPr>
          <w:rFonts w:ascii="Arial" w:hAnsi="Arial" w:cs="Arial"/>
          <w:b/>
          <w:color w:val="000000"/>
          <w:sz w:val="32"/>
          <w:szCs w:val="32"/>
          <w:highlight w:val="none"/>
        </w:rPr>
        <w:t>月</w:t>
      </w:r>
      <w:r>
        <w:rPr>
          <w:rFonts w:hint="eastAsia" w:ascii="Arial" w:hAnsi="Arial" w:cs="Arial"/>
          <w:b/>
          <w:color w:val="000000"/>
          <w:sz w:val="32"/>
          <w:szCs w:val="32"/>
          <w:highlight w:val="none"/>
          <w:lang w:val="en-US" w:eastAsia="zh-CN"/>
        </w:rPr>
        <w:t>18日</w:t>
      </w:r>
    </w:p>
    <w:p w14:paraId="1A5AC46C">
      <w:pPr>
        <w:pStyle w:val="34"/>
        <w:spacing w:before="120" w:beforeAutospacing="0" w:after="120" w:afterAutospacing="0" w:line="360" w:lineRule="auto"/>
        <w:rPr>
          <w:highlight w:val="none"/>
        </w:rPr>
      </w:pPr>
      <w:r>
        <w:rPr>
          <w:rFonts w:ascii="Arial" w:hAnsi="Arial" w:cs="Arial"/>
          <w:color w:val="000000"/>
          <w:highlight w:val="none"/>
        </w:rPr>
        <w:t xml:space="preserve">                        </w:t>
      </w:r>
    </w:p>
    <w:p w14:paraId="17A17F35">
      <w:pPr>
        <w:pStyle w:val="34"/>
        <w:spacing w:before="120" w:beforeAutospacing="0" w:after="120" w:afterAutospacing="0" w:line="360" w:lineRule="auto"/>
        <w:jc w:val="center"/>
        <w:rPr>
          <w:highlight w:val="none"/>
        </w:rPr>
      </w:pPr>
      <w:r>
        <w:rPr>
          <w:highlight w:val="none"/>
        </w:rPr>
        <w:t> </w:t>
      </w:r>
    </w:p>
    <w:p w14:paraId="27E21F33">
      <w:pPr>
        <w:pStyle w:val="34"/>
        <w:spacing w:beforeAutospacing="0" w:afterAutospacing="0" w:line="480" w:lineRule="auto"/>
        <w:jc w:val="center"/>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w:t>
      </w:r>
      <w:bookmarkStart w:id="0" w:name="_Toc513029200"/>
      <w:bookmarkStart w:id="1" w:name="_Toc16938516"/>
      <w:bookmarkStart w:id="2" w:name="_Toc20823272"/>
      <w:bookmarkStart w:id="3" w:name="_Toc479757206"/>
      <w:bookmarkStart w:id="4" w:name="_Toc523127445"/>
      <w:bookmarkStart w:id="5" w:name="_Toc120614210"/>
      <w:r>
        <w:rPr>
          <w:rFonts w:ascii="Times New Roman" w:hAnsi="Times New Roman"/>
          <w:color w:val="000000"/>
          <w:sz w:val="21"/>
          <w:szCs w:val="21"/>
          <w:highlight w:val="none"/>
        </w:rPr>
        <w:t> </w:t>
      </w:r>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33742A18">
      <w:pPr>
        <w:pStyle w:val="34"/>
        <w:spacing w:beforeAutospacing="0" w:afterAutospacing="0" w:line="480" w:lineRule="auto"/>
        <w:jc w:val="both"/>
        <w:rPr>
          <w:highlight w:val="none"/>
        </w:rPr>
      </w:pPr>
      <w:r>
        <w:rPr>
          <w:highlight w:val="none"/>
        </w:rPr>
        <w:t> </w:t>
      </w:r>
    </w:p>
    <w:p w14:paraId="5308793F">
      <w:pPr>
        <w:pStyle w:val="34"/>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lang w:val="en-US" w:eastAsia="zh-CN"/>
        </w:rPr>
        <w:t>招标公告</w:t>
      </w:r>
      <w:r>
        <w:rPr>
          <w:rFonts w:hint="eastAsia" w:ascii="黑体" w:hAnsi="宋体" w:eastAsia="黑体" w:cs="黑体"/>
          <w:color w:val="000000"/>
          <w:sz w:val="36"/>
          <w:szCs w:val="36"/>
          <w:highlight w:val="none"/>
        </w:rPr>
        <w:t xml:space="preserve">…………………………………… </w:t>
      </w:r>
    </w:p>
    <w:p w14:paraId="097F7FF6">
      <w:pPr>
        <w:pStyle w:val="34"/>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 xml:space="preserve">投标人须知…………………………………  </w:t>
      </w:r>
    </w:p>
    <w:p w14:paraId="28B2EBC1">
      <w:pPr>
        <w:pStyle w:val="34"/>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合同文本……………………………………</w:t>
      </w:r>
    </w:p>
    <w:p w14:paraId="5D0E77B1">
      <w:pPr>
        <w:pStyle w:val="34"/>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采购需求……………………………………</w:t>
      </w:r>
    </w:p>
    <w:p w14:paraId="58890D60">
      <w:pPr>
        <w:pStyle w:val="34"/>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评标方法与评标标准………………………</w:t>
      </w:r>
    </w:p>
    <w:p w14:paraId="72619F5E">
      <w:pPr>
        <w:pStyle w:val="34"/>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投标文件格式………………………………</w:t>
      </w:r>
    </w:p>
    <w:p w14:paraId="02FA2829">
      <w:pPr>
        <w:pStyle w:val="34"/>
        <w:spacing w:beforeAutospacing="0" w:afterAutospacing="0"/>
        <w:jc w:val="both"/>
        <w:rPr>
          <w:highlight w:val="none"/>
        </w:rPr>
      </w:pPr>
      <w:r>
        <w:rPr>
          <w:highlight w:val="none"/>
        </w:rPr>
        <w:t> </w:t>
      </w:r>
    </w:p>
    <w:p w14:paraId="2D74CE2F">
      <w:pPr>
        <w:pStyle w:val="34"/>
        <w:spacing w:beforeAutospacing="0" w:afterAutospacing="0"/>
        <w:jc w:val="both"/>
        <w:rPr>
          <w:highlight w:val="none"/>
        </w:rPr>
      </w:pPr>
      <w:r>
        <w:rPr>
          <w:highlight w:val="none"/>
        </w:rPr>
        <w:t> </w:t>
      </w:r>
    </w:p>
    <w:p w14:paraId="27D892D0">
      <w:pPr>
        <w:pStyle w:val="34"/>
        <w:spacing w:beforeAutospacing="0" w:afterAutospacing="0"/>
        <w:jc w:val="both"/>
        <w:rPr>
          <w:highlight w:val="none"/>
        </w:rPr>
      </w:pPr>
      <w:r>
        <w:rPr>
          <w:highlight w:val="none"/>
        </w:rPr>
        <w:t> </w:t>
      </w:r>
    </w:p>
    <w:p w14:paraId="4AB736DA">
      <w:pPr>
        <w:pStyle w:val="34"/>
        <w:spacing w:beforeAutospacing="0" w:afterAutospacing="0"/>
        <w:jc w:val="both"/>
        <w:rPr>
          <w:highlight w:val="none"/>
        </w:rPr>
      </w:pPr>
      <w:r>
        <w:rPr>
          <w:highlight w:val="none"/>
        </w:rPr>
        <w:t> </w:t>
      </w:r>
    </w:p>
    <w:p w14:paraId="6C9EA3ED">
      <w:pPr>
        <w:pStyle w:val="34"/>
        <w:spacing w:beforeAutospacing="0" w:afterAutospacing="0"/>
        <w:jc w:val="both"/>
        <w:rPr>
          <w:highlight w:val="none"/>
        </w:rPr>
      </w:pPr>
      <w:r>
        <w:rPr>
          <w:highlight w:val="none"/>
        </w:rPr>
        <w:t> </w:t>
      </w:r>
    </w:p>
    <w:p w14:paraId="39FDB7E1">
      <w:pPr>
        <w:pStyle w:val="34"/>
        <w:spacing w:beforeAutospacing="0" w:afterAutospacing="0"/>
        <w:jc w:val="both"/>
        <w:rPr>
          <w:highlight w:val="none"/>
        </w:rPr>
      </w:pPr>
      <w:r>
        <w:rPr>
          <w:highlight w:val="none"/>
        </w:rPr>
        <w:t> </w:t>
      </w:r>
    </w:p>
    <w:p w14:paraId="47C5447E">
      <w:pPr>
        <w:pStyle w:val="34"/>
        <w:spacing w:beforeAutospacing="0" w:afterAutospacing="0"/>
        <w:jc w:val="both"/>
        <w:rPr>
          <w:highlight w:val="none"/>
        </w:rPr>
      </w:pPr>
      <w:r>
        <w:rPr>
          <w:highlight w:val="none"/>
        </w:rPr>
        <w:t> </w:t>
      </w:r>
    </w:p>
    <w:p w14:paraId="646FEA46">
      <w:pPr>
        <w:pStyle w:val="34"/>
        <w:spacing w:beforeAutospacing="0" w:afterAutospacing="0"/>
        <w:jc w:val="both"/>
        <w:rPr>
          <w:highlight w:val="none"/>
        </w:rPr>
      </w:pPr>
      <w:r>
        <w:rPr>
          <w:highlight w:val="none"/>
        </w:rPr>
        <w:t> </w:t>
      </w:r>
    </w:p>
    <w:p w14:paraId="5274E86E">
      <w:pPr>
        <w:pStyle w:val="34"/>
        <w:spacing w:beforeAutospacing="0" w:afterAutospacing="0"/>
        <w:jc w:val="both"/>
        <w:rPr>
          <w:highlight w:val="none"/>
        </w:rPr>
      </w:pPr>
      <w:r>
        <w:rPr>
          <w:highlight w:val="none"/>
        </w:rPr>
        <w:t> </w:t>
      </w:r>
    </w:p>
    <w:p w14:paraId="73EAAD6C">
      <w:pPr>
        <w:pStyle w:val="34"/>
        <w:spacing w:beforeAutospacing="0" w:afterAutospacing="0"/>
        <w:jc w:val="both"/>
        <w:rPr>
          <w:highlight w:val="none"/>
        </w:rPr>
      </w:pPr>
      <w:r>
        <w:rPr>
          <w:highlight w:val="none"/>
        </w:rPr>
        <w:t> </w:t>
      </w:r>
    </w:p>
    <w:p w14:paraId="741DC5EF">
      <w:pPr>
        <w:pStyle w:val="34"/>
        <w:spacing w:beforeAutospacing="0" w:afterAutospacing="0"/>
        <w:jc w:val="both"/>
        <w:rPr>
          <w:highlight w:val="none"/>
        </w:rPr>
      </w:pPr>
      <w:r>
        <w:rPr>
          <w:highlight w:val="none"/>
        </w:rPr>
        <w:t> </w:t>
      </w:r>
    </w:p>
    <w:p w14:paraId="139D3D1B">
      <w:pPr>
        <w:pStyle w:val="34"/>
        <w:spacing w:beforeAutospacing="0" w:afterAutospacing="0"/>
        <w:jc w:val="both"/>
        <w:rPr>
          <w:highlight w:val="none"/>
        </w:rPr>
      </w:pPr>
      <w:r>
        <w:rPr>
          <w:highlight w:val="none"/>
        </w:rPr>
        <w:t> </w:t>
      </w:r>
    </w:p>
    <w:p w14:paraId="0F2D0D24">
      <w:pPr>
        <w:pStyle w:val="34"/>
        <w:spacing w:beforeAutospacing="0" w:afterAutospacing="0"/>
        <w:jc w:val="both"/>
        <w:rPr>
          <w:highlight w:val="none"/>
        </w:rPr>
      </w:pPr>
      <w:r>
        <w:rPr>
          <w:highlight w:val="none"/>
        </w:rPr>
        <w:t> </w:t>
      </w:r>
    </w:p>
    <w:p w14:paraId="7CF7A99F">
      <w:pPr>
        <w:pStyle w:val="34"/>
        <w:spacing w:beforeAutospacing="0" w:afterAutospacing="0"/>
        <w:jc w:val="both"/>
        <w:rPr>
          <w:highlight w:val="none"/>
        </w:rPr>
      </w:pPr>
      <w:r>
        <w:rPr>
          <w:highlight w:val="none"/>
        </w:rPr>
        <w:t> </w:t>
      </w:r>
    </w:p>
    <w:p w14:paraId="032012F8">
      <w:pPr>
        <w:pStyle w:val="34"/>
        <w:spacing w:beforeAutospacing="0" w:afterAutospacing="0"/>
        <w:jc w:val="both"/>
        <w:rPr>
          <w:highlight w:val="none"/>
        </w:rPr>
      </w:pPr>
      <w:r>
        <w:rPr>
          <w:highlight w:val="none"/>
        </w:rPr>
        <w:t> </w:t>
      </w:r>
    </w:p>
    <w:p w14:paraId="5B3A354A">
      <w:pPr>
        <w:pStyle w:val="34"/>
        <w:spacing w:beforeAutospacing="0" w:afterAutospacing="0"/>
        <w:jc w:val="both"/>
        <w:rPr>
          <w:highlight w:val="none"/>
        </w:rPr>
      </w:pPr>
      <w:r>
        <w:rPr>
          <w:highlight w:val="none"/>
        </w:rPr>
        <w:t> </w:t>
      </w:r>
    </w:p>
    <w:p w14:paraId="33E16334">
      <w:pPr>
        <w:pStyle w:val="34"/>
        <w:spacing w:beforeAutospacing="0" w:afterAutospacing="0"/>
        <w:jc w:val="both"/>
        <w:rPr>
          <w:highlight w:val="none"/>
        </w:rPr>
      </w:pPr>
      <w:r>
        <w:rPr>
          <w:highlight w:val="none"/>
        </w:rPr>
        <w:t> </w:t>
      </w:r>
    </w:p>
    <w:p w14:paraId="63B76599">
      <w:pPr>
        <w:pStyle w:val="34"/>
        <w:spacing w:beforeAutospacing="0" w:afterAutospacing="0"/>
        <w:jc w:val="both"/>
        <w:rPr>
          <w:highlight w:val="none"/>
        </w:rPr>
      </w:pPr>
      <w:r>
        <w:rPr>
          <w:highlight w:val="none"/>
        </w:rPr>
        <w:t> </w:t>
      </w:r>
    </w:p>
    <w:p w14:paraId="7C4FF7E5">
      <w:pPr>
        <w:pStyle w:val="34"/>
        <w:spacing w:beforeAutospacing="0" w:afterAutospacing="0"/>
        <w:jc w:val="both"/>
        <w:rPr>
          <w:highlight w:val="none"/>
        </w:rPr>
      </w:pPr>
      <w:r>
        <w:rPr>
          <w:highlight w:val="none"/>
        </w:rPr>
        <w:t> </w:t>
      </w:r>
    </w:p>
    <w:p w14:paraId="3CEA9EBB">
      <w:pPr>
        <w:pStyle w:val="34"/>
        <w:spacing w:beforeAutospacing="0" w:afterAutospacing="0"/>
        <w:jc w:val="both"/>
        <w:rPr>
          <w:highlight w:val="none"/>
        </w:rPr>
      </w:pPr>
      <w:r>
        <w:rPr>
          <w:highlight w:val="none"/>
        </w:rPr>
        <w:t> </w:t>
      </w:r>
    </w:p>
    <w:p w14:paraId="7AA68D94">
      <w:pPr>
        <w:pStyle w:val="34"/>
        <w:spacing w:beforeAutospacing="0" w:afterAutospacing="0"/>
        <w:jc w:val="both"/>
        <w:rPr>
          <w:highlight w:val="none"/>
        </w:rPr>
      </w:pPr>
      <w:r>
        <w:rPr>
          <w:highlight w:val="none"/>
        </w:rPr>
        <w:t> </w:t>
      </w:r>
    </w:p>
    <w:p w14:paraId="4A1C146B">
      <w:pPr>
        <w:pStyle w:val="34"/>
        <w:spacing w:beforeAutospacing="0" w:afterAutospacing="0"/>
        <w:jc w:val="both"/>
        <w:rPr>
          <w:highlight w:val="none"/>
        </w:rPr>
      </w:pPr>
      <w:r>
        <w:rPr>
          <w:highlight w:val="none"/>
        </w:rPr>
        <w:t> </w:t>
      </w:r>
    </w:p>
    <w:p w14:paraId="6E66C7D7">
      <w:pPr>
        <w:pStyle w:val="34"/>
        <w:spacing w:beforeAutospacing="0" w:afterAutospacing="0"/>
        <w:jc w:val="center"/>
        <w:rPr>
          <w:rFonts w:hint="default" w:eastAsia="黑体"/>
          <w:highlight w:val="none"/>
          <w:lang w:val="en-US" w:eastAsia="zh-CN"/>
        </w:rPr>
      </w:pPr>
      <w:r>
        <w:rPr>
          <w:highlight w:val="none"/>
        </w:rPr>
        <w:t>  </w:t>
      </w:r>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6EF3E474">
      <w:pPr>
        <w:pStyle w:val="34"/>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0FA7BCD4">
      <w:pPr>
        <w:pStyle w:val="34"/>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lang w:eastAsia="zh-CN"/>
        </w:rPr>
        <w:t>东台市海防监控点位建设项目</w:t>
      </w:r>
      <w:r>
        <w:rPr>
          <w:rFonts w:hint="eastAsia" w:ascii="宋体" w:hAnsi="宋体" w:eastAsia="宋体" w:cs="宋体"/>
          <w:color w:val="000000"/>
          <w:sz w:val="24"/>
          <w:szCs w:val="24"/>
          <w:highlight w:val="none"/>
        </w:rPr>
        <w:t>招标项目的潜在投标人可在</w:t>
      </w:r>
      <w:r>
        <w:rPr>
          <w:rFonts w:hint="eastAsia" w:ascii="宋体" w:hAnsi="宋体" w:eastAsia="宋体" w:cs="宋体"/>
          <w:i w:val="0"/>
          <w:iCs w:val="0"/>
          <w:caps w:val="0"/>
          <w:color w:val="333333"/>
          <w:spacing w:val="0"/>
          <w:sz w:val="24"/>
          <w:szCs w:val="24"/>
          <w:highlight w:val="none"/>
          <w:shd w:val="clear" w:color="auto" w:fill="FFFFFF"/>
        </w:rPr>
        <w:t>“苏采云”系统内免费下载（投标人必须在苏采云系统中获取采购文件，方能参与政府采购项目）</w:t>
      </w:r>
      <w:r>
        <w:rPr>
          <w:rFonts w:hint="eastAsia" w:ascii="宋体" w:hAnsi="宋体" w:eastAsia="宋体" w:cs="宋体"/>
          <w:color w:val="000000"/>
          <w:sz w:val="24"/>
          <w:szCs w:val="24"/>
          <w:highlight w:val="none"/>
        </w:rPr>
        <w:t>，并于</w:t>
      </w:r>
      <w:r>
        <w:rPr>
          <w:rFonts w:hint="eastAsia" w:ascii="宋体" w:hAnsi="宋体" w:eastAsia="宋体" w:cs="宋体"/>
          <w:color w:val="000000"/>
          <w:sz w:val="24"/>
          <w:szCs w:val="24"/>
          <w:highlight w:val="none"/>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7</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9</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8</w:t>
      </w:r>
      <w:r>
        <w:rPr>
          <w:rFonts w:hint="eastAsia" w:ascii="宋体" w:hAnsi="宋体" w:eastAsia="宋体" w:cs="宋体"/>
          <w:color w:val="000000"/>
          <w:sz w:val="24"/>
          <w:szCs w:val="24"/>
          <w:highlight w:val="none"/>
          <w:u w:val="single"/>
        </w:rPr>
        <w:t>点</w:t>
      </w:r>
      <w:r>
        <w:rPr>
          <w:rFonts w:hint="eastAsia" w:ascii="宋体" w:hAnsi="宋体" w:eastAsia="宋体" w:cs="宋体"/>
          <w:color w:val="000000"/>
          <w:sz w:val="24"/>
          <w:szCs w:val="24"/>
          <w:highlight w:val="none"/>
          <w:u w:val="single"/>
          <w:lang w:val="en-US" w:eastAsia="zh-CN"/>
        </w:rPr>
        <w:t>30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sz w:val="24"/>
          <w:szCs w:val="24"/>
          <w:highlight w:val="none"/>
        </w:rPr>
        <w:t>北京时间）前递交投标文件。</w:t>
      </w:r>
    </w:p>
    <w:p w14:paraId="57D3B569">
      <w:pPr>
        <w:pStyle w:val="34"/>
        <w:keepNext/>
        <w:keepLines/>
        <w:pageBreakBefore w:val="0"/>
        <w:kinsoku/>
        <w:wordWrap/>
        <w:overflowPunct/>
        <w:topLinePunct w:val="0"/>
        <w:autoSpaceDE/>
        <w:autoSpaceDN/>
        <w:bidi w:val="0"/>
        <w:adjustRightInd/>
        <w:snapToGrid/>
        <w:spacing w:beforeAutospacing="0" w:afterAutospacing="0" w:line="420" w:lineRule="exact"/>
        <w:ind w:firstLine="498"/>
        <w:jc w:val="both"/>
        <w:textAlignment w:val="auto"/>
        <w:rPr>
          <w:rFonts w:hint="eastAsia" w:ascii="宋体" w:hAnsi="宋体" w:eastAsia="宋体" w:cs="宋体"/>
          <w:sz w:val="24"/>
          <w:szCs w:val="24"/>
          <w:highlight w:val="none"/>
        </w:rPr>
      </w:pPr>
      <w:bookmarkStart w:id="6" w:name="_Toc35393621"/>
      <w:bookmarkStart w:id="7" w:name="_Toc35393790"/>
      <w:bookmarkStart w:id="8" w:name="_Toc38985263"/>
      <w:bookmarkStart w:id="9" w:name="_Toc28359002"/>
      <w:bookmarkStart w:id="10" w:name="_Toc28359079"/>
      <w:bookmarkStart w:id="11" w:name="_Hlk24379207"/>
      <w:r>
        <w:rPr>
          <w:rFonts w:hint="eastAsia" w:ascii="宋体" w:hAnsi="宋体" w:eastAsia="宋体" w:cs="宋体"/>
          <w:b/>
          <w:color w:val="000000"/>
          <w:sz w:val="24"/>
          <w:szCs w:val="24"/>
          <w:highlight w:val="none"/>
        </w:rPr>
        <w:t>一、项目基本情况</w:t>
      </w:r>
      <w:bookmarkEnd w:id="6"/>
      <w:bookmarkEnd w:id="7"/>
      <w:bookmarkEnd w:id="8"/>
      <w:bookmarkEnd w:id="9"/>
      <w:bookmarkEnd w:id="10"/>
      <w:bookmarkEnd w:id="11"/>
    </w:p>
    <w:p w14:paraId="211F29BD">
      <w:pPr>
        <w:pStyle w:val="34"/>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1.项目编号：</w:t>
      </w:r>
      <w:r>
        <w:rPr>
          <w:rFonts w:hint="eastAsia" w:ascii="宋体" w:hAnsi="宋体" w:eastAsia="宋体" w:cs="宋体"/>
          <w:color w:val="000000"/>
          <w:sz w:val="24"/>
          <w:szCs w:val="24"/>
          <w:highlight w:val="none"/>
          <w:lang w:eastAsia="zh-CN"/>
        </w:rPr>
        <w:t>JSZC-320981-HRMB-G2026-0008</w:t>
      </w:r>
    </w:p>
    <w:p w14:paraId="63E5D734">
      <w:pPr>
        <w:pStyle w:val="34"/>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2.项目名称：</w:t>
      </w:r>
      <w:r>
        <w:rPr>
          <w:rFonts w:hint="eastAsia" w:ascii="宋体" w:hAnsi="宋体" w:eastAsia="宋体" w:cs="宋体"/>
          <w:color w:val="000000"/>
          <w:sz w:val="24"/>
          <w:szCs w:val="24"/>
          <w:highlight w:val="none"/>
          <w:lang w:eastAsia="zh-CN"/>
        </w:rPr>
        <w:t>东台市海防监控点位建设项目</w:t>
      </w:r>
    </w:p>
    <w:p w14:paraId="683F58D9">
      <w:pPr>
        <w:pStyle w:val="34"/>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3.</w:t>
      </w:r>
      <w:r>
        <w:rPr>
          <w:rFonts w:hint="eastAsia" w:ascii="宋体" w:hAnsi="宋体" w:eastAsia="宋体" w:cs="宋体"/>
          <w:i w:val="0"/>
          <w:iCs w:val="0"/>
          <w:caps w:val="0"/>
          <w:color w:val="333333"/>
          <w:spacing w:val="0"/>
          <w:sz w:val="24"/>
          <w:szCs w:val="24"/>
          <w:highlight w:val="none"/>
          <w:shd w:val="clear" w:color="auto" w:fill="FFFFFF"/>
        </w:rPr>
        <w:t>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公开招标</w:t>
      </w:r>
    </w:p>
    <w:p w14:paraId="65C70B46">
      <w:pPr>
        <w:pStyle w:val="34"/>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lang w:val="en-US" w:eastAsia="zh-CN"/>
        </w:rPr>
        <w:t>189万元</w:t>
      </w:r>
    </w:p>
    <w:p w14:paraId="103F782B">
      <w:pPr>
        <w:pStyle w:val="34"/>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default" w:ascii="宋体" w:hAnsi="宋体" w:eastAsia="宋体" w:cs="宋体"/>
          <w:color w:val="000000"/>
          <w:sz w:val="24"/>
          <w:szCs w:val="24"/>
          <w:highlight w:val="green"/>
          <w:lang w:val="en-US" w:eastAsia="zh-CN"/>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最高限价：</w:t>
      </w:r>
      <w:r>
        <w:rPr>
          <w:rFonts w:hint="eastAsia" w:ascii="宋体" w:hAnsi="宋体" w:eastAsia="宋体" w:cs="宋体"/>
          <w:color w:val="000000"/>
          <w:sz w:val="24"/>
          <w:szCs w:val="24"/>
          <w:highlight w:val="none"/>
          <w:lang w:val="en-US" w:eastAsia="zh-CN"/>
        </w:rPr>
        <w:t>189万元</w:t>
      </w:r>
    </w:p>
    <w:p w14:paraId="0C104A50">
      <w:pPr>
        <w:pStyle w:val="34"/>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.采购需求：</w:t>
      </w:r>
      <w:r>
        <w:rPr>
          <w:rFonts w:hint="eastAsia" w:ascii="宋体" w:hAnsi="宋体" w:eastAsia="宋体" w:cs="宋体"/>
          <w:color w:val="000000"/>
          <w:sz w:val="24"/>
          <w:szCs w:val="24"/>
          <w:highlight w:val="none"/>
          <w:lang w:eastAsia="zh-CN"/>
        </w:rPr>
        <w:t>东台市海防监控点位建设项目</w:t>
      </w:r>
      <w:r>
        <w:rPr>
          <w:rFonts w:hint="eastAsia" w:ascii="宋体" w:hAnsi="宋体" w:eastAsia="宋体" w:cs="宋体"/>
          <w:color w:val="000000"/>
          <w:sz w:val="24"/>
          <w:szCs w:val="24"/>
          <w:highlight w:val="none"/>
        </w:rPr>
        <w:t>（详见</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文件第四章</w:t>
      </w:r>
      <w:r>
        <w:rPr>
          <w:rFonts w:hint="eastAsia" w:ascii="宋体" w:hAnsi="宋体" w:eastAsia="宋体" w:cs="宋体"/>
          <w:color w:val="000000"/>
          <w:sz w:val="24"/>
          <w:szCs w:val="24"/>
          <w:highlight w:val="none"/>
          <w:lang w:val="en-US" w:eastAsia="zh-CN"/>
        </w:rPr>
        <w:t>采购需求</w:t>
      </w:r>
      <w:r>
        <w:rPr>
          <w:rFonts w:hint="eastAsia" w:ascii="宋体" w:hAnsi="宋体" w:eastAsia="宋体" w:cs="宋体"/>
          <w:color w:val="000000"/>
          <w:sz w:val="24"/>
          <w:szCs w:val="24"/>
          <w:highlight w:val="none"/>
        </w:rPr>
        <w:t>）</w:t>
      </w:r>
    </w:p>
    <w:p w14:paraId="5CAAD062">
      <w:pPr>
        <w:pStyle w:val="34"/>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.合同履行期限：合同签订后</w:t>
      </w:r>
      <w:r>
        <w:rPr>
          <w:rFonts w:hint="eastAsia" w:ascii="宋体" w:hAnsi="宋体" w:eastAsia="宋体" w:cs="宋体"/>
          <w:color w:val="000000"/>
          <w:sz w:val="24"/>
          <w:szCs w:val="24"/>
          <w:highlight w:val="none"/>
          <w:lang w:val="en-US" w:eastAsia="zh-CN"/>
        </w:rPr>
        <w:t>90日历天</w:t>
      </w:r>
      <w:r>
        <w:rPr>
          <w:rFonts w:hint="eastAsia" w:ascii="宋体" w:hAnsi="宋体" w:eastAsia="宋体" w:cs="宋体"/>
          <w:color w:val="000000"/>
          <w:sz w:val="24"/>
          <w:szCs w:val="24"/>
          <w:highlight w:val="none"/>
        </w:rPr>
        <w:t>内货物全部送达招标人指定位置且安装、调试完毕，并确保正常稳定运行。</w:t>
      </w:r>
    </w:p>
    <w:p w14:paraId="17CA72D3">
      <w:pPr>
        <w:pStyle w:val="34"/>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本项目</w:t>
      </w:r>
      <w:r>
        <w:rPr>
          <w:rFonts w:hint="eastAsia" w:ascii="宋体" w:hAnsi="宋体" w:eastAsia="宋体" w:cs="宋体"/>
          <w:b/>
          <w:bCs/>
          <w:color w:val="000000"/>
          <w:sz w:val="24"/>
          <w:szCs w:val="24"/>
          <w:highlight w:val="none"/>
          <w:u w:val="single"/>
          <w:lang w:val="en-US" w:eastAsia="zh-CN"/>
        </w:rPr>
        <w:t>不接受</w:t>
      </w:r>
      <w:r>
        <w:rPr>
          <w:rFonts w:hint="eastAsia" w:ascii="宋体" w:hAnsi="宋体" w:eastAsia="宋体" w:cs="宋体"/>
          <w:color w:val="000000"/>
          <w:sz w:val="24"/>
          <w:szCs w:val="24"/>
          <w:highlight w:val="none"/>
        </w:rPr>
        <w:t>联合体参与</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lang w:eastAsia="zh-CN"/>
        </w:rPr>
        <w:t>。</w:t>
      </w:r>
    </w:p>
    <w:p w14:paraId="729A11CD">
      <w:pPr>
        <w:pStyle w:val="34"/>
        <w:keepNext/>
        <w:keepLines/>
        <w:pageBreakBefore w:val="0"/>
        <w:kinsoku/>
        <w:wordWrap/>
        <w:overflowPunct/>
        <w:topLinePunct w:val="0"/>
        <w:autoSpaceDE/>
        <w:autoSpaceDN/>
        <w:bidi w:val="0"/>
        <w:adjustRightInd/>
        <w:snapToGrid/>
        <w:spacing w:beforeAutospacing="0" w:afterAutospacing="0" w:line="420" w:lineRule="exact"/>
        <w:ind w:firstLine="498"/>
        <w:jc w:val="both"/>
        <w:textAlignment w:val="auto"/>
        <w:rPr>
          <w:rFonts w:hint="eastAsia" w:ascii="宋体" w:hAnsi="宋体" w:eastAsia="宋体" w:cs="宋体"/>
          <w:sz w:val="24"/>
          <w:szCs w:val="24"/>
          <w:highlight w:val="none"/>
        </w:rPr>
      </w:pPr>
      <w:bookmarkStart w:id="12" w:name="_Toc28359003"/>
      <w:bookmarkStart w:id="13" w:name="_Toc35393622"/>
      <w:bookmarkStart w:id="14" w:name="_Toc28359080"/>
      <w:bookmarkStart w:id="15" w:name="_Toc35393791"/>
      <w:bookmarkStart w:id="16" w:name="_Toc38985264"/>
      <w:r>
        <w:rPr>
          <w:rFonts w:hint="eastAsia" w:ascii="宋体" w:hAnsi="宋体" w:eastAsia="宋体" w:cs="宋体"/>
          <w:b/>
          <w:color w:val="000000"/>
          <w:sz w:val="24"/>
          <w:szCs w:val="24"/>
          <w:highlight w:val="none"/>
        </w:rPr>
        <w:t>二、申请人的资格要求：</w:t>
      </w:r>
      <w:bookmarkEnd w:id="12"/>
      <w:bookmarkEnd w:id="13"/>
      <w:bookmarkEnd w:id="14"/>
      <w:bookmarkEnd w:id="15"/>
      <w:bookmarkEnd w:id="16"/>
    </w:p>
    <w:p w14:paraId="1BDC39C5">
      <w:pPr>
        <w:pStyle w:val="34"/>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1.满足《中华人民共和国政府采购法》第二十二条规定，并提供下列材料：</w:t>
      </w:r>
    </w:p>
    <w:p w14:paraId="341255D3">
      <w:pPr>
        <w:pStyle w:val="34"/>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法人或者其他组织的营业执照等证明文件，自然人的身份证明；</w:t>
      </w:r>
    </w:p>
    <w:p w14:paraId="25A7673D">
      <w:pPr>
        <w:pStyle w:val="34"/>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1.2上一年度的财务状况报</w:t>
      </w:r>
      <w:r>
        <w:rPr>
          <w:rFonts w:hint="eastAsia" w:ascii="宋体" w:hAnsi="宋体" w:eastAsia="宋体" w:cs="宋体"/>
          <w:color w:val="000000"/>
          <w:sz w:val="24"/>
          <w:szCs w:val="24"/>
          <w:highlight w:val="none"/>
          <w:lang w:val="en-US" w:eastAsia="zh-CN"/>
        </w:rPr>
        <w:t>告</w:t>
      </w:r>
      <w:r>
        <w:rPr>
          <w:rFonts w:hint="eastAsia" w:ascii="宋体" w:hAnsi="宋体" w:eastAsia="宋体" w:cs="宋体"/>
          <w:color w:val="000000"/>
          <w:sz w:val="24"/>
          <w:szCs w:val="24"/>
          <w:highlight w:val="none"/>
        </w:rPr>
        <w:t>（成立不满一年无需提供）；</w:t>
      </w:r>
    </w:p>
    <w:p w14:paraId="7BC7995E">
      <w:pPr>
        <w:pStyle w:val="34"/>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w:t>
      </w:r>
      <w:r>
        <w:rPr>
          <w:rFonts w:hint="eastAsia" w:ascii="宋体" w:hAnsi="宋体" w:eastAsia="宋体" w:cs="宋体"/>
          <w:color w:val="000000"/>
          <w:sz w:val="24"/>
          <w:szCs w:val="24"/>
          <w:highlight w:val="none"/>
        </w:rPr>
        <w:t>具备履行合同所必需的设备和专业技术能力的书面声明；</w:t>
      </w:r>
    </w:p>
    <w:p w14:paraId="386DA63B">
      <w:pPr>
        <w:pStyle w:val="34"/>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0CB26BB4">
      <w:pPr>
        <w:pStyle w:val="34"/>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.5参加政府采购活动前3年内在经营活动中没有重大违法记录的书面声明。</w:t>
      </w:r>
    </w:p>
    <w:p w14:paraId="59C8B0BC">
      <w:pPr>
        <w:pStyle w:val="34"/>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1.6法律、行政法规规定的其他条件。</w:t>
      </w:r>
    </w:p>
    <w:p w14:paraId="62561772">
      <w:pPr>
        <w:pStyle w:val="34"/>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1.7</w:t>
      </w:r>
      <w:r>
        <w:rPr>
          <w:rFonts w:hint="eastAsia" w:ascii="宋体" w:hAnsi="宋体" w:eastAsia="宋体" w:cs="宋体"/>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szCs w:val="24"/>
          <w:highlight w:val="none"/>
          <w:lang w:val="en-US" w:eastAsia="zh-CN"/>
        </w:rPr>
        <w:t>投标</w:t>
      </w:r>
      <w:r>
        <w:rPr>
          <w:rFonts w:hint="eastAsia" w:ascii="宋体" w:hAnsi="宋体" w:eastAsia="宋体" w:cs="宋体"/>
          <w:color w:val="000000"/>
          <w:sz w:val="24"/>
          <w:szCs w:val="24"/>
          <w:highlight w:val="none"/>
        </w:rPr>
        <w:t>文件中无需提供证明材料）</w:t>
      </w:r>
    </w:p>
    <w:p w14:paraId="384BC968">
      <w:pPr>
        <w:pStyle w:val="34"/>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1.8</w:t>
      </w:r>
      <w:r>
        <w:rPr>
          <w:rFonts w:hint="eastAsia" w:ascii="宋体" w:hAnsi="宋体" w:eastAsia="宋体" w:cs="宋体"/>
          <w:color w:val="000000"/>
          <w:sz w:val="24"/>
          <w:szCs w:val="24"/>
          <w:highlight w:val="none"/>
        </w:rPr>
        <w:t>单位负责人为同一人或者存在直接控股、管理关系的不同供应商，不得参加同一合同项下的政府采购活动。</w:t>
      </w:r>
    </w:p>
    <w:p w14:paraId="207D9CCE">
      <w:pPr>
        <w:pStyle w:val="34"/>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落实政府采购政策需满足的资格要求：无</w:t>
      </w:r>
      <w:r>
        <w:rPr>
          <w:rFonts w:hint="eastAsia" w:ascii="宋体" w:hAnsi="宋体" w:eastAsia="宋体" w:cs="宋体"/>
          <w:color w:val="000000"/>
          <w:sz w:val="24"/>
          <w:szCs w:val="24"/>
          <w:highlight w:val="none"/>
          <w:lang w:eastAsia="zh-CN"/>
        </w:rPr>
        <w:t>。</w:t>
      </w:r>
    </w:p>
    <w:p w14:paraId="3840F890">
      <w:pPr>
        <w:pStyle w:val="34"/>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本项目的特定资格要求</w:t>
      </w:r>
      <w:r>
        <w:rPr>
          <w:rFonts w:hint="eastAsia" w:ascii="宋体" w:hAnsi="宋体" w:eastAsia="宋体" w:cs="宋体"/>
          <w:color w:val="000000"/>
          <w:sz w:val="24"/>
          <w:szCs w:val="24"/>
          <w:highlight w:val="none"/>
          <w:lang w:eastAsia="zh-CN"/>
        </w:rPr>
        <w:t>：</w:t>
      </w:r>
    </w:p>
    <w:p w14:paraId="6D911F1D">
      <w:pPr>
        <w:pStyle w:val="34"/>
        <w:pageBreakBefore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投标人如委托被授权人参与，则被授权人须为本单位正式职工并提供供应商为被授权人缴纳的社会养老保险证明。</w:t>
      </w:r>
    </w:p>
    <w:p w14:paraId="60F51F2A">
      <w:pPr>
        <w:pStyle w:val="34"/>
        <w:keepNext/>
        <w:keepLines/>
        <w:pageBreakBefore w:val="0"/>
        <w:kinsoku/>
        <w:wordWrap/>
        <w:overflowPunct/>
        <w:topLinePunct w:val="0"/>
        <w:autoSpaceDE/>
        <w:autoSpaceDN/>
        <w:bidi w:val="0"/>
        <w:adjustRightInd/>
        <w:snapToGrid/>
        <w:spacing w:beforeAutospacing="0" w:afterAutospacing="0" w:line="420" w:lineRule="exact"/>
        <w:ind w:firstLine="498"/>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三、获取招标文件</w:t>
      </w:r>
    </w:p>
    <w:p w14:paraId="5132A9C2">
      <w:pPr>
        <w:keepNext w:val="0"/>
        <w:keepLines w:val="0"/>
        <w:pageBreakBefore w:val="0"/>
        <w:widowControl/>
        <w:suppressLineNumbers w:val="0"/>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color w:val="000000"/>
          <w:sz w:val="24"/>
          <w:szCs w:val="24"/>
          <w:highlight w:val="none"/>
          <w:lang w:val="en-US" w:eastAsia="zh-CN" w:bidi="ar-SA"/>
        </w:rPr>
      </w:pPr>
      <w:bookmarkStart w:id="17" w:name="_Toc35393793"/>
      <w:bookmarkStart w:id="18" w:name="_Toc28359005"/>
      <w:bookmarkStart w:id="19" w:name="_Toc35393624"/>
      <w:bookmarkStart w:id="20" w:name="_Toc38985266"/>
      <w:bookmarkStart w:id="21" w:name="_Toc28359082"/>
      <w:r>
        <w:rPr>
          <w:rFonts w:hint="eastAsia" w:ascii="宋体" w:hAnsi="宋体" w:eastAsia="宋体" w:cs="宋体"/>
          <w:color w:val="000000"/>
          <w:sz w:val="24"/>
          <w:szCs w:val="24"/>
          <w:highlight w:val="none"/>
        </w:rPr>
        <w:t>1.时间</w:t>
      </w:r>
      <w:r>
        <w:rPr>
          <w:rFonts w:hint="eastAsia" w:ascii="宋体" w:hAnsi="宋体" w:eastAsia="宋体" w:cs="宋体"/>
          <w:color w:val="000000"/>
          <w:sz w:val="24"/>
          <w:szCs w:val="24"/>
          <w:highlight w:val="none"/>
          <w:lang w:val="en-US" w:eastAsia="zh-CN" w:bidi="ar-SA"/>
        </w:rPr>
        <w:t>：</w:t>
      </w:r>
      <w:bookmarkEnd w:id="17"/>
      <w:bookmarkEnd w:id="18"/>
      <w:bookmarkEnd w:id="19"/>
      <w:bookmarkEnd w:id="20"/>
      <w:bookmarkEnd w:id="21"/>
      <w:r>
        <w:rPr>
          <w:rFonts w:hint="eastAsia" w:ascii="宋体" w:hAnsi="宋体" w:eastAsia="宋体" w:cs="宋体"/>
          <w:color w:val="000000"/>
          <w:sz w:val="24"/>
          <w:szCs w:val="24"/>
          <w:highlight w:val="none"/>
          <w:lang w:val="en-US" w:eastAsia="zh-CN" w:bidi="ar-SA"/>
        </w:rPr>
        <w:t>自招标文件公告发布之日起5个工作日。</w:t>
      </w:r>
    </w:p>
    <w:p w14:paraId="31A09011">
      <w:pPr>
        <w:keepNext w:val="0"/>
        <w:keepLines w:val="0"/>
        <w:pageBreakBefore w:val="0"/>
        <w:widowControl/>
        <w:suppressLineNumbers w:val="0"/>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2.地点：“苏采云”系统内免费下载（投标人必须在苏采云系统中获取采购文件，方能参与政府采购项目）；</w:t>
      </w:r>
    </w:p>
    <w:p w14:paraId="42109346">
      <w:pPr>
        <w:keepNext w:val="0"/>
        <w:keepLines w:val="0"/>
        <w:pageBreakBefore w:val="0"/>
        <w:widowControl/>
        <w:suppressLineNumbers w:val="0"/>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3.方式：本项目采用网上注册登记方式。 </w:t>
      </w:r>
    </w:p>
    <w:p w14:paraId="574BA93E">
      <w:pPr>
        <w:keepNext w:val="0"/>
        <w:keepLines w:val="0"/>
        <w:pageBreakBefore w:val="0"/>
        <w:widowControl/>
        <w:suppressLineNumbers w:val="0"/>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4.售价：0元</w:t>
      </w:r>
    </w:p>
    <w:p w14:paraId="290385C0">
      <w:pPr>
        <w:pStyle w:val="34"/>
        <w:keepNext/>
        <w:keepLines/>
        <w:pageBreakBefore w:val="0"/>
        <w:kinsoku/>
        <w:wordWrap/>
        <w:overflowPunct/>
        <w:topLinePunct w:val="0"/>
        <w:autoSpaceDE/>
        <w:autoSpaceDN/>
        <w:bidi w:val="0"/>
        <w:adjustRightInd/>
        <w:snapToGrid/>
        <w:spacing w:beforeAutospacing="0" w:afterAutospacing="0" w:line="420" w:lineRule="exact"/>
        <w:ind w:firstLine="498"/>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四、提交投标文件截止时间、开标时间和地点</w:t>
      </w:r>
    </w:p>
    <w:p w14:paraId="09B065A5">
      <w:pPr>
        <w:keepNext w:val="0"/>
        <w:keepLines w:val="0"/>
        <w:pageBreakBefore w:val="0"/>
        <w:widowControl/>
        <w:suppressLineNumbers w:val="0"/>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bidi="ar-SA"/>
        </w:rPr>
        <w:t>时间：2026年7月9日8点30分（北京时间）。</w:t>
      </w:r>
    </w:p>
    <w:p w14:paraId="5ACE8673">
      <w:pPr>
        <w:keepNext w:val="0"/>
        <w:keepLines w:val="0"/>
        <w:pageBreakBefore w:val="0"/>
        <w:widowControl/>
        <w:suppressLineNumbers w:val="0"/>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2.地点：苏采云“不见面”开标大厅 。</w:t>
      </w:r>
    </w:p>
    <w:p w14:paraId="6EF4213D">
      <w:pPr>
        <w:pStyle w:val="34"/>
        <w:keepNext/>
        <w:keepLines/>
        <w:pageBreakBefore w:val="0"/>
        <w:kinsoku/>
        <w:wordWrap/>
        <w:overflowPunct/>
        <w:topLinePunct w:val="0"/>
        <w:autoSpaceDE/>
        <w:autoSpaceDN/>
        <w:bidi w:val="0"/>
        <w:adjustRightInd/>
        <w:snapToGrid/>
        <w:spacing w:beforeAutospacing="0" w:afterAutospacing="0" w:line="420" w:lineRule="exact"/>
        <w:ind w:firstLine="498"/>
        <w:jc w:val="both"/>
        <w:textAlignment w:val="auto"/>
        <w:rPr>
          <w:rFonts w:hint="eastAsia" w:ascii="宋体" w:hAnsi="宋体" w:eastAsia="宋体" w:cs="宋体"/>
          <w:sz w:val="24"/>
          <w:szCs w:val="24"/>
          <w:highlight w:val="none"/>
        </w:rPr>
      </w:pPr>
      <w:bookmarkStart w:id="22" w:name="_Toc35393625"/>
      <w:bookmarkStart w:id="23" w:name="_Toc38985267"/>
      <w:bookmarkStart w:id="24" w:name="_Toc28359084"/>
      <w:bookmarkStart w:id="25" w:name="_Toc35393794"/>
      <w:bookmarkStart w:id="26" w:name="_Toc28359007"/>
      <w:r>
        <w:rPr>
          <w:rFonts w:hint="eastAsia" w:ascii="宋体" w:hAnsi="宋体" w:eastAsia="宋体" w:cs="宋体"/>
          <w:b/>
          <w:color w:val="000000"/>
          <w:sz w:val="24"/>
          <w:szCs w:val="24"/>
          <w:highlight w:val="none"/>
        </w:rPr>
        <w:t>五、公告期限</w:t>
      </w:r>
      <w:bookmarkEnd w:id="22"/>
      <w:bookmarkEnd w:id="23"/>
      <w:bookmarkEnd w:id="24"/>
      <w:bookmarkEnd w:id="25"/>
      <w:bookmarkEnd w:id="26"/>
    </w:p>
    <w:p w14:paraId="35157ED2">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2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color="auto" w:fill="FFFFFF"/>
          <w:lang w:val="en-US" w:eastAsia="zh-CN"/>
        </w:rPr>
      </w:pPr>
      <w:bookmarkStart w:id="27" w:name="_Toc35393795"/>
      <w:bookmarkStart w:id="28" w:name="_Toc38985268"/>
      <w:bookmarkStart w:id="29" w:name="_Toc35393626"/>
      <w:r>
        <w:rPr>
          <w:rFonts w:hint="eastAsia" w:ascii="宋体" w:hAnsi="宋体" w:eastAsia="宋体" w:cs="宋体"/>
          <w:i w:val="0"/>
          <w:iCs w:val="0"/>
          <w:caps w:val="0"/>
          <w:color w:val="333333"/>
          <w:spacing w:val="0"/>
          <w:sz w:val="24"/>
          <w:szCs w:val="24"/>
          <w:highlight w:val="none"/>
          <w:shd w:val="clear" w:color="auto" w:fill="FFFFFF"/>
          <w:lang w:val="en-US" w:eastAsia="zh-CN"/>
        </w:rPr>
        <w:t>自本公告发布之日起5个工作日。</w:t>
      </w:r>
      <w:bookmarkEnd w:id="27"/>
      <w:bookmarkEnd w:id="28"/>
      <w:bookmarkEnd w:id="29"/>
    </w:p>
    <w:p w14:paraId="5E66F54D">
      <w:pPr>
        <w:pStyle w:val="34"/>
        <w:keepNext/>
        <w:keepLines/>
        <w:pageBreakBefore w:val="0"/>
        <w:kinsoku/>
        <w:wordWrap/>
        <w:overflowPunct/>
        <w:topLinePunct w:val="0"/>
        <w:autoSpaceDE/>
        <w:autoSpaceDN/>
        <w:bidi w:val="0"/>
        <w:adjustRightInd/>
        <w:snapToGrid/>
        <w:spacing w:beforeAutospacing="0" w:afterAutospacing="0" w:line="420" w:lineRule="exact"/>
        <w:ind w:firstLine="498"/>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六、其他补充事宜</w:t>
      </w:r>
    </w:p>
    <w:p w14:paraId="142F4D25">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2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color="auto" w:fill="FFFFFF"/>
          <w:lang w:val="en-US" w:eastAsia="zh-CN"/>
        </w:rPr>
      </w:pPr>
      <w:bookmarkStart w:id="30"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340036E6">
      <w:pPr>
        <w:pageBreakBefore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ABA1E30">
      <w:pPr>
        <w:keepNext w:val="0"/>
        <w:keepLines w:val="0"/>
        <w:pageBreakBefore w:val="0"/>
        <w:widowControl/>
        <w:suppressLineNumbers w:val="0"/>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p>
    <w:p w14:paraId="6143C927">
      <w:pPr>
        <w:keepNext w:val="0"/>
        <w:keepLines w:val="0"/>
        <w:pageBreakBefore w:val="0"/>
        <w:widowControl/>
        <w:suppressLineNumbers w:val="0"/>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绑定与登录--参与投标--下载采购文件（后缀名为“.kedt”）--将后缀名为“.kedt”的招标文件导入政府采购客户端工具--制作投标文件--导出加密的投标文件（后缀名为 zip）--通过“苏采云”系统上传投标文件。具体见《“苏采云”系统供应商操作手册》 （手册下载地址：苏采云系统-右侧消息通知栏）。 </w:t>
      </w:r>
    </w:p>
    <w:p w14:paraId="1C6067D5">
      <w:pPr>
        <w:keepNext w:val="0"/>
        <w:keepLines w:val="0"/>
        <w:pageBreakBefore w:val="0"/>
        <w:widowControl/>
        <w:suppressLineNumbers w:val="0"/>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p>
    <w:p w14:paraId="528E4740">
      <w:pPr>
        <w:keepNext w:val="0"/>
        <w:keepLines w:val="0"/>
        <w:pageBreakBefore w:val="0"/>
        <w:widowControl/>
        <w:suppressLineNumbers w:val="0"/>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 招标文件（后缀名为“.kedt”）、供应商操作手册及政府采购客户端 工具可通过“苏采云”系统相应链接进行下载。 </w:t>
      </w:r>
    </w:p>
    <w:p w14:paraId="13701208">
      <w:pPr>
        <w:keepNext w:val="0"/>
        <w:keepLines w:val="0"/>
        <w:pageBreakBefore w:val="0"/>
        <w:widowControl/>
        <w:suppressLineNumbers w:val="0"/>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 采购代理机构将数据电文形式的招标文件加载至“苏采云”系统，供潜在供应商下载或者查阅。 </w:t>
      </w:r>
    </w:p>
    <w:p w14:paraId="3AB09CAD">
      <w:pPr>
        <w:keepNext w:val="0"/>
        <w:keepLines w:val="0"/>
        <w:pageBreakBefore w:val="0"/>
        <w:widowControl/>
        <w:suppressLineNumbers w:val="0"/>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0F03EDC5">
      <w:pPr>
        <w:keepNext w:val="0"/>
        <w:keepLines w:val="0"/>
        <w:pageBreakBefore w:val="0"/>
        <w:widowControl/>
        <w:suppressLineNumbers w:val="0"/>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如潜在投标人未按上述要求操作，将自行承担所产生的风险。</w:t>
      </w:r>
    </w:p>
    <w:p w14:paraId="16293CC2">
      <w:pPr>
        <w:keepNext w:val="0"/>
        <w:keepLines w:val="0"/>
        <w:pageBreakBefore w:val="0"/>
        <w:widowControl/>
        <w:suppressLineNumbers w:val="0"/>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3.有关本次招标的事项若存在变动或修改，敬请及时关注采购人在“中国政府采购网”“江苏政府采购网”“盐城市政府采购网”发布的更正公告。</w:t>
      </w:r>
    </w:p>
    <w:p w14:paraId="3665B096">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2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4.本次招标不收取投标保证金，不收取质量保证金。</w:t>
      </w:r>
    </w:p>
    <w:p w14:paraId="3D95F665">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20" w:lineRule="exact"/>
        <w:ind w:left="0" w:right="0" w:firstLine="56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5.本项目（是/否）接受银行、保险、石油石化、电力、电信等行业的分支机构参与：</w:t>
      </w:r>
      <w:r>
        <w:rPr>
          <w:rFonts w:hint="eastAsia" w:ascii="宋体" w:hAnsi="宋体" w:eastAsia="宋体" w:cs="宋体"/>
          <w:b/>
          <w:bCs/>
          <w:color w:val="000000"/>
          <w:sz w:val="24"/>
          <w:szCs w:val="24"/>
          <w:highlight w:val="none"/>
          <w:u w:val="single"/>
          <w:lang w:val="en-US" w:eastAsia="zh-CN"/>
        </w:rPr>
        <w:t>是</w:t>
      </w:r>
      <w:r>
        <w:rPr>
          <w:rFonts w:hint="eastAsia" w:ascii="宋体" w:hAnsi="宋体" w:eastAsia="宋体" w:cs="宋体"/>
          <w:color w:val="000000"/>
          <w:sz w:val="24"/>
          <w:szCs w:val="24"/>
          <w:highlight w:val="none"/>
          <w:lang w:val="en-US" w:eastAsia="zh-CN"/>
        </w:rPr>
        <w:t>。【如接受，则分支机构的负责人视同为投标人法定代表人。】</w:t>
      </w:r>
    </w:p>
    <w:p w14:paraId="712C3E98">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20" w:lineRule="exact"/>
        <w:ind w:left="0" w:right="0" w:firstLine="56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允许独立法人资格电信运营商分支机构参加投标，除营业执照和“信用中国”外，分支机构可提供上、下级公司或总公司的资格证明文件。（同一独立法人资格电信运营商及分支机构，不得同时参加本项目的投标。）</w:t>
      </w:r>
    </w:p>
    <w:p w14:paraId="740938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b/>
          <w:bCs/>
          <w:i w:val="0"/>
          <w:iCs w:val="0"/>
          <w:caps w:val="0"/>
          <w:color w:val="333333"/>
          <w:spacing w:val="0"/>
          <w:sz w:val="24"/>
          <w:szCs w:val="24"/>
          <w:highlight w:val="none"/>
        </w:rPr>
      </w:pPr>
      <w:r>
        <w:rPr>
          <w:rFonts w:hint="eastAsia" w:ascii="宋体" w:hAnsi="宋体" w:eastAsia="宋体" w:cs="宋体"/>
          <w:b/>
          <w:bCs/>
          <w:i w:val="0"/>
          <w:iCs w:val="0"/>
          <w:caps w:val="0"/>
          <w:color w:val="333333"/>
          <w:spacing w:val="0"/>
          <w:sz w:val="24"/>
          <w:szCs w:val="24"/>
          <w:highlight w:val="none"/>
          <w:u w:val="none"/>
          <w:shd w:val="clear" w:color="auto" w:fill="FFFFFF"/>
          <w:lang w:val="en-US" w:eastAsia="zh-CN"/>
        </w:rPr>
        <w:t>七</w:t>
      </w:r>
      <w:r>
        <w:rPr>
          <w:rFonts w:hint="eastAsia" w:ascii="宋体" w:hAnsi="宋体" w:eastAsia="宋体" w:cs="宋体"/>
          <w:b/>
          <w:bCs/>
          <w:i w:val="0"/>
          <w:iCs w:val="0"/>
          <w:caps w:val="0"/>
          <w:color w:val="333333"/>
          <w:spacing w:val="0"/>
          <w:sz w:val="24"/>
          <w:szCs w:val="24"/>
          <w:highlight w:val="none"/>
          <w:u w:val="none"/>
          <w:shd w:val="clear" w:color="auto" w:fill="FFFFFF"/>
        </w:rPr>
        <w:t>、对本次</w:t>
      </w:r>
      <w:r>
        <w:rPr>
          <w:rFonts w:hint="eastAsia" w:ascii="宋体" w:hAnsi="宋体" w:eastAsia="宋体" w:cs="宋体"/>
          <w:b/>
          <w:bCs/>
          <w:i w:val="0"/>
          <w:iCs w:val="0"/>
          <w:caps w:val="0"/>
          <w:color w:val="333333"/>
          <w:spacing w:val="0"/>
          <w:sz w:val="24"/>
          <w:szCs w:val="24"/>
          <w:highlight w:val="none"/>
          <w:u w:val="none"/>
          <w:shd w:val="clear" w:color="auto" w:fill="FFFFFF"/>
          <w:lang w:val="en-US" w:eastAsia="zh-CN"/>
        </w:rPr>
        <w:t>招标</w:t>
      </w:r>
      <w:r>
        <w:rPr>
          <w:rFonts w:hint="eastAsia" w:ascii="宋体" w:hAnsi="宋体" w:eastAsia="宋体" w:cs="宋体"/>
          <w:b/>
          <w:bCs/>
          <w:i w:val="0"/>
          <w:iCs w:val="0"/>
          <w:caps w:val="0"/>
          <w:color w:val="333333"/>
          <w:spacing w:val="0"/>
          <w:sz w:val="24"/>
          <w:szCs w:val="24"/>
          <w:highlight w:val="none"/>
          <w:u w:val="none"/>
          <w:shd w:val="clear" w:color="auto" w:fill="FFFFFF"/>
        </w:rPr>
        <w:t>提出询问，请按以下方式联系。</w:t>
      </w:r>
      <w:bookmarkEnd w:id="30"/>
    </w:p>
    <w:p w14:paraId="21DE4037">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2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color="auto" w:fill="FFFFFF"/>
          <w:lang w:val="en-US" w:eastAsia="zh-CN"/>
        </w:rPr>
      </w:pPr>
      <w:bookmarkStart w:id="31" w:name="_Toc28359009"/>
      <w:r>
        <w:rPr>
          <w:rFonts w:hint="eastAsia" w:ascii="宋体" w:hAnsi="宋体" w:eastAsia="宋体" w:cs="宋体"/>
          <w:i w:val="0"/>
          <w:iCs w:val="0"/>
          <w:caps w:val="0"/>
          <w:color w:val="333333"/>
          <w:spacing w:val="0"/>
          <w:sz w:val="24"/>
          <w:szCs w:val="24"/>
          <w:highlight w:val="none"/>
          <w:shd w:val="clear" w:color="auto" w:fill="FFFFFF"/>
          <w:lang w:val="en-US" w:eastAsia="zh-CN"/>
        </w:rPr>
        <w:t>1.采购人信息</w:t>
      </w:r>
    </w:p>
    <w:p w14:paraId="0CC8EEAF">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2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名 称：</w:t>
      </w:r>
      <w:r>
        <w:rPr>
          <w:rFonts w:hint="eastAsia" w:ascii="宋体" w:hAnsi="宋体" w:eastAsia="宋体" w:cs="宋体"/>
          <w:color w:val="000000"/>
          <w:sz w:val="24"/>
          <w:szCs w:val="24"/>
          <w:lang w:val="en-US" w:eastAsia="zh-CN"/>
        </w:rPr>
        <w:t>东台市公安局</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p>
    <w:p w14:paraId="2EC7C7E9">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2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地址：</w:t>
      </w:r>
      <w:r>
        <w:rPr>
          <w:rFonts w:hint="eastAsia" w:ascii="宋体" w:hAnsi="宋体" w:eastAsia="宋体" w:cs="宋体"/>
          <w:color w:val="000000"/>
          <w:sz w:val="24"/>
          <w:szCs w:val="24"/>
          <w:lang w:val="en-US" w:eastAsia="zh-CN"/>
        </w:rPr>
        <w:t>盐城市东台市广场路1号</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p>
    <w:p w14:paraId="6E9C0D3D">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2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联系人：</w:t>
      </w:r>
      <w:r>
        <w:rPr>
          <w:rFonts w:hint="eastAsia" w:ascii="宋体" w:hAnsi="宋体" w:eastAsia="宋体" w:cs="宋体"/>
          <w:color w:val="000000"/>
          <w:sz w:val="24"/>
          <w:szCs w:val="24"/>
          <w:lang w:val="en-US" w:eastAsia="zh-CN"/>
        </w:rPr>
        <w:t>宗先生</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p>
    <w:p w14:paraId="3BCC744B">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2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联系方式：</w:t>
      </w:r>
      <w:r>
        <w:rPr>
          <w:rFonts w:hint="eastAsia" w:ascii="宋体" w:hAnsi="宋体" w:eastAsia="宋体" w:cs="宋体"/>
          <w:color w:val="000000"/>
          <w:sz w:val="24"/>
          <w:szCs w:val="24"/>
          <w:lang w:val="en-US" w:eastAsia="zh-CN"/>
        </w:rPr>
        <w:t>15161941511</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p>
    <w:p w14:paraId="4C7D8B8F">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2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2.采购代理机构信息</w:t>
      </w:r>
    </w:p>
    <w:p w14:paraId="395FDC17">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20" w:lineRule="exact"/>
        <w:ind w:left="0" w:right="0" w:firstLine="560"/>
        <w:jc w:val="both"/>
        <w:textAlignment w:val="auto"/>
        <w:rPr>
          <w:rFonts w:hint="default"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名 称：江苏跃盛项目管理有限公司</w:t>
      </w:r>
    </w:p>
    <w:p w14:paraId="2ED21C27">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2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地 址：东台市黄海花苑小区18号楼四层</w:t>
      </w:r>
    </w:p>
    <w:p w14:paraId="755E23AB">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2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联系人：赵先生                     </w:t>
      </w:r>
    </w:p>
    <w:p w14:paraId="63079BAC">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2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联系方式：</w:t>
      </w:r>
      <w:bookmarkStart w:id="32" w:name="_Toc28359010"/>
      <w:bookmarkStart w:id="33" w:name="_Toc28359087"/>
      <w:r>
        <w:rPr>
          <w:rFonts w:hint="eastAsia" w:ascii="宋体" w:hAnsi="宋体" w:eastAsia="宋体" w:cs="宋体"/>
          <w:i w:val="0"/>
          <w:iCs w:val="0"/>
          <w:caps w:val="0"/>
          <w:color w:val="333333"/>
          <w:spacing w:val="0"/>
          <w:sz w:val="24"/>
          <w:szCs w:val="24"/>
          <w:highlight w:val="none"/>
          <w:shd w:val="clear" w:color="auto" w:fill="FFFFFF"/>
          <w:lang w:val="en-US" w:eastAsia="zh-CN"/>
        </w:rPr>
        <w:t>18105111998       </w:t>
      </w:r>
      <w:bookmarkEnd w:id="32"/>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p>
    <w:p w14:paraId="6FB40DD5">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2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color="auto" w:fill="FFFFFF"/>
          <w:lang w:val="en-US" w:eastAsia="zh-CN"/>
        </w:rPr>
      </w:pP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项目联系方式</w:t>
      </w:r>
    </w:p>
    <w:p w14:paraId="1B2AF992">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20" w:lineRule="exact"/>
        <w:ind w:left="0" w:right="0" w:firstLine="560"/>
        <w:jc w:val="both"/>
        <w:textAlignment w:val="auto"/>
        <w:rPr>
          <w:rFonts w:hint="default"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项目联系人：赵先生（组织本项目采购活动的具体工作人员姓名）</w:t>
      </w:r>
    </w:p>
    <w:p w14:paraId="793A850C">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2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电　　 话：</w:t>
      </w:r>
      <w:r>
        <w:rPr>
          <w:rFonts w:hint="eastAsia" w:ascii="宋体" w:hAnsi="宋体" w:eastAsia="宋体" w:cs="宋体"/>
          <w:color w:val="000000"/>
          <w:sz w:val="24"/>
          <w:szCs w:val="24"/>
          <w:lang w:val="en-US" w:eastAsia="zh-CN"/>
        </w:rPr>
        <w:t>18105111998</w:t>
      </w:r>
      <w:r>
        <w:rPr>
          <w:rFonts w:hint="eastAsia" w:ascii="宋体" w:hAnsi="宋体" w:eastAsia="宋体" w:cs="宋体"/>
          <w:i w:val="0"/>
          <w:iCs w:val="0"/>
          <w:caps w:val="0"/>
          <w:color w:val="333333"/>
          <w:spacing w:val="0"/>
          <w:sz w:val="24"/>
          <w:szCs w:val="24"/>
          <w:highlight w:val="none"/>
          <w:shd w:val="clear" w:color="auto" w:fill="FFFFFF"/>
          <w:lang w:val="en-US" w:eastAsia="zh-CN"/>
        </w:rPr>
        <w:t>　　　　　　　　　　　　</w:t>
      </w:r>
    </w:p>
    <w:p w14:paraId="374019B7">
      <w:pPr>
        <w:jc w:val="center"/>
        <w:rPr>
          <w:highlight w:val="none"/>
        </w:rPr>
      </w:pPr>
      <w:bookmarkStart w:id="35" w:name="_Toc120614211"/>
      <w:r>
        <w:rPr>
          <w:rFonts w:hint="eastAsia" w:ascii="黑体" w:hAnsi="宋体" w:eastAsia="黑体" w:cs="黑体"/>
          <w:b/>
          <w:color w:val="000000"/>
          <w:sz w:val="44"/>
          <w:szCs w:val="44"/>
          <w:highlight w:val="none"/>
        </w:rPr>
        <w:t xml:space="preserve">第二章  </w:t>
      </w:r>
      <w:bookmarkEnd w:id="35"/>
      <w:bookmarkStart w:id="36" w:name="_Toc120614213"/>
      <w:bookmarkStart w:id="37" w:name="_Toc20823274"/>
      <w:bookmarkStart w:id="38" w:name="_Toc513029202"/>
      <w:bookmarkStart w:id="39" w:name="_Toc16938518"/>
      <w:r>
        <w:rPr>
          <w:rFonts w:hint="eastAsia" w:ascii="黑体" w:hAnsi="宋体" w:eastAsia="黑体" w:cs="黑体"/>
          <w:b/>
          <w:color w:val="000000"/>
          <w:sz w:val="44"/>
          <w:szCs w:val="44"/>
          <w:highlight w:val="none"/>
        </w:rPr>
        <w:t>投标人须知</w:t>
      </w:r>
      <w:bookmarkEnd w:id="36"/>
      <w:bookmarkEnd w:id="37"/>
      <w:bookmarkEnd w:id="38"/>
      <w:bookmarkEnd w:id="39"/>
    </w:p>
    <w:p w14:paraId="63B708C1">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rFonts w:hint="eastAsia" w:ascii="宋体" w:hAnsi="宋体" w:eastAsia="宋体" w:cs="宋体"/>
          <w:sz w:val="24"/>
          <w:szCs w:val="24"/>
          <w:highlight w:val="none"/>
        </w:rPr>
      </w:pPr>
      <w:bookmarkStart w:id="40" w:name="_Toc20823275"/>
      <w:bookmarkStart w:id="41" w:name="_Toc513029203"/>
      <w:bookmarkStart w:id="42" w:name="_Toc120614214"/>
      <w:bookmarkStart w:id="43" w:name="_Toc16938519"/>
      <w:r>
        <w:rPr>
          <w:rFonts w:hint="eastAsia" w:ascii="宋体" w:hAnsi="宋体" w:eastAsia="宋体" w:cs="宋体"/>
          <w:b/>
          <w:color w:val="000000"/>
          <w:sz w:val="24"/>
          <w:szCs w:val="24"/>
          <w:highlight w:val="none"/>
        </w:rPr>
        <w:t>一、总则</w:t>
      </w:r>
      <w:bookmarkEnd w:id="40"/>
      <w:bookmarkEnd w:id="41"/>
      <w:bookmarkEnd w:id="42"/>
      <w:bookmarkEnd w:id="43"/>
    </w:p>
    <w:p w14:paraId="5B29B5CB">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bookmarkStart w:id="44" w:name="_Toc16938520"/>
      <w:bookmarkStart w:id="45" w:name="_Toc513029204"/>
      <w:bookmarkStart w:id="46" w:name="_Toc458694821"/>
      <w:bookmarkStart w:id="47" w:name="_Toc20823276"/>
      <w:bookmarkStart w:id="48" w:name="_Hlt16619475"/>
      <w:r>
        <w:rPr>
          <w:rFonts w:hint="eastAsia" w:ascii="宋体" w:hAnsi="宋体" w:eastAsia="宋体" w:cs="宋体"/>
          <w:color w:val="000000"/>
          <w:sz w:val="24"/>
          <w:szCs w:val="24"/>
          <w:highlight w:val="none"/>
        </w:rPr>
        <w:t>1</w:t>
      </w:r>
      <w:bookmarkEnd w:id="44"/>
      <w:r>
        <w:rPr>
          <w:rFonts w:hint="eastAsia" w:ascii="宋体" w:hAnsi="宋体" w:eastAsia="宋体" w:cs="宋体"/>
          <w:color w:val="000000"/>
          <w:sz w:val="24"/>
          <w:szCs w:val="24"/>
          <w:highlight w:val="none"/>
        </w:rPr>
        <w:t>、招标方式</w:t>
      </w:r>
      <w:bookmarkEnd w:id="45"/>
      <w:bookmarkEnd w:id="46"/>
      <w:bookmarkEnd w:id="47"/>
    </w:p>
    <w:p w14:paraId="2DE735C7">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1.1本次招标采取公开招标方式，本招标文件仅适用于招标公告中所述项目。</w:t>
      </w:r>
    </w:p>
    <w:p w14:paraId="18C5B5AB">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bookmarkStart w:id="49" w:name="_Toc20823277"/>
      <w:bookmarkStart w:id="50" w:name="_Toc16938521"/>
      <w:bookmarkStart w:id="51" w:name="_Toc513029205"/>
      <w:r>
        <w:rPr>
          <w:rFonts w:hint="eastAsia" w:ascii="宋体" w:hAnsi="宋体" w:eastAsia="宋体" w:cs="宋体"/>
          <w:color w:val="000000"/>
          <w:sz w:val="24"/>
          <w:szCs w:val="24"/>
          <w:highlight w:val="none"/>
        </w:rPr>
        <w:t>2、合格的投标人</w:t>
      </w:r>
      <w:bookmarkEnd w:id="49"/>
      <w:bookmarkEnd w:id="50"/>
      <w:bookmarkEnd w:id="51"/>
    </w:p>
    <w:p w14:paraId="61293381">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2.1满足招标公告中供应商的资格要求的规定。</w:t>
      </w:r>
    </w:p>
    <w:p w14:paraId="06C61783">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2.2满足本文件实质性要求和条件的规定。</w:t>
      </w:r>
    </w:p>
    <w:p w14:paraId="12758BE4">
      <w:pPr>
        <w:pageBreakBefore w:val="0"/>
        <w:widowControl w:val="0"/>
        <w:kinsoku/>
        <w:wordWrap/>
        <w:overflowPunct/>
        <w:topLinePunct w:val="0"/>
        <w:autoSpaceDE/>
        <w:autoSpaceDN/>
        <w:bidi w:val="0"/>
        <w:adjustRightInd/>
        <w:snapToGrid/>
        <w:spacing w:line="420" w:lineRule="exact"/>
        <w:ind w:left="0" w:firstLine="480" w:firstLineChars="200"/>
        <w:textAlignment w:val="auto"/>
        <w:rPr>
          <w:rFonts w:hint="eastAsia" w:ascii="宋体" w:hAnsi="宋体" w:eastAsia="宋体" w:cs="宋体"/>
          <w:color w:val="auto"/>
          <w:sz w:val="24"/>
          <w:szCs w:val="21"/>
        </w:rPr>
      </w:pPr>
      <w:bookmarkStart w:id="52" w:name="_Toc513029206"/>
      <w:bookmarkStart w:id="53" w:name="_Toc20823278"/>
      <w:bookmarkStart w:id="54" w:name="_Toc16938522"/>
      <w:bookmarkStart w:id="55" w:name="_Toc16938523"/>
      <w:bookmarkStart w:id="56" w:name="_Toc513029207"/>
      <w:bookmarkStart w:id="57" w:name="_Toc20823279"/>
      <w:bookmarkStart w:id="58" w:name="_Toc462564067"/>
      <w:r>
        <w:rPr>
          <w:rFonts w:hint="eastAsia" w:ascii="宋体" w:hAnsi="宋体" w:eastAsia="宋体" w:cs="宋体"/>
          <w:color w:val="auto"/>
          <w:sz w:val="24"/>
          <w:szCs w:val="21"/>
        </w:rPr>
        <w:t>3、适用法律</w:t>
      </w:r>
      <w:bookmarkEnd w:id="52"/>
      <w:bookmarkEnd w:id="53"/>
      <w:bookmarkEnd w:id="54"/>
      <w:r>
        <w:rPr>
          <w:rFonts w:hint="eastAsia" w:ascii="宋体" w:hAnsi="宋体" w:eastAsia="宋体" w:cs="宋体"/>
          <w:color w:val="auto"/>
          <w:sz w:val="24"/>
          <w:szCs w:val="21"/>
        </w:rPr>
        <w:t>和标准</w:t>
      </w:r>
    </w:p>
    <w:p w14:paraId="7BFDA651">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5E6E908C">
      <w:pPr>
        <w:pageBreakBefore w:val="0"/>
        <w:widowControl w:val="0"/>
        <w:kinsoku/>
        <w:wordWrap/>
        <w:overflowPunct/>
        <w:topLinePunct w:val="0"/>
        <w:autoSpaceDE/>
        <w:autoSpaceDN/>
        <w:bidi w:val="0"/>
        <w:adjustRightInd/>
        <w:snapToGrid/>
        <w:spacing w:line="42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1"/>
        </w:rPr>
        <w:t>3.2 在本项目政府采购活动过程中，如果所执行的标准有更新的，按照最新标准执行。</w:t>
      </w:r>
    </w:p>
    <w:p w14:paraId="40EA461A">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4、投标费用</w:t>
      </w:r>
      <w:bookmarkEnd w:id="55"/>
      <w:bookmarkEnd w:id="56"/>
      <w:bookmarkEnd w:id="57"/>
      <w:bookmarkEnd w:id="58"/>
    </w:p>
    <w:p w14:paraId="6043A008">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4.1投标人应自行承担所有与参加投标有关的费用，无论投标过程中的做法和结果如何，采购人及代理机构在任何情况下均无义务和责任承担这些费用。</w:t>
      </w:r>
    </w:p>
    <w:p w14:paraId="6EF798DA">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4.2本次采购人不收取标书工本费与中标服务费。</w:t>
      </w:r>
    </w:p>
    <w:p w14:paraId="39A2646B">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5、</w:t>
      </w:r>
      <w:r>
        <w:rPr>
          <w:rFonts w:hint="eastAsia" w:ascii="宋体" w:hAnsi="宋体" w:eastAsia="宋体" w:cs="宋体"/>
          <w:color w:val="000000"/>
          <w:sz w:val="24"/>
          <w:szCs w:val="24"/>
          <w:highlight w:val="none"/>
        </w:rPr>
        <w:t>招标文件的约束力</w:t>
      </w:r>
    </w:p>
    <w:p w14:paraId="12F7321E">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5.1投标人一旦参加本项目采购活动，即被认为接受了本招标文件的规定和约束。</w:t>
      </w:r>
    </w:p>
    <w:p w14:paraId="6474DB8A">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rFonts w:hint="eastAsia" w:ascii="宋体" w:hAnsi="宋体" w:eastAsia="宋体" w:cs="宋体"/>
          <w:sz w:val="24"/>
          <w:szCs w:val="24"/>
          <w:highlight w:val="none"/>
        </w:rPr>
      </w:pPr>
      <w:bookmarkStart w:id="59" w:name="_Toc120614215"/>
      <w:bookmarkStart w:id="60" w:name="_Toc513029209"/>
      <w:bookmarkStart w:id="61" w:name="_Toc20823281"/>
      <w:bookmarkStart w:id="62" w:name="_Toc16938525"/>
      <w:r>
        <w:rPr>
          <w:rFonts w:hint="eastAsia" w:ascii="宋体" w:hAnsi="宋体" w:eastAsia="宋体" w:cs="宋体"/>
          <w:b/>
          <w:color w:val="000000"/>
          <w:sz w:val="24"/>
          <w:szCs w:val="24"/>
          <w:highlight w:val="none"/>
        </w:rPr>
        <w:t>二、招标文件</w:t>
      </w:r>
      <w:bookmarkEnd w:id="59"/>
      <w:bookmarkEnd w:id="60"/>
      <w:bookmarkEnd w:id="61"/>
      <w:bookmarkEnd w:id="62"/>
    </w:p>
    <w:p w14:paraId="79630BCD">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bookmarkStart w:id="63" w:name="_Toc20823282"/>
      <w:bookmarkStart w:id="64" w:name="_Toc16938526"/>
      <w:bookmarkStart w:id="65" w:name="_Toc513029210"/>
      <w:r>
        <w:rPr>
          <w:rFonts w:hint="eastAsia" w:ascii="宋体" w:hAnsi="宋体" w:eastAsia="宋体" w:cs="宋体"/>
          <w:color w:val="000000"/>
          <w:sz w:val="24"/>
          <w:szCs w:val="24"/>
          <w:highlight w:val="none"/>
        </w:rPr>
        <w:t>6、招标文件构成</w:t>
      </w:r>
      <w:bookmarkEnd w:id="63"/>
      <w:bookmarkEnd w:id="64"/>
      <w:bookmarkEnd w:id="65"/>
    </w:p>
    <w:p w14:paraId="4C52CB14">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 招标文件由以下部分组成：</w:t>
      </w:r>
    </w:p>
    <w:p w14:paraId="1F7E4110">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招标公告</w:t>
      </w:r>
    </w:p>
    <w:p w14:paraId="7C7C76D4">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（2）投标人须知</w:t>
      </w:r>
    </w:p>
    <w:p w14:paraId="6FD15CF5">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75E3C027">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2D129CB7">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（5）评标方法与评标标准</w:t>
      </w:r>
    </w:p>
    <w:p w14:paraId="563CA71F">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（6）投标文件格式</w:t>
      </w:r>
    </w:p>
    <w:p w14:paraId="5C60A2C8">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请仔细检查招标文件是否齐全，如有缺漏请立即与采购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联系解决。</w:t>
      </w:r>
    </w:p>
    <w:p w14:paraId="5CD58A01">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D16E41B">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bookmarkStart w:id="66" w:name="_Toc16938527"/>
      <w:bookmarkStart w:id="67" w:name="_Toc20823283"/>
      <w:bookmarkStart w:id="68" w:name="_Toc513029211"/>
      <w:bookmarkStart w:id="69" w:name="_Toc462564070"/>
      <w:r>
        <w:rPr>
          <w:rFonts w:hint="eastAsia" w:ascii="宋体" w:hAnsi="宋体" w:eastAsia="宋体" w:cs="宋体"/>
          <w:color w:val="000000"/>
          <w:sz w:val="24"/>
          <w:szCs w:val="24"/>
          <w:highlight w:val="none"/>
        </w:rPr>
        <w:t>7、招标文件的澄清</w:t>
      </w:r>
      <w:bookmarkEnd w:id="66"/>
      <w:bookmarkEnd w:id="67"/>
      <w:bookmarkEnd w:id="68"/>
      <w:bookmarkEnd w:id="69"/>
    </w:p>
    <w:p w14:paraId="4539D7E8">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7.1</w:t>
      </w:r>
      <w:r>
        <w:rPr>
          <w:rFonts w:hint="eastAsia" w:ascii="宋体" w:hAnsi="宋体" w:eastAsia="宋体" w:cs="宋体"/>
          <w:color w:val="auto"/>
          <w:sz w:val="24"/>
          <w:szCs w:val="24"/>
          <w:highlight w:val="none"/>
        </w:rPr>
        <w:t>任何要求对招标文件进行澄清的投标人，应在投标截止期</w:t>
      </w:r>
      <w:r>
        <w:rPr>
          <w:rFonts w:hint="eastAsia" w:ascii="宋体" w:hAnsi="宋体" w:eastAsia="宋体" w:cs="宋体"/>
          <w:b/>
          <w:color w:val="auto"/>
          <w:sz w:val="24"/>
          <w:szCs w:val="24"/>
          <w:highlight w:val="none"/>
        </w:rPr>
        <w:t>十日</w:t>
      </w:r>
      <w:r>
        <w:rPr>
          <w:rFonts w:hint="eastAsia" w:ascii="宋体" w:hAnsi="宋体" w:eastAsia="宋体" w:cs="宋体"/>
          <w:color w:val="auto"/>
          <w:sz w:val="24"/>
          <w:szCs w:val="24"/>
          <w:highlight w:val="none"/>
        </w:rPr>
        <w:t>前按招标公告中的通讯地址，以书面形式通知采购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w:t>
      </w:r>
    </w:p>
    <w:p w14:paraId="1A4119C0">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bookmarkStart w:id="70" w:name="_Toc513029212"/>
      <w:bookmarkStart w:id="71" w:name="_Toc20823284"/>
      <w:bookmarkStart w:id="72" w:name="_Toc16938528"/>
      <w:bookmarkStart w:id="73" w:name="_Toc462564071"/>
      <w:r>
        <w:rPr>
          <w:rFonts w:hint="eastAsia" w:ascii="宋体" w:hAnsi="宋体" w:eastAsia="宋体" w:cs="宋体"/>
          <w:color w:val="000000"/>
          <w:sz w:val="24"/>
          <w:szCs w:val="24"/>
          <w:highlight w:val="none"/>
        </w:rPr>
        <w:t>8、招标文件的修改</w:t>
      </w:r>
      <w:bookmarkEnd w:id="70"/>
      <w:bookmarkEnd w:id="71"/>
      <w:bookmarkEnd w:id="72"/>
      <w:bookmarkEnd w:id="73"/>
    </w:p>
    <w:p w14:paraId="70691FBC">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8.1在投标截止时间前，采购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可以对招标文件进行修改。</w:t>
      </w:r>
    </w:p>
    <w:p w14:paraId="4177C6C0">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8.2采购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有权按照法定的要求推迟投标截止日期和开标日期。</w:t>
      </w:r>
    </w:p>
    <w:p w14:paraId="5D1FA9E9">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8.3招标文件的修改将在</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盐城市政府采购网公布，补充文件将作为招标文件的组成部分，并对投标人具有约束力。</w:t>
      </w:r>
    </w:p>
    <w:p w14:paraId="3F718948">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rFonts w:hint="eastAsia" w:ascii="宋体" w:hAnsi="宋体" w:eastAsia="宋体" w:cs="宋体"/>
          <w:sz w:val="24"/>
          <w:szCs w:val="24"/>
          <w:highlight w:val="none"/>
        </w:rPr>
      </w:pPr>
      <w:bookmarkStart w:id="74" w:name="_Toc20823285"/>
      <w:bookmarkStart w:id="75" w:name="_Toc513029213"/>
      <w:bookmarkStart w:id="76" w:name="_Toc462564072"/>
      <w:bookmarkStart w:id="77" w:name="_Toc16938529"/>
      <w:bookmarkStart w:id="78" w:name="_Toc120614216"/>
      <w:r>
        <w:rPr>
          <w:rFonts w:hint="eastAsia" w:ascii="宋体" w:hAnsi="宋体" w:eastAsia="宋体" w:cs="宋体"/>
          <w:b/>
          <w:color w:val="000000"/>
          <w:sz w:val="24"/>
          <w:szCs w:val="24"/>
          <w:highlight w:val="none"/>
        </w:rPr>
        <w:t>三、投标文件的编制</w:t>
      </w:r>
      <w:bookmarkEnd w:id="74"/>
      <w:bookmarkEnd w:id="75"/>
      <w:bookmarkEnd w:id="76"/>
      <w:bookmarkEnd w:id="77"/>
      <w:bookmarkEnd w:id="78"/>
    </w:p>
    <w:p w14:paraId="5542D1D9">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bookmarkStart w:id="79" w:name="_Toc16938530"/>
      <w:bookmarkStart w:id="80" w:name="_Toc513029214"/>
      <w:bookmarkStart w:id="81" w:name="_Toc20823286"/>
      <w:bookmarkStart w:id="82" w:name="_Toc462564073"/>
      <w:r>
        <w:rPr>
          <w:rFonts w:hint="eastAsia" w:ascii="宋体" w:hAnsi="宋体" w:eastAsia="宋体" w:cs="宋体"/>
          <w:color w:val="000000"/>
          <w:sz w:val="24"/>
          <w:szCs w:val="24"/>
          <w:highlight w:val="none"/>
        </w:rPr>
        <w:t>9、投标文件的语言及度量衡单位</w:t>
      </w:r>
      <w:bookmarkEnd w:id="79"/>
      <w:bookmarkEnd w:id="80"/>
      <w:bookmarkEnd w:id="81"/>
      <w:bookmarkEnd w:id="82"/>
    </w:p>
    <w:p w14:paraId="0D4BC289">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9.1投标人提交的投标文件以及投标人与</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rPr>
        <w:t>就有关投标的所有来往通知、函件和文件均应使用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3D898A4B">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9.2除技术性能另有规定外，投标文件所使用的度量衡单位，均须采用国家法定计量单位。</w:t>
      </w:r>
    </w:p>
    <w:p w14:paraId="6A359A4E">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bookmarkStart w:id="83" w:name="_Toc462564074"/>
      <w:bookmarkStart w:id="84" w:name="_Toc16938531"/>
      <w:bookmarkStart w:id="85" w:name="_Toc20823287"/>
      <w:bookmarkStart w:id="86" w:name="_Toc513029215"/>
      <w:r>
        <w:rPr>
          <w:rFonts w:hint="eastAsia" w:ascii="宋体" w:hAnsi="宋体" w:eastAsia="宋体" w:cs="宋体"/>
          <w:color w:val="000000"/>
          <w:sz w:val="24"/>
          <w:szCs w:val="24"/>
          <w:highlight w:val="none"/>
        </w:rPr>
        <w:t>10、投标文件构成</w:t>
      </w:r>
      <w:bookmarkEnd w:id="83"/>
      <w:bookmarkEnd w:id="84"/>
      <w:bookmarkEnd w:id="85"/>
      <w:bookmarkEnd w:id="86"/>
    </w:p>
    <w:p w14:paraId="3FCC87D8">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1932360C">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w:t>
      </w:r>
      <w:r>
        <w:rPr>
          <w:rFonts w:hint="eastAsia" w:ascii="宋体" w:hAnsi="宋体" w:eastAsia="宋体" w:cs="宋体"/>
          <w:color w:val="00000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盐城市政府采购网”发布的招标文件为准。</w:t>
      </w:r>
    </w:p>
    <w:p w14:paraId="47D85557">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bookmarkStart w:id="87" w:name="_Toc49090509"/>
      <w:bookmarkStart w:id="88" w:name="_Toc513029216"/>
      <w:bookmarkStart w:id="89" w:name="_Toc513029219"/>
      <w:bookmarkStart w:id="90" w:name="_Toc14577354"/>
      <w:bookmarkStart w:id="91" w:name="_Toc14577357"/>
      <w:bookmarkStart w:id="92" w:name="_Toc49090507"/>
      <w:bookmarkStart w:id="93" w:name="_Hlt26954838"/>
      <w:bookmarkStart w:id="94" w:name="_Hlt26668975"/>
      <w:bookmarkStart w:id="95" w:name="_Hlt26670360"/>
      <w:r>
        <w:rPr>
          <w:rFonts w:hint="eastAsia" w:ascii="宋体" w:hAnsi="宋体" w:eastAsia="宋体" w:cs="宋体"/>
          <w:color w:val="000000"/>
          <w:sz w:val="24"/>
          <w:szCs w:val="24"/>
          <w:highlight w:val="none"/>
        </w:rPr>
        <w:t>11、证明投标人及投标标的符合招标文件规定的文件</w:t>
      </w:r>
      <w:bookmarkEnd w:id="87"/>
      <w:bookmarkEnd w:id="88"/>
      <w:bookmarkEnd w:id="89"/>
      <w:bookmarkEnd w:id="90"/>
      <w:bookmarkEnd w:id="91"/>
      <w:bookmarkEnd w:id="92"/>
    </w:p>
    <w:p w14:paraId="60BF9934">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bookmarkStart w:id="96" w:name="_Toc49090508"/>
      <w:bookmarkStart w:id="97" w:name="_Toc14577355"/>
      <w:r>
        <w:rPr>
          <w:rFonts w:hint="eastAsia" w:ascii="宋体" w:hAnsi="宋体" w:eastAsia="宋体" w:cs="宋体"/>
          <w:color w:val="000000"/>
          <w:sz w:val="24"/>
          <w:szCs w:val="24"/>
          <w:highlight w:val="none"/>
        </w:rPr>
        <w:t>11.1投标人应按照法律、法规、规章和规范性文件以及招标文件要求提交证明文件，证明其及投标标的符合招标文件规定。</w:t>
      </w:r>
      <w:bookmarkEnd w:id="96"/>
      <w:bookmarkEnd w:id="97"/>
    </w:p>
    <w:p w14:paraId="1E69E0DF">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11.2招标文件对证明文件无明确形式要求的，证明文件可以以文字资料、图纸和数据等形式提交。</w:t>
      </w:r>
    </w:p>
    <w:p w14:paraId="6E580322">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12、投标分项报价</w:t>
      </w:r>
      <w:bookmarkStart w:id="98" w:name="_Hlt26670373"/>
      <w:r>
        <w:rPr>
          <w:rFonts w:hint="eastAsia" w:ascii="宋体" w:hAnsi="宋体" w:eastAsia="宋体" w:cs="宋体"/>
          <w:color w:val="000000"/>
          <w:sz w:val="24"/>
          <w:szCs w:val="24"/>
          <w:highlight w:val="none"/>
        </w:rPr>
        <w:t>表</w:t>
      </w:r>
    </w:p>
    <w:p w14:paraId="7429B99C">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12.1投</w:t>
      </w:r>
      <w:bookmarkStart w:id="99" w:name="_Hlt26954840"/>
      <w:r>
        <w:rPr>
          <w:rFonts w:hint="eastAsia" w:ascii="宋体" w:hAnsi="宋体" w:eastAsia="宋体" w:cs="宋体"/>
          <w:color w:val="000000"/>
          <w:sz w:val="24"/>
          <w:szCs w:val="24"/>
          <w:highlight w:val="none"/>
        </w:rPr>
        <w:t>标人应按照招标文件规定格式填报投标分项报价表</w:t>
      </w:r>
      <w:bookmarkStart w:id="100" w:name="_Hlt26670399"/>
      <w:r>
        <w:rPr>
          <w:rFonts w:hint="eastAsia" w:ascii="宋体" w:hAnsi="宋体" w:eastAsia="宋体" w:cs="宋体"/>
          <w:color w:val="000000"/>
          <w:sz w:val="24"/>
          <w:szCs w:val="24"/>
          <w:highlight w:val="none"/>
        </w:rPr>
        <w:t>。</w:t>
      </w:r>
    </w:p>
    <w:p w14:paraId="3ACC0CFB">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12.2投标货币。投标文件中的单价和总价无特殊规定的采用人民币报价，以元为单位标注。招标文件中另有规定的按规定执行。</w:t>
      </w:r>
    </w:p>
    <w:p w14:paraId="4C7339A7">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bookmarkStart w:id="101" w:name="_Hlt26668983"/>
      <w:bookmarkStart w:id="102" w:name="_Hlt26670403"/>
      <w:bookmarkStart w:id="103" w:name="_Hlt26954848"/>
      <w:bookmarkStart w:id="104" w:name="_Hlt26954731"/>
      <w:bookmarkStart w:id="105" w:name="_Hlt26670425"/>
      <w:bookmarkStart w:id="106" w:name="_Hlt26670482"/>
      <w:bookmarkStart w:id="107" w:name="_Hlt26954846"/>
      <w:bookmarkStart w:id="108" w:name="_Hlt26670486"/>
      <w:bookmarkStart w:id="109" w:name="_Hlt26954842"/>
      <w:bookmarkStart w:id="110" w:name="_Hlt26954844"/>
      <w:r>
        <w:rPr>
          <w:rFonts w:hint="eastAsia" w:ascii="宋体" w:hAnsi="宋体" w:eastAsia="宋体" w:cs="宋体"/>
          <w:color w:val="000000"/>
          <w:sz w:val="24"/>
          <w:szCs w:val="24"/>
          <w:highlight w:val="none"/>
        </w:rPr>
        <w:t>13、技术要求响应及偏离表、商务要求响应及偏离表</w:t>
      </w:r>
    </w:p>
    <w:p w14:paraId="677AC19F">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13.1投标人需对招标文件中的技术要求与商务要求逐项作出响应或偏离，并说明原因。</w:t>
      </w:r>
    </w:p>
    <w:p w14:paraId="5D2F8584">
      <w:pPr>
        <w:pStyle w:val="34"/>
        <w:pageBreakBefore w:val="0"/>
        <w:widowControl w:val="0"/>
        <w:tabs>
          <w:tab w:val="left" w:pos="1036"/>
        </w:tabs>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13.2投标人可在投标文件中提供认为需要的其他技术文件或说明。</w:t>
      </w:r>
    </w:p>
    <w:p w14:paraId="1ED0139C">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bookmarkStart w:id="111" w:name="_Toc14577359"/>
      <w:bookmarkStart w:id="112" w:name="_Toc49090510"/>
      <w:r>
        <w:rPr>
          <w:rFonts w:hint="eastAsia" w:ascii="宋体" w:hAnsi="宋体" w:eastAsia="宋体" w:cs="宋体"/>
          <w:color w:val="000000"/>
          <w:sz w:val="24"/>
          <w:szCs w:val="24"/>
          <w:highlight w:val="none"/>
        </w:rPr>
        <w:t>14、投标函和开标一览表</w:t>
      </w:r>
      <w:bookmarkEnd w:id="111"/>
      <w:bookmarkEnd w:id="112"/>
    </w:p>
    <w:p w14:paraId="0FE6A62D">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14.1投标人应按照招标文件中提供的格式完整、正确填写投标函、开标一览表。</w:t>
      </w:r>
    </w:p>
    <w:p w14:paraId="13FEA666">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w:t>
      </w:r>
    </w:p>
    <w:p w14:paraId="6E710CE8">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bookmarkStart w:id="113" w:name="_Toc14577360"/>
      <w:bookmarkStart w:id="114" w:name="_Toc49090511"/>
      <w:bookmarkStart w:id="115" w:name="_Hlt26954850"/>
      <w:bookmarkStart w:id="116" w:name="_Hlt26954734"/>
      <w:bookmarkStart w:id="117" w:name="_Hlt26670489"/>
      <w:r>
        <w:rPr>
          <w:rFonts w:hint="eastAsia" w:ascii="宋体" w:hAnsi="宋体" w:eastAsia="宋体" w:cs="宋体"/>
          <w:color w:val="000000"/>
          <w:sz w:val="24"/>
          <w:szCs w:val="24"/>
          <w:highlight w:val="none"/>
        </w:rPr>
        <w:t>15、投标有效期</w:t>
      </w:r>
      <w:bookmarkEnd w:id="113"/>
      <w:bookmarkEnd w:id="114"/>
    </w:p>
    <w:p w14:paraId="3DF8E1E5">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15.1投标有效期为采购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000000"/>
          <w:sz w:val="24"/>
          <w:szCs w:val="24"/>
          <w:highlight w:val="none"/>
        </w:rPr>
        <w:t>。投标有效期比规定短的将被视为未实质性响应招标文件而予以拒绝。</w:t>
      </w:r>
    </w:p>
    <w:p w14:paraId="44CCE4E5">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16、投标有效期的延长</w:t>
      </w:r>
    </w:p>
    <w:p w14:paraId="61D837C3">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16.1在特殊情况下，采购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的这一要求而放弃投标。同意延长投标有效期的投标人既不能要求也不允许修改其投标文件，同时受投标有效期约束的所有权利与义务均延长至新的有效期。</w:t>
      </w:r>
    </w:p>
    <w:p w14:paraId="18AE753C">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rFonts w:hint="eastAsia" w:ascii="宋体" w:hAnsi="宋体" w:eastAsia="宋体" w:cs="宋体"/>
          <w:sz w:val="24"/>
          <w:szCs w:val="24"/>
          <w:highlight w:val="none"/>
        </w:rPr>
      </w:pPr>
      <w:bookmarkStart w:id="118" w:name="_Toc513029224"/>
      <w:bookmarkStart w:id="119" w:name="_Toc16938540"/>
      <w:bookmarkStart w:id="120" w:name="_Toc120614217"/>
      <w:bookmarkStart w:id="121" w:name="_Toc20823296"/>
      <w:bookmarkStart w:id="122" w:name="_Hlt26954852"/>
      <w:bookmarkStart w:id="123" w:name="_Hlt26954739"/>
      <w:r>
        <w:rPr>
          <w:rFonts w:hint="eastAsia" w:ascii="宋体" w:hAnsi="宋体" w:eastAsia="宋体" w:cs="宋体"/>
          <w:b/>
          <w:color w:val="000000"/>
          <w:sz w:val="24"/>
          <w:szCs w:val="24"/>
          <w:highlight w:val="none"/>
        </w:rPr>
        <w:t>四、投标文件的递交</w:t>
      </w:r>
      <w:bookmarkEnd w:id="118"/>
      <w:bookmarkEnd w:id="119"/>
      <w:bookmarkEnd w:id="120"/>
      <w:bookmarkEnd w:id="121"/>
    </w:p>
    <w:p w14:paraId="41EE8A60">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rPr>
      </w:pPr>
      <w:bookmarkStart w:id="124" w:name="_Toc16938541"/>
      <w:bookmarkStart w:id="125" w:name="_Toc462564084"/>
      <w:bookmarkStart w:id="126" w:name="_Toc513029225"/>
      <w:bookmarkStart w:id="127" w:name="_Toc20823297"/>
      <w:r>
        <w:rPr>
          <w:rFonts w:hint="eastAsia" w:ascii="宋体" w:hAnsi="宋体" w:eastAsia="宋体" w:cs="宋体"/>
          <w:color w:val="000000"/>
          <w:sz w:val="24"/>
          <w:szCs w:val="24"/>
          <w:highlight w:val="none"/>
        </w:rPr>
        <w:t>17、投标文件</w:t>
      </w:r>
      <w:bookmarkEnd w:id="124"/>
      <w:bookmarkEnd w:id="125"/>
      <w:bookmarkEnd w:id="126"/>
      <w:bookmarkEnd w:id="127"/>
      <w:r>
        <w:rPr>
          <w:rFonts w:hint="eastAsia" w:ascii="宋体" w:hAnsi="宋体" w:eastAsia="宋体" w:cs="宋体"/>
          <w:color w:val="000000"/>
          <w:sz w:val="24"/>
          <w:szCs w:val="24"/>
          <w:highlight w:val="none"/>
        </w:rPr>
        <w:t>的递交</w:t>
      </w:r>
    </w:p>
    <w:p w14:paraId="11A34252">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17.1 电子投标文件的递交</w:t>
      </w:r>
    </w:p>
    <w:p w14:paraId="166862D2">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投标人应当按照《操作手册》规定，在投标截止时间前制作并上传电子投标文件。</w:t>
      </w:r>
      <w:bookmarkStart w:id="128" w:name="_Toc16938542"/>
      <w:bookmarkEnd w:id="128"/>
      <w:bookmarkStart w:id="129" w:name="_Toc20823298"/>
      <w:bookmarkEnd w:id="129"/>
      <w:bookmarkStart w:id="130" w:name="_Toc513029226"/>
    </w:p>
    <w:p w14:paraId="089A6BE1">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18、投标截止时间</w:t>
      </w:r>
    </w:p>
    <w:p w14:paraId="141E15EA">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18.1投标人上传电子投标文件的时间不得迟于招标公告中规定的投标截止时间。</w:t>
      </w:r>
    </w:p>
    <w:p w14:paraId="0342EA32">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投标人应充分考虑到网络环境、网络带宽等风险因素，如因投标人自身原因造成的电子投标文件上传不成功的按照本招标文件第二章第26.1.2条 规定做无效投标处理。</w:t>
      </w:r>
    </w:p>
    <w:p w14:paraId="79FDA7D0">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18.2采购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可以按照规定，通过修改招标文件酌情延长投标截止时间，在此情况下，投标人的所有权利和义务以及投标人受制的截止时间均应以延长后新的截止时间为准。</w:t>
      </w:r>
    </w:p>
    <w:p w14:paraId="178E6AAA">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bookmarkStart w:id="131" w:name="_Toc513029227"/>
      <w:bookmarkStart w:id="132" w:name="_Toc20823299"/>
      <w:bookmarkStart w:id="133" w:name="_Toc16938543"/>
      <w:r>
        <w:rPr>
          <w:rFonts w:hint="eastAsia" w:ascii="宋体" w:hAnsi="宋体" w:eastAsia="宋体" w:cs="宋体"/>
          <w:color w:val="000000"/>
          <w:sz w:val="24"/>
          <w:szCs w:val="24"/>
          <w:highlight w:val="none"/>
        </w:rPr>
        <w:t>19、投标文件</w:t>
      </w:r>
      <w:bookmarkEnd w:id="131"/>
      <w:bookmarkEnd w:id="132"/>
      <w:bookmarkEnd w:id="133"/>
      <w:r>
        <w:rPr>
          <w:rFonts w:hint="eastAsia" w:ascii="宋体" w:hAnsi="宋体" w:eastAsia="宋体" w:cs="宋体"/>
          <w:color w:val="000000"/>
          <w:sz w:val="24"/>
          <w:szCs w:val="24"/>
          <w:highlight w:val="none"/>
        </w:rPr>
        <w:t>的拒收</w:t>
      </w:r>
    </w:p>
    <w:p w14:paraId="0838E6A5">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19.1采购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拒绝接收在其规定的投标截止时间后上传的任何投标文件。</w:t>
      </w:r>
    </w:p>
    <w:p w14:paraId="6A849BE5">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bookmarkStart w:id="134" w:name="_Toc513029228"/>
      <w:bookmarkStart w:id="135" w:name="_Toc16938544"/>
      <w:bookmarkStart w:id="136" w:name="_Toc20823300"/>
      <w:r>
        <w:rPr>
          <w:rFonts w:hint="eastAsia" w:ascii="宋体" w:hAnsi="宋体" w:eastAsia="宋体" w:cs="宋体"/>
          <w:color w:val="000000"/>
          <w:sz w:val="24"/>
          <w:szCs w:val="24"/>
          <w:highlight w:val="none"/>
        </w:rPr>
        <w:t>20、投标文件的撤回和修改</w:t>
      </w:r>
      <w:bookmarkEnd w:id="134"/>
      <w:bookmarkEnd w:id="135"/>
      <w:bookmarkEnd w:id="136"/>
    </w:p>
    <w:p w14:paraId="65F77361">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20.1投标文件的撤回</w:t>
      </w:r>
    </w:p>
    <w:p w14:paraId="76D1803A">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.1.1电子投标文件的撤回</w:t>
      </w:r>
    </w:p>
    <w:p w14:paraId="177767A3">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投标人可在投标截止时间前，撤回其电子投标文件，具体操作方法见《操作手册》。</w:t>
      </w:r>
    </w:p>
    <w:p w14:paraId="4BF97C6C">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.1.2投标人撤回电子投标文件，则认为其不再参与本项目投标活动。</w:t>
      </w:r>
    </w:p>
    <w:p w14:paraId="3352ACE8">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 投标文件的修改</w:t>
      </w:r>
    </w:p>
    <w:p w14:paraId="16BCD170">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20.2.1投标人可在投标截止时间前，对其电子投标文件进行修改，具体操作方法见《操作手册》。</w:t>
      </w:r>
    </w:p>
    <w:p w14:paraId="101638A0">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20.2.2在投标截止时间之后，投标人不得对其电子投标文件作任何修改。</w:t>
      </w:r>
    </w:p>
    <w:p w14:paraId="01D6C5CB">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20.3在投标截止时间至招标文件中规定的投标有效期满之间的这段时间内，投标人不得撤回其投标。</w:t>
      </w:r>
    </w:p>
    <w:p w14:paraId="24FD8251">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rFonts w:hint="eastAsia" w:ascii="宋体" w:hAnsi="宋体" w:eastAsia="宋体" w:cs="宋体"/>
          <w:sz w:val="24"/>
          <w:szCs w:val="24"/>
          <w:highlight w:val="none"/>
        </w:rPr>
      </w:pPr>
      <w:bookmarkStart w:id="137" w:name="_Toc16938545"/>
      <w:bookmarkStart w:id="138" w:name="_Toc513029229"/>
      <w:bookmarkStart w:id="139" w:name="_Toc120614218"/>
      <w:bookmarkStart w:id="140" w:name="_Toc20823301"/>
      <w:r>
        <w:rPr>
          <w:rFonts w:hint="eastAsia" w:ascii="宋体" w:hAnsi="宋体" w:eastAsia="宋体" w:cs="宋体"/>
          <w:b/>
          <w:color w:val="000000"/>
          <w:sz w:val="24"/>
          <w:szCs w:val="24"/>
          <w:highlight w:val="none"/>
        </w:rPr>
        <w:t>五、开标与评标</w:t>
      </w:r>
      <w:bookmarkEnd w:id="137"/>
      <w:bookmarkEnd w:id="138"/>
      <w:bookmarkEnd w:id="139"/>
      <w:bookmarkEnd w:id="140"/>
    </w:p>
    <w:p w14:paraId="26FBA719">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bookmarkStart w:id="141" w:name="_Toc16938546"/>
      <w:bookmarkStart w:id="142" w:name="_Toc20823302"/>
      <w:bookmarkStart w:id="143" w:name="_Toc513029230"/>
      <w:r>
        <w:rPr>
          <w:rFonts w:hint="eastAsia" w:ascii="宋体" w:hAnsi="宋体" w:eastAsia="宋体" w:cs="宋体"/>
          <w:color w:val="auto"/>
          <w:sz w:val="24"/>
          <w:szCs w:val="24"/>
          <w:highlight w:val="none"/>
        </w:rPr>
        <w:t>21、开标</w:t>
      </w:r>
      <w:bookmarkEnd w:id="141"/>
      <w:bookmarkEnd w:id="142"/>
      <w:bookmarkEnd w:id="143"/>
    </w:p>
    <w:p w14:paraId="150A963E">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14:paraId="1637B820">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21.2开标仪式由采购人或代理机构组织。苏采云系统将自动对项目进行开标，并宣布各投标人名称和投标价格。</w:t>
      </w:r>
    </w:p>
    <w:p w14:paraId="0CBD1EF4">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21.3投标人在开标过程中涉及到的投标文件解密、开标结果确认等工作，应按照《操作手册》规定执行。</w:t>
      </w:r>
    </w:p>
    <w:p w14:paraId="75EB7933">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14:paraId="70728E87">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bookmarkStart w:id="144" w:name="_Toc20823303"/>
      <w:bookmarkStart w:id="145" w:name="_Toc513029231"/>
      <w:bookmarkStart w:id="146" w:name="_Toc16938547"/>
      <w:r>
        <w:rPr>
          <w:rFonts w:hint="eastAsia" w:ascii="宋体" w:hAnsi="宋体" w:eastAsia="宋体" w:cs="宋体"/>
          <w:color w:val="auto"/>
          <w:sz w:val="24"/>
          <w:szCs w:val="24"/>
          <w:highlight w:val="none"/>
        </w:rPr>
        <w:t>22、评标委员会</w:t>
      </w:r>
      <w:bookmarkEnd w:id="144"/>
      <w:bookmarkEnd w:id="145"/>
      <w:bookmarkEnd w:id="146"/>
    </w:p>
    <w:p w14:paraId="24AD1C47">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22.1开标后，采购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将立即组织评标委员会（以下简称评委会）进行评标。</w:t>
      </w:r>
    </w:p>
    <w:p w14:paraId="16215689">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22.2评委会由采购人代表和有关技术、经济等方面的专家组成，且人员构成符合政府采购有关规定。</w:t>
      </w:r>
    </w:p>
    <w:p w14:paraId="7BD19D62">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22.3评委会独立工作，负责评审所有投标文件并确定中标</w:t>
      </w:r>
      <w:r>
        <w:rPr>
          <w:rFonts w:hint="eastAsia" w:ascii="宋体" w:hAnsi="宋体" w:eastAsia="宋体" w:cs="宋体"/>
          <w:color w:val="000000"/>
          <w:sz w:val="24"/>
          <w:szCs w:val="24"/>
          <w:highlight w:val="none"/>
          <w:lang w:eastAsia="zh-CN"/>
        </w:rPr>
        <w:t>候选人</w:t>
      </w:r>
      <w:r>
        <w:rPr>
          <w:rFonts w:hint="eastAsia" w:ascii="宋体" w:hAnsi="宋体" w:eastAsia="宋体" w:cs="宋体"/>
          <w:color w:val="000000"/>
          <w:sz w:val="24"/>
          <w:szCs w:val="24"/>
          <w:highlight w:val="none"/>
        </w:rPr>
        <w:t>。</w:t>
      </w:r>
    </w:p>
    <w:p w14:paraId="12EC1A1D">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23、评标过程的保密与公正</w:t>
      </w:r>
    </w:p>
    <w:p w14:paraId="7365425A">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均不得向投标人或与评标无关的其他人员透露。</w:t>
      </w:r>
    </w:p>
    <w:p w14:paraId="2E1053C8">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23.2在评标过程中，投标人不得以任何行为影响评标过程，否则其投标文件将被作为无效投标文件。</w:t>
      </w:r>
    </w:p>
    <w:p w14:paraId="62A7DB68">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23.</w:t>
      </w:r>
      <w:r>
        <w:rPr>
          <w:rFonts w:hint="eastAsia" w:ascii="宋体" w:hAnsi="宋体" w:eastAsia="宋体" w:cs="宋体"/>
          <w:color w:val="auto"/>
          <w:sz w:val="24"/>
          <w:szCs w:val="24"/>
          <w:highlight w:val="none"/>
        </w:rPr>
        <w:t>3采购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3B3ED77F">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23.4采用综合评分法的项目，未中标的</w:t>
      </w:r>
      <w:r>
        <w:rPr>
          <w:rFonts w:hint="eastAsia" w:ascii="宋体" w:hAnsi="宋体" w:eastAsia="宋体" w:cs="宋体"/>
          <w:color w:val="000000"/>
          <w:sz w:val="24"/>
          <w:szCs w:val="24"/>
          <w:highlight w:val="none"/>
        </w:rPr>
        <w:t>投标人可于中标结果公告期限届满之日起通过苏采云系统查看自己的评审得分及排序情况。</w:t>
      </w:r>
    </w:p>
    <w:p w14:paraId="593C72E3">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bookmarkStart w:id="147" w:name="_Toc513029232"/>
      <w:bookmarkStart w:id="148" w:name="_Toc16938548"/>
      <w:bookmarkStart w:id="149" w:name="_Toc20823304"/>
      <w:r>
        <w:rPr>
          <w:rFonts w:hint="eastAsia" w:ascii="宋体" w:hAnsi="宋体" w:eastAsia="宋体" w:cs="宋体"/>
          <w:color w:val="000000"/>
          <w:sz w:val="24"/>
          <w:szCs w:val="24"/>
          <w:highlight w:val="none"/>
        </w:rPr>
        <w:t>24、投标文件的澄清</w:t>
      </w:r>
      <w:bookmarkEnd w:id="147"/>
      <w:bookmarkEnd w:id="148"/>
      <w:bookmarkEnd w:id="149"/>
    </w:p>
    <w:p w14:paraId="1757920C">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24.1评标期间，评委会对投标文件中含义不明确、同类问题表述不一致或者有明显文字和计算错误的内容，有权要求投标人作出必要的澄清、说明或者补正。</w:t>
      </w:r>
    </w:p>
    <w:p w14:paraId="46B53D7B">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投标人的澄清、说明或者补正不得超出投标文件的范围或者改变投标文件的实质性内容。</w:t>
      </w:r>
    </w:p>
    <w:p w14:paraId="02B33F2B">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164AC5C9">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投标文件的补充部分，具体操作方式见《操作手册》。</w:t>
      </w:r>
    </w:p>
    <w:p w14:paraId="3F91782D">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24.3接到评委会澄清、说明和补正要求的投标人如未按规定</w:t>
      </w:r>
      <w:r>
        <w:rPr>
          <w:rFonts w:hint="eastAsia" w:ascii="宋体" w:hAnsi="宋体" w:eastAsia="宋体" w:cs="宋体"/>
          <w:color w:val="000000"/>
          <w:sz w:val="24"/>
          <w:szCs w:val="24"/>
          <w:highlight w:val="none"/>
          <w:lang w:eastAsia="zh-CN"/>
        </w:rPr>
        <w:t>作出</w:t>
      </w:r>
      <w:r>
        <w:rPr>
          <w:rFonts w:hint="eastAsia" w:ascii="宋体" w:hAnsi="宋体" w:eastAsia="宋体" w:cs="宋体"/>
          <w:color w:val="000000"/>
          <w:sz w:val="24"/>
          <w:szCs w:val="24"/>
          <w:highlight w:val="none"/>
        </w:rPr>
        <w:t>澄清、说明和补正，其风险由投标人自行承担。</w:t>
      </w:r>
    </w:p>
    <w:p w14:paraId="2B2C8E36">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bookmarkStart w:id="150" w:name="_Toc513029233"/>
      <w:bookmarkStart w:id="151" w:name="_Toc16938549"/>
      <w:bookmarkStart w:id="152" w:name="_Toc20823305"/>
      <w:r>
        <w:rPr>
          <w:rFonts w:hint="eastAsia" w:ascii="宋体" w:hAnsi="宋体" w:eastAsia="宋体" w:cs="宋体"/>
          <w:color w:val="000000"/>
          <w:sz w:val="24"/>
          <w:szCs w:val="24"/>
          <w:highlight w:val="none"/>
        </w:rPr>
        <w:t>25、对投标文件的初审</w:t>
      </w:r>
      <w:bookmarkEnd w:id="150"/>
      <w:bookmarkEnd w:id="151"/>
      <w:bookmarkEnd w:id="152"/>
    </w:p>
    <w:p w14:paraId="52E322F0">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25.1投标文件初审分为资格审查和符合性审查。</w:t>
      </w:r>
    </w:p>
    <w:p w14:paraId="5A3AA1DB">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25.1.1资格审查：依据法律法规和招标文件的规定，由采购人对投标文件中的资格证明文件进行审查。资格审查的结论，采购人以书面形式向评委会进行反馈。</w:t>
      </w:r>
    </w:p>
    <w:p w14:paraId="1948FE9C">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采购人在进行资格性审查的同时，将在“信用中国”网站（www.creditchina.gov.cn）查询投标人的信用记录，以确定投标人是否具备投标资格,查询结果留存并归档。</w:t>
      </w:r>
    </w:p>
    <w:p w14:paraId="25251B1D">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C2B5F36">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25.1.2符合性审查：依据招标文件的规定，由评委会从投标文件的有效性、完整性和对招标文件的响应程度进行审查，以确定是否对招标文件的实质性要求作出响应。</w:t>
      </w:r>
    </w:p>
    <w:p w14:paraId="71F33D40">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25.1.3未通过资格审查或符合性审查的投标人，</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将在苏采云系统中告知未通过资格审查或符合性审查的原因，评标结束后，</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将不再告知</w:t>
      </w:r>
      <w:r>
        <w:rPr>
          <w:rFonts w:hint="eastAsia" w:ascii="宋体" w:hAnsi="宋体" w:eastAsia="宋体" w:cs="宋体"/>
          <w:color w:val="000000"/>
          <w:sz w:val="24"/>
          <w:szCs w:val="24"/>
          <w:highlight w:val="none"/>
        </w:rPr>
        <w:t>未通过资格审查和符合性审查的原因。</w:t>
      </w:r>
    </w:p>
    <w:p w14:paraId="23607A64">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610E3373">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30D43A0">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25.3如果投标文件实质上没有响应招标文件的要求，评委会将予以拒绝，投标人不得通过修改或撤销不合要求的偏离或保留而使其投标成为实质性响应的投标。</w:t>
      </w:r>
    </w:p>
    <w:p w14:paraId="3CA1A93C">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25.4评委会将对确定为实质性响应的投标进行进一步审核，确定其是否有计算上或累加上的算术错误，修正错误的原则如下：</w:t>
      </w:r>
    </w:p>
    <w:p w14:paraId="217EB941">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（1）投标文件中开标一览表内容与投标文件中相应内容不一致的，以开标一览表为准。</w:t>
      </w:r>
    </w:p>
    <w:p w14:paraId="0D39D0AE">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（2）大写金额和小写金额不一致的，以大写金额为准。</w:t>
      </w:r>
    </w:p>
    <w:p w14:paraId="6925F7A0">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（3）单价金额小数点或者百分比有明显错位的，以开标一览表的总价为准，并修改单价。</w:t>
      </w:r>
    </w:p>
    <w:p w14:paraId="38D63B26">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（4）总价金额与按单价汇总金额不一致的，以单价金额计算结果为准。</w:t>
      </w:r>
    </w:p>
    <w:p w14:paraId="5A695B02">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57099230">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797D654C">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4472C4" w:themeColor="accent5"/>
          <w:sz w:val="24"/>
          <w:szCs w:val="24"/>
          <w:highlight w:val="none"/>
          <w14:textFill>
            <w14:solidFill>
              <w14:schemeClr w14:val="accent5"/>
            </w14:solidFill>
          </w14:textFill>
        </w:rPr>
      </w:pPr>
      <w:bookmarkStart w:id="153" w:name="_Toc16938550"/>
      <w:bookmarkStart w:id="154" w:name="_Toc513029234"/>
      <w:bookmarkStart w:id="155" w:name="_Toc20823306"/>
      <w:r>
        <w:rPr>
          <w:rFonts w:hint="eastAsia" w:ascii="宋体" w:hAnsi="宋体" w:eastAsia="宋体" w:cs="宋体"/>
          <w:color w:val="4472C4" w:themeColor="accent5"/>
          <w:sz w:val="24"/>
          <w:szCs w:val="24"/>
          <w:highlight w:val="none"/>
          <w14:textFill>
            <w14:solidFill>
              <w14:schemeClr w14:val="accent5"/>
            </w14:solidFill>
          </w14:textFill>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0DCA9E58">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4472C4" w:themeColor="accent5"/>
          <w:sz w:val="24"/>
          <w:szCs w:val="24"/>
          <w:highlight w:val="none"/>
          <w14:textFill>
            <w14:solidFill>
              <w14:schemeClr w14:val="accent5"/>
            </w14:solidFill>
          </w14:textFill>
        </w:rPr>
      </w:pPr>
      <w:r>
        <w:rPr>
          <w:rFonts w:hint="eastAsia" w:ascii="宋体" w:hAnsi="宋体" w:eastAsia="宋体" w:cs="宋体"/>
          <w:color w:val="4472C4" w:themeColor="accent5"/>
          <w:sz w:val="24"/>
          <w:szCs w:val="24"/>
          <w:highlight w:val="none"/>
          <w14:textFill>
            <w14:solidFill>
              <w14:schemeClr w14:val="accent5"/>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78D1F5C9">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4472C4" w:themeColor="accent5"/>
          <w:sz w:val="24"/>
          <w:szCs w:val="24"/>
          <w:highlight w:val="none"/>
          <w14:textFill>
            <w14:solidFill>
              <w14:schemeClr w14:val="accent5"/>
            </w14:solidFill>
          </w14:textFill>
        </w:rPr>
      </w:pPr>
      <w:r>
        <w:rPr>
          <w:rFonts w:hint="eastAsia" w:ascii="宋体" w:hAnsi="宋体" w:eastAsia="宋体" w:cs="宋体"/>
          <w:color w:val="4472C4" w:themeColor="accent5"/>
          <w:sz w:val="24"/>
          <w:szCs w:val="24"/>
          <w:highlight w:val="none"/>
          <w14:textFill>
            <w14:solidFill>
              <w14:schemeClr w14:val="accent5"/>
            </w14:solidFill>
          </w14:textFill>
        </w:rPr>
        <w:t>非单一产品采购项目，招标文件中将载明其中的核心产品。多家投标人提供的核心产品品牌相同的，按前两款规定处理。</w:t>
      </w:r>
    </w:p>
    <w:p w14:paraId="1E33C136">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及评标委员会联系。</w:t>
      </w:r>
      <w:bookmarkEnd w:id="153"/>
      <w:bookmarkEnd w:id="154"/>
      <w:bookmarkEnd w:id="155"/>
    </w:p>
    <w:p w14:paraId="4A52B7C4">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14:paraId="06E36E93">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bookmarkStart w:id="156" w:name="_Toc20823307"/>
      <w:bookmarkStart w:id="157" w:name="_Toc16938551"/>
      <w:bookmarkStart w:id="158" w:name="_Toc513029235"/>
      <w:r>
        <w:rPr>
          <w:rFonts w:hint="eastAsia" w:ascii="宋体" w:hAnsi="宋体" w:eastAsia="宋体" w:cs="宋体"/>
          <w:color w:val="auto"/>
          <w:sz w:val="24"/>
          <w:szCs w:val="24"/>
          <w:highlight w:val="none"/>
        </w:rPr>
        <w:t>26.1无效投标条款</w:t>
      </w:r>
      <w:bookmarkEnd w:id="156"/>
      <w:bookmarkEnd w:id="157"/>
      <w:bookmarkEnd w:id="158"/>
    </w:p>
    <w:p w14:paraId="43940FF6">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26.1.1投标人在苏采云系统规定的时间内未成功解密电子投标文件的。</w:t>
      </w:r>
    </w:p>
    <w:p w14:paraId="74291522">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26.1.2投标人未按照招标文件要求上传电子投标文件的。</w:t>
      </w:r>
    </w:p>
    <w:p w14:paraId="5A34847A">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26.1.3同一投标人提交两个（含两个）以上不同的投标报价的。</w:t>
      </w:r>
    </w:p>
    <w:p w14:paraId="11E14807">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26.1.4投标人不具备招标文件中规定资格要求的。</w:t>
      </w:r>
    </w:p>
    <w:p w14:paraId="764AD69A">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26.1.5投标人的报价超过了采购预算或最高限价的。</w:t>
      </w:r>
    </w:p>
    <w:p w14:paraId="06B9EF8A">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26.1.6未通过符合性审查的。</w:t>
      </w:r>
    </w:p>
    <w:p w14:paraId="5E50527A">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26.1.7不符合招标文件中规定的实质性要求和条件的</w:t>
      </w:r>
      <w:r>
        <w:rPr>
          <w:rFonts w:hint="eastAsia" w:ascii="宋体" w:hAnsi="宋体" w:eastAsia="宋体" w:cs="宋体"/>
          <w:color w:val="000000"/>
          <w:sz w:val="24"/>
          <w:szCs w:val="24"/>
          <w:highlight w:val="none"/>
          <w:lang w:eastAsia="zh-CN"/>
        </w:rPr>
        <w:t>。</w:t>
      </w:r>
    </w:p>
    <w:p w14:paraId="5F019F7D">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EF68832">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26.1.9投标文件含有采购人不能接受的附加条件的。</w:t>
      </w:r>
    </w:p>
    <w:p w14:paraId="2A9B64BF">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26.1.10</w:t>
      </w:r>
      <w:r>
        <w:rPr>
          <w:rFonts w:hint="eastAsia" w:ascii="宋体" w:hAnsi="宋体" w:eastAsia="宋体" w:cs="宋体"/>
          <w:color w:val="auto"/>
          <w:sz w:val="24"/>
          <w:szCs w:val="24"/>
          <w:highlight w:val="none"/>
        </w:rPr>
        <w:t>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48656EAF">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（一）评审过程中出现下列情形之一的，评标委员会应当启动异常低价投标审查程序：</w:t>
      </w:r>
    </w:p>
    <w:p w14:paraId="37E158E9">
      <w:pPr>
        <w:pStyle w:val="34"/>
        <w:pageBreakBefore w:val="0"/>
        <w:widowControl w:val="0"/>
        <w:kinsoku/>
        <w:wordWrap/>
        <w:overflowPunct/>
        <w:topLinePunct w:val="0"/>
        <w:autoSpaceDE/>
        <w:autoSpaceDN/>
        <w:bidi w:val="0"/>
        <w:adjustRightInd/>
        <w:snapToGrid/>
        <w:spacing w:beforeAutospacing="0" w:afterAutospacing="0" w:line="42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5ACA5CA0">
      <w:pPr>
        <w:pStyle w:val="34"/>
        <w:pageBreakBefore w:val="0"/>
        <w:widowControl w:val="0"/>
        <w:kinsoku/>
        <w:wordWrap/>
        <w:overflowPunct/>
        <w:topLinePunct w:val="0"/>
        <w:autoSpaceDE/>
        <w:autoSpaceDN/>
        <w:bidi w:val="0"/>
        <w:adjustRightInd/>
        <w:snapToGrid/>
        <w:spacing w:beforeAutospacing="0" w:afterAutospacing="0" w:line="42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4479E31F">
      <w:pPr>
        <w:pStyle w:val="34"/>
        <w:pageBreakBefore w:val="0"/>
        <w:widowControl w:val="0"/>
        <w:kinsoku/>
        <w:wordWrap/>
        <w:overflowPunct/>
        <w:topLinePunct w:val="0"/>
        <w:autoSpaceDE/>
        <w:autoSpaceDN/>
        <w:bidi w:val="0"/>
        <w:adjustRightInd/>
        <w:snapToGrid/>
        <w:spacing w:beforeAutospacing="0" w:afterAutospacing="0" w:line="42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3.投标（响应）报价低于采购项目最高限价45%的，即投标（响应）报价&lt;采购项目最高限价×45%；</w:t>
      </w:r>
    </w:p>
    <w:p w14:paraId="73441865">
      <w:pPr>
        <w:pStyle w:val="34"/>
        <w:pageBreakBefore w:val="0"/>
        <w:widowControl w:val="0"/>
        <w:kinsoku/>
        <w:wordWrap/>
        <w:overflowPunct/>
        <w:topLinePunct w:val="0"/>
        <w:autoSpaceDE/>
        <w:autoSpaceDN/>
        <w:bidi w:val="0"/>
        <w:adjustRightInd/>
        <w:snapToGrid/>
        <w:spacing w:beforeAutospacing="0" w:afterAutospacing="0" w:line="42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4.评审委员会基于专业判断，认为供应商报价过低，有可能影响产品质量或者不能诚信履约的其他情形。</w:t>
      </w:r>
    </w:p>
    <w:p w14:paraId="4F106678">
      <w:pPr>
        <w:pStyle w:val="34"/>
        <w:pageBreakBefore w:val="0"/>
        <w:widowControl w:val="0"/>
        <w:kinsoku/>
        <w:wordWrap/>
        <w:overflowPunct/>
        <w:topLinePunct w:val="0"/>
        <w:autoSpaceDE/>
        <w:autoSpaceDN/>
        <w:bidi w:val="0"/>
        <w:adjustRightInd/>
        <w:snapToGrid/>
        <w:spacing w:beforeAutospacing="0" w:afterAutospacing="0" w:line="42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279C3BA">
      <w:pPr>
        <w:pStyle w:val="34"/>
        <w:pageBreakBefore w:val="0"/>
        <w:widowControl w:val="0"/>
        <w:kinsoku/>
        <w:wordWrap/>
        <w:overflowPunct/>
        <w:topLinePunct w:val="0"/>
        <w:autoSpaceDE/>
        <w:autoSpaceDN/>
        <w:bidi w:val="0"/>
        <w:adjustRightInd/>
        <w:snapToGrid/>
        <w:spacing w:beforeAutospacing="0" w:afterAutospacing="0" w:line="42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A0D638D">
      <w:pPr>
        <w:pStyle w:val="34"/>
        <w:pageBreakBefore w:val="0"/>
        <w:widowControl w:val="0"/>
        <w:kinsoku/>
        <w:wordWrap/>
        <w:overflowPunct/>
        <w:topLinePunct w:val="0"/>
        <w:autoSpaceDE/>
        <w:autoSpaceDN/>
        <w:bidi w:val="0"/>
        <w:adjustRightInd/>
        <w:snapToGrid/>
        <w:spacing w:beforeAutospacing="0" w:afterAutospacing="0" w:line="42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3F6FED3">
      <w:pPr>
        <w:pStyle w:val="34"/>
        <w:pageBreakBefore w:val="0"/>
        <w:widowControl w:val="0"/>
        <w:kinsoku/>
        <w:wordWrap/>
        <w:overflowPunct/>
        <w:topLinePunct w:val="0"/>
        <w:autoSpaceDE/>
        <w:autoSpaceDN/>
        <w:bidi w:val="0"/>
        <w:adjustRightInd/>
        <w:snapToGrid/>
        <w:spacing w:beforeAutospacing="0" w:afterAutospacing="0" w:line="42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6256426C">
      <w:pPr>
        <w:pStyle w:val="34"/>
        <w:pageBreakBefore w:val="0"/>
        <w:widowControl w:val="0"/>
        <w:kinsoku/>
        <w:wordWrap/>
        <w:overflowPunct/>
        <w:topLinePunct w:val="0"/>
        <w:autoSpaceDE/>
        <w:autoSpaceDN/>
        <w:bidi w:val="0"/>
        <w:adjustRightInd/>
        <w:snapToGrid/>
        <w:spacing w:beforeAutospacing="0" w:afterAutospacing="0" w:line="42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26.1.11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F01ED07">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投标文件未按照招标文件要求加盖CA电子公章的。</w:t>
      </w:r>
    </w:p>
    <w:p w14:paraId="79F69BF0">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其他法律、法规及本招标文件规定的属无效投标的情形。</w:t>
      </w:r>
    </w:p>
    <w:p w14:paraId="6392525D">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14:paraId="61C12085">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w:t>
      </w:r>
    </w:p>
    <w:p w14:paraId="60B5FD14">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26.2.2出现影响采购公正的违法、违规行为的。</w:t>
      </w:r>
    </w:p>
    <w:p w14:paraId="4C960228">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14:paraId="3C267CF8">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14:paraId="59633C50">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14:paraId="4916473D">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投标截止时间结束后参加投标的供应商不足三家的处理：</w:t>
      </w:r>
    </w:p>
    <w:p w14:paraId="0564FFC4">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26.3.1如出现投标截止时间结束后参加投标的供应商或者在评标期间对招标文件做出实质响应的供应商不足三家情况，按政府采购相关规定执行。</w:t>
      </w:r>
    </w:p>
    <w:p w14:paraId="3203B1EB">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rFonts w:hint="eastAsia" w:ascii="宋体" w:hAnsi="宋体" w:eastAsia="宋体" w:cs="宋体"/>
          <w:sz w:val="24"/>
          <w:szCs w:val="24"/>
          <w:highlight w:val="none"/>
        </w:rPr>
      </w:pPr>
      <w:bookmarkStart w:id="159" w:name="_Toc120614219"/>
      <w:r>
        <w:rPr>
          <w:rFonts w:hint="eastAsia" w:ascii="宋体" w:hAnsi="宋体" w:eastAsia="宋体" w:cs="宋体"/>
          <w:b/>
          <w:color w:val="000000"/>
          <w:sz w:val="24"/>
          <w:szCs w:val="24"/>
          <w:highlight w:val="none"/>
        </w:rPr>
        <w:t>六、定标</w:t>
      </w:r>
      <w:bookmarkEnd w:id="159"/>
    </w:p>
    <w:p w14:paraId="6614E6F1">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bookmarkStart w:id="160" w:name="_Toc20823310"/>
      <w:bookmarkStart w:id="161" w:name="_Toc16938554"/>
      <w:bookmarkStart w:id="162" w:name="_Toc513029238"/>
      <w:r>
        <w:rPr>
          <w:rFonts w:hint="eastAsia" w:ascii="宋体" w:hAnsi="宋体" w:eastAsia="宋体" w:cs="宋体"/>
          <w:color w:val="000000"/>
          <w:sz w:val="24"/>
          <w:szCs w:val="24"/>
          <w:highlight w:val="none"/>
        </w:rPr>
        <w:t>27、</w:t>
      </w:r>
      <w:bookmarkEnd w:id="160"/>
      <w:r>
        <w:rPr>
          <w:rFonts w:hint="eastAsia" w:ascii="宋体" w:hAnsi="宋体" w:eastAsia="宋体" w:cs="宋体"/>
          <w:color w:val="000000"/>
          <w:sz w:val="24"/>
          <w:szCs w:val="24"/>
          <w:highlight w:val="none"/>
        </w:rPr>
        <w:t>确定</w:t>
      </w:r>
      <w:bookmarkEnd w:id="161"/>
      <w:bookmarkEnd w:id="162"/>
      <w:r>
        <w:rPr>
          <w:rFonts w:hint="eastAsia" w:ascii="宋体" w:hAnsi="宋体" w:eastAsia="宋体" w:cs="宋体"/>
          <w:color w:val="000000"/>
          <w:sz w:val="24"/>
          <w:szCs w:val="24"/>
          <w:highlight w:val="none"/>
        </w:rPr>
        <w:t>中标单位</w:t>
      </w:r>
    </w:p>
    <w:p w14:paraId="475B3FD5">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p>
    <w:p w14:paraId="5C117D42">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27.2采购人应根据评委会推荐的中标候选人确定中标人。</w:t>
      </w:r>
    </w:p>
    <w:p w14:paraId="628A1EB1">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将在</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盐城市政府采购网”发布中标公告，公告期限为1个工作日。</w:t>
      </w:r>
    </w:p>
    <w:p w14:paraId="65D6A49F">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27.4若有充分证据证明，中标人出现下列情况之一的，一经查实，将被取消中标资格：</w:t>
      </w:r>
    </w:p>
    <w:p w14:paraId="056ACF74">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27.4.1提供虚假材料谋取中标的。</w:t>
      </w:r>
    </w:p>
    <w:p w14:paraId="666D5DE1">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27.4.2向采购人、</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行贿或者提供其他不正当利益的。</w:t>
      </w:r>
    </w:p>
    <w:p w14:paraId="1E23D0B1">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27.4.3属于本文件规定的无效条件，但在评标过程中又未被评委会发现的。</w:t>
      </w:r>
    </w:p>
    <w:p w14:paraId="0F5A5D02">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27.4.4与采购人或者其他供应商恶意串通的。</w:t>
      </w:r>
    </w:p>
    <w:p w14:paraId="77F0C601">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27.4.5采取不正当手段诋毁、排挤其他供应商的。</w:t>
      </w:r>
    </w:p>
    <w:p w14:paraId="7DA045D3">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bookmarkStart w:id="163" w:name="_Toc200451960"/>
      <w:r>
        <w:rPr>
          <w:rFonts w:hint="eastAsia" w:ascii="宋体" w:hAnsi="宋体" w:eastAsia="宋体" w:cs="宋体"/>
          <w:color w:val="000000"/>
          <w:sz w:val="24"/>
          <w:szCs w:val="24"/>
          <w:highlight w:val="none"/>
        </w:rPr>
        <w:t>27.5 有下列情形之一的，视为投标人串通投标，投标无效：</w:t>
      </w:r>
      <w:bookmarkEnd w:id="163"/>
    </w:p>
    <w:p w14:paraId="3621119B">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27.5.1不同投标人的投标文件由同一单位或者个人编制。</w:t>
      </w:r>
    </w:p>
    <w:p w14:paraId="0D84B952">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27.5.2不同投标人委托同一单位或者个人办理投标事宜。</w:t>
      </w:r>
    </w:p>
    <w:p w14:paraId="31A3AD0D">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27.5.3不同投标人的投标文件载明的项目管理成员或者联系人员为同一人。</w:t>
      </w:r>
    </w:p>
    <w:p w14:paraId="48302C27">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27.5.4不同投标人的投标文件异常一致或者投标报价呈规律性差异。</w:t>
      </w:r>
    </w:p>
    <w:p w14:paraId="7FF64E8C">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28、质疑处理</w:t>
      </w:r>
    </w:p>
    <w:p w14:paraId="181D2C55">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28.1提出质疑的供应商应当是参与所质疑项目采购活动的供应商。潜在供应商依法获取其可质疑的采购文件的，可以对采购文件提出质疑。</w:t>
      </w:r>
    </w:p>
    <w:p w14:paraId="528F2180">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28.4条款的规定向采购人提出质疑。上述应知其权益受到损害之日，是指：</w:t>
      </w:r>
    </w:p>
    <w:p w14:paraId="2AA96BDC">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28.2.1对可以质疑的采购文件提出质疑的，为收到采购文件之日或者采购文件公告期限届满之日；</w:t>
      </w:r>
    </w:p>
    <w:p w14:paraId="57439E83">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28.2.2对采购过程提出质疑的，为各采购程序环节结束之日；</w:t>
      </w:r>
    </w:p>
    <w:p w14:paraId="3F04EEEB">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28.2.3对中标或者成交结果提出质疑的，为中标或者成交结果公告期限届满之日。</w:t>
      </w:r>
    </w:p>
    <w:p w14:paraId="7468686F">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供应商应当在法定质疑期内一次性提出针对同一采购程序环节的质疑。供应商如在法定期限内对同一采购程序环节提出多次质疑的，采购人将只对供应商第一次质疑作出答复。</w:t>
      </w:r>
    </w:p>
    <w:p w14:paraId="15598123">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7C6FDEC0">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w:t>
      </w:r>
      <w:r>
        <w:rPr>
          <w:rFonts w:hint="eastAsia" w:ascii="宋体" w:hAnsi="宋体" w:eastAsia="宋体" w:cs="宋体"/>
          <w:color w:val="000000" w:themeColor="text1"/>
          <w:sz w:val="24"/>
          <w:szCs w:val="24"/>
          <w:highlight w:val="none"/>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供应商对除上述事项以外其他事项的询问、质疑请向采购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提出，由采购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负责答复。</w:t>
      </w:r>
    </w:p>
    <w:p w14:paraId="5FF1E408">
      <w:pPr>
        <w:pageBreakBefore w:val="0"/>
        <w:widowControl w:val="0"/>
        <w:tabs>
          <w:tab w:val="left" w:pos="1331"/>
        </w:tabs>
        <w:kinsoku/>
        <w:wordWrap/>
        <w:overflowPunct/>
        <w:topLinePunct w:val="0"/>
        <w:autoSpaceDE/>
        <w:autoSpaceDN/>
        <w:bidi w:val="0"/>
        <w:adjustRightInd/>
        <w:snapToGrid/>
        <w:spacing w:line="420" w:lineRule="exact"/>
        <w:ind w:left="0" w:firstLine="480" w:firstLineChars="20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采购人只接收以纸质原件形式送达的质疑,采购人不接受未填写快递运单的快件。</w:t>
      </w:r>
    </w:p>
    <w:p w14:paraId="60F61DC0">
      <w:pPr>
        <w:pageBreakBefore w:val="0"/>
        <w:widowControl w:val="0"/>
        <w:tabs>
          <w:tab w:val="left" w:pos="1331"/>
        </w:tabs>
        <w:kinsoku/>
        <w:wordWrap/>
        <w:overflowPunct/>
        <w:topLinePunct w:val="0"/>
        <w:autoSpaceDE/>
        <w:autoSpaceDN/>
        <w:bidi w:val="0"/>
        <w:adjustRightInd/>
        <w:snapToGrid/>
        <w:spacing w:line="420" w:lineRule="exact"/>
        <w:ind w:left="0" w:firstLine="480" w:firstLineChars="20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质疑受理部门：</w:t>
      </w:r>
      <w:r>
        <w:rPr>
          <w:rFonts w:hint="eastAsia" w:ascii="宋体" w:hAnsi="宋体" w:eastAsia="宋体" w:cs="宋体"/>
          <w:color w:val="000000"/>
          <w:sz w:val="24"/>
          <w:szCs w:val="24"/>
          <w:highlight w:val="none"/>
          <w:u w:val="single"/>
          <w:lang w:val="en-US" w:eastAsia="zh-CN" w:bidi="ar-SA"/>
        </w:rPr>
        <w:t xml:space="preserve">东台市公安局  </w:t>
      </w:r>
      <w:r>
        <w:rPr>
          <w:rFonts w:hint="eastAsia" w:ascii="宋体" w:hAnsi="宋体" w:eastAsia="宋体" w:cs="宋体"/>
          <w:color w:val="000000"/>
          <w:sz w:val="24"/>
          <w:szCs w:val="24"/>
          <w:highlight w:val="none"/>
          <w:lang w:val="en-US" w:eastAsia="zh-CN" w:bidi="ar-SA"/>
        </w:rPr>
        <w:t xml:space="preserve">         </w:t>
      </w:r>
    </w:p>
    <w:p w14:paraId="077F8BB8">
      <w:pPr>
        <w:pageBreakBefore w:val="0"/>
        <w:widowControl w:val="0"/>
        <w:tabs>
          <w:tab w:val="left" w:pos="1331"/>
        </w:tabs>
        <w:kinsoku/>
        <w:wordWrap/>
        <w:overflowPunct/>
        <w:topLinePunct w:val="0"/>
        <w:autoSpaceDE/>
        <w:autoSpaceDN/>
        <w:bidi w:val="0"/>
        <w:adjustRightInd/>
        <w:snapToGrid/>
        <w:spacing w:line="420" w:lineRule="exact"/>
        <w:ind w:left="0" w:firstLine="480" w:firstLineChars="20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联系地址：</w:t>
      </w:r>
      <w:r>
        <w:rPr>
          <w:rFonts w:hint="eastAsia" w:ascii="宋体" w:hAnsi="宋体" w:eastAsia="宋体" w:cs="宋体"/>
          <w:color w:val="000000"/>
          <w:sz w:val="24"/>
          <w:szCs w:val="24"/>
          <w:highlight w:val="none"/>
          <w:u w:val="single"/>
          <w:lang w:val="en-US" w:eastAsia="zh-CN" w:bidi="ar-SA"/>
        </w:rPr>
        <w:t xml:space="preserve">盐城市东台市广场路1号  </w:t>
      </w:r>
      <w:r>
        <w:rPr>
          <w:rFonts w:hint="eastAsia" w:ascii="宋体" w:hAnsi="宋体" w:eastAsia="宋体" w:cs="宋体"/>
          <w:color w:val="000000"/>
          <w:sz w:val="24"/>
          <w:szCs w:val="24"/>
          <w:highlight w:val="none"/>
          <w:lang w:val="en-US" w:eastAsia="zh-CN" w:bidi="ar-SA"/>
        </w:rPr>
        <w:t xml:space="preserve">   </w:t>
      </w:r>
    </w:p>
    <w:p w14:paraId="4C769A3D">
      <w:pPr>
        <w:pageBreakBefore w:val="0"/>
        <w:widowControl w:val="0"/>
        <w:tabs>
          <w:tab w:val="left" w:pos="1331"/>
        </w:tabs>
        <w:kinsoku/>
        <w:wordWrap/>
        <w:overflowPunct/>
        <w:topLinePunct w:val="0"/>
        <w:autoSpaceDE/>
        <w:autoSpaceDN/>
        <w:bidi w:val="0"/>
        <w:adjustRightInd/>
        <w:snapToGrid/>
        <w:spacing w:line="420" w:lineRule="exact"/>
        <w:ind w:left="0" w:firstLine="480" w:firstLineChars="20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联系电话：</w:t>
      </w:r>
      <w:r>
        <w:rPr>
          <w:rFonts w:hint="eastAsia" w:ascii="宋体" w:hAnsi="宋体" w:eastAsia="宋体" w:cs="宋体"/>
          <w:color w:val="000000"/>
          <w:sz w:val="24"/>
          <w:szCs w:val="24"/>
          <w:highlight w:val="none"/>
          <w:u w:val="single"/>
          <w:lang w:val="en-US" w:eastAsia="zh-CN" w:bidi="ar-SA"/>
        </w:rPr>
        <w:t xml:space="preserve">宗先生（0515-85298316） </w:t>
      </w:r>
      <w:r>
        <w:rPr>
          <w:rFonts w:hint="eastAsia" w:ascii="宋体" w:hAnsi="宋体" w:eastAsia="宋体" w:cs="宋体"/>
          <w:color w:val="000000"/>
          <w:sz w:val="24"/>
          <w:szCs w:val="24"/>
          <w:highlight w:val="none"/>
          <w:lang w:val="en-US" w:eastAsia="zh-CN" w:bidi="ar-SA"/>
        </w:rPr>
        <w:t xml:space="preserve"> </w:t>
      </w:r>
    </w:p>
    <w:p w14:paraId="5634E4EF">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 以下情形的质疑不予受理</w:t>
      </w:r>
    </w:p>
    <w:p w14:paraId="73F01EF4">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28.5.1内容不符合《政府采购质疑和投诉办法》第十二条规定的质疑。</w:t>
      </w:r>
    </w:p>
    <w:p w14:paraId="3F3E417E">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28.5.2超出政府采购法定期限的质疑。</w:t>
      </w:r>
    </w:p>
    <w:p w14:paraId="584242AE">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28.5.3以传真、电子邮件等方式递交的非原件形式的质疑。</w:t>
      </w:r>
    </w:p>
    <w:p w14:paraId="76D4C05B">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28.5.4未参加投标活动的供应商或在投标活动中自身权益未受到损害的供应商所提出的质疑。</w:t>
      </w:r>
    </w:p>
    <w:p w14:paraId="083E9B01">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28.5.5供应商组成联合体参加投标，联合体中任何一方或多方未按要求签字、盖章、加盖公章的质疑。</w:t>
      </w:r>
    </w:p>
    <w:p w14:paraId="5812E3FC">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有权依据政府采购的有关规定，报请政府采购监管部门对该供应商进行相应的行政处罚和记录该供应商的失信信息。</w:t>
      </w:r>
    </w:p>
    <w:p w14:paraId="2FCF0D72">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29、中标通知书</w:t>
      </w:r>
    </w:p>
    <w:p w14:paraId="7AEFCB80">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29.l中标结果确定后，采购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将向中标人发</w:t>
      </w:r>
      <w:r>
        <w:rPr>
          <w:rFonts w:hint="eastAsia" w:ascii="宋体" w:hAnsi="宋体" w:eastAsia="宋体" w:cs="宋体"/>
          <w:color w:val="auto"/>
          <w:sz w:val="24"/>
          <w:szCs w:val="24"/>
          <w:highlight w:val="none"/>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A9A9175">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w:t>
      </w:r>
      <w:r>
        <w:rPr>
          <w:rFonts w:hint="eastAsia" w:ascii="宋体" w:hAnsi="宋体" w:eastAsia="宋体" w:cs="宋体"/>
          <w:color w:val="000000"/>
          <w:sz w:val="24"/>
          <w:szCs w:val="24"/>
          <w:highlight w:val="none"/>
        </w:rPr>
        <w:t>效力。中标通知书发出后，采购人改变中标结果的，或者中标人放弃中标项目的，应当依法承担法律责任。</w:t>
      </w:r>
    </w:p>
    <w:p w14:paraId="20B6FDC2">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2" w:firstLineChars="200"/>
        <w:jc w:val="both"/>
        <w:textAlignment w:val="auto"/>
        <w:rPr>
          <w:rFonts w:hint="eastAsia" w:ascii="宋体" w:hAnsi="宋体" w:eastAsia="宋体" w:cs="宋体"/>
          <w:sz w:val="24"/>
          <w:szCs w:val="24"/>
          <w:highlight w:val="none"/>
        </w:rPr>
      </w:pPr>
      <w:bookmarkStart w:id="164" w:name="_Toc120614220"/>
      <w:bookmarkStart w:id="165" w:name="_Toc20823308"/>
      <w:bookmarkStart w:id="166" w:name="_Toc16938552"/>
      <w:bookmarkStart w:id="167" w:name="_Toc513029236"/>
      <w:r>
        <w:rPr>
          <w:rFonts w:hint="eastAsia" w:ascii="宋体" w:hAnsi="宋体" w:eastAsia="宋体" w:cs="宋体"/>
          <w:b/>
          <w:color w:val="000000"/>
          <w:sz w:val="24"/>
          <w:szCs w:val="24"/>
          <w:highlight w:val="none"/>
        </w:rPr>
        <w:t>七、授予合同</w:t>
      </w:r>
      <w:bookmarkEnd w:id="164"/>
      <w:bookmarkEnd w:id="165"/>
      <w:bookmarkEnd w:id="166"/>
      <w:bookmarkEnd w:id="167"/>
    </w:p>
    <w:p w14:paraId="190F864F">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bookmarkStart w:id="168" w:name="_Toc513029237"/>
      <w:bookmarkStart w:id="169" w:name="_Toc16938553"/>
      <w:bookmarkStart w:id="170" w:name="_Toc20823309"/>
      <w:r>
        <w:rPr>
          <w:rFonts w:hint="eastAsia" w:ascii="宋体" w:hAnsi="宋体" w:eastAsia="宋体" w:cs="宋体"/>
          <w:color w:val="000000"/>
          <w:sz w:val="24"/>
          <w:szCs w:val="24"/>
          <w:highlight w:val="none"/>
        </w:rPr>
        <w:t>30.签订合同</w:t>
      </w:r>
      <w:bookmarkEnd w:id="168"/>
      <w:bookmarkEnd w:id="169"/>
      <w:bookmarkEnd w:id="170"/>
    </w:p>
    <w:p w14:paraId="0F71BEEE">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30.l中标人应当在中标通知书发出之日起三十日内，按照招标文件确定的事项与采购人签订政府采购合同。</w:t>
      </w:r>
    </w:p>
    <w:p w14:paraId="43366AB0">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30.2招标文件、中标人的投标文件及招标过程中有关澄清、承诺文件均应作为合同附件。</w:t>
      </w:r>
    </w:p>
    <w:p w14:paraId="7FF57B01">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30.3签订合同后，</w:t>
      </w:r>
      <w:r>
        <w:rPr>
          <w:rFonts w:hint="eastAsia" w:ascii="宋体" w:hAnsi="宋体" w:eastAsia="宋体" w:cs="宋体"/>
          <w:i/>
          <w:color w:val="000000"/>
          <w:sz w:val="24"/>
          <w:szCs w:val="24"/>
          <w:highlight w:val="none"/>
          <w:u w:val="single"/>
        </w:rPr>
        <w:t>中标人不得将合同标的进行转包</w:t>
      </w:r>
      <w:r>
        <w:rPr>
          <w:rFonts w:hint="eastAsia" w:ascii="宋体" w:hAnsi="宋体" w:eastAsia="宋体" w:cs="宋体"/>
          <w:color w:val="000000"/>
          <w:sz w:val="24"/>
          <w:szCs w:val="24"/>
          <w:highlight w:val="none"/>
        </w:rPr>
        <w:t>。未经采购人同意，中标人也不得采用分包的形式履行合同，否则采购人有权终止合同。转包或分包造成采购人损失的，中标人应承担相应赔偿责任。</w:t>
      </w:r>
    </w:p>
    <w:p w14:paraId="42456161">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w:t>
      </w:r>
      <w:r>
        <w:rPr>
          <w:rFonts w:hint="eastAsia" w:ascii="宋体" w:hAnsi="宋体" w:eastAsia="宋体" w:cs="宋体"/>
          <w:color w:val="000000"/>
          <w:sz w:val="24"/>
          <w:szCs w:val="24"/>
          <w:highlight w:val="none"/>
          <w:lang w:val="en-US" w:eastAsia="zh-CN"/>
        </w:rPr>
        <w:t>货物</w:t>
      </w:r>
      <w:r>
        <w:rPr>
          <w:rFonts w:hint="eastAsia" w:ascii="宋体" w:hAnsi="宋体" w:eastAsia="宋体" w:cs="宋体"/>
          <w:color w:val="000000"/>
          <w:sz w:val="24"/>
          <w:szCs w:val="24"/>
          <w:highlight w:val="none"/>
        </w:rPr>
        <w:t>（包含与货物相关的服务）的追加</w:t>
      </w:r>
    </w:p>
    <w:p w14:paraId="1FF3F84B">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31.1政府采购合同履行中，采购人需追加与合同标的相同的</w:t>
      </w:r>
      <w:r>
        <w:rPr>
          <w:rFonts w:hint="eastAsia" w:ascii="宋体" w:hAnsi="宋体" w:eastAsia="宋体" w:cs="宋体"/>
          <w:color w:val="000000"/>
          <w:sz w:val="24"/>
          <w:szCs w:val="24"/>
          <w:highlight w:val="none"/>
          <w:lang w:val="en-US" w:eastAsia="zh-CN"/>
        </w:rPr>
        <w:t>货物</w:t>
      </w:r>
      <w:r>
        <w:rPr>
          <w:rFonts w:hint="eastAsia" w:ascii="宋体" w:hAnsi="宋体" w:eastAsia="宋体" w:cs="宋体"/>
          <w:color w:val="000000"/>
          <w:sz w:val="24"/>
          <w:szCs w:val="24"/>
          <w:highlight w:val="none"/>
        </w:rPr>
        <w:t>（包含与货物相关的服务），在不改变合同其他条款的前提下，可以与中标人协商签订补充合同，但所有补充合同的采购金额不超过原合同金额10%。</w:t>
      </w:r>
    </w:p>
    <w:p w14:paraId="77682559">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32.政府采购政策功能落实</w:t>
      </w:r>
    </w:p>
    <w:p w14:paraId="070ED4A9">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32.1</w:t>
      </w:r>
      <w:r>
        <w:rPr>
          <w:rFonts w:hint="eastAsia" w:ascii="宋体" w:hAnsi="宋体" w:eastAsia="宋体" w:cs="宋体"/>
          <w:color w:val="000000"/>
          <w:sz w:val="24"/>
          <w:szCs w:val="24"/>
          <w:highlight w:val="none"/>
        </w:rPr>
        <w:t>政府采购</w:t>
      </w:r>
      <w:r>
        <w:rPr>
          <w:rFonts w:hint="eastAsia" w:ascii="宋体" w:hAnsi="宋体" w:eastAsia="宋体" w:cs="宋体"/>
          <w:color w:val="000000"/>
          <w:sz w:val="24"/>
          <w:szCs w:val="24"/>
          <w:highlight w:val="none"/>
          <w:lang w:eastAsia="zh-CN"/>
        </w:rPr>
        <w:t>线上合同信用融资</w:t>
      </w:r>
      <w:r>
        <w:rPr>
          <w:rFonts w:hint="eastAsia" w:ascii="宋体" w:hAnsi="宋体" w:eastAsia="宋体" w:cs="宋体"/>
          <w:color w:val="000000"/>
          <w:sz w:val="24"/>
          <w:szCs w:val="24"/>
          <w:highlight w:val="none"/>
        </w:rPr>
        <w:t>政策</w:t>
      </w:r>
    </w:p>
    <w:p w14:paraId="79E07608">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江苏省</w:t>
      </w:r>
      <w:r>
        <w:rPr>
          <w:rFonts w:hint="eastAsia" w:ascii="宋体" w:hAnsi="宋体" w:eastAsia="宋体" w:cs="宋体"/>
          <w:color w:val="000000"/>
          <w:sz w:val="24"/>
          <w:szCs w:val="24"/>
          <w:highlight w:val="none"/>
        </w:rPr>
        <w:t>政府采购网“政采贷”栏目）申请贷款，相关金融机构按照双方自愿的原则提供便捷、优惠的贷款服务；具体操作流程请参考苏采云系统中操作手册。 </w:t>
      </w:r>
    </w:p>
    <w:p w14:paraId="1196F1EC">
      <w:pPr>
        <w:pageBreakBefore w:val="0"/>
        <w:widowControl w:val="0"/>
        <w:tabs>
          <w:tab w:val="left" w:pos="1381"/>
        </w:tabs>
        <w:kinsoku/>
        <w:wordWrap/>
        <w:overflowPunct/>
        <w:topLinePunct w:val="0"/>
        <w:autoSpaceDE/>
        <w:autoSpaceDN/>
        <w:bidi w:val="0"/>
        <w:adjustRightInd/>
        <w:snapToGrid/>
        <w:spacing w:line="420" w:lineRule="exact"/>
        <w:ind w:left="0" w:firstLine="480" w:firstLineChars="200"/>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32.2进口产品</w:t>
      </w:r>
    </w:p>
    <w:p w14:paraId="269905E7">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进口产品</w:t>
      </w:r>
      <w:r>
        <w:rPr>
          <w:rFonts w:hint="eastAsia" w:ascii="宋体" w:hAnsi="宋体" w:eastAsia="宋体" w:cs="宋体"/>
          <w:color w:val="000000"/>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8D89F1F">
      <w:pPr>
        <w:pageBreakBefore w:val="0"/>
        <w:widowControl w:val="0"/>
        <w:tabs>
          <w:tab w:val="left" w:pos="1381"/>
        </w:tabs>
        <w:kinsoku/>
        <w:wordWrap/>
        <w:overflowPunct/>
        <w:topLinePunct w:val="0"/>
        <w:autoSpaceDE/>
        <w:autoSpaceDN/>
        <w:bidi w:val="0"/>
        <w:adjustRightInd/>
        <w:snapToGrid/>
        <w:spacing w:line="420" w:lineRule="exact"/>
        <w:ind w:left="0" w:firstLine="480" w:firstLineChars="200"/>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32.3中小企业、监狱企业及残疾人福利性单位</w:t>
      </w:r>
    </w:p>
    <w:p w14:paraId="4CD8640D">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32.3.1中小企业定义：</w:t>
      </w:r>
    </w:p>
    <w:p w14:paraId="03B2CC81">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5D20E9A">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32.3.2供应商提供的货物、工程或者服务符合下列情形的，享受中小企业扶持政策：</w:t>
      </w:r>
    </w:p>
    <w:p w14:paraId="668ABF17">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32.3.2.1在货物采购项目中，货物由中小企业制造，即货物由中小企业生产且使用该中小企业商号或者注册商标；</w:t>
      </w:r>
    </w:p>
    <w:p w14:paraId="42E86DD0">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32.3.2.2在工程采购项目中，工程由中小企业承建，即工程施工单位为中小企业；</w:t>
      </w:r>
    </w:p>
    <w:p w14:paraId="7B088167">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32.3.2.3在服务采购项目中，服务由中小企业承接，即提供服务的人员为中小企业依照《中华人民共和国劳动合同法》订立劳动合同的从业人员。</w:t>
      </w:r>
    </w:p>
    <w:p w14:paraId="50D2C39D">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32.3.3在货物采购项目中，供应商提供的货物既有中小企业制造货物，也有大型企业制造货物的，不享受中小企业扶持政策。</w:t>
      </w:r>
    </w:p>
    <w:p w14:paraId="27FBD7CE">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0D746ABD">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A282819">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32.3.6残疾人福利单位定义：享受政府采购支持政策的残疾人福利性单位应当同时满足以下条件：</w:t>
      </w:r>
    </w:p>
    <w:p w14:paraId="22E1944E">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32.3.6.1安置的残疾人占本单位在职职工人数的比例不低于25%（含25%），并且安置的残疾人人数不少于10人（含10人）；</w:t>
      </w:r>
    </w:p>
    <w:p w14:paraId="2A5A1F91">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32.3.6.2依法与安置的每位残疾人签订了一年以上（含一年）的劳动合同或服务协议；</w:t>
      </w:r>
    </w:p>
    <w:p w14:paraId="22CCC551">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32.3.6.3为安置的每位残疾人按月足额缴纳了基本养老保险、基本医疗保险、失业保险、工伤保险和生育保险等社会保险费；</w:t>
      </w:r>
    </w:p>
    <w:p w14:paraId="742A8BF3">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32.3.6.4通过银行等金融机构向安置的每位残疾人，按月支付了不低于单位所在区县适用的经省级人民政府批准的月最低工资标准的工资；</w:t>
      </w:r>
    </w:p>
    <w:p w14:paraId="1D92BFDD">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655917E7">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1223894">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000000"/>
          <w:sz w:val="24"/>
          <w:szCs w:val="24"/>
          <w:highlight w:val="none"/>
          <w:lang w:val="en-US" w:eastAsia="zh-CN"/>
        </w:rPr>
        <w:t>》。</w:t>
      </w:r>
    </w:p>
    <w:p w14:paraId="249B85C3">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32.3.8采购标的对应的中小企业划分标准所属行业见第四章《采购需求》。</w:t>
      </w:r>
    </w:p>
    <w:p w14:paraId="589D429A">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32.3.9小微企业价格评审优惠的政策：见第五章《评标方法和评标标准》。</w:t>
      </w:r>
    </w:p>
    <w:p w14:paraId="7BC2DF23">
      <w:pPr>
        <w:pStyle w:val="34"/>
        <w:keepNext/>
        <w:keepLines/>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32.4政府采购节能产品、环境标志产品</w:t>
      </w:r>
    </w:p>
    <w:p w14:paraId="693E03A0">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10A2153">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10EA29D">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32.5绿色包装</w:t>
      </w:r>
    </w:p>
    <w:p w14:paraId="59DD29C7">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7BFBEDBE">
      <w:pPr>
        <w:pageBreakBefore w:val="0"/>
        <w:widowControl w:val="0"/>
        <w:tabs>
          <w:tab w:val="left" w:pos="1381"/>
        </w:tabs>
        <w:kinsoku/>
        <w:wordWrap/>
        <w:overflowPunct/>
        <w:topLinePunct w:val="0"/>
        <w:autoSpaceDE/>
        <w:autoSpaceDN/>
        <w:bidi w:val="0"/>
        <w:adjustRightInd/>
        <w:snapToGrid/>
        <w:spacing w:line="420" w:lineRule="exact"/>
        <w:ind w:left="0" w:firstLine="480" w:firstLineChars="200"/>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32.6政府采购创新产品</w:t>
      </w:r>
    </w:p>
    <w:p w14:paraId="15AC8A0E">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采购人优先采购各级政府部门公开发布的有效期内的创新产品、创新服务、首台套、首购首用等《目录》的创新产品。</w:t>
      </w:r>
    </w:p>
    <w:p w14:paraId="01DB3782">
      <w:pPr>
        <w:pageBreakBefore w:val="0"/>
        <w:widowControl w:val="0"/>
        <w:tabs>
          <w:tab w:val="left" w:pos="1381"/>
        </w:tabs>
        <w:kinsoku/>
        <w:wordWrap/>
        <w:overflowPunct/>
        <w:topLinePunct w:val="0"/>
        <w:autoSpaceDE/>
        <w:autoSpaceDN/>
        <w:bidi w:val="0"/>
        <w:adjustRightInd/>
        <w:snapToGrid/>
        <w:spacing w:line="420" w:lineRule="exact"/>
        <w:ind w:left="0" w:firstLine="480" w:firstLineChars="200"/>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p>
    <w:p w14:paraId="1A81F1E7">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A0795E4">
      <w:pPr>
        <w:pageBreakBefore w:val="0"/>
        <w:widowControl w:val="0"/>
        <w:kinsoku/>
        <w:wordWrap/>
        <w:overflowPunct/>
        <w:topLinePunct w:val="0"/>
        <w:autoSpaceDE/>
        <w:autoSpaceDN/>
        <w:bidi w:val="0"/>
        <w:adjustRightInd/>
        <w:snapToGrid/>
        <w:spacing w:line="420" w:lineRule="exact"/>
        <w:ind w:left="0" w:firstLine="482" w:firstLineChars="200"/>
        <w:textAlignment w:val="auto"/>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pPr>
      <w:r>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t>32.8实施本国产品标准及相关政策</w:t>
      </w:r>
    </w:p>
    <w:p w14:paraId="61AD9F47">
      <w:pPr>
        <w:pageBreakBefore w:val="0"/>
        <w:widowControl w:val="0"/>
        <w:kinsoku/>
        <w:wordWrap/>
        <w:overflowPunct/>
        <w:topLinePunct w:val="0"/>
        <w:autoSpaceDE/>
        <w:autoSpaceDN/>
        <w:bidi w:val="0"/>
        <w:adjustRightInd/>
        <w:snapToGrid/>
        <w:spacing w:line="420" w:lineRule="exact"/>
        <w:ind w:left="0" w:firstLine="482" w:firstLineChars="200"/>
        <w:textAlignment w:val="auto"/>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pPr>
      <w:r>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t>1.本项目对采购本国产品给予政策支持，具体内容见招标文件“第五章 评标方法与评标标准”。</w:t>
      </w:r>
    </w:p>
    <w:p w14:paraId="22F61A12">
      <w:pPr>
        <w:pageBreakBefore w:val="0"/>
        <w:widowControl w:val="0"/>
        <w:kinsoku/>
        <w:wordWrap/>
        <w:overflowPunct/>
        <w:topLinePunct w:val="0"/>
        <w:autoSpaceDE/>
        <w:autoSpaceDN/>
        <w:bidi w:val="0"/>
        <w:adjustRightInd/>
        <w:snapToGrid/>
        <w:spacing w:line="420" w:lineRule="exact"/>
        <w:ind w:left="0" w:firstLine="482" w:firstLineChars="200"/>
        <w:textAlignment w:val="auto"/>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pPr>
      <w:r>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3AE3FD1">
      <w:pPr>
        <w:pageBreakBefore w:val="0"/>
        <w:widowControl w:val="0"/>
        <w:kinsoku/>
        <w:wordWrap/>
        <w:overflowPunct/>
        <w:topLinePunct w:val="0"/>
        <w:autoSpaceDE/>
        <w:autoSpaceDN/>
        <w:bidi w:val="0"/>
        <w:adjustRightInd/>
        <w:snapToGrid/>
        <w:spacing w:line="420" w:lineRule="exact"/>
        <w:ind w:left="0" w:firstLine="482" w:firstLineChars="200"/>
        <w:textAlignment w:val="auto"/>
        <w:rPr>
          <w:rFonts w:hint="eastAsia" w:ascii="宋体" w:hAnsi="宋体" w:eastAsia="宋体" w:cs="宋体"/>
          <w:color w:val="4472C4" w:themeColor="accent5"/>
          <w:sz w:val="24"/>
          <w:szCs w:val="24"/>
          <w:highlight w:val="none"/>
          <w:lang w:val="en-US" w:eastAsia="zh-CN" w:bidi="ar-SA"/>
          <w14:textFill>
            <w14:solidFill>
              <w14:schemeClr w14:val="accent5"/>
            </w14:solidFill>
          </w14:textFill>
        </w:rPr>
      </w:pPr>
      <w:r>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7660D96">
      <w:pPr>
        <w:pageBreakBefore w:val="0"/>
        <w:widowControl w:val="0"/>
        <w:numPr>
          <w:ilvl w:val="0"/>
          <w:numId w:val="0"/>
        </w:numPr>
        <w:kinsoku/>
        <w:wordWrap/>
        <w:overflowPunct/>
        <w:topLinePunct w:val="0"/>
        <w:autoSpaceDE/>
        <w:autoSpaceDN/>
        <w:bidi w:val="0"/>
        <w:adjustRightInd/>
        <w:snapToGrid/>
        <w:spacing w:line="420" w:lineRule="exact"/>
        <w:ind w:left="0" w:firstLine="482" w:firstLineChars="200"/>
        <w:textAlignment w:val="auto"/>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pPr>
      <w:r>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4472C4" w:themeColor="accent5"/>
          <w:sz w:val="24"/>
          <w:szCs w:val="24"/>
          <w:highlight w:val="none"/>
          <w:u w:val="single"/>
          <w:lang w:val="en-US" w:eastAsia="zh-CN" w:bidi="ar-SA"/>
          <w14:textFill>
            <w14:solidFill>
              <w14:schemeClr w14:val="accent5"/>
            </w14:solidFill>
          </w14:textFill>
        </w:rPr>
        <w:t>故，如供应商所提供产品为本国产品的，应当对其提供的产品出具《关于符合本国产品标准的声明函》（以下简称《声明函》），不出具《声明函》的，不享受政府采购对本国产品的支持政策。</w:t>
      </w:r>
    </w:p>
    <w:p w14:paraId="232BD569">
      <w:pPr>
        <w:pageBreakBefore w:val="0"/>
        <w:widowControl w:val="0"/>
        <w:tabs>
          <w:tab w:val="left" w:pos="1381"/>
        </w:tabs>
        <w:kinsoku/>
        <w:wordWrap/>
        <w:overflowPunct/>
        <w:topLinePunct w:val="0"/>
        <w:autoSpaceDE/>
        <w:autoSpaceDN/>
        <w:bidi w:val="0"/>
        <w:adjustRightInd/>
        <w:snapToGrid/>
        <w:spacing w:line="420" w:lineRule="exact"/>
        <w:ind w:left="0" w:firstLine="480" w:firstLineChars="200"/>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32.9履约保证金政策</w:t>
      </w:r>
    </w:p>
    <w:p w14:paraId="17364B18">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确需收取履约保证金的，履约保证金的缴纳形式：</w:t>
      </w:r>
    </w:p>
    <w:p w14:paraId="3029C023">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85D6FF3">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p>
    <w:p w14:paraId="6C48A3ED">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229B6E2B">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 预付款制度</w:t>
      </w:r>
    </w:p>
    <w:p w14:paraId="7C3715A9">
      <w:pPr>
        <w:pStyle w:val="34"/>
        <w:pageBreakBefore w:val="0"/>
        <w:widowControl w:val="0"/>
        <w:kinsoku/>
        <w:wordWrap/>
        <w:overflowPunct/>
        <w:topLinePunct w:val="0"/>
        <w:autoSpaceDE/>
        <w:autoSpaceDN/>
        <w:bidi w:val="0"/>
        <w:adjustRightInd/>
        <w:snapToGrid/>
        <w:spacing w:beforeAutospacing="0" w:afterAutospacing="0" w:line="42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本项目落实预付款制度，</w:t>
      </w:r>
      <w:r>
        <w:rPr>
          <w:rFonts w:hint="eastAsia" w:ascii="宋体" w:hAnsi="宋体" w:eastAsia="宋体" w:cs="宋体"/>
          <w:b/>
          <w:bCs/>
          <w:color w:val="4472C4" w:themeColor="accent5"/>
          <w:sz w:val="24"/>
          <w:szCs w:val="24"/>
          <w:highlight w:val="none"/>
          <w:u w:val="single"/>
          <w:lang w:val="en-US" w:eastAsia="zh-CN"/>
          <w14:textFill>
            <w14:solidFill>
              <w14:schemeClr w14:val="accent5"/>
            </w14:solidFill>
          </w14:textFill>
        </w:rPr>
        <w:t>预付款比例为：合同金额的30%</w:t>
      </w:r>
      <w:r>
        <w:rPr>
          <w:rFonts w:hint="eastAsia" w:ascii="宋体" w:hAnsi="宋体" w:eastAsia="宋体" w:cs="宋体"/>
          <w:color w:val="auto"/>
          <w:sz w:val="24"/>
          <w:szCs w:val="24"/>
          <w:highlight w:val="none"/>
          <w:shd w:val="clear" w:color="auto" w:fill="auto"/>
          <w:lang w:val="en-US" w:eastAsia="zh-CN" w:bidi="ar-SA"/>
        </w:rPr>
        <w:t>。</w:t>
      </w:r>
      <w:r>
        <w:rPr>
          <w:rFonts w:hint="eastAsia" w:ascii="宋体" w:hAnsi="宋体" w:eastAsia="宋体" w:cs="宋体"/>
          <w:color w:val="000000"/>
          <w:sz w:val="24"/>
          <w:szCs w:val="24"/>
          <w:highlight w:val="none"/>
          <w:lang w:val="en-US" w:eastAsia="zh-CN"/>
        </w:rPr>
        <w:t>在签订合同时，中标、成交供应商明确书面表示无需预付款或者主动要求降低预付款比例的，采购人可就预付款比例作相应调整。</w:t>
      </w:r>
    </w:p>
    <w:p w14:paraId="01904FEB">
      <w:pPr>
        <w:pStyle w:val="34"/>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75740786">
      <w:pPr>
        <w:pStyle w:val="34"/>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E3A74FA">
      <w:pPr>
        <w:pStyle w:val="34"/>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907C89F">
      <w:pPr>
        <w:pStyle w:val="34"/>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1BA026B4">
      <w:pPr>
        <w:pStyle w:val="34"/>
        <w:spacing w:beforeAutospacing="0" w:afterAutospacing="0"/>
        <w:jc w:val="both"/>
        <w:rPr>
          <w:rFonts w:hint="eastAsia" w:ascii="宋体" w:hAnsi="宋体" w:eastAsia="宋体" w:cs="宋体"/>
          <w:sz w:val="24"/>
          <w:szCs w:val="24"/>
          <w:highlight w:val="none"/>
        </w:rPr>
      </w:pPr>
    </w:p>
    <w:p w14:paraId="45CAB3AA">
      <w:pPr>
        <w:pStyle w:val="34"/>
        <w:spacing w:beforeAutospacing="0" w:afterAutospacing="0"/>
        <w:jc w:val="both"/>
        <w:rPr>
          <w:rFonts w:hint="eastAsia" w:ascii="宋体" w:hAnsi="宋体" w:eastAsia="宋体" w:cs="宋体"/>
          <w:sz w:val="24"/>
          <w:szCs w:val="24"/>
          <w:highlight w:val="none"/>
        </w:rPr>
      </w:pPr>
    </w:p>
    <w:p w14:paraId="653C8262">
      <w:pPr>
        <w:pStyle w:val="34"/>
        <w:spacing w:beforeAutospacing="0" w:afterAutospacing="0"/>
        <w:jc w:val="both"/>
        <w:rPr>
          <w:rFonts w:hint="eastAsia" w:ascii="宋体" w:hAnsi="宋体" w:eastAsia="宋体" w:cs="宋体"/>
          <w:sz w:val="24"/>
          <w:szCs w:val="24"/>
          <w:highlight w:val="none"/>
        </w:rPr>
      </w:pPr>
    </w:p>
    <w:p w14:paraId="420BEB06">
      <w:pPr>
        <w:pStyle w:val="34"/>
        <w:spacing w:beforeAutospacing="0" w:afterAutospacing="0"/>
        <w:jc w:val="both"/>
        <w:rPr>
          <w:rFonts w:hint="eastAsia" w:ascii="宋体" w:hAnsi="宋体" w:eastAsia="宋体" w:cs="宋体"/>
          <w:sz w:val="24"/>
          <w:szCs w:val="24"/>
          <w:highlight w:val="none"/>
        </w:rPr>
      </w:pPr>
    </w:p>
    <w:p w14:paraId="15CFED98">
      <w:pPr>
        <w:pStyle w:val="34"/>
        <w:spacing w:beforeAutospacing="0" w:afterAutospacing="0"/>
        <w:jc w:val="both"/>
        <w:rPr>
          <w:rFonts w:hint="eastAsia" w:ascii="宋体" w:hAnsi="宋体" w:eastAsia="宋体" w:cs="宋体"/>
          <w:sz w:val="24"/>
          <w:szCs w:val="24"/>
          <w:highlight w:val="none"/>
        </w:rPr>
      </w:pPr>
    </w:p>
    <w:p w14:paraId="1CFEEAD3">
      <w:pPr>
        <w:pStyle w:val="34"/>
        <w:spacing w:beforeAutospacing="0" w:afterAutospacing="0"/>
        <w:jc w:val="both"/>
        <w:rPr>
          <w:rFonts w:hint="eastAsia" w:ascii="宋体" w:hAnsi="宋体" w:eastAsia="宋体" w:cs="宋体"/>
          <w:sz w:val="24"/>
          <w:szCs w:val="24"/>
          <w:highlight w:val="none"/>
        </w:rPr>
      </w:pPr>
    </w:p>
    <w:p w14:paraId="13E83B08">
      <w:pPr>
        <w:pStyle w:val="34"/>
        <w:spacing w:beforeAutospacing="0" w:afterAutospacing="0"/>
        <w:jc w:val="both"/>
        <w:rPr>
          <w:rFonts w:hint="eastAsia" w:ascii="宋体" w:hAnsi="宋体" w:eastAsia="宋体" w:cs="宋体"/>
          <w:sz w:val="24"/>
          <w:szCs w:val="24"/>
          <w:highlight w:val="none"/>
        </w:rPr>
      </w:pPr>
    </w:p>
    <w:p w14:paraId="5A6D9E97">
      <w:pPr>
        <w:pStyle w:val="34"/>
        <w:spacing w:beforeAutospacing="0" w:afterAutospacing="0"/>
        <w:jc w:val="both"/>
        <w:rPr>
          <w:rFonts w:hint="eastAsia" w:ascii="宋体" w:hAnsi="宋体" w:eastAsia="宋体" w:cs="宋体"/>
          <w:sz w:val="24"/>
          <w:szCs w:val="24"/>
          <w:highlight w:val="none"/>
        </w:rPr>
      </w:pPr>
    </w:p>
    <w:p w14:paraId="5AA04ADC">
      <w:pPr>
        <w:pStyle w:val="34"/>
        <w:spacing w:beforeAutospacing="0" w:afterAutospacing="0"/>
        <w:jc w:val="both"/>
        <w:rPr>
          <w:rFonts w:hint="eastAsia" w:ascii="宋体" w:hAnsi="宋体" w:eastAsia="宋体" w:cs="宋体"/>
          <w:sz w:val="24"/>
          <w:szCs w:val="24"/>
          <w:highlight w:val="none"/>
        </w:rPr>
      </w:pPr>
    </w:p>
    <w:p w14:paraId="2B6E755D">
      <w:pPr>
        <w:pStyle w:val="34"/>
        <w:spacing w:beforeAutospacing="0" w:afterAutospacing="0"/>
        <w:jc w:val="both"/>
        <w:rPr>
          <w:rFonts w:hint="eastAsia" w:ascii="宋体" w:hAnsi="宋体" w:eastAsia="宋体" w:cs="宋体"/>
          <w:sz w:val="24"/>
          <w:szCs w:val="24"/>
          <w:highlight w:val="none"/>
        </w:rPr>
      </w:pPr>
    </w:p>
    <w:p w14:paraId="5DFD779A">
      <w:pPr>
        <w:pStyle w:val="34"/>
        <w:spacing w:beforeAutospacing="0" w:afterAutospacing="0"/>
        <w:jc w:val="both"/>
        <w:rPr>
          <w:rFonts w:hint="eastAsia" w:ascii="宋体" w:hAnsi="宋体" w:eastAsia="宋体" w:cs="宋体"/>
          <w:sz w:val="24"/>
          <w:szCs w:val="24"/>
          <w:highlight w:val="none"/>
        </w:rPr>
      </w:pPr>
    </w:p>
    <w:p w14:paraId="439D3786">
      <w:pPr>
        <w:pStyle w:val="34"/>
        <w:spacing w:beforeAutospacing="0" w:afterAutospacing="0"/>
        <w:jc w:val="both"/>
        <w:rPr>
          <w:rFonts w:hint="eastAsia" w:ascii="宋体" w:hAnsi="宋体" w:eastAsia="宋体" w:cs="宋体"/>
          <w:sz w:val="24"/>
          <w:szCs w:val="24"/>
          <w:highlight w:val="none"/>
        </w:rPr>
      </w:pPr>
    </w:p>
    <w:p w14:paraId="676E6445">
      <w:pPr>
        <w:pStyle w:val="34"/>
        <w:spacing w:beforeAutospacing="0" w:afterAutospacing="0"/>
        <w:jc w:val="both"/>
        <w:rPr>
          <w:rFonts w:hint="eastAsia" w:ascii="宋体" w:hAnsi="宋体" w:eastAsia="宋体" w:cs="宋体"/>
          <w:sz w:val="24"/>
          <w:szCs w:val="24"/>
          <w:highlight w:val="none"/>
        </w:rPr>
      </w:pPr>
    </w:p>
    <w:p w14:paraId="42E9F9D9">
      <w:pPr>
        <w:pStyle w:val="34"/>
        <w:spacing w:beforeAutospacing="0" w:afterAutospacing="0"/>
        <w:jc w:val="both"/>
        <w:rPr>
          <w:rFonts w:hint="eastAsia" w:ascii="宋体" w:hAnsi="宋体" w:eastAsia="宋体" w:cs="宋体"/>
          <w:sz w:val="24"/>
          <w:szCs w:val="24"/>
          <w:highlight w:val="none"/>
        </w:rPr>
      </w:pPr>
    </w:p>
    <w:p w14:paraId="530D308E">
      <w:pPr>
        <w:pStyle w:val="34"/>
        <w:spacing w:beforeAutospacing="0" w:afterAutospacing="0"/>
        <w:jc w:val="both"/>
        <w:rPr>
          <w:rFonts w:hint="eastAsia" w:ascii="宋体" w:hAnsi="宋体" w:eastAsia="宋体" w:cs="宋体"/>
          <w:sz w:val="24"/>
          <w:szCs w:val="24"/>
          <w:highlight w:val="none"/>
        </w:rPr>
      </w:pPr>
    </w:p>
    <w:p w14:paraId="3F201772">
      <w:pPr>
        <w:pStyle w:val="34"/>
        <w:spacing w:beforeAutospacing="0" w:afterAutospacing="0"/>
        <w:jc w:val="both"/>
        <w:rPr>
          <w:rFonts w:hint="eastAsia" w:ascii="宋体" w:hAnsi="宋体" w:eastAsia="宋体" w:cs="宋体"/>
          <w:sz w:val="24"/>
          <w:szCs w:val="24"/>
          <w:highlight w:val="none"/>
        </w:rPr>
      </w:pPr>
    </w:p>
    <w:p w14:paraId="041ACA18">
      <w:pPr>
        <w:pStyle w:val="34"/>
        <w:spacing w:beforeAutospacing="0" w:afterAutospacing="0"/>
        <w:jc w:val="both"/>
        <w:rPr>
          <w:rFonts w:hint="eastAsia" w:ascii="宋体" w:hAnsi="宋体" w:eastAsia="宋体" w:cs="宋体"/>
          <w:sz w:val="24"/>
          <w:szCs w:val="24"/>
          <w:highlight w:val="none"/>
        </w:rPr>
      </w:pPr>
    </w:p>
    <w:p w14:paraId="688AA5C2">
      <w:pPr>
        <w:pStyle w:val="34"/>
        <w:spacing w:beforeAutospacing="0" w:afterAutospacing="0"/>
        <w:jc w:val="both"/>
        <w:rPr>
          <w:rFonts w:hint="eastAsia" w:ascii="宋体" w:hAnsi="宋体" w:eastAsia="宋体" w:cs="宋体"/>
          <w:sz w:val="24"/>
          <w:szCs w:val="24"/>
          <w:highlight w:val="none"/>
        </w:rPr>
      </w:pPr>
    </w:p>
    <w:p w14:paraId="535E4A5F">
      <w:pPr>
        <w:pStyle w:val="34"/>
        <w:spacing w:beforeAutospacing="0" w:afterAutospacing="0"/>
        <w:jc w:val="both"/>
        <w:rPr>
          <w:rFonts w:hint="eastAsia" w:ascii="宋体" w:hAnsi="宋体" w:eastAsia="宋体" w:cs="宋体"/>
          <w:sz w:val="24"/>
          <w:szCs w:val="24"/>
          <w:highlight w:val="none"/>
        </w:rPr>
      </w:pPr>
    </w:p>
    <w:p w14:paraId="4396EC09">
      <w:pPr>
        <w:pStyle w:val="34"/>
        <w:spacing w:beforeAutospacing="0" w:afterAutospacing="0"/>
        <w:jc w:val="both"/>
        <w:rPr>
          <w:rFonts w:hint="eastAsia" w:ascii="宋体" w:hAnsi="宋体" w:eastAsia="宋体" w:cs="宋体"/>
          <w:sz w:val="24"/>
          <w:szCs w:val="24"/>
          <w:highlight w:val="none"/>
        </w:rPr>
      </w:pPr>
    </w:p>
    <w:p w14:paraId="44C33A13">
      <w:pPr>
        <w:pStyle w:val="34"/>
        <w:spacing w:beforeAutospacing="0" w:afterAutospacing="0"/>
        <w:jc w:val="both"/>
        <w:rPr>
          <w:rFonts w:hint="eastAsia" w:ascii="宋体" w:hAnsi="宋体" w:eastAsia="宋体" w:cs="宋体"/>
          <w:sz w:val="24"/>
          <w:szCs w:val="24"/>
          <w:highlight w:val="none"/>
        </w:rPr>
      </w:pPr>
    </w:p>
    <w:p w14:paraId="10436647">
      <w:pPr>
        <w:pStyle w:val="34"/>
        <w:spacing w:beforeAutospacing="0" w:afterAutospacing="0"/>
        <w:jc w:val="both"/>
        <w:rPr>
          <w:rFonts w:hint="eastAsia" w:ascii="宋体" w:hAnsi="宋体" w:eastAsia="宋体" w:cs="宋体"/>
          <w:sz w:val="24"/>
          <w:szCs w:val="24"/>
          <w:highlight w:val="none"/>
        </w:rPr>
      </w:pPr>
    </w:p>
    <w:p w14:paraId="74A73C3A">
      <w:pPr>
        <w:pStyle w:val="34"/>
        <w:spacing w:beforeAutospacing="0" w:afterAutospacing="0"/>
        <w:jc w:val="both"/>
        <w:rPr>
          <w:rFonts w:hint="eastAsia" w:ascii="宋体" w:hAnsi="宋体" w:eastAsia="宋体" w:cs="宋体"/>
          <w:sz w:val="24"/>
          <w:szCs w:val="24"/>
          <w:highlight w:val="none"/>
        </w:rPr>
      </w:pPr>
    </w:p>
    <w:p w14:paraId="521943CF">
      <w:pPr>
        <w:pStyle w:val="34"/>
        <w:spacing w:beforeAutospacing="0" w:afterAutospacing="0"/>
        <w:jc w:val="both"/>
        <w:rPr>
          <w:rFonts w:hint="eastAsia" w:ascii="宋体" w:hAnsi="宋体" w:eastAsia="宋体" w:cs="宋体"/>
          <w:sz w:val="24"/>
          <w:szCs w:val="24"/>
          <w:highlight w:val="none"/>
        </w:rPr>
      </w:pPr>
    </w:p>
    <w:p w14:paraId="44A13013">
      <w:pPr>
        <w:pStyle w:val="34"/>
        <w:spacing w:beforeAutospacing="0" w:afterAutospacing="0"/>
        <w:jc w:val="both"/>
        <w:rPr>
          <w:rFonts w:hint="eastAsia" w:ascii="宋体" w:hAnsi="宋体" w:eastAsia="宋体" w:cs="宋体"/>
          <w:sz w:val="24"/>
          <w:szCs w:val="24"/>
          <w:highlight w:val="none"/>
        </w:rPr>
      </w:pPr>
    </w:p>
    <w:p w14:paraId="7229296E">
      <w:pPr>
        <w:pStyle w:val="34"/>
        <w:spacing w:beforeAutospacing="0" w:afterAutospacing="0"/>
        <w:jc w:val="both"/>
        <w:rPr>
          <w:rFonts w:hint="eastAsia" w:ascii="宋体" w:hAnsi="宋体" w:eastAsia="宋体" w:cs="宋体"/>
          <w:sz w:val="24"/>
          <w:szCs w:val="24"/>
          <w:highlight w:val="none"/>
        </w:rPr>
      </w:pPr>
    </w:p>
    <w:p w14:paraId="7D0C094D">
      <w:pPr>
        <w:widowControl/>
        <w:spacing w:line="360" w:lineRule="auto"/>
        <w:jc w:val="center"/>
        <w:rPr>
          <w:rFonts w:ascii="宋体" w:hAnsi="宋体" w:cs="宋体"/>
          <w:b/>
          <w:sz w:val="48"/>
          <w:szCs w:val="44"/>
          <w:highlight w:val="none"/>
        </w:rPr>
      </w:pPr>
      <w:bookmarkStart w:id="171" w:name="_Toc479757211"/>
      <w:bookmarkStart w:id="172" w:name="_Toc20823346"/>
      <w:bookmarkStart w:id="173" w:name="_Toc16938590"/>
      <w:bookmarkStart w:id="174" w:name="_Toc462564139"/>
      <w:bookmarkStart w:id="175" w:name="_Toc120614244"/>
      <w:bookmarkStart w:id="176" w:name="_Hlt16619350"/>
      <w:bookmarkStart w:id="177" w:name="_Hlt16619369"/>
      <w:r>
        <w:rPr>
          <w:sz w:val="36"/>
          <w:szCs w:val="44"/>
          <w:highlight w:val="none"/>
        </w:rPr>
        <w:t> </w:t>
      </w:r>
      <w:r>
        <w:rPr>
          <w:rFonts w:hint="eastAsia" w:ascii="宋体" w:hAnsi="宋体" w:cs="宋体"/>
          <w:b/>
          <w:sz w:val="48"/>
          <w:szCs w:val="44"/>
          <w:highlight w:val="none"/>
        </w:rPr>
        <w:t>第三</w:t>
      </w:r>
      <w:r>
        <w:rPr>
          <w:rFonts w:hint="eastAsia" w:ascii="宋体" w:hAnsi="宋体" w:cs="宋体"/>
          <w:b/>
          <w:sz w:val="48"/>
          <w:szCs w:val="44"/>
          <w:highlight w:val="none"/>
          <w:lang w:eastAsia="zh-CN"/>
        </w:rPr>
        <w:t>章</w:t>
      </w:r>
      <w:r>
        <w:rPr>
          <w:rFonts w:hint="eastAsia" w:ascii="宋体" w:hAnsi="宋体" w:cs="宋体"/>
          <w:b/>
          <w:sz w:val="48"/>
          <w:szCs w:val="44"/>
          <w:highlight w:val="none"/>
        </w:rPr>
        <w:t xml:space="preserve">  合同条款</w:t>
      </w:r>
    </w:p>
    <w:p w14:paraId="7C62F2F4">
      <w:pPr>
        <w:rPr>
          <w:rFonts w:ascii="宋体" w:hAnsi="宋体" w:cs="宋体"/>
          <w:highlight w:val="none"/>
        </w:rPr>
      </w:pPr>
      <w:bookmarkStart w:id="178" w:name="EB6d2006462e294de090c16e672cecc3bd"/>
    </w:p>
    <w:bookmarkEnd w:id="178"/>
    <w:p w14:paraId="0F89D1C7">
      <w:pPr>
        <w:jc w:val="center"/>
        <w:rPr>
          <w:rFonts w:ascii="宋体" w:hAnsi="宋体" w:cs="宋体"/>
          <w:b/>
          <w:bCs/>
          <w:spacing w:val="-20"/>
          <w:sz w:val="48"/>
          <w:szCs w:val="48"/>
          <w:highlight w:val="none"/>
        </w:rPr>
      </w:pPr>
      <w:bookmarkStart w:id="179" w:name="_Toc3995"/>
    </w:p>
    <w:p w14:paraId="2728A11A">
      <w:pPr>
        <w:jc w:val="center"/>
        <w:rPr>
          <w:rFonts w:ascii="宋体" w:hAnsi="宋体" w:cs="宋体"/>
          <w:b/>
          <w:bCs/>
          <w:spacing w:val="-20"/>
          <w:sz w:val="48"/>
          <w:szCs w:val="48"/>
          <w:highlight w:val="none"/>
        </w:rPr>
      </w:pPr>
    </w:p>
    <w:p w14:paraId="61A63262">
      <w:pPr>
        <w:jc w:val="center"/>
        <w:rPr>
          <w:rFonts w:ascii="宋体" w:hAnsi="宋体" w:cs="宋体"/>
          <w:b/>
          <w:bCs/>
          <w:spacing w:val="-20"/>
          <w:sz w:val="48"/>
          <w:szCs w:val="48"/>
          <w:highlight w:val="none"/>
        </w:rPr>
      </w:pPr>
    </w:p>
    <w:p w14:paraId="5544CBCE">
      <w:pPr>
        <w:jc w:val="center"/>
        <w:rPr>
          <w:rFonts w:ascii="宋体" w:hAnsi="宋体" w:cs="宋体"/>
          <w:b/>
          <w:bCs/>
          <w:spacing w:val="-20"/>
          <w:sz w:val="48"/>
          <w:szCs w:val="48"/>
          <w:highlight w:val="none"/>
        </w:rPr>
      </w:pPr>
    </w:p>
    <w:p w14:paraId="6038FDA2">
      <w:pPr>
        <w:jc w:val="center"/>
        <w:rPr>
          <w:rFonts w:ascii="宋体" w:hAnsi="宋体" w:cs="宋体"/>
          <w:sz w:val="30"/>
          <w:highlight w:val="none"/>
        </w:rPr>
      </w:pPr>
    </w:p>
    <w:p w14:paraId="7023E608">
      <w:pPr>
        <w:jc w:val="center"/>
        <w:rPr>
          <w:rFonts w:ascii="宋体" w:hAnsi="宋体" w:cs="宋体"/>
          <w:sz w:val="30"/>
          <w:highlight w:val="none"/>
        </w:rPr>
      </w:pPr>
      <w:r>
        <w:rPr>
          <w:rFonts w:hint="eastAsia" w:ascii="宋体" w:hAnsi="宋体" w:cs="宋体"/>
          <w:sz w:val="30"/>
          <w:highlight w:val="none"/>
        </w:rPr>
        <w:t>政府采购货物买卖合同</w:t>
      </w:r>
    </w:p>
    <w:p w14:paraId="39A221D5">
      <w:pPr>
        <w:jc w:val="center"/>
        <w:rPr>
          <w:rFonts w:ascii="宋体" w:hAnsi="宋体" w:cs="宋体"/>
          <w:sz w:val="30"/>
          <w:highlight w:val="none"/>
        </w:rPr>
      </w:pPr>
    </w:p>
    <w:p w14:paraId="7EE671B2">
      <w:pPr>
        <w:rPr>
          <w:rFonts w:ascii="宋体" w:hAnsi="宋体" w:cs="宋体"/>
          <w:sz w:val="30"/>
          <w:highlight w:val="none"/>
        </w:rPr>
      </w:pPr>
    </w:p>
    <w:p w14:paraId="149DABE6">
      <w:pPr>
        <w:rPr>
          <w:rFonts w:ascii="宋体" w:hAnsi="宋体" w:cs="宋体"/>
          <w:sz w:val="30"/>
          <w:highlight w:val="none"/>
        </w:rPr>
      </w:pPr>
    </w:p>
    <w:p w14:paraId="7E6C9959">
      <w:pPr>
        <w:rPr>
          <w:rFonts w:ascii="宋体" w:hAnsi="宋体" w:cs="宋体"/>
          <w:sz w:val="30"/>
          <w:highlight w:val="none"/>
        </w:rPr>
      </w:pPr>
    </w:p>
    <w:p w14:paraId="3BB3AA36">
      <w:pPr>
        <w:spacing w:line="360" w:lineRule="auto"/>
        <w:ind w:left="420"/>
        <w:rPr>
          <w:rFonts w:ascii="宋体" w:hAnsi="宋体" w:cs="宋体"/>
          <w:sz w:val="30"/>
          <w:highlight w:val="none"/>
        </w:rPr>
      </w:pPr>
      <w:r>
        <w:rPr>
          <w:rFonts w:hint="eastAsia" w:ascii="宋体" w:hAnsi="宋体" w:cs="宋体"/>
          <w:sz w:val="30"/>
          <w:highlight w:val="none"/>
        </w:rPr>
        <w:t>项目名称：</w:t>
      </w:r>
    </w:p>
    <w:p w14:paraId="11A1D3A4">
      <w:pPr>
        <w:spacing w:line="360" w:lineRule="auto"/>
        <w:ind w:left="420"/>
        <w:rPr>
          <w:rFonts w:ascii="宋体" w:hAnsi="宋体" w:cs="宋体"/>
          <w:sz w:val="30"/>
          <w:highlight w:val="none"/>
        </w:rPr>
      </w:pPr>
      <w:r>
        <w:rPr>
          <w:rFonts w:hint="eastAsia" w:ascii="宋体" w:hAnsi="宋体" w:cs="宋体"/>
          <w:sz w:val="30"/>
          <w:highlight w:val="none"/>
        </w:rPr>
        <w:t>合同编号：</w:t>
      </w:r>
    </w:p>
    <w:p w14:paraId="7691FC79">
      <w:pPr>
        <w:spacing w:line="360" w:lineRule="auto"/>
        <w:ind w:left="420"/>
        <w:rPr>
          <w:rFonts w:ascii="宋体" w:hAnsi="宋体" w:cs="宋体"/>
          <w:sz w:val="30"/>
          <w:highlight w:val="none"/>
        </w:rPr>
      </w:pPr>
      <w:r>
        <w:rPr>
          <w:rFonts w:hint="eastAsia" w:ascii="宋体" w:hAnsi="宋体" w:cs="宋体"/>
          <w:sz w:val="30"/>
          <w:highlight w:val="none"/>
        </w:rPr>
        <w:t>甲    方：</w:t>
      </w:r>
    </w:p>
    <w:p w14:paraId="2F6A467E">
      <w:pPr>
        <w:spacing w:line="360" w:lineRule="auto"/>
        <w:ind w:left="420"/>
        <w:rPr>
          <w:rFonts w:ascii="宋体" w:hAnsi="宋体" w:cs="宋体"/>
          <w:sz w:val="30"/>
          <w:highlight w:val="none"/>
        </w:rPr>
      </w:pPr>
      <w:r>
        <w:rPr>
          <w:rFonts w:hint="eastAsia" w:ascii="宋体" w:hAnsi="宋体" w:cs="宋体"/>
          <w:sz w:val="30"/>
          <w:highlight w:val="none"/>
        </w:rPr>
        <w:t>乙    方：</w:t>
      </w:r>
    </w:p>
    <w:p w14:paraId="2B606E10">
      <w:pPr>
        <w:spacing w:line="360" w:lineRule="auto"/>
        <w:ind w:left="420"/>
        <w:rPr>
          <w:rFonts w:ascii="宋体" w:hAnsi="宋体" w:cs="宋体"/>
          <w:sz w:val="30"/>
          <w:highlight w:val="none"/>
        </w:rPr>
      </w:pPr>
      <w:r>
        <w:rPr>
          <w:rFonts w:hint="eastAsia" w:ascii="宋体" w:hAnsi="宋体" w:cs="宋体"/>
          <w:sz w:val="30"/>
          <w:highlight w:val="none"/>
        </w:rPr>
        <w:t>签订时间：</w:t>
      </w:r>
    </w:p>
    <w:p w14:paraId="178BC0A1">
      <w:pPr>
        <w:rPr>
          <w:highlight w:val="none"/>
        </w:rPr>
      </w:pPr>
    </w:p>
    <w:p w14:paraId="7B8C5833">
      <w:pPr>
        <w:rPr>
          <w:rFonts w:eastAsia="黑体"/>
          <w:sz w:val="44"/>
          <w:szCs w:val="44"/>
          <w:highlight w:val="none"/>
        </w:rPr>
      </w:pPr>
      <w:r>
        <w:rPr>
          <w:rFonts w:eastAsia="黑体"/>
          <w:sz w:val="44"/>
          <w:szCs w:val="44"/>
          <w:highlight w:val="none"/>
        </w:rPr>
        <w:br w:type="page" w:clear="all"/>
      </w:r>
    </w:p>
    <w:bookmarkEnd w:id="179"/>
    <w:p w14:paraId="24AB6C21">
      <w:pPr>
        <w:keepNext/>
        <w:keepLines/>
        <w:spacing w:line="400" w:lineRule="exact"/>
        <w:jc w:val="center"/>
        <w:outlineLvl w:val="1"/>
        <w:rPr>
          <w:rFonts w:ascii="黑体" w:hAnsi="华文中宋" w:eastAsia="黑体"/>
          <w:sz w:val="28"/>
          <w:szCs w:val="28"/>
          <w:highlight w:val="none"/>
        </w:rPr>
      </w:pPr>
      <w:bookmarkStart w:id="180" w:name="_Toc22209"/>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政府采购合同协议书</w:t>
      </w:r>
      <w:bookmarkEnd w:id="180"/>
    </w:p>
    <w:p w14:paraId="204F39D4">
      <w:pPr>
        <w:keepNext/>
        <w:keepLines/>
        <w:spacing w:line="360" w:lineRule="auto"/>
        <w:jc w:val="center"/>
        <w:outlineLvl w:val="1"/>
        <w:rPr>
          <w:rFonts w:ascii="黑体" w:hAnsi="华文中宋" w:eastAsia="黑体"/>
          <w:sz w:val="28"/>
          <w:szCs w:val="28"/>
          <w:highlight w:val="none"/>
        </w:rPr>
      </w:pPr>
    </w:p>
    <w:p w14:paraId="343FEEC8">
      <w:pPr>
        <w:spacing w:line="360" w:lineRule="auto"/>
        <w:rPr>
          <w:rFonts w:hint="default" w:ascii="宋体" w:hAnsi="宋体" w:eastAsiaTheme="minorEastAsia"/>
          <w:sz w:val="24"/>
          <w:highlight w:val="none"/>
          <w:u w:val="single"/>
          <w:lang w:val="en-US" w:eastAsia="zh-CN"/>
        </w:rPr>
      </w:pPr>
      <w:r>
        <w:rPr>
          <w:rFonts w:hint="eastAsia" w:ascii="宋体" w:hAnsi="宋体"/>
          <w:sz w:val="24"/>
          <w:highlight w:val="none"/>
        </w:rPr>
        <w:t>甲方（全称）：</w:t>
      </w:r>
      <w:r>
        <w:rPr>
          <w:rFonts w:hint="eastAsia" w:ascii="宋体" w:hAnsi="宋体"/>
          <w:sz w:val="24"/>
          <w:highlight w:val="none"/>
          <w:u w:val="single"/>
          <w:lang w:val="en-US" w:eastAsia="zh-CN"/>
        </w:rPr>
        <w:t>东台市公安局</w:t>
      </w:r>
    </w:p>
    <w:p w14:paraId="23DA8236">
      <w:pPr>
        <w:spacing w:line="360" w:lineRule="auto"/>
        <w:rPr>
          <w:rFonts w:hint="default" w:ascii="宋体" w:hAnsi="宋体" w:eastAsiaTheme="minorEastAsia"/>
          <w:sz w:val="24"/>
          <w:highlight w:val="none"/>
          <w:u w:val="single"/>
          <w:lang w:val="en-US" w:eastAsia="zh-CN"/>
        </w:rPr>
      </w:pPr>
      <w:r>
        <w:rPr>
          <w:rFonts w:hint="eastAsia" w:ascii="宋体" w:hAnsi="宋体"/>
          <w:sz w:val="24"/>
          <w:highlight w:val="none"/>
        </w:rPr>
        <w:t>乙方（全称）：</w:t>
      </w:r>
      <w:r>
        <w:rPr>
          <w:rFonts w:hint="eastAsia" w:ascii="宋体" w:hAnsi="宋体"/>
          <w:sz w:val="24"/>
          <w:highlight w:val="none"/>
          <w:u w:val="single"/>
          <w:lang w:val="en-US" w:eastAsia="zh-CN"/>
        </w:rPr>
        <w:t xml:space="preserve">            </w:t>
      </w:r>
    </w:p>
    <w:p w14:paraId="7E89D3F7">
      <w:pPr>
        <w:spacing w:line="360" w:lineRule="auto"/>
        <w:ind w:firstLine="480"/>
        <w:rPr>
          <w:rFonts w:ascii="宋体" w:hAnsi="宋体"/>
          <w:sz w:val="24"/>
          <w:highlight w:val="none"/>
        </w:rPr>
      </w:pPr>
      <w:r>
        <w:rPr>
          <w:rFonts w:hint="eastAsia" w:ascii="宋体" w:hAnsi="宋体"/>
          <w:sz w:val="24"/>
          <w:highlight w:val="none"/>
        </w:rPr>
        <w:t>依据《中华人民共和国民法典</w:t>
      </w:r>
      <w:r>
        <w:rPr>
          <w:rFonts w:hint="eastAsia" w:ascii="宋体" w:hAnsi="宋体"/>
          <w:sz w:val="24"/>
          <w:highlight w:val="none"/>
          <w:lang w:eastAsia="zh-CN"/>
        </w:rPr>
        <w:t>》《</w:t>
      </w:r>
      <w:r>
        <w:rPr>
          <w:rFonts w:hint="eastAsia" w:ascii="宋体" w:hAnsi="宋体"/>
          <w:sz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p>
    <w:p w14:paraId="2AF584B0">
      <w:pPr>
        <w:numPr>
          <w:ilvl w:val="0"/>
          <w:numId w:val="1"/>
        </w:numPr>
        <w:spacing w:line="360" w:lineRule="auto"/>
        <w:ind w:firstLine="482"/>
        <w:rPr>
          <w:rFonts w:ascii="宋体" w:hAnsi="宋体"/>
          <w:b/>
          <w:sz w:val="24"/>
          <w:highlight w:val="none"/>
        </w:rPr>
      </w:pPr>
      <w:r>
        <w:rPr>
          <w:rFonts w:hint="eastAsia" w:ascii="宋体" w:hAnsi="宋体"/>
          <w:b/>
          <w:sz w:val="24"/>
          <w:highlight w:val="none"/>
        </w:rPr>
        <w:t>项目信息</w:t>
      </w:r>
    </w:p>
    <w:p w14:paraId="118ED24F">
      <w:pPr>
        <w:numPr>
          <w:ilvl w:val="0"/>
          <w:numId w:val="2"/>
        </w:numPr>
        <w:spacing w:line="360" w:lineRule="auto"/>
        <w:ind w:firstLine="480"/>
        <w:rPr>
          <w:rFonts w:ascii="宋体" w:hAnsi="宋体"/>
          <w:sz w:val="24"/>
          <w:highlight w:val="none"/>
          <w:u w:val="single"/>
        </w:rPr>
      </w:pPr>
      <w:r>
        <w:rPr>
          <w:rFonts w:hint="eastAsia" w:ascii="宋体" w:hAnsi="宋体"/>
          <w:sz w:val="24"/>
          <w:highlight w:val="none"/>
        </w:rPr>
        <w:t>采购项目名称：</w:t>
      </w:r>
      <w:r>
        <w:rPr>
          <w:rFonts w:hint="eastAsia" w:ascii="宋体" w:hAnsi="宋体"/>
          <w:sz w:val="24"/>
          <w:highlight w:val="none"/>
          <w:u w:val="single"/>
        </w:rPr>
        <w:t>东台市海防监控点位建设项目</w:t>
      </w:r>
    </w:p>
    <w:p w14:paraId="3A0A2DD0">
      <w:pPr>
        <w:numPr>
          <w:ilvl w:val="255"/>
          <w:numId w:val="0"/>
        </w:numPr>
        <w:tabs>
          <w:tab w:val="left" w:pos="999"/>
        </w:tabs>
        <w:spacing w:line="360" w:lineRule="auto"/>
        <w:rPr>
          <w:rFonts w:hint="default" w:ascii="宋体" w:hAnsi="宋体" w:eastAsiaTheme="minorEastAsia"/>
          <w:sz w:val="24"/>
          <w:highlight w:val="none"/>
          <w:u w:val="single"/>
          <w:lang w:val="en-US" w:eastAsia="zh-CN"/>
        </w:rPr>
      </w:pPr>
      <w:r>
        <w:rPr>
          <w:rFonts w:hint="eastAsia" w:ascii="宋体" w:hAnsi="宋体"/>
          <w:sz w:val="24"/>
          <w:highlight w:val="none"/>
        </w:rPr>
        <w:t xml:space="preserve">         采购项目编号：</w:t>
      </w:r>
      <w:r>
        <w:rPr>
          <w:rFonts w:hint="eastAsia" w:ascii="宋体" w:hAnsi="宋体"/>
          <w:sz w:val="24"/>
          <w:highlight w:val="none"/>
          <w:u w:val="single"/>
          <w:lang w:val="en-US" w:eastAsia="zh-CN"/>
        </w:rPr>
        <w:t xml:space="preserve">                          </w:t>
      </w:r>
    </w:p>
    <w:p w14:paraId="674EB6FB">
      <w:pPr>
        <w:spacing w:line="360" w:lineRule="auto"/>
        <w:ind w:firstLine="480"/>
        <w:rPr>
          <w:rFonts w:hint="eastAsia" w:ascii="宋体" w:hAnsi="宋体" w:eastAsiaTheme="minorEastAsia"/>
          <w:sz w:val="24"/>
          <w:highlight w:val="none"/>
          <w:lang w:val="en-US" w:eastAsia="zh-CN"/>
        </w:rPr>
      </w:pPr>
      <w:r>
        <w:rPr>
          <w:rFonts w:hint="eastAsia" w:ascii="宋体" w:hAnsi="宋体"/>
          <w:sz w:val="24"/>
          <w:highlight w:val="none"/>
        </w:rPr>
        <w:t>（2）采购计划编号：</w:t>
      </w:r>
      <w:r>
        <w:rPr>
          <w:rFonts w:hint="eastAsia" w:ascii="宋体" w:hAnsi="宋体"/>
          <w:sz w:val="24"/>
          <w:highlight w:val="none"/>
          <w:lang w:val="en-US" w:eastAsia="zh-CN"/>
        </w:rPr>
        <w:t>/</w:t>
      </w:r>
    </w:p>
    <w:p w14:paraId="5633757A">
      <w:pPr>
        <w:spacing w:line="360" w:lineRule="auto"/>
        <w:ind w:firstLine="480"/>
        <w:rPr>
          <w:rFonts w:hint="default" w:ascii="宋体" w:hAnsi="宋体" w:eastAsiaTheme="minorEastAsia"/>
          <w:sz w:val="24"/>
          <w:highlight w:val="none"/>
          <w:lang w:val="en-US" w:eastAsia="zh-CN"/>
        </w:rPr>
      </w:pPr>
      <w:r>
        <w:rPr>
          <w:rFonts w:hint="eastAsia" w:ascii="宋体" w:hAnsi="宋体"/>
          <w:sz w:val="24"/>
          <w:highlight w:val="none"/>
        </w:rPr>
        <w:t>（3）项目内容：完成我市海防监控点位建设项目</w:t>
      </w:r>
      <w:r>
        <w:rPr>
          <w:rFonts w:hint="eastAsia" w:ascii="宋体" w:hAnsi="宋体"/>
          <w:sz w:val="24"/>
          <w:highlight w:val="none"/>
          <w:lang w:eastAsia="zh-CN"/>
        </w:rPr>
        <w:t>的</w:t>
      </w:r>
      <w:r>
        <w:rPr>
          <w:rFonts w:hint="eastAsia" w:ascii="宋体" w:hAnsi="宋体"/>
          <w:sz w:val="24"/>
          <w:highlight w:val="none"/>
          <w:lang w:val="en-US" w:eastAsia="zh-CN"/>
        </w:rPr>
        <w:t>供货及安装调试，并按招标文件要求提供相关服务，确保满足招标文件的要求和招标人的实际使用需求，详见附件。</w:t>
      </w:r>
    </w:p>
    <w:tbl>
      <w:tblPr>
        <w:tblStyle w:val="36"/>
        <w:tblW w:w="500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75"/>
        <w:gridCol w:w="653"/>
        <w:gridCol w:w="2447"/>
        <w:gridCol w:w="1083"/>
        <w:gridCol w:w="570"/>
        <w:gridCol w:w="1208"/>
        <w:gridCol w:w="961"/>
        <w:gridCol w:w="1029"/>
      </w:tblGrid>
      <w:tr w14:paraId="2A384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3" w:hRule="atLeast"/>
        </w:trPr>
        <w:tc>
          <w:tcPr>
            <w:tcW w:w="226" w:type="pct"/>
            <w:noWrap w:val="0"/>
            <w:vAlign w:val="center"/>
          </w:tcPr>
          <w:p w14:paraId="7BE0AB98">
            <w:pPr>
              <w:pStyle w:val="201"/>
              <w:rPr>
                <w:b/>
              </w:rPr>
            </w:pPr>
            <w:r>
              <w:rPr>
                <w:rFonts w:hint="eastAsia"/>
                <w:b/>
              </w:rPr>
              <w:t>序号</w:t>
            </w:r>
          </w:p>
        </w:tc>
        <w:tc>
          <w:tcPr>
            <w:tcW w:w="392" w:type="pct"/>
            <w:noWrap w:val="0"/>
            <w:vAlign w:val="center"/>
          </w:tcPr>
          <w:p w14:paraId="424B8C84">
            <w:pPr>
              <w:pStyle w:val="201"/>
              <w:rPr>
                <w:b/>
              </w:rPr>
            </w:pPr>
            <w:r>
              <w:rPr>
                <w:rFonts w:hint="eastAsia"/>
                <w:b/>
              </w:rPr>
              <w:t>名称</w:t>
            </w:r>
          </w:p>
        </w:tc>
        <w:tc>
          <w:tcPr>
            <w:tcW w:w="1469" w:type="pct"/>
            <w:noWrap w:val="0"/>
            <w:vAlign w:val="center"/>
          </w:tcPr>
          <w:p w14:paraId="4D6D3F76">
            <w:pPr>
              <w:pStyle w:val="201"/>
              <w:rPr>
                <w:b/>
              </w:rPr>
            </w:pPr>
            <w:r>
              <w:rPr>
                <w:rFonts w:hint="eastAsia"/>
                <w:b/>
              </w:rPr>
              <w:t>主要规格描述</w:t>
            </w:r>
          </w:p>
        </w:tc>
        <w:tc>
          <w:tcPr>
            <w:tcW w:w="650" w:type="pct"/>
            <w:noWrap w:val="0"/>
            <w:vAlign w:val="center"/>
          </w:tcPr>
          <w:p w14:paraId="00FA2FB0">
            <w:pPr>
              <w:pStyle w:val="201"/>
              <w:rPr>
                <w:b/>
              </w:rPr>
            </w:pPr>
            <w:r>
              <w:rPr>
                <w:rFonts w:hint="eastAsia"/>
                <w:b/>
              </w:rPr>
              <w:t>单位</w:t>
            </w:r>
          </w:p>
        </w:tc>
        <w:tc>
          <w:tcPr>
            <w:tcW w:w="342" w:type="pct"/>
            <w:noWrap w:val="0"/>
            <w:vAlign w:val="center"/>
          </w:tcPr>
          <w:p w14:paraId="562B9999">
            <w:pPr>
              <w:pStyle w:val="201"/>
              <w:rPr>
                <w:b/>
              </w:rPr>
            </w:pPr>
            <w:r>
              <w:rPr>
                <w:rFonts w:hint="eastAsia"/>
                <w:b/>
              </w:rPr>
              <w:t>数量</w:t>
            </w:r>
          </w:p>
        </w:tc>
        <w:tc>
          <w:tcPr>
            <w:tcW w:w="725" w:type="pct"/>
            <w:noWrap w:val="0"/>
            <w:vAlign w:val="center"/>
          </w:tcPr>
          <w:p w14:paraId="3DC920E4">
            <w:pPr>
              <w:pStyle w:val="201"/>
              <w:rPr>
                <w:rFonts w:hint="eastAsia"/>
                <w:b/>
              </w:rPr>
            </w:pPr>
            <w:r>
              <w:rPr>
                <w:rFonts w:hint="eastAsia"/>
                <w:b/>
              </w:rPr>
              <w:t>品牌及</w:t>
            </w:r>
          </w:p>
          <w:p w14:paraId="1CCBE53D">
            <w:pPr>
              <w:pStyle w:val="201"/>
              <w:rPr>
                <w:b/>
              </w:rPr>
            </w:pPr>
            <w:r>
              <w:rPr>
                <w:rFonts w:hint="eastAsia"/>
                <w:b/>
              </w:rPr>
              <w:t>型号</w:t>
            </w:r>
          </w:p>
        </w:tc>
        <w:tc>
          <w:tcPr>
            <w:tcW w:w="577" w:type="pct"/>
            <w:noWrap w:val="0"/>
            <w:vAlign w:val="center"/>
          </w:tcPr>
          <w:p w14:paraId="560F9654">
            <w:pPr>
              <w:pStyle w:val="201"/>
              <w:rPr>
                <w:b/>
              </w:rPr>
            </w:pPr>
            <w:r>
              <w:rPr>
                <w:rFonts w:hint="eastAsia"/>
                <w:b/>
              </w:rPr>
              <w:t>单价（元）</w:t>
            </w:r>
          </w:p>
        </w:tc>
        <w:tc>
          <w:tcPr>
            <w:tcW w:w="616" w:type="pct"/>
            <w:noWrap w:val="0"/>
            <w:vAlign w:val="center"/>
          </w:tcPr>
          <w:p w14:paraId="38139CBF">
            <w:pPr>
              <w:pStyle w:val="201"/>
              <w:rPr>
                <w:rFonts w:hint="eastAsia"/>
                <w:b/>
              </w:rPr>
            </w:pPr>
            <w:r>
              <w:rPr>
                <w:rFonts w:hint="eastAsia"/>
                <w:b/>
              </w:rPr>
              <w:t>合价</w:t>
            </w:r>
          </w:p>
          <w:p w14:paraId="20B9824F">
            <w:pPr>
              <w:pStyle w:val="201"/>
              <w:rPr>
                <w:b/>
              </w:rPr>
            </w:pPr>
            <w:r>
              <w:rPr>
                <w:rFonts w:hint="eastAsia"/>
                <w:b/>
              </w:rPr>
              <w:t>（元）</w:t>
            </w:r>
          </w:p>
        </w:tc>
      </w:tr>
      <w:tr w14:paraId="5D401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1" w:hRule="atLeast"/>
        </w:trPr>
        <w:tc>
          <w:tcPr>
            <w:tcW w:w="226" w:type="pct"/>
            <w:noWrap w:val="0"/>
            <w:vAlign w:val="center"/>
          </w:tcPr>
          <w:p w14:paraId="75E2C7A9">
            <w:pPr>
              <w:pStyle w:val="201"/>
            </w:pPr>
            <w:r>
              <w:rPr>
                <w:rFonts w:hint="eastAsia"/>
              </w:rPr>
              <w:t>1</w:t>
            </w:r>
          </w:p>
        </w:tc>
        <w:tc>
          <w:tcPr>
            <w:tcW w:w="392" w:type="pct"/>
            <w:noWrap w:val="0"/>
            <w:vAlign w:val="center"/>
          </w:tcPr>
          <w:p w14:paraId="15213690">
            <w:pPr>
              <w:pStyle w:val="201"/>
            </w:pPr>
          </w:p>
        </w:tc>
        <w:tc>
          <w:tcPr>
            <w:tcW w:w="1469" w:type="pct"/>
            <w:noWrap w:val="0"/>
            <w:vAlign w:val="center"/>
          </w:tcPr>
          <w:p w14:paraId="2463BE83">
            <w:pPr>
              <w:pStyle w:val="201"/>
            </w:pPr>
          </w:p>
        </w:tc>
        <w:tc>
          <w:tcPr>
            <w:tcW w:w="650" w:type="pct"/>
            <w:noWrap w:val="0"/>
            <w:vAlign w:val="center"/>
          </w:tcPr>
          <w:p w14:paraId="793827BB">
            <w:pPr>
              <w:pStyle w:val="201"/>
            </w:pPr>
          </w:p>
        </w:tc>
        <w:tc>
          <w:tcPr>
            <w:tcW w:w="342" w:type="pct"/>
            <w:noWrap w:val="0"/>
            <w:vAlign w:val="center"/>
          </w:tcPr>
          <w:p w14:paraId="0F1D27F9">
            <w:pPr>
              <w:pStyle w:val="201"/>
            </w:pPr>
          </w:p>
        </w:tc>
        <w:tc>
          <w:tcPr>
            <w:tcW w:w="725" w:type="pct"/>
            <w:noWrap w:val="0"/>
            <w:vAlign w:val="center"/>
          </w:tcPr>
          <w:p w14:paraId="6138946B">
            <w:pPr>
              <w:pStyle w:val="201"/>
            </w:pPr>
          </w:p>
        </w:tc>
        <w:tc>
          <w:tcPr>
            <w:tcW w:w="577" w:type="pct"/>
            <w:noWrap w:val="0"/>
            <w:vAlign w:val="center"/>
          </w:tcPr>
          <w:p w14:paraId="441104CC">
            <w:pPr>
              <w:pStyle w:val="201"/>
            </w:pPr>
          </w:p>
        </w:tc>
        <w:tc>
          <w:tcPr>
            <w:tcW w:w="616" w:type="pct"/>
            <w:noWrap w:val="0"/>
            <w:vAlign w:val="center"/>
          </w:tcPr>
          <w:p w14:paraId="15841BB2">
            <w:pPr>
              <w:pStyle w:val="201"/>
            </w:pPr>
          </w:p>
        </w:tc>
      </w:tr>
      <w:tr w14:paraId="5DE36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3" w:hRule="atLeast"/>
        </w:trPr>
        <w:tc>
          <w:tcPr>
            <w:tcW w:w="618" w:type="pct"/>
            <w:gridSpan w:val="2"/>
            <w:noWrap w:val="0"/>
            <w:vAlign w:val="center"/>
          </w:tcPr>
          <w:p w14:paraId="595D9079">
            <w:pPr>
              <w:pStyle w:val="201"/>
            </w:pPr>
            <w:r>
              <w:rPr>
                <w:rFonts w:hint="eastAsia"/>
              </w:rPr>
              <w:t>总价</w:t>
            </w:r>
          </w:p>
        </w:tc>
        <w:tc>
          <w:tcPr>
            <w:tcW w:w="4381" w:type="pct"/>
            <w:gridSpan w:val="6"/>
            <w:noWrap w:val="0"/>
            <w:vAlign w:val="center"/>
          </w:tcPr>
          <w:p w14:paraId="040837F2">
            <w:pPr>
              <w:pStyle w:val="201"/>
            </w:pPr>
            <w:r>
              <w:rPr>
                <w:rFonts w:hint="eastAsia"/>
              </w:rPr>
              <w:t xml:space="preserve">大写： </w:t>
            </w:r>
            <w:r>
              <w:t xml:space="preserve">             </w:t>
            </w:r>
            <w:r>
              <w:rPr>
                <w:rFonts w:hint="eastAsia"/>
              </w:rPr>
              <w:t xml:space="preserve">（小写：￥ </w:t>
            </w:r>
            <w:r>
              <w:t xml:space="preserve">      </w:t>
            </w:r>
            <w:r>
              <w:rPr>
                <w:rFonts w:hint="eastAsia"/>
              </w:rPr>
              <w:t>元）</w:t>
            </w:r>
          </w:p>
        </w:tc>
      </w:tr>
    </w:tbl>
    <w:p w14:paraId="4AE36475">
      <w:pPr>
        <w:widowControl/>
        <w:numPr>
          <w:ilvl w:val="255"/>
          <w:numId w:val="0"/>
        </w:numPr>
        <w:spacing w:line="360" w:lineRule="auto"/>
        <w:jc w:val="left"/>
        <w:rPr>
          <w:rFonts w:hint="eastAsia" w:ascii="宋体" w:hAnsi="宋体"/>
          <w:sz w:val="24"/>
          <w:highlight w:val="none"/>
        </w:rPr>
      </w:pPr>
      <w:r>
        <w:rPr>
          <w:rFonts w:hint="eastAsia" w:ascii="宋体" w:hAnsi="宋体" w:cs="宋体"/>
          <w:sz w:val="24"/>
          <w:highlight w:val="none"/>
        </w:rPr>
        <w:t>注：</w:t>
      </w:r>
      <w:r>
        <w:rPr>
          <w:rFonts w:hint="eastAsia" w:ascii="宋体" w:hAnsi="宋体"/>
          <w:sz w:val="24"/>
          <w:highlight w:val="none"/>
        </w:rPr>
        <w:t>1）报价除标的物的价款外还应包括（但不限于）标的物、采购、包装、运输、验收、售后服务、货物（含附配件）的价格、安装调试、包装费、运输费、装卸费、保险费、验收费、与各类系统对接、设备接入兼容所需的费用、技术服务费、检测费、售后服务费、保险、招标代理费、规费、税费等全部费用。</w:t>
      </w:r>
    </w:p>
    <w:p w14:paraId="2619771A">
      <w:pPr>
        <w:spacing w:line="360" w:lineRule="auto"/>
        <w:ind w:firstLine="480"/>
        <w:rPr>
          <w:rFonts w:hint="eastAsia" w:ascii="宋体" w:hAnsi="宋体"/>
          <w:sz w:val="24"/>
          <w:highlight w:val="none"/>
        </w:rPr>
      </w:pPr>
      <w:r>
        <w:rPr>
          <w:rFonts w:hint="eastAsia" w:ascii="宋体" w:hAnsi="宋体"/>
          <w:sz w:val="24"/>
          <w:highlight w:val="none"/>
        </w:rPr>
        <w:t>2）除清单中明确总价包干的项以外，其他项采用按实结算方式，综合单价不论在何种情况下一律不予调整，供货时按实际供货并通过验收的数量结算。结算价=Σ中标综合单价*实际供货并通过验收的数量。</w:t>
      </w:r>
    </w:p>
    <w:p w14:paraId="3F1C3EE1">
      <w:pPr>
        <w:widowControl/>
        <w:numPr>
          <w:ilvl w:val="255"/>
          <w:numId w:val="0"/>
        </w:numPr>
        <w:spacing w:line="360" w:lineRule="auto"/>
        <w:jc w:val="left"/>
        <w:rPr>
          <w:rFonts w:ascii="宋体" w:hAnsi="宋体" w:cs="宋体"/>
          <w:color w:val="auto"/>
          <w:sz w:val="24"/>
          <w:highlight w:val="none"/>
        </w:rPr>
      </w:pPr>
      <w:r>
        <w:rPr>
          <w:rFonts w:hint="eastAsia" w:ascii="宋体" w:hAnsi="宋体" w:cs="宋体"/>
          <w:sz w:val="24"/>
          <w:highlight w:val="none"/>
        </w:rPr>
        <w:t xml:space="preserve">   （</w:t>
      </w:r>
      <w:r>
        <w:rPr>
          <w:rFonts w:ascii="宋体" w:hAnsi="宋体" w:cs="宋体"/>
          <w:sz w:val="24"/>
          <w:highlight w:val="none"/>
        </w:rPr>
        <w:t>4</w:t>
      </w:r>
      <w:r>
        <w:rPr>
          <w:rFonts w:hint="eastAsia" w:ascii="宋体" w:hAnsi="宋体" w:cs="宋体"/>
          <w:sz w:val="24"/>
          <w:highlight w:val="none"/>
        </w:rPr>
        <w:t>）政府采购组织形</w:t>
      </w:r>
      <w:r>
        <w:rPr>
          <w:rFonts w:hint="eastAsia" w:ascii="宋体" w:hAnsi="宋体" w:cs="宋体"/>
          <w:color w:val="auto"/>
          <w:sz w:val="24"/>
          <w:highlight w:val="none"/>
        </w:rPr>
        <w:t>式：</w:t>
      </w:r>
      <w:r>
        <w:rPr>
          <w:rFonts w:ascii="Wingdings" w:hAnsi="Wingdings" w:eastAsia="Wingdings" w:cs="Wingdings"/>
          <w:color w:val="auto"/>
          <w:sz w:val="24"/>
          <w:highlight w:val="none"/>
        </w:rPr>
        <w:t></w:t>
      </w:r>
      <w:r>
        <w:rPr>
          <w:rFonts w:hint="eastAsia" w:ascii="宋体" w:hAnsi="宋体" w:cs="宋体"/>
          <w:color w:val="auto"/>
          <w:sz w:val="24"/>
          <w:highlight w:val="none"/>
        </w:rPr>
        <w:t>政府集中采购</w:t>
      </w:r>
      <w:r>
        <w:rPr>
          <w:rFonts w:ascii="Wingdings" w:hAnsi="Wingdings" w:eastAsia="Wingdings" w:cs="Wingdings"/>
          <w:color w:val="auto"/>
          <w:sz w:val="24"/>
          <w:highlight w:val="none"/>
        </w:rPr>
        <w:t></w:t>
      </w:r>
      <w:r>
        <w:rPr>
          <w:rFonts w:hint="eastAsia" w:ascii="宋体" w:hAnsi="宋体" w:cs="宋体"/>
          <w:color w:val="auto"/>
          <w:sz w:val="24"/>
          <w:highlight w:val="none"/>
        </w:rPr>
        <w:t xml:space="preserve">部门集中采购 </w:t>
      </w:r>
      <w:r>
        <w:rPr>
          <w:rFonts w:ascii="Wingdings" w:hAnsi="Wingdings" w:eastAsia="Wingdings" w:cs="Wingdings"/>
          <w:b/>
          <w:bCs/>
          <w:color w:val="auto"/>
          <w:sz w:val="24"/>
          <w:highlight w:val="none"/>
        </w:rPr>
        <w:sym w:font="Wingdings" w:char="00FE"/>
      </w:r>
      <w:r>
        <w:rPr>
          <w:rFonts w:hint="eastAsia" w:ascii="Wingdings" w:hAnsi="Wingdings" w:eastAsia="Wingdings" w:cs="Wingdings"/>
          <w:b/>
          <w:bCs/>
          <w:color w:val="auto"/>
          <w:sz w:val="24"/>
          <w:highlight w:val="none"/>
        </w:rPr>
        <w:t>分散采购</w:t>
      </w:r>
    </w:p>
    <w:p w14:paraId="6EF95825">
      <w:pPr>
        <w:widowControl/>
        <w:numPr>
          <w:ilvl w:val="255"/>
          <w:numId w:val="0"/>
        </w:numPr>
        <w:spacing w:line="360" w:lineRule="auto"/>
        <w:ind w:firstLine="420"/>
        <w:jc w:val="left"/>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）政府采购方式：</w:t>
      </w:r>
      <w:r>
        <w:rPr>
          <w:rFonts w:ascii="Wingdings" w:hAnsi="Wingdings" w:eastAsia="Wingdings" w:cs="Wingdings"/>
          <w:b/>
          <w:bCs/>
          <w:color w:val="auto"/>
          <w:sz w:val="24"/>
          <w:highlight w:val="none"/>
        </w:rPr>
        <w:sym w:font="Wingdings" w:char="00FE"/>
      </w:r>
      <w:r>
        <w:rPr>
          <w:rFonts w:hint="eastAsia" w:ascii="宋体" w:hAnsi="宋体" w:cs="宋体"/>
          <w:b/>
          <w:bCs/>
          <w:color w:val="auto"/>
          <w:sz w:val="24"/>
          <w:highlight w:val="none"/>
        </w:rPr>
        <w:t>公开招标</w:t>
      </w:r>
      <w:r>
        <w:rPr>
          <w:rFonts w:ascii="Wingdings" w:hAnsi="Wingdings" w:eastAsia="Wingdings" w:cs="Wingdings"/>
          <w:color w:val="auto"/>
          <w:sz w:val="24"/>
          <w:highlight w:val="none"/>
        </w:rPr>
        <w:t></w:t>
      </w:r>
      <w:r>
        <w:rPr>
          <w:rFonts w:hint="eastAsia" w:ascii="宋体" w:hAnsi="宋体" w:cs="宋体"/>
          <w:color w:val="auto"/>
          <w:sz w:val="24"/>
          <w:highlight w:val="none"/>
        </w:rPr>
        <w:t>邀请招标</w:t>
      </w:r>
      <w:r>
        <w:rPr>
          <w:rFonts w:ascii="Wingdings" w:hAnsi="Wingdings" w:eastAsia="Wingdings" w:cs="Wingdings"/>
          <w:color w:val="auto"/>
          <w:sz w:val="24"/>
          <w:highlight w:val="none"/>
        </w:rPr>
        <w:t></w:t>
      </w:r>
      <w:r>
        <w:rPr>
          <w:rFonts w:hint="eastAsia" w:ascii="宋体" w:hAnsi="宋体" w:cs="宋体"/>
          <w:color w:val="auto"/>
          <w:sz w:val="24"/>
          <w:highlight w:val="none"/>
        </w:rPr>
        <w:t>竞争性谈判</w:t>
      </w:r>
      <w:r>
        <w:rPr>
          <w:rFonts w:ascii="Wingdings" w:hAnsi="Wingdings" w:eastAsia="Wingdings" w:cs="Wingdings"/>
          <w:color w:val="auto"/>
          <w:sz w:val="24"/>
          <w:highlight w:val="none"/>
        </w:rPr>
        <w:t></w:t>
      </w:r>
      <w:r>
        <w:rPr>
          <w:rFonts w:hint="eastAsia" w:ascii="宋体" w:hAnsi="宋体" w:cs="宋体"/>
          <w:color w:val="auto"/>
          <w:sz w:val="24"/>
          <w:highlight w:val="none"/>
        </w:rPr>
        <w:t>竞争性磋商</w:t>
      </w:r>
    </w:p>
    <w:p w14:paraId="6BE7949E">
      <w:pPr>
        <w:widowControl/>
        <w:numPr>
          <w:ilvl w:val="255"/>
          <w:numId w:val="0"/>
        </w:numPr>
        <w:spacing w:line="360" w:lineRule="auto"/>
        <w:ind w:firstLine="420"/>
        <w:jc w:val="left"/>
        <w:rPr>
          <w:rFonts w:ascii="宋体" w:hAnsi="宋体" w:cs="宋体"/>
          <w:sz w:val="24"/>
          <w:highlight w:val="none"/>
          <w:u w:val="single"/>
        </w:rPr>
      </w:pPr>
      <w:r>
        <w:rPr>
          <w:rFonts w:ascii="Wingdings" w:hAnsi="Wingdings" w:eastAsia="Wingdings" w:cs="Wingdings"/>
          <w:sz w:val="24"/>
          <w:highlight w:val="none"/>
        </w:rPr>
        <w:t></w:t>
      </w:r>
      <w:r>
        <w:rPr>
          <w:rFonts w:hint="eastAsia" w:ascii="宋体" w:hAnsi="宋体" w:cs="宋体"/>
          <w:sz w:val="24"/>
          <w:highlight w:val="none"/>
        </w:rPr>
        <w:t>询价</w:t>
      </w:r>
      <w:r>
        <w:rPr>
          <w:rFonts w:ascii="Wingdings" w:hAnsi="Wingdings" w:eastAsia="Wingdings" w:cs="Wingdings"/>
          <w:sz w:val="24"/>
          <w:highlight w:val="none"/>
        </w:rPr>
        <w:t></w:t>
      </w:r>
      <w:r>
        <w:rPr>
          <w:rFonts w:hint="eastAsia" w:ascii="宋体" w:hAnsi="宋体" w:cs="宋体"/>
          <w:sz w:val="24"/>
          <w:highlight w:val="none"/>
        </w:rPr>
        <w:t>单一来源</w:t>
      </w:r>
      <w:r>
        <w:rPr>
          <w:rFonts w:ascii="Wingdings" w:hAnsi="Wingdings" w:eastAsia="Wingdings" w:cs="Wingdings"/>
          <w:sz w:val="24"/>
          <w:highlight w:val="none"/>
        </w:rPr>
        <w:t></w:t>
      </w:r>
      <w:r>
        <w:rPr>
          <w:rFonts w:hint="eastAsia" w:ascii="宋体" w:hAnsi="宋体" w:cs="宋体"/>
          <w:sz w:val="24"/>
          <w:highlight w:val="none"/>
        </w:rPr>
        <w:t>框架协议</w:t>
      </w:r>
      <w:r>
        <w:rPr>
          <w:rFonts w:ascii="Wingdings" w:hAnsi="Wingdings" w:eastAsia="Wingdings" w:cs="Wingdings"/>
          <w:sz w:val="24"/>
          <w:highlight w:val="none"/>
        </w:rPr>
        <w:t></w:t>
      </w:r>
      <w:r>
        <w:rPr>
          <w:rFonts w:hint="eastAsia" w:ascii="宋体" w:hAnsi="宋体" w:cs="宋体"/>
          <w:sz w:val="24"/>
          <w:highlight w:val="none"/>
        </w:rPr>
        <w:t>其他：</w:t>
      </w:r>
    </w:p>
    <w:p w14:paraId="4AF326BA">
      <w:pPr>
        <w:widowControl/>
        <w:numPr>
          <w:ilvl w:val="255"/>
          <w:numId w:val="0"/>
        </w:numPr>
        <w:spacing w:line="360" w:lineRule="auto"/>
        <w:ind w:firstLine="240"/>
        <w:jc w:val="left"/>
        <w:rPr>
          <w:rFonts w:ascii="宋体" w:hAnsi="宋体"/>
          <w:color w:val="auto"/>
          <w:sz w:val="24"/>
          <w:highlight w:val="none"/>
        </w:rPr>
      </w:pPr>
      <w:r>
        <w:rPr>
          <w:rFonts w:hint="eastAsia" w:ascii="宋体" w:hAnsi="宋体" w:eastAsia="华文楷体" w:cs="华文楷体"/>
          <w:color w:val="auto"/>
          <w:sz w:val="24"/>
          <w:highlight w:val="none"/>
        </w:rPr>
        <w:t xml:space="preserve"> （</w:t>
      </w:r>
      <w:r>
        <w:rPr>
          <w:rFonts w:ascii="宋体" w:hAnsi="宋体" w:eastAsia="华文楷体" w:cs="华文楷体"/>
          <w:color w:val="auto"/>
          <w:sz w:val="24"/>
          <w:highlight w:val="none"/>
        </w:rPr>
        <w:t>6</w:t>
      </w:r>
      <w:r>
        <w:rPr>
          <w:rFonts w:hint="eastAsia" w:ascii="宋体" w:hAnsi="宋体" w:eastAsia="华文楷体" w:cs="华文楷体"/>
          <w:color w:val="auto"/>
          <w:sz w:val="24"/>
          <w:highlight w:val="none"/>
        </w:rPr>
        <w:t>）</w:t>
      </w:r>
      <w:r>
        <w:rPr>
          <w:rFonts w:hint="eastAsia" w:ascii="宋体" w:hAnsi="宋体"/>
          <w:color w:val="auto"/>
          <w:sz w:val="24"/>
          <w:highlight w:val="none"/>
        </w:rPr>
        <w:t>中标（成交）采购标的制造商是否为中小企业：</w:t>
      </w:r>
      <w:r>
        <w:rPr>
          <w:rFonts w:ascii="Wingdings" w:hAnsi="Wingdings" w:eastAsia="Wingdings" w:cs="Wingdings"/>
          <w:color w:val="auto"/>
          <w:sz w:val="24"/>
          <w:highlight w:val="none"/>
        </w:rPr>
        <w:t></w:t>
      </w:r>
      <w:r>
        <w:rPr>
          <w:rFonts w:hint="eastAsia" w:ascii="宋体" w:hAnsi="宋体"/>
          <w:color w:val="auto"/>
          <w:sz w:val="24"/>
          <w:highlight w:val="none"/>
        </w:rPr>
        <w:t xml:space="preserve">是  </w:t>
      </w:r>
      <w:r>
        <w:rPr>
          <w:rFonts w:ascii="Wingdings" w:hAnsi="Wingdings" w:eastAsia="Wingdings" w:cs="Wingdings"/>
          <w:color w:val="auto"/>
          <w:sz w:val="24"/>
          <w:highlight w:val="none"/>
        </w:rPr>
        <w:t></w:t>
      </w:r>
      <w:r>
        <w:rPr>
          <w:rFonts w:hint="eastAsia" w:ascii="宋体" w:hAnsi="宋体"/>
          <w:color w:val="auto"/>
          <w:sz w:val="24"/>
          <w:highlight w:val="none"/>
        </w:rPr>
        <w:t>否</w:t>
      </w:r>
      <w:r>
        <w:rPr>
          <w:rFonts w:hint="eastAsia" w:ascii="宋体" w:hAnsi="宋体"/>
          <w:b/>
          <w:bCs/>
          <w:color w:val="auto"/>
          <w:sz w:val="24"/>
          <w:highlight w:val="none"/>
          <w:u w:val="single"/>
        </w:rPr>
        <w:t>（以成交情况为准）</w:t>
      </w:r>
    </w:p>
    <w:p w14:paraId="00D5C43C">
      <w:pPr>
        <w:numPr>
          <w:ilvl w:val="255"/>
          <w:numId w:val="0"/>
        </w:numPr>
        <w:spacing w:line="360" w:lineRule="auto"/>
        <w:rPr>
          <w:rFonts w:hint="eastAsia" w:ascii="宋体" w:hAnsi="宋体" w:eastAsiaTheme="minorEastAsia"/>
          <w:b/>
          <w:bCs/>
          <w:color w:val="auto"/>
          <w:sz w:val="24"/>
          <w:highlight w:val="none"/>
          <w:u w:val="single"/>
          <w:lang w:val="en-US" w:eastAsia="zh-CN"/>
        </w:rPr>
      </w:pPr>
      <w:r>
        <w:rPr>
          <w:rFonts w:hint="eastAsia" w:ascii="宋体" w:hAnsi="宋体"/>
          <w:color w:val="auto"/>
          <w:sz w:val="24"/>
          <w:highlight w:val="none"/>
        </w:rPr>
        <w:t xml:space="preserve">   本合同是否为专门面向中小企业的采购合同（中小企业预留合同）：</w:t>
      </w:r>
      <w:r>
        <w:rPr>
          <w:rFonts w:hint="eastAsia" w:ascii="宋体" w:hAnsi="宋体"/>
          <w:b/>
          <w:bCs/>
          <w:color w:val="auto"/>
          <w:sz w:val="24"/>
          <w:highlight w:val="none"/>
          <w:u w:val="single"/>
        </w:rPr>
        <w:t xml:space="preserve"> 否</w:t>
      </w:r>
      <w:r>
        <w:rPr>
          <w:rFonts w:hint="eastAsia" w:ascii="宋体" w:hAnsi="宋体"/>
          <w:b/>
          <w:bCs/>
          <w:color w:val="auto"/>
          <w:sz w:val="24"/>
          <w:highlight w:val="none"/>
          <w:u w:val="single"/>
          <w:lang w:val="en-US" w:eastAsia="zh-CN"/>
        </w:rPr>
        <w:t xml:space="preserve"> </w:t>
      </w:r>
    </w:p>
    <w:p w14:paraId="622BA0A9">
      <w:pPr>
        <w:numPr>
          <w:ilvl w:val="255"/>
          <w:numId w:val="0"/>
        </w:numPr>
        <w:spacing w:line="360" w:lineRule="auto"/>
        <w:rPr>
          <w:rFonts w:hint="eastAsia" w:ascii="宋体" w:hAnsi="宋体"/>
          <w:b/>
          <w:bCs/>
          <w:color w:val="auto"/>
          <w:sz w:val="24"/>
          <w:highlight w:val="none"/>
          <w:u w:val="single"/>
          <w:lang w:val="en-US" w:eastAsia="zh-CN"/>
        </w:rPr>
      </w:pPr>
      <w:r>
        <w:rPr>
          <w:rFonts w:hint="eastAsia"/>
          <w:color w:val="auto"/>
          <w:sz w:val="24"/>
          <w:highlight w:val="none"/>
        </w:rPr>
        <w:t xml:space="preserve">   若本项目不专门面向中小企业采购，是否给予小微企业评审优惠：</w:t>
      </w:r>
      <w:r>
        <w:rPr>
          <w:rFonts w:hint="eastAsia" w:ascii="宋体" w:hAnsi="宋体"/>
          <w:b/>
          <w:bCs/>
          <w:color w:val="auto"/>
          <w:sz w:val="24"/>
          <w:highlight w:val="none"/>
          <w:u w:val="single"/>
        </w:rPr>
        <w:t>是</w:t>
      </w:r>
      <w:r>
        <w:rPr>
          <w:rFonts w:hint="eastAsia" w:ascii="宋体" w:hAnsi="宋体"/>
          <w:b/>
          <w:bCs/>
          <w:color w:val="auto"/>
          <w:sz w:val="24"/>
          <w:highlight w:val="none"/>
          <w:u w:val="single"/>
          <w:lang w:val="en-US" w:eastAsia="zh-CN"/>
        </w:rPr>
        <w:t xml:space="preserve"> </w:t>
      </w:r>
    </w:p>
    <w:p w14:paraId="0FA18D3E">
      <w:pPr>
        <w:numPr>
          <w:ilvl w:val="255"/>
          <w:numId w:val="0"/>
        </w:numPr>
        <w:spacing w:line="360" w:lineRule="auto"/>
        <w:rPr>
          <w:rFonts w:hint="eastAsia" w:ascii="宋体" w:hAnsi="宋体" w:eastAsiaTheme="minorEastAsia"/>
          <w:iCs/>
          <w:color w:val="auto"/>
          <w:sz w:val="24"/>
          <w:highlight w:val="none"/>
          <w:lang w:eastAsia="zh-CN"/>
        </w:rPr>
      </w:pPr>
      <w:r>
        <w:rPr>
          <w:rFonts w:hint="eastAsia"/>
          <w:color w:val="auto"/>
          <w:sz w:val="24"/>
          <w:highlight w:val="none"/>
        </w:rPr>
        <w:t xml:space="preserve">   中标（成交）采购标的制造商是否为残疾人福利性单位</w:t>
      </w:r>
      <w:r>
        <w:rPr>
          <w:rFonts w:hint="eastAsia"/>
          <w:color w:val="auto"/>
          <w:sz w:val="24"/>
          <w:highlight w:val="none"/>
          <w:lang w:eastAsia="zh-CN"/>
        </w:rPr>
        <w:t>：</w:t>
      </w:r>
      <w:r>
        <w:rPr>
          <w:rFonts w:hint="eastAsia" w:ascii="宋体" w:hAnsi="宋体"/>
          <w:b/>
          <w:bCs/>
          <w:color w:val="auto"/>
          <w:sz w:val="24"/>
          <w:highlight w:val="none"/>
          <w:u w:val="single"/>
        </w:rPr>
        <w:t xml:space="preserve"> 否</w:t>
      </w:r>
      <w:r>
        <w:rPr>
          <w:rFonts w:hint="eastAsia" w:ascii="宋体" w:hAnsi="宋体"/>
          <w:b/>
          <w:bCs/>
          <w:color w:val="auto"/>
          <w:sz w:val="24"/>
          <w:highlight w:val="none"/>
          <w:u w:val="single"/>
          <w:lang w:val="en-US" w:eastAsia="zh-CN"/>
        </w:rPr>
        <w:t xml:space="preserve"> </w:t>
      </w:r>
    </w:p>
    <w:p w14:paraId="408C49F7">
      <w:pPr>
        <w:spacing w:line="360" w:lineRule="auto"/>
        <w:rPr>
          <w:color w:val="auto"/>
          <w:sz w:val="24"/>
          <w:highlight w:val="none"/>
        </w:rPr>
      </w:pPr>
      <w:r>
        <w:rPr>
          <w:rFonts w:hint="eastAsia"/>
          <w:color w:val="auto"/>
          <w:sz w:val="24"/>
          <w:highlight w:val="none"/>
        </w:rPr>
        <w:t xml:space="preserve">   中标（成交）采购标的制造商是否为监狱企业：</w:t>
      </w:r>
      <w:r>
        <w:rPr>
          <w:rFonts w:hint="eastAsia" w:ascii="宋体" w:hAnsi="宋体"/>
          <w:b/>
          <w:bCs/>
          <w:color w:val="auto"/>
          <w:sz w:val="24"/>
          <w:highlight w:val="none"/>
          <w:u w:val="single"/>
        </w:rPr>
        <w:t xml:space="preserve"> 否</w:t>
      </w:r>
      <w:r>
        <w:rPr>
          <w:rFonts w:hint="eastAsia" w:ascii="宋体" w:hAnsi="宋体"/>
          <w:b/>
          <w:bCs/>
          <w:color w:val="auto"/>
          <w:sz w:val="24"/>
          <w:highlight w:val="none"/>
          <w:u w:val="single"/>
          <w:lang w:val="en-US" w:eastAsia="zh-CN"/>
        </w:rPr>
        <w:t xml:space="preserve"> </w:t>
      </w:r>
    </w:p>
    <w:p w14:paraId="604C962A">
      <w:pPr>
        <w:spacing w:line="360" w:lineRule="auto"/>
        <w:ind w:firstLine="48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7</w:t>
      </w:r>
      <w:r>
        <w:rPr>
          <w:rFonts w:hint="eastAsia" w:ascii="宋体" w:hAnsi="宋体"/>
          <w:color w:val="auto"/>
          <w:sz w:val="24"/>
          <w:highlight w:val="none"/>
        </w:rPr>
        <w:t>）合同是否分包：</w:t>
      </w:r>
      <w:r>
        <w:rPr>
          <w:rFonts w:hint="eastAsia" w:ascii="宋体" w:hAnsi="宋体"/>
          <w:b/>
          <w:bCs/>
          <w:color w:val="auto"/>
          <w:sz w:val="24"/>
          <w:highlight w:val="none"/>
          <w:u w:val="single"/>
        </w:rPr>
        <w:t xml:space="preserve"> 否</w:t>
      </w:r>
      <w:r>
        <w:rPr>
          <w:rFonts w:hint="eastAsia" w:ascii="宋体" w:hAnsi="宋体"/>
          <w:b/>
          <w:bCs/>
          <w:color w:val="auto"/>
          <w:sz w:val="24"/>
          <w:highlight w:val="none"/>
          <w:u w:val="single"/>
          <w:lang w:val="en-US" w:eastAsia="zh-CN"/>
        </w:rPr>
        <w:t xml:space="preserve"> </w:t>
      </w:r>
    </w:p>
    <w:p w14:paraId="3A9F7147">
      <w:pPr>
        <w:numPr>
          <w:ilvl w:val="255"/>
          <w:numId w:val="0"/>
        </w:numPr>
        <w:spacing w:line="360" w:lineRule="auto"/>
        <w:ind w:firstLine="480"/>
        <w:rPr>
          <w:rFonts w:ascii="宋体" w:hAnsi="宋体" w:cs="宋体"/>
          <w:iCs/>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8</w:t>
      </w:r>
      <w:r>
        <w:rPr>
          <w:rFonts w:hint="eastAsia" w:ascii="宋体" w:hAnsi="宋体" w:cs="宋体"/>
          <w:color w:val="auto"/>
          <w:sz w:val="24"/>
          <w:highlight w:val="none"/>
        </w:rPr>
        <w:t>）中标（成交）供应商是否为外商投资企业：</w:t>
      </w:r>
      <w:r>
        <w:rPr>
          <w:rFonts w:hint="eastAsia" w:ascii="宋体" w:hAnsi="宋体"/>
          <w:b/>
          <w:bCs/>
          <w:color w:val="auto"/>
          <w:sz w:val="24"/>
          <w:highlight w:val="none"/>
          <w:u w:val="single"/>
        </w:rPr>
        <w:t xml:space="preserve"> 否</w:t>
      </w:r>
      <w:r>
        <w:rPr>
          <w:rFonts w:hint="eastAsia" w:ascii="宋体" w:hAnsi="宋体"/>
          <w:b/>
          <w:bCs/>
          <w:color w:val="auto"/>
          <w:sz w:val="24"/>
          <w:highlight w:val="none"/>
          <w:u w:val="single"/>
          <w:lang w:val="en-US" w:eastAsia="zh-CN"/>
        </w:rPr>
        <w:t xml:space="preserve"> </w:t>
      </w:r>
    </w:p>
    <w:p w14:paraId="0DB072C9">
      <w:pPr>
        <w:widowControl/>
        <w:tabs>
          <w:tab w:val="left" w:pos="1340"/>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9</w:t>
      </w:r>
      <w:r>
        <w:rPr>
          <w:rFonts w:hint="eastAsia" w:ascii="宋体" w:hAnsi="宋体" w:cs="宋体"/>
          <w:color w:val="auto"/>
          <w:sz w:val="24"/>
          <w:highlight w:val="none"/>
        </w:rPr>
        <w:t>）是否涉及进口产品：</w:t>
      </w:r>
      <w:r>
        <w:rPr>
          <w:rFonts w:hint="eastAsia" w:ascii="宋体" w:hAnsi="宋体"/>
          <w:b/>
          <w:bCs/>
          <w:color w:val="auto"/>
          <w:sz w:val="24"/>
          <w:highlight w:val="none"/>
          <w:u w:val="single"/>
        </w:rPr>
        <w:t xml:space="preserve"> 否</w:t>
      </w:r>
      <w:r>
        <w:rPr>
          <w:rFonts w:hint="eastAsia" w:ascii="宋体" w:hAnsi="宋体"/>
          <w:b/>
          <w:bCs/>
          <w:color w:val="auto"/>
          <w:sz w:val="24"/>
          <w:highlight w:val="none"/>
          <w:u w:val="single"/>
          <w:lang w:val="en-US" w:eastAsia="zh-CN"/>
        </w:rPr>
        <w:t xml:space="preserve"> </w:t>
      </w:r>
    </w:p>
    <w:p w14:paraId="4A1CC7CC">
      <w:pPr>
        <w:numPr>
          <w:ilvl w:val="255"/>
          <w:numId w:val="0"/>
        </w:numPr>
        <w:tabs>
          <w:tab w:val="left" w:pos="740"/>
        </w:tabs>
        <w:spacing w:line="360" w:lineRule="auto"/>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0</w:t>
      </w:r>
      <w:r>
        <w:rPr>
          <w:rFonts w:hint="eastAsia" w:ascii="宋体" w:hAnsi="宋体"/>
          <w:color w:val="auto"/>
          <w:sz w:val="24"/>
          <w:highlight w:val="none"/>
        </w:rPr>
        <w:t>）是否涉及节能产品：</w:t>
      </w:r>
      <w:r>
        <w:rPr>
          <w:rFonts w:hint="eastAsia" w:ascii="宋体" w:hAnsi="宋体"/>
          <w:b/>
          <w:bCs/>
          <w:color w:val="auto"/>
          <w:sz w:val="24"/>
          <w:highlight w:val="none"/>
          <w:u w:val="single"/>
        </w:rPr>
        <w:t xml:space="preserve"> 否</w:t>
      </w:r>
      <w:r>
        <w:rPr>
          <w:rFonts w:hint="eastAsia" w:ascii="宋体" w:hAnsi="宋体"/>
          <w:b/>
          <w:bCs/>
          <w:color w:val="auto"/>
          <w:sz w:val="24"/>
          <w:highlight w:val="none"/>
          <w:u w:val="single"/>
          <w:lang w:val="en-US" w:eastAsia="zh-CN"/>
        </w:rPr>
        <w:t xml:space="preserve"> </w:t>
      </w:r>
    </w:p>
    <w:p w14:paraId="07566E85">
      <w:pPr>
        <w:numPr>
          <w:ilvl w:val="255"/>
          <w:numId w:val="0"/>
        </w:numPr>
        <w:spacing w:line="360" w:lineRule="auto"/>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1</w:t>
      </w:r>
      <w:r>
        <w:rPr>
          <w:rFonts w:hint="eastAsia" w:ascii="宋体" w:hAnsi="宋体"/>
          <w:color w:val="auto"/>
          <w:sz w:val="24"/>
          <w:highlight w:val="none"/>
        </w:rPr>
        <w:t>）涉及商品包装和快递包装的，是否参考《商品包装政府采购需求标准（试行）</w:t>
      </w:r>
      <w:r>
        <w:rPr>
          <w:rFonts w:hint="eastAsia" w:ascii="宋体" w:hAnsi="宋体"/>
          <w:color w:val="auto"/>
          <w:sz w:val="24"/>
          <w:highlight w:val="none"/>
          <w:lang w:eastAsia="zh-CN"/>
        </w:rPr>
        <w:t>》《</w:t>
      </w:r>
      <w:r>
        <w:rPr>
          <w:rFonts w:hint="eastAsia" w:ascii="宋体" w:hAnsi="宋体"/>
          <w:color w:val="auto"/>
          <w:sz w:val="24"/>
          <w:highlight w:val="none"/>
        </w:rPr>
        <w:t>快递包装政府采购需求标准（试行）》明确产品及相关快递服务的具体包装要求：</w:t>
      </w:r>
      <w:r>
        <w:rPr>
          <w:rFonts w:hint="eastAsia" w:ascii="宋体" w:hAnsi="宋体"/>
          <w:b/>
          <w:bCs/>
          <w:color w:val="auto"/>
          <w:sz w:val="24"/>
          <w:highlight w:val="none"/>
          <w:u w:val="single"/>
        </w:rPr>
        <w:t xml:space="preserve"> </w:t>
      </w:r>
      <w:r>
        <w:rPr>
          <w:rFonts w:hint="eastAsia" w:ascii="宋体" w:hAnsi="宋体"/>
          <w:b/>
          <w:bCs/>
          <w:color w:val="auto"/>
          <w:sz w:val="24"/>
          <w:highlight w:val="none"/>
          <w:u w:val="single"/>
          <w:lang w:val="en-US" w:eastAsia="zh-CN"/>
        </w:rPr>
        <w:t xml:space="preserve">不涉及 </w:t>
      </w:r>
    </w:p>
    <w:p w14:paraId="1D8F05A5">
      <w:pPr>
        <w:numPr>
          <w:ilvl w:val="0"/>
          <w:numId w:val="1"/>
        </w:numPr>
        <w:spacing w:line="360" w:lineRule="auto"/>
        <w:ind w:firstLine="482"/>
        <w:rPr>
          <w:rFonts w:ascii="宋体" w:hAnsi="宋体"/>
          <w:b/>
          <w:sz w:val="24"/>
          <w:highlight w:val="none"/>
        </w:rPr>
      </w:pPr>
      <w:r>
        <w:rPr>
          <w:rFonts w:hint="eastAsia" w:ascii="宋体" w:hAnsi="宋体"/>
          <w:b/>
          <w:sz w:val="24"/>
          <w:highlight w:val="none"/>
        </w:rPr>
        <w:t>合同金额</w:t>
      </w:r>
    </w:p>
    <w:p w14:paraId="25FB4BB0">
      <w:pPr>
        <w:spacing w:line="360" w:lineRule="auto"/>
        <w:ind w:firstLine="480"/>
        <w:rPr>
          <w:rFonts w:ascii="宋体" w:hAnsi="宋体"/>
          <w:sz w:val="24"/>
          <w:highlight w:val="none"/>
        </w:rPr>
      </w:pPr>
      <w:r>
        <w:rPr>
          <w:rFonts w:hint="eastAsia" w:ascii="宋体" w:hAnsi="宋体"/>
          <w:sz w:val="24"/>
          <w:highlight w:val="none"/>
        </w:rPr>
        <w:t>（1）合同金额小写：</w:t>
      </w:r>
      <w:r>
        <w:rPr>
          <w:rFonts w:hint="eastAsia" w:asciiTheme="minorEastAsia" w:hAnsiTheme="minorEastAsia"/>
          <w:szCs w:val="28"/>
          <w:u w:val="single"/>
        </w:rPr>
        <w:t xml:space="preserve"> </w:t>
      </w:r>
      <w:r>
        <w:rPr>
          <w:rFonts w:asciiTheme="minorEastAsia" w:hAnsiTheme="minorEastAsia"/>
          <w:szCs w:val="28"/>
          <w:u w:val="single"/>
        </w:rPr>
        <w:t xml:space="preserve">                       </w:t>
      </w:r>
      <w:r>
        <w:rPr>
          <w:rFonts w:hint="eastAsia" w:asciiTheme="minorEastAsia" w:hAnsiTheme="minorEastAsia"/>
          <w:szCs w:val="28"/>
          <w:u w:val="single"/>
          <w:lang w:val="en-US" w:eastAsia="zh-CN"/>
        </w:rPr>
        <w:t xml:space="preserve"> </w:t>
      </w:r>
      <w:r>
        <w:rPr>
          <w:rFonts w:asciiTheme="minorEastAsia" w:hAnsiTheme="minorEastAsia"/>
          <w:szCs w:val="28"/>
          <w:u w:val="single"/>
        </w:rPr>
        <w:t xml:space="preserve">                      </w:t>
      </w:r>
    </w:p>
    <w:p w14:paraId="1227B0D1">
      <w:pPr>
        <w:spacing w:line="360" w:lineRule="auto"/>
        <w:ind w:firstLine="600"/>
        <w:rPr>
          <w:rFonts w:ascii="宋体" w:hAnsi="宋体"/>
          <w:sz w:val="24"/>
          <w:highlight w:val="none"/>
          <w:u w:val="single"/>
        </w:rPr>
      </w:pPr>
      <w:r>
        <w:rPr>
          <w:rFonts w:hint="eastAsia" w:ascii="宋体" w:hAnsi="宋体"/>
          <w:sz w:val="24"/>
          <w:highlight w:val="none"/>
        </w:rPr>
        <w:t>大写：</w:t>
      </w:r>
      <w:r>
        <w:rPr>
          <w:rFonts w:hint="eastAsia" w:asciiTheme="minorEastAsia" w:hAnsiTheme="minorEastAsia"/>
          <w:szCs w:val="28"/>
          <w:u w:val="single"/>
        </w:rPr>
        <w:t xml:space="preserve"> </w:t>
      </w:r>
      <w:r>
        <w:rPr>
          <w:rFonts w:asciiTheme="minorEastAsia" w:hAnsiTheme="minorEastAsia"/>
          <w:szCs w:val="28"/>
          <w:u w:val="single"/>
        </w:rPr>
        <w:t xml:space="preserve">       </w:t>
      </w:r>
      <w:r>
        <w:rPr>
          <w:rFonts w:hint="eastAsia" w:asciiTheme="minorEastAsia" w:hAnsiTheme="minorEastAsia"/>
          <w:szCs w:val="28"/>
          <w:u w:val="single"/>
          <w:lang w:val="en-US" w:eastAsia="zh-CN"/>
        </w:rPr>
        <w:t xml:space="preserve">               </w:t>
      </w:r>
      <w:r>
        <w:rPr>
          <w:rFonts w:asciiTheme="minorEastAsia" w:hAnsiTheme="minorEastAsia"/>
          <w:szCs w:val="28"/>
          <w:u w:val="single"/>
        </w:rPr>
        <w:t xml:space="preserve">                                      </w:t>
      </w:r>
    </w:p>
    <w:p w14:paraId="5C31C02A">
      <w:pPr>
        <w:spacing w:line="360" w:lineRule="auto"/>
        <w:rPr>
          <w:rFonts w:ascii="宋体" w:hAnsi="宋体"/>
          <w:sz w:val="24"/>
          <w:highlight w:val="none"/>
        </w:rPr>
      </w:pPr>
      <w:r>
        <w:rPr>
          <w:rFonts w:hint="eastAsia" w:ascii="宋体" w:hAnsi="宋体"/>
          <w:sz w:val="24"/>
          <w:highlight w:val="none"/>
        </w:rPr>
        <w:t xml:space="preserve"> （2）付款方式：</w:t>
      </w:r>
    </w:p>
    <w:p w14:paraId="409A15C7">
      <w:pPr>
        <w:snapToGrid w:val="0"/>
        <w:spacing w:line="400" w:lineRule="exact"/>
        <w:ind w:firstLine="720" w:firstLineChars="300"/>
        <w:rPr>
          <w:rFonts w:hint="eastAsia" w:ascii="宋体" w:hAnsi="宋体" w:eastAsia="宋体" w:cs="宋体"/>
          <w:sz w:val="24"/>
          <w:szCs w:val="24"/>
          <w:highlight w:val="none"/>
          <w:u w:val="single"/>
          <w:lang w:val="en-US" w:eastAsia="zh-CN"/>
        </w:rPr>
      </w:pPr>
      <w:r>
        <w:rPr>
          <w:rFonts w:hint="eastAsia" w:ascii="宋体" w:hAnsi="宋体"/>
          <w:sz w:val="24"/>
          <w:highlight w:val="none"/>
        </w:rPr>
        <w:t>分期付款：</w:t>
      </w:r>
      <w:r>
        <w:rPr>
          <w:rFonts w:hint="eastAsia" w:ascii="宋体" w:hAnsi="宋体" w:eastAsia="宋体" w:cs="宋体"/>
          <w:sz w:val="24"/>
          <w:szCs w:val="24"/>
          <w:highlight w:val="none"/>
          <w:u w:val="single"/>
          <w:lang w:val="en-US" w:eastAsia="zh-CN"/>
        </w:rPr>
        <w:t>合同签订后采购人收到预付款发票后10个工作日内支付预付款，预付款支付比例：合同金额的30%。所有设备经安装调试并验收合格后支付合同金额的70%。正常运行12个月无质量问题并经审计确认后，付至审定价的90%。正常运行24个月无质量问题支付至审定价的97%，质保期满后无质量问题付清余款。注：⑴结算时，乙方必须提供乙方单位名称的正式发票。本合同执行中相关的一切税费均由乙方负担。⑵支付方式：银行转账。⑶以上付款均无息。结算时，乙方须提供税务发票。</w:t>
      </w:r>
    </w:p>
    <w:p w14:paraId="5D47016F">
      <w:pPr>
        <w:snapToGrid w:val="0"/>
        <w:spacing w:line="400" w:lineRule="exact"/>
        <w:ind w:firstLine="720" w:firstLineChars="300"/>
        <w:rPr>
          <w:rFonts w:hint="eastAsia"/>
          <w:sz w:val="24"/>
          <w:szCs w:val="32"/>
          <w:highlight w:val="none"/>
        </w:rPr>
      </w:pPr>
      <w:r>
        <w:rPr>
          <w:rFonts w:hint="eastAsia" w:ascii="宋体" w:hAnsi="宋体"/>
          <w:sz w:val="24"/>
          <w:szCs w:val="24"/>
          <w:highlight w:val="none"/>
        </w:rPr>
        <w:t>其中涉及预付款的：</w:t>
      </w:r>
      <w:r>
        <w:rPr>
          <w:rFonts w:hint="eastAsia" w:ascii="宋体" w:hAnsi="宋体"/>
          <w:sz w:val="24"/>
          <w:szCs w:val="24"/>
          <w:highlight w:val="none"/>
          <w:u w:val="single"/>
        </w:rPr>
        <w:t>预付款比例为：合同总价的30%</w:t>
      </w:r>
      <w:r>
        <w:rPr>
          <w:rFonts w:hint="eastAsia" w:ascii="宋体" w:hAnsi="宋体"/>
          <w:sz w:val="24"/>
          <w:szCs w:val="24"/>
          <w:highlight w:val="none"/>
          <w:u w:val="single"/>
          <w:lang w:eastAsia="zh-CN"/>
        </w:rPr>
        <w:t>（注：在签订合同时，供应商明确表示无需预付款或主动要求降低预付款比例的，采购人可不适用上述关于预付款方规定或可就预付款比例作相应调整）</w:t>
      </w:r>
      <w:r>
        <w:rPr>
          <w:rFonts w:hint="eastAsia" w:ascii="宋体" w:hAnsi="宋体"/>
          <w:sz w:val="24"/>
          <w:szCs w:val="24"/>
          <w:highlight w:val="none"/>
          <w:u w:val="single"/>
        </w:rPr>
        <w:t xml:space="preserve"> </w:t>
      </w:r>
    </w:p>
    <w:p w14:paraId="7FEE6B08">
      <w:pPr>
        <w:numPr>
          <w:ilvl w:val="0"/>
          <w:numId w:val="1"/>
        </w:numPr>
        <w:spacing w:line="360" w:lineRule="auto"/>
        <w:ind w:firstLine="482"/>
        <w:rPr>
          <w:rFonts w:ascii="宋体" w:hAnsi="宋体"/>
          <w:b/>
          <w:sz w:val="24"/>
          <w:highlight w:val="none"/>
          <w:u w:val="single"/>
        </w:rPr>
      </w:pPr>
      <w:r>
        <w:rPr>
          <w:rFonts w:hint="eastAsia" w:ascii="宋体" w:hAnsi="宋体"/>
          <w:b/>
          <w:sz w:val="24"/>
          <w:highlight w:val="none"/>
        </w:rPr>
        <w:t>合同履行</w:t>
      </w:r>
    </w:p>
    <w:p w14:paraId="6C81EE3A">
      <w:pPr>
        <w:spacing w:line="360" w:lineRule="auto"/>
        <w:ind w:firstLine="480"/>
        <w:rPr>
          <w:rFonts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合同履行期限</w:t>
      </w:r>
      <w:r>
        <w:rPr>
          <w:rFonts w:hint="eastAsia" w:ascii="宋体" w:hAnsi="宋体" w:cs="宋体"/>
          <w:sz w:val="24"/>
          <w:highlight w:val="none"/>
        </w:rPr>
        <w:t>：</w:t>
      </w:r>
      <w:r>
        <w:rPr>
          <w:rFonts w:hint="eastAsia" w:ascii="宋体" w:hAnsi="宋体" w:cs="宋体"/>
          <w:b/>
          <w:bCs/>
          <w:color w:val="0000FF"/>
          <w:sz w:val="24"/>
          <w:highlight w:val="none"/>
          <w:u w:val="single"/>
        </w:rPr>
        <w:t>合同签订后</w:t>
      </w:r>
      <w:r>
        <w:rPr>
          <w:rFonts w:hint="eastAsia" w:ascii="宋体" w:hAnsi="宋体" w:cs="宋体"/>
          <w:b/>
          <w:bCs/>
          <w:color w:val="0000FF"/>
          <w:sz w:val="24"/>
          <w:highlight w:val="none"/>
          <w:u w:val="single"/>
          <w:lang w:eastAsia="zh-CN"/>
        </w:rPr>
        <w:t>90日历天</w:t>
      </w:r>
      <w:r>
        <w:rPr>
          <w:rFonts w:hint="eastAsia" w:ascii="宋体" w:hAnsi="宋体" w:cs="宋体"/>
          <w:b/>
          <w:bCs/>
          <w:color w:val="0000FF"/>
          <w:sz w:val="24"/>
          <w:highlight w:val="none"/>
          <w:u w:val="single"/>
        </w:rPr>
        <w:t>内货物全部送达招标人指定位置且安装、调试完毕，并确保正常稳定运行。</w:t>
      </w:r>
    </w:p>
    <w:p w14:paraId="4485A647">
      <w:pPr>
        <w:spacing w:line="360" w:lineRule="auto"/>
        <w:ind w:firstLine="480"/>
        <w:rPr>
          <w:rFonts w:ascii="宋体" w:hAnsi="宋体" w:cs="宋体"/>
          <w:sz w:val="24"/>
          <w:highlight w:val="none"/>
          <w:u w:val="single"/>
        </w:rPr>
      </w:pPr>
      <w:r>
        <w:rPr>
          <w:rFonts w:hint="eastAsia" w:ascii="宋体" w:hAnsi="宋体" w:cs="宋体"/>
          <w:sz w:val="24"/>
          <w:highlight w:val="none"/>
        </w:rPr>
        <w:t>（2）履约地点</w:t>
      </w:r>
      <w:r>
        <w:rPr>
          <w:rFonts w:hint="eastAsia" w:ascii="宋体" w:hAnsi="宋体" w:cs="宋体"/>
          <w:bCs/>
          <w:sz w:val="24"/>
          <w:highlight w:val="none"/>
        </w:rPr>
        <w:t>：</w:t>
      </w:r>
      <w:r>
        <w:rPr>
          <w:rFonts w:hint="eastAsia" w:ascii="宋体" w:hAnsi="宋体" w:cs="宋体"/>
          <w:bCs/>
          <w:sz w:val="24"/>
          <w:highlight w:val="none"/>
          <w:u w:val="single"/>
        </w:rPr>
        <w:t xml:space="preserve">  </w:t>
      </w:r>
      <w:r>
        <w:rPr>
          <w:rFonts w:hint="eastAsia" w:ascii="宋体" w:hAnsi="宋体" w:cs="宋体"/>
          <w:b/>
          <w:bCs/>
          <w:color w:val="0000FF"/>
          <w:sz w:val="24"/>
          <w:highlight w:val="none"/>
          <w:u w:val="single"/>
          <w:lang w:val="en-US" w:eastAsia="zh-CN"/>
        </w:rPr>
        <w:t>东台市境内</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540B2F6B">
      <w:pPr>
        <w:spacing w:line="360" w:lineRule="auto"/>
        <w:ind w:firstLine="480"/>
        <w:rPr>
          <w:rFonts w:hint="default" w:ascii="宋体" w:hAnsi="宋体" w:cs="宋体" w:eastAsiaTheme="minorEastAsia"/>
          <w:sz w:val="24"/>
          <w:highlight w:val="none"/>
          <w:lang w:val="en-US" w:eastAsia="zh-CN"/>
        </w:rPr>
      </w:pPr>
      <w:r>
        <w:rPr>
          <w:rFonts w:hint="eastAsia" w:ascii="宋体" w:hAnsi="宋体" w:cs="宋体"/>
          <w:bCs/>
          <w:sz w:val="24"/>
          <w:highlight w:val="none"/>
        </w:rPr>
        <w:t>（3）</w:t>
      </w:r>
      <w:r>
        <w:rPr>
          <w:rFonts w:hint="eastAsia" w:ascii="宋体" w:hAnsi="宋体" w:cs="宋体"/>
          <w:sz w:val="24"/>
          <w:highlight w:val="none"/>
        </w:rPr>
        <w:t>履约担保：履约担保：是否收取履约保证金</w:t>
      </w:r>
      <w:r>
        <w:rPr>
          <w:rFonts w:hint="eastAsia" w:ascii="宋体" w:hAnsi="宋体" w:cs="宋体"/>
          <w:sz w:val="24"/>
          <w:highlight w:val="none"/>
          <w:lang w:eastAsia="zh-CN"/>
        </w:rPr>
        <w:t>：</w:t>
      </w:r>
      <w:r>
        <w:rPr>
          <w:rFonts w:hint="eastAsia" w:ascii="宋体" w:hAnsi="宋体" w:cs="宋体"/>
          <w:b/>
          <w:bCs/>
          <w:color w:val="0000FF"/>
          <w:sz w:val="24"/>
          <w:highlight w:val="none"/>
          <w:u w:val="single"/>
          <w:lang w:val="en-US" w:eastAsia="zh-CN"/>
        </w:rPr>
        <w:t>是</w:t>
      </w:r>
    </w:p>
    <w:p w14:paraId="4571D9F6">
      <w:pPr>
        <w:spacing w:line="360" w:lineRule="auto"/>
        <w:ind w:firstLine="480"/>
        <w:rPr>
          <w:rFonts w:ascii="宋体" w:hAnsi="宋体" w:cs="宋体"/>
          <w:sz w:val="24"/>
          <w:highlight w:val="none"/>
        </w:rPr>
      </w:pPr>
      <w:r>
        <w:rPr>
          <w:rFonts w:hint="eastAsia" w:ascii="宋体" w:hAnsi="宋体" w:cs="宋体"/>
          <w:sz w:val="24"/>
          <w:highlight w:val="none"/>
        </w:rPr>
        <w:t xml:space="preserve">     收取履约保证金形式：</w:t>
      </w:r>
      <w:r>
        <w:rPr>
          <w:rFonts w:hint="eastAsia" w:ascii="宋体" w:hAnsi="宋体" w:cs="宋体"/>
          <w:bCs/>
          <w:sz w:val="24"/>
          <w:highlight w:val="none"/>
          <w:u w:val="single"/>
        </w:rPr>
        <w:t xml:space="preserve"> 由乙方在合同签订时向甲方提交，允许乙方自主选择以支票、汇票、本票或者金融机构、担保机构出具的保函等非现金形式提交履约保证金，保证金服务期结束并移交全部资料后退还（无息）；如发现虚假应标行为，履约保证金不予退还，乙方须承担甲方因此所造成的项目延期及重新招标的损失。</w:t>
      </w:r>
      <w:r>
        <w:rPr>
          <w:rFonts w:hint="eastAsia" w:ascii="宋体" w:hAnsi="宋体" w:cs="宋体"/>
          <w:bCs/>
          <w:sz w:val="24"/>
          <w:highlight w:val="none"/>
        </w:rPr>
        <w:t xml:space="preserve">  </w:t>
      </w:r>
      <w:r>
        <w:rPr>
          <w:rFonts w:hint="eastAsia" w:ascii="宋体" w:hAnsi="宋体" w:cs="宋体"/>
          <w:sz w:val="24"/>
          <w:highlight w:val="none"/>
        </w:rPr>
        <w:t xml:space="preserve">                            </w:t>
      </w:r>
    </w:p>
    <w:p w14:paraId="1FC1B75D">
      <w:pPr>
        <w:spacing w:line="360" w:lineRule="auto"/>
        <w:ind w:firstLine="480"/>
        <w:rPr>
          <w:rFonts w:ascii="宋体" w:hAnsi="宋体" w:cs="宋体"/>
          <w:sz w:val="24"/>
          <w:highlight w:val="none"/>
        </w:rPr>
      </w:pPr>
      <w:r>
        <w:rPr>
          <w:rFonts w:hint="eastAsia" w:ascii="宋体" w:hAnsi="宋体" w:cs="宋体"/>
          <w:sz w:val="24"/>
          <w:highlight w:val="none"/>
        </w:rPr>
        <w:t xml:space="preserve">     收取履约保证金金额：</w:t>
      </w:r>
      <w:r>
        <w:rPr>
          <w:rFonts w:hint="eastAsia" w:ascii="宋体" w:hAnsi="宋体" w:cs="宋体"/>
          <w:bCs/>
          <w:sz w:val="24"/>
          <w:highlight w:val="none"/>
          <w:u w:val="single"/>
        </w:rPr>
        <w:t xml:space="preserve"> 中标价的10%  </w:t>
      </w:r>
      <w:r>
        <w:rPr>
          <w:rFonts w:hint="eastAsia" w:ascii="宋体" w:hAnsi="宋体" w:cs="宋体"/>
          <w:bCs/>
          <w:sz w:val="24"/>
          <w:highlight w:val="none"/>
        </w:rPr>
        <w:t xml:space="preserve">  </w:t>
      </w:r>
      <w:r>
        <w:rPr>
          <w:rFonts w:hint="eastAsia" w:ascii="宋体" w:hAnsi="宋体" w:cs="宋体"/>
          <w:sz w:val="24"/>
          <w:highlight w:val="none"/>
        </w:rPr>
        <w:t xml:space="preserve">                            </w:t>
      </w:r>
    </w:p>
    <w:p w14:paraId="2A624E17">
      <w:pPr>
        <w:spacing w:line="360" w:lineRule="auto"/>
        <w:ind w:firstLine="480"/>
        <w:rPr>
          <w:rFonts w:ascii="宋体" w:hAnsi="宋体" w:cs="宋体"/>
          <w:bCs/>
          <w:sz w:val="24"/>
          <w:highlight w:val="none"/>
          <w:u w:val="single"/>
        </w:rPr>
      </w:pPr>
      <w:r>
        <w:rPr>
          <w:rFonts w:hint="eastAsia" w:ascii="宋体" w:hAnsi="宋体" w:cs="宋体"/>
          <w:sz w:val="24"/>
          <w:highlight w:val="none"/>
        </w:rPr>
        <w:t xml:space="preserve">     履约担保期限： </w:t>
      </w:r>
      <w:r>
        <w:rPr>
          <w:rFonts w:hint="eastAsia" w:ascii="宋体" w:hAnsi="宋体" w:cs="宋体"/>
          <w:bCs/>
          <w:sz w:val="24"/>
          <w:highlight w:val="none"/>
          <w:u w:val="single"/>
        </w:rPr>
        <w:t xml:space="preserve"> 担保至所供货物安装调试完毕并通过最终验收合格后无息退还</w:t>
      </w:r>
      <w:r>
        <w:rPr>
          <w:rFonts w:hint="eastAsia" w:ascii="宋体" w:hAnsi="宋体" w:cs="宋体"/>
          <w:bCs/>
          <w:sz w:val="24"/>
          <w:highlight w:val="none"/>
          <w:u w:val="single"/>
          <w:lang w:eastAsia="zh-CN"/>
        </w:rPr>
        <w:t>。</w:t>
      </w:r>
      <w:r>
        <w:rPr>
          <w:rFonts w:hint="eastAsia" w:ascii="宋体" w:hAnsi="宋体" w:cs="宋体"/>
          <w:bCs/>
          <w:sz w:val="24"/>
          <w:highlight w:val="none"/>
          <w:u w:val="single"/>
        </w:rPr>
        <w:t xml:space="preserve"> </w:t>
      </w:r>
    </w:p>
    <w:p w14:paraId="36E5700D">
      <w:pPr>
        <w:numPr>
          <w:ilvl w:val="0"/>
          <w:numId w:val="3"/>
        </w:num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确需收取履约保证金的，履约保证金的缴纳形式：</w:t>
      </w:r>
    </w:p>
    <w:p w14:paraId="0A37E05E">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E65A76A">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如以履约保函（保险）形式缴纳履约保证金，乙方可通过政府采购电子履约保函（保险）平台（www.jsdzbh.com）在线申请履约保函（保险）。</w:t>
      </w:r>
    </w:p>
    <w:p w14:paraId="1C226899">
      <w:pPr>
        <w:keepNext w:val="0"/>
        <w:keepLines w:val="0"/>
        <w:pageBreakBefore w:val="0"/>
        <w:widowControl w:val="0"/>
        <w:spacing w:line="360" w:lineRule="auto"/>
        <w:ind w:firstLine="480"/>
        <w:rPr>
          <w:rFonts w:ascii="宋体" w:hAnsi="宋体" w:cs="宋体"/>
          <w:highlight w:val="none"/>
        </w:rPr>
      </w:pPr>
      <w:r>
        <w:rPr>
          <w:rFonts w:hint="eastAsia" w:ascii="宋体" w:hAnsi="宋体" w:eastAsia="宋体" w:cs="宋体"/>
          <w:color w:val="4472C4" w:themeColor="accent5"/>
          <w:sz w:val="24"/>
          <w:szCs w:val="24"/>
          <w:highlight w:val="none"/>
          <w:lang w:val="en-US" w:eastAsia="zh-CN"/>
          <w14:textFill>
            <w14:solidFill>
              <w14:schemeClr w14:val="accent5"/>
            </w14:solidFill>
          </w14:textFill>
        </w:rPr>
        <w:t xml:space="preserve">按照《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免收履约保证金。                       </w:t>
      </w:r>
      <w:r>
        <w:rPr>
          <w:rFonts w:hint="eastAsia" w:ascii="宋体" w:hAnsi="宋体" w:cs="宋体"/>
          <w:highlight w:val="none"/>
        </w:rPr>
        <w:t xml:space="preserve">      </w:t>
      </w:r>
    </w:p>
    <w:p w14:paraId="309BE34B">
      <w:pPr>
        <w:spacing w:line="360" w:lineRule="auto"/>
        <w:ind w:firstLine="480"/>
        <w:rPr>
          <w:rFonts w:hint="eastAsia" w:ascii="宋体" w:hAnsi="宋体" w:cs="宋体" w:eastAsiaTheme="minorEastAsia"/>
          <w:bCs/>
          <w:sz w:val="24"/>
          <w:highlight w:val="none"/>
          <w:lang w:val="en-US" w:eastAsia="zh-CN"/>
        </w:rPr>
      </w:pPr>
      <w:r>
        <w:rPr>
          <w:rFonts w:hint="eastAsia" w:ascii="宋体" w:hAnsi="宋体" w:cs="宋体"/>
          <w:bCs/>
          <w:sz w:val="24"/>
          <w:highlight w:val="none"/>
        </w:rPr>
        <w:t>（5）分期履行要求：</w:t>
      </w:r>
      <w:r>
        <w:rPr>
          <w:rFonts w:hint="eastAsia" w:ascii="宋体" w:hAnsi="宋体" w:cs="宋体"/>
          <w:bCs/>
          <w:sz w:val="24"/>
          <w:highlight w:val="none"/>
          <w:lang w:val="en-US" w:eastAsia="zh-CN"/>
        </w:rPr>
        <w:t>/</w:t>
      </w:r>
    </w:p>
    <w:p w14:paraId="0B0DB5E4">
      <w:pPr>
        <w:spacing w:line="360" w:lineRule="auto"/>
        <w:ind w:firstLine="480"/>
        <w:rPr>
          <w:rFonts w:hint="eastAsia" w:ascii="宋体" w:hAnsi="宋体" w:cs="宋体" w:eastAsiaTheme="minorEastAsia"/>
          <w:sz w:val="24"/>
          <w:highlight w:val="none"/>
          <w:u w:val="single"/>
          <w:lang w:val="en-US" w:eastAsia="zh-CN"/>
        </w:rPr>
      </w:pPr>
      <w:r>
        <w:rPr>
          <w:rFonts w:hint="eastAsia" w:ascii="宋体" w:hAnsi="宋体" w:cs="宋体"/>
          <w:bCs/>
          <w:sz w:val="24"/>
          <w:highlight w:val="none"/>
        </w:rPr>
        <w:t>（6）风险处置措施和替代方案：</w:t>
      </w:r>
      <w:r>
        <w:rPr>
          <w:rFonts w:hint="eastAsia" w:ascii="宋体" w:hAnsi="宋体" w:cs="宋体"/>
          <w:bCs/>
          <w:sz w:val="24"/>
          <w:highlight w:val="none"/>
          <w:lang w:val="en-US" w:eastAsia="zh-CN"/>
        </w:rPr>
        <w:t>/</w:t>
      </w:r>
    </w:p>
    <w:p w14:paraId="219770AA">
      <w:pPr>
        <w:numPr>
          <w:ilvl w:val="0"/>
          <w:numId w:val="1"/>
        </w:numPr>
        <w:spacing w:line="360" w:lineRule="auto"/>
        <w:ind w:firstLine="482"/>
        <w:rPr>
          <w:rFonts w:ascii="宋体" w:hAnsi="宋体"/>
          <w:b/>
          <w:sz w:val="24"/>
          <w:highlight w:val="none"/>
        </w:rPr>
      </w:pPr>
      <w:r>
        <w:rPr>
          <w:rFonts w:hint="eastAsia" w:ascii="宋体" w:hAnsi="宋体"/>
          <w:b/>
          <w:sz w:val="24"/>
          <w:highlight w:val="none"/>
        </w:rPr>
        <w:t>合同验收</w:t>
      </w:r>
    </w:p>
    <w:p w14:paraId="5B23A847">
      <w:pPr>
        <w:numPr>
          <w:ilvl w:val="0"/>
          <w:numId w:val="4"/>
        </w:numPr>
        <w:spacing w:line="360" w:lineRule="auto"/>
        <w:ind w:firstLine="480"/>
        <w:rPr>
          <w:rFonts w:ascii="宋体" w:hAnsi="宋体"/>
          <w:bCs/>
          <w:sz w:val="24"/>
          <w:highlight w:val="none"/>
        </w:rPr>
      </w:pPr>
      <w:r>
        <w:rPr>
          <w:rFonts w:hint="eastAsia" w:ascii="宋体" w:hAnsi="宋体"/>
          <w:bCs/>
          <w:sz w:val="24"/>
          <w:highlight w:val="none"/>
        </w:rPr>
        <w:t>验收组织方式：</w:t>
      </w:r>
      <w:r>
        <w:rPr>
          <w:rFonts w:ascii="Wingdings" w:hAnsi="Wingdings" w:eastAsia="Wingdings" w:cs="Wingdings"/>
          <w:sz w:val="24"/>
          <w:highlight w:val="none"/>
        </w:rPr>
        <w:t></w:t>
      </w:r>
      <w:r>
        <w:rPr>
          <w:rFonts w:hint="eastAsia" w:ascii="宋体" w:hAnsi="宋体"/>
          <w:bCs/>
          <w:sz w:val="24"/>
          <w:highlight w:val="none"/>
        </w:rPr>
        <w:t xml:space="preserve">自行组织 </w:t>
      </w:r>
      <w:r>
        <w:rPr>
          <w:rFonts w:ascii="Wingdings" w:hAnsi="Wingdings" w:eastAsia="Wingdings" w:cs="Wingdings"/>
          <w:sz w:val="24"/>
          <w:highlight w:val="none"/>
        </w:rPr>
        <w:t></w:t>
      </w:r>
      <w:r>
        <w:rPr>
          <w:rFonts w:hint="eastAsia" w:ascii="宋体" w:hAnsi="宋体"/>
          <w:bCs/>
          <w:sz w:val="24"/>
          <w:highlight w:val="none"/>
        </w:rPr>
        <w:t>委托第三方组织</w:t>
      </w:r>
    </w:p>
    <w:p w14:paraId="1FEC0952">
      <w:pPr>
        <w:spacing w:line="360" w:lineRule="auto"/>
        <w:ind w:firstLine="960" w:firstLineChars="400"/>
        <w:rPr>
          <w:rFonts w:ascii="宋体" w:hAnsi="宋体" w:cs="宋体"/>
          <w:sz w:val="24"/>
          <w:highlight w:val="none"/>
        </w:rPr>
      </w:pPr>
      <w:r>
        <w:rPr>
          <w:rFonts w:hint="eastAsia" w:ascii="宋体" w:hAnsi="宋体"/>
          <w:bCs/>
          <w:sz w:val="24"/>
          <w:highlight w:val="none"/>
        </w:rPr>
        <w:t>验收主体：</w:t>
      </w:r>
      <w:r>
        <w:rPr>
          <w:rFonts w:hint="eastAsia" w:ascii="宋体" w:hAnsi="宋体" w:cs="宋体"/>
          <w:sz w:val="24"/>
          <w:highlight w:val="none"/>
        </w:rPr>
        <w:t xml:space="preserve"> </w:t>
      </w:r>
      <w:r>
        <w:rPr>
          <w:rFonts w:hint="eastAsia" w:ascii="宋体" w:hAnsi="宋体" w:cs="宋体"/>
          <w:bCs/>
          <w:sz w:val="24"/>
          <w:highlight w:val="none"/>
          <w:u w:val="single"/>
        </w:rPr>
        <w:t xml:space="preserve">                         </w:t>
      </w:r>
      <w:r>
        <w:rPr>
          <w:rFonts w:hint="eastAsia" w:ascii="宋体" w:hAnsi="宋体" w:cs="宋体"/>
          <w:sz w:val="24"/>
          <w:highlight w:val="none"/>
        </w:rPr>
        <w:t xml:space="preserve"> </w:t>
      </w:r>
    </w:p>
    <w:p w14:paraId="1C183F0D">
      <w:pPr>
        <w:spacing w:line="360" w:lineRule="auto"/>
        <w:ind w:firstLine="960" w:firstLineChars="400"/>
        <w:rPr>
          <w:rFonts w:ascii="宋体" w:hAnsi="宋体"/>
          <w:bCs/>
          <w:sz w:val="24"/>
          <w:highlight w:val="none"/>
        </w:rPr>
      </w:pPr>
      <w:r>
        <w:rPr>
          <w:rFonts w:hint="eastAsia" w:ascii="宋体" w:hAnsi="宋体"/>
          <w:bCs/>
          <w:sz w:val="24"/>
          <w:highlight w:val="none"/>
        </w:rPr>
        <w:t>是否邀请本项目的其他供应商参加验收：</w:t>
      </w:r>
      <w:r>
        <w:rPr>
          <w:rFonts w:ascii="Wingdings" w:hAnsi="Wingdings" w:eastAsia="Wingdings" w:cs="Wingdings"/>
          <w:sz w:val="24"/>
          <w:highlight w:val="none"/>
        </w:rPr>
        <w:t></w:t>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76E227C3">
      <w:pPr>
        <w:spacing w:line="360" w:lineRule="auto"/>
        <w:ind w:firstLine="960"/>
        <w:rPr>
          <w:rFonts w:ascii="宋体" w:hAnsi="宋体"/>
          <w:bCs/>
          <w:sz w:val="24"/>
          <w:highlight w:val="none"/>
        </w:rPr>
      </w:pPr>
      <w:r>
        <w:rPr>
          <w:rFonts w:hint="eastAsia" w:ascii="宋体" w:hAnsi="宋体"/>
          <w:bCs/>
          <w:sz w:val="24"/>
          <w:highlight w:val="none"/>
        </w:rPr>
        <w:t>是否邀请专家参加验收：</w:t>
      </w:r>
      <w:r>
        <w:rPr>
          <w:rFonts w:ascii="Wingdings" w:hAnsi="Wingdings" w:eastAsia="Wingdings" w:cs="Wingdings"/>
          <w:sz w:val="24"/>
          <w:highlight w:val="none"/>
        </w:rPr>
        <w:t></w:t>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015FC6D8">
      <w:pPr>
        <w:spacing w:line="360" w:lineRule="auto"/>
        <w:ind w:firstLine="960"/>
        <w:rPr>
          <w:rFonts w:ascii="宋体" w:hAnsi="宋体"/>
          <w:bCs/>
          <w:sz w:val="24"/>
          <w:highlight w:val="none"/>
        </w:rPr>
      </w:pPr>
      <w:r>
        <w:rPr>
          <w:rFonts w:hint="eastAsia" w:ascii="宋体" w:hAnsi="宋体"/>
          <w:bCs/>
          <w:sz w:val="24"/>
          <w:highlight w:val="none"/>
        </w:rPr>
        <w:t>是否邀请服务对象参加验收：</w:t>
      </w:r>
      <w:r>
        <w:rPr>
          <w:rFonts w:ascii="Wingdings" w:hAnsi="Wingdings" w:eastAsia="Wingdings" w:cs="Wingdings"/>
          <w:sz w:val="24"/>
          <w:highlight w:val="none"/>
        </w:rPr>
        <w:t></w:t>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53C7C3E5">
      <w:pPr>
        <w:spacing w:line="360" w:lineRule="auto"/>
        <w:ind w:firstLine="960"/>
        <w:rPr>
          <w:rFonts w:ascii="宋体" w:hAnsi="宋体"/>
          <w:bCs/>
          <w:sz w:val="24"/>
          <w:highlight w:val="none"/>
        </w:rPr>
      </w:pPr>
      <w:r>
        <w:rPr>
          <w:rFonts w:hint="eastAsia" w:ascii="宋体" w:hAnsi="宋体"/>
          <w:bCs/>
          <w:sz w:val="24"/>
          <w:highlight w:val="none"/>
        </w:rPr>
        <w:t>是否邀请第三方检测机构参加验收：</w:t>
      </w:r>
      <w:r>
        <w:rPr>
          <w:rFonts w:ascii="Wingdings" w:hAnsi="Wingdings" w:eastAsia="Wingdings" w:cs="Wingdings"/>
          <w:sz w:val="24"/>
          <w:highlight w:val="none"/>
        </w:rPr>
        <w:t></w:t>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49BC2238">
      <w:pPr>
        <w:spacing w:line="360" w:lineRule="auto"/>
        <w:ind w:firstLine="960"/>
        <w:rPr>
          <w:rFonts w:ascii="宋体" w:hAnsi="宋体"/>
          <w:bCs/>
          <w:sz w:val="24"/>
          <w:highlight w:val="none"/>
        </w:rPr>
      </w:pPr>
      <w:r>
        <w:rPr>
          <w:rFonts w:hint="eastAsia" w:ascii="宋体" w:hAnsi="宋体"/>
          <w:bCs/>
          <w:sz w:val="24"/>
          <w:highlight w:val="none"/>
        </w:rPr>
        <w:t>是否进行抽查检测：</w:t>
      </w:r>
      <w:r>
        <w:rPr>
          <w:rFonts w:ascii="Wingdings" w:hAnsi="Wingdings" w:eastAsia="Wingdings" w:cs="Wingdings"/>
          <w:sz w:val="24"/>
          <w:highlight w:val="none"/>
        </w:rPr>
        <w:t></w:t>
      </w:r>
      <w:r>
        <w:rPr>
          <w:rFonts w:hint="eastAsia" w:ascii="宋体" w:hAnsi="宋体"/>
          <w:bCs/>
          <w:sz w:val="24"/>
          <w:highlight w:val="none"/>
        </w:rPr>
        <w:t>是，抽查比例：</w:t>
      </w:r>
      <w:r>
        <w:rPr>
          <w:rFonts w:ascii="Wingdings" w:hAnsi="Wingdings" w:eastAsia="Wingdings" w:cs="Wingdings"/>
          <w:sz w:val="24"/>
          <w:highlight w:val="none"/>
        </w:rPr>
        <w:t></w:t>
      </w:r>
      <w:r>
        <w:rPr>
          <w:rFonts w:hint="eastAsia" w:ascii="宋体" w:hAnsi="宋体"/>
          <w:bCs/>
          <w:sz w:val="24"/>
          <w:highlight w:val="none"/>
        </w:rPr>
        <w:t>否</w:t>
      </w:r>
    </w:p>
    <w:p w14:paraId="07AC2CE2">
      <w:pPr>
        <w:spacing w:line="360" w:lineRule="auto"/>
        <w:ind w:firstLine="960"/>
        <w:rPr>
          <w:rFonts w:ascii="宋体" w:hAnsi="宋体"/>
          <w:bCs/>
          <w:sz w:val="24"/>
          <w:highlight w:val="none"/>
          <w:u w:val="single"/>
        </w:rPr>
      </w:pPr>
      <w:r>
        <w:rPr>
          <w:rFonts w:hint="eastAsia" w:ascii="宋体" w:hAnsi="宋体"/>
          <w:bCs/>
          <w:sz w:val="24"/>
          <w:highlight w:val="none"/>
        </w:rPr>
        <w:t>是否存在破坏性检测：</w:t>
      </w:r>
      <w:r>
        <w:rPr>
          <w:rFonts w:ascii="Wingdings" w:hAnsi="Wingdings" w:eastAsia="Wingdings" w:cs="Wingdings"/>
          <w:sz w:val="24"/>
          <w:highlight w:val="none"/>
        </w:rPr>
        <w:t></w:t>
      </w:r>
      <w:r>
        <w:rPr>
          <w:rFonts w:hint="eastAsia" w:ascii="宋体" w:hAnsi="宋体"/>
          <w:bCs/>
          <w:sz w:val="24"/>
          <w:highlight w:val="none"/>
        </w:rPr>
        <w:t>是，</w:t>
      </w:r>
      <w:r>
        <w:rPr>
          <w:rFonts w:hint="eastAsia" w:ascii="宋体" w:hAnsi="宋体"/>
          <w:bCs/>
          <w:sz w:val="24"/>
          <w:highlight w:val="none"/>
          <w:u w:val="single"/>
        </w:rPr>
        <w:t>（应明确对被破坏的检测产品的处理方式）</w:t>
      </w:r>
    </w:p>
    <w:p w14:paraId="30B32DE9">
      <w:pPr>
        <w:spacing w:line="360" w:lineRule="auto"/>
        <w:ind w:firstLine="960"/>
        <w:rPr>
          <w:rFonts w:ascii="宋体" w:hAnsi="宋体"/>
          <w:bCs/>
          <w:sz w:val="24"/>
          <w:highlight w:val="none"/>
        </w:rPr>
      </w:pPr>
      <w:r>
        <w:rPr>
          <w:rFonts w:ascii="Wingdings" w:hAnsi="Wingdings" w:eastAsia="Wingdings" w:cs="Wingdings"/>
          <w:sz w:val="24"/>
          <w:highlight w:val="none"/>
        </w:rPr>
        <w:t></w:t>
      </w:r>
      <w:r>
        <w:rPr>
          <w:rFonts w:hint="eastAsia" w:ascii="宋体" w:hAnsi="宋体"/>
          <w:bCs/>
          <w:sz w:val="24"/>
          <w:highlight w:val="none"/>
        </w:rPr>
        <w:t>否</w:t>
      </w:r>
    </w:p>
    <w:p w14:paraId="4F30622C">
      <w:pPr>
        <w:spacing w:line="360" w:lineRule="auto"/>
        <w:ind w:firstLine="960"/>
        <w:rPr>
          <w:rFonts w:ascii="宋体" w:hAnsi="宋体"/>
          <w:bCs/>
          <w:sz w:val="24"/>
          <w:highlight w:val="none"/>
          <w:u w:val="single"/>
        </w:rPr>
      </w:pPr>
      <w:r>
        <w:rPr>
          <w:rFonts w:hint="eastAsia" w:ascii="宋体" w:hAnsi="宋体"/>
          <w:bCs/>
          <w:sz w:val="24"/>
          <w:highlight w:val="none"/>
        </w:rPr>
        <w:t>验收组织的其他事项：</w:t>
      </w:r>
    </w:p>
    <w:p w14:paraId="33D0DAEA">
      <w:pPr>
        <w:spacing w:line="360" w:lineRule="auto"/>
        <w:ind w:firstLine="480"/>
        <w:rPr>
          <w:rFonts w:hint="eastAsia" w:asciiTheme="minorEastAsia" w:hAnsiTheme="minorEastAsia"/>
          <w:b/>
          <w:bCs w:val="0"/>
          <w:color w:val="0070C0"/>
          <w:szCs w:val="28"/>
          <w:u w:val="single"/>
          <w:lang w:eastAsia="zh-CN"/>
        </w:rPr>
      </w:pPr>
      <w:r>
        <w:rPr>
          <w:rFonts w:hint="eastAsia" w:ascii="宋体" w:hAnsi="宋体"/>
          <w:bCs/>
          <w:sz w:val="24"/>
          <w:highlight w:val="none"/>
        </w:rPr>
        <w:t>（2）履约验收时间：</w:t>
      </w:r>
      <w:r>
        <w:rPr>
          <w:rFonts w:hint="eastAsia" w:asciiTheme="minorEastAsia" w:hAnsiTheme="minorEastAsia"/>
          <w:b/>
          <w:bCs w:val="0"/>
          <w:color w:val="0070C0"/>
          <w:szCs w:val="28"/>
          <w:u w:val="single"/>
        </w:rPr>
        <w:t xml:space="preserve">乙方提出书面验收申请之日起 </w:t>
      </w:r>
      <w:r>
        <w:rPr>
          <w:rFonts w:hint="eastAsia" w:eastAsia="宋体" w:asciiTheme="minorEastAsia" w:hAnsiTheme="minorEastAsia"/>
          <w:b/>
          <w:bCs w:val="0"/>
          <w:color w:val="0070C0"/>
          <w:szCs w:val="28"/>
          <w:u w:val="single"/>
          <w:lang w:val="en-US" w:eastAsia="zh-CN"/>
        </w:rPr>
        <w:t>30</w:t>
      </w:r>
      <w:r>
        <w:rPr>
          <w:rFonts w:hint="eastAsia" w:asciiTheme="minorEastAsia" w:hAnsiTheme="minorEastAsia"/>
          <w:b/>
          <w:bCs w:val="0"/>
          <w:color w:val="0070C0"/>
          <w:szCs w:val="28"/>
          <w:u w:val="single"/>
        </w:rPr>
        <w:t>日内组织验收</w:t>
      </w:r>
      <w:r>
        <w:rPr>
          <w:rFonts w:hint="eastAsia" w:asciiTheme="minorEastAsia" w:hAnsiTheme="minorEastAsia"/>
          <w:b/>
          <w:bCs w:val="0"/>
          <w:color w:val="0070C0"/>
          <w:szCs w:val="28"/>
          <w:u w:val="single"/>
          <w:lang w:eastAsia="zh-CN"/>
        </w:rPr>
        <w:t>。</w:t>
      </w:r>
      <w:r>
        <w:rPr>
          <w:rFonts w:hint="eastAsia" w:asciiTheme="minorEastAsia" w:hAnsiTheme="minorEastAsia"/>
          <w:b/>
          <w:bCs w:val="0"/>
          <w:color w:val="0070C0"/>
          <w:szCs w:val="28"/>
          <w:u w:val="single"/>
          <w:lang w:val="en-US" w:eastAsia="zh-CN"/>
        </w:rPr>
        <w:t xml:space="preserve"> </w:t>
      </w:r>
    </w:p>
    <w:p w14:paraId="3B528D12">
      <w:pPr>
        <w:spacing w:line="360" w:lineRule="auto"/>
        <w:ind w:firstLine="480"/>
        <w:rPr>
          <w:rFonts w:ascii="宋体" w:hAnsi="宋体"/>
          <w:bCs/>
          <w:sz w:val="24"/>
          <w:highlight w:val="none"/>
        </w:rPr>
      </w:pPr>
      <w:r>
        <w:rPr>
          <w:rFonts w:hint="eastAsia" w:ascii="宋体" w:hAnsi="宋体"/>
          <w:bCs/>
          <w:sz w:val="24"/>
          <w:highlight w:val="none"/>
        </w:rPr>
        <w:t>（3）履约验收方式：</w:t>
      </w:r>
      <w:r>
        <w:rPr>
          <w:rFonts w:hint="eastAsia" w:asciiTheme="minorEastAsia" w:hAnsiTheme="minorEastAsia"/>
          <w:b/>
          <w:bCs w:val="0"/>
          <w:color w:val="0070C0"/>
          <w:szCs w:val="28"/>
          <w:u w:val="single"/>
        </w:rPr>
        <w:t>按招标文件及付款节点约定</w:t>
      </w:r>
      <w:r>
        <w:rPr>
          <w:rFonts w:hint="eastAsia" w:ascii="宋体" w:hAnsi="宋体"/>
          <w:bCs/>
          <w:sz w:val="24"/>
          <w:highlight w:val="none"/>
        </w:rPr>
        <w:t xml:space="preserve">         </w:t>
      </w:r>
    </w:p>
    <w:p w14:paraId="76D536E8">
      <w:pPr>
        <w:spacing w:line="360" w:lineRule="auto"/>
        <w:ind w:firstLine="480"/>
        <w:rPr>
          <w:rFonts w:hint="eastAsia" w:ascii="宋体" w:hAnsi="宋体"/>
          <w:bCs/>
          <w:sz w:val="24"/>
          <w:highlight w:val="none"/>
          <w:u w:val="single"/>
        </w:rPr>
      </w:pPr>
      <w:r>
        <w:rPr>
          <w:rFonts w:hint="eastAsia" w:ascii="宋体" w:hAnsi="宋体"/>
          <w:bCs/>
          <w:sz w:val="24"/>
          <w:highlight w:val="none"/>
        </w:rPr>
        <w:t>（4）履约验收程序：</w:t>
      </w:r>
      <w:r>
        <w:rPr>
          <w:rFonts w:hint="eastAsia" w:ascii="宋体" w:hAnsi="宋体"/>
          <w:bCs/>
          <w:sz w:val="24"/>
          <w:highlight w:val="none"/>
          <w:u w:val="single"/>
        </w:rPr>
        <w:t>（1）甲方依法组织履约验收工作。（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3）对于实际使用人和甲方分离的项目，甲方邀请实际使用人参与验收。（4）如有必要，甲方邀请参加本项目的其他供应商或第三方专业机构及专家参与验收，相关意见将作为验收书的参考资料。</w:t>
      </w:r>
    </w:p>
    <w:p w14:paraId="09D48482">
      <w:pPr>
        <w:spacing w:line="360" w:lineRule="auto"/>
        <w:ind w:firstLine="480"/>
        <w:rPr>
          <w:rFonts w:hint="eastAsia" w:ascii="宋体" w:hAnsi="宋体"/>
          <w:bCs/>
          <w:sz w:val="24"/>
          <w:highlight w:val="none"/>
          <w:u w:val="single"/>
        </w:rPr>
      </w:pPr>
      <w:r>
        <w:rPr>
          <w:rFonts w:hint="eastAsia" w:ascii="宋体" w:hAnsi="宋体"/>
          <w:bCs/>
          <w:sz w:val="24"/>
          <w:highlight w:val="none"/>
        </w:rPr>
        <w:t>（5）</w:t>
      </w:r>
      <w:r>
        <w:rPr>
          <w:rFonts w:hint="eastAsia" w:ascii="宋体" w:hAnsi="宋体"/>
          <w:bCs/>
          <w:sz w:val="24"/>
          <w:highlight w:val="none"/>
          <w:u w:val="none"/>
        </w:rPr>
        <w:t>履约验收的内容：</w:t>
      </w:r>
      <w:r>
        <w:rPr>
          <w:rFonts w:hint="eastAsia" w:ascii="宋体" w:hAnsi="宋体"/>
          <w:bCs/>
          <w:sz w:val="24"/>
          <w:highlight w:val="none"/>
          <w:u w:val="single"/>
        </w:rPr>
        <w:t>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101C2AC">
      <w:pPr>
        <w:spacing w:line="360" w:lineRule="auto"/>
        <w:ind w:firstLine="480"/>
        <w:rPr>
          <w:rFonts w:hint="eastAsia" w:ascii="宋体" w:hAnsi="宋体" w:eastAsiaTheme="minorEastAsia"/>
          <w:bCs/>
          <w:sz w:val="24"/>
          <w:highlight w:val="none"/>
          <w:u w:val="single"/>
          <w:lang w:eastAsia="zh-CN"/>
        </w:rPr>
      </w:pPr>
      <w:r>
        <w:rPr>
          <w:rFonts w:hint="eastAsia" w:ascii="宋体" w:hAnsi="宋体"/>
          <w:bCs/>
          <w:sz w:val="24"/>
          <w:highlight w:val="none"/>
        </w:rPr>
        <w:t>（6）履约验收标准：</w:t>
      </w:r>
      <w:r>
        <w:rPr>
          <w:rFonts w:hint="eastAsia" w:ascii="宋体" w:hAnsi="宋体"/>
          <w:bCs/>
          <w:sz w:val="24"/>
          <w:highlight w:val="none"/>
          <w:u w:val="single"/>
        </w:rPr>
        <w:t>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其他要求详见附件</w:t>
      </w:r>
      <w:r>
        <w:rPr>
          <w:rFonts w:hint="eastAsia" w:ascii="宋体" w:hAnsi="宋体"/>
          <w:bCs/>
          <w:sz w:val="24"/>
          <w:highlight w:val="none"/>
          <w:u w:val="single"/>
          <w:lang w:eastAsia="zh-CN"/>
        </w:rPr>
        <w:t>。</w:t>
      </w:r>
    </w:p>
    <w:p w14:paraId="03A60B37">
      <w:pPr>
        <w:widowControl/>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硬件验收标准具体如下：</w:t>
      </w:r>
    </w:p>
    <w:p w14:paraId="0C7A4B52">
      <w:pPr>
        <w:widowControl/>
        <w:spacing w:line="360" w:lineRule="auto"/>
        <w:ind w:firstLine="480"/>
        <w:jc w:val="left"/>
        <w:rPr>
          <w:rFonts w:hint="eastAsia" w:ascii="宋体" w:hAnsi="宋体" w:cs="宋体"/>
          <w:bCs/>
          <w:sz w:val="24"/>
          <w:highlight w:val="none"/>
          <w:u w:val="single"/>
        </w:rPr>
      </w:pPr>
      <w:r>
        <w:rPr>
          <w:rFonts w:hint="eastAsia" w:ascii="宋体" w:hAnsi="宋体" w:cs="宋体"/>
          <w:bCs/>
          <w:sz w:val="24"/>
          <w:highlight w:val="none"/>
          <w:u w:val="single"/>
        </w:rPr>
        <w:t>A、产品为全新，未使用过的原装合格正品，安装质量符合各项技术标准和国家强制性标准；</w:t>
      </w:r>
    </w:p>
    <w:p w14:paraId="7C4A00F1">
      <w:pPr>
        <w:widowControl/>
        <w:spacing w:line="360" w:lineRule="auto"/>
        <w:ind w:firstLine="480"/>
        <w:jc w:val="left"/>
        <w:rPr>
          <w:rFonts w:hint="eastAsia" w:ascii="宋体" w:hAnsi="宋体" w:cs="宋体"/>
          <w:bCs/>
          <w:sz w:val="24"/>
          <w:highlight w:val="none"/>
          <w:u w:val="single"/>
        </w:rPr>
      </w:pPr>
      <w:r>
        <w:rPr>
          <w:rFonts w:hint="eastAsia" w:ascii="宋体" w:hAnsi="宋体" w:cs="宋体"/>
          <w:bCs/>
          <w:sz w:val="24"/>
          <w:highlight w:val="none"/>
          <w:u w:val="single"/>
        </w:rPr>
        <w:t>B、货物到达现场后，乙方必须在使用单位人员在场情况下当面开箱，共同清点、检查外观，箱记录，双方签字确认。</w:t>
      </w:r>
    </w:p>
    <w:p w14:paraId="23891FE4">
      <w:pPr>
        <w:widowControl/>
        <w:spacing w:line="360" w:lineRule="auto"/>
        <w:ind w:firstLine="480"/>
        <w:jc w:val="left"/>
        <w:rPr>
          <w:rFonts w:hint="eastAsia" w:ascii="宋体" w:hAnsi="宋体" w:cs="宋体"/>
          <w:bCs/>
          <w:sz w:val="24"/>
          <w:highlight w:val="none"/>
          <w:u w:val="single"/>
        </w:rPr>
      </w:pPr>
      <w:r>
        <w:rPr>
          <w:rFonts w:hint="eastAsia" w:ascii="宋体" w:hAnsi="宋体" w:cs="宋体"/>
          <w:bCs/>
          <w:sz w:val="24"/>
          <w:highlight w:val="none"/>
          <w:u w:val="single"/>
        </w:rPr>
        <w:t>C、乙方应保证货物到达甲方所在地完好无损，如有缺漏、损坏，由乙方负责调换、补齐或赔偿。</w:t>
      </w:r>
    </w:p>
    <w:p w14:paraId="404FD866">
      <w:pPr>
        <w:widowControl/>
        <w:spacing w:line="360" w:lineRule="auto"/>
        <w:ind w:firstLine="480"/>
        <w:jc w:val="left"/>
        <w:rPr>
          <w:rFonts w:hint="eastAsia" w:ascii="宋体" w:hAnsi="宋体" w:cs="宋体"/>
          <w:bCs/>
          <w:sz w:val="24"/>
          <w:highlight w:val="none"/>
          <w:u w:val="single"/>
        </w:rPr>
      </w:pPr>
      <w:r>
        <w:rPr>
          <w:rFonts w:hint="eastAsia" w:ascii="宋体" w:hAnsi="宋体" w:cs="宋体"/>
          <w:bCs/>
          <w:sz w:val="24"/>
          <w:highlight w:val="none"/>
          <w:u w:val="single"/>
        </w:rPr>
        <w:t>D、乙方应提供完备的技术资料、装箱单和合格证等，验收合格条件（标准）如下：</w:t>
      </w:r>
    </w:p>
    <w:p w14:paraId="3A58D16D">
      <w:pPr>
        <w:widowControl/>
        <w:spacing w:line="360" w:lineRule="auto"/>
        <w:ind w:firstLine="480"/>
        <w:jc w:val="left"/>
        <w:rPr>
          <w:rFonts w:hint="eastAsia" w:ascii="宋体" w:hAnsi="宋体" w:cs="宋体"/>
          <w:bCs/>
          <w:sz w:val="24"/>
          <w:highlight w:val="none"/>
          <w:u w:val="single"/>
        </w:rPr>
      </w:pPr>
      <w:r>
        <w:rPr>
          <w:rFonts w:hint="eastAsia" w:ascii="宋体" w:hAnsi="宋体" w:cs="宋体"/>
          <w:bCs/>
          <w:sz w:val="24"/>
          <w:highlight w:val="none"/>
          <w:u w:val="single"/>
        </w:rPr>
        <w:t>①设备技术参数与采购合同一致，性能指标达到规定的标准。</w:t>
      </w:r>
    </w:p>
    <w:p w14:paraId="1127439A">
      <w:pPr>
        <w:widowControl/>
        <w:spacing w:line="360" w:lineRule="auto"/>
        <w:ind w:firstLine="480"/>
        <w:jc w:val="left"/>
        <w:rPr>
          <w:rFonts w:hint="eastAsia" w:ascii="宋体" w:hAnsi="宋体" w:cs="宋体"/>
          <w:bCs/>
          <w:sz w:val="24"/>
          <w:highlight w:val="none"/>
          <w:u w:val="single"/>
        </w:rPr>
      </w:pPr>
      <w:r>
        <w:rPr>
          <w:rFonts w:hint="eastAsia" w:ascii="宋体" w:hAnsi="宋体" w:cs="宋体"/>
          <w:bCs/>
          <w:sz w:val="24"/>
          <w:highlight w:val="none"/>
          <w:u w:val="single"/>
        </w:rPr>
        <w:t>②货物技术资料、装箱单、合格证等资料齐全。</w:t>
      </w:r>
    </w:p>
    <w:p w14:paraId="76D0608B">
      <w:pPr>
        <w:widowControl/>
        <w:spacing w:line="360" w:lineRule="auto"/>
        <w:ind w:firstLine="480"/>
        <w:jc w:val="left"/>
        <w:rPr>
          <w:rFonts w:hint="eastAsia" w:ascii="宋体" w:hAnsi="宋体" w:cs="宋体"/>
          <w:bCs/>
          <w:sz w:val="24"/>
          <w:highlight w:val="none"/>
          <w:u w:val="single"/>
        </w:rPr>
      </w:pPr>
      <w:r>
        <w:rPr>
          <w:rFonts w:hint="eastAsia" w:ascii="宋体" w:hAnsi="宋体" w:cs="宋体"/>
          <w:bCs/>
          <w:sz w:val="24"/>
          <w:highlight w:val="none"/>
          <w:u w:val="single"/>
        </w:rPr>
        <w:t>③在系统试运行期间所出现的问题得到解决，并运行正常。</w:t>
      </w:r>
    </w:p>
    <w:p w14:paraId="44D4A316">
      <w:pPr>
        <w:widowControl/>
        <w:spacing w:line="360" w:lineRule="auto"/>
        <w:ind w:firstLine="480"/>
        <w:jc w:val="left"/>
        <w:rPr>
          <w:rFonts w:hint="eastAsia" w:ascii="宋体" w:hAnsi="宋体" w:cs="宋体"/>
          <w:bCs/>
          <w:sz w:val="24"/>
          <w:highlight w:val="none"/>
          <w:u w:val="single"/>
        </w:rPr>
      </w:pPr>
      <w:r>
        <w:rPr>
          <w:rFonts w:hint="eastAsia" w:ascii="宋体" w:hAnsi="宋体" w:cs="宋体"/>
          <w:bCs/>
          <w:sz w:val="24"/>
          <w:highlight w:val="none"/>
          <w:u w:val="single"/>
        </w:rPr>
        <w:t>④在规定时间内完成交货并验收，并经甲方确认。</w:t>
      </w:r>
    </w:p>
    <w:p w14:paraId="6BC2B4B0">
      <w:pPr>
        <w:widowControl/>
        <w:spacing w:line="360" w:lineRule="auto"/>
        <w:ind w:firstLine="480"/>
        <w:jc w:val="left"/>
        <w:rPr>
          <w:rFonts w:hint="eastAsia" w:ascii="宋体" w:hAnsi="宋体" w:cs="宋体"/>
          <w:bCs/>
          <w:sz w:val="24"/>
          <w:highlight w:val="none"/>
          <w:u w:val="single"/>
        </w:rPr>
      </w:pPr>
      <w:r>
        <w:rPr>
          <w:rFonts w:hint="eastAsia" w:ascii="宋体" w:hAnsi="宋体" w:cs="宋体"/>
          <w:bCs/>
          <w:sz w:val="24"/>
          <w:highlight w:val="none"/>
          <w:u w:val="single"/>
        </w:rPr>
        <w:t>E、乙方须完成甲方所有采购的软硬件产品安装调试工作，须符合甲方要求并试运行1个月后，才能作为最终验收。</w:t>
      </w:r>
    </w:p>
    <w:p w14:paraId="64220DE8">
      <w:pPr>
        <w:widowControl/>
        <w:spacing w:line="360" w:lineRule="auto"/>
        <w:ind w:firstLine="480"/>
        <w:jc w:val="left"/>
        <w:rPr>
          <w:rFonts w:hint="eastAsia" w:ascii="宋体" w:hAnsi="宋体" w:cs="宋体"/>
          <w:bCs/>
          <w:sz w:val="24"/>
          <w:highlight w:val="none"/>
          <w:u w:val="single"/>
        </w:rPr>
      </w:pPr>
      <w:r>
        <w:rPr>
          <w:rFonts w:hint="eastAsia" w:ascii="宋体" w:hAnsi="宋体" w:cs="宋体"/>
          <w:bCs/>
          <w:sz w:val="24"/>
          <w:highlight w:val="none"/>
          <w:u w:val="single"/>
        </w:rPr>
        <w:t>F、乙方提供的货物未达到采购文件规定要求，且对甲方造成损失的，由乙方承担一切责任，并赔偿所造成的损失。</w:t>
      </w:r>
    </w:p>
    <w:p w14:paraId="583EA62F">
      <w:pPr>
        <w:widowControl/>
        <w:spacing w:line="360" w:lineRule="auto"/>
        <w:ind w:firstLine="480"/>
        <w:jc w:val="left"/>
        <w:rPr>
          <w:rFonts w:hint="eastAsia" w:ascii="宋体" w:hAnsi="宋体" w:cs="宋体"/>
          <w:bCs/>
          <w:sz w:val="24"/>
          <w:highlight w:val="none"/>
          <w:u w:val="single"/>
        </w:rPr>
      </w:pPr>
      <w:r>
        <w:rPr>
          <w:rFonts w:hint="eastAsia" w:ascii="宋体" w:hAnsi="宋体" w:cs="宋体"/>
          <w:bCs/>
          <w:sz w:val="24"/>
          <w:highlight w:val="none"/>
          <w:u w:val="single"/>
        </w:rPr>
        <w:t>G、甲方可邀请国家认可的质量检测机构参加验收工作。</w:t>
      </w:r>
    </w:p>
    <w:p w14:paraId="7F5672BD">
      <w:pPr>
        <w:widowControl/>
        <w:spacing w:line="360" w:lineRule="auto"/>
        <w:ind w:firstLine="480"/>
        <w:jc w:val="left"/>
        <w:rPr>
          <w:rFonts w:hint="eastAsia" w:ascii="宋体" w:hAnsi="宋体" w:cs="宋体"/>
          <w:bCs/>
          <w:sz w:val="24"/>
          <w:highlight w:val="none"/>
          <w:u w:val="single"/>
        </w:rPr>
      </w:pPr>
      <w:r>
        <w:rPr>
          <w:rFonts w:hint="eastAsia" w:ascii="宋体" w:hAnsi="宋体" w:cs="宋体"/>
          <w:bCs/>
          <w:sz w:val="24"/>
          <w:highlight w:val="none"/>
          <w:u w:val="single"/>
        </w:rPr>
        <w:t>H、甲方需要制造商对乙方交付的产品（包括质量、技术参数等）进行确认的，乙方须无条件配合，并出具书面确认证明。</w:t>
      </w:r>
    </w:p>
    <w:p w14:paraId="30DB2B3A">
      <w:pPr>
        <w:widowControl/>
        <w:spacing w:line="360" w:lineRule="auto"/>
        <w:ind w:firstLine="480"/>
        <w:jc w:val="left"/>
        <w:rPr>
          <w:rFonts w:hint="eastAsia" w:ascii="宋体" w:hAnsi="宋体" w:cs="宋体"/>
          <w:bCs/>
          <w:sz w:val="24"/>
          <w:highlight w:val="none"/>
          <w:u w:val="single"/>
        </w:rPr>
      </w:pPr>
      <w:r>
        <w:rPr>
          <w:rFonts w:hint="eastAsia" w:ascii="宋体" w:hAnsi="宋体" w:cs="宋体"/>
          <w:bCs/>
          <w:sz w:val="24"/>
          <w:highlight w:val="none"/>
          <w:u w:val="single"/>
        </w:rPr>
        <w:t>I、产品包装材料归甲方所有。</w:t>
      </w:r>
    </w:p>
    <w:p w14:paraId="2F0DE255">
      <w:pPr>
        <w:widowControl/>
        <w:spacing w:line="360" w:lineRule="auto"/>
        <w:ind w:firstLine="480"/>
        <w:jc w:val="left"/>
        <w:rPr>
          <w:rFonts w:ascii="宋体" w:hAnsi="宋体" w:cs="宋体"/>
          <w:sz w:val="24"/>
          <w:highlight w:val="none"/>
        </w:rPr>
      </w:pPr>
      <w:r>
        <w:rPr>
          <w:rFonts w:hint="eastAsia" w:ascii="宋体" w:hAnsi="宋体" w:cs="宋体"/>
          <w:bCs/>
          <w:sz w:val="24"/>
          <w:highlight w:val="none"/>
        </w:rPr>
        <w:t>（7）是否以采购活动中供应商提供的样品作为参考：</w:t>
      </w:r>
      <w:r>
        <w:rPr>
          <w:rFonts w:ascii="Wingdings" w:hAnsi="Wingdings" w:eastAsia="Wingdings" w:cs="Wingdings"/>
          <w:sz w:val="24"/>
          <w:highlight w:val="none"/>
        </w:rPr>
        <w:t></w:t>
      </w:r>
      <w:r>
        <w:rPr>
          <w:rFonts w:hint="eastAsia" w:ascii="宋体" w:hAnsi="宋体" w:cs="宋体"/>
          <w:bCs/>
          <w:sz w:val="24"/>
          <w:highlight w:val="none"/>
        </w:rPr>
        <w:t xml:space="preserve">是  </w:t>
      </w:r>
      <w:r>
        <w:rPr>
          <w:rFonts w:ascii="Wingdings" w:hAnsi="Wingdings" w:eastAsia="Wingdings" w:cs="Wingdings"/>
          <w:sz w:val="24"/>
          <w:highlight w:val="none"/>
        </w:rPr>
        <w:sym w:font="Wingdings" w:char="00FE"/>
      </w:r>
      <w:r>
        <w:rPr>
          <w:rFonts w:hint="eastAsia" w:ascii="宋体" w:hAnsi="宋体" w:cs="宋体"/>
          <w:bCs/>
          <w:sz w:val="24"/>
          <w:highlight w:val="none"/>
        </w:rPr>
        <w:t>否</w:t>
      </w:r>
    </w:p>
    <w:p w14:paraId="2D0801C2">
      <w:pPr>
        <w:spacing w:line="360" w:lineRule="auto"/>
        <w:ind w:firstLine="480"/>
        <w:rPr>
          <w:rFonts w:ascii="宋体" w:hAnsi="宋体" w:cs="宋体"/>
          <w:bCs/>
          <w:sz w:val="24"/>
          <w:highlight w:val="none"/>
          <w:u w:val="single"/>
        </w:rPr>
      </w:pPr>
      <w:r>
        <w:rPr>
          <w:rFonts w:hint="eastAsia" w:ascii="宋体" w:hAnsi="宋体" w:cs="宋体"/>
          <w:bCs/>
          <w:sz w:val="24"/>
          <w:highlight w:val="none"/>
        </w:rPr>
        <w:t>（8）履约验收其他事项：</w:t>
      </w:r>
      <w:r>
        <w:rPr>
          <w:rFonts w:hint="eastAsia" w:ascii="宋体" w:hAnsi="宋体" w:cs="宋体"/>
          <w:bCs/>
          <w:sz w:val="24"/>
          <w:highlight w:val="none"/>
          <w:u w:val="single"/>
        </w:rPr>
        <w:t>本项目涉及政策法规要求办理的相关证件，由乙方负责资料收集和整理工作，并积极协助甲方报送办理相关手续，直至取得使用许可，否则甲方有权暂停支付合同价款。</w:t>
      </w:r>
    </w:p>
    <w:p w14:paraId="1A5E313B">
      <w:pPr>
        <w:numPr>
          <w:ilvl w:val="0"/>
          <w:numId w:val="1"/>
        </w:numPr>
        <w:spacing w:line="360" w:lineRule="auto"/>
        <w:ind w:firstLine="482"/>
        <w:rPr>
          <w:rFonts w:ascii="宋体" w:hAnsi="宋体"/>
          <w:b/>
          <w:sz w:val="24"/>
          <w:highlight w:val="none"/>
        </w:rPr>
      </w:pPr>
      <w:r>
        <w:rPr>
          <w:rFonts w:hint="eastAsia" w:ascii="宋体" w:hAnsi="宋体"/>
          <w:b/>
          <w:sz w:val="24"/>
          <w:highlight w:val="none"/>
        </w:rPr>
        <w:t>组成合同的文件</w:t>
      </w:r>
    </w:p>
    <w:p w14:paraId="0E29E6ED">
      <w:pPr>
        <w:spacing w:line="360" w:lineRule="auto"/>
        <w:ind w:firstLine="480"/>
        <w:rPr>
          <w:rFonts w:ascii="宋体" w:hAnsi="宋体"/>
          <w:color w:val="auto"/>
          <w:sz w:val="24"/>
          <w:highlight w:val="none"/>
        </w:rPr>
      </w:pPr>
      <w:r>
        <w:rPr>
          <w:rFonts w:hint="eastAsia" w:ascii="宋体" w:hAnsi="宋体"/>
          <w:color w:val="auto"/>
          <w:sz w:val="24"/>
          <w:highlight w:val="none"/>
        </w:rPr>
        <w:t>本协议书与下列文件一起构成合同文件，如下述文件之间有任何抵触、矛盾或歧义，应按以下顺序解释：</w:t>
      </w:r>
    </w:p>
    <w:p w14:paraId="1198F429">
      <w:pPr>
        <w:spacing w:line="360" w:lineRule="auto"/>
        <w:rPr>
          <w:rFonts w:hint="eastAsia" w:ascii="宋体" w:hAnsi="宋体"/>
          <w:color w:val="auto"/>
          <w:sz w:val="24"/>
          <w:highlight w:val="none"/>
        </w:rPr>
      </w:pPr>
      <w:r>
        <w:rPr>
          <w:rFonts w:hint="eastAsia" w:ascii="宋体" w:hAnsi="宋体"/>
          <w:color w:val="auto"/>
          <w:sz w:val="24"/>
          <w:highlight w:val="none"/>
        </w:rPr>
        <w:t>（1）政府采购合同协议书及其变更、补充协议</w:t>
      </w:r>
    </w:p>
    <w:p w14:paraId="64FD848A">
      <w:pPr>
        <w:spacing w:line="360" w:lineRule="auto"/>
        <w:rPr>
          <w:rFonts w:hint="eastAsia" w:ascii="宋体" w:hAnsi="宋体"/>
          <w:color w:val="auto"/>
          <w:sz w:val="24"/>
          <w:highlight w:val="none"/>
        </w:rPr>
      </w:pPr>
      <w:r>
        <w:rPr>
          <w:rFonts w:hint="eastAsia" w:ascii="宋体" w:hAnsi="宋体"/>
          <w:color w:val="auto"/>
          <w:sz w:val="24"/>
          <w:highlight w:val="none"/>
        </w:rPr>
        <w:t>（2）政府采购合同专用条款</w:t>
      </w:r>
    </w:p>
    <w:p w14:paraId="114D2529">
      <w:pPr>
        <w:spacing w:line="360" w:lineRule="auto"/>
        <w:rPr>
          <w:rFonts w:hint="eastAsia" w:ascii="宋体" w:hAnsi="宋体"/>
          <w:color w:val="auto"/>
          <w:sz w:val="24"/>
          <w:highlight w:val="none"/>
        </w:rPr>
      </w:pPr>
      <w:r>
        <w:rPr>
          <w:rFonts w:hint="eastAsia" w:ascii="宋体" w:hAnsi="宋体"/>
          <w:color w:val="auto"/>
          <w:sz w:val="24"/>
          <w:highlight w:val="none"/>
        </w:rPr>
        <w:t>（3）政府采购合同通用条款</w:t>
      </w:r>
    </w:p>
    <w:p w14:paraId="2355E685">
      <w:pPr>
        <w:spacing w:line="360" w:lineRule="auto"/>
        <w:rPr>
          <w:rFonts w:hint="eastAsia" w:ascii="宋体" w:hAnsi="宋体"/>
          <w:color w:val="auto"/>
          <w:sz w:val="24"/>
          <w:highlight w:val="none"/>
        </w:rPr>
      </w:pPr>
      <w:r>
        <w:rPr>
          <w:rFonts w:hint="eastAsia" w:ascii="宋体" w:hAnsi="宋体"/>
          <w:color w:val="auto"/>
          <w:sz w:val="24"/>
          <w:highlight w:val="none"/>
        </w:rPr>
        <w:t>（4）中标（成交）通知书</w:t>
      </w:r>
    </w:p>
    <w:p w14:paraId="7D75EA2E">
      <w:pPr>
        <w:spacing w:line="360" w:lineRule="auto"/>
        <w:rPr>
          <w:rFonts w:hint="eastAsia" w:ascii="宋体" w:hAnsi="宋体"/>
          <w:color w:val="auto"/>
          <w:sz w:val="24"/>
          <w:highlight w:val="none"/>
        </w:rPr>
      </w:pPr>
      <w:r>
        <w:rPr>
          <w:rFonts w:hint="eastAsia" w:ascii="宋体" w:hAnsi="宋体"/>
          <w:color w:val="auto"/>
          <w:sz w:val="24"/>
          <w:highlight w:val="none"/>
        </w:rPr>
        <w:t>（5）投标（响应）文件</w:t>
      </w:r>
    </w:p>
    <w:p w14:paraId="0F53048D">
      <w:pPr>
        <w:spacing w:line="360" w:lineRule="auto"/>
        <w:rPr>
          <w:rFonts w:hint="eastAsia" w:ascii="宋体" w:hAnsi="宋体"/>
          <w:color w:val="auto"/>
          <w:sz w:val="24"/>
          <w:highlight w:val="none"/>
        </w:rPr>
      </w:pPr>
      <w:r>
        <w:rPr>
          <w:rFonts w:hint="eastAsia" w:ascii="宋体" w:hAnsi="宋体"/>
          <w:color w:val="auto"/>
          <w:sz w:val="24"/>
          <w:highlight w:val="none"/>
        </w:rPr>
        <w:t>（6）采购文件</w:t>
      </w:r>
    </w:p>
    <w:p w14:paraId="39862F70">
      <w:pPr>
        <w:spacing w:line="360" w:lineRule="auto"/>
        <w:rPr>
          <w:rFonts w:hint="eastAsia" w:ascii="宋体" w:hAnsi="宋体"/>
          <w:color w:val="auto"/>
          <w:sz w:val="24"/>
          <w:highlight w:val="none"/>
        </w:rPr>
      </w:pPr>
      <w:r>
        <w:rPr>
          <w:rFonts w:hint="eastAsia" w:ascii="宋体" w:hAnsi="宋体"/>
          <w:color w:val="auto"/>
          <w:sz w:val="24"/>
          <w:highlight w:val="none"/>
        </w:rPr>
        <w:t>（7）有关技术文件，图纸</w:t>
      </w:r>
    </w:p>
    <w:p w14:paraId="0CD1A21B">
      <w:pPr>
        <w:spacing w:line="360" w:lineRule="auto"/>
        <w:rPr>
          <w:rFonts w:hint="eastAsia" w:ascii="宋体" w:hAnsi="宋体"/>
          <w:color w:val="auto"/>
          <w:sz w:val="24"/>
          <w:highlight w:val="none"/>
        </w:rPr>
      </w:pPr>
      <w:r>
        <w:rPr>
          <w:rFonts w:hint="eastAsia" w:ascii="宋体" w:hAnsi="宋体"/>
          <w:color w:val="auto"/>
          <w:sz w:val="24"/>
          <w:highlight w:val="none"/>
        </w:rPr>
        <w:t>（8）国家法律、行政法规和规章制度规定或合同约定的作为合同组成部分的其他文件</w:t>
      </w:r>
    </w:p>
    <w:p w14:paraId="2DF33D2B">
      <w:pPr>
        <w:adjustRightInd w:val="0"/>
        <w:snapToGrid w:val="0"/>
        <w:spacing w:line="400" w:lineRule="exact"/>
        <w:ind w:left="422"/>
        <w:rPr>
          <w:rFonts w:ascii="宋体" w:hAnsi="宋体"/>
          <w:b/>
          <w:color w:val="auto"/>
          <w:szCs w:val="21"/>
          <w:highlight w:val="none"/>
        </w:rPr>
      </w:pPr>
      <w:r>
        <w:rPr>
          <w:rFonts w:hint="eastAsia" w:ascii="宋体" w:hAnsi="宋体"/>
          <w:b/>
          <w:color w:val="auto"/>
          <w:szCs w:val="21"/>
          <w:highlight w:val="none"/>
        </w:rPr>
        <w:t>6.</w:t>
      </w:r>
      <w:r>
        <w:rPr>
          <w:rFonts w:hint="eastAsia" w:ascii="宋体" w:hAnsi="宋体"/>
          <w:b/>
          <w:color w:val="auto"/>
          <w:sz w:val="24"/>
          <w:highlight w:val="none"/>
        </w:rPr>
        <w:t>合同生效</w:t>
      </w:r>
    </w:p>
    <w:p w14:paraId="30AD3088">
      <w:pPr>
        <w:spacing w:line="360" w:lineRule="auto"/>
        <w:ind w:firstLine="480"/>
        <w:rPr>
          <w:rFonts w:ascii="宋体" w:hAnsi="宋体"/>
          <w:color w:val="auto"/>
          <w:sz w:val="24"/>
          <w:highlight w:val="none"/>
        </w:rPr>
      </w:pPr>
      <w:r>
        <w:rPr>
          <w:rFonts w:hint="eastAsia" w:ascii="宋体" w:hAnsi="宋体"/>
          <w:color w:val="auto"/>
          <w:sz w:val="24"/>
          <w:highlight w:val="none"/>
        </w:rPr>
        <w:t>本合同自</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日生效。</w:t>
      </w:r>
    </w:p>
    <w:p w14:paraId="5D1D07BA">
      <w:pPr>
        <w:spacing w:line="360" w:lineRule="auto"/>
        <w:ind w:left="482"/>
        <w:rPr>
          <w:rFonts w:ascii="宋体" w:hAnsi="宋体"/>
          <w:b/>
          <w:color w:val="auto"/>
          <w:sz w:val="24"/>
          <w:highlight w:val="none"/>
        </w:rPr>
      </w:pPr>
      <w:r>
        <w:rPr>
          <w:rFonts w:hint="eastAsia" w:ascii="宋体" w:hAnsi="宋体"/>
          <w:b/>
          <w:color w:val="auto"/>
          <w:sz w:val="24"/>
          <w:highlight w:val="none"/>
        </w:rPr>
        <w:t>7.合同份数</w:t>
      </w:r>
    </w:p>
    <w:p w14:paraId="0C0A08B3">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陆</w:t>
      </w:r>
      <w:r>
        <w:rPr>
          <w:rFonts w:hint="eastAsia" w:ascii="宋体" w:hAnsi="宋体"/>
          <w:color w:val="auto"/>
          <w:szCs w:val="21"/>
          <w:highlight w:val="none"/>
          <w:u w:val="single"/>
        </w:rPr>
        <w:t xml:space="preserve"> </w:t>
      </w:r>
      <w:r>
        <w:rPr>
          <w:rFonts w:hint="eastAsia" w:ascii="宋体" w:hAnsi="宋体"/>
          <w:color w:val="auto"/>
          <w:szCs w:val="21"/>
          <w:highlight w:val="none"/>
        </w:rPr>
        <w:t>份，甲方执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叁</w:t>
      </w:r>
      <w:r>
        <w:rPr>
          <w:rFonts w:hint="eastAsia" w:ascii="宋体" w:hAnsi="宋体"/>
          <w:color w:val="auto"/>
          <w:szCs w:val="21"/>
          <w:highlight w:val="none"/>
          <w:u w:val="single"/>
        </w:rPr>
        <w:t xml:space="preserve"> </w:t>
      </w:r>
      <w:r>
        <w:rPr>
          <w:rFonts w:hint="eastAsia" w:ascii="宋体" w:hAnsi="宋体"/>
          <w:color w:val="auto"/>
          <w:szCs w:val="21"/>
          <w:highlight w:val="none"/>
        </w:rPr>
        <w:t>份，乙方执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叁</w:t>
      </w:r>
      <w:r>
        <w:rPr>
          <w:rFonts w:hint="eastAsia" w:ascii="宋体" w:hAnsi="宋体"/>
          <w:color w:val="auto"/>
          <w:szCs w:val="21"/>
          <w:highlight w:val="none"/>
          <w:u w:val="single"/>
        </w:rPr>
        <w:t xml:space="preserve"> </w:t>
      </w:r>
      <w:r>
        <w:rPr>
          <w:rFonts w:hint="eastAsia" w:ascii="宋体" w:hAnsi="宋体"/>
          <w:color w:val="auto"/>
          <w:szCs w:val="21"/>
          <w:highlight w:val="none"/>
        </w:rPr>
        <w:t>份，均具有同等法律效力。</w:t>
      </w:r>
    </w:p>
    <w:p w14:paraId="2D6D8C26">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2026</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2B830FA6">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合同订立地点：</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东台市公安局</w:t>
      </w:r>
      <w:r>
        <w:rPr>
          <w:rFonts w:hint="eastAsia" w:ascii="宋体" w:hAnsi="宋体"/>
          <w:color w:val="auto"/>
          <w:szCs w:val="21"/>
          <w:highlight w:val="none"/>
          <w:u w:val="single"/>
        </w:rPr>
        <w:t xml:space="preserve"> </w:t>
      </w:r>
    </w:p>
    <w:p w14:paraId="58BA7FD8">
      <w:pPr>
        <w:adjustRightInd w:val="0"/>
        <w:snapToGrid w:val="0"/>
        <w:spacing w:line="400" w:lineRule="exact"/>
        <w:ind w:firstLine="420" w:firstLineChars="200"/>
        <w:rPr>
          <w:color w:val="auto"/>
          <w:highlight w:val="none"/>
        </w:rPr>
      </w:pPr>
      <w:r>
        <w:rPr>
          <w:rFonts w:hint="eastAsia" w:ascii="宋体" w:hAnsi="宋体"/>
          <w:color w:val="auto"/>
          <w:szCs w:val="21"/>
          <w:highlight w:val="none"/>
        </w:rPr>
        <w:t>附件：具体标的及其技术要求和商务要求、联合协议、分包意向协议等。</w:t>
      </w:r>
    </w:p>
    <w:tbl>
      <w:tblPr>
        <w:tblStyle w:val="36"/>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877"/>
        <w:gridCol w:w="2584"/>
        <w:gridCol w:w="1958"/>
        <w:gridCol w:w="1979"/>
      </w:tblGrid>
      <w:tr w14:paraId="739C36B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461" w:type="dxa"/>
            <w:gridSpan w:val="2"/>
            <w:tcBorders>
              <w:bottom w:val="single" w:color="000000" w:sz="2" w:space="0"/>
              <w:right w:val="single" w:color="000000" w:sz="2" w:space="0"/>
            </w:tcBorders>
            <w:vAlign w:val="center"/>
          </w:tcPr>
          <w:p w14:paraId="1AFF2E02">
            <w:pPr>
              <w:spacing w:line="360" w:lineRule="auto"/>
              <w:jc w:val="center"/>
              <w:rPr>
                <w:rFonts w:hint="default" w:eastAsiaTheme="minorEastAsia"/>
                <w:sz w:val="24"/>
                <w:highlight w:val="none"/>
                <w:lang w:val="en-US" w:eastAsia="zh-CN"/>
              </w:rPr>
            </w:pPr>
            <w:r>
              <w:rPr>
                <w:sz w:val="24"/>
                <w:highlight w:val="none"/>
              </w:rPr>
              <w:t>甲方</w:t>
            </w:r>
            <w:r>
              <w:rPr>
                <w:rFonts w:hint="eastAsia"/>
                <w:sz w:val="24"/>
                <w:highlight w:val="none"/>
              </w:rPr>
              <w:t>（采购人）</w:t>
            </w:r>
            <w:r>
              <w:rPr>
                <w:rFonts w:hint="eastAsia"/>
                <w:sz w:val="24"/>
                <w:highlight w:val="none"/>
                <w:lang w:val="en-US" w:eastAsia="zh-CN"/>
              </w:rPr>
              <w:t>东台市公安局</w:t>
            </w:r>
          </w:p>
        </w:tc>
        <w:tc>
          <w:tcPr>
            <w:tcW w:w="3937" w:type="dxa"/>
            <w:gridSpan w:val="2"/>
            <w:tcBorders>
              <w:left w:val="single" w:color="000000" w:sz="2" w:space="0"/>
              <w:bottom w:val="single" w:color="000000" w:sz="2" w:space="0"/>
            </w:tcBorders>
            <w:vAlign w:val="center"/>
          </w:tcPr>
          <w:p w14:paraId="4FE619CB">
            <w:pPr>
              <w:spacing w:line="360" w:lineRule="auto"/>
              <w:jc w:val="center"/>
              <w:rPr>
                <w:sz w:val="24"/>
                <w:highlight w:val="none"/>
              </w:rPr>
            </w:pPr>
            <w:r>
              <w:rPr>
                <w:sz w:val="24"/>
                <w:highlight w:val="none"/>
              </w:rPr>
              <w:t>乙方</w:t>
            </w:r>
            <w:r>
              <w:rPr>
                <w:rFonts w:hint="eastAsia"/>
                <w:sz w:val="24"/>
                <w:highlight w:val="none"/>
              </w:rPr>
              <w:t>（供应商）</w:t>
            </w:r>
          </w:p>
        </w:tc>
      </w:tr>
      <w:tr w14:paraId="3C081C6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877" w:type="dxa"/>
            <w:tcBorders>
              <w:top w:val="single" w:color="000000" w:sz="2" w:space="0"/>
              <w:bottom w:val="single" w:color="000000" w:sz="2" w:space="0"/>
              <w:right w:val="single" w:color="000000" w:sz="2" w:space="0"/>
            </w:tcBorders>
            <w:vAlign w:val="center"/>
          </w:tcPr>
          <w:p w14:paraId="3FF33781">
            <w:pPr>
              <w:spacing w:line="360" w:lineRule="auto"/>
              <w:jc w:val="center"/>
              <w:rPr>
                <w:sz w:val="24"/>
                <w:highlight w:val="none"/>
              </w:rPr>
            </w:pPr>
            <w:r>
              <w:rPr>
                <w:sz w:val="24"/>
                <w:highlight w:val="none"/>
              </w:rPr>
              <w:t>单位名称</w:t>
            </w:r>
            <w:r>
              <w:rPr>
                <w:rFonts w:hint="eastAsia"/>
                <w:sz w:val="24"/>
                <w:highlight w:val="none"/>
              </w:rPr>
              <w:t>（公章或合同章）</w:t>
            </w:r>
          </w:p>
        </w:tc>
        <w:tc>
          <w:tcPr>
            <w:tcW w:w="2584" w:type="dxa"/>
            <w:tcBorders>
              <w:top w:val="single" w:color="000000" w:sz="2" w:space="0"/>
              <w:left w:val="single" w:color="000000" w:sz="2" w:space="0"/>
              <w:bottom w:val="single" w:color="000000" w:sz="2" w:space="0"/>
              <w:right w:val="single" w:color="000000" w:sz="2" w:space="0"/>
            </w:tcBorders>
            <w:vAlign w:val="center"/>
          </w:tcPr>
          <w:p w14:paraId="502111B8">
            <w:pPr>
              <w:spacing w:line="360" w:lineRule="auto"/>
              <w:jc w:val="center"/>
              <w:rPr>
                <w:sz w:val="24"/>
                <w:highlight w:val="none"/>
              </w:rPr>
            </w:pPr>
          </w:p>
        </w:tc>
        <w:tc>
          <w:tcPr>
            <w:tcW w:w="1958" w:type="dxa"/>
            <w:tcBorders>
              <w:top w:val="single" w:color="000000" w:sz="2" w:space="0"/>
              <w:left w:val="single" w:color="000000" w:sz="2" w:space="0"/>
              <w:bottom w:val="single" w:color="000000" w:sz="2" w:space="0"/>
              <w:right w:val="single" w:color="000000" w:sz="2" w:space="0"/>
            </w:tcBorders>
            <w:vAlign w:val="center"/>
          </w:tcPr>
          <w:p w14:paraId="7B1B83E2">
            <w:pPr>
              <w:spacing w:line="360" w:lineRule="auto"/>
              <w:jc w:val="center"/>
              <w:rPr>
                <w:sz w:val="24"/>
                <w:highlight w:val="none"/>
              </w:rPr>
            </w:pPr>
            <w:r>
              <w:rPr>
                <w:sz w:val="24"/>
                <w:highlight w:val="none"/>
              </w:rPr>
              <w:t>单位名称</w:t>
            </w:r>
            <w:r>
              <w:rPr>
                <w:rFonts w:hint="eastAsia"/>
                <w:sz w:val="24"/>
                <w:highlight w:val="none"/>
              </w:rPr>
              <w:t>（公章或合同章）</w:t>
            </w:r>
          </w:p>
        </w:tc>
        <w:tc>
          <w:tcPr>
            <w:tcW w:w="1979" w:type="dxa"/>
            <w:tcBorders>
              <w:top w:val="single" w:color="000000" w:sz="2" w:space="0"/>
              <w:left w:val="single" w:color="000000" w:sz="2" w:space="0"/>
              <w:bottom w:val="single" w:color="000000" w:sz="2" w:space="0"/>
            </w:tcBorders>
            <w:vAlign w:val="center"/>
          </w:tcPr>
          <w:p w14:paraId="6214B514">
            <w:pPr>
              <w:spacing w:line="360" w:lineRule="auto"/>
              <w:jc w:val="center"/>
              <w:rPr>
                <w:spacing w:val="20"/>
                <w:sz w:val="24"/>
                <w:highlight w:val="none"/>
              </w:rPr>
            </w:pPr>
          </w:p>
        </w:tc>
      </w:tr>
      <w:tr w14:paraId="25161AB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1877" w:type="dxa"/>
            <w:vMerge w:val="restart"/>
            <w:tcBorders>
              <w:top w:val="single" w:color="000000" w:sz="2" w:space="0"/>
              <w:right w:val="single" w:color="000000" w:sz="2" w:space="0"/>
            </w:tcBorders>
            <w:vAlign w:val="center"/>
          </w:tcPr>
          <w:p w14:paraId="2AC46522">
            <w:pPr>
              <w:spacing w:line="360" w:lineRule="auto"/>
              <w:jc w:val="center"/>
              <w:rPr>
                <w:sz w:val="24"/>
                <w:highlight w:val="none"/>
              </w:rPr>
            </w:pPr>
            <w:r>
              <w:rPr>
                <w:sz w:val="24"/>
                <w:highlight w:val="none"/>
              </w:rPr>
              <w:t>法定代表人</w:t>
            </w:r>
          </w:p>
          <w:p w14:paraId="6DA34215">
            <w:pPr>
              <w:spacing w:line="360" w:lineRule="auto"/>
              <w:ind w:firstLine="115"/>
              <w:jc w:val="center"/>
              <w:rPr>
                <w:sz w:val="24"/>
                <w:highlight w:val="none"/>
              </w:rPr>
            </w:pPr>
            <w:r>
              <w:rPr>
                <w:rFonts w:hint="eastAsia"/>
                <w:sz w:val="24"/>
                <w:highlight w:val="none"/>
              </w:rPr>
              <w:t>或其</w:t>
            </w:r>
            <w:r>
              <w:rPr>
                <w:sz w:val="24"/>
                <w:highlight w:val="none"/>
              </w:rPr>
              <w:t>委托代理人</w:t>
            </w:r>
            <w:r>
              <w:rPr>
                <w:rFonts w:hint="eastAsia"/>
                <w:sz w:val="24"/>
                <w:highlight w:val="none"/>
              </w:rPr>
              <w:t>（签章）</w:t>
            </w:r>
          </w:p>
        </w:tc>
        <w:tc>
          <w:tcPr>
            <w:tcW w:w="2584" w:type="dxa"/>
            <w:vMerge w:val="restart"/>
            <w:tcBorders>
              <w:top w:val="single" w:color="000000" w:sz="2" w:space="0"/>
              <w:left w:val="single" w:color="000000" w:sz="2" w:space="0"/>
              <w:right w:val="single" w:color="000000" w:sz="2" w:space="0"/>
            </w:tcBorders>
            <w:vAlign w:val="center"/>
          </w:tcPr>
          <w:p w14:paraId="207308C6">
            <w:pPr>
              <w:spacing w:line="360" w:lineRule="auto"/>
              <w:jc w:val="center"/>
              <w:rPr>
                <w:sz w:val="24"/>
                <w:highlight w:val="none"/>
              </w:rPr>
            </w:pPr>
          </w:p>
        </w:tc>
        <w:tc>
          <w:tcPr>
            <w:tcW w:w="1958" w:type="dxa"/>
            <w:tcBorders>
              <w:top w:val="single" w:color="000000" w:sz="2" w:space="0"/>
              <w:left w:val="single" w:color="000000" w:sz="2" w:space="0"/>
              <w:right w:val="single" w:color="000000" w:sz="2" w:space="0"/>
            </w:tcBorders>
            <w:vAlign w:val="center"/>
          </w:tcPr>
          <w:p w14:paraId="1B6BF0CD">
            <w:pPr>
              <w:spacing w:line="360" w:lineRule="auto"/>
              <w:jc w:val="center"/>
              <w:rPr>
                <w:sz w:val="24"/>
                <w:highlight w:val="none"/>
              </w:rPr>
            </w:pPr>
            <w:r>
              <w:rPr>
                <w:sz w:val="24"/>
                <w:highlight w:val="none"/>
              </w:rPr>
              <w:t>法定代表人</w:t>
            </w:r>
          </w:p>
          <w:p w14:paraId="4EB28212">
            <w:pPr>
              <w:spacing w:line="360" w:lineRule="auto"/>
              <w:jc w:val="center"/>
              <w:rPr>
                <w:sz w:val="24"/>
                <w:highlight w:val="none"/>
              </w:rPr>
            </w:pPr>
            <w:r>
              <w:rPr>
                <w:rFonts w:hint="eastAsia"/>
                <w:sz w:val="24"/>
                <w:highlight w:val="none"/>
              </w:rPr>
              <w:t>或其</w:t>
            </w:r>
            <w:r>
              <w:rPr>
                <w:sz w:val="24"/>
                <w:highlight w:val="none"/>
              </w:rPr>
              <w:t>委托代理人</w:t>
            </w:r>
            <w:r>
              <w:rPr>
                <w:rFonts w:hint="eastAsia"/>
                <w:sz w:val="24"/>
                <w:highlight w:val="none"/>
              </w:rPr>
              <w:t>（签章）</w:t>
            </w:r>
          </w:p>
        </w:tc>
        <w:tc>
          <w:tcPr>
            <w:tcW w:w="1979" w:type="dxa"/>
            <w:tcBorders>
              <w:top w:val="single" w:color="000000" w:sz="2" w:space="0"/>
              <w:left w:val="single" w:color="000000" w:sz="2" w:space="0"/>
              <w:bottom w:val="single" w:color="000000" w:sz="2" w:space="0"/>
            </w:tcBorders>
            <w:vAlign w:val="center"/>
          </w:tcPr>
          <w:p w14:paraId="1BFC448B">
            <w:pPr>
              <w:spacing w:line="360" w:lineRule="auto"/>
              <w:jc w:val="center"/>
              <w:rPr>
                <w:sz w:val="24"/>
                <w:highlight w:val="none"/>
              </w:rPr>
            </w:pPr>
          </w:p>
        </w:tc>
      </w:tr>
      <w:tr w14:paraId="7870D47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1877" w:type="dxa"/>
            <w:vMerge w:val="continue"/>
            <w:tcBorders>
              <w:bottom w:val="single" w:color="000000" w:sz="2" w:space="0"/>
              <w:right w:val="single" w:color="000000" w:sz="2" w:space="0"/>
            </w:tcBorders>
            <w:vAlign w:val="center"/>
          </w:tcPr>
          <w:p w14:paraId="51A958E6">
            <w:pPr>
              <w:spacing w:line="360" w:lineRule="auto"/>
              <w:jc w:val="center"/>
              <w:rPr>
                <w:sz w:val="24"/>
                <w:highlight w:val="none"/>
              </w:rPr>
            </w:pPr>
          </w:p>
        </w:tc>
        <w:tc>
          <w:tcPr>
            <w:tcW w:w="2584" w:type="dxa"/>
            <w:vMerge w:val="continue"/>
            <w:tcBorders>
              <w:left w:val="single" w:color="000000" w:sz="2" w:space="0"/>
              <w:bottom w:val="single" w:color="000000" w:sz="2" w:space="0"/>
              <w:right w:val="single" w:color="000000" w:sz="2" w:space="0"/>
            </w:tcBorders>
            <w:vAlign w:val="center"/>
          </w:tcPr>
          <w:p w14:paraId="4AC510B4">
            <w:pPr>
              <w:spacing w:line="360" w:lineRule="auto"/>
              <w:jc w:val="center"/>
              <w:rPr>
                <w:sz w:val="24"/>
                <w:highlight w:val="none"/>
              </w:rPr>
            </w:pPr>
          </w:p>
        </w:tc>
        <w:tc>
          <w:tcPr>
            <w:tcW w:w="1958" w:type="dxa"/>
            <w:tcBorders>
              <w:top w:val="single" w:color="000000" w:sz="2" w:space="0"/>
              <w:left w:val="single" w:color="000000" w:sz="2" w:space="0"/>
              <w:bottom w:val="single" w:color="000000" w:sz="2" w:space="0"/>
              <w:right w:val="single" w:color="000000" w:sz="2" w:space="0"/>
            </w:tcBorders>
            <w:vAlign w:val="center"/>
          </w:tcPr>
          <w:p w14:paraId="473DD812">
            <w:pPr>
              <w:spacing w:line="360" w:lineRule="auto"/>
              <w:jc w:val="center"/>
              <w:rPr>
                <w:sz w:val="24"/>
                <w:highlight w:val="none"/>
              </w:rPr>
            </w:pPr>
            <w:r>
              <w:rPr>
                <w:rFonts w:hint="eastAsia"/>
                <w:sz w:val="24"/>
                <w:highlight w:val="none"/>
              </w:rPr>
              <w:t>拥有者性别</w:t>
            </w:r>
          </w:p>
        </w:tc>
        <w:tc>
          <w:tcPr>
            <w:tcW w:w="1979" w:type="dxa"/>
            <w:tcBorders>
              <w:top w:val="single" w:color="000000" w:sz="2" w:space="0"/>
              <w:left w:val="single" w:color="000000" w:sz="2" w:space="0"/>
              <w:bottom w:val="single" w:color="000000" w:sz="2" w:space="0"/>
            </w:tcBorders>
            <w:vAlign w:val="center"/>
          </w:tcPr>
          <w:p w14:paraId="23700312">
            <w:pPr>
              <w:spacing w:line="360" w:lineRule="auto"/>
              <w:jc w:val="center"/>
              <w:rPr>
                <w:spacing w:val="20"/>
                <w:sz w:val="24"/>
                <w:highlight w:val="none"/>
              </w:rPr>
            </w:pPr>
          </w:p>
        </w:tc>
      </w:tr>
      <w:tr w14:paraId="3BC0AC0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77" w:type="dxa"/>
            <w:tcBorders>
              <w:top w:val="single" w:color="000000" w:sz="2" w:space="0"/>
              <w:bottom w:val="single" w:color="000000" w:sz="2" w:space="0"/>
              <w:right w:val="single" w:color="000000" w:sz="2" w:space="0"/>
            </w:tcBorders>
            <w:vAlign w:val="center"/>
          </w:tcPr>
          <w:p w14:paraId="571E9DFD">
            <w:pPr>
              <w:spacing w:line="360" w:lineRule="auto"/>
              <w:jc w:val="center"/>
              <w:rPr>
                <w:sz w:val="24"/>
                <w:highlight w:val="none"/>
              </w:rPr>
            </w:pPr>
            <w:r>
              <w:rPr>
                <w:rFonts w:hint="eastAsia"/>
                <w:sz w:val="24"/>
                <w:highlight w:val="none"/>
              </w:rPr>
              <w:t>住所</w:t>
            </w:r>
          </w:p>
        </w:tc>
        <w:tc>
          <w:tcPr>
            <w:tcW w:w="2584" w:type="dxa"/>
            <w:tcBorders>
              <w:top w:val="single" w:color="000000" w:sz="2" w:space="0"/>
              <w:left w:val="single" w:color="000000" w:sz="2" w:space="0"/>
              <w:bottom w:val="single" w:color="000000" w:sz="2" w:space="0"/>
              <w:right w:val="single" w:color="000000" w:sz="2" w:space="0"/>
            </w:tcBorders>
            <w:vAlign w:val="center"/>
          </w:tcPr>
          <w:p w14:paraId="739148F2">
            <w:pPr>
              <w:spacing w:line="240" w:lineRule="auto"/>
              <w:ind w:firstLine="0" w:firstLineChars="0"/>
              <w:rPr>
                <w:sz w:val="24"/>
                <w:highlight w:val="none"/>
              </w:rPr>
            </w:pPr>
            <w:r>
              <w:rPr>
                <w:rFonts w:hint="eastAsia"/>
                <w:sz w:val="24"/>
              </w:rPr>
              <w:t>盐城市东台市广场路1号</w:t>
            </w:r>
          </w:p>
        </w:tc>
        <w:tc>
          <w:tcPr>
            <w:tcW w:w="1958" w:type="dxa"/>
            <w:tcBorders>
              <w:top w:val="single" w:color="000000" w:sz="2" w:space="0"/>
              <w:left w:val="single" w:color="000000" w:sz="2" w:space="0"/>
              <w:bottom w:val="single" w:color="000000" w:sz="2" w:space="0"/>
              <w:right w:val="single" w:color="000000" w:sz="2" w:space="0"/>
            </w:tcBorders>
            <w:vAlign w:val="center"/>
          </w:tcPr>
          <w:p w14:paraId="7E819B3B">
            <w:pPr>
              <w:spacing w:line="360" w:lineRule="auto"/>
              <w:jc w:val="center"/>
              <w:rPr>
                <w:sz w:val="24"/>
                <w:highlight w:val="none"/>
              </w:rPr>
            </w:pPr>
            <w:r>
              <w:rPr>
                <w:rFonts w:hint="eastAsia"/>
                <w:sz w:val="24"/>
                <w:highlight w:val="none"/>
              </w:rPr>
              <w:t>住所</w:t>
            </w:r>
          </w:p>
        </w:tc>
        <w:tc>
          <w:tcPr>
            <w:tcW w:w="1979" w:type="dxa"/>
            <w:tcBorders>
              <w:top w:val="single" w:color="000000" w:sz="2" w:space="0"/>
              <w:left w:val="single" w:color="000000" w:sz="2" w:space="0"/>
              <w:bottom w:val="single" w:color="000000" w:sz="2" w:space="0"/>
            </w:tcBorders>
            <w:vAlign w:val="center"/>
          </w:tcPr>
          <w:p w14:paraId="6EFEB21A">
            <w:pPr>
              <w:spacing w:line="360" w:lineRule="auto"/>
              <w:jc w:val="center"/>
              <w:rPr>
                <w:spacing w:val="20"/>
                <w:sz w:val="24"/>
                <w:highlight w:val="none"/>
              </w:rPr>
            </w:pPr>
          </w:p>
        </w:tc>
      </w:tr>
      <w:tr w14:paraId="0C75C66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77" w:type="dxa"/>
            <w:tcBorders>
              <w:top w:val="single" w:color="000000" w:sz="2" w:space="0"/>
              <w:bottom w:val="single" w:color="000000" w:sz="2" w:space="0"/>
              <w:right w:val="single" w:color="000000" w:sz="2" w:space="0"/>
            </w:tcBorders>
            <w:vAlign w:val="center"/>
          </w:tcPr>
          <w:p w14:paraId="71ECF70D">
            <w:pPr>
              <w:spacing w:line="360" w:lineRule="auto"/>
              <w:jc w:val="center"/>
              <w:rPr>
                <w:sz w:val="24"/>
                <w:highlight w:val="none"/>
              </w:rPr>
            </w:pPr>
            <w:r>
              <w:rPr>
                <w:sz w:val="24"/>
                <w:highlight w:val="none"/>
              </w:rPr>
              <w:t>联 系 人</w:t>
            </w:r>
          </w:p>
        </w:tc>
        <w:tc>
          <w:tcPr>
            <w:tcW w:w="2584" w:type="dxa"/>
            <w:tcBorders>
              <w:top w:val="single" w:color="000000" w:sz="2" w:space="0"/>
              <w:left w:val="single" w:color="000000" w:sz="2" w:space="0"/>
              <w:bottom w:val="single" w:color="000000" w:sz="2" w:space="0"/>
              <w:right w:val="single" w:color="000000" w:sz="2" w:space="0"/>
            </w:tcBorders>
            <w:vAlign w:val="center"/>
          </w:tcPr>
          <w:p w14:paraId="41281196">
            <w:pPr>
              <w:spacing w:line="240" w:lineRule="auto"/>
              <w:ind w:firstLine="0" w:firstLineChars="0"/>
              <w:rPr>
                <w:sz w:val="24"/>
                <w:highlight w:val="none"/>
              </w:rPr>
            </w:pPr>
            <w:r>
              <w:rPr>
                <w:rFonts w:hint="eastAsia"/>
                <w:sz w:val="24"/>
              </w:rPr>
              <w:t>宗先生</w:t>
            </w:r>
          </w:p>
        </w:tc>
        <w:tc>
          <w:tcPr>
            <w:tcW w:w="1958" w:type="dxa"/>
            <w:tcBorders>
              <w:top w:val="single" w:color="000000" w:sz="2" w:space="0"/>
              <w:left w:val="single" w:color="000000" w:sz="2" w:space="0"/>
              <w:bottom w:val="single" w:color="000000" w:sz="2" w:space="0"/>
              <w:right w:val="single" w:color="000000" w:sz="2" w:space="0"/>
            </w:tcBorders>
            <w:vAlign w:val="center"/>
          </w:tcPr>
          <w:p w14:paraId="3646E5A3">
            <w:pPr>
              <w:spacing w:line="360" w:lineRule="auto"/>
              <w:jc w:val="center"/>
              <w:rPr>
                <w:sz w:val="24"/>
                <w:highlight w:val="none"/>
              </w:rPr>
            </w:pPr>
            <w:r>
              <w:rPr>
                <w:sz w:val="24"/>
                <w:highlight w:val="none"/>
              </w:rPr>
              <w:t>联 系 人</w:t>
            </w:r>
          </w:p>
        </w:tc>
        <w:tc>
          <w:tcPr>
            <w:tcW w:w="1979" w:type="dxa"/>
            <w:tcBorders>
              <w:top w:val="single" w:color="000000" w:sz="2" w:space="0"/>
              <w:left w:val="single" w:color="000000" w:sz="2" w:space="0"/>
              <w:bottom w:val="single" w:color="000000" w:sz="2" w:space="0"/>
            </w:tcBorders>
            <w:vAlign w:val="center"/>
          </w:tcPr>
          <w:p w14:paraId="1113B102">
            <w:pPr>
              <w:spacing w:line="360" w:lineRule="auto"/>
              <w:jc w:val="center"/>
              <w:rPr>
                <w:spacing w:val="20"/>
                <w:sz w:val="24"/>
                <w:highlight w:val="none"/>
              </w:rPr>
            </w:pPr>
          </w:p>
        </w:tc>
      </w:tr>
      <w:tr w14:paraId="20B1647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77" w:type="dxa"/>
            <w:tcBorders>
              <w:top w:val="single" w:color="000000" w:sz="2" w:space="0"/>
              <w:bottom w:val="single" w:color="000000" w:sz="2" w:space="0"/>
              <w:right w:val="single" w:color="000000" w:sz="2" w:space="0"/>
            </w:tcBorders>
            <w:vAlign w:val="center"/>
          </w:tcPr>
          <w:p w14:paraId="7F03B7AA">
            <w:pPr>
              <w:spacing w:line="360" w:lineRule="auto"/>
              <w:jc w:val="center"/>
              <w:rPr>
                <w:sz w:val="24"/>
                <w:highlight w:val="none"/>
              </w:rPr>
            </w:pPr>
            <w:r>
              <w:rPr>
                <w:sz w:val="24"/>
                <w:highlight w:val="none"/>
              </w:rPr>
              <w:t>联系电话</w:t>
            </w:r>
          </w:p>
        </w:tc>
        <w:tc>
          <w:tcPr>
            <w:tcW w:w="2584" w:type="dxa"/>
            <w:tcBorders>
              <w:top w:val="single" w:color="000000" w:sz="2" w:space="0"/>
              <w:left w:val="single" w:color="000000" w:sz="2" w:space="0"/>
              <w:bottom w:val="single" w:color="000000" w:sz="2" w:space="0"/>
              <w:right w:val="single" w:color="000000" w:sz="2" w:space="0"/>
            </w:tcBorders>
            <w:vAlign w:val="center"/>
          </w:tcPr>
          <w:p w14:paraId="37C0CD6E">
            <w:pPr>
              <w:spacing w:line="240" w:lineRule="auto"/>
              <w:ind w:firstLine="0" w:firstLineChars="0"/>
              <w:rPr>
                <w:sz w:val="24"/>
                <w:highlight w:val="none"/>
              </w:rPr>
            </w:pPr>
            <w:r>
              <w:rPr>
                <w:sz w:val="24"/>
              </w:rPr>
              <w:t>0515-85298316</w:t>
            </w:r>
          </w:p>
        </w:tc>
        <w:tc>
          <w:tcPr>
            <w:tcW w:w="1958" w:type="dxa"/>
            <w:tcBorders>
              <w:top w:val="single" w:color="000000" w:sz="2" w:space="0"/>
              <w:left w:val="single" w:color="000000" w:sz="2" w:space="0"/>
              <w:bottom w:val="single" w:color="000000" w:sz="2" w:space="0"/>
              <w:right w:val="single" w:color="000000" w:sz="2" w:space="0"/>
            </w:tcBorders>
            <w:vAlign w:val="center"/>
          </w:tcPr>
          <w:p w14:paraId="7609AA7D">
            <w:pPr>
              <w:spacing w:line="360" w:lineRule="auto"/>
              <w:jc w:val="center"/>
              <w:rPr>
                <w:sz w:val="24"/>
                <w:highlight w:val="none"/>
              </w:rPr>
            </w:pPr>
            <w:r>
              <w:rPr>
                <w:sz w:val="24"/>
                <w:highlight w:val="none"/>
              </w:rPr>
              <w:t>联系电话</w:t>
            </w:r>
          </w:p>
        </w:tc>
        <w:tc>
          <w:tcPr>
            <w:tcW w:w="1979" w:type="dxa"/>
            <w:tcBorders>
              <w:top w:val="single" w:color="000000" w:sz="2" w:space="0"/>
              <w:left w:val="single" w:color="000000" w:sz="2" w:space="0"/>
              <w:bottom w:val="single" w:color="000000" w:sz="2" w:space="0"/>
            </w:tcBorders>
            <w:vAlign w:val="center"/>
          </w:tcPr>
          <w:p w14:paraId="37C5A6F4">
            <w:pPr>
              <w:spacing w:line="360" w:lineRule="auto"/>
              <w:jc w:val="center"/>
              <w:rPr>
                <w:spacing w:val="20"/>
                <w:sz w:val="24"/>
                <w:highlight w:val="none"/>
              </w:rPr>
            </w:pPr>
          </w:p>
        </w:tc>
      </w:tr>
      <w:tr w14:paraId="65A3AEB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77" w:type="dxa"/>
            <w:tcBorders>
              <w:top w:val="single" w:color="000000" w:sz="2" w:space="0"/>
              <w:bottom w:val="single" w:color="000000" w:sz="2" w:space="0"/>
              <w:right w:val="single" w:color="000000" w:sz="2" w:space="0"/>
            </w:tcBorders>
            <w:vAlign w:val="center"/>
          </w:tcPr>
          <w:p w14:paraId="76E8EC3F">
            <w:pPr>
              <w:spacing w:line="360" w:lineRule="auto"/>
              <w:jc w:val="center"/>
              <w:rPr>
                <w:sz w:val="24"/>
                <w:highlight w:val="none"/>
              </w:rPr>
            </w:pPr>
            <w:r>
              <w:rPr>
                <w:rFonts w:hint="eastAsia"/>
                <w:sz w:val="24"/>
                <w:highlight w:val="none"/>
              </w:rPr>
              <w:t>通信地址</w:t>
            </w:r>
          </w:p>
        </w:tc>
        <w:tc>
          <w:tcPr>
            <w:tcW w:w="2584" w:type="dxa"/>
            <w:tcBorders>
              <w:top w:val="single" w:color="000000" w:sz="2" w:space="0"/>
              <w:left w:val="single" w:color="000000" w:sz="2" w:space="0"/>
              <w:bottom w:val="single" w:color="000000" w:sz="2" w:space="0"/>
              <w:right w:val="single" w:color="000000" w:sz="2" w:space="0"/>
            </w:tcBorders>
            <w:vAlign w:val="center"/>
          </w:tcPr>
          <w:p w14:paraId="28BEF0E4">
            <w:pPr>
              <w:spacing w:line="240" w:lineRule="auto"/>
              <w:ind w:firstLine="0" w:firstLineChars="0"/>
              <w:rPr>
                <w:sz w:val="24"/>
                <w:highlight w:val="none"/>
              </w:rPr>
            </w:pPr>
            <w:r>
              <w:rPr>
                <w:rFonts w:hint="eastAsia"/>
                <w:sz w:val="24"/>
              </w:rPr>
              <w:t>盐城市东台市广场路1号</w:t>
            </w:r>
          </w:p>
        </w:tc>
        <w:tc>
          <w:tcPr>
            <w:tcW w:w="1958" w:type="dxa"/>
            <w:tcBorders>
              <w:top w:val="single" w:color="000000" w:sz="2" w:space="0"/>
              <w:left w:val="single" w:color="000000" w:sz="2" w:space="0"/>
              <w:bottom w:val="single" w:color="000000" w:sz="2" w:space="0"/>
              <w:right w:val="single" w:color="000000" w:sz="2" w:space="0"/>
            </w:tcBorders>
            <w:vAlign w:val="center"/>
          </w:tcPr>
          <w:p w14:paraId="2465B699">
            <w:pPr>
              <w:spacing w:line="360" w:lineRule="auto"/>
              <w:jc w:val="center"/>
              <w:rPr>
                <w:sz w:val="24"/>
                <w:highlight w:val="none"/>
              </w:rPr>
            </w:pPr>
            <w:r>
              <w:rPr>
                <w:rFonts w:hint="eastAsia"/>
                <w:sz w:val="24"/>
                <w:highlight w:val="none"/>
              </w:rPr>
              <w:t>通信地址</w:t>
            </w:r>
          </w:p>
        </w:tc>
        <w:tc>
          <w:tcPr>
            <w:tcW w:w="1979" w:type="dxa"/>
            <w:tcBorders>
              <w:top w:val="single" w:color="000000" w:sz="2" w:space="0"/>
              <w:left w:val="single" w:color="000000" w:sz="2" w:space="0"/>
              <w:bottom w:val="single" w:color="000000" w:sz="2" w:space="0"/>
            </w:tcBorders>
            <w:vAlign w:val="center"/>
          </w:tcPr>
          <w:p w14:paraId="13A0085B">
            <w:pPr>
              <w:spacing w:line="360" w:lineRule="auto"/>
              <w:jc w:val="center"/>
              <w:rPr>
                <w:spacing w:val="20"/>
                <w:sz w:val="24"/>
                <w:highlight w:val="none"/>
              </w:rPr>
            </w:pPr>
          </w:p>
        </w:tc>
      </w:tr>
      <w:tr w14:paraId="53963EB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77" w:type="dxa"/>
            <w:tcBorders>
              <w:top w:val="single" w:color="000000" w:sz="2" w:space="0"/>
              <w:bottom w:val="single" w:color="000000" w:sz="2" w:space="0"/>
              <w:right w:val="single" w:color="000000" w:sz="2" w:space="0"/>
            </w:tcBorders>
            <w:vAlign w:val="center"/>
          </w:tcPr>
          <w:p w14:paraId="052DA156">
            <w:pPr>
              <w:spacing w:line="360" w:lineRule="auto"/>
              <w:jc w:val="center"/>
              <w:rPr>
                <w:sz w:val="24"/>
                <w:highlight w:val="none"/>
              </w:rPr>
            </w:pPr>
            <w:r>
              <w:rPr>
                <w:sz w:val="24"/>
                <w:highlight w:val="none"/>
              </w:rPr>
              <w:t>邮政编码</w:t>
            </w:r>
          </w:p>
        </w:tc>
        <w:tc>
          <w:tcPr>
            <w:tcW w:w="2584" w:type="dxa"/>
            <w:tcBorders>
              <w:top w:val="single" w:color="000000" w:sz="2" w:space="0"/>
              <w:left w:val="single" w:color="000000" w:sz="2" w:space="0"/>
              <w:bottom w:val="single" w:color="000000" w:sz="2" w:space="0"/>
              <w:right w:val="single" w:color="000000" w:sz="2" w:space="0"/>
            </w:tcBorders>
            <w:vAlign w:val="center"/>
          </w:tcPr>
          <w:p w14:paraId="1E90DA8B">
            <w:pPr>
              <w:spacing w:line="240" w:lineRule="auto"/>
              <w:ind w:firstLine="0" w:firstLineChars="0"/>
              <w:rPr>
                <w:sz w:val="24"/>
                <w:highlight w:val="none"/>
              </w:rPr>
            </w:pPr>
            <w:r>
              <w:rPr>
                <w:sz w:val="24"/>
              </w:rPr>
              <w:t>224200</w:t>
            </w:r>
          </w:p>
        </w:tc>
        <w:tc>
          <w:tcPr>
            <w:tcW w:w="1958" w:type="dxa"/>
            <w:tcBorders>
              <w:top w:val="single" w:color="000000" w:sz="2" w:space="0"/>
              <w:left w:val="single" w:color="000000" w:sz="2" w:space="0"/>
              <w:bottom w:val="single" w:color="000000" w:sz="2" w:space="0"/>
              <w:right w:val="single" w:color="000000" w:sz="2" w:space="0"/>
            </w:tcBorders>
            <w:vAlign w:val="center"/>
          </w:tcPr>
          <w:p w14:paraId="0869C044">
            <w:pPr>
              <w:spacing w:line="360" w:lineRule="auto"/>
              <w:jc w:val="center"/>
              <w:rPr>
                <w:sz w:val="24"/>
                <w:highlight w:val="none"/>
              </w:rPr>
            </w:pPr>
            <w:r>
              <w:rPr>
                <w:sz w:val="24"/>
                <w:highlight w:val="none"/>
              </w:rPr>
              <w:t>邮政编码</w:t>
            </w:r>
          </w:p>
        </w:tc>
        <w:tc>
          <w:tcPr>
            <w:tcW w:w="1979" w:type="dxa"/>
            <w:tcBorders>
              <w:top w:val="single" w:color="000000" w:sz="2" w:space="0"/>
              <w:left w:val="single" w:color="000000" w:sz="2" w:space="0"/>
              <w:bottom w:val="single" w:color="000000" w:sz="2" w:space="0"/>
            </w:tcBorders>
            <w:vAlign w:val="center"/>
          </w:tcPr>
          <w:p w14:paraId="696EDD4D">
            <w:pPr>
              <w:spacing w:line="360" w:lineRule="auto"/>
              <w:jc w:val="center"/>
              <w:rPr>
                <w:spacing w:val="20"/>
                <w:sz w:val="24"/>
                <w:highlight w:val="none"/>
              </w:rPr>
            </w:pPr>
          </w:p>
        </w:tc>
      </w:tr>
      <w:tr w14:paraId="13833B0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77" w:type="dxa"/>
            <w:tcBorders>
              <w:top w:val="single" w:color="000000" w:sz="2" w:space="0"/>
              <w:bottom w:val="single" w:color="000000" w:sz="2" w:space="0"/>
              <w:right w:val="single" w:color="000000" w:sz="2" w:space="0"/>
            </w:tcBorders>
            <w:vAlign w:val="center"/>
          </w:tcPr>
          <w:p w14:paraId="39EC3F58">
            <w:pPr>
              <w:spacing w:line="360" w:lineRule="auto"/>
              <w:jc w:val="center"/>
              <w:rPr>
                <w:sz w:val="24"/>
                <w:highlight w:val="none"/>
              </w:rPr>
            </w:pPr>
            <w:r>
              <w:rPr>
                <w:rFonts w:hint="eastAsia"/>
                <w:sz w:val="24"/>
                <w:highlight w:val="none"/>
              </w:rPr>
              <w:t>电子邮箱</w:t>
            </w:r>
          </w:p>
        </w:tc>
        <w:tc>
          <w:tcPr>
            <w:tcW w:w="2584" w:type="dxa"/>
            <w:tcBorders>
              <w:top w:val="single" w:color="000000" w:sz="2" w:space="0"/>
              <w:left w:val="single" w:color="000000" w:sz="2" w:space="0"/>
              <w:bottom w:val="single" w:color="000000" w:sz="2" w:space="0"/>
              <w:right w:val="single" w:color="000000" w:sz="2" w:space="0"/>
            </w:tcBorders>
            <w:vAlign w:val="center"/>
          </w:tcPr>
          <w:p w14:paraId="0546D93B">
            <w:pPr>
              <w:spacing w:line="360" w:lineRule="auto"/>
              <w:jc w:val="center"/>
              <w:rPr>
                <w:sz w:val="24"/>
                <w:highlight w:val="none"/>
              </w:rPr>
            </w:pPr>
          </w:p>
        </w:tc>
        <w:tc>
          <w:tcPr>
            <w:tcW w:w="1958" w:type="dxa"/>
            <w:tcBorders>
              <w:top w:val="single" w:color="000000" w:sz="2" w:space="0"/>
              <w:left w:val="single" w:color="000000" w:sz="2" w:space="0"/>
              <w:bottom w:val="single" w:color="000000" w:sz="2" w:space="0"/>
              <w:right w:val="single" w:color="000000" w:sz="2" w:space="0"/>
            </w:tcBorders>
            <w:vAlign w:val="center"/>
          </w:tcPr>
          <w:p w14:paraId="273B1C17">
            <w:pPr>
              <w:spacing w:line="360" w:lineRule="auto"/>
              <w:jc w:val="center"/>
              <w:rPr>
                <w:sz w:val="24"/>
                <w:highlight w:val="none"/>
              </w:rPr>
            </w:pPr>
            <w:r>
              <w:rPr>
                <w:rFonts w:hint="eastAsia"/>
                <w:sz w:val="24"/>
                <w:highlight w:val="none"/>
              </w:rPr>
              <w:t>电子邮箱</w:t>
            </w:r>
          </w:p>
        </w:tc>
        <w:tc>
          <w:tcPr>
            <w:tcW w:w="1979" w:type="dxa"/>
            <w:tcBorders>
              <w:top w:val="single" w:color="000000" w:sz="2" w:space="0"/>
              <w:left w:val="single" w:color="000000" w:sz="2" w:space="0"/>
              <w:bottom w:val="single" w:color="000000" w:sz="2" w:space="0"/>
            </w:tcBorders>
            <w:vAlign w:val="center"/>
          </w:tcPr>
          <w:p w14:paraId="4D2691ED">
            <w:pPr>
              <w:spacing w:line="360" w:lineRule="auto"/>
              <w:jc w:val="center"/>
              <w:rPr>
                <w:spacing w:val="20"/>
                <w:sz w:val="24"/>
                <w:highlight w:val="none"/>
              </w:rPr>
            </w:pPr>
          </w:p>
        </w:tc>
      </w:tr>
      <w:tr w14:paraId="29182E6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77" w:type="dxa"/>
            <w:tcBorders>
              <w:top w:val="single" w:color="000000" w:sz="2" w:space="0"/>
              <w:bottom w:val="single" w:color="000000" w:sz="2" w:space="0"/>
              <w:right w:val="single" w:color="000000" w:sz="2" w:space="0"/>
            </w:tcBorders>
            <w:vAlign w:val="center"/>
          </w:tcPr>
          <w:p w14:paraId="1384C81C">
            <w:pPr>
              <w:spacing w:line="360" w:lineRule="auto"/>
              <w:jc w:val="center"/>
              <w:rPr>
                <w:sz w:val="24"/>
                <w:highlight w:val="none"/>
              </w:rPr>
            </w:pPr>
            <w:r>
              <w:rPr>
                <w:rFonts w:hint="eastAsia"/>
                <w:sz w:val="24"/>
                <w:highlight w:val="none"/>
              </w:rPr>
              <w:t>统一社会信用代码</w:t>
            </w:r>
          </w:p>
        </w:tc>
        <w:tc>
          <w:tcPr>
            <w:tcW w:w="2584" w:type="dxa"/>
            <w:tcBorders>
              <w:top w:val="single" w:color="000000" w:sz="2" w:space="0"/>
              <w:left w:val="single" w:color="000000" w:sz="2" w:space="0"/>
              <w:bottom w:val="single" w:color="000000" w:sz="2" w:space="0"/>
              <w:right w:val="single" w:color="000000" w:sz="2" w:space="0"/>
            </w:tcBorders>
            <w:vAlign w:val="center"/>
          </w:tcPr>
          <w:p w14:paraId="4DE63339">
            <w:pPr>
              <w:spacing w:line="360" w:lineRule="auto"/>
              <w:jc w:val="center"/>
              <w:rPr>
                <w:sz w:val="24"/>
                <w:highlight w:val="none"/>
              </w:rPr>
            </w:pPr>
          </w:p>
        </w:tc>
        <w:tc>
          <w:tcPr>
            <w:tcW w:w="1958" w:type="dxa"/>
            <w:tcBorders>
              <w:top w:val="single" w:color="000000" w:sz="2" w:space="0"/>
              <w:left w:val="single" w:color="000000" w:sz="2" w:space="0"/>
              <w:bottom w:val="single" w:color="000000" w:sz="2" w:space="0"/>
              <w:right w:val="single" w:color="000000" w:sz="2" w:space="0"/>
            </w:tcBorders>
            <w:vAlign w:val="center"/>
          </w:tcPr>
          <w:p w14:paraId="3465C6C9">
            <w:pPr>
              <w:spacing w:line="360" w:lineRule="auto"/>
              <w:jc w:val="center"/>
              <w:rPr>
                <w:sz w:val="24"/>
                <w:highlight w:val="none"/>
              </w:rPr>
            </w:pPr>
            <w:r>
              <w:rPr>
                <w:rFonts w:hint="eastAsia"/>
                <w:sz w:val="24"/>
                <w:highlight w:val="none"/>
              </w:rPr>
              <w:t>统一社会信用代码</w:t>
            </w:r>
          </w:p>
        </w:tc>
        <w:tc>
          <w:tcPr>
            <w:tcW w:w="1979" w:type="dxa"/>
            <w:tcBorders>
              <w:top w:val="single" w:color="000000" w:sz="2" w:space="0"/>
              <w:left w:val="single" w:color="000000" w:sz="2" w:space="0"/>
              <w:bottom w:val="single" w:color="000000" w:sz="2" w:space="0"/>
            </w:tcBorders>
            <w:vAlign w:val="center"/>
          </w:tcPr>
          <w:p w14:paraId="5BD2578C">
            <w:pPr>
              <w:spacing w:line="360" w:lineRule="auto"/>
              <w:jc w:val="center"/>
              <w:rPr>
                <w:spacing w:val="20"/>
                <w:sz w:val="24"/>
                <w:highlight w:val="none"/>
              </w:rPr>
            </w:pPr>
          </w:p>
        </w:tc>
      </w:tr>
      <w:tr w14:paraId="0CE93E5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77" w:type="dxa"/>
            <w:tcBorders>
              <w:top w:val="single" w:color="000000" w:sz="2" w:space="0"/>
              <w:bottom w:val="single" w:color="000000" w:sz="2" w:space="0"/>
              <w:right w:val="single" w:color="000000" w:sz="2" w:space="0"/>
            </w:tcBorders>
            <w:vAlign w:val="center"/>
          </w:tcPr>
          <w:p w14:paraId="20108282">
            <w:pPr>
              <w:spacing w:line="360" w:lineRule="auto"/>
              <w:jc w:val="center"/>
              <w:rPr>
                <w:sz w:val="24"/>
                <w:highlight w:val="none"/>
              </w:rPr>
            </w:pPr>
          </w:p>
        </w:tc>
        <w:tc>
          <w:tcPr>
            <w:tcW w:w="2584" w:type="dxa"/>
            <w:tcBorders>
              <w:top w:val="single" w:color="000000" w:sz="2" w:space="0"/>
              <w:left w:val="single" w:color="000000" w:sz="2" w:space="0"/>
              <w:bottom w:val="single" w:color="000000" w:sz="2" w:space="0"/>
              <w:right w:val="single" w:color="000000" w:sz="2" w:space="0"/>
            </w:tcBorders>
            <w:vAlign w:val="center"/>
          </w:tcPr>
          <w:p w14:paraId="414C45B2">
            <w:pPr>
              <w:spacing w:line="360" w:lineRule="auto"/>
              <w:jc w:val="center"/>
              <w:rPr>
                <w:sz w:val="24"/>
                <w:highlight w:val="none"/>
              </w:rPr>
            </w:pPr>
          </w:p>
        </w:tc>
        <w:tc>
          <w:tcPr>
            <w:tcW w:w="1958" w:type="dxa"/>
            <w:tcBorders>
              <w:top w:val="single" w:color="000000" w:sz="2" w:space="0"/>
              <w:left w:val="single" w:color="000000" w:sz="2" w:space="0"/>
              <w:bottom w:val="single" w:color="000000" w:sz="2" w:space="0"/>
              <w:right w:val="single" w:color="000000" w:sz="2" w:space="0"/>
            </w:tcBorders>
            <w:vAlign w:val="center"/>
          </w:tcPr>
          <w:p w14:paraId="62FF69CE">
            <w:pPr>
              <w:spacing w:line="360" w:lineRule="auto"/>
              <w:jc w:val="center"/>
              <w:rPr>
                <w:sz w:val="24"/>
                <w:highlight w:val="none"/>
              </w:rPr>
            </w:pPr>
            <w:r>
              <w:rPr>
                <w:sz w:val="24"/>
                <w:highlight w:val="none"/>
              </w:rPr>
              <w:t>开户名称</w:t>
            </w:r>
          </w:p>
        </w:tc>
        <w:tc>
          <w:tcPr>
            <w:tcW w:w="1979" w:type="dxa"/>
            <w:tcBorders>
              <w:top w:val="single" w:color="000000" w:sz="2" w:space="0"/>
              <w:left w:val="single" w:color="000000" w:sz="2" w:space="0"/>
              <w:bottom w:val="single" w:color="000000" w:sz="2" w:space="0"/>
            </w:tcBorders>
            <w:vAlign w:val="center"/>
          </w:tcPr>
          <w:p w14:paraId="663282AC">
            <w:pPr>
              <w:spacing w:line="360" w:lineRule="auto"/>
              <w:jc w:val="center"/>
              <w:rPr>
                <w:spacing w:val="20"/>
                <w:sz w:val="24"/>
                <w:highlight w:val="none"/>
              </w:rPr>
            </w:pPr>
          </w:p>
        </w:tc>
      </w:tr>
      <w:tr w14:paraId="33F7418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77" w:type="dxa"/>
            <w:tcBorders>
              <w:top w:val="single" w:color="000000" w:sz="2" w:space="0"/>
              <w:bottom w:val="single" w:color="000000" w:sz="2" w:space="0"/>
              <w:right w:val="single" w:color="000000" w:sz="2" w:space="0"/>
            </w:tcBorders>
            <w:vAlign w:val="center"/>
          </w:tcPr>
          <w:p w14:paraId="2E730B4D">
            <w:pPr>
              <w:spacing w:line="360" w:lineRule="auto"/>
              <w:jc w:val="center"/>
              <w:rPr>
                <w:sz w:val="24"/>
                <w:highlight w:val="none"/>
              </w:rPr>
            </w:pPr>
          </w:p>
        </w:tc>
        <w:tc>
          <w:tcPr>
            <w:tcW w:w="2584" w:type="dxa"/>
            <w:tcBorders>
              <w:top w:val="single" w:color="000000" w:sz="2" w:space="0"/>
              <w:left w:val="single" w:color="000000" w:sz="2" w:space="0"/>
              <w:bottom w:val="single" w:color="000000" w:sz="2" w:space="0"/>
              <w:right w:val="single" w:color="000000" w:sz="2" w:space="0"/>
            </w:tcBorders>
            <w:vAlign w:val="center"/>
          </w:tcPr>
          <w:p w14:paraId="36D27DCE">
            <w:pPr>
              <w:spacing w:line="360" w:lineRule="auto"/>
              <w:jc w:val="center"/>
              <w:rPr>
                <w:sz w:val="24"/>
                <w:highlight w:val="none"/>
              </w:rPr>
            </w:pPr>
          </w:p>
        </w:tc>
        <w:tc>
          <w:tcPr>
            <w:tcW w:w="1958" w:type="dxa"/>
            <w:tcBorders>
              <w:top w:val="single" w:color="000000" w:sz="2" w:space="0"/>
              <w:left w:val="single" w:color="000000" w:sz="2" w:space="0"/>
              <w:bottom w:val="single" w:color="000000" w:sz="2" w:space="0"/>
              <w:right w:val="single" w:color="000000" w:sz="2" w:space="0"/>
            </w:tcBorders>
            <w:vAlign w:val="center"/>
          </w:tcPr>
          <w:p w14:paraId="4536EB29">
            <w:pPr>
              <w:spacing w:line="360" w:lineRule="auto"/>
              <w:jc w:val="center"/>
              <w:rPr>
                <w:sz w:val="24"/>
                <w:highlight w:val="none"/>
              </w:rPr>
            </w:pPr>
            <w:r>
              <w:rPr>
                <w:sz w:val="24"/>
                <w:highlight w:val="none"/>
              </w:rPr>
              <w:t>开户银行</w:t>
            </w:r>
          </w:p>
        </w:tc>
        <w:tc>
          <w:tcPr>
            <w:tcW w:w="1979" w:type="dxa"/>
            <w:tcBorders>
              <w:top w:val="single" w:color="000000" w:sz="2" w:space="0"/>
              <w:left w:val="single" w:color="000000" w:sz="2" w:space="0"/>
              <w:bottom w:val="single" w:color="000000" w:sz="2" w:space="0"/>
            </w:tcBorders>
            <w:vAlign w:val="center"/>
          </w:tcPr>
          <w:p w14:paraId="74564506">
            <w:pPr>
              <w:spacing w:line="360" w:lineRule="auto"/>
              <w:jc w:val="center"/>
              <w:rPr>
                <w:spacing w:val="20"/>
                <w:sz w:val="24"/>
                <w:highlight w:val="none"/>
              </w:rPr>
            </w:pPr>
          </w:p>
        </w:tc>
      </w:tr>
      <w:tr w14:paraId="3243D88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877" w:type="dxa"/>
            <w:tcBorders>
              <w:top w:val="single" w:color="000000" w:sz="2" w:space="0"/>
              <w:bottom w:val="single" w:color="000000" w:sz="2" w:space="0"/>
              <w:right w:val="single" w:color="000000" w:sz="2" w:space="0"/>
            </w:tcBorders>
            <w:vAlign w:val="center"/>
          </w:tcPr>
          <w:p w14:paraId="2469758A">
            <w:pPr>
              <w:spacing w:line="360" w:lineRule="auto"/>
              <w:jc w:val="center"/>
              <w:rPr>
                <w:sz w:val="24"/>
                <w:highlight w:val="none"/>
              </w:rPr>
            </w:pPr>
          </w:p>
        </w:tc>
        <w:tc>
          <w:tcPr>
            <w:tcW w:w="2584" w:type="dxa"/>
            <w:tcBorders>
              <w:top w:val="single" w:color="000000" w:sz="2" w:space="0"/>
              <w:left w:val="single" w:color="000000" w:sz="2" w:space="0"/>
              <w:bottom w:val="single" w:color="000000" w:sz="2" w:space="0"/>
              <w:right w:val="single" w:color="000000" w:sz="2" w:space="0"/>
            </w:tcBorders>
            <w:vAlign w:val="center"/>
          </w:tcPr>
          <w:p w14:paraId="217E74F7">
            <w:pPr>
              <w:spacing w:line="360" w:lineRule="auto"/>
              <w:jc w:val="center"/>
              <w:rPr>
                <w:sz w:val="24"/>
                <w:highlight w:val="none"/>
              </w:rPr>
            </w:pPr>
          </w:p>
        </w:tc>
        <w:tc>
          <w:tcPr>
            <w:tcW w:w="1958" w:type="dxa"/>
            <w:tcBorders>
              <w:top w:val="single" w:color="000000" w:sz="2" w:space="0"/>
              <w:left w:val="single" w:color="000000" w:sz="2" w:space="0"/>
              <w:bottom w:val="single" w:color="000000" w:sz="2" w:space="0"/>
              <w:right w:val="single" w:color="000000" w:sz="2" w:space="0"/>
            </w:tcBorders>
            <w:vAlign w:val="center"/>
          </w:tcPr>
          <w:p w14:paraId="02631932">
            <w:pPr>
              <w:spacing w:line="360" w:lineRule="auto"/>
              <w:jc w:val="center"/>
              <w:rPr>
                <w:sz w:val="24"/>
                <w:highlight w:val="none"/>
              </w:rPr>
            </w:pPr>
            <w:r>
              <w:rPr>
                <w:sz w:val="24"/>
                <w:highlight w:val="none"/>
              </w:rPr>
              <w:t>银行账号</w:t>
            </w:r>
          </w:p>
        </w:tc>
        <w:tc>
          <w:tcPr>
            <w:tcW w:w="1979" w:type="dxa"/>
            <w:tcBorders>
              <w:top w:val="single" w:color="000000" w:sz="2" w:space="0"/>
              <w:left w:val="single" w:color="000000" w:sz="2" w:space="0"/>
              <w:bottom w:val="single" w:color="000000" w:sz="2" w:space="0"/>
            </w:tcBorders>
            <w:vAlign w:val="center"/>
          </w:tcPr>
          <w:p w14:paraId="3917DB4A">
            <w:pPr>
              <w:spacing w:line="360" w:lineRule="auto"/>
              <w:jc w:val="center"/>
              <w:rPr>
                <w:spacing w:val="20"/>
                <w:sz w:val="24"/>
                <w:highlight w:val="none"/>
              </w:rPr>
            </w:pPr>
          </w:p>
        </w:tc>
      </w:tr>
    </w:tbl>
    <w:p w14:paraId="65573005">
      <w:pPr>
        <w:pStyle w:val="4"/>
        <w:adjustRightInd w:val="0"/>
        <w:snapToGrid w:val="0"/>
        <w:spacing w:before="156" w:beforeLines="50"/>
        <w:jc w:val="center"/>
        <w:rPr>
          <w:rFonts w:ascii="黑体" w:hAnsi="黑体" w:eastAsia="黑体"/>
          <w:sz w:val="28"/>
          <w:szCs w:val="28"/>
          <w:highlight w:val="none"/>
        </w:rPr>
      </w:pPr>
      <w:r>
        <w:rPr>
          <w:rFonts w:ascii="宋体" w:hAnsi="宋体"/>
          <w:highlight w:val="none"/>
          <w:u w:val="single"/>
        </w:rPr>
        <w:br w:type="page" w:clear="all"/>
      </w:r>
      <w:bookmarkStart w:id="181" w:name="_Toc27624"/>
      <w:bookmarkStart w:id="182" w:name="_Toc20313"/>
      <w:r>
        <w:rPr>
          <w:rFonts w:hint="eastAsia" w:ascii="黑体" w:hAnsi="黑体" w:eastAsia="黑体"/>
          <w:b w:val="0"/>
          <w:bCs w:val="0"/>
          <w:sz w:val="28"/>
          <w:szCs w:val="28"/>
          <w:highlight w:val="none"/>
        </w:rPr>
        <w:t>第二节 政府采购合同通用条款</w:t>
      </w:r>
      <w:bookmarkEnd w:id="181"/>
    </w:p>
    <w:p w14:paraId="1D36EB76">
      <w:pPr>
        <w:tabs>
          <w:tab w:val="left" w:pos="8820"/>
          <w:tab w:val="left" w:pos="9345"/>
          <w:tab w:val="left" w:pos="9765"/>
        </w:tabs>
        <w:adjustRightInd w:val="0"/>
        <w:snapToGrid w:val="0"/>
        <w:spacing w:line="400" w:lineRule="exact"/>
        <w:jc w:val="left"/>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定义</w:t>
      </w:r>
    </w:p>
    <w:p w14:paraId="6270F884">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1.1合同当事人</w:t>
      </w:r>
    </w:p>
    <w:p w14:paraId="1BAA3A23">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（1）采购人（以下称甲方）是指使用财政性资金，通过政府采购方式向供应商购买货物及其相关服务的国家机关、事业单位、团体组织。</w:t>
      </w:r>
    </w:p>
    <w:p w14:paraId="5451F6B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（2）供应商（以下称乙方）是指参加政府采购活动并且中标（成交），向采购人提供合同约定的货物及其相关服务的法人、非法人组织或者自然人。</w:t>
      </w:r>
    </w:p>
    <w:p w14:paraId="366EC875">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依法参与合同缔结或履行，享有权利、承担义务的合同当事人</w:t>
      </w:r>
      <w:r>
        <w:rPr>
          <w:rFonts w:hint="eastAsia" w:ascii="宋体" w:hAnsi="宋体"/>
          <w:szCs w:val="21"/>
          <w:highlight w:val="none"/>
        </w:rPr>
        <w:t>。</w:t>
      </w:r>
    </w:p>
    <w:p w14:paraId="353E6D28">
      <w:pPr>
        <w:tabs>
          <w:tab w:val="left" w:pos="570"/>
          <w:tab w:val="left" w:pos="9240"/>
          <w:tab w:val="left" w:pos="9555"/>
        </w:tabs>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1.2本合同下列术语应解释为：</w:t>
      </w:r>
    </w:p>
    <w:p w14:paraId="394DB0A2">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（1）“合同”系指</w:t>
      </w:r>
      <w:r>
        <w:rPr>
          <w:rFonts w:hint="eastAsia" w:ascii="宋体" w:hAnsi="宋体" w:cs="宋体"/>
          <w:bCs/>
          <w:color w:val="000000" w:themeColor="text1"/>
          <w:szCs w:val="21"/>
          <w:highlight w:val="none"/>
          <w14:textFill>
            <w14:solidFill>
              <w14:schemeClr w14:val="tx1"/>
            </w14:solidFill>
          </w14:textFill>
        </w:rPr>
        <w:t>合同当事人意思表示达成一致的任何协议，包括签署的</w:t>
      </w:r>
      <w:r>
        <w:rPr>
          <w:rFonts w:hint="eastAsia" w:ascii="宋体" w:hAnsi="宋体"/>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国家法律、行政法规和规章制度规定或合同约定的作为合同组成部分的其他文件</w:t>
      </w:r>
      <w:r>
        <w:rPr>
          <w:rFonts w:hint="eastAsia" w:ascii="宋体" w:hAnsi="宋体"/>
          <w:szCs w:val="21"/>
          <w:highlight w:val="none"/>
        </w:rPr>
        <w:t>。</w:t>
      </w:r>
    </w:p>
    <w:p w14:paraId="474E37B1">
      <w:pPr>
        <w:tabs>
          <w:tab w:val="left" w:pos="570"/>
          <w:tab w:val="left" w:pos="9240"/>
          <w:tab w:val="left" w:pos="9555"/>
        </w:tabs>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（2）“合同价款”系指根据本合同规定乙方在全面履行合同义务后甲方应支付给乙方的价款。</w:t>
      </w:r>
    </w:p>
    <w:p w14:paraId="0E173658">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包括软件）及相关</w:t>
      </w:r>
      <w:r>
        <w:rPr>
          <w:rFonts w:hint="eastAsia" w:ascii="宋体" w:hAnsi="宋体"/>
          <w:color w:val="000000" w:themeColor="text1"/>
          <w:szCs w:val="21"/>
          <w:highlight w:val="none"/>
          <w:lang w:eastAsia="zh-CN"/>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备品备件、工具、手册及</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技术资料和材料等。</w:t>
      </w:r>
    </w:p>
    <w:p w14:paraId="077817FD">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hint="eastAsia" w:ascii="宋体" w:hAnsi="宋体"/>
          <w:szCs w:val="21"/>
          <w:highlight w:val="none"/>
        </w:rPr>
        <w:t>相关</w:t>
      </w:r>
      <w:r>
        <w:rPr>
          <w:rFonts w:hint="eastAsia" w:ascii="宋体" w:hAnsi="宋体"/>
          <w:color w:val="000000" w:themeColor="text1"/>
          <w:szCs w:val="21"/>
          <w:highlight w:val="none"/>
          <w14:textFill>
            <w14:solidFill>
              <w14:schemeClr w14:val="tx1"/>
            </w14:solidFill>
          </w14:textFill>
        </w:rPr>
        <w:t>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义务。</w:t>
      </w:r>
    </w:p>
    <w:p w14:paraId="07754CBB">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2CE1E422">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w:t>
      </w:r>
      <w:r>
        <w:rPr>
          <w:rFonts w:hint="eastAsia" w:ascii="宋体" w:hAnsi="宋体"/>
          <w:szCs w:val="21"/>
          <w:highlight w:val="none"/>
        </w:rPr>
        <w:t>“联合体”系指由两个以上的自然人、法人或者非法人组织组成，以一个供应商的身份共同参加政府采购的主体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698468A8">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（7）其他术语解释，见【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17F06B8C">
      <w:pPr>
        <w:numPr>
          <w:ilvl w:val="0"/>
          <w:numId w:val="5"/>
        </w:num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合同标的及金额</w:t>
      </w:r>
    </w:p>
    <w:p w14:paraId="0506EFE3">
      <w:pPr>
        <w:autoSpaceDE w:val="0"/>
        <w:autoSpaceDN w:val="0"/>
        <w:adjustRightInd w:val="0"/>
        <w:snapToGrid w:val="0"/>
        <w:spacing w:line="400" w:lineRule="exact"/>
        <w:ind w:firstLine="420" w:firstLineChars="200"/>
        <w:jc w:val="lef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任何费用。</w:t>
      </w:r>
    </w:p>
    <w:p w14:paraId="3A0F7BC7">
      <w:pPr>
        <w:adjustRightInd w:val="0"/>
        <w:snapToGrid w:val="0"/>
        <w:spacing w:line="400" w:lineRule="exact"/>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 履行合同的时间、地点和方式</w:t>
      </w:r>
    </w:p>
    <w:p w14:paraId="7ACC86F6">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szCs w:val="21"/>
          <w:highlight w:val="none"/>
        </w:rPr>
        <w:t>乙方应当在约定的时间、地点，按照约定方式履行合同。</w:t>
      </w:r>
    </w:p>
    <w:p w14:paraId="665B929A">
      <w:p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4. 甲方的权利和义务</w:t>
      </w:r>
    </w:p>
    <w:p w14:paraId="58176418">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 签署合同后，甲方应确定项目负责人（或项目联系人），负责与本合同有关的事务。甲方有权对乙方的履约行为进行检查，并及时确认乙方提交的事项。甲方应当配合乙方完成相关项目实施工作。</w:t>
      </w:r>
    </w:p>
    <w:p w14:paraId="01862DF8">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4.2 甲方有权要求乙方按时提交各阶段有关安排计划，并有权定期核对乙方提供货物数量、规格、质量等内容。甲方有权督促乙方工作并要求乙方更换不符合要求的货物。</w:t>
      </w:r>
    </w:p>
    <w:p w14:paraId="3468F003">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4.3 甲方有权要求乙方对缺陷部分予以修复，并按合同约定享有货物保修及其他合同约定的权利。</w:t>
      </w:r>
    </w:p>
    <w:p w14:paraId="68BD8DFC">
      <w:pPr>
        <w:snapToGrid w:val="0"/>
        <w:spacing w:line="400" w:lineRule="exact"/>
        <w:ind w:firstLine="420" w:firstLineChars="200"/>
        <w:rPr>
          <w:rFonts w:hint="eastAsia" w:eastAsia="华文楷体"/>
          <w:highlight w:val="none"/>
        </w:rPr>
      </w:pPr>
      <w:r>
        <w:rPr>
          <w:rFonts w:hint="eastAsia" w:ascii="宋体" w:hAnsi="宋体"/>
          <w:color w:val="000000" w:themeColor="text1"/>
          <w:szCs w:val="21"/>
          <w:highlight w:val="none"/>
          <w14:textFill>
            <w14:solidFill>
              <w14:schemeClr w14:val="tx1"/>
            </w14:solidFill>
          </w14:textFill>
        </w:rPr>
        <w:t>4.4 甲方应当按照合同约定及时对交付的货物进行验收，</w:t>
      </w:r>
      <w:r>
        <w:rPr>
          <w:rFonts w:hint="eastAsia" w:ascii="宋体" w:hAnsi="宋体" w:cs="宋体"/>
          <w:szCs w:val="21"/>
          <w:highlight w:val="none"/>
        </w:rPr>
        <w:t>未</w:t>
      </w:r>
      <w:r>
        <w:rPr>
          <w:rFonts w:hint="eastAsia" w:ascii="宋体" w:hAnsi="宋体"/>
          <w:color w:val="000000" w:themeColor="text1"/>
          <w:szCs w:val="21"/>
          <w:highlight w:val="none"/>
          <w14:textFill>
            <w14:solidFill>
              <w14:schemeClr w14:val="tx1"/>
            </w14:solidFill>
          </w14:textFill>
        </w:rPr>
        <w:t>在</w:t>
      </w:r>
      <w:r>
        <w:rPr>
          <w:rFonts w:hint="eastAsia" w:ascii="宋体" w:hAnsi="宋体" w:cs="宋体"/>
          <w:b/>
          <w:bCs/>
          <w:szCs w:val="21"/>
          <w:highlight w:val="none"/>
        </w:rPr>
        <w:t>【政府采购合同专用条款】</w:t>
      </w:r>
      <w:r>
        <w:rPr>
          <w:rFonts w:hint="eastAsia" w:ascii="宋体" w:hAnsi="宋体" w:cs="宋体"/>
          <w:szCs w:val="21"/>
          <w:highlight w:val="none"/>
        </w:rPr>
        <w:t>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视为验收通过。</w:t>
      </w:r>
    </w:p>
    <w:p w14:paraId="748B4259">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4.5 甲方应当根据合同约定及时向乙方支付合同价款，不得以内部人员变更、履行内部付款流程等为由，拒绝或迟延支付。</w:t>
      </w:r>
    </w:p>
    <w:p w14:paraId="3F5037B9">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4.6 国家法律法规规定及</w:t>
      </w:r>
      <w:r>
        <w:rPr>
          <w:rFonts w:hint="eastAsia" w:ascii="宋体" w:hAnsi="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约定应由甲方承担的其他义务和责任。</w:t>
      </w:r>
    </w:p>
    <w:p w14:paraId="3A9D7CCC">
      <w:p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5. 乙方的权利和义务</w:t>
      </w:r>
    </w:p>
    <w:p w14:paraId="7E2E01E8">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5.1 签署合同后，乙方应确定项目负责人（或项目联系人），负责与本合同有关的事务。</w:t>
      </w:r>
    </w:p>
    <w:p w14:paraId="07FA7F8A">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9E829A2">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5.3乙方有权根据合同约定向甲方收取合同价款。</w:t>
      </w:r>
    </w:p>
    <w:p w14:paraId="5C35852B">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5.4国家法律法规规定及【政府采购合同专用条款】约定应由乙方承担的其他义务和责任。</w:t>
      </w:r>
    </w:p>
    <w:p w14:paraId="70FD791A">
      <w:pPr>
        <w:numPr>
          <w:ilvl w:val="0"/>
          <w:numId w:val="6"/>
        </w:num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合同履行</w:t>
      </w:r>
    </w:p>
    <w:p w14:paraId="1FAF263A">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6.1 甲乙双方应当按照</w:t>
      </w:r>
      <w:r>
        <w:rPr>
          <w:rFonts w:hint="eastAsia" w:ascii="宋体" w:hAnsi="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约定顺序履行合同义务；如果没有先后顺序的，应当同时履行。</w:t>
      </w:r>
    </w:p>
    <w:p w14:paraId="03864815">
      <w:pPr>
        <w:autoSpaceDE w:val="0"/>
        <w:autoSpaceDN w:val="0"/>
        <w:adjustRightInd w:val="0"/>
        <w:snapToGrid w:val="0"/>
        <w:spacing w:line="400" w:lineRule="exact"/>
        <w:ind w:firstLine="420" w:firstLineChars="200"/>
        <w:jc w:val="left"/>
        <w:rPr>
          <w:rFonts w:hint="eastAsia"/>
          <w:highlight w:val="none"/>
        </w:rPr>
      </w:pPr>
      <w:r>
        <w:rPr>
          <w:rFonts w:hint="eastAsia" w:ascii="宋体" w:hAnsi="宋体"/>
          <w:color w:val="000000" w:themeColor="text1"/>
          <w:szCs w:val="21"/>
          <w:highlight w:val="none"/>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408A992F">
      <w:pPr>
        <w:adjustRightInd w:val="0"/>
        <w:snapToGrid w:val="0"/>
        <w:spacing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7. 货物包装、运输、保险和交付要求</w:t>
      </w:r>
    </w:p>
    <w:p w14:paraId="03417B27">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 本合同</w:t>
      </w:r>
      <w:r>
        <w:rPr>
          <w:rFonts w:hint="eastAsia" w:ascii="宋体" w:hAnsi="宋体"/>
          <w:bCs/>
          <w:color w:val="000000" w:themeColor="text1"/>
          <w:szCs w:val="21"/>
          <w:highlight w:val="none"/>
          <w14:textFill>
            <w14:solidFill>
              <w14:schemeClr w14:val="tx1"/>
            </w14:solidFill>
          </w14:textFill>
        </w:rPr>
        <w:t>涉及商品包装、快递包装的，</w:t>
      </w:r>
      <w:r>
        <w:rPr>
          <w:rFonts w:hint="eastAsia" w:ascii="宋体" w:hAnsi="宋体"/>
          <w:color w:val="000000" w:themeColor="text1"/>
          <w:szCs w:val="21"/>
          <w:highlight w:val="none"/>
          <w14:textFill>
            <w14:solidFill>
              <w14:schemeClr w14:val="tx1"/>
            </w14:solidFill>
          </w14:textFill>
        </w:rPr>
        <w:t>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另有约定外，</w:t>
      </w:r>
      <w:r>
        <w:rPr>
          <w:rFonts w:hint="eastAsia" w:ascii="宋体" w:hAnsi="宋体"/>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约定的</w:t>
      </w:r>
      <w:r>
        <w:rPr>
          <w:rFonts w:hint="eastAsia" w:ascii="宋体" w:hAnsi="宋体"/>
          <w:color w:val="000000" w:themeColor="text1"/>
          <w:szCs w:val="21"/>
          <w:highlight w:val="none"/>
          <w14:textFill>
            <w14:solidFill>
              <w14:schemeClr w14:val="tx1"/>
            </w14:solidFill>
          </w14:textFill>
        </w:rPr>
        <w:t>指定现场。</w:t>
      </w:r>
    </w:p>
    <w:p w14:paraId="064787F5">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7.2 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另有约定外，</w:t>
      </w:r>
      <w:r>
        <w:rPr>
          <w:rFonts w:hint="eastAsia" w:ascii="宋体" w:hAnsi="宋体"/>
          <w:color w:val="000000" w:themeColor="text1"/>
          <w:szCs w:val="21"/>
          <w:highlight w:val="none"/>
          <w14:textFill>
            <w14:solidFill>
              <w14:schemeClr w14:val="tx1"/>
            </w14:solidFill>
          </w14:textFill>
        </w:rPr>
        <w:t>乙方负责办理将货物运抵本合同规定的交货地点，并装卸、交付至甲方的一切运输事项，相关费用应包含在合同价款中。</w:t>
      </w:r>
    </w:p>
    <w:p w14:paraId="019A1CB4">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7.3 货物保险要求按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规定执行</w:t>
      </w:r>
      <w:r>
        <w:rPr>
          <w:rFonts w:hint="eastAsia" w:ascii="宋体" w:hAnsi="宋体"/>
          <w:color w:val="000000" w:themeColor="text1"/>
          <w:szCs w:val="21"/>
          <w:highlight w:val="none"/>
          <w14:textFill>
            <w14:solidFill>
              <w14:schemeClr w14:val="tx1"/>
            </w14:solidFill>
          </w14:textFill>
        </w:rPr>
        <w:t>。</w:t>
      </w:r>
    </w:p>
    <w:p w14:paraId="7793F4F7">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F71F3C6">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szCs w:val="21"/>
          <w:highlight w:val="none"/>
        </w:rPr>
        <w:t>乙方在运输到达之前应提前通知甲方，并提示货物运输装卸的注意事项，甲方配合乙方做好货物的接收工作。</w:t>
      </w:r>
    </w:p>
    <w:p w14:paraId="5A469094">
      <w:pPr>
        <w:pStyle w:val="202"/>
        <w:ind w:firstLine="420"/>
        <w:rPr>
          <w:rFonts w:hint="eastAsia"/>
          <w:sz w:val="21"/>
          <w:highlight w:val="none"/>
        </w:rPr>
      </w:pPr>
      <w:r>
        <w:rPr>
          <w:rFonts w:hint="eastAsia" w:ascii="宋体" w:hAnsi="宋体" w:eastAsia="宋体" w:cs="Times New Roman"/>
          <w:color w:val="000000" w:themeColor="text1"/>
          <w:kern w:val="2"/>
          <w:sz w:val="21"/>
          <w:highlight w:val="none"/>
          <w14:textFill>
            <w14:solidFill>
              <w14:schemeClr w14:val="tx1"/>
            </w14:solidFill>
          </w14:textFill>
        </w:rPr>
        <w:t xml:space="preserve">7.6 </w:t>
      </w:r>
      <w:r>
        <w:rPr>
          <w:rFonts w:hint="eastAsia" w:ascii="宋体" w:hAnsi="宋体" w:eastAsia="宋体" w:cs="Times New Roman"/>
          <w:color w:val="000000"/>
          <w:kern w:val="2"/>
          <w:sz w:val="21"/>
          <w:highlight w:val="none"/>
        </w:rPr>
        <w:t>如因包装、运输问题导致货物</w:t>
      </w:r>
      <w:r>
        <w:rPr>
          <w:rFonts w:hint="eastAsia" w:ascii="宋体" w:hAnsi="宋体" w:eastAsia="宋体" w:cs="Times New Roman"/>
          <w:color w:val="000000" w:themeColor="text1"/>
          <w:kern w:val="2"/>
          <w:sz w:val="21"/>
          <w:highlight w:val="none"/>
          <w14:textFill>
            <w14:solidFill>
              <w14:schemeClr w14:val="tx1"/>
            </w14:solidFill>
          </w14:textFill>
        </w:rPr>
        <w:t>损毁、丢失</w:t>
      </w:r>
      <w:r>
        <w:rPr>
          <w:rFonts w:hint="eastAsia" w:ascii="宋体" w:hAnsi="宋体" w:eastAsia="宋体" w:cs="Times New Roman"/>
          <w:color w:val="000000"/>
          <w:kern w:val="2"/>
          <w:sz w:val="21"/>
          <w:highlight w:val="none"/>
        </w:rPr>
        <w:t>或者品质下降，甲方有权要求降价、换货、拒收部分或整批货物，由此产生的费用和损失，均由乙方承担。</w:t>
      </w:r>
    </w:p>
    <w:p w14:paraId="30658CFE">
      <w:pPr>
        <w:adjustRightInd w:val="0"/>
        <w:snapToGrid w:val="0"/>
        <w:spacing w:line="400" w:lineRule="exact"/>
        <w:jc w:val="left"/>
        <w:rPr>
          <w:rFonts w:hint="eastAsia" w:ascii="宋体" w:hAnsi="宋体"/>
          <w:b/>
          <w:sz w:val="24"/>
          <w:highlight w:val="none"/>
        </w:rPr>
      </w:pPr>
      <w:r>
        <w:rPr>
          <w:rFonts w:hint="eastAsia" w:ascii="宋体" w:hAnsi="宋体"/>
          <w:b/>
          <w:color w:val="000000" w:themeColor="text1"/>
          <w:sz w:val="24"/>
          <w:highlight w:val="none"/>
          <w14:textFill>
            <w14:solidFill>
              <w14:schemeClr w14:val="tx1"/>
            </w14:solidFill>
          </w14:textFill>
        </w:rPr>
        <w:t xml:space="preserve">8. </w:t>
      </w:r>
      <w:r>
        <w:rPr>
          <w:rFonts w:hint="eastAsia" w:ascii="宋体" w:hAnsi="宋体"/>
          <w:b/>
          <w:sz w:val="24"/>
          <w:highlight w:val="none"/>
        </w:rPr>
        <w:t>质量标准和保证</w:t>
      </w:r>
    </w:p>
    <w:p w14:paraId="6A18DFCB">
      <w:pPr>
        <w:pStyle w:val="20"/>
        <w:adjustRightInd w:val="0"/>
        <w:snapToGrid w:val="0"/>
        <w:spacing w:line="400" w:lineRule="exact"/>
        <w:ind w:firstLine="420" w:firstLineChars="200"/>
        <w:jc w:val="left"/>
        <w:rPr>
          <w:rFonts w:hint="eastAsia" w:hAnsi="宋体"/>
          <w:b/>
          <w:highlight w:val="none"/>
        </w:rPr>
      </w:pPr>
      <w:r>
        <w:rPr>
          <w:rFonts w:hint="eastAsia" w:hAnsi="宋体"/>
          <w:highlight w:val="none"/>
        </w:rPr>
        <w:t>8.1 质量标准</w:t>
      </w:r>
    </w:p>
    <w:p w14:paraId="6367E70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（1）本合同下提供的货物应符合合同</w:t>
      </w:r>
      <w:r>
        <w:rPr>
          <w:rFonts w:hint="eastAsia" w:ascii="宋体" w:hAnsi="宋体" w:cs="宋体"/>
          <w:color w:val="000000"/>
          <w:szCs w:val="21"/>
          <w:highlight w:val="none"/>
        </w:rPr>
        <w:t>约定的</w:t>
      </w:r>
      <w:r>
        <w:rPr>
          <w:rFonts w:hint="eastAsia" w:ascii="宋体" w:hAnsi="宋体" w:cs="宋体"/>
          <w:szCs w:val="21"/>
          <w:highlight w:val="none"/>
        </w:rPr>
        <w:t>品牌、规格型号、技术性能、配置、质量、数量等要求。</w:t>
      </w:r>
      <w:r>
        <w:rPr>
          <w:rFonts w:hint="eastAsia" w:ascii="宋体" w:hAnsi="宋体"/>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650F278">
      <w:pPr>
        <w:pStyle w:val="20"/>
        <w:adjustRightInd w:val="0"/>
        <w:snapToGrid w:val="0"/>
        <w:spacing w:line="400" w:lineRule="exact"/>
        <w:ind w:firstLine="420" w:firstLineChars="200"/>
        <w:jc w:val="left"/>
        <w:rPr>
          <w:rFonts w:hint="eastAsia" w:hAnsi="宋体"/>
          <w:highlight w:val="none"/>
        </w:rPr>
      </w:pPr>
      <w:r>
        <w:rPr>
          <w:rFonts w:hint="eastAsia" w:hAnsi="宋体"/>
          <w:highlight w:val="none"/>
        </w:rPr>
        <w:t>（2）采用中华人民共和国法定计量单位。</w:t>
      </w:r>
    </w:p>
    <w:p w14:paraId="505C2801">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（3）乙方所提供的货物应符合国家有关安全、环保、卫生的规定。</w:t>
      </w:r>
    </w:p>
    <w:p w14:paraId="10667858">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（4）乙方应向甲方提交所提供货物的技术文件，包括相应的中文技术文件，如：产品目录、图纸、操作手册、使用说明、维护手册或服务指南等。上述文件应包装好随货物一同发运。</w:t>
      </w:r>
    </w:p>
    <w:p w14:paraId="1ED65003">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8.2 保证</w:t>
      </w:r>
    </w:p>
    <w:p w14:paraId="670C754E">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（1）乙方应保证提供的货物完全符合合同规定的质量、规格和性能要求。乙方应保证货物在正确安装、正常使用和保养条件下，</w:t>
      </w:r>
      <w:r>
        <w:rPr>
          <w:rFonts w:hint="eastAsia" w:ascii="宋体" w:hAnsi="宋体" w:cs="宋体"/>
          <w:szCs w:val="21"/>
          <w:highlight w:val="none"/>
        </w:rPr>
        <w:t>在其使用寿命期内具备合同约定的性能</w:t>
      </w:r>
      <w:r>
        <w:rPr>
          <w:rFonts w:hint="eastAsia" w:ascii="宋体" w:hAnsi="宋体"/>
          <w:szCs w:val="21"/>
          <w:highlight w:val="none"/>
        </w:rPr>
        <w:t>。存在质量保证期的，货物最终交付验收合格后在</w:t>
      </w:r>
      <w:r>
        <w:rPr>
          <w:rFonts w:hint="eastAsia" w:ascii="宋体" w:hAnsi="宋体"/>
          <w:b/>
          <w:szCs w:val="21"/>
          <w:highlight w:val="none"/>
        </w:rPr>
        <w:t>【政府采购合同专用条款】</w:t>
      </w:r>
      <w:r>
        <w:rPr>
          <w:rFonts w:hint="eastAsia" w:ascii="宋体" w:hAnsi="宋体"/>
          <w:szCs w:val="21"/>
          <w:highlight w:val="none"/>
        </w:rPr>
        <w:t>规定或乙方书面承诺（两者以较长的为准）的质量保证期内，本保证保持有效。</w:t>
      </w:r>
    </w:p>
    <w:p w14:paraId="4FFD430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（2）在质量保证期内所发现的缺陷，甲方应尽快以书面形式通知乙方。</w:t>
      </w:r>
    </w:p>
    <w:p w14:paraId="34CD0C12">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（3）乙方收到通知后，应在</w:t>
      </w:r>
      <w:r>
        <w:rPr>
          <w:rFonts w:hint="eastAsia" w:ascii="宋体" w:hAnsi="宋体"/>
          <w:b/>
          <w:szCs w:val="21"/>
          <w:highlight w:val="none"/>
        </w:rPr>
        <w:t>【政府采购合同专用条款】</w:t>
      </w:r>
      <w:r>
        <w:rPr>
          <w:rFonts w:hint="eastAsia" w:ascii="宋体" w:hAnsi="宋体"/>
          <w:szCs w:val="21"/>
          <w:highlight w:val="none"/>
        </w:rPr>
        <w:t>规定的响应时间内以合理的速度免费维修或更换有缺陷的货物或部件。</w:t>
      </w:r>
    </w:p>
    <w:p w14:paraId="4209BB23">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14:textFill>
            <w14:solidFill>
              <w14:schemeClr w14:val="tx1"/>
            </w14:solidFill>
          </w14:textFill>
        </w:rPr>
        <w:t>5</w:t>
      </w:r>
      <w:r>
        <w:rPr>
          <w:rFonts w:hint="eastAsia" w:ascii="宋体" w:hAnsi="宋体"/>
          <w:szCs w:val="21"/>
          <w:highlight w:val="none"/>
        </w:rPr>
        <w:t>.1条规定以书面形式</w:t>
      </w:r>
      <w:r>
        <w:rPr>
          <w:rFonts w:hint="eastAsia" w:ascii="宋体" w:hAnsi="宋体"/>
          <w:color w:val="000000" w:themeColor="text1"/>
          <w:szCs w:val="21"/>
          <w:highlight w:val="none"/>
          <w14:textFill>
            <w14:solidFill>
              <w14:schemeClr w14:val="tx1"/>
            </w14:solidFill>
          </w14:textFill>
        </w:rPr>
        <w:t>追究</w:t>
      </w:r>
      <w:r>
        <w:rPr>
          <w:rFonts w:hint="eastAsia" w:ascii="宋体" w:hAnsi="宋体"/>
          <w:szCs w:val="21"/>
          <w:highlight w:val="none"/>
        </w:rPr>
        <w:t>乙方</w:t>
      </w:r>
      <w:r>
        <w:rPr>
          <w:rFonts w:hint="eastAsia" w:ascii="宋体" w:hAnsi="宋体"/>
          <w:color w:val="000000" w:themeColor="text1"/>
          <w:szCs w:val="21"/>
          <w:highlight w:val="none"/>
          <w14:textFill>
            <w14:solidFill>
              <w14:schemeClr w14:val="tx1"/>
            </w14:solidFill>
          </w14:textFill>
        </w:rPr>
        <w:t>的违约责任</w:t>
      </w:r>
      <w:r>
        <w:rPr>
          <w:rFonts w:hint="eastAsia" w:ascii="宋体" w:hAnsi="宋体"/>
          <w:szCs w:val="21"/>
          <w:highlight w:val="none"/>
        </w:rPr>
        <w:t>。</w:t>
      </w:r>
    </w:p>
    <w:p w14:paraId="743A2F36">
      <w:pPr>
        <w:adjustRightInd w:val="0"/>
        <w:snapToGrid w:val="0"/>
        <w:spacing w:line="400" w:lineRule="exact"/>
        <w:ind w:firstLine="420" w:firstLineChars="200"/>
        <w:jc w:val="left"/>
        <w:rPr>
          <w:rFonts w:hint="eastAsia"/>
          <w:highlight w:val="none"/>
        </w:rPr>
      </w:pPr>
      <w:r>
        <w:rPr>
          <w:rFonts w:hint="eastAsia" w:ascii="宋体" w:hAnsi="宋体"/>
          <w:szCs w:val="21"/>
          <w:highlight w:val="none"/>
        </w:rPr>
        <w:t>（5）乙方在约定的时间内未能弥补缺陷，甲方可采取必要的补救措施，但其风险和费用将由乙方承担，甲方根据合同约定对乙方行使的其他权利不受影响。</w:t>
      </w:r>
    </w:p>
    <w:p w14:paraId="5B26992E">
      <w:pPr>
        <w:adjustRightInd w:val="0"/>
        <w:snapToGrid w:val="0"/>
        <w:spacing w:line="400" w:lineRule="exact"/>
        <w:jc w:val="left"/>
        <w:rPr>
          <w:rFonts w:ascii="宋体" w:hAnsi="宋体"/>
          <w:b/>
          <w:bCs/>
          <w:sz w:val="24"/>
          <w:highlight w:val="none"/>
        </w:rPr>
      </w:pPr>
      <w:r>
        <w:rPr>
          <w:rFonts w:hint="eastAsia" w:ascii="宋体" w:hAnsi="宋体"/>
          <w:b/>
          <w:bCs/>
          <w:color w:val="000000" w:themeColor="text1"/>
          <w:sz w:val="24"/>
          <w:highlight w:val="none"/>
          <w14:textFill>
            <w14:solidFill>
              <w14:schemeClr w14:val="tx1"/>
            </w14:solidFill>
          </w14:textFill>
        </w:rPr>
        <w:t>9</w:t>
      </w:r>
      <w:r>
        <w:rPr>
          <w:rFonts w:hint="eastAsia" w:ascii="宋体" w:hAnsi="宋体"/>
          <w:b/>
          <w:bCs/>
          <w:sz w:val="24"/>
          <w:highlight w:val="none"/>
        </w:rPr>
        <w:t>.</w:t>
      </w: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sz w:val="24"/>
          <w:highlight w:val="none"/>
        </w:rPr>
        <w:t>权利瑕疵担保</w:t>
      </w:r>
    </w:p>
    <w:p w14:paraId="3242AA6A">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9.1 乙方保证对其出售的货物享有合法的权利。</w:t>
      </w:r>
    </w:p>
    <w:p w14:paraId="5FAEF51C">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szCs w:val="15"/>
          <w:highlight w:val="none"/>
        </w:rPr>
        <w:t>乙方保证在交付的货物上不存在抵押权等担保物权。</w:t>
      </w:r>
    </w:p>
    <w:p w14:paraId="65DEEB86">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9.3 如甲方使用上述货物构成对第三人侵权的，则由乙方承担全部责任。</w:t>
      </w:r>
    </w:p>
    <w:p w14:paraId="21F04C66">
      <w:p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10. 知识产权保护</w:t>
      </w:r>
    </w:p>
    <w:p w14:paraId="3B6CA668">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10.1 乙方对其所销售的货物应当享有知识产权或经权利人合法授权，保证没有侵犯任</w:t>
      </w:r>
      <w:r>
        <w:rPr>
          <w:rFonts w:hint="eastAsia" w:ascii="宋体" w:hAnsi="宋体"/>
          <w:szCs w:val="21"/>
          <w:highlight w:val="none"/>
        </w:rPr>
        <w:t>何第三人的知识产权等权利。</w:t>
      </w:r>
      <w:bookmarkStart w:id="183" w:name="_Hlk163047038"/>
      <w:r>
        <w:rPr>
          <w:rFonts w:hint="eastAsia" w:ascii="宋体" w:hAnsi="宋体" w:cs="宋体"/>
          <w:szCs w:val="15"/>
          <w:highlight w:val="none"/>
        </w:rPr>
        <w:t>因违反前述约定对第三人构成侵权的，应当由乙方向第三人承担法律责任；甲方依法向第三人赔偿后，有权向乙方追偿。甲方有其他损失的，乙方应当赔偿</w:t>
      </w:r>
      <w:bookmarkEnd w:id="183"/>
      <w:r>
        <w:rPr>
          <w:rFonts w:hint="eastAsia" w:ascii="宋体" w:hAnsi="宋体"/>
          <w:szCs w:val="21"/>
          <w:highlight w:val="none"/>
        </w:rPr>
        <w:t>。</w:t>
      </w:r>
    </w:p>
    <w:p w14:paraId="19A08117">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11. 保密义务</w:t>
      </w:r>
    </w:p>
    <w:p w14:paraId="4B3F0FCC">
      <w:pPr>
        <w:autoSpaceDE w:val="0"/>
        <w:autoSpaceDN w:val="0"/>
        <w:adjustRightInd w:val="0"/>
        <w:snapToGrid w:val="0"/>
        <w:spacing w:line="400" w:lineRule="exact"/>
        <w:ind w:firstLine="420" w:firstLineChars="200"/>
        <w:jc w:val="left"/>
        <w:rPr>
          <w:rFonts w:hint="eastAsia" w:ascii="宋体" w:hAnsi="宋体" w:cs="宋体"/>
          <w:szCs w:val="15"/>
          <w:highlight w:val="none"/>
        </w:rPr>
      </w:pPr>
      <w:r>
        <w:rPr>
          <w:rFonts w:hint="eastAsia" w:ascii="宋体" w:hAnsi="宋体" w:cs="宋体"/>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【政府采购合同专用条款】</w:t>
      </w:r>
      <w:r>
        <w:rPr>
          <w:rFonts w:hint="eastAsia" w:ascii="宋体" w:hAnsi="宋体" w:cs="宋体"/>
          <w:szCs w:val="15"/>
          <w:highlight w:val="none"/>
        </w:rPr>
        <w:t>中约定。</w:t>
      </w:r>
    </w:p>
    <w:p w14:paraId="62EFEBF0">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12. 合同价款支付</w:t>
      </w:r>
    </w:p>
    <w:p w14:paraId="43D3530D">
      <w:pPr>
        <w:autoSpaceDE w:val="0"/>
        <w:autoSpaceDN w:val="0"/>
        <w:adjustRightInd w:val="0"/>
        <w:snapToGrid w:val="0"/>
        <w:spacing w:line="400" w:lineRule="exact"/>
        <w:ind w:firstLine="420" w:firstLineChars="200"/>
        <w:jc w:val="left"/>
        <w:rPr>
          <w:rFonts w:hint="eastAsia" w:ascii="宋体" w:hAnsi="宋体" w:cs="宋体"/>
          <w:szCs w:val="15"/>
          <w:highlight w:val="none"/>
        </w:rPr>
      </w:pPr>
      <w:r>
        <w:rPr>
          <w:rFonts w:hint="eastAsia" w:ascii="宋体" w:hAnsi="宋体" w:cs="宋体"/>
          <w:szCs w:val="15"/>
          <w:highlight w:val="none"/>
        </w:rPr>
        <w:t>12.1 合同价款支付按照国库集中支付制度及财政管理相关规定执行。</w:t>
      </w:r>
    </w:p>
    <w:p w14:paraId="2F40B944">
      <w:pPr>
        <w:autoSpaceDE w:val="0"/>
        <w:autoSpaceDN w:val="0"/>
        <w:adjustRightInd w:val="0"/>
        <w:snapToGrid w:val="0"/>
        <w:spacing w:line="400" w:lineRule="exact"/>
        <w:ind w:firstLine="420" w:firstLineChars="200"/>
        <w:jc w:val="left"/>
        <w:rPr>
          <w:rFonts w:hint="eastAsia"/>
          <w:highlight w:val="none"/>
        </w:rPr>
      </w:pPr>
      <w:r>
        <w:rPr>
          <w:rFonts w:hint="eastAsia" w:ascii="宋体" w:hAnsi="宋体" w:cs="宋体"/>
          <w:szCs w:val="15"/>
          <w:highlight w:val="none"/>
        </w:rPr>
        <w:t>12.2 对于满足合同约定支付条件的，甲方原则上应当自收到发票后1</w:t>
      </w:r>
      <w:r>
        <w:rPr>
          <w:rFonts w:hint="eastAsia" w:ascii="宋体" w:hAnsi="宋体"/>
          <w:b w:val="0"/>
          <w:bCs w:val="0"/>
          <w:sz w:val="21"/>
          <w:szCs w:val="21"/>
          <w:highlight w:val="none"/>
        </w:rPr>
        <w:t>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政府采购合同专用条款</w:t>
      </w:r>
      <w:r>
        <w:rPr>
          <w:rFonts w:hint="eastAsia" w:ascii="宋体" w:hAnsi="宋体"/>
          <w:b w:val="0"/>
          <w:bCs w:val="0"/>
          <w:sz w:val="21"/>
          <w:szCs w:val="21"/>
          <w:highlight w:val="none"/>
        </w:rPr>
        <w:t>】中约定。</w:t>
      </w:r>
    </w:p>
    <w:p w14:paraId="25B586DF">
      <w:pPr>
        <w:pStyle w:val="16"/>
        <w:spacing w:after="0" w:line="400" w:lineRule="exact"/>
        <w:rPr>
          <w:rFonts w:ascii="宋体" w:hAnsi="宋体"/>
          <w:b/>
          <w:bCs/>
          <w:sz w:val="24"/>
          <w:szCs w:val="24"/>
          <w:highlight w:val="none"/>
        </w:rPr>
      </w:pPr>
      <w:r>
        <w:rPr>
          <w:rFonts w:hint="eastAsia" w:ascii="宋体" w:hAnsi="宋体"/>
          <w:b/>
          <w:bCs/>
          <w:sz w:val="24"/>
          <w:szCs w:val="24"/>
          <w:highlight w:val="none"/>
        </w:rPr>
        <w:t>13. 履约保证金</w:t>
      </w:r>
    </w:p>
    <w:p w14:paraId="585F28DF">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乙方应当以支票、汇票、本票或者金融机构、担保机构出具的保函等非现金形式提交。</w:t>
      </w:r>
    </w:p>
    <w:p w14:paraId="53888A22">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13.2 如果乙方出现</w:t>
      </w:r>
      <w:r>
        <w:rPr>
          <w:rFonts w:hint="eastAsia" w:ascii="宋体" w:hAnsi="宋体" w:cs="宋体"/>
          <w:b/>
          <w:bCs/>
          <w:szCs w:val="15"/>
          <w:highlight w:val="none"/>
        </w:rPr>
        <w:t>【政府采购合同专用条款】</w:t>
      </w:r>
      <w:r>
        <w:rPr>
          <w:rFonts w:hint="eastAsia" w:ascii="宋体" w:hAnsi="宋体" w:cs="宋体"/>
          <w:szCs w:val="15"/>
          <w:highlight w:val="none"/>
        </w:rPr>
        <w:t>约定情形的</w:t>
      </w:r>
      <w:r>
        <w:rPr>
          <w:rFonts w:hint="eastAsia" w:ascii="宋体" w:hAnsi="宋体"/>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06A9509F">
      <w:pPr>
        <w:spacing w:line="400" w:lineRule="exact"/>
        <w:ind w:firstLine="420"/>
        <w:rPr>
          <w:rFonts w:hint="eastAsia"/>
          <w:highlight w:val="none"/>
        </w:rPr>
      </w:pPr>
      <w:r>
        <w:rPr>
          <w:rFonts w:hint="eastAsia" w:ascii="宋体" w:hAnsi="宋体"/>
          <w:szCs w:val="21"/>
          <w:highlight w:val="none"/>
        </w:rPr>
        <w:t>13.3 甲方在项目通过验收后按照</w:t>
      </w:r>
      <w:r>
        <w:rPr>
          <w:rFonts w:hint="eastAsia" w:ascii="宋体" w:hAnsi="宋体"/>
          <w:b/>
          <w:szCs w:val="21"/>
          <w:highlight w:val="none"/>
        </w:rPr>
        <w:t>【政府采购合同专用条款】</w:t>
      </w:r>
      <w:r>
        <w:rPr>
          <w:rFonts w:hint="eastAsia" w:ascii="宋体" w:hAnsi="宋体"/>
          <w:szCs w:val="21"/>
          <w:highlight w:val="none"/>
        </w:rPr>
        <w:t>规定的时间内将履约保证金退还乙方；逾期退还的，乙方可要求甲方支付违约金，违约金按照</w:t>
      </w:r>
      <w:r>
        <w:rPr>
          <w:rFonts w:hint="eastAsia" w:ascii="宋体" w:hAnsi="宋体"/>
          <w:b/>
          <w:szCs w:val="21"/>
          <w:highlight w:val="none"/>
        </w:rPr>
        <w:t>【政府采购合同专用条款】</w:t>
      </w:r>
      <w:r>
        <w:rPr>
          <w:rFonts w:hint="eastAsia" w:ascii="宋体" w:hAnsi="宋体"/>
          <w:szCs w:val="21"/>
          <w:highlight w:val="none"/>
        </w:rPr>
        <w:t>规定支付。</w:t>
      </w:r>
    </w:p>
    <w:p w14:paraId="02C7D211">
      <w:pPr>
        <w:autoSpaceDE w:val="0"/>
        <w:autoSpaceDN w:val="0"/>
        <w:adjustRightInd w:val="0"/>
        <w:snapToGrid w:val="0"/>
        <w:spacing w:line="400" w:lineRule="exact"/>
        <w:jc w:val="lef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售后</w:t>
      </w:r>
      <w:r>
        <w:rPr>
          <w:rFonts w:hint="eastAsia" w:ascii="宋体" w:hAnsi="宋体"/>
          <w:b/>
          <w:sz w:val="24"/>
          <w:highlight w:val="none"/>
        </w:rPr>
        <w:t>服务</w:t>
      </w:r>
    </w:p>
    <w:p w14:paraId="250642C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14.1 除项目不涉及或采购活动中明确约定无须承担外，乙方还应提供下列服务：</w:t>
      </w:r>
    </w:p>
    <w:p w14:paraId="6961848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（1）货物的现场移动、安装、调试、启动监督及技术支持；</w:t>
      </w:r>
    </w:p>
    <w:p w14:paraId="33C526D7">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（2）提供货物组装和维修所需的专用工具和辅助材料；</w:t>
      </w:r>
    </w:p>
    <w:p w14:paraId="095FC4A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（3）在</w:t>
      </w:r>
      <w:r>
        <w:rPr>
          <w:rFonts w:hint="eastAsia" w:ascii="宋体" w:hAnsi="宋体" w:cs="宋体"/>
          <w:b/>
          <w:bCs/>
          <w:szCs w:val="15"/>
          <w:highlight w:val="none"/>
        </w:rPr>
        <w:t>【政府采购合同专用条款】</w:t>
      </w:r>
      <w:r>
        <w:rPr>
          <w:rFonts w:hint="eastAsia" w:ascii="宋体" w:hAnsi="宋体"/>
          <w:szCs w:val="21"/>
          <w:highlight w:val="none"/>
        </w:rPr>
        <w:t>约定的期限内对所有的货物实施运行监督、维修，但前提条件是该服务并不能免除乙方在质量保证期内所承担的义务；</w:t>
      </w:r>
    </w:p>
    <w:p w14:paraId="461379A7">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（4）在制造商所在地或指定现场就货物的安装、启动、运营、维护、废弃处置等对甲方操作人员进行培训</w:t>
      </w:r>
      <w:r>
        <w:rPr>
          <w:rFonts w:hint="eastAsia" w:ascii="宋体" w:hAnsi="宋体" w:cs="宋体"/>
          <w:szCs w:val="15"/>
          <w:highlight w:val="none"/>
        </w:rPr>
        <w:t>；</w:t>
      </w:r>
    </w:p>
    <w:p w14:paraId="6F53DC10">
      <w:pPr>
        <w:pStyle w:val="202"/>
        <w:ind w:firstLine="420"/>
        <w:rPr>
          <w:rFonts w:hint="eastAsia" w:ascii="宋体" w:hAnsi="宋体" w:eastAsia="宋体" w:cs="宋体"/>
          <w:sz w:val="21"/>
          <w:highlight w:val="none"/>
        </w:rPr>
      </w:pPr>
      <w:r>
        <w:rPr>
          <w:rFonts w:hint="eastAsia" w:ascii="宋体" w:hAnsi="宋体" w:eastAsia="宋体" w:cs="宋体"/>
          <w:sz w:val="21"/>
          <w:highlight w:val="none"/>
        </w:rPr>
        <w:t>（5）依照法律、行政法规的规定或者按照</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约定，货物在有效使用年限届满后应予回收的，乙方负有自行或者委托第三人对货物予以回收的义务；</w:t>
      </w:r>
    </w:p>
    <w:p w14:paraId="4341489C">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（6）</w:t>
      </w:r>
      <w:r>
        <w:rPr>
          <w:rFonts w:hint="eastAsia" w:ascii="宋体" w:hAnsi="宋体"/>
          <w:b/>
          <w:szCs w:val="21"/>
          <w:highlight w:val="none"/>
        </w:rPr>
        <w:t>【政府采购合同专用条款】</w:t>
      </w:r>
      <w:r>
        <w:rPr>
          <w:rFonts w:hint="eastAsia" w:ascii="宋体" w:hAnsi="宋体"/>
          <w:szCs w:val="21"/>
          <w:highlight w:val="none"/>
        </w:rPr>
        <w:t>规定由乙方提供的其他服务。</w:t>
      </w:r>
    </w:p>
    <w:p w14:paraId="34E3D95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14.2 乙方提供的售后服务的费用已包含在合同价款中，甲方不再另行支付。</w:t>
      </w:r>
    </w:p>
    <w:p w14:paraId="6520F4CD">
      <w:pPr>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15. 违约责任</w:t>
      </w:r>
    </w:p>
    <w:p w14:paraId="68C76851">
      <w:pPr>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15.1质量瑕疵的违约责任</w:t>
      </w:r>
    </w:p>
    <w:p w14:paraId="02A93C95">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乙方提供的产品不符合合同约定的质量标准或存在产品质量缺陷，甲方有权要求乙方根据</w:t>
      </w:r>
      <w:r>
        <w:rPr>
          <w:rFonts w:hint="eastAsia" w:ascii="宋体" w:hAnsi="宋体"/>
          <w:b/>
          <w:szCs w:val="21"/>
          <w:highlight w:val="none"/>
        </w:rPr>
        <w:t>【政府采购合同专用条款】</w:t>
      </w:r>
      <w:r>
        <w:rPr>
          <w:rFonts w:hint="eastAsia" w:ascii="宋体" w:hAnsi="宋体"/>
          <w:bCs/>
          <w:szCs w:val="21"/>
          <w:highlight w:val="none"/>
        </w:rPr>
        <w:t>要求</w:t>
      </w:r>
      <w:r>
        <w:rPr>
          <w:rFonts w:hint="eastAsia" w:ascii="宋体" w:hAnsi="宋体"/>
          <w:szCs w:val="21"/>
          <w:highlight w:val="none"/>
        </w:rPr>
        <w:t>及时修理、重作、更换，并承担由此给甲方造成的损失。</w:t>
      </w:r>
    </w:p>
    <w:p w14:paraId="0603F2C2">
      <w:pPr>
        <w:autoSpaceDE w:val="0"/>
        <w:autoSpaceDN w:val="0"/>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15.2 迟延交货的违约责任</w:t>
      </w:r>
    </w:p>
    <w:p w14:paraId="470A3EA8">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950A70A">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【政府采购合同专用条款】</w:t>
      </w:r>
      <w:r>
        <w:rPr>
          <w:rFonts w:hint="eastAsia" w:ascii="宋体" w:hAnsi="宋体"/>
          <w:szCs w:val="21"/>
          <w:highlight w:val="none"/>
        </w:rPr>
        <w:t>规定执行。如果涉及公共利益，且赔偿金额无法弥补公共利益损失，甲方可要求继续履行或者采取其他补救措施。</w:t>
      </w:r>
    </w:p>
    <w:p w14:paraId="3E7F0B2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15.3 迟延支付的违约责任</w:t>
      </w:r>
    </w:p>
    <w:p w14:paraId="4F0CB68C">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甲方存在迟延支付乙方合同款项的，应当承担</w:t>
      </w:r>
      <w:r>
        <w:rPr>
          <w:rFonts w:hint="eastAsia" w:ascii="宋体" w:hAnsi="宋体"/>
          <w:b/>
          <w:bCs/>
          <w:szCs w:val="21"/>
          <w:highlight w:val="none"/>
        </w:rPr>
        <w:t>【政府采购合同专用条款】</w:t>
      </w:r>
      <w:r>
        <w:rPr>
          <w:rFonts w:hint="eastAsia" w:ascii="宋体" w:hAnsi="宋体"/>
          <w:szCs w:val="21"/>
          <w:highlight w:val="none"/>
        </w:rPr>
        <w:t>规定的逾期付款利息。</w:t>
      </w:r>
    </w:p>
    <w:p w14:paraId="23C23C35">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bCs/>
          <w:szCs w:val="21"/>
          <w:highlight w:val="none"/>
        </w:rPr>
        <w:t>15.4其他违约责任根据项目实际需要按</w:t>
      </w:r>
      <w:r>
        <w:rPr>
          <w:rFonts w:hint="eastAsia" w:ascii="宋体" w:hAnsi="宋体"/>
          <w:b/>
          <w:bCs/>
          <w:szCs w:val="21"/>
          <w:highlight w:val="none"/>
        </w:rPr>
        <w:t>【政府采购合同专用条款】</w:t>
      </w:r>
      <w:r>
        <w:rPr>
          <w:rFonts w:hint="eastAsia" w:ascii="宋体" w:hAnsi="宋体"/>
          <w:szCs w:val="21"/>
          <w:highlight w:val="none"/>
        </w:rPr>
        <w:t>规定执行。</w:t>
      </w:r>
    </w:p>
    <w:p w14:paraId="046DA73C">
      <w:pPr>
        <w:numPr>
          <w:ilvl w:val="0"/>
          <w:numId w:val="7"/>
        </w:numPr>
        <w:autoSpaceDE w:val="0"/>
        <w:autoSpaceDN w:val="0"/>
        <w:adjustRightInd w:val="0"/>
        <w:snapToGrid w:val="0"/>
        <w:spacing w:line="400" w:lineRule="exact"/>
        <w:jc w:val="left"/>
        <w:rPr>
          <w:rFonts w:hint="eastAsia" w:ascii="宋体" w:hAnsi="宋体"/>
          <w:b/>
          <w:sz w:val="24"/>
          <w:highlight w:val="none"/>
        </w:rPr>
      </w:pPr>
      <w:r>
        <w:rPr>
          <w:rFonts w:hint="eastAsia" w:ascii="宋体" w:hAnsi="宋体"/>
          <w:b/>
          <w:sz w:val="24"/>
          <w:highlight w:val="none"/>
        </w:rPr>
        <w:t>合同变更、中止与终止</w:t>
      </w:r>
    </w:p>
    <w:p w14:paraId="0CC719FB">
      <w:pPr>
        <w:adjustRightInd w:val="0"/>
        <w:snapToGrid w:val="0"/>
        <w:spacing w:line="400" w:lineRule="exact"/>
        <w:jc w:val="left"/>
        <w:rPr>
          <w:rFonts w:hint="eastAsia" w:ascii="宋体" w:hAnsi="宋体"/>
          <w:szCs w:val="21"/>
          <w:highlight w:val="none"/>
        </w:rPr>
      </w:pPr>
      <w:r>
        <w:rPr>
          <w:rFonts w:hint="eastAsia" w:ascii="宋体" w:hAnsi="宋体"/>
          <w:szCs w:val="21"/>
          <w:highlight w:val="none"/>
        </w:rPr>
        <w:t xml:space="preserve">    16.1合同的变更</w:t>
      </w:r>
    </w:p>
    <w:p w14:paraId="19F44546">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政府采购合同履行中，在不改变合同其他条款的前提下，甲方可以在合同价款10%的范围内追加与合同标的相同的货物，并就此与乙方协商一致后签订补充协议。</w:t>
      </w:r>
    </w:p>
    <w:p w14:paraId="468DC39E">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16.2合同的中止</w:t>
      </w:r>
    </w:p>
    <w:p w14:paraId="6F70498E">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（1）合同履行过程中因供应商就采购文件、采购过程或结果提起投诉的，甲方认为有必要的，可以中止合同的履行。</w:t>
      </w:r>
    </w:p>
    <w:p w14:paraId="5D9C493E">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B95E2A0">
      <w:pPr>
        <w:pStyle w:val="202"/>
        <w:ind w:firstLine="420"/>
        <w:jc w:val="both"/>
        <w:rPr>
          <w:rFonts w:hint="eastAsia"/>
          <w:sz w:val="21"/>
          <w:highlight w:val="none"/>
        </w:rPr>
      </w:pPr>
      <w:r>
        <w:rPr>
          <w:rFonts w:hint="eastAsia" w:ascii="宋体" w:hAnsi="宋体" w:eastAsia="宋体" w:cs="宋体"/>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6298C7D9">
      <w:pPr>
        <w:snapToGrid w:val="0"/>
        <w:spacing w:line="400" w:lineRule="exact"/>
        <w:ind w:firstLine="420" w:firstLineChars="200"/>
        <w:jc w:val="left"/>
        <w:rPr>
          <w:rFonts w:hint="eastAsia"/>
          <w:highlight w:val="none"/>
        </w:rPr>
      </w:pPr>
      <w:r>
        <w:rPr>
          <w:rFonts w:hint="eastAsia" w:ascii="宋体" w:hAnsi="宋体"/>
          <w:szCs w:val="21"/>
          <w:highlight w:val="none"/>
        </w:rPr>
        <w:t>（4）甲方不得以行政区划调整、政府换届、机构或者职能调整以及相关责任人更替为由中止合同。</w:t>
      </w:r>
    </w:p>
    <w:p w14:paraId="5EB71F16">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16.3合同的终止</w:t>
      </w:r>
    </w:p>
    <w:p w14:paraId="093FDC10">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（1）合同因有效期限届满而终止；</w:t>
      </w:r>
    </w:p>
    <w:p w14:paraId="714EFEC7">
      <w:pPr>
        <w:snapToGrid w:val="0"/>
        <w:spacing w:line="400" w:lineRule="exact"/>
        <w:ind w:firstLine="420" w:firstLineChars="200"/>
        <w:rPr>
          <w:rFonts w:hint="eastAsia" w:ascii="宋体" w:hAnsi="宋体" w:cs="宋体"/>
          <w:szCs w:val="21"/>
          <w:highlight w:val="none"/>
        </w:rPr>
      </w:pPr>
      <w:r>
        <w:rPr>
          <w:rFonts w:hint="eastAsia" w:ascii="宋体" w:hAnsi="宋体"/>
          <w:szCs w:val="21"/>
          <w:highlight w:val="none"/>
        </w:rPr>
        <w:t>（2）乙方未按合同约定履行，构成根本性违约的，甲方有权终止合同，</w:t>
      </w:r>
      <w:r>
        <w:rPr>
          <w:rFonts w:hint="eastAsia" w:ascii="宋体" w:hAnsi="宋体" w:cs="宋体"/>
          <w:szCs w:val="21"/>
          <w:highlight w:val="none"/>
        </w:rPr>
        <w:t>并追究乙方的违约责任</w:t>
      </w:r>
      <w:r>
        <w:rPr>
          <w:rFonts w:hint="eastAsia" w:ascii="宋体" w:hAnsi="宋体"/>
          <w:szCs w:val="21"/>
          <w:highlight w:val="none"/>
        </w:rPr>
        <w:t>。</w:t>
      </w:r>
    </w:p>
    <w:p w14:paraId="75062C39">
      <w:pPr>
        <w:pStyle w:val="202"/>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kern w:val="2"/>
          <w:sz w:val="21"/>
          <w:highlight w:val="none"/>
        </w:rPr>
        <w:t>涉及国家利益、社会公共利益的情形</w:t>
      </w:r>
    </w:p>
    <w:p w14:paraId="4F111362">
      <w:pPr>
        <w:pStyle w:val="202"/>
        <w:ind w:firstLine="420"/>
        <w:jc w:val="both"/>
        <w:rPr>
          <w:rFonts w:hint="eastAsia"/>
          <w:sz w:val="21"/>
          <w:highlight w:val="none"/>
        </w:rPr>
      </w:pPr>
      <w:r>
        <w:rPr>
          <w:rFonts w:hint="eastAsia" w:ascii="宋体" w:hAnsi="宋体" w:eastAsia="宋体" w:cs="宋体"/>
          <w:sz w:val="21"/>
          <w:highlight w:val="none"/>
        </w:rPr>
        <w:t>政府采购合同继续履行将损害国家利益和社会公共利益的，双方当事人应当变更、中止或者终止合同。有过错的一方应当承担赔偿责任，双方都有过错的，各自承担相应的责任。</w:t>
      </w:r>
    </w:p>
    <w:p w14:paraId="496DB76D">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17. 合同分包</w:t>
      </w:r>
    </w:p>
    <w:p w14:paraId="0E793CE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17.1 乙方不得将合同转包给其他供应商。涉及合同分包的，乙方应根据采购文件和投标（响应）文件规定进行合同分包。</w:t>
      </w:r>
    </w:p>
    <w:p w14:paraId="728B5C30">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17.2 乙方执行政府采购政策向中小企业依法分包的，乙方应当按采购文件和投标（响应）文件签订分包意向协议，分包意向协议属于本合同组成部分。</w:t>
      </w:r>
    </w:p>
    <w:p w14:paraId="78F32F1A">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18. 不可抗力</w:t>
      </w:r>
    </w:p>
    <w:p w14:paraId="6AC59035">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18.1 不可抗力是指合同双方不能预见、不能避免且不能克服的客观情况。</w:t>
      </w:r>
    </w:p>
    <w:p w14:paraId="096C9F48">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18.2 任何一方对由于不可抗力造成的部分或全部不能履行合同不承担违约责任。但迟延履行后发生不可抗力的，不能免除责任。</w:t>
      </w:r>
    </w:p>
    <w:p w14:paraId="7A31098E">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5D897B3">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19. 解决争议的方法</w:t>
      </w:r>
    </w:p>
    <w:p w14:paraId="11BDE136">
      <w:pPr>
        <w:pStyle w:val="202"/>
        <w:ind w:firstLine="420"/>
        <w:jc w:val="both"/>
        <w:rPr>
          <w:rFonts w:hint="eastAsia" w:ascii="宋体" w:hAnsi="宋体" w:eastAsia="宋体" w:cs="宋体"/>
          <w:sz w:val="21"/>
          <w:highlight w:val="none"/>
        </w:rPr>
      </w:pPr>
      <w:r>
        <w:rPr>
          <w:rFonts w:hint="eastAsia" w:ascii="宋体" w:hAnsi="宋体" w:eastAsia="宋体" w:cs="宋体"/>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6281B185">
      <w:pPr>
        <w:pStyle w:val="202"/>
        <w:ind w:firstLine="420"/>
        <w:jc w:val="both"/>
        <w:rPr>
          <w:rFonts w:hint="eastAsia" w:ascii="宋体" w:hAnsi="宋体" w:eastAsia="宋体" w:cs="宋体"/>
          <w:sz w:val="21"/>
          <w:highlight w:val="none"/>
        </w:rPr>
      </w:pPr>
      <w:r>
        <w:rPr>
          <w:rFonts w:hint="eastAsia" w:ascii="宋体" w:hAnsi="宋体" w:eastAsia="宋体" w:cs="宋体"/>
          <w:sz w:val="21"/>
          <w:highlight w:val="none"/>
        </w:rPr>
        <w:t>19.2 选择仲裁的，应在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中明确仲裁机构及仲裁地；通过诉讼方式解决的，可以在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中进一步约定选择与争议有实际联系的地点的人民法院管辖，但管辖法院的约定不得违反级别管辖和专属管辖的规定。</w:t>
      </w:r>
    </w:p>
    <w:p w14:paraId="48825937">
      <w:pPr>
        <w:pStyle w:val="202"/>
        <w:ind w:firstLine="420"/>
        <w:jc w:val="both"/>
        <w:rPr>
          <w:rFonts w:hint="eastAsia" w:ascii="宋体" w:hAnsi="宋体" w:eastAsia="宋体" w:cs="宋体"/>
          <w:sz w:val="21"/>
          <w:highlight w:val="none"/>
        </w:rPr>
      </w:pPr>
      <w:r>
        <w:rPr>
          <w:rFonts w:hint="eastAsia" w:ascii="宋体" w:hAnsi="宋体" w:eastAsia="宋体" w:cs="宋体"/>
          <w:sz w:val="21"/>
          <w:highlight w:val="none"/>
        </w:rPr>
        <w:t>19.3 如甲乙双方有争议的事项不影响合同其他部分的履行，在争议解决期间，合同其他部分应当继续履行。</w:t>
      </w:r>
    </w:p>
    <w:p w14:paraId="0C92D042">
      <w:pPr>
        <w:autoSpaceDE w:val="0"/>
        <w:autoSpaceDN w:val="0"/>
        <w:adjustRightInd w:val="0"/>
        <w:snapToGrid w:val="0"/>
        <w:spacing w:line="400" w:lineRule="exact"/>
        <w:jc w:val="left"/>
        <w:rPr>
          <w:rFonts w:hint="eastAsia" w:ascii="宋体" w:hAnsi="宋体"/>
          <w:sz w:val="24"/>
          <w:highlight w:val="none"/>
        </w:rPr>
      </w:pPr>
      <w:r>
        <w:rPr>
          <w:rFonts w:hint="eastAsia" w:ascii="宋体" w:hAnsi="宋体"/>
          <w:b/>
          <w:sz w:val="24"/>
          <w:highlight w:val="none"/>
        </w:rPr>
        <w:t>20. 政府采购政策</w:t>
      </w:r>
    </w:p>
    <w:p w14:paraId="497FDF17">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本合同应当按照规定执行政府采购政策。</w:t>
      </w:r>
    </w:p>
    <w:p w14:paraId="7076A72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20.2 本合同依法执行政府采购政策的方式和内容，属于合同履约验收的范围。</w:t>
      </w:r>
      <w:r>
        <w:rPr>
          <w:rFonts w:hint="eastAsia" w:ascii="宋体" w:hAnsi="宋体" w:cs="宋体"/>
          <w:highlight w:val="none"/>
        </w:rPr>
        <w:t>甲乙双方</w:t>
      </w:r>
      <w:r>
        <w:rPr>
          <w:rFonts w:hint="eastAsia" w:ascii="宋体" w:hAnsi="宋体" w:cs="宋体"/>
          <w:highlight w:val="none"/>
          <w:lang w:val="en-GB"/>
        </w:rPr>
        <w:t>未按规定要求执行政府采购政策造成损失的</w:t>
      </w:r>
      <w:r>
        <w:rPr>
          <w:rFonts w:hint="eastAsia" w:ascii="宋体" w:hAnsi="宋体"/>
          <w:szCs w:val="21"/>
          <w:highlight w:val="none"/>
        </w:rPr>
        <w:t>，有过错的一方应当承担赔偿责任，双方都有过错的，各自承担相应的责任。</w:t>
      </w:r>
    </w:p>
    <w:p w14:paraId="79876CC1">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946DF6C">
      <w:pPr>
        <w:autoSpaceDE w:val="0"/>
        <w:autoSpaceDN w:val="0"/>
        <w:adjustRightInd w:val="0"/>
        <w:snapToGrid w:val="0"/>
        <w:spacing w:line="400" w:lineRule="exact"/>
        <w:jc w:val="left"/>
        <w:rPr>
          <w:rFonts w:ascii="宋体" w:hAnsi="宋体"/>
          <w:b/>
          <w:sz w:val="24"/>
          <w:highlight w:val="none"/>
        </w:rPr>
      </w:pPr>
      <w:r>
        <w:rPr>
          <w:rFonts w:hint="eastAsia" w:ascii="宋体" w:hAnsi="宋体"/>
          <w:b/>
          <w:sz w:val="24"/>
          <w:highlight w:val="none"/>
        </w:rPr>
        <w:t>21. 法律适用</w:t>
      </w:r>
    </w:p>
    <w:p w14:paraId="109ABB3D">
      <w:pPr>
        <w:pStyle w:val="202"/>
        <w:ind w:firstLine="420"/>
        <w:jc w:val="both"/>
        <w:rPr>
          <w:rFonts w:hint="eastAsia" w:ascii="宋体" w:hAnsi="宋体" w:eastAsia="宋体" w:cs="宋体"/>
          <w:sz w:val="21"/>
          <w:highlight w:val="none"/>
        </w:rPr>
      </w:pPr>
      <w:r>
        <w:rPr>
          <w:rFonts w:hint="eastAsia" w:ascii="宋体" w:hAnsi="宋体" w:eastAsia="宋体" w:cs="宋体"/>
          <w:sz w:val="21"/>
          <w:highlight w:val="none"/>
        </w:rPr>
        <w:t>21.1 本合同的订立、生效、解释、履行及与本合同有关的争议解决，均适用法律、行政法规。</w:t>
      </w:r>
    </w:p>
    <w:p w14:paraId="4A5D1BDC">
      <w:pPr>
        <w:pStyle w:val="202"/>
        <w:ind w:firstLine="420"/>
        <w:jc w:val="both"/>
        <w:rPr>
          <w:rFonts w:hint="eastAsia" w:ascii="宋体" w:hAnsi="宋体" w:eastAsia="宋体" w:cs="宋体"/>
          <w:sz w:val="21"/>
          <w:highlight w:val="none"/>
        </w:rPr>
      </w:pPr>
      <w:r>
        <w:rPr>
          <w:rFonts w:hint="eastAsia" w:ascii="宋体" w:hAnsi="宋体" w:eastAsia="宋体" w:cs="宋体"/>
          <w:sz w:val="21"/>
          <w:highlight w:val="none"/>
        </w:rPr>
        <w:t>21.2 本合同条款与法律、行政法规的强制性规定不一致的，双方当事人应按照法律、行政法规的强制性规定修改本合同的相关条款。</w:t>
      </w:r>
    </w:p>
    <w:p w14:paraId="629278AB">
      <w:pPr>
        <w:autoSpaceDE w:val="0"/>
        <w:autoSpaceDN w:val="0"/>
        <w:adjustRightInd w:val="0"/>
        <w:snapToGrid w:val="0"/>
        <w:spacing w:line="400" w:lineRule="exact"/>
        <w:jc w:val="left"/>
        <w:rPr>
          <w:rFonts w:hint="eastAsia" w:ascii="宋体" w:hAnsi="宋体"/>
          <w:b/>
          <w:sz w:val="24"/>
          <w:highlight w:val="none"/>
        </w:rPr>
      </w:pPr>
      <w:r>
        <w:rPr>
          <w:rFonts w:hint="eastAsia" w:ascii="宋体" w:hAnsi="宋体"/>
          <w:b/>
          <w:sz w:val="24"/>
          <w:highlight w:val="none"/>
        </w:rPr>
        <w:t>22. 通知</w:t>
      </w:r>
    </w:p>
    <w:p w14:paraId="6CFB426B">
      <w:pPr>
        <w:pStyle w:val="202"/>
        <w:ind w:firstLine="420"/>
        <w:jc w:val="both"/>
        <w:rPr>
          <w:rFonts w:hint="eastAsia" w:ascii="宋体" w:hAnsi="宋体" w:eastAsia="宋体" w:cs="宋体"/>
          <w:sz w:val="21"/>
          <w:highlight w:val="none"/>
        </w:rPr>
      </w:pPr>
      <w:r>
        <w:rPr>
          <w:rFonts w:hint="eastAsia" w:ascii="宋体" w:hAnsi="宋体" w:eastAsia="宋体" w:cs="宋体"/>
          <w:sz w:val="21"/>
          <w:highlight w:val="none"/>
        </w:rPr>
        <w:t>22.1 本合同任何一方向对方发出的通知、信件、数据电文等，应当发送至本合同第一部分《政府采购合同协议书》所约定的通讯地址、联系人、联系电话或电子邮箱。</w:t>
      </w:r>
    </w:p>
    <w:p w14:paraId="32FB8307">
      <w:pPr>
        <w:pStyle w:val="202"/>
        <w:ind w:firstLine="0" w:firstLineChars="0"/>
        <w:jc w:val="both"/>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p>
    <w:p w14:paraId="06802CD3">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22.3本合同一方给另一方的通知均应采用书面形式，传真或快递送到本合同中规定的对方的地址和办理签收手续。</w:t>
      </w:r>
    </w:p>
    <w:p w14:paraId="7E567F4F">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22.4通知以送达之日或通知书中规定的生效之日起生效，两者中以较迟之日为准。</w:t>
      </w:r>
    </w:p>
    <w:p w14:paraId="4A393EC6">
      <w:pPr>
        <w:numPr>
          <w:ilvl w:val="0"/>
          <w:numId w:val="8"/>
        </w:numPr>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合同未尽事项</w:t>
      </w:r>
    </w:p>
    <w:p w14:paraId="046D3443">
      <w:pPr>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23.1合同未尽事项见</w:t>
      </w:r>
      <w:r>
        <w:rPr>
          <w:rFonts w:hint="eastAsia" w:ascii="宋体" w:hAnsi="宋体"/>
          <w:b/>
          <w:szCs w:val="21"/>
          <w:highlight w:val="none"/>
        </w:rPr>
        <w:t>【政府采购合同专用条款】</w:t>
      </w:r>
      <w:r>
        <w:rPr>
          <w:rFonts w:hint="eastAsia" w:ascii="宋体" w:hAnsi="宋体"/>
          <w:bCs/>
          <w:szCs w:val="21"/>
          <w:highlight w:val="none"/>
        </w:rPr>
        <w:t>。</w:t>
      </w:r>
    </w:p>
    <w:p w14:paraId="36C09D36">
      <w:pPr>
        <w:adjustRightInd w:val="0"/>
        <w:snapToGrid w:val="0"/>
        <w:spacing w:line="400" w:lineRule="exact"/>
        <w:jc w:val="lef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p>
    <w:p w14:paraId="3DFA02A6">
      <w:pPr>
        <w:keepNext/>
        <w:keepLines/>
        <w:spacing w:line="360" w:lineRule="auto"/>
        <w:jc w:val="center"/>
        <w:outlineLvl w:val="1"/>
        <w:rPr>
          <w:rFonts w:ascii="黑体" w:hAnsi="华文中宋" w:eastAsia="黑体"/>
          <w:sz w:val="24"/>
          <w:highlight w:val="none"/>
        </w:rPr>
      </w:pPr>
      <w:r>
        <w:rPr>
          <w:rFonts w:hint="eastAsia" w:ascii="黑体" w:hAnsi="华文中宋" w:eastAsia="黑体"/>
          <w:sz w:val="24"/>
          <w:highlight w:val="none"/>
        </w:rPr>
        <w:br w:type="page" w:clear="all"/>
      </w:r>
    </w:p>
    <w:p w14:paraId="4C0B0EC1">
      <w:pPr>
        <w:keepNext/>
        <w:keepLines/>
        <w:spacing w:line="360" w:lineRule="auto"/>
        <w:jc w:val="center"/>
        <w:outlineLvl w:val="1"/>
        <w:rPr>
          <w:rFonts w:ascii="黑体" w:hAnsi="华文中宋" w:eastAsia="黑体"/>
          <w:color w:val="auto"/>
          <w:sz w:val="24"/>
          <w:highlight w:val="none"/>
        </w:rPr>
      </w:pPr>
      <w:r>
        <w:rPr>
          <w:rFonts w:hint="eastAsia" w:ascii="黑体" w:hAnsi="华文中宋" w:eastAsia="黑体"/>
          <w:color w:val="auto"/>
          <w:sz w:val="24"/>
          <w:highlight w:val="none"/>
        </w:rPr>
        <w:t>第三节 政府采购合同专用条款</w:t>
      </w:r>
      <w:bookmarkEnd w:id="182"/>
    </w:p>
    <w:tbl>
      <w:tblPr>
        <w:tblStyle w:val="36"/>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560"/>
        <w:gridCol w:w="1789"/>
        <w:gridCol w:w="5170"/>
      </w:tblGrid>
      <w:tr w14:paraId="2A85E44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59EADDFC">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0B4BCFE8">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第1.2（6）项</w:t>
            </w:r>
          </w:p>
        </w:tc>
        <w:tc>
          <w:tcPr>
            <w:tcW w:w="1789" w:type="dxa"/>
            <w:vAlign w:val="center"/>
          </w:tcPr>
          <w:p w14:paraId="0E2BBED2">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联合体具体要求</w:t>
            </w:r>
          </w:p>
        </w:tc>
        <w:tc>
          <w:tcPr>
            <w:tcW w:w="5170" w:type="dxa"/>
            <w:vAlign w:val="center"/>
          </w:tcPr>
          <w:p w14:paraId="6D9F2873">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w:t>
            </w:r>
          </w:p>
        </w:tc>
      </w:tr>
      <w:tr w14:paraId="0A59388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560" w:type="dxa"/>
            <w:vAlign w:val="center"/>
          </w:tcPr>
          <w:p w14:paraId="7D286AD7">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063D45B1">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第1.2（7）项</w:t>
            </w:r>
          </w:p>
        </w:tc>
        <w:tc>
          <w:tcPr>
            <w:tcW w:w="1789" w:type="dxa"/>
            <w:vAlign w:val="center"/>
          </w:tcPr>
          <w:p w14:paraId="3FAAA06A">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其他术语解释</w:t>
            </w:r>
          </w:p>
        </w:tc>
        <w:tc>
          <w:tcPr>
            <w:tcW w:w="5170" w:type="dxa"/>
            <w:vAlign w:val="center"/>
          </w:tcPr>
          <w:p w14:paraId="76E431F9">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r>
      <w:tr w14:paraId="54DD36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4EE2C001">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7ED3EC04">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第4.4款</w:t>
            </w:r>
          </w:p>
        </w:tc>
        <w:tc>
          <w:tcPr>
            <w:tcW w:w="1789" w:type="dxa"/>
            <w:vAlign w:val="center"/>
          </w:tcPr>
          <w:p w14:paraId="25E6A1A8">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履约验收中甲方提出异议或作出说明的期限</w:t>
            </w:r>
          </w:p>
        </w:tc>
        <w:tc>
          <w:tcPr>
            <w:tcW w:w="5170" w:type="dxa"/>
            <w:vAlign w:val="center"/>
          </w:tcPr>
          <w:p w14:paraId="6F6DBF4D">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在竣工验收完成后的30日内，甲方对乙方所供货物的技术性能和参数等方面的问题有提出异议的权利。</w:t>
            </w:r>
          </w:p>
        </w:tc>
      </w:tr>
      <w:tr w14:paraId="777593C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55FB9D7B">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7BDD8D8D">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第4.6款</w:t>
            </w:r>
          </w:p>
        </w:tc>
        <w:tc>
          <w:tcPr>
            <w:tcW w:w="1789" w:type="dxa"/>
            <w:vAlign w:val="center"/>
          </w:tcPr>
          <w:p w14:paraId="14C64E91">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约定甲方承担的其他义务和责任</w:t>
            </w:r>
          </w:p>
        </w:tc>
        <w:tc>
          <w:tcPr>
            <w:tcW w:w="5170" w:type="dxa"/>
            <w:vAlign w:val="center"/>
          </w:tcPr>
          <w:p w14:paraId="53652C15">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1、甲方责任</w:t>
            </w:r>
          </w:p>
          <w:p w14:paraId="7499E90C">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协助、协调乙方与相关单位的配合工作。</w:t>
            </w:r>
          </w:p>
          <w:p w14:paraId="25A8336E">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详见附件</w:t>
            </w:r>
          </w:p>
        </w:tc>
      </w:tr>
      <w:tr w14:paraId="207B242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43DB730B">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092D9B6C">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第5.4款</w:t>
            </w:r>
          </w:p>
        </w:tc>
        <w:tc>
          <w:tcPr>
            <w:tcW w:w="1789" w:type="dxa"/>
            <w:vAlign w:val="center"/>
          </w:tcPr>
          <w:p w14:paraId="361FD590">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约定乙方承担的其他义务和责任</w:t>
            </w:r>
          </w:p>
        </w:tc>
        <w:tc>
          <w:tcPr>
            <w:tcW w:w="5170" w:type="dxa"/>
            <w:vAlign w:val="center"/>
          </w:tcPr>
          <w:p w14:paraId="4992FAEF">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1、乙方保证甲方在使用该货物或其任何一部分时免受第三方关于侵犯其专利权、商标权、工业设计权、知识产权等相关权利的指控。</w:t>
            </w:r>
          </w:p>
          <w:p w14:paraId="0C27CFD4">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2、如货物的硬（软）件质量、规格在使用期内被证明存在缺陷，包括潜在的缺陷或使用不合适的材料，甲方或乙方有权凭有关证明文件向供方提出索赔，并交有关部门处理。</w:t>
            </w:r>
          </w:p>
          <w:p w14:paraId="64141314">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3、详见附件</w:t>
            </w:r>
          </w:p>
        </w:tc>
      </w:tr>
      <w:tr w14:paraId="6A9A988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41DE64B8">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33C73054">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第6.1款</w:t>
            </w:r>
          </w:p>
        </w:tc>
        <w:tc>
          <w:tcPr>
            <w:tcW w:w="1789" w:type="dxa"/>
            <w:vAlign w:val="center"/>
          </w:tcPr>
          <w:p w14:paraId="393E3A57">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履行合同义务的顺序</w:t>
            </w:r>
          </w:p>
        </w:tc>
        <w:tc>
          <w:tcPr>
            <w:tcW w:w="5170" w:type="dxa"/>
            <w:vAlign w:val="center"/>
          </w:tcPr>
          <w:p w14:paraId="3E0359AF">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同时履行</w:t>
            </w:r>
          </w:p>
        </w:tc>
      </w:tr>
      <w:tr w14:paraId="17C6BF4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restart"/>
            <w:vAlign w:val="center"/>
          </w:tcPr>
          <w:p w14:paraId="547991D3">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76D3B9DD">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第7.1款</w:t>
            </w:r>
          </w:p>
        </w:tc>
        <w:tc>
          <w:tcPr>
            <w:tcW w:w="1789" w:type="dxa"/>
            <w:vAlign w:val="center"/>
          </w:tcPr>
          <w:p w14:paraId="495BB5DC">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包装特殊要求</w:t>
            </w:r>
          </w:p>
        </w:tc>
        <w:tc>
          <w:tcPr>
            <w:tcW w:w="5170" w:type="dxa"/>
            <w:vAlign w:val="center"/>
          </w:tcPr>
          <w:p w14:paraId="74101E3E">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2C196721">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1.商品包装层数不得超过3 层，空隙率不大于40%；</w:t>
            </w:r>
          </w:p>
          <w:p w14:paraId="387738A3">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2.商品包装尽可能使用单一材质的包装材料，如因功能需求必需使用不同材质，不同材质间应便于分离；</w:t>
            </w:r>
          </w:p>
          <w:p w14:paraId="6477CD4B">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3.商品包装中铅、汞、镉、六价铬的总含量应不大于100mg/kg；</w:t>
            </w:r>
          </w:p>
          <w:p w14:paraId="3496C316">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4.商品包装印刷使用的油墨中挥发性有机化合物(VOCs)含量应不大于 5%（以重量计）；</w:t>
            </w:r>
          </w:p>
          <w:p w14:paraId="0EC40190">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5.塑料材质商品包装上呈现的印刷颜色不得超过6色；</w:t>
            </w:r>
          </w:p>
          <w:p w14:paraId="595D9F1C">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6.纸质商品包装应使用75%以上的可再生纤维原料生产；</w:t>
            </w:r>
          </w:p>
          <w:p w14:paraId="3A0CE1BA">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7.木质商品包装的原料应来源于可持续性森林。</w:t>
            </w:r>
          </w:p>
          <w:p w14:paraId="3B890B7D">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473D33DF">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9每件包装箱内应附一份详细装箱单和质量合格凭证。</w:t>
            </w:r>
          </w:p>
        </w:tc>
      </w:tr>
      <w:tr w14:paraId="5ECEFB7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continue"/>
            <w:vAlign w:val="center"/>
          </w:tcPr>
          <w:p w14:paraId="11407397">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p>
        </w:tc>
        <w:tc>
          <w:tcPr>
            <w:tcW w:w="1789" w:type="dxa"/>
            <w:vAlign w:val="center"/>
          </w:tcPr>
          <w:p w14:paraId="75870E25">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指定现场</w:t>
            </w:r>
          </w:p>
        </w:tc>
        <w:tc>
          <w:tcPr>
            <w:tcW w:w="5170" w:type="dxa"/>
            <w:vAlign w:val="center"/>
          </w:tcPr>
          <w:p w14:paraId="3C7A5F63">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东台市境内</w:t>
            </w:r>
          </w:p>
        </w:tc>
      </w:tr>
      <w:tr w14:paraId="53128D7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560" w:type="dxa"/>
            <w:vAlign w:val="center"/>
          </w:tcPr>
          <w:p w14:paraId="3CA13BD7">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3FBF24C9">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第7.2款</w:t>
            </w:r>
          </w:p>
        </w:tc>
        <w:tc>
          <w:tcPr>
            <w:tcW w:w="1789" w:type="dxa"/>
            <w:vAlign w:val="center"/>
          </w:tcPr>
          <w:p w14:paraId="7936F644">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运输特殊要求</w:t>
            </w:r>
          </w:p>
        </w:tc>
        <w:tc>
          <w:tcPr>
            <w:tcW w:w="5170" w:type="dxa"/>
            <w:vAlign w:val="center"/>
          </w:tcPr>
          <w:p w14:paraId="1FC4FAC1">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1.货物验收合格、交付使用并提供所需单据的日期视为交货日期。</w:t>
            </w:r>
          </w:p>
          <w:p w14:paraId="78CA1EE4">
            <w:pPr>
              <w:pStyle w:val="202"/>
              <w:keepNext w:val="0"/>
              <w:keepLines w:val="0"/>
              <w:pageBreakBefore w:val="0"/>
              <w:kinsoku/>
              <w:wordWrap/>
              <w:overflowPunct/>
              <w:topLinePunct w:val="0"/>
              <w:bidi w:val="0"/>
              <w:snapToGrid/>
              <w:spacing w:line="340" w:lineRule="exact"/>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2.乙方在货物发运手续办理完毕后24小时内或货到48小时前通知甲方，以准备接货。（具体时间根据双方实际需求调整）</w:t>
            </w:r>
          </w:p>
          <w:p w14:paraId="08A617A2">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3.乙方装运的货物不应超过合同规定的数量或重量。乙方应对超交数量或超重而产生的一切后果负责。</w:t>
            </w:r>
          </w:p>
          <w:p w14:paraId="319A00DC">
            <w:pPr>
              <w:pStyle w:val="202"/>
              <w:keepNext w:val="0"/>
              <w:keepLines w:val="0"/>
              <w:pageBreakBefore w:val="0"/>
              <w:kinsoku/>
              <w:wordWrap/>
              <w:overflowPunct/>
              <w:topLinePunct w:val="0"/>
              <w:bidi w:val="0"/>
              <w:snapToGrid/>
              <w:spacing w:line="340" w:lineRule="exact"/>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4.货物在交付甲方前发生的货物损失及人员安全风险均由乙方负责。</w:t>
            </w:r>
          </w:p>
        </w:tc>
      </w:tr>
      <w:tr w14:paraId="04C02E7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560" w:type="dxa"/>
            <w:vAlign w:val="center"/>
          </w:tcPr>
          <w:p w14:paraId="1EF2B122">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46D0D0B9">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第7.3款</w:t>
            </w:r>
          </w:p>
        </w:tc>
        <w:tc>
          <w:tcPr>
            <w:tcW w:w="1789" w:type="dxa"/>
            <w:vAlign w:val="center"/>
          </w:tcPr>
          <w:p w14:paraId="33FD0602">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保险要求</w:t>
            </w:r>
          </w:p>
        </w:tc>
        <w:tc>
          <w:tcPr>
            <w:tcW w:w="5170" w:type="dxa"/>
            <w:vAlign w:val="center"/>
          </w:tcPr>
          <w:p w14:paraId="476F8F01">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货物交货前由乙方承担保险义务</w:t>
            </w:r>
          </w:p>
        </w:tc>
      </w:tr>
      <w:tr w14:paraId="692F7ED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204211BD">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383EE93B">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第8.2（1）项</w:t>
            </w:r>
          </w:p>
        </w:tc>
        <w:tc>
          <w:tcPr>
            <w:tcW w:w="1789" w:type="dxa"/>
            <w:vAlign w:val="center"/>
          </w:tcPr>
          <w:p w14:paraId="4BE97693">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质量保证期</w:t>
            </w:r>
          </w:p>
        </w:tc>
        <w:tc>
          <w:tcPr>
            <w:tcW w:w="5170" w:type="dxa"/>
            <w:vAlign w:val="center"/>
          </w:tcPr>
          <w:p w14:paraId="3D4B794D">
            <w:pPr>
              <w:keepNext w:val="0"/>
              <w:keepLines w:val="0"/>
              <w:pageBreakBefore w:val="0"/>
              <w:kinsoku/>
              <w:wordWrap/>
              <w:overflowPunct/>
              <w:topLinePunct w:val="0"/>
              <w:bidi w:val="0"/>
              <w:snapToGrid/>
              <w:spacing w:line="3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w:t>
            </w:r>
            <w:r>
              <w:rPr>
                <w:rFonts w:hint="eastAsia" w:ascii="宋体" w:hAnsi="宋体" w:eastAsia="宋体" w:cs="宋体"/>
                <w:sz w:val="24"/>
                <w:szCs w:val="24"/>
              </w:rPr>
              <w:t>物免费质保期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三</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其中杆件产品质保期为20年。质保期以设备最终验收之日起算。合同签订前提供“附件：主要设备技术参数要求”中设备的3年原厂质保函和杆件产品20年原厂质保函）（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p>
        </w:tc>
      </w:tr>
      <w:tr w14:paraId="1E124A2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55" w:hRule="atLeast"/>
        </w:trPr>
        <w:tc>
          <w:tcPr>
            <w:tcW w:w="1560" w:type="dxa"/>
            <w:vAlign w:val="center"/>
          </w:tcPr>
          <w:p w14:paraId="0885F93D">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04C0F63F">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第8.2（3）项</w:t>
            </w:r>
          </w:p>
        </w:tc>
        <w:tc>
          <w:tcPr>
            <w:tcW w:w="1789" w:type="dxa"/>
            <w:vAlign w:val="center"/>
          </w:tcPr>
          <w:p w14:paraId="42CE12CC">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货物质量缺陷</w:t>
            </w:r>
          </w:p>
          <w:p w14:paraId="7F5F11D3">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响应时间</w:t>
            </w:r>
          </w:p>
        </w:tc>
        <w:tc>
          <w:tcPr>
            <w:tcW w:w="5170" w:type="dxa"/>
            <w:vAlign w:val="center"/>
          </w:tcPr>
          <w:p w14:paraId="3F9EED50">
            <w:pPr>
              <w:pStyle w:val="34"/>
              <w:keepNext w:val="0"/>
              <w:keepLines w:val="0"/>
              <w:pageBreakBefore w:val="0"/>
              <w:kinsoku/>
              <w:wordWrap/>
              <w:overflowPunct/>
              <w:topLinePunct w:val="0"/>
              <w:bidi w:val="0"/>
              <w:snapToGrid/>
              <w:spacing w:before="120" w:beforeAutospacing="0" w:after="120" w:afterAutospacing="0" w:line="340" w:lineRule="exact"/>
              <w:ind w:left="480" w:hanging="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详见附件</w:t>
            </w:r>
          </w:p>
        </w:tc>
      </w:tr>
      <w:tr w14:paraId="4FBAB9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31F22A20">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2DBDB4F8">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第8款补充</w:t>
            </w:r>
          </w:p>
        </w:tc>
        <w:tc>
          <w:tcPr>
            <w:tcW w:w="1789" w:type="dxa"/>
            <w:vAlign w:val="center"/>
          </w:tcPr>
          <w:p w14:paraId="46D5EF70">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质量保证要求</w:t>
            </w:r>
          </w:p>
        </w:tc>
        <w:tc>
          <w:tcPr>
            <w:tcW w:w="5170" w:type="dxa"/>
            <w:vAlign w:val="center"/>
          </w:tcPr>
          <w:p w14:paraId="6EB5FEE1">
            <w:pPr>
              <w:pStyle w:val="34"/>
              <w:keepNext w:val="0"/>
              <w:keepLines w:val="0"/>
              <w:pageBreakBefore w:val="0"/>
              <w:kinsoku/>
              <w:wordWrap/>
              <w:overflowPunct/>
              <w:topLinePunct w:val="0"/>
              <w:bidi w:val="0"/>
              <w:snapToGrid/>
              <w:spacing w:before="120" w:beforeAutospacing="0" w:after="120" w:afterAutospacing="0" w:line="340" w:lineRule="exact"/>
              <w:ind w:left="480" w:hanging="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详见附件</w:t>
            </w:r>
          </w:p>
        </w:tc>
      </w:tr>
      <w:tr w14:paraId="7534D33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7DC35717">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51757F06">
            <w:pPr>
              <w:keepNext w:val="0"/>
              <w:keepLines w:val="0"/>
              <w:pageBreakBefore w:val="0"/>
              <w:widowControl/>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第11.1款</w:t>
            </w:r>
          </w:p>
        </w:tc>
        <w:tc>
          <w:tcPr>
            <w:tcW w:w="1789" w:type="dxa"/>
            <w:vAlign w:val="center"/>
          </w:tcPr>
          <w:p w14:paraId="6D85F404">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其他应当保密的信息</w:t>
            </w:r>
          </w:p>
        </w:tc>
        <w:tc>
          <w:tcPr>
            <w:tcW w:w="5170" w:type="dxa"/>
            <w:vAlign w:val="center"/>
          </w:tcPr>
          <w:p w14:paraId="7C189016">
            <w:pPr>
              <w:keepNext w:val="0"/>
              <w:keepLines w:val="0"/>
              <w:pageBreakBefore w:val="0"/>
              <w:kinsoku/>
              <w:wordWrap/>
              <w:overflowPunct/>
              <w:topLinePunct w:val="0"/>
              <w:bidi w:val="0"/>
              <w:snapToGrid/>
              <w:spacing w:line="3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lang w:val="en-US" w:eastAsia="zh-CN"/>
              </w:rPr>
              <w:t>乙方在任何情况下的泄密给甲方造成不良影响时，甲方有权立即终止合同并不支付全部货款（货款已付时乙方须无条件退还已收到的全部货款），同时支付20%的违约金，并作为不良记录公示。</w:t>
            </w:r>
          </w:p>
        </w:tc>
      </w:tr>
      <w:tr w14:paraId="175C902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vAlign w:val="center"/>
          </w:tcPr>
          <w:p w14:paraId="35D7CABF">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16A20679">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第12.2款</w:t>
            </w:r>
          </w:p>
        </w:tc>
        <w:tc>
          <w:tcPr>
            <w:tcW w:w="1789" w:type="dxa"/>
            <w:vAlign w:val="center"/>
          </w:tcPr>
          <w:p w14:paraId="1139BEB9">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合同价款支付时间及要求</w:t>
            </w:r>
          </w:p>
        </w:tc>
        <w:tc>
          <w:tcPr>
            <w:tcW w:w="5170" w:type="dxa"/>
            <w:vAlign w:val="center"/>
          </w:tcPr>
          <w:p w14:paraId="6992156B">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1.合同款项的支付方式及进度安排：详见合同协议书。</w:t>
            </w:r>
          </w:p>
          <w:p w14:paraId="5EFEEF4D">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493873A5">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发票；</w:t>
            </w:r>
          </w:p>
          <w:p w14:paraId="0B7FF193">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制造厂家出具的质量检验证书等；</w:t>
            </w:r>
          </w:p>
          <w:p w14:paraId="0A196ECA">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装箱单；</w:t>
            </w:r>
          </w:p>
          <w:p w14:paraId="39F0DDBC">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甲方加盖公章证明交付使用合格的验收单。</w:t>
            </w:r>
          </w:p>
          <w:p w14:paraId="3A4B037D">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报送手续所需的相关货物文件或安装资料。</w:t>
            </w:r>
          </w:p>
        </w:tc>
      </w:tr>
      <w:tr w14:paraId="12FCC58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vAlign w:val="center"/>
          </w:tcPr>
          <w:p w14:paraId="08E5929B">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3FED0502">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第13.2款</w:t>
            </w:r>
          </w:p>
        </w:tc>
        <w:tc>
          <w:tcPr>
            <w:tcW w:w="1789" w:type="dxa"/>
            <w:vAlign w:val="center"/>
          </w:tcPr>
          <w:p w14:paraId="72E778AF">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履约保证金不予退还的情形</w:t>
            </w:r>
          </w:p>
        </w:tc>
        <w:tc>
          <w:tcPr>
            <w:tcW w:w="5170" w:type="dxa"/>
            <w:vAlign w:val="center"/>
          </w:tcPr>
          <w:p w14:paraId="238CE202">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除不可抗力情况外，投标人出现下列情形之一的，其履约保证金，招标人将视情节决定不予退还或部分不予退还。</w:t>
            </w:r>
          </w:p>
          <w:p w14:paraId="19C6A525">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（1）中标人无正当理由拒绝签订合同的，或者在签订合同时向采购人提出附加条件或者更改合同实质性内容要求的；</w:t>
            </w:r>
          </w:p>
          <w:p w14:paraId="49BE2640">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（2）中标人不履行与采购人订立的合同的；</w:t>
            </w:r>
          </w:p>
          <w:p w14:paraId="604FB7B9">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（3）中标人所供货物或服务不符合招标文件规定要求的；</w:t>
            </w:r>
          </w:p>
          <w:p w14:paraId="43E4DC3A">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（4）中标人采取欺骗、弄虚作假方式投标的或与</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投标人串通投标的；</w:t>
            </w:r>
          </w:p>
          <w:p w14:paraId="4AF25C80">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（5）中标人将合同内容转包、违法分包的；</w:t>
            </w:r>
          </w:p>
          <w:p w14:paraId="6F3DF6F3">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（6）中标人故意捏造事实或伪造证明材料，进行虚假恶意投诉或反映的。</w:t>
            </w:r>
          </w:p>
        </w:tc>
      </w:tr>
      <w:tr w14:paraId="1B0EB6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4BD64B87">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011BE725">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第13.3款</w:t>
            </w:r>
          </w:p>
        </w:tc>
        <w:tc>
          <w:tcPr>
            <w:tcW w:w="1789" w:type="dxa"/>
            <w:vAlign w:val="center"/>
          </w:tcPr>
          <w:p w14:paraId="6B44986A">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履约保证金退还时间及逾期退还的违约金</w:t>
            </w:r>
          </w:p>
        </w:tc>
        <w:tc>
          <w:tcPr>
            <w:tcW w:w="5170" w:type="dxa"/>
            <w:vAlign w:val="center"/>
          </w:tcPr>
          <w:p w14:paraId="2207DA2E">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1、合同履行结束后，甲方应及时退还交纳的履约保证金。</w:t>
            </w:r>
          </w:p>
          <w:p w14:paraId="54183D35">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2、退还方式：退还至投标人缴纳履约保证金的账户。如为保函，在到期时自行失效。</w:t>
            </w:r>
          </w:p>
          <w:p w14:paraId="68044E18">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3、退还时间：验收合格且甲方收到发票后30日内。</w:t>
            </w:r>
          </w:p>
          <w:p w14:paraId="27B602B1">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4、退还条件：按合同要求全部履约完成并经采购人验收合格，且采购人收到中标人出具的发票。</w:t>
            </w:r>
          </w:p>
          <w:p w14:paraId="1B3C07D8">
            <w:pPr>
              <w:keepNext w:val="0"/>
              <w:keepLines w:val="0"/>
              <w:pageBreakBefore w:val="0"/>
              <w:kinsoku/>
              <w:wordWrap/>
              <w:overflowPunct/>
              <w:topLinePunct w:val="0"/>
              <w:bidi w:val="0"/>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5、逾期退还的违约责任：采购人逾期无故未退还履约保证金的，按中国人民银行同期贷款基准利率上浮20%后的利率支付超期资金占用费，但因供应商自身原因导致无法及时退还的除外。</w:t>
            </w:r>
          </w:p>
        </w:tc>
      </w:tr>
      <w:tr w14:paraId="44FC329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vAlign w:val="center"/>
          </w:tcPr>
          <w:p w14:paraId="0AA02156">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431CD95F">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第14.1（3）项</w:t>
            </w:r>
          </w:p>
        </w:tc>
        <w:tc>
          <w:tcPr>
            <w:tcW w:w="1789" w:type="dxa"/>
            <w:vAlign w:val="center"/>
          </w:tcPr>
          <w:p w14:paraId="01956E66">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运行监督、维修期限</w:t>
            </w:r>
          </w:p>
        </w:tc>
        <w:tc>
          <w:tcPr>
            <w:tcW w:w="5170" w:type="dxa"/>
            <w:vAlign w:val="center"/>
          </w:tcPr>
          <w:p w14:paraId="60A01980">
            <w:pPr>
              <w:pStyle w:val="201"/>
              <w:keepNext w:val="0"/>
              <w:keepLines w:val="0"/>
              <w:pageBreakBefore w:val="0"/>
              <w:kinsoku/>
              <w:wordWrap/>
              <w:overflowPunct/>
              <w:topLinePunct w:val="0"/>
              <w:bidi w:val="0"/>
              <w:snapToGrid/>
              <w:spacing w:line="340" w:lineRule="exact"/>
              <w:ind w:firstLine="458" w:firstLineChars="0"/>
              <w:jc w:val="left"/>
              <w:textAlignment w:val="auto"/>
              <w:rPr>
                <w:rFonts w:hint="eastAsia" w:ascii="宋体" w:hAnsi="宋体" w:eastAsia="宋体" w:cs="宋体"/>
                <w:color w:val="auto"/>
                <w:sz w:val="24"/>
                <w:szCs w:val="24"/>
                <w:highlight w:val="none"/>
              </w:rPr>
            </w:pPr>
            <w:r>
              <w:rPr>
                <w:rFonts w:hint="eastAsia"/>
                <w:color w:val="0070C0"/>
              </w:rPr>
              <w:t>详见合同协议书</w:t>
            </w:r>
          </w:p>
        </w:tc>
      </w:tr>
      <w:tr w14:paraId="4FC1438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vAlign w:val="center"/>
          </w:tcPr>
          <w:p w14:paraId="74710697">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491D79E6">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第14.1（5）项</w:t>
            </w:r>
          </w:p>
        </w:tc>
        <w:tc>
          <w:tcPr>
            <w:tcW w:w="1789" w:type="dxa"/>
            <w:vAlign w:val="center"/>
          </w:tcPr>
          <w:p w14:paraId="23D25CD5">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货物回收的约定</w:t>
            </w:r>
          </w:p>
        </w:tc>
        <w:tc>
          <w:tcPr>
            <w:tcW w:w="5170" w:type="dxa"/>
            <w:vAlign w:val="center"/>
          </w:tcPr>
          <w:p w14:paraId="23560B20">
            <w:pPr>
              <w:pStyle w:val="201"/>
              <w:keepNext w:val="0"/>
              <w:keepLines w:val="0"/>
              <w:pageBreakBefore w:val="0"/>
              <w:kinsoku/>
              <w:wordWrap/>
              <w:overflowPunct/>
              <w:topLinePunct w:val="0"/>
              <w:bidi w:val="0"/>
              <w:snapToGrid/>
              <w:spacing w:line="340" w:lineRule="exact"/>
              <w:ind w:firstLine="458"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0070C0"/>
                <w:sz w:val="24"/>
                <w:szCs w:val="24"/>
                <w:lang w:val="en-US" w:eastAsia="zh-CN"/>
              </w:rPr>
              <w:t>/</w:t>
            </w:r>
          </w:p>
        </w:tc>
      </w:tr>
      <w:tr w14:paraId="0733C1C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6623D8A8">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72E9EA25">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第14.1（6）项</w:t>
            </w:r>
          </w:p>
        </w:tc>
        <w:tc>
          <w:tcPr>
            <w:tcW w:w="1789" w:type="dxa"/>
            <w:vAlign w:val="center"/>
          </w:tcPr>
          <w:p w14:paraId="552C1E58">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乙方提供的其他服务</w:t>
            </w:r>
          </w:p>
        </w:tc>
        <w:tc>
          <w:tcPr>
            <w:tcW w:w="5170" w:type="dxa"/>
            <w:vAlign w:val="center"/>
          </w:tcPr>
          <w:p w14:paraId="6DDF2809">
            <w:pPr>
              <w:pStyle w:val="201"/>
              <w:keepNext w:val="0"/>
              <w:keepLines w:val="0"/>
              <w:pageBreakBefore w:val="0"/>
              <w:kinsoku/>
              <w:wordWrap/>
              <w:overflowPunct/>
              <w:topLinePunct w:val="0"/>
              <w:bidi w:val="0"/>
              <w:snapToGrid/>
              <w:spacing w:line="340" w:lineRule="exact"/>
              <w:ind w:firstLine="458" w:firstLineChars="0"/>
              <w:jc w:val="left"/>
              <w:textAlignment w:val="auto"/>
              <w:rPr>
                <w:rFonts w:hint="eastAsia"/>
                <w:color w:val="0070C0"/>
              </w:rPr>
            </w:pPr>
            <w:r>
              <w:rPr>
                <w:rFonts w:hint="eastAsia"/>
                <w:color w:val="0070C0"/>
              </w:rPr>
              <w:t>1.所有货物免费送达甲方指定地点，货物的托运、安装及预装常用软件（如需要）等，均不需另行付费。</w:t>
            </w:r>
          </w:p>
          <w:p w14:paraId="00929BB3">
            <w:pPr>
              <w:pStyle w:val="201"/>
              <w:keepNext w:val="0"/>
              <w:keepLines w:val="0"/>
              <w:pageBreakBefore w:val="0"/>
              <w:kinsoku/>
              <w:wordWrap/>
              <w:overflowPunct/>
              <w:topLinePunct w:val="0"/>
              <w:bidi w:val="0"/>
              <w:snapToGrid/>
              <w:spacing w:line="340" w:lineRule="exact"/>
              <w:ind w:firstLine="458" w:firstLineChars="0"/>
              <w:jc w:val="left"/>
              <w:textAlignment w:val="auto"/>
              <w:rPr>
                <w:rFonts w:hint="eastAsia"/>
                <w:color w:val="0070C0"/>
              </w:rPr>
            </w:pPr>
            <w:r>
              <w:rPr>
                <w:rFonts w:hint="eastAsia"/>
                <w:color w:val="0070C0"/>
              </w:rPr>
              <w:t>2.项目实施期间乙方人员安全和财产损失均由乙方负责，与甲方无涉。</w:t>
            </w:r>
          </w:p>
          <w:p w14:paraId="316B4A74">
            <w:pPr>
              <w:pStyle w:val="201"/>
              <w:keepNext w:val="0"/>
              <w:keepLines w:val="0"/>
              <w:pageBreakBefore w:val="0"/>
              <w:kinsoku/>
              <w:wordWrap/>
              <w:overflowPunct/>
              <w:topLinePunct w:val="0"/>
              <w:bidi w:val="0"/>
              <w:snapToGrid/>
              <w:spacing w:line="340" w:lineRule="exact"/>
              <w:ind w:firstLine="458" w:firstLineChars="0"/>
              <w:jc w:val="left"/>
              <w:textAlignment w:val="auto"/>
              <w:rPr>
                <w:rFonts w:hint="eastAsia"/>
                <w:color w:val="0070C0"/>
              </w:rPr>
            </w:pPr>
            <w:r>
              <w:rPr>
                <w:rFonts w:hint="eastAsia"/>
                <w:color w:val="0070C0"/>
              </w:rPr>
              <w:t>3.根据厂方的规定对所供货物进行保修，在质量保证期内，乙方不得收取任何费用；质量保证期满后，乙方对用户货物的维修，只收成本费，并提供终生技术服务。</w:t>
            </w:r>
          </w:p>
          <w:p w14:paraId="70344E73">
            <w:pPr>
              <w:pStyle w:val="201"/>
              <w:keepNext w:val="0"/>
              <w:keepLines w:val="0"/>
              <w:pageBreakBefore w:val="0"/>
              <w:kinsoku/>
              <w:wordWrap/>
              <w:overflowPunct/>
              <w:topLinePunct w:val="0"/>
              <w:bidi w:val="0"/>
              <w:snapToGrid/>
              <w:spacing w:line="340" w:lineRule="exact"/>
              <w:ind w:firstLine="458" w:firstLineChars="0"/>
              <w:jc w:val="left"/>
              <w:textAlignment w:val="auto"/>
              <w:rPr>
                <w:rFonts w:hint="eastAsia" w:ascii="宋体" w:hAnsi="宋体" w:eastAsia="宋体" w:cs="宋体"/>
                <w:color w:val="auto"/>
                <w:sz w:val="24"/>
                <w:szCs w:val="24"/>
                <w:highlight w:val="none"/>
              </w:rPr>
            </w:pPr>
            <w:r>
              <w:rPr>
                <w:rFonts w:hint="eastAsia"/>
                <w:color w:val="0070C0"/>
              </w:rPr>
              <w:t>4.如甲方使用不当造成货物的毁损，乙方有义务协助维修。</w:t>
            </w:r>
          </w:p>
        </w:tc>
      </w:tr>
      <w:tr w14:paraId="6149454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7B07F1CE">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7E97F5B4">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第15.1款</w:t>
            </w:r>
          </w:p>
        </w:tc>
        <w:tc>
          <w:tcPr>
            <w:tcW w:w="1789" w:type="dxa"/>
            <w:vAlign w:val="center"/>
          </w:tcPr>
          <w:p w14:paraId="25AF2A2A">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修理、重</w:t>
            </w:r>
            <w:r>
              <w:rPr>
                <w:rFonts w:hint="eastAsia" w:ascii="宋体" w:hAnsi="宋体" w:eastAsia="宋体" w:cs="宋体"/>
                <w:color w:val="auto"/>
                <w:sz w:val="24"/>
                <w:szCs w:val="24"/>
                <w:highlight w:val="none"/>
                <w:lang w:eastAsia="zh-CN"/>
              </w:rPr>
              <w:t>做</w:t>
            </w:r>
            <w:r>
              <w:rPr>
                <w:rFonts w:hint="eastAsia" w:ascii="宋体" w:hAnsi="宋体" w:eastAsia="宋体" w:cs="宋体"/>
                <w:color w:val="auto"/>
                <w:sz w:val="24"/>
                <w:szCs w:val="24"/>
                <w:highlight w:val="none"/>
              </w:rPr>
              <w:t>、更换相关具体规定</w:t>
            </w:r>
          </w:p>
        </w:tc>
        <w:tc>
          <w:tcPr>
            <w:tcW w:w="5170" w:type="dxa"/>
            <w:vAlign w:val="center"/>
          </w:tcPr>
          <w:p w14:paraId="76F02F76">
            <w:pPr>
              <w:pStyle w:val="201"/>
              <w:keepNext w:val="0"/>
              <w:keepLines w:val="0"/>
              <w:pageBreakBefore w:val="0"/>
              <w:kinsoku/>
              <w:wordWrap/>
              <w:overflowPunct/>
              <w:topLinePunct w:val="0"/>
              <w:bidi w:val="0"/>
              <w:snapToGrid/>
              <w:spacing w:line="340" w:lineRule="exact"/>
              <w:ind w:firstLine="458" w:firstLineChars="0"/>
              <w:jc w:val="left"/>
              <w:textAlignment w:val="auto"/>
              <w:rPr>
                <w:rFonts w:hint="eastAsia"/>
                <w:color w:val="auto"/>
              </w:rPr>
            </w:pPr>
            <w:r>
              <w:rPr>
                <w:rFonts w:hint="eastAsia"/>
                <w:color w:val="auto"/>
              </w:rPr>
              <w:t>详见合同通用条款8.2条款、合同专用条款第二节第8款补充条款及合同专用条款中索赔条款。</w:t>
            </w:r>
          </w:p>
          <w:p w14:paraId="4BE6FA6C">
            <w:pPr>
              <w:pStyle w:val="201"/>
              <w:keepNext w:val="0"/>
              <w:keepLines w:val="0"/>
              <w:pageBreakBefore w:val="0"/>
              <w:kinsoku/>
              <w:wordWrap/>
              <w:overflowPunct/>
              <w:topLinePunct w:val="0"/>
              <w:bidi w:val="0"/>
              <w:snapToGrid/>
              <w:spacing w:line="340" w:lineRule="exact"/>
              <w:ind w:firstLine="458" w:firstLineChars="0"/>
              <w:jc w:val="left"/>
              <w:textAlignment w:val="auto"/>
              <w:rPr>
                <w:rFonts w:hint="eastAsia" w:ascii="宋体" w:hAnsi="宋体" w:eastAsia="宋体" w:cs="宋体"/>
                <w:color w:val="auto"/>
                <w:sz w:val="24"/>
                <w:szCs w:val="24"/>
                <w:highlight w:val="none"/>
              </w:rPr>
            </w:pPr>
            <w:r>
              <w:rPr>
                <w:rFonts w:hint="eastAsia"/>
                <w:color w:val="auto"/>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6843CFF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5D91DEBE">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33B0F0F5">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第15.2（2）项</w:t>
            </w:r>
          </w:p>
        </w:tc>
        <w:tc>
          <w:tcPr>
            <w:tcW w:w="1789" w:type="dxa"/>
            <w:vAlign w:val="center"/>
          </w:tcPr>
          <w:p w14:paraId="74530CAE">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迟延交货赔偿费</w:t>
            </w:r>
          </w:p>
        </w:tc>
        <w:tc>
          <w:tcPr>
            <w:tcW w:w="5170" w:type="dxa"/>
            <w:vAlign w:val="center"/>
          </w:tcPr>
          <w:p w14:paraId="0D63E011">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1.乙方应按照“开标（报价）一览表”中规定的交货期或承诺交货和提供服务，并交付甲方验收使用。</w:t>
            </w:r>
          </w:p>
          <w:p w14:paraId="140761D5">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2.如果乙方无正当理由拖延交货，将受到以下制裁：加收误期赔偿或终止合同。</w:t>
            </w:r>
          </w:p>
          <w:p w14:paraId="24A304F8">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3. 乙方逾期交付货物的，乙方应按逾期交货总额每日</w:t>
            </w:r>
            <w:r>
              <w:rPr>
                <w:rFonts w:hint="eastAsia" w:ascii="宋体" w:hAnsi="宋体" w:eastAsia="宋体" w:cs="宋体"/>
                <w:b/>
                <w:bCs/>
                <w:color w:val="auto"/>
                <w:sz w:val="24"/>
                <w:szCs w:val="24"/>
                <w:highlight w:val="none"/>
                <w:u w:val="single"/>
              </w:rPr>
              <w:t>千分之六</w:t>
            </w:r>
            <w:r>
              <w:rPr>
                <w:rFonts w:hint="eastAsia" w:ascii="宋体" w:hAnsi="宋体" w:eastAsia="宋体" w:cs="宋体"/>
                <w:color w:val="auto"/>
                <w:sz w:val="24"/>
                <w:szCs w:val="24"/>
                <w:highlight w:val="none"/>
                <w:u w:val="single"/>
              </w:rPr>
              <w:t>向甲方支付违约金，由甲方从待付货款中扣除。逾期超过约定</w:t>
            </w:r>
            <w:r>
              <w:rPr>
                <w:rFonts w:hint="eastAsia" w:ascii="宋体" w:hAnsi="宋体" w:eastAsia="宋体" w:cs="宋体"/>
                <w:b/>
                <w:bCs/>
                <w:color w:val="auto"/>
                <w:sz w:val="24"/>
                <w:szCs w:val="24"/>
                <w:highlight w:val="none"/>
                <w:u w:val="single"/>
              </w:rPr>
              <w:t>10个工作日</w:t>
            </w:r>
            <w:r>
              <w:rPr>
                <w:rFonts w:hint="eastAsia" w:ascii="宋体" w:hAnsi="宋体" w:eastAsia="宋体" w:cs="宋体"/>
                <w:color w:val="auto"/>
                <w:sz w:val="24"/>
                <w:szCs w:val="24"/>
                <w:highlight w:val="none"/>
                <w:u w:val="single"/>
              </w:rPr>
              <w:t>不能交货的，甲方有权解除本合同。乙方因逾期交货或因其他违约行为导致甲方解除合同的，乙方应向甲方支付合同总值5%的违约金，如造成甲方损失超过违约金的，超出部分由乙方继续承担赔偿责任。</w:t>
            </w:r>
          </w:p>
          <w:p w14:paraId="4BD426CE">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4.如乙方不能交付货物，或者有违法转包他人情形，乙方应向甲方支付合同总价5%的滞纳金。</w:t>
            </w:r>
          </w:p>
        </w:tc>
      </w:tr>
      <w:tr w14:paraId="5DC6148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0421C9BE">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1AA3710A">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第15.3款</w:t>
            </w:r>
          </w:p>
        </w:tc>
        <w:tc>
          <w:tcPr>
            <w:tcW w:w="1789" w:type="dxa"/>
            <w:vAlign w:val="center"/>
          </w:tcPr>
          <w:p w14:paraId="4D0841C6">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逾期付款利息</w:t>
            </w:r>
          </w:p>
        </w:tc>
        <w:tc>
          <w:tcPr>
            <w:tcW w:w="5170" w:type="dxa"/>
            <w:vAlign w:val="center"/>
          </w:tcPr>
          <w:p w14:paraId="3C1AE65B">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甲方无故逾期验收和办理合同款项支付手续的, 将按银行同期存款利率支付逾期付款部分的利息。</w:t>
            </w:r>
          </w:p>
        </w:tc>
      </w:tr>
      <w:tr w14:paraId="0AD9988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560" w:type="dxa"/>
            <w:tcBorders>
              <w:bottom w:val="single" w:color="000000" w:sz="2" w:space="0"/>
              <w:right w:val="single" w:color="000000" w:sz="2" w:space="0"/>
            </w:tcBorders>
            <w:vAlign w:val="center"/>
          </w:tcPr>
          <w:p w14:paraId="75A2DBF0">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0E88DB2E">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第15.4款</w:t>
            </w:r>
          </w:p>
        </w:tc>
        <w:tc>
          <w:tcPr>
            <w:tcW w:w="1789" w:type="dxa"/>
            <w:tcBorders>
              <w:left w:val="single" w:color="000000" w:sz="2" w:space="0"/>
              <w:bottom w:val="single" w:color="000000" w:sz="2" w:space="0"/>
              <w:right w:val="single" w:color="000000" w:sz="2" w:space="0"/>
            </w:tcBorders>
            <w:vAlign w:val="center"/>
          </w:tcPr>
          <w:p w14:paraId="73264194">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其他违约责任</w:t>
            </w:r>
          </w:p>
        </w:tc>
        <w:tc>
          <w:tcPr>
            <w:tcW w:w="5170" w:type="dxa"/>
            <w:tcBorders>
              <w:left w:val="single" w:color="000000" w:sz="2" w:space="0"/>
              <w:bottom w:val="single" w:color="000000" w:sz="2" w:space="0"/>
            </w:tcBorders>
            <w:vAlign w:val="center"/>
          </w:tcPr>
          <w:p w14:paraId="21A489CE">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1、乙方交付合同标的的标准不符合合同规定及招标文件规定标准的，甲方有权拒绝接受合同标的，并可单方面解除合同。</w:t>
            </w:r>
          </w:p>
          <w:p w14:paraId="00745D90">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2、详见附件</w:t>
            </w:r>
          </w:p>
        </w:tc>
      </w:tr>
      <w:tr w14:paraId="2B3B94F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560" w:type="dxa"/>
            <w:tcBorders>
              <w:top w:val="single" w:color="000000" w:sz="2" w:space="0"/>
              <w:right w:val="single" w:color="000000" w:sz="2" w:space="0"/>
            </w:tcBorders>
            <w:vAlign w:val="center"/>
          </w:tcPr>
          <w:p w14:paraId="0AAB979C">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409E4A41">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第19.2款</w:t>
            </w:r>
          </w:p>
        </w:tc>
        <w:tc>
          <w:tcPr>
            <w:tcW w:w="1789" w:type="dxa"/>
            <w:tcBorders>
              <w:top w:val="single" w:color="000000" w:sz="2" w:space="0"/>
              <w:left w:val="single" w:color="000000" w:sz="2" w:space="0"/>
              <w:right w:val="single" w:color="000000" w:sz="2" w:space="0"/>
            </w:tcBorders>
            <w:vAlign w:val="center"/>
          </w:tcPr>
          <w:p w14:paraId="5BC42E8C">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解决争议的方法</w:t>
            </w:r>
          </w:p>
        </w:tc>
        <w:tc>
          <w:tcPr>
            <w:tcW w:w="5170" w:type="dxa"/>
            <w:tcBorders>
              <w:top w:val="single" w:color="000000" w:sz="2" w:space="0"/>
              <w:left w:val="single" w:color="000000" w:sz="2" w:space="0"/>
            </w:tcBorders>
            <w:vAlign w:val="center"/>
          </w:tcPr>
          <w:p w14:paraId="68BA8173">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1.因本合同及合同有关事项发生的争议，由双方协商解决，协商不成时，按下列第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种方式解决：</w:t>
            </w:r>
          </w:p>
          <w:p w14:paraId="3D60B198">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（1）向仲裁委员会申请仲裁，仲裁地点为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88DA82B">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（2）向甲方所在地人民法院起诉。</w:t>
            </w:r>
          </w:p>
          <w:p w14:paraId="57288576">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纠纷解决办法</w:t>
            </w:r>
          </w:p>
          <w:p w14:paraId="76FF0871">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2.1因货物的质量问题发生争议的，应当邀请国家认可的质量检测机构对货物质量进行鉴定。货物符合标准的，鉴定费由甲方承担；货物不符合质量标准的，鉴定费由乙方承担，并更换问题货物。</w:t>
            </w:r>
          </w:p>
        </w:tc>
      </w:tr>
      <w:tr w14:paraId="28235E8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03" w:hRule="atLeast"/>
        </w:trPr>
        <w:tc>
          <w:tcPr>
            <w:tcW w:w="1560" w:type="dxa"/>
            <w:vAlign w:val="center"/>
          </w:tcPr>
          <w:p w14:paraId="6B37DDF6">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38CAE249">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第23.1款</w:t>
            </w:r>
          </w:p>
        </w:tc>
        <w:tc>
          <w:tcPr>
            <w:tcW w:w="1789" w:type="dxa"/>
            <w:vAlign w:val="center"/>
          </w:tcPr>
          <w:p w14:paraId="3B95C4A7">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其他专用条款</w:t>
            </w:r>
          </w:p>
        </w:tc>
        <w:tc>
          <w:tcPr>
            <w:tcW w:w="5170" w:type="dxa"/>
            <w:vAlign w:val="center"/>
          </w:tcPr>
          <w:p w14:paraId="52A9E912">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412A54D6">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023DF5E1">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3.验收不合格的货物，乙方应在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%的违约金。在乙方承诺的或国家规定的质量保证期内，若经乙方维修或更换，货物仍不能达到合同约定的质量标准，甲方有权退货，乙方应退回全部货款，同时，乙方还须赔偿甲方因此遭受的损失。</w:t>
            </w:r>
          </w:p>
          <w:p w14:paraId="56D0EBCA">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4.货物验收要求</w:t>
            </w:r>
          </w:p>
          <w:p w14:paraId="01D93C15">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（1）依照招标文件要求对全部货物、型号、规格、数量、外型、外观、包装及资料、文件（如装箱单、保修单、随箱介质等）进行验收。</w:t>
            </w:r>
          </w:p>
          <w:p w14:paraId="4B6300CD">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（2）甲方与乙方对货物到货后共同进行开箱检查，出现损坏、数量不全或产品不对等问题时，由乙方负责解决。</w:t>
            </w:r>
          </w:p>
          <w:p w14:paraId="4449CD3A">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（3）甲方有权从乙方所送货物中任意抽出不同型号的产品送采购人所在地的质检部门检验，如果检验合格，检验费由甲方负担；如果检验不合格，则检验费由乙方负担。</w:t>
            </w:r>
          </w:p>
          <w:p w14:paraId="74F08199">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（4）乙方应按照本合同规定的时间、地点和方式向乙方交付货物。</w:t>
            </w:r>
          </w:p>
          <w:p w14:paraId="0C0919EE">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交货时间：</w:t>
            </w:r>
            <w:r>
              <w:rPr>
                <w:rFonts w:hint="eastAsia" w:ascii="宋体" w:hAnsi="宋体" w:eastAsia="宋体" w:cs="宋体"/>
                <w:color w:val="auto"/>
                <w:sz w:val="24"/>
                <w:szCs w:val="24"/>
                <w:highlight w:val="none"/>
                <w:lang w:val="en-US" w:eastAsia="zh-CN"/>
              </w:rPr>
              <w:t>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90日历天内</w:t>
            </w:r>
            <w:r>
              <w:rPr>
                <w:rFonts w:hint="eastAsia" w:ascii="宋体" w:hAnsi="宋体" w:eastAsia="宋体" w:cs="宋体"/>
                <w:color w:val="auto"/>
                <w:sz w:val="24"/>
                <w:szCs w:val="24"/>
                <w:highlight w:val="none"/>
              </w:rPr>
              <w:t>完成供货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安装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调试</w:t>
            </w:r>
            <w:r>
              <w:rPr>
                <w:rFonts w:hint="eastAsia" w:ascii="宋体" w:hAnsi="宋体" w:eastAsia="宋体" w:cs="宋体"/>
                <w:color w:val="auto"/>
                <w:sz w:val="24"/>
                <w:szCs w:val="24"/>
                <w:highlight w:val="none"/>
              </w:rPr>
              <w:t>并交付使用。</w:t>
            </w:r>
          </w:p>
          <w:p w14:paraId="5376D1A2">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交货地点：</w:t>
            </w:r>
            <w:r>
              <w:rPr>
                <w:rFonts w:hint="eastAsia" w:ascii="宋体" w:hAnsi="宋体" w:eastAsia="宋体" w:cs="宋体"/>
                <w:color w:val="auto"/>
                <w:sz w:val="24"/>
                <w:szCs w:val="24"/>
                <w:highlight w:val="none"/>
                <w:u w:val="single"/>
                <w:lang w:val="en-US" w:eastAsia="zh-CN"/>
              </w:rPr>
              <w:t>东台市公安局（采购人指定地点，详见点位明细表）</w:t>
            </w:r>
            <w:r>
              <w:rPr>
                <w:rFonts w:hint="eastAsia" w:ascii="宋体" w:hAnsi="宋体" w:eastAsia="宋体" w:cs="宋体"/>
                <w:color w:val="auto"/>
                <w:sz w:val="24"/>
                <w:szCs w:val="24"/>
                <w:highlight w:val="none"/>
              </w:rPr>
              <w:t>。</w:t>
            </w:r>
          </w:p>
          <w:p w14:paraId="35FF992B">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（5）甲方应在全部货物到货安装完毕后的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日内进行验收，验收包括：型号、规格、数量、外观是否完好，安装调试是否合格等。验收合格后甲方应在验收报告上签字盖章，初步验收合格且项目运行满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个月后，甲方组织对货物的质量及使用状况等进行最终验收。</w:t>
            </w:r>
          </w:p>
          <w:p w14:paraId="646C39F4">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（6）货到现场后，甲方人员根据招标要求，对包装物进行视检和抽检，如包装物不符合招标要求，甲方有权将包装物送至市级及以上检测机构送检。因检测不合格延误了交付进度，乙方应承担相应的违约责任</w:t>
            </w:r>
            <w:r>
              <w:rPr>
                <w:rFonts w:hint="eastAsia" w:ascii="宋体" w:hAnsi="宋体" w:eastAsia="宋体" w:cs="宋体"/>
                <w:color w:val="auto"/>
                <w:sz w:val="24"/>
                <w:szCs w:val="24"/>
                <w:highlight w:val="none"/>
                <w:lang w:val="en-US" w:eastAsia="zh-CN"/>
              </w:rPr>
              <w:t>和经济赔偿责任</w:t>
            </w:r>
            <w:r>
              <w:rPr>
                <w:rFonts w:hint="eastAsia" w:ascii="宋体" w:hAnsi="宋体" w:eastAsia="宋体" w:cs="宋体"/>
                <w:color w:val="auto"/>
                <w:sz w:val="24"/>
                <w:szCs w:val="24"/>
                <w:highlight w:val="none"/>
              </w:rPr>
              <w:t>。</w:t>
            </w:r>
          </w:p>
        </w:tc>
      </w:tr>
      <w:tr w14:paraId="51E928A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4C04BEEB">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p>
        </w:tc>
        <w:tc>
          <w:tcPr>
            <w:tcW w:w="1789" w:type="dxa"/>
            <w:vAlign w:val="center"/>
          </w:tcPr>
          <w:p w14:paraId="5DC2248F">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税费</w:t>
            </w:r>
          </w:p>
        </w:tc>
        <w:tc>
          <w:tcPr>
            <w:tcW w:w="5170" w:type="dxa"/>
            <w:vAlign w:val="center"/>
          </w:tcPr>
          <w:p w14:paraId="401BE5BB">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1.中国政府根据现行税法规定对甲方征收的与本合同有关的一切税费均由甲方负担（免税部分除外），招标文件另有规定的除外。</w:t>
            </w:r>
          </w:p>
          <w:p w14:paraId="729CED24">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2.中国政府根据现行税法规定对乙方征收的与本合同有关的一切税费均由乙方负担（免税部分除外）。</w:t>
            </w:r>
          </w:p>
        </w:tc>
      </w:tr>
      <w:tr w14:paraId="25B7E1D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4791B038">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p>
        </w:tc>
        <w:tc>
          <w:tcPr>
            <w:tcW w:w="1789" w:type="dxa"/>
            <w:vAlign w:val="center"/>
          </w:tcPr>
          <w:p w14:paraId="371E5146">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伴随服务</w:t>
            </w:r>
          </w:p>
        </w:tc>
        <w:tc>
          <w:tcPr>
            <w:tcW w:w="5170" w:type="dxa"/>
            <w:vAlign w:val="center"/>
          </w:tcPr>
          <w:p w14:paraId="5BFA2010">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1.乙方应按照国家</w:t>
            </w:r>
            <w:r>
              <w:rPr>
                <w:rFonts w:hint="eastAsia" w:ascii="宋体" w:hAnsi="宋体" w:eastAsia="宋体" w:cs="宋体"/>
                <w:b/>
                <w:color w:val="auto"/>
                <w:sz w:val="24"/>
                <w:szCs w:val="24"/>
                <w:highlight w:val="none"/>
              </w:rPr>
              <w:t>“新三包”</w:t>
            </w:r>
            <w:r>
              <w:rPr>
                <w:rFonts w:hint="eastAsia" w:ascii="宋体" w:hAnsi="宋体" w:eastAsia="宋体" w:cs="宋体"/>
                <w:color w:val="auto"/>
                <w:sz w:val="24"/>
                <w:szCs w:val="24"/>
                <w:highlight w:val="none"/>
              </w:rPr>
              <w:t>规定和合同中所附的服务承诺提供服务。</w:t>
            </w:r>
          </w:p>
          <w:p w14:paraId="630654D5">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2.除第1条规定外，乙方还应提供下列服务：</w:t>
            </w:r>
          </w:p>
          <w:p w14:paraId="44EA7166">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(1) 招标文件中的“服务要求”所规定的服务内容以及投标文件承诺提供的其他服务内容；</w:t>
            </w:r>
          </w:p>
          <w:p w14:paraId="6ECBEB67">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 负责货物的开孔，货物的现场安装；</w:t>
            </w:r>
          </w:p>
          <w:p w14:paraId="6D8F3BC0">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 提供货物组装和维修所需的工具；</w:t>
            </w:r>
          </w:p>
          <w:p w14:paraId="7176FEC7">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 在合同中乙方承诺的质保期限内对所提供货物正常使用实施监督、维修，但前提条件是该服务并不能免除乙方在质量保证期内应承担的义务；</w:t>
            </w:r>
          </w:p>
          <w:p w14:paraId="4C401DA2">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 在货物交货现场就货物的安装、启用、维护等对甲方人员进行培训。</w:t>
            </w:r>
          </w:p>
          <w:p w14:paraId="48D67484">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3.伴随服务的费用应含在合同价中，不单独进行支付。</w:t>
            </w:r>
          </w:p>
        </w:tc>
      </w:tr>
      <w:tr w14:paraId="7BAFCD8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53854CA5">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p>
        </w:tc>
        <w:tc>
          <w:tcPr>
            <w:tcW w:w="1789" w:type="dxa"/>
            <w:vAlign w:val="center"/>
          </w:tcPr>
          <w:p w14:paraId="2A4C4CF0">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索赔</w:t>
            </w:r>
          </w:p>
          <w:p w14:paraId="0C1845B3">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p>
        </w:tc>
        <w:tc>
          <w:tcPr>
            <w:tcW w:w="5170" w:type="dxa"/>
            <w:vAlign w:val="center"/>
          </w:tcPr>
          <w:p w14:paraId="0A409CD8">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1.甲方有权根据当地质检部门出具的检验报告，向乙方提出索赔。</w:t>
            </w:r>
          </w:p>
          <w:p w14:paraId="39BDD17D">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2.根据合同规定的检验期和质量保证期内，如果乙方对甲方提出的索赔和差异负有责任，乙方应按照甲方同意的下列一种或多种方式解决索赔事宜：</w:t>
            </w:r>
          </w:p>
          <w:p w14:paraId="23F67DC8">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63F0C60F">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 根据货物的低劣程度、损坏程度以及甲方所遭受损失的数额，乙方必须降低货物的价格。</w:t>
            </w:r>
          </w:p>
          <w:p w14:paraId="7A4DBDCD">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7CF08432">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28F6A60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578134C4">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sz w:val="24"/>
                <w:szCs w:val="24"/>
                <w:highlight w:val="none"/>
              </w:rPr>
            </w:pPr>
          </w:p>
        </w:tc>
        <w:tc>
          <w:tcPr>
            <w:tcW w:w="1789" w:type="dxa"/>
            <w:vAlign w:val="center"/>
          </w:tcPr>
          <w:p w14:paraId="18500DCF">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合同生效</w:t>
            </w:r>
            <w:r>
              <w:rPr>
                <w:rFonts w:hint="eastAsia" w:ascii="宋体" w:hAnsi="宋体" w:eastAsia="宋体" w:cs="宋体"/>
                <w:color w:val="auto"/>
                <w:sz w:val="24"/>
                <w:szCs w:val="24"/>
                <w:highlight w:val="none"/>
                <w:lang w:eastAsia="zh-CN"/>
              </w:rPr>
              <w:t>及其他</w:t>
            </w:r>
          </w:p>
          <w:p w14:paraId="6BB07FF1">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bCs/>
                <w:color w:val="auto"/>
                <w:sz w:val="24"/>
                <w:szCs w:val="24"/>
                <w:highlight w:val="none"/>
              </w:rPr>
            </w:pPr>
          </w:p>
        </w:tc>
        <w:tc>
          <w:tcPr>
            <w:tcW w:w="5170" w:type="dxa"/>
            <w:vAlign w:val="center"/>
          </w:tcPr>
          <w:p w14:paraId="49130A9E">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合同经甲方、乙方盖章后生效。</w:t>
            </w:r>
          </w:p>
          <w:p w14:paraId="6C7F6D25">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货物交付使用后所发生的合同纠纷，由甲方与乙方协商处理。</w:t>
            </w:r>
          </w:p>
          <w:p w14:paraId="2EB5C299">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482CA242">
            <w:pPr>
              <w:keepNext w:val="0"/>
              <w:keepLines w:val="0"/>
              <w:pageBreakBefore w:val="0"/>
              <w:kinsoku/>
              <w:wordWrap/>
              <w:overflowPunct/>
              <w:topLinePunct w:val="0"/>
              <w:bidi w:val="0"/>
              <w:snapToGrid/>
              <w:spacing w:line="3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4.本合同应按照中华人民共和国的现行法律进行解释。本合同未尽事宜，遵照《民法典》、《</w:t>
            </w:r>
            <w:r>
              <w:rPr>
                <w:rFonts w:hint="eastAsia" w:ascii="宋体" w:hAnsi="宋体" w:eastAsia="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rPr>
              <w:t>政府采购法》等有关条文执行。</w:t>
            </w:r>
          </w:p>
        </w:tc>
      </w:tr>
    </w:tbl>
    <w:p w14:paraId="035242B0">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4"/>
          <w:szCs w:val="44"/>
          <w:highlight w:val="none"/>
        </w:rPr>
      </w:pPr>
    </w:p>
    <w:p w14:paraId="0BB24B67">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4"/>
          <w:szCs w:val="44"/>
          <w:highlight w:val="none"/>
        </w:rPr>
      </w:pPr>
    </w:p>
    <w:p w14:paraId="745873E7">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0"/>
          <w:szCs w:val="40"/>
          <w:highlight w:val="none"/>
        </w:rPr>
      </w:pPr>
    </w:p>
    <w:p w14:paraId="56F8F437">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0"/>
          <w:szCs w:val="40"/>
          <w:highlight w:val="none"/>
        </w:rPr>
      </w:pPr>
    </w:p>
    <w:p w14:paraId="63485BF8">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0"/>
          <w:szCs w:val="40"/>
          <w:highlight w:val="none"/>
        </w:rPr>
      </w:pPr>
    </w:p>
    <w:p w14:paraId="3BC36910">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0"/>
          <w:szCs w:val="40"/>
          <w:highlight w:val="none"/>
        </w:rPr>
      </w:pPr>
    </w:p>
    <w:p w14:paraId="15A8017F">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0"/>
          <w:szCs w:val="40"/>
          <w:highlight w:val="none"/>
        </w:rPr>
      </w:pPr>
    </w:p>
    <w:p w14:paraId="5A90B1A5">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0"/>
          <w:szCs w:val="40"/>
          <w:highlight w:val="none"/>
        </w:rPr>
      </w:pPr>
    </w:p>
    <w:p w14:paraId="550B3460">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0"/>
          <w:szCs w:val="40"/>
          <w:highlight w:val="none"/>
        </w:rPr>
      </w:pPr>
    </w:p>
    <w:p w14:paraId="30CE3DB8">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0"/>
          <w:szCs w:val="40"/>
          <w:highlight w:val="none"/>
        </w:rPr>
      </w:pPr>
    </w:p>
    <w:p w14:paraId="172F9A16">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0"/>
          <w:szCs w:val="40"/>
          <w:highlight w:val="none"/>
        </w:rPr>
      </w:pPr>
    </w:p>
    <w:p w14:paraId="10042FC5">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0"/>
          <w:szCs w:val="40"/>
          <w:highlight w:val="none"/>
        </w:rPr>
      </w:pPr>
    </w:p>
    <w:p w14:paraId="13F19D01">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0"/>
          <w:szCs w:val="40"/>
          <w:highlight w:val="none"/>
        </w:rPr>
      </w:pPr>
    </w:p>
    <w:p w14:paraId="0714C0C1">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0"/>
          <w:szCs w:val="40"/>
          <w:highlight w:val="none"/>
        </w:rPr>
      </w:pPr>
    </w:p>
    <w:p w14:paraId="02CFE5F2">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0"/>
          <w:szCs w:val="40"/>
          <w:highlight w:val="none"/>
        </w:rPr>
      </w:pPr>
    </w:p>
    <w:p w14:paraId="568F749B">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0"/>
          <w:szCs w:val="40"/>
          <w:highlight w:val="none"/>
        </w:rPr>
      </w:pPr>
    </w:p>
    <w:p w14:paraId="06ACBD32">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0"/>
          <w:szCs w:val="40"/>
          <w:highlight w:val="none"/>
        </w:rPr>
      </w:pPr>
    </w:p>
    <w:p w14:paraId="13805080">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0"/>
          <w:szCs w:val="40"/>
          <w:highlight w:val="none"/>
        </w:rPr>
      </w:pPr>
    </w:p>
    <w:p w14:paraId="2626BE0F">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0"/>
          <w:szCs w:val="40"/>
          <w:highlight w:val="none"/>
        </w:rPr>
      </w:pPr>
    </w:p>
    <w:p w14:paraId="7A2AEB5C">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0"/>
          <w:szCs w:val="40"/>
          <w:highlight w:val="none"/>
        </w:rPr>
      </w:pPr>
    </w:p>
    <w:p w14:paraId="52C9F14E">
      <w:pPr>
        <w:pStyle w:val="34"/>
        <w:keepNext w:val="0"/>
        <w:keepLines w:val="0"/>
        <w:pageBreakBefore w:val="0"/>
        <w:widowControl w:val="0"/>
        <w:spacing w:before="120" w:beforeAutospacing="0" w:after="120" w:afterAutospacing="0" w:line="500" w:lineRule="exact"/>
        <w:jc w:val="center"/>
        <w:rPr>
          <w:rFonts w:hint="eastAsia" w:ascii="黑体" w:hAnsi="宋体" w:eastAsia="黑体" w:cs="黑体"/>
          <w:color w:val="000000"/>
          <w:sz w:val="40"/>
          <w:szCs w:val="40"/>
          <w:highlight w:val="none"/>
        </w:rPr>
      </w:pPr>
    </w:p>
    <w:p w14:paraId="0659BC06">
      <w:pPr>
        <w:pStyle w:val="34"/>
        <w:keepNext w:val="0"/>
        <w:keepLines w:val="0"/>
        <w:pageBreakBefore w:val="0"/>
        <w:widowControl w:val="0"/>
        <w:spacing w:before="120" w:beforeAutospacing="0" w:after="120" w:afterAutospacing="0" w:line="500" w:lineRule="exact"/>
        <w:jc w:val="center"/>
        <w:rPr>
          <w:sz w:val="22"/>
          <w:szCs w:val="22"/>
          <w:highlight w:val="none"/>
        </w:rPr>
      </w:pPr>
      <w:r>
        <w:rPr>
          <w:rFonts w:hint="eastAsia" w:ascii="黑体" w:hAnsi="宋体" w:eastAsia="黑体" w:cs="黑体"/>
          <w:color w:val="000000"/>
          <w:sz w:val="40"/>
          <w:szCs w:val="40"/>
          <w:highlight w:val="none"/>
        </w:rPr>
        <w:t>第</w:t>
      </w:r>
      <w:bookmarkEnd w:id="171"/>
      <w:r>
        <w:rPr>
          <w:rFonts w:hint="eastAsia" w:ascii="黑体" w:hAnsi="宋体" w:eastAsia="黑体" w:cs="黑体"/>
          <w:color w:val="000000"/>
          <w:sz w:val="40"/>
          <w:szCs w:val="40"/>
          <w:highlight w:val="none"/>
        </w:rPr>
        <w:t>四章 采购需求</w:t>
      </w:r>
      <w:bookmarkEnd w:id="172"/>
      <w:bookmarkEnd w:id="173"/>
      <w:bookmarkEnd w:id="174"/>
      <w:bookmarkEnd w:id="175"/>
      <w:bookmarkEnd w:id="176"/>
    </w:p>
    <w:p w14:paraId="5BC210AB">
      <w:pPr>
        <w:pStyle w:val="34"/>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bookmarkStart w:id="184" w:name="_Toc26554093"/>
      <w:bookmarkStart w:id="185" w:name="_Toc49090575"/>
      <w:r>
        <w:rPr>
          <w:rFonts w:hint="eastAsia" w:ascii="宋体" w:hAnsi="宋体" w:eastAsia="宋体" w:cs="宋体"/>
          <w:color w:val="000000"/>
          <w:sz w:val="24"/>
          <w:szCs w:val="24"/>
          <w:highlight w:val="none"/>
        </w:rPr>
        <w:t>项目属性:</w:t>
      </w:r>
      <w:r>
        <w:rPr>
          <w:rFonts w:hint="eastAsia" w:ascii="宋体" w:hAnsi="宋体" w:eastAsia="宋体" w:cs="宋体"/>
          <w:b/>
          <w:bCs/>
          <w:color w:val="000000"/>
          <w:sz w:val="24"/>
          <w:szCs w:val="24"/>
          <w:highlight w:val="none"/>
          <w:lang w:val="en-US" w:eastAsia="zh-CN"/>
        </w:rPr>
        <w:t>货物</w:t>
      </w:r>
      <w:r>
        <w:rPr>
          <w:rFonts w:hint="eastAsia" w:ascii="宋体" w:hAnsi="宋体" w:eastAsia="宋体" w:cs="宋体"/>
          <w:b/>
          <w:bCs/>
          <w:color w:val="000000"/>
          <w:sz w:val="24"/>
          <w:szCs w:val="24"/>
          <w:highlight w:val="none"/>
        </w:rPr>
        <w:t>类项目</w:t>
      </w:r>
      <w:r>
        <w:rPr>
          <w:rFonts w:hint="eastAsia" w:ascii="宋体" w:hAnsi="宋体" w:eastAsia="宋体" w:cs="宋体"/>
          <w:color w:val="000000"/>
          <w:sz w:val="24"/>
          <w:szCs w:val="24"/>
          <w:highlight w:val="none"/>
        </w:rPr>
        <w:t>。</w:t>
      </w:r>
      <w:bookmarkEnd w:id="184"/>
      <w:bookmarkEnd w:id="185"/>
    </w:p>
    <w:p w14:paraId="2C9AB0DA">
      <w:pPr>
        <w:pStyle w:val="34"/>
        <w:spacing w:beforeAutospacing="0" w:afterAutospacing="0" w:line="0" w:lineRule="atLeast"/>
        <w:ind w:firstLine="480"/>
        <w:jc w:val="both"/>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一、采购内容</w:t>
      </w:r>
    </w:p>
    <w:tbl>
      <w:tblPr>
        <w:tblStyle w:val="36"/>
        <w:tblW w:w="890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293"/>
        <w:gridCol w:w="2628"/>
        <w:gridCol w:w="816"/>
        <w:gridCol w:w="876"/>
        <w:gridCol w:w="1620"/>
      </w:tblGrid>
      <w:tr w14:paraId="3A75B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5B1DF97D">
            <w:pPr>
              <w:widowControl/>
              <w:jc w:val="center"/>
              <w:rPr>
                <w:rFonts w:hint="eastAsia" w:ascii="仿宋" w:hAnsi="仿宋" w:eastAsia="仿宋" w:cs="仿宋"/>
                <w:b/>
                <w:bCs/>
                <w:sz w:val="21"/>
                <w:szCs w:val="21"/>
                <w:highlight w:val="white"/>
              </w:rPr>
            </w:pPr>
            <w:r>
              <w:rPr>
                <w:rFonts w:hint="eastAsia" w:ascii="仿宋" w:hAnsi="仿宋" w:eastAsia="仿宋" w:cs="仿宋"/>
                <w:b/>
                <w:bCs/>
                <w:sz w:val="21"/>
                <w:szCs w:val="21"/>
                <w:highlight w:val="white"/>
                <w:lang w:val="en-US" w:eastAsia="zh-CN"/>
              </w:rPr>
              <w:t>序号</w:t>
            </w:r>
          </w:p>
        </w:tc>
        <w:tc>
          <w:tcPr>
            <w:tcW w:w="2293" w:type="dxa"/>
            <w:shd w:val="clear" w:color="000000" w:fill="FFFFFF"/>
            <w:noWrap w:val="0"/>
            <w:vAlign w:val="center"/>
          </w:tcPr>
          <w:p w14:paraId="32F9B583">
            <w:pPr>
              <w:keepNext w:val="0"/>
              <w:keepLines w:val="0"/>
              <w:widowControl/>
              <w:suppressLineNumbers w:val="0"/>
              <w:jc w:val="center"/>
              <w:rPr>
                <w:rFonts w:hint="eastAsia" w:ascii="仿宋" w:hAnsi="仿宋" w:eastAsia="仿宋" w:cs="仿宋"/>
                <w:b/>
                <w:bCs/>
                <w:color w:val="000000"/>
                <w:sz w:val="21"/>
                <w:szCs w:val="21"/>
                <w:highlight w:val="white"/>
              </w:rPr>
            </w:pPr>
            <w:r>
              <w:rPr>
                <w:rFonts w:hint="eastAsia" w:ascii="仿宋" w:hAnsi="仿宋" w:eastAsia="仿宋" w:cs="仿宋"/>
                <w:b/>
                <w:bCs/>
                <w:color w:val="000000"/>
                <w:sz w:val="21"/>
                <w:szCs w:val="21"/>
                <w:highlight w:val="white"/>
                <w:lang w:val="en-US" w:eastAsia="zh-CN" w:bidi="ar"/>
              </w:rPr>
              <w:t>设备名称</w:t>
            </w:r>
          </w:p>
        </w:tc>
        <w:tc>
          <w:tcPr>
            <w:tcW w:w="2628" w:type="dxa"/>
            <w:shd w:val="clear" w:color="000000" w:fill="FFFFFF"/>
            <w:noWrap w:val="0"/>
            <w:vAlign w:val="center"/>
          </w:tcPr>
          <w:p w14:paraId="0B4BB1BB">
            <w:pPr>
              <w:keepNext w:val="0"/>
              <w:keepLines w:val="0"/>
              <w:widowControl/>
              <w:suppressLineNumbers w:val="0"/>
              <w:jc w:val="center"/>
              <w:rPr>
                <w:rFonts w:hint="eastAsia" w:ascii="仿宋" w:hAnsi="仿宋" w:eastAsia="仿宋" w:cs="仿宋"/>
                <w:b/>
                <w:bCs/>
                <w:sz w:val="21"/>
                <w:szCs w:val="21"/>
                <w:highlight w:val="white"/>
              </w:rPr>
            </w:pPr>
            <w:r>
              <w:rPr>
                <w:rFonts w:hint="eastAsia" w:ascii="仿宋" w:hAnsi="仿宋" w:eastAsia="仿宋" w:cs="仿宋"/>
                <w:b/>
                <w:bCs/>
                <w:sz w:val="21"/>
                <w:szCs w:val="21"/>
                <w:highlight w:val="white"/>
                <w:lang w:val="en-US" w:eastAsia="zh-CN"/>
              </w:rPr>
              <w:t>技术参数及要求</w:t>
            </w:r>
          </w:p>
        </w:tc>
        <w:tc>
          <w:tcPr>
            <w:tcW w:w="816" w:type="dxa"/>
            <w:shd w:val="clear" w:color="000000" w:fill="FFFFFF"/>
            <w:noWrap w:val="0"/>
            <w:vAlign w:val="center"/>
          </w:tcPr>
          <w:p w14:paraId="50F417F8">
            <w:pPr>
              <w:keepNext w:val="0"/>
              <w:keepLines w:val="0"/>
              <w:widowControl/>
              <w:suppressLineNumbers w:val="0"/>
              <w:jc w:val="center"/>
              <w:rPr>
                <w:rFonts w:hint="eastAsia" w:ascii="仿宋" w:hAnsi="仿宋" w:eastAsia="仿宋" w:cs="仿宋"/>
                <w:b/>
                <w:bCs/>
                <w:color w:val="000000"/>
                <w:sz w:val="21"/>
                <w:szCs w:val="21"/>
                <w:highlight w:val="white"/>
              </w:rPr>
            </w:pPr>
            <w:r>
              <w:rPr>
                <w:rFonts w:hint="eastAsia" w:ascii="仿宋" w:hAnsi="仿宋" w:eastAsia="仿宋" w:cs="仿宋"/>
                <w:b/>
                <w:bCs/>
                <w:i w:val="0"/>
                <w:iCs w:val="0"/>
                <w:color w:val="000000"/>
                <w:sz w:val="21"/>
                <w:szCs w:val="21"/>
                <w:highlight w:val="white"/>
                <w:u w:val="none"/>
                <w:lang w:val="en-US" w:eastAsia="zh-CN" w:bidi="ar"/>
              </w:rPr>
              <w:t>单位</w:t>
            </w:r>
          </w:p>
        </w:tc>
        <w:tc>
          <w:tcPr>
            <w:tcW w:w="876" w:type="dxa"/>
            <w:shd w:val="clear" w:color="000000" w:fill="FFFFFF"/>
            <w:noWrap w:val="0"/>
            <w:vAlign w:val="center"/>
          </w:tcPr>
          <w:p w14:paraId="5643D52C">
            <w:pPr>
              <w:keepNext w:val="0"/>
              <w:keepLines w:val="0"/>
              <w:widowControl/>
              <w:suppressLineNumbers w:val="0"/>
              <w:jc w:val="center"/>
              <w:rPr>
                <w:rFonts w:hint="eastAsia" w:ascii="仿宋" w:hAnsi="仿宋" w:eastAsia="仿宋" w:cs="仿宋"/>
                <w:b/>
                <w:bCs/>
                <w:color w:val="000000"/>
                <w:sz w:val="21"/>
                <w:szCs w:val="21"/>
                <w:highlight w:val="white"/>
              </w:rPr>
            </w:pPr>
            <w:r>
              <w:rPr>
                <w:rFonts w:hint="eastAsia" w:ascii="仿宋" w:hAnsi="仿宋" w:eastAsia="仿宋" w:cs="仿宋"/>
                <w:b/>
                <w:bCs/>
                <w:i w:val="0"/>
                <w:iCs w:val="0"/>
                <w:color w:val="000000"/>
                <w:sz w:val="21"/>
                <w:szCs w:val="21"/>
                <w:highlight w:val="white"/>
                <w:u w:val="none"/>
                <w:lang w:val="en-US" w:eastAsia="zh-CN" w:bidi="ar"/>
              </w:rPr>
              <w:t>数量</w:t>
            </w:r>
          </w:p>
        </w:tc>
        <w:tc>
          <w:tcPr>
            <w:tcW w:w="1620" w:type="dxa"/>
            <w:shd w:val="clear" w:color="000000" w:fill="FFFFFF"/>
            <w:noWrap w:val="0"/>
            <w:vAlign w:val="center"/>
          </w:tcPr>
          <w:p w14:paraId="24B6F117">
            <w:pPr>
              <w:keepNext w:val="0"/>
              <w:keepLines w:val="0"/>
              <w:widowControl/>
              <w:suppressLineNumbers w:val="0"/>
              <w:jc w:val="center"/>
              <w:rPr>
                <w:rFonts w:hint="eastAsia" w:ascii="仿宋" w:hAnsi="仿宋" w:eastAsia="仿宋" w:cs="仿宋"/>
                <w:b/>
                <w:bCs/>
                <w:color w:val="000000"/>
                <w:sz w:val="21"/>
                <w:szCs w:val="21"/>
                <w:highlight w:val="white"/>
              </w:rPr>
            </w:pPr>
            <w:r>
              <w:rPr>
                <w:rFonts w:hint="eastAsia" w:ascii="仿宋" w:hAnsi="仿宋" w:eastAsia="仿宋" w:cs="仿宋"/>
                <w:b/>
                <w:bCs/>
                <w:color w:val="000000"/>
                <w:sz w:val="21"/>
                <w:szCs w:val="21"/>
                <w:highlight w:val="white"/>
                <w:lang w:val="en-US" w:eastAsia="zh-CN" w:bidi="ar"/>
              </w:rPr>
              <w:t>备注</w:t>
            </w:r>
          </w:p>
          <w:p w14:paraId="19BE5B59">
            <w:pPr>
              <w:keepNext w:val="0"/>
              <w:keepLines w:val="0"/>
              <w:widowControl/>
              <w:suppressLineNumbers w:val="0"/>
              <w:jc w:val="center"/>
              <w:rPr>
                <w:rFonts w:hint="eastAsia" w:ascii="仿宋" w:hAnsi="仿宋" w:eastAsia="仿宋" w:cs="仿宋"/>
                <w:b/>
                <w:bCs/>
                <w:color w:val="000000"/>
                <w:sz w:val="21"/>
                <w:szCs w:val="21"/>
                <w:highlight w:val="white"/>
              </w:rPr>
            </w:pPr>
            <w:r>
              <w:rPr>
                <w:rFonts w:hint="eastAsia" w:ascii="仿宋" w:hAnsi="仿宋" w:eastAsia="仿宋" w:cs="仿宋"/>
                <w:b/>
                <w:bCs/>
                <w:color w:val="000000"/>
                <w:sz w:val="21"/>
                <w:szCs w:val="21"/>
                <w:highlight w:val="white"/>
                <w:lang w:val="en-US" w:eastAsia="zh-CN" w:bidi="ar"/>
              </w:rPr>
              <w:t>（</w:t>
            </w:r>
            <w:r>
              <w:rPr>
                <w:rFonts w:hint="eastAsia" w:ascii="仿宋" w:hAnsi="仿宋" w:eastAsia="仿宋" w:cs="仿宋"/>
                <w:b/>
                <w:bCs/>
                <w:color w:val="000000"/>
                <w:sz w:val="21"/>
                <w:szCs w:val="21"/>
                <w:highlight w:val="white"/>
                <w:lang w:bidi="ar"/>
              </w:rPr>
              <w:t>所属行业</w:t>
            </w:r>
            <w:r>
              <w:rPr>
                <w:rFonts w:hint="eastAsia" w:ascii="仿宋" w:hAnsi="仿宋" w:eastAsia="仿宋" w:cs="仿宋"/>
                <w:b/>
                <w:bCs/>
                <w:color w:val="000000"/>
                <w:sz w:val="21"/>
                <w:szCs w:val="21"/>
                <w:highlight w:val="white"/>
                <w:lang w:val="en-US" w:eastAsia="zh-CN" w:bidi="ar"/>
              </w:rPr>
              <w:t>）</w:t>
            </w:r>
          </w:p>
        </w:tc>
      </w:tr>
      <w:tr w14:paraId="519E0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5DC5EA02">
            <w:pPr>
              <w:widowControl/>
              <w:jc w:val="center"/>
              <w:rPr>
                <w:rFonts w:hint="eastAsia" w:ascii="仿宋" w:hAnsi="仿宋" w:eastAsia="仿宋" w:cs="仿宋"/>
                <w:b/>
                <w:bCs/>
                <w:sz w:val="21"/>
                <w:szCs w:val="21"/>
                <w:highlight w:val="white"/>
              </w:rPr>
            </w:pPr>
            <w:r>
              <w:rPr>
                <w:rFonts w:hint="eastAsia" w:ascii="仿宋" w:hAnsi="仿宋" w:eastAsia="仿宋" w:cs="仿宋"/>
                <w:b/>
                <w:bCs/>
                <w:sz w:val="21"/>
                <w:szCs w:val="21"/>
                <w:highlight w:val="white"/>
              </w:rPr>
              <w:t>1</w:t>
            </w:r>
            <w:r>
              <w:rPr>
                <w:rFonts w:hint="eastAsia" w:ascii="仿宋" w:hAnsi="仿宋" w:eastAsia="仿宋" w:cs="仿宋"/>
                <w:b/>
                <w:bCs/>
                <w:sz w:val="21"/>
                <w:szCs w:val="21"/>
                <w:highlight w:val="white"/>
                <w:lang w:eastAsia="zh-CN"/>
              </w:rPr>
              <w:t>、</w:t>
            </w:r>
          </w:p>
        </w:tc>
        <w:tc>
          <w:tcPr>
            <w:tcW w:w="2293" w:type="dxa"/>
            <w:shd w:val="clear" w:color="000000" w:fill="FFFFFF"/>
            <w:noWrap w:val="0"/>
            <w:vAlign w:val="center"/>
          </w:tcPr>
          <w:p w14:paraId="4391D1A4">
            <w:pPr>
              <w:widowControl/>
              <w:jc w:val="center"/>
              <w:rPr>
                <w:rFonts w:hint="eastAsia" w:ascii="仿宋" w:hAnsi="仿宋" w:eastAsia="仿宋" w:cs="仿宋"/>
                <w:b/>
                <w:bCs/>
                <w:color w:val="000000"/>
                <w:sz w:val="21"/>
                <w:szCs w:val="21"/>
                <w:highlight w:val="white"/>
              </w:rPr>
            </w:pPr>
            <w:r>
              <w:rPr>
                <w:rFonts w:hint="eastAsia" w:ascii="仿宋" w:hAnsi="仿宋" w:eastAsia="仿宋" w:cs="仿宋"/>
                <w:b/>
                <w:bCs/>
                <w:color w:val="000000"/>
                <w:sz w:val="21"/>
                <w:szCs w:val="21"/>
                <w:highlight w:val="white"/>
                <w:lang w:val="en-US" w:eastAsia="zh-CN" w:bidi="ar"/>
              </w:rPr>
              <w:t>设备部分</w:t>
            </w:r>
          </w:p>
        </w:tc>
        <w:tc>
          <w:tcPr>
            <w:tcW w:w="2628" w:type="dxa"/>
            <w:shd w:val="clear" w:color="000000" w:fill="FFFFFF"/>
            <w:noWrap w:val="0"/>
            <w:vAlign w:val="center"/>
          </w:tcPr>
          <w:p w14:paraId="61370684">
            <w:pPr>
              <w:keepNext w:val="0"/>
              <w:keepLines w:val="0"/>
              <w:widowControl/>
              <w:suppressLineNumbers w:val="0"/>
              <w:jc w:val="left"/>
              <w:rPr>
                <w:rFonts w:hint="eastAsia" w:ascii="仿宋" w:hAnsi="仿宋" w:eastAsia="仿宋" w:cs="仿宋"/>
                <w:sz w:val="21"/>
                <w:szCs w:val="21"/>
                <w:highlight w:val="white"/>
              </w:rPr>
            </w:pPr>
          </w:p>
        </w:tc>
        <w:tc>
          <w:tcPr>
            <w:tcW w:w="816" w:type="dxa"/>
            <w:shd w:val="clear" w:color="000000" w:fill="FFFFFF"/>
            <w:noWrap w:val="0"/>
            <w:vAlign w:val="center"/>
          </w:tcPr>
          <w:p w14:paraId="5D26BDC4">
            <w:pPr>
              <w:keepNext w:val="0"/>
              <w:keepLines w:val="0"/>
              <w:widowControl/>
              <w:suppressLineNumbers w:val="0"/>
              <w:jc w:val="center"/>
              <w:rPr>
                <w:rFonts w:hint="eastAsia" w:ascii="仿宋" w:hAnsi="仿宋" w:eastAsia="仿宋" w:cs="仿宋"/>
                <w:color w:val="000000"/>
                <w:sz w:val="21"/>
                <w:szCs w:val="21"/>
                <w:highlight w:val="white"/>
              </w:rPr>
            </w:pPr>
          </w:p>
        </w:tc>
        <w:tc>
          <w:tcPr>
            <w:tcW w:w="876" w:type="dxa"/>
            <w:shd w:val="clear" w:color="000000" w:fill="FFFFFF"/>
            <w:noWrap w:val="0"/>
            <w:vAlign w:val="center"/>
          </w:tcPr>
          <w:p w14:paraId="66533877">
            <w:pPr>
              <w:keepNext w:val="0"/>
              <w:keepLines w:val="0"/>
              <w:widowControl/>
              <w:suppressLineNumbers w:val="0"/>
              <w:jc w:val="center"/>
              <w:rPr>
                <w:rFonts w:hint="eastAsia" w:ascii="仿宋" w:hAnsi="仿宋" w:eastAsia="仿宋" w:cs="仿宋"/>
                <w:color w:val="000000"/>
                <w:sz w:val="21"/>
                <w:szCs w:val="21"/>
                <w:highlight w:val="white"/>
              </w:rPr>
            </w:pPr>
          </w:p>
        </w:tc>
        <w:tc>
          <w:tcPr>
            <w:tcW w:w="1620" w:type="dxa"/>
            <w:shd w:val="clear" w:color="000000" w:fill="FFFFFF"/>
            <w:noWrap w:val="0"/>
            <w:vAlign w:val="center"/>
          </w:tcPr>
          <w:p w14:paraId="079743B6">
            <w:pPr>
              <w:widowControl/>
              <w:jc w:val="center"/>
              <w:rPr>
                <w:rFonts w:hint="eastAsia" w:ascii="仿宋" w:hAnsi="仿宋" w:eastAsia="仿宋" w:cs="仿宋"/>
                <w:color w:val="000000"/>
                <w:sz w:val="21"/>
                <w:szCs w:val="21"/>
                <w:highlight w:val="white"/>
              </w:rPr>
            </w:pPr>
          </w:p>
        </w:tc>
      </w:tr>
      <w:tr w14:paraId="39048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7D80D9DB">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1）</w:t>
            </w:r>
          </w:p>
        </w:tc>
        <w:tc>
          <w:tcPr>
            <w:tcW w:w="2293" w:type="dxa"/>
            <w:shd w:val="clear" w:color="000000" w:fill="FFFFFF"/>
            <w:noWrap w:val="0"/>
            <w:vAlign w:val="center"/>
          </w:tcPr>
          <w:p w14:paraId="2DC1D4EE">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400W双目球-低功耗</w:t>
            </w:r>
          </w:p>
        </w:tc>
        <w:tc>
          <w:tcPr>
            <w:tcW w:w="2628" w:type="dxa"/>
            <w:shd w:val="clear" w:color="000000" w:fill="FFFFFF"/>
            <w:noWrap w:val="0"/>
            <w:vAlign w:val="center"/>
          </w:tcPr>
          <w:p w14:paraId="743AE811">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详见“技术参数要求”</w:t>
            </w:r>
          </w:p>
        </w:tc>
        <w:tc>
          <w:tcPr>
            <w:tcW w:w="816" w:type="dxa"/>
            <w:shd w:val="clear" w:color="000000" w:fill="FFFFFF"/>
            <w:noWrap w:val="0"/>
            <w:vAlign w:val="center"/>
          </w:tcPr>
          <w:p w14:paraId="7E0099EA">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台</w:t>
            </w:r>
          </w:p>
        </w:tc>
        <w:tc>
          <w:tcPr>
            <w:tcW w:w="876" w:type="dxa"/>
            <w:shd w:val="clear" w:color="000000" w:fill="FFFFFF"/>
            <w:noWrap w:val="0"/>
            <w:vAlign w:val="center"/>
          </w:tcPr>
          <w:p w14:paraId="2DC9C823">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20</w:t>
            </w:r>
          </w:p>
        </w:tc>
        <w:tc>
          <w:tcPr>
            <w:tcW w:w="1620" w:type="dxa"/>
            <w:shd w:val="clear" w:color="000000" w:fill="FFFFFF"/>
            <w:noWrap w:val="0"/>
            <w:vAlign w:val="center"/>
          </w:tcPr>
          <w:p w14:paraId="74DD4053">
            <w:pPr>
              <w:widowControl/>
              <w:jc w:val="center"/>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工业</w:t>
            </w:r>
          </w:p>
        </w:tc>
      </w:tr>
      <w:tr w14:paraId="60CEA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18A46B3B">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2）</w:t>
            </w:r>
          </w:p>
        </w:tc>
        <w:tc>
          <w:tcPr>
            <w:tcW w:w="2293" w:type="dxa"/>
            <w:shd w:val="clear" w:color="000000" w:fill="FFFFFF"/>
            <w:noWrap w:val="0"/>
            <w:vAlign w:val="center"/>
          </w:tcPr>
          <w:p w14:paraId="4514076C">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400W双镜头结构化-低功耗</w:t>
            </w:r>
          </w:p>
        </w:tc>
        <w:tc>
          <w:tcPr>
            <w:tcW w:w="2628" w:type="dxa"/>
            <w:shd w:val="clear" w:color="000000" w:fill="FFFFFF"/>
            <w:noWrap w:val="0"/>
            <w:vAlign w:val="center"/>
          </w:tcPr>
          <w:p w14:paraId="1E2592A1">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详见“技术参数要求”</w:t>
            </w:r>
          </w:p>
        </w:tc>
        <w:tc>
          <w:tcPr>
            <w:tcW w:w="816" w:type="dxa"/>
            <w:shd w:val="clear" w:color="000000" w:fill="FFFFFF"/>
            <w:noWrap w:val="0"/>
            <w:vAlign w:val="center"/>
          </w:tcPr>
          <w:p w14:paraId="3C179299">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台</w:t>
            </w:r>
          </w:p>
        </w:tc>
        <w:tc>
          <w:tcPr>
            <w:tcW w:w="876" w:type="dxa"/>
            <w:shd w:val="clear" w:color="000000" w:fill="FFFFFF"/>
            <w:noWrap w:val="0"/>
            <w:vAlign w:val="center"/>
          </w:tcPr>
          <w:p w14:paraId="061E320A">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14</w:t>
            </w:r>
          </w:p>
        </w:tc>
        <w:tc>
          <w:tcPr>
            <w:tcW w:w="1620" w:type="dxa"/>
            <w:shd w:val="clear" w:color="000000" w:fill="FFFFFF"/>
            <w:noWrap w:val="0"/>
            <w:vAlign w:val="center"/>
          </w:tcPr>
          <w:p w14:paraId="1DDED47A">
            <w:pPr>
              <w:widowControl/>
              <w:jc w:val="center"/>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工业</w:t>
            </w:r>
          </w:p>
        </w:tc>
      </w:tr>
      <w:tr w14:paraId="28E8F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28353BAD">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3）</w:t>
            </w:r>
          </w:p>
        </w:tc>
        <w:tc>
          <w:tcPr>
            <w:tcW w:w="2293" w:type="dxa"/>
            <w:shd w:val="clear" w:color="000000" w:fill="FFFFFF"/>
            <w:noWrap w:val="0"/>
            <w:vAlign w:val="center"/>
          </w:tcPr>
          <w:p w14:paraId="17B331B3">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宋体" w:hAnsi="宋体" w:eastAsia="宋体" w:cs="宋体"/>
                <w:color w:val="000000"/>
                <w:highlight w:val="white"/>
              </w:rPr>
              <w:t>◆</w:t>
            </w:r>
            <w:r>
              <w:rPr>
                <w:rFonts w:hint="eastAsia" w:ascii="仿宋" w:hAnsi="仿宋" w:eastAsia="仿宋" w:cs="仿宋"/>
                <w:i w:val="0"/>
                <w:iCs w:val="0"/>
                <w:color w:val="000000"/>
                <w:kern w:val="0"/>
                <w:sz w:val="21"/>
                <w:szCs w:val="21"/>
                <w:u w:val="none"/>
                <w:lang w:val="en-US" w:eastAsia="zh-CN" w:bidi="ar"/>
              </w:rPr>
              <w:t>400W双目球机</w:t>
            </w:r>
          </w:p>
        </w:tc>
        <w:tc>
          <w:tcPr>
            <w:tcW w:w="2628" w:type="dxa"/>
            <w:shd w:val="clear" w:color="000000" w:fill="FFFFFF"/>
            <w:noWrap w:val="0"/>
            <w:vAlign w:val="center"/>
          </w:tcPr>
          <w:p w14:paraId="44D5E289">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详见“技术参数要求”</w:t>
            </w:r>
          </w:p>
        </w:tc>
        <w:tc>
          <w:tcPr>
            <w:tcW w:w="816" w:type="dxa"/>
            <w:shd w:val="clear" w:color="000000" w:fill="FFFFFF"/>
            <w:noWrap w:val="0"/>
            <w:vAlign w:val="center"/>
          </w:tcPr>
          <w:p w14:paraId="79A1E1E8">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台</w:t>
            </w:r>
          </w:p>
        </w:tc>
        <w:tc>
          <w:tcPr>
            <w:tcW w:w="876" w:type="dxa"/>
            <w:shd w:val="clear" w:color="000000" w:fill="FFFFFF"/>
            <w:noWrap w:val="0"/>
            <w:vAlign w:val="center"/>
          </w:tcPr>
          <w:p w14:paraId="2C774491">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15</w:t>
            </w:r>
          </w:p>
        </w:tc>
        <w:tc>
          <w:tcPr>
            <w:tcW w:w="1620" w:type="dxa"/>
            <w:shd w:val="clear" w:color="000000" w:fill="FFFFFF"/>
            <w:noWrap w:val="0"/>
            <w:vAlign w:val="center"/>
          </w:tcPr>
          <w:p w14:paraId="0C136D25">
            <w:pPr>
              <w:widowControl/>
              <w:jc w:val="center"/>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工业</w:t>
            </w:r>
          </w:p>
        </w:tc>
      </w:tr>
      <w:tr w14:paraId="26801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43E72F0B">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4）</w:t>
            </w:r>
          </w:p>
        </w:tc>
        <w:tc>
          <w:tcPr>
            <w:tcW w:w="2293" w:type="dxa"/>
            <w:shd w:val="clear" w:color="000000" w:fill="FFFFFF"/>
            <w:noWrap w:val="0"/>
            <w:vAlign w:val="center"/>
          </w:tcPr>
          <w:p w14:paraId="78732CD1">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400W双镜头结构化</w:t>
            </w:r>
          </w:p>
        </w:tc>
        <w:tc>
          <w:tcPr>
            <w:tcW w:w="2628" w:type="dxa"/>
            <w:shd w:val="clear" w:color="000000" w:fill="FFFFFF"/>
            <w:noWrap w:val="0"/>
            <w:vAlign w:val="center"/>
          </w:tcPr>
          <w:p w14:paraId="5D34EF0A">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详见“技术参数要求”</w:t>
            </w:r>
          </w:p>
        </w:tc>
        <w:tc>
          <w:tcPr>
            <w:tcW w:w="816" w:type="dxa"/>
            <w:shd w:val="clear" w:color="000000" w:fill="FFFFFF"/>
            <w:noWrap w:val="0"/>
            <w:vAlign w:val="center"/>
          </w:tcPr>
          <w:p w14:paraId="27C3849F">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台</w:t>
            </w:r>
          </w:p>
        </w:tc>
        <w:tc>
          <w:tcPr>
            <w:tcW w:w="876" w:type="dxa"/>
            <w:shd w:val="clear" w:color="000000" w:fill="FFFFFF"/>
            <w:noWrap w:val="0"/>
            <w:vAlign w:val="center"/>
          </w:tcPr>
          <w:p w14:paraId="7502CF93">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15</w:t>
            </w:r>
          </w:p>
        </w:tc>
        <w:tc>
          <w:tcPr>
            <w:tcW w:w="1620" w:type="dxa"/>
            <w:shd w:val="clear" w:color="000000" w:fill="FFFFFF"/>
            <w:noWrap w:val="0"/>
            <w:vAlign w:val="center"/>
          </w:tcPr>
          <w:p w14:paraId="4872E90A">
            <w:pPr>
              <w:widowControl/>
              <w:jc w:val="center"/>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工业</w:t>
            </w:r>
          </w:p>
        </w:tc>
      </w:tr>
      <w:tr w14:paraId="716BA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53D5B0EC">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5）</w:t>
            </w:r>
          </w:p>
        </w:tc>
        <w:tc>
          <w:tcPr>
            <w:tcW w:w="2293" w:type="dxa"/>
            <w:shd w:val="clear" w:color="000000" w:fill="FFFFFF"/>
            <w:noWrap w:val="0"/>
            <w:vAlign w:val="center"/>
          </w:tcPr>
          <w:p w14:paraId="05D04BE7">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400W三向结构化</w:t>
            </w:r>
          </w:p>
        </w:tc>
        <w:tc>
          <w:tcPr>
            <w:tcW w:w="2628" w:type="dxa"/>
            <w:shd w:val="clear" w:color="000000" w:fill="FFFFFF"/>
            <w:noWrap w:val="0"/>
            <w:vAlign w:val="center"/>
          </w:tcPr>
          <w:p w14:paraId="2E685DB6">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详见“技术参数要求”</w:t>
            </w:r>
          </w:p>
        </w:tc>
        <w:tc>
          <w:tcPr>
            <w:tcW w:w="816" w:type="dxa"/>
            <w:shd w:val="clear" w:color="000000" w:fill="FFFFFF"/>
            <w:noWrap w:val="0"/>
            <w:vAlign w:val="center"/>
          </w:tcPr>
          <w:p w14:paraId="04EADA3B">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台</w:t>
            </w:r>
          </w:p>
        </w:tc>
        <w:tc>
          <w:tcPr>
            <w:tcW w:w="876" w:type="dxa"/>
            <w:shd w:val="clear" w:color="000000" w:fill="FFFFFF"/>
            <w:noWrap w:val="0"/>
            <w:vAlign w:val="center"/>
          </w:tcPr>
          <w:p w14:paraId="390A1CFA">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7</w:t>
            </w:r>
          </w:p>
        </w:tc>
        <w:tc>
          <w:tcPr>
            <w:tcW w:w="1620" w:type="dxa"/>
            <w:shd w:val="clear" w:color="000000" w:fill="FFFFFF"/>
            <w:noWrap w:val="0"/>
            <w:vAlign w:val="center"/>
          </w:tcPr>
          <w:p w14:paraId="01BC3661">
            <w:pPr>
              <w:widowControl/>
              <w:jc w:val="center"/>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工业</w:t>
            </w:r>
          </w:p>
        </w:tc>
      </w:tr>
      <w:tr w14:paraId="0B9A2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3B1E1414">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6）</w:t>
            </w:r>
          </w:p>
        </w:tc>
        <w:tc>
          <w:tcPr>
            <w:tcW w:w="2293" w:type="dxa"/>
            <w:shd w:val="clear" w:color="000000" w:fill="FFFFFF"/>
            <w:noWrap w:val="0"/>
            <w:vAlign w:val="center"/>
          </w:tcPr>
          <w:p w14:paraId="3F029A62">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太阳能供电套装</w:t>
            </w:r>
          </w:p>
        </w:tc>
        <w:tc>
          <w:tcPr>
            <w:tcW w:w="2628" w:type="dxa"/>
            <w:shd w:val="clear" w:color="000000" w:fill="FFFFFF"/>
            <w:noWrap w:val="0"/>
            <w:vAlign w:val="center"/>
          </w:tcPr>
          <w:p w14:paraId="20E0CCDD">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详见“技术参数要求”</w:t>
            </w:r>
          </w:p>
        </w:tc>
        <w:tc>
          <w:tcPr>
            <w:tcW w:w="816" w:type="dxa"/>
            <w:shd w:val="clear" w:color="000000" w:fill="FFFFFF"/>
            <w:noWrap w:val="0"/>
            <w:vAlign w:val="center"/>
          </w:tcPr>
          <w:p w14:paraId="21D7287C">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套</w:t>
            </w:r>
          </w:p>
        </w:tc>
        <w:tc>
          <w:tcPr>
            <w:tcW w:w="876" w:type="dxa"/>
            <w:shd w:val="clear" w:color="000000" w:fill="FFFFFF"/>
            <w:noWrap w:val="0"/>
            <w:vAlign w:val="center"/>
          </w:tcPr>
          <w:p w14:paraId="5E7793D1">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25</w:t>
            </w:r>
          </w:p>
        </w:tc>
        <w:tc>
          <w:tcPr>
            <w:tcW w:w="1620" w:type="dxa"/>
            <w:shd w:val="clear" w:color="000000" w:fill="FFFFFF"/>
            <w:noWrap w:val="0"/>
            <w:vAlign w:val="center"/>
          </w:tcPr>
          <w:p w14:paraId="3B1D896A">
            <w:pPr>
              <w:widowControl/>
              <w:jc w:val="center"/>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工业</w:t>
            </w:r>
          </w:p>
        </w:tc>
      </w:tr>
      <w:tr w14:paraId="28C7E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6D2F4D89">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7）</w:t>
            </w:r>
          </w:p>
        </w:tc>
        <w:tc>
          <w:tcPr>
            <w:tcW w:w="2293" w:type="dxa"/>
            <w:shd w:val="clear" w:color="000000" w:fill="FFFFFF"/>
            <w:noWrap w:val="0"/>
            <w:vAlign w:val="center"/>
          </w:tcPr>
          <w:p w14:paraId="1F621E48">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硬盘录像机</w:t>
            </w:r>
          </w:p>
        </w:tc>
        <w:tc>
          <w:tcPr>
            <w:tcW w:w="2628" w:type="dxa"/>
            <w:shd w:val="clear" w:color="000000" w:fill="FFFFFF"/>
            <w:noWrap w:val="0"/>
            <w:vAlign w:val="center"/>
          </w:tcPr>
          <w:p w14:paraId="6477A034">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详见“技术参数要求”</w:t>
            </w:r>
          </w:p>
        </w:tc>
        <w:tc>
          <w:tcPr>
            <w:tcW w:w="816" w:type="dxa"/>
            <w:shd w:val="clear" w:color="000000" w:fill="FFFFFF"/>
            <w:noWrap w:val="0"/>
            <w:vAlign w:val="center"/>
          </w:tcPr>
          <w:p w14:paraId="2A8F1795">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台</w:t>
            </w:r>
          </w:p>
        </w:tc>
        <w:tc>
          <w:tcPr>
            <w:tcW w:w="876" w:type="dxa"/>
            <w:shd w:val="clear" w:color="000000" w:fill="FFFFFF"/>
            <w:noWrap w:val="0"/>
            <w:vAlign w:val="center"/>
          </w:tcPr>
          <w:p w14:paraId="659AB357">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22</w:t>
            </w:r>
          </w:p>
        </w:tc>
        <w:tc>
          <w:tcPr>
            <w:tcW w:w="1620" w:type="dxa"/>
            <w:shd w:val="clear" w:color="000000" w:fill="FFFFFF"/>
            <w:noWrap w:val="0"/>
            <w:vAlign w:val="center"/>
          </w:tcPr>
          <w:p w14:paraId="62985524">
            <w:pPr>
              <w:widowControl/>
              <w:jc w:val="center"/>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工业</w:t>
            </w:r>
          </w:p>
        </w:tc>
      </w:tr>
      <w:tr w14:paraId="749EC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6712CDAF">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8）</w:t>
            </w:r>
          </w:p>
        </w:tc>
        <w:tc>
          <w:tcPr>
            <w:tcW w:w="2293" w:type="dxa"/>
            <w:shd w:val="clear" w:color="000000" w:fill="FFFFFF"/>
            <w:noWrap w:val="0"/>
            <w:vAlign w:val="center"/>
          </w:tcPr>
          <w:p w14:paraId="0C3A5119">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硬盘</w:t>
            </w:r>
          </w:p>
        </w:tc>
        <w:tc>
          <w:tcPr>
            <w:tcW w:w="2628" w:type="dxa"/>
            <w:shd w:val="clear" w:color="000000" w:fill="FFFFFF"/>
            <w:noWrap w:val="0"/>
            <w:vAlign w:val="center"/>
          </w:tcPr>
          <w:p w14:paraId="3C2988CD">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详见“技术参数要求”</w:t>
            </w:r>
          </w:p>
        </w:tc>
        <w:tc>
          <w:tcPr>
            <w:tcW w:w="816" w:type="dxa"/>
            <w:shd w:val="clear" w:color="000000" w:fill="FFFFFF"/>
            <w:noWrap w:val="0"/>
            <w:vAlign w:val="center"/>
          </w:tcPr>
          <w:p w14:paraId="25CD035B">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块</w:t>
            </w:r>
          </w:p>
        </w:tc>
        <w:tc>
          <w:tcPr>
            <w:tcW w:w="876" w:type="dxa"/>
            <w:shd w:val="clear" w:color="000000" w:fill="FFFFFF"/>
            <w:noWrap w:val="0"/>
            <w:vAlign w:val="center"/>
          </w:tcPr>
          <w:p w14:paraId="0F3E3C31">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22</w:t>
            </w:r>
          </w:p>
        </w:tc>
        <w:tc>
          <w:tcPr>
            <w:tcW w:w="1620" w:type="dxa"/>
            <w:shd w:val="clear" w:color="000000" w:fill="FFFFFF"/>
            <w:noWrap w:val="0"/>
            <w:vAlign w:val="center"/>
          </w:tcPr>
          <w:p w14:paraId="557C52F6">
            <w:pPr>
              <w:widowControl/>
              <w:jc w:val="center"/>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工业</w:t>
            </w:r>
          </w:p>
        </w:tc>
      </w:tr>
      <w:tr w14:paraId="4B4E9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3" w:type="dxa"/>
            <w:shd w:val="clear" w:color="000000" w:fill="FFFFFF"/>
            <w:noWrap w:val="0"/>
            <w:vAlign w:val="center"/>
          </w:tcPr>
          <w:p w14:paraId="0DB8987F">
            <w:pPr>
              <w:keepNext w:val="0"/>
              <w:keepLines w:val="0"/>
              <w:widowControl/>
              <w:suppressLineNumbers w:val="0"/>
              <w:jc w:val="center"/>
              <w:rPr>
                <w:rFonts w:hint="eastAsia" w:ascii="仿宋" w:hAnsi="仿宋" w:eastAsia="仿宋" w:cs="仿宋"/>
                <w:i w:val="0"/>
                <w:iCs w:val="0"/>
                <w:color w:val="000000"/>
                <w:sz w:val="21"/>
                <w:szCs w:val="21"/>
                <w:highlight w:val="white"/>
                <w:u w:val="none"/>
              </w:rPr>
            </w:pPr>
            <w:r>
              <w:rPr>
                <w:rFonts w:hint="eastAsia" w:ascii="仿宋" w:hAnsi="仿宋" w:eastAsia="仿宋" w:cs="仿宋"/>
                <w:i w:val="0"/>
                <w:iCs w:val="0"/>
                <w:color w:val="000000"/>
                <w:sz w:val="21"/>
                <w:szCs w:val="21"/>
                <w:highlight w:val="white"/>
                <w:u w:val="none"/>
                <w:lang w:val="en-US" w:eastAsia="zh-CN" w:bidi="ar"/>
              </w:rPr>
              <w:t>9）</w:t>
            </w:r>
          </w:p>
        </w:tc>
        <w:tc>
          <w:tcPr>
            <w:tcW w:w="2293" w:type="dxa"/>
            <w:shd w:val="clear" w:color="000000" w:fill="FFFFFF"/>
            <w:noWrap w:val="0"/>
            <w:vAlign w:val="center"/>
          </w:tcPr>
          <w:p w14:paraId="44372EB2">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定向流量卡</w:t>
            </w:r>
          </w:p>
        </w:tc>
        <w:tc>
          <w:tcPr>
            <w:tcW w:w="2628" w:type="dxa"/>
            <w:shd w:val="clear" w:color="000000" w:fill="FFFFFF"/>
            <w:noWrap w:val="0"/>
            <w:vAlign w:val="center"/>
          </w:tcPr>
          <w:p w14:paraId="3C7DFF5E">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高速流量，保障正常使用需求</w:t>
            </w:r>
          </w:p>
        </w:tc>
        <w:tc>
          <w:tcPr>
            <w:tcW w:w="816" w:type="dxa"/>
            <w:shd w:val="clear" w:color="000000" w:fill="FFFFFF"/>
            <w:noWrap w:val="0"/>
            <w:vAlign w:val="center"/>
          </w:tcPr>
          <w:p w14:paraId="575C36A2">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张</w:t>
            </w:r>
          </w:p>
        </w:tc>
        <w:tc>
          <w:tcPr>
            <w:tcW w:w="876" w:type="dxa"/>
            <w:shd w:val="clear" w:color="000000" w:fill="FFFFFF"/>
            <w:noWrap w:val="0"/>
            <w:vAlign w:val="center"/>
          </w:tcPr>
          <w:p w14:paraId="5227FCCA">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22</w:t>
            </w:r>
          </w:p>
        </w:tc>
        <w:tc>
          <w:tcPr>
            <w:tcW w:w="1620" w:type="dxa"/>
            <w:shd w:val="clear" w:color="000000" w:fill="FFFFFF"/>
            <w:noWrap w:val="0"/>
            <w:vAlign w:val="center"/>
          </w:tcPr>
          <w:p w14:paraId="21F28B54">
            <w:pPr>
              <w:widowControl/>
              <w:jc w:val="center"/>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工业</w:t>
            </w:r>
          </w:p>
        </w:tc>
      </w:tr>
      <w:tr w14:paraId="099D3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70E9A17E">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10）</w:t>
            </w:r>
          </w:p>
        </w:tc>
        <w:tc>
          <w:tcPr>
            <w:tcW w:w="2293" w:type="dxa"/>
            <w:shd w:val="clear" w:color="000000" w:fill="FFFFFF"/>
            <w:noWrap w:val="0"/>
            <w:vAlign w:val="center"/>
          </w:tcPr>
          <w:p w14:paraId="074D468C">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抱杆箱</w:t>
            </w:r>
          </w:p>
        </w:tc>
        <w:tc>
          <w:tcPr>
            <w:tcW w:w="2628" w:type="dxa"/>
            <w:shd w:val="clear" w:color="000000" w:fill="FFFFFF"/>
            <w:noWrap w:val="0"/>
            <w:vAlign w:val="center"/>
          </w:tcPr>
          <w:p w14:paraId="406FAC05">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详见“技术参数要求”</w:t>
            </w:r>
          </w:p>
        </w:tc>
        <w:tc>
          <w:tcPr>
            <w:tcW w:w="816" w:type="dxa"/>
            <w:shd w:val="clear" w:color="000000" w:fill="FFFFFF"/>
            <w:noWrap w:val="0"/>
            <w:vAlign w:val="center"/>
          </w:tcPr>
          <w:p w14:paraId="1774719B">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个</w:t>
            </w:r>
          </w:p>
        </w:tc>
        <w:tc>
          <w:tcPr>
            <w:tcW w:w="876" w:type="dxa"/>
            <w:shd w:val="clear" w:color="000000" w:fill="FFFFFF"/>
            <w:noWrap w:val="0"/>
            <w:vAlign w:val="center"/>
          </w:tcPr>
          <w:p w14:paraId="5A1724E8">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50</w:t>
            </w:r>
          </w:p>
        </w:tc>
        <w:tc>
          <w:tcPr>
            <w:tcW w:w="1620" w:type="dxa"/>
            <w:shd w:val="clear" w:color="000000" w:fill="FFFFFF"/>
            <w:noWrap w:val="0"/>
            <w:vAlign w:val="center"/>
          </w:tcPr>
          <w:p w14:paraId="50539C06">
            <w:pPr>
              <w:widowControl/>
              <w:jc w:val="center"/>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工业</w:t>
            </w:r>
          </w:p>
        </w:tc>
      </w:tr>
      <w:tr w14:paraId="69C41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7AD7AB90">
            <w:pPr>
              <w:widowControl/>
              <w:jc w:val="center"/>
              <w:rPr>
                <w:rFonts w:hint="eastAsia" w:ascii="仿宋" w:hAnsi="仿宋" w:eastAsia="仿宋" w:cs="仿宋"/>
                <w:b/>
                <w:bCs/>
                <w:color w:val="000000"/>
                <w:sz w:val="21"/>
                <w:szCs w:val="21"/>
                <w:highlight w:val="white"/>
              </w:rPr>
            </w:pPr>
            <w:r>
              <w:rPr>
                <w:rFonts w:hint="eastAsia" w:ascii="仿宋" w:hAnsi="仿宋" w:eastAsia="仿宋" w:cs="仿宋"/>
                <w:b/>
                <w:bCs/>
                <w:color w:val="000000"/>
                <w:sz w:val="21"/>
                <w:szCs w:val="21"/>
                <w:highlight w:val="white"/>
                <w:lang w:val="en-US" w:eastAsia="zh-CN" w:bidi="ar"/>
              </w:rPr>
              <w:t>2、</w:t>
            </w:r>
          </w:p>
        </w:tc>
        <w:tc>
          <w:tcPr>
            <w:tcW w:w="2293" w:type="dxa"/>
            <w:shd w:val="clear" w:color="000000" w:fill="FFFFFF"/>
            <w:noWrap w:val="0"/>
            <w:vAlign w:val="center"/>
          </w:tcPr>
          <w:p w14:paraId="4EE69B4A">
            <w:pPr>
              <w:widowControl/>
              <w:jc w:val="center"/>
              <w:rPr>
                <w:rFonts w:hint="eastAsia" w:ascii="仿宋" w:hAnsi="仿宋" w:eastAsia="仿宋" w:cs="仿宋"/>
                <w:b/>
                <w:bCs/>
                <w:color w:val="000000"/>
                <w:sz w:val="21"/>
                <w:szCs w:val="21"/>
                <w:highlight w:val="white"/>
              </w:rPr>
            </w:pPr>
            <w:r>
              <w:rPr>
                <w:rFonts w:hint="eastAsia" w:ascii="仿宋" w:hAnsi="仿宋" w:eastAsia="仿宋" w:cs="仿宋"/>
                <w:b/>
                <w:bCs/>
                <w:color w:val="000000"/>
                <w:sz w:val="21"/>
                <w:szCs w:val="21"/>
                <w:highlight w:val="white"/>
                <w:lang w:val="en-US" w:eastAsia="zh-CN" w:bidi="ar"/>
              </w:rPr>
              <w:t>材料部分</w:t>
            </w:r>
          </w:p>
        </w:tc>
        <w:tc>
          <w:tcPr>
            <w:tcW w:w="2628" w:type="dxa"/>
            <w:shd w:val="clear" w:color="000000" w:fill="FFFFFF"/>
            <w:noWrap w:val="0"/>
            <w:vAlign w:val="center"/>
          </w:tcPr>
          <w:p w14:paraId="68456293">
            <w:pPr>
              <w:widowControl/>
              <w:jc w:val="left"/>
              <w:rPr>
                <w:rFonts w:hint="eastAsia" w:ascii="仿宋" w:hAnsi="仿宋" w:eastAsia="仿宋" w:cs="仿宋"/>
                <w:sz w:val="21"/>
                <w:szCs w:val="21"/>
                <w:highlight w:val="white"/>
              </w:rPr>
            </w:pPr>
          </w:p>
        </w:tc>
        <w:tc>
          <w:tcPr>
            <w:tcW w:w="816" w:type="dxa"/>
            <w:shd w:val="clear" w:color="000000" w:fill="FFFFFF"/>
            <w:noWrap w:val="0"/>
            <w:vAlign w:val="center"/>
          </w:tcPr>
          <w:p w14:paraId="29AE1408">
            <w:pPr>
              <w:widowControl/>
              <w:jc w:val="center"/>
              <w:rPr>
                <w:rFonts w:hint="eastAsia" w:ascii="仿宋" w:hAnsi="仿宋" w:eastAsia="仿宋" w:cs="仿宋"/>
                <w:color w:val="000000"/>
                <w:sz w:val="21"/>
                <w:szCs w:val="21"/>
                <w:highlight w:val="white"/>
              </w:rPr>
            </w:pPr>
          </w:p>
        </w:tc>
        <w:tc>
          <w:tcPr>
            <w:tcW w:w="876" w:type="dxa"/>
            <w:shd w:val="clear" w:color="000000" w:fill="FFFFFF"/>
            <w:noWrap w:val="0"/>
            <w:vAlign w:val="center"/>
          </w:tcPr>
          <w:p w14:paraId="6C6B3EA1">
            <w:pPr>
              <w:widowControl/>
              <w:jc w:val="center"/>
              <w:rPr>
                <w:rFonts w:hint="eastAsia" w:ascii="仿宋" w:hAnsi="仿宋" w:eastAsia="仿宋" w:cs="仿宋"/>
                <w:color w:val="000000"/>
                <w:sz w:val="21"/>
                <w:szCs w:val="21"/>
                <w:highlight w:val="white"/>
              </w:rPr>
            </w:pPr>
          </w:p>
        </w:tc>
        <w:tc>
          <w:tcPr>
            <w:tcW w:w="1620" w:type="dxa"/>
            <w:shd w:val="clear" w:color="000000" w:fill="FFFFFF"/>
            <w:noWrap w:val="0"/>
            <w:vAlign w:val="center"/>
          </w:tcPr>
          <w:p w14:paraId="1639F4E4">
            <w:pPr>
              <w:widowControl/>
              <w:jc w:val="center"/>
              <w:rPr>
                <w:rFonts w:hint="eastAsia" w:ascii="仿宋" w:hAnsi="仿宋" w:eastAsia="仿宋" w:cs="仿宋"/>
                <w:color w:val="000000"/>
                <w:sz w:val="21"/>
                <w:szCs w:val="21"/>
                <w:highlight w:val="white"/>
              </w:rPr>
            </w:pPr>
          </w:p>
        </w:tc>
      </w:tr>
      <w:tr w14:paraId="3EBD3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083ACC5A">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1）</w:t>
            </w:r>
          </w:p>
        </w:tc>
        <w:tc>
          <w:tcPr>
            <w:tcW w:w="2293" w:type="dxa"/>
            <w:shd w:val="clear" w:color="000000" w:fill="FFFFFF"/>
            <w:noWrap w:val="0"/>
            <w:vAlign w:val="center"/>
          </w:tcPr>
          <w:p w14:paraId="2D0512EA">
            <w:pPr>
              <w:keepNext w:val="0"/>
              <w:keepLines w:val="0"/>
              <w:widowControl/>
              <w:suppressLineNumbers w:val="0"/>
              <w:jc w:val="left"/>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4.5米监控杆件（挑臂0.5～1米自行调节）</w:t>
            </w:r>
          </w:p>
        </w:tc>
        <w:tc>
          <w:tcPr>
            <w:tcW w:w="2628" w:type="dxa"/>
            <w:shd w:val="clear" w:color="000000" w:fill="FFFFFF"/>
            <w:noWrap w:val="0"/>
            <w:vAlign w:val="center"/>
          </w:tcPr>
          <w:p w14:paraId="199FEA81">
            <w:pPr>
              <w:keepNext w:val="0"/>
              <w:keepLines w:val="0"/>
              <w:widowControl/>
              <w:suppressLineNumbers w:val="0"/>
              <w:jc w:val="left"/>
              <w:textAlignment w:val="center"/>
              <w:rPr>
                <w:rFonts w:hint="eastAsia" w:ascii="仿宋" w:hAnsi="仿宋" w:eastAsia="仿宋" w:cs="仿宋"/>
                <w:sz w:val="21"/>
                <w:szCs w:val="21"/>
                <w:highlight w:val="white"/>
              </w:rPr>
            </w:pPr>
            <w:r>
              <w:rPr>
                <w:rFonts w:hint="eastAsia" w:ascii="仿宋" w:hAnsi="仿宋" w:eastAsia="仿宋" w:cs="仿宋"/>
                <w:i w:val="0"/>
                <w:iCs w:val="0"/>
                <w:color w:val="000000"/>
                <w:kern w:val="0"/>
                <w:sz w:val="21"/>
                <w:szCs w:val="21"/>
                <w:u w:val="none"/>
                <w:lang w:val="en-US" w:eastAsia="zh-CN" w:bidi="ar"/>
              </w:rPr>
              <w:t>详见杆件大样图；上部白色，下部2米公安蓝</w:t>
            </w:r>
          </w:p>
        </w:tc>
        <w:tc>
          <w:tcPr>
            <w:tcW w:w="816" w:type="dxa"/>
            <w:shd w:val="clear" w:color="000000" w:fill="FFFFFF"/>
            <w:noWrap w:val="0"/>
            <w:vAlign w:val="center"/>
          </w:tcPr>
          <w:p w14:paraId="3F2749A7">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套</w:t>
            </w:r>
          </w:p>
        </w:tc>
        <w:tc>
          <w:tcPr>
            <w:tcW w:w="876" w:type="dxa"/>
            <w:shd w:val="clear" w:color="000000" w:fill="FFFFFF"/>
            <w:noWrap w:val="0"/>
            <w:vAlign w:val="center"/>
          </w:tcPr>
          <w:p w14:paraId="0F90ECFE">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14</w:t>
            </w:r>
          </w:p>
        </w:tc>
        <w:tc>
          <w:tcPr>
            <w:tcW w:w="1620" w:type="dxa"/>
            <w:shd w:val="clear" w:color="000000" w:fill="FFFFFF"/>
            <w:noWrap w:val="0"/>
            <w:vAlign w:val="center"/>
          </w:tcPr>
          <w:p w14:paraId="5D50F1FF">
            <w:pPr>
              <w:widowControl/>
              <w:jc w:val="center"/>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工业</w:t>
            </w:r>
          </w:p>
        </w:tc>
      </w:tr>
      <w:tr w14:paraId="64CF9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744B69EA">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2）</w:t>
            </w:r>
          </w:p>
        </w:tc>
        <w:tc>
          <w:tcPr>
            <w:tcW w:w="2293" w:type="dxa"/>
            <w:shd w:val="clear" w:color="000000" w:fill="FFFFFF"/>
            <w:noWrap w:val="0"/>
            <w:vAlign w:val="center"/>
          </w:tcPr>
          <w:p w14:paraId="6889D1B2">
            <w:pPr>
              <w:keepNext w:val="0"/>
              <w:keepLines w:val="0"/>
              <w:widowControl/>
              <w:suppressLineNumbers w:val="0"/>
              <w:jc w:val="left"/>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6.5米挑臂2米</w:t>
            </w:r>
          </w:p>
        </w:tc>
        <w:tc>
          <w:tcPr>
            <w:tcW w:w="2628" w:type="dxa"/>
            <w:shd w:val="clear" w:color="000000" w:fill="FFFFFF"/>
            <w:noWrap w:val="0"/>
            <w:vAlign w:val="center"/>
          </w:tcPr>
          <w:p w14:paraId="27A04672">
            <w:pPr>
              <w:keepNext w:val="0"/>
              <w:keepLines w:val="0"/>
              <w:widowControl/>
              <w:suppressLineNumbers w:val="0"/>
              <w:jc w:val="left"/>
              <w:textAlignment w:val="center"/>
              <w:rPr>
                <w:rFonts w:hint="eastAsia" w:ascii="仿宋" w:hAnsi="仿宋" w:eastAsia="仿宋" w:cs="仿宋"/>
                <w:sz w:val="21"/>
                <w:szCs w:val="21"/>
                <w:highlight w:val="white"/>
              </w:rPr>
            </w:pPr>
            <w:r>
              <w:rPr>
                <w:rFonts w:hint="eastAsia" w:ascii="仿宋" w:hAnsi="仿宋" w:eastAsia="仿宋" w:cs="仿宋"/>
                <w:i w:val="0"/>
                <w:iCs w:val="0"/>
                <w:color w:val="000000"/>
                <w:kern w:val="0"/>
                <w:sz w:val="21"/>
                <w:szCs w:val="21"/>
                <w:u w:val="none"/>
                <w:lang w:val="en-US" w:eastAsia="zh-CN" w:bidi="ar"/>
              </w:rPr>
              <w:t>详见杆件大样图；上部白色，下部2米公安蓝</w:t>
            </w:r>
          </w:p>
        </w:tc>
        <w:tc>
          <w:tcPr>
            <w:tcW w:w="816" w:type="dxa"/>
            <w:shd w:val="clear" w:color="000000" w:fill="FFFFFF"/>
            <w:noWrap w:val="0"/>
            <w:vAlign w:val="center"/>
          </w:tcPr>
          <w:p w14:paraId="0127D77E">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套</w:t>
            </w:r>
          </w:p>
        </w:tc>
        <w:tc>
          <w:tcPr>
            <w:tcW w:w="876" w:type="dxa"/>
            <w:shd w:val="clear" w:color="000000" w:fill="FFFFFF"/>
            <w:noWrap w:val="0"/>
            <w:vAlign w:val="center"/>
          </w:tcPr>
          <w:p w14:paraId="46065A7F">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18</w:t>
            </w:r>
          </w:p>
        </w:tc>
        <w:tc>
          <w:tcPr>
            <w:tcW w:w="1620" w:type="dxa"/>
            <w:shd w:val="clear" w:color="000000" w:fill="FFFFFF"/>
            <w:noWrap w:val="0"/>
            <w:vAlign w:val="center"/>
          </w:tcPr>
          <w:p w14:paraId="4F0164C7">
            <w:pPr>
              <w:widowControl/>
              <w:jc w:val="center"/>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工业</w:t>
            </w:r>
          </w:p>
        </w:tc>
      </w:tr>
      <w:tr w14:paraId="6525A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72213C70">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3）</w:t>
            </w:r>
          </w:p>
        </w:tc>
        <w:tc>
          <w:tcPr>
            <w:tcW w:w="2293" w:type="dxa"/>
            <w:shd w:val="clear" w:color="000000" w:fill="FFFFFF"/>
            <w:noWrap w:val="0"/>
            <w:vAlign w:val="center"/>
          </w:tcPr>
          <w:p w14:paraId="3A3B42F1">
            <w:pPr>
              <w:keepNext w:val="0"/>
              <w:keepLines w:val="0"/>
              <w:widowControl/>
              <w:suppressLineNumbers w:val="0"/>
              <w:jc w:val="left"/>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6.5米挑臂4米</w:t>
            </w:r>
          </w:p>
        </w:tc>
        <w:tc>
          <w:tcPr>
            <w:tcW w:w="2628" w:type="dxa"/>
            <w:shd w:val="clear" w:color="000000" w:fill="FFFFFF"/>
            <w:noWrap w:val="0"/>
            <w:vAlign w:val="center"/>
          </w:tcPr>
          <w:p w14:paraId="21091AB1">
            <w:pPr>
              <w:keepNext w:val="0"/>
              <w:keepLines w:val="0"/>
              <w:widowControl/>
              <w:suppressLineNumbers w:val="0"/>
              <w:jc w:val="left"/>
              <w:textAlignment w:val="center"/>
              <w:rPr>
                <w:rFonts w:hint="eastAsia" w:ascii="仿宋" w:hAnsi="仿宋" w:eastAsia="仿宋" w:cs="仿宋"/>
                <w:sz w:val="21"/>
                <w:szCs w:val="21"/>
                <w:highlight w:val="white"/>
              </w:rPr>
            </w:pPr>
            <w:r>
              <w:rPr>
                <w:rFonts w:hint="eastAsia" w:ascii="仿宋" w:hAnsi="仿宋" w:eastAsia="仿宋" w:cs="仿宋"/>
                <w:i w:val="0"/>
                <w:iCs w:val="0"/>
                <w:color w:val="000000"/>
                <w:kern w:val="0"/>
                <w:sz w:val="21"/>
                <w:szCs w:val="21"/>
                <w:u w:val="none"/>
                <w:lang w:val="en-US" w:eastAsia="zh-CN" w:bidi="ar"/>
              </w:rPr>
              <w:t>详见杆件大样图；上部白色，下部2米公安蓝</w:t>
            </w:r>
          </w:p>
        </w:tc>
        <w:tc>
          <w:tcPr>
            <w:tcW w:w="816" w:type="dxa"/>
            <w:shd w:val="clear" w:color="000000" w:fill="FFFFFF"/>
            <w:noWrap w:val="0"/>
            <w:vAlign w:val="center"/>
          </w:tcPr>
          <w:p w14:paraId="12952997">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套</w:t>
            </w:r>
          </w:p>
        </w:tc>
        <w:tc>
          <w:tcPr>
            <w:tcW w:w="876" w:type="dxa"/>
            <w:shd w:val="clear" w:color="000000" w:fill="FFFFFF"/>
            <w:noWrap w:val="0"/>
            <w:vAlign w:val="center"/>
          </w:tcPr>
          <w:p w14:paraId="27754D37">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15</w:t>
            </w:r>
          </w:p>
        </w:tc>
        <w:tc>
          <w:tcPr>
            <w:tcW w:w="1620" w:type="dxa"/>
            <w:shd w:val="clear" w:color="000000" w:fill="FFFFFF"/>
            <w:noWrap w:val="0"/>
            <w:vAlign w:val="center"/>
          </w:tcPr>
          <w:p w14:paraId="29C38A13">
            <w:pPr>
              <w:widowControl/>
              <w:jc w:val="center"/>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工业</w:t>
            </w:r>
          </w:p>
        </w:tc>
      </w:tr>
      <w:tr w14:paraId="0D76E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1F8287C4">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4）</w:t>
            </w:r>
          </w:p>
        </w:tc>
        <w:tc>
          <w:tcPr>
            <w:tcW w:w="2293" w:type="dxa"/>
            <w:shd w:val="clear" w:color="000000" w:fill="FFFFFF"/>
            <w:noWrap w:val="0"/>
            <w:vAlign w:val="center"/>
          </w:tcPr>
          <w:p w14:paraId="7C536E74">
            <w:pPr>
              <w:keepNext w:val="0"/>
              <w:keepLines w:val="0"/>
              <w:widowControl/>
              <w:suppressLineNumbers w:val="0"/>
              <w:jc w:val="left"/>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结构化相机安装组件</w:t>
            </w:r>
          </w:p>
        </w:tc>
        <w:tc>
          <w:tcPr>
            <w:tcW w:w="2628" w:type="dxa"/>
            <w:shd w:val="clear" w:color="000000" w:fill="FFFFFF"/>
            <w:noWrap w:val="0"/>
            <w:vAlign w:val="center"/>
          </w:tcPr>
          <w:p w14:paraId="78D2D37D">
            <w:pPr>
              <w:keepNext w:val="0"/>
              <w:keepLines w:val="0"/>
              <w:widowControl/>
              <w:suppressLineNumbers w:val="0"/>
              <w:jc w:val="left"/>
              <w:textAlignment w:val="center"/>
              <w:rPr>
                <w:rFonts w:hint="eastAsia" w:ascii="仿宋" w:hAnsi="仿宋" w:eastAsia="仿宋" w:cs="仿宋"/>
                <w:sz w:val="21"/>
                <w:szCs w:val="21"/>
                <w:highlight w:val="white"/>
              </w:rPr>
            </w:pPr>
            <w:r>
              <w:rPr>
                <w:rFonts w:hint="eastAsia" w:ascii="仿宋" w:hAnsi="仿宋" w:eastAsia="仿宋" w:cs="仿宋"/>
                <w:i w:val="0"/>
                <w:iCs w:val="0"/>
                <w:color w:val="000000"/>
                <w:kern w:val="0"/>
                <w:sz w:val="21"/>
                <w:szCs w:val="21"/>
                <w:u w:val="none"/>
                <w:lang w:val="en-US" w:eastAsia="zh-CN" w:bidi="ar"/>
              </w:rPr>
              <w:t>结构化相机安装组件</w:t>
            </w:r>
          </w:p>
        </w:tc>
        <w:tc>
          <w:tcPr>
            <w:tcW w:w="816" w:type="dxa"/>
            <w:shd w:val="clear" w:color="000000" w:fill="FFFFFF"/>
            <w:noWrap w:val="0"/>
            <w:vAlign w:val="center"/>
          </w:tcPr>
          <w:p w14:paraId="086EC84B">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套</w:t>
            </w:r>
          </w:p>
        </w:tc>
        <w:tc>
          <w:tcPr>
            <w:tcW w:w="876" w:type="dxa"/>
            <w:shd w:val="clear" w:color="000000" w:fill="FFFFFF"/>
            <w:noWrap w:val="0"/>
            <w:vAlign w:val="center"/>
          </w:tcPr>
          <w:p w14:paraId="42ADD8BB">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 xml:space="preserve">36 </w:t>
            </w:r>
          </w:p>
        </w:tc>
        <w:tc>
          <w:tcPr>
            <w:tcW w:w="1620" w:type="dxa"/>
            <w:shd w:val="clear" w:color="000000" w:fill="FFFFFF"/>
            <w:noWrap w:val="0"/>
            <w:vAlign w:val="center"/>
          </w:tcPr>
          <w:p w14:paraId="6E971598">
            <w:pPr>
              <w:widowControl/>
              <w:jc w:val="center"/>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工业</w:t>
            </w:r>
          </w:p>
        </w:tc>
      </w:tr>
      <w:tr w14:paraId="53BF0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09261517">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5）</w:t>
            </w:r>
          </w:p>
        </w:tc>
        <w:tc>
          <w:tcPr>
            <w:tcW w:w="2293" w:type="dxa"/>
            <w:shd w:val="clear" w:color="000000" w:fill="FFFFFF"/>
            <w:noWrap w:val="0"/>
            <w:vAlign w:val="center"/>
          </w:tcPr>
          <w:p w14:paraId="4A1EEFF9">
            <w:pPr>
              <w:keepNext w:val="0"/>
              <w:keepLines w:val="0"/>
              <w:widowControl/>
              <w:suppressLineNumbers w:val="0"/>
              <w:jc w:val="left"/>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相机安装组件</w:t>
            </w:r>
          </w:p>
        </w:tc>
        <w:tc>
          <w:tcPr>
            <w:tcW w:w="2628" w:type="dxa"/>
            <w:shd w:val="clear" w:color="000000" w:fill="FFFFFF"/>
            <w:noWrap w:val="0"/>
            <w:vAlign w:val="center"/>
          </w:tcPr>
          <w:p w14:paraId="040A629E">
            <w:pPr>
              <w:keepNext w:val="0"/>
              <w:keepLines w:val="0"/>
              <w:widowControl/>
              <w:suppressLineNumbers w:val="0"/>
              <w:jc w:val="left"/>
              <w:textAlignment w:val="center"/>
              <w:rPr>
                <w:rFonts w:hint="eastAsia" w:ascii="仿宋" w:hAnsi="仿宋" w:eastAsia="仿宋" w:cs="仿宋"/>
                <w:sz w:val="21"/>
                <w:szCs w:val="21"/>
                <w:highlight w:val="white"/>
              </w:rPr>
            </w:pPr>
            <w:r>
              <w:rPr>
                <w:rFonts w:hint="eastAsia" w:ascii="仿宋" w:hAnsi="仿宋" w:eastAsia="仿宋" w:cs="仿宋"/>
                <w:i w:val="0"/>
                <w:iCs w:val="0"/>
                <w:color w:val="000000"/>
                <w:kern w:val="0"/>
                <w:sz w:val="21"/>
                <w:szCs w:val="21"/>
                <w:u w:val="none"/>
                <w:lang w:val="en-US" w:eastAsia="zh-CN" w:bidi="ar"/>
              </w:rPr>
              <w:t>直径不小于60mm，做斜撑设计，热镀锌喷塑。长度（0.5m～3米）及安装高度根据现场环境调整，裸露线路均需采取PA尼龙管保护固定，需符合架设杆件所属部门的相关要求。</w:t>
            </w:r>
          </w:p>
        </w:tc>
        <w:tc>
          <w:tcPr>
            <w:tcW w:w="816" w:type="dxa"/>
            <w:shd w:val="clear" w:color="000000" w:fill="FFFFFF"/>
            <w:noWrap w:val="0"/>
            <w:vAlign w:val="center"/>
          </w:tcPr>
          <w:p w14:paraId="1770AEF1">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套</w:t>
            </w:r>
          </w:p>
        </w:tc>
        <w:tc>
          <w:tcPr>
            <w:tcW w:w="876" w:type="dxa"/>
            <w:shd w:val="clear" w:color="000000" w:fill="FFFFFF"/>
            <w:noWrap w:val="0"/>
            <w:vAlign w:val="center"/>
          </w:tcPr>
          <w:p w14:paraId="6D33EEE5">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17</w:t>
            </w:r>
          </w:p>
        </w:tc>
        <w:tc>
          <w:tcPr>
            <w:tcW w:w="1620" w:type="dxa"/>
            <w:shd w:val="clear" w:color="000000" w:fill="FFFFFF"/>
            <w:noWrap w:val="0"/>
            <w:vAlign w:val="center"/>
          </w:tcPr>
          <w:p w14:paraId="7CBC918A">
            <w:pPr>
              <w:widowControl/>
              <w:jc w:val="center"/>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none"/>
                <w:lang w:bidi="ar"/>
              </w:rPr>
              <w:t>工业</w:t>
            </w:r>
          </w:p>
        </w:tc>
      </w:tr>
      <w:tr w14:paraId="24633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5C83AAC5">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6）</w:t>
            </w:r>
          </w:p>
        </w:tc>
        <w:tc>
          <w:tcPr>
            <w:tcW w:w="2293" w:type="dxa"/>
            <w:shd w:val="clear" w:color="000000" w:fill="FFFFFF"/>
            <w:noWrap w:val="0"/>
            <w:vAlign w:val="center"/>
          </w:tcPr>
          <w:p w14:paraId="11A3D3EE">
            <w:pPr>
              <w:keepNext w:val="0"/>
              <w:keepLines w:val="0"/>
              <w:widowControl/>
              <w:suppressLineNumbers w:val="0"/>
              <w:jc w:val="left"/>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球机安装支架</w:t>
            </w:r>
          </w:p>
        </w:tc>
        <w:tc>
          <w:tcPr>
            <w:tcW w:w="2628" w:type="dxa"/>
            <w:shd w:val="clear" w:color="000000" w:fill="FFFFFF"/>
            <w:noWrap w:val="0"/>
            <w:vAlign w:val="center"/>
          </w:tcPr>
          <w:p w14:paraId="7EB7241C">
            <w:pPr>
              <w:keepNext w:val="0"/>
              <w:keepLines w:val="0"/>
              <w:widowControl/>
              <w:suppressLineNumbers w:val="0"/>
              <w:jc w:val="left"/>
              <w:textAlignment w:val="center"/>
              <w:rPr>
                <w:rFonts w:hint="eastAsia" w:ascii="仿宋" w:hAnsi="仿宋" w:eastAsia="仿宋" w:cs="仿宋"/>
                <w:sz w:val="21"/>
                <w:szCs w:val="21"/>
                <w:highlight w:val="white"/>
              </w:rPr>
            </w:pPr>
            <w:r>
              <w:rPr>
                <w:rFonts w:hint="eastAsia" w:ascii="仿宋" w:hAnsi="仿宋" w:eastAsia="仿宋" w:cs="仿宋"/>
                <w:i w:val="0"/>
                <w:iCs w:val="0"/>
                <w:color w:val="000000"/>
                <w:kern w:val="0"/>
                <w:sz w:val="21"/>
                <w:szCs w:val="21"/>
                <w:u w:val="none"/>
                <w:lang w:val="en-US" w:eastAsia="zh-CN" w:bidi="ar"/>
              </w:rPr>
              <w:t>定制</w:t>
            </w:r>
          </w:p>
        </w:tc>
        <w:tc>
          <w:tcPr>
            <w:tcW w:w="816" w:type="dxa"/>
            <w:shd w:val="clear" w:color="000000" w:fill="FFFFFF"/>
            <w:noWrap w:val="0"/>
            <w:vAlign w:val="center"/>
          </w:tcPr>
          <w:p w14:paraId="3CA4C9AD">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套</w:t>
            </w:r>
          </w:p>
        </w:tc>
        <w:tc>
          <w:tcPr>
            <w:tcW w:w="876" w:type="dxa"/>
            <w:shd w:val="clear" w:color="000000" w:fill="FFFFFF"/>
            <w:noWrap w:val="0"/>
            <w:vAlign w:val="center"/>
          </w:tcPr>
          <w:p w14:paraId="6B69F6C3">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2</w:t>
            </w:r>
          </w:p>
        </w:tc>
        <w:tc>
          <w:tcPr>
            <w:tcW w:w="1620" w:type="dxa"/>
            <w:shd w:val="clear" w:color="000000" w:fill="FFFFFF"/>
            <w:noWrap w:val="0"/>
            <w:vAlign w:val="center"/>
          </w:tcPr>
          <w:p w14:paraId="1F7F739A">
            <w:pPr>
              <w:widowControl/>
              <w:jc w:val="center"/>
              <w:rPr>
                <w:rFonts w:hint="eastAsia" w:ascii="仿宋" w:hAnsi="仿宋" w:eastAsia="仿宋" w:cs="仿宋"/>
                <w:color w:val="000000"/>
                <w:sz w:val="21"/>
                <w:szCs w:val="21"/>
                <w:highlight w:val="white"/>
              </w:rPr>
            </w:pPr>
            <w:r>
              <w:rPr>
                <w:rFonts w:hint="eastAsia" w:ascii="仿宋" w:hAnsi="仿宋" w:eastAsia="仿宋" w:cs="仿宋"/>
                <w:sz w:val="21"/>
                <w:szCs w:val="21"/>
                <w:highlight w:val="none"/>
              </w:rPr>
              <w:t>工业</w:t>
            </w:r>
          </w:p>
        </w:tc>
      </w:tr>
      <w:tr w14:paraId="3F06C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4289E355">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7）</w:t>
            </w:r>
          </w:p>
        </w:tc>
        <w:tc>
          <w:tcPr>
            <w:tcW w:w="2293" w:type="dxa"/>
            <w:shd w:val="clear" w:color="000000" w:fill="FFFFFF"/>
            <w:noWrap w:val="0"/>
            <w:vAlign w:val="center"/>
          </w:tcPr>
          <w:p w14:paraId="30A17227">
            <w:pPr>
              <w:keepNext w:val="0"/>
              <w:keepLines w:val="0"/>
              <w:widowControl/>
              <w:suppressLineNumbers w:val="0"/>
              <w:jc w:val="left"/>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电源线</w:t>
            </w:r>
          </w:p>
        </w:tc>
        <w:tc>
          <w:tcPr>
            <w:tcW w:w="2628" w:type="dxa"/>
            <w:shd w:val="clear" w:color="000000" w:fill="FFFFFF"/>
            <w:noWrap w:val="0"/>
            <w:vAlign w:val="center"/>
          </w:tcPr>
          <w:p w14:paraId="222F2509">
            <w:pPr>
              <w:keepNext w:val="0"/>
              <w:keepLines w:val="0"/>
              <w:widowControl/>
              <w:suppressLineNumbers w:val="0"/>
              <w:jc w:val="left"/>
              <w:textAlignment w:val="center"/>
              <w:rPr>
                <w:rFonts w:hint="eastAsia" w:ascii="仿宋" w:hAnsi="仿宋" w:eastAsia="仿宋" w:cs="仿宋"/>
                <w:sz w:val="21"/>
                <w:szCs w:val="21"/>
                <w:highlight w:val="white"/>
              </w:rPr>
            </w:pPr>
            <w:r>
              <w:rPr>
                <w:rFonts w:hint="eastAsia" w:ascii="仿宋" w:hAnsi="仿宋" w:eastAsia="仿宋" w:cs="仿宋"/>
                <w:i w:val="0"/>
                <w:iCs w:val="0"/>
                <w:color w:val="000000"/>
                <w:kern w:val="0"/>
                <w:sz w:val="21"/>
                <w:szCs w:val="21"/>
                <w:u w:val="none"/>
                <w:lang w:val="en-US" w:eastAsia="zh-CN" w:bidi="ar"/>
              </w:rPr>
              <w:t>国标，RVV2×6.0mm²</w:t>
            </w:r>
          </w:p>
        </w:tc>
        <w:tc>
          <w:tcPr>
            <w:tcW w:w="816" w:type="dxa"/>
            <w:shd w:val="clear" w:color="000000" w:fill="FFFFFF"/>
            <w:noWrap w:val="0"/>
            <w:vAlign w:val="center"/>
          </w:tcPr>
          <w:p w14:paraId="04BD2848">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米</w:t>
            </w:r>
          </w:p>
        </w:tc>
        <w:tc>
          <w:tcPr>
            <w:tcW w:w="876" w:type="dxa"/>
            <w:shd w:val="clear" w:color="000000" w:fill="FFFFFF"/>
            <w:noWrap w:val="0"/>
            <w:vAlign w:val="center"/>
          </w:tcPr>
          <w:p w14:paraId="6C22CB1B">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300</w:t>
            </w:r>
          </w:p>
        </w:tc>
        <w:tc>
          <w:tcPr>
            <w:tcW w:w="1620" w:type="dxa"/>
            <w:shd w:val="clear" w:color="000000" w:fill="FFFFFF"/>
            <w:noWrap w:val="0"/>
            <w:vAlign w:val="center"/>
          </w:tcPr>
          <w:p w14:paraId="2DDA8762">
            <w:pPr>
              <w:widowControl/>
              <w:jc w:val="center"/>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工业</w:t>
            </w:r>
          </w:p>
        </w:tc>
      </w:tr>
      <w:tr w14:paraId="1165C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1569D7FC">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8）</w:t>
            </w:r>
          </w:p>
        </w:tc>
        <w:tc>
          <w:tcPr>
            <w:tcW w:w="2293" w:type="dxa"/>
            <w:shd w:val="clear" w:color="000000" w:fill="FFFFFF"/>
            <w:noWrap w:val="0"/>
            <w:vAlign w:val="center"/>
          </w:tcPr>
          <w:p w14:paraId="4F06A2CB">
            <w:pPr>
              <w:keepNext w:val="0"/>
              <w:keepLines w:val="0"/>
              <w:widowControl/>
              <w:suppressLineNumbers w:val="0"/>
              <w:jc w:val="left"/>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电源线</w:t>
            </w:r>
          </w:p>
        </w:tc>
        <w:tc>
          <w:tcPr>
            <w:tcW w:w="2628" w:type="dxa"/>
            <w:shd w:val="clear" w:color="000000" w:fill="FFFFFF"/>
            <w:noWrap w:val="0"/>
            <w:vAlign w:val="center"/>
          </w:tcPr>
          <w:p w14:paraId="2C10F686">
            <w:pPr>
              <w:keepNext w:val="0"/>
              <w:keepLines w:val="0"/>
              <w:widowControl/>
              <w:suppressLineNumbers w:val="0"/>
              <w:jc w:val="left"/>
              <w:textAlignment w:val="center"/>
              <w:rPr>
                <w:rFonts w:hint="eastAsia" w:ascii="仿宋" w:hAnsi="仿宋" w:eastAsia="仿宋" w:cs="仿宋"/>
                <w:sz w:val="21"/>
                <w:szCs w:val="21"/>
                <w:highlight w:val="white"/>
              </w:rPr>
            </w:pPr>
            <w:r>
              <w:rPr>
                <w:rFonts w:hint="eastAsia" w:ascii="仿宋" w:hAnsi="仿宋" w:eastAsia="仿宋" w:cs="仿宋"/>
                <w:i w:val="0"/>
                <w:iCs w:val="0"/>
                <w:color w:val="000000"/>
                <w:kern w:val="0"/>
                <w:sz w:val="21"/>
                <w:szCs w:val="21"/>
                <w:u w:val="none"/>
                <w:lang w:val="en-US" w:eastAsia="zh-CN" w:bidi="ar"/>
              </w:rPr>
              <w:t>国标，RVV3×2.5mm²</w:t>
            </w:r>
          </w:p>
        </w:tc>
        <w:tc>
          <w:tcPr>
            <w:tcW w:w="816" w:type="dxa"/>
            <w:shd w:val="clear" w:color="000000" w:fill="FFFFFF"/>
            <w:noWrap w:val="0"/>
            <w:vAlign w:val="center"/>
          </w:tcPr>
          <w:p w14:paraId="37A8C8BD">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米</w:t>
            </w:r>
          </w:p>
        </w:tc>
        <w:tc>
          <w:tcPr>
            <w:tcW w:w="876" w:type="dxa"/>
            <w:shd w:val="clear" w:color="000000" w:fill="FFFFFF"/>
            <w:noWrap w:val="0"/>
            <w:vAlign w:val="center"/>
          </w:tcPr>
          <w:p w14:paraId="482E31B3">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1845</w:t>
            </w:r>
          </w:p>
        </w:tc>
        <w:tc>
          <w:tcPr>
            <w:tcW w:w="1620" w:type="dxa"/>
            <w:shd w:val="clear" w:color="000000" w:fill="FFFFFF"/>
            <w:noWrap w:val="0"/>
            <w:vAlign w:val="center"/>
          </w:tcPr>
          <w:p w14:paraId="1D812A43">
            <w:pPr>
              <w:widowControl/>
              <w:jc w:val="center"/>
              <w:rPr>
                <w:rFonts w:hint="eastAsia" w:ascii="仿宋" w:hAnsi="仿宋" w:eastAsia="仿宋" w:cs="仿宋"/>
                <w:b/>
                <w:bCs/>
                <w:color w:val="000000"/>
                <w:sz w:val="21"/>
                <w:szCs w:val="21"/>
                <w:highlight w:val="white"/>
              </w:rPr>
            </w:pPr>
            <w:r>
              <w:rPr>
                <w:rFonts w:hint="eastAsia" w:ascii="仿宋" w:hAnsi="仿宋" w:eastAsia="仿宋" w:cs="仿宋"/>
                <w:color w:val="000000"/>
                <w:sz w:val="21"/>
                <w:szCs w:val="21"/>
                <w:highlight w:val="white"/>
                <w:lang w:bidi="ar"/>
              </w:rPr>
              <w:t>工业</w:t>
            </w:r>
          </w:p>
        </w:tc>
      </w:tr>
      <w:tr w14:paraId="6B2A7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4E07236A">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9）</w:t>
            </w:r>
          </w:p>
        </w:tc>
        <w:tc>
          <w:tcPr>
            <w:tcW w:w="2293" w:type="dxa"/>
            <w:shd w:val="clear" w:color="000000" w:fill="FFFFFF"/>
            <w:noWrap w:val="0"/>
            <w:vAlign w:val="center"/>
          </w:tcPr>
          <w:p w14:paraId="11BBF543">
            <w:pPr>
              <w:keepNext w:val="0"/>
              <w:keepLines w:val="0"/>
              <w:widowControl/>
              <w:suppressLineNumbers w:val="0"/>
              <w:jc w:val="left"/>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电源线</w:t>
            </w:r>
          </w:p>
        </w:tc>
        <w:tc>
          <w:tcPr>
            <w:tcW w:w="2628" w:type="dxa"/>
            <w:shd w:val="clear" w:color="000000" w:fill="FFFFFF"/>
            <w:noWrap w:val="0"/>
            <w:vAlign w:val="center"/>
          </w:tcPr>
          <w:p w14:paraId="6E7714F0">
            <w:pPr>
              <w:keepNext w:val="0"/>
              <w:keepLines w:val="0"/>
              <w:widowControl/>
              <w:suppressLineNumbers w:val="0"/>
              <w:jc w:val="left"/>
              <w:textAlignment w:val="center"/>
              <w:rPr>
                <w:rFonts w:hint="eastAsia" w:ascii="仿宋" w:hAnsi="仿宋" w:eastAsia="仿宋" w:cs="仿宋"/>
                <w:sz w:val="21"/>
                <w:szCs w:val="21"/>
                <w:highlight w:val="white"/>
              </w:rPr>
            </w:pPr>
            <w:r>
              <w:rPr>
                <w:rFonts w:hint="eastAsia" w:ascii="仿宋" w:hAnsi="仿宋" w:eastAsia="仿宋" w:cs="仿宋"/>
                <w:i w:val="0"/>
                <w:iCs w:val="0"/>
                <w:color w:val="000000"/>
                <w:kern w:val="0"/>
                <w:sz w:val="21"/>
                <w:szCs w:val="21"/>
                <w:u w:val="none"/>
                <w:lang w:val="en-US" w:eastAsia="zh-CN" w:bidi="ar"/>
              </w:rPr>
              <w:t>国标，RVV3×0.75mm²</w:t>
            </w:r>
          </w:p>
        </w:tc>
        <w:tc>
          <w:tcPr>
            <w:tcW w:w="816" w:type="dxa"/>
            <w:shd w:val="clear" w:color="000000" w:fill="FFFFFF"/>
            <w:noWrap w:val="0"/>
            <w:vAlign w:val="center"/>
          </w:tcPr>
          <w:p w14:paraId="44B0A7CB">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米</w:t>
            </w:r>
          </w:p>
        </w:tc>
        <w:tc>
          <w:tcPr>
            <w:tcW w:w="876" w:type="dxa"/>
            <w:shd w:val="clear" w:color="000000" w:fill="FFFFFF"/>
            <w:noWrap w:val="0"/>
            <w:vAlign w:val="center"/>
          </w:tcPr>
          <w:p w14:paraId="00DC29E5">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1065</w:t>
            </w:r>
          </w:p>
        </w:tc>
        <w:tc>
          <w:tcPr>
            <w:tcW w:w="1620" w:type="dxa"/>
            <w:shd w:val="clear" w:color="000000" w:fill="FFFFFF"/>
            <w:noWrap w:val="0"/>
            <w:vAlign w:val="center"/>
          </w:tcPr>
          <w:p w14:paraId="19876466">
            <w:pPr>
              <w:widowControl/>
              <w:jc w:val="center"/>
              <w:rPr>
                <w:rFonts w:hint="eastAsia" w:ascii="仿宋" w:hAnsi="仿宋" w:eastAsia="仿宋" w:cs="仿宋"/>
                <w:b/>
                <w:bCs/>
                <w:color w:val="000000"/>
                <w:sz w:val="21"/>
                <w:szCs w:val="21"/>
                <w:highlight w:val="white"/>
              </w:rPr>
            </w:pPr>
            <w:r>
              <w:rPr>
                <w:rFonts w:hint="eastAsia" w:ascii="仿宋" w:hAnsi="仿宋" w:eastAsia="仿宋" w:cs="仿宋"/>
                <w:color w:val="000000"/>
                <w:sz w:val="21"/>
                <w:szCs w:val="21"/>
                <w:highlight w:val="white"/>
                <w:lang w:bidi="ar"/>
              </w:rPr>
              <w:t>工业</w:t>
            </w:r>
          </w:p>
        </w:tc>
      </w:tr>
      <w:tr w14:paraId="5C6E5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5ACCE737">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10）</w:t>
            </w:r>
          </w:p>
        </w:tc>
        <w:tc>
          <w:tcPr>
            <w:tcW w:w="2293" w:type="dxa"/>
            <w:shd w:val="clear" w:color="000000" w:fill="FFFFFF"/>
            <w:noWrap w:val="0"/>
            <w:vAlign w:val="center"/>
          </w:tcPr>
          <w:p w14:paraId="6753BCF9">
            <w:pPr>
              <w:keepNext w:val="0"/>
              <w:keepLines w:val="0"/>
              <w:widowControl/>
              <w:suppressLineNumbers w:val="0"/>
              <w:jc w:val="left"/>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网线</w:t>
            </w:r>
          </w:p>
        </w:tc>
        <w:tc>
          <w:tcPr>
            <w:tcW w:w="2628" w:type="dxa"/>
            <w:shd w:val="clear" w:color="000000" w:fill="FFFFFF"/>
            <w:noWrap w:val="0"/>
            <w:vAlign w:val="center"/>
          </w:tcPr>
          <w:p w14:paraId="61EBCEE4">
            <w:pPr>
              <w:keepNext w:val="0"/>
              <w:keepLines w:val="0"/>
              <w:widowControl/>
              <w:suppressLineNumbers w:val="0"/>
              <w:jc w:val="left"/>
              <w:textAlignment w:val="center"/>
              <w:rPr>
                <w:rFonts w:hint="eastAsia" w:ascii="仿宋" w:hAnsi="仿宋" w:eastAsia="仿宋" w:cs="仿宋"/>
                <w:sz w:val="21"/>
                <w:szCs w:val="21"/>
                <w:highlight w:val="white"/>
              </w:rPr>
            </w:pPr>
            <w:r>
              <w:rPr>
                <w:rFonts w:hint="eastAsia" w:ascii="仿宋" w:hAnsi="仿宋" w:eastAsia="仿宋" w:cs="仿宋"/>
                <w:i w:val="0"/>
                <w:iCs w:val="0"/>
                <w:color w:val="000000"/>
                <w:kern w:val="0"/>
                <w:sz w:val="21"/>
                <w:szCs w:val="21"/>
                <w:u w:val="none"/>
                <w:lang w:val="en-US" w:eastAsia="zh-CN" w:bidi="ar"/>
              </w:rPr>
              <w:t>国标，室外超六类线</w:t>
            </w:r>
          </w:p>
        </w:tc>
        <w:tc>
          <w:tcPr>
            <w:tcW w:w="816" w:type="dxa"/>
            <w:shd w:val="clear" w:color="000000" w:fill="FFFFFF"/>
            <w:noWrap w:val="0"/>
            <w:vAlign w:val="center"/>
          </w:tcPr>
          <w:p w14:paraId="3D386CA6">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米</w:t>
            </w:r>
          </w:p>
        </w:tc>
        <w:tc>
          <w:tcPr>
            <w:tcW w:w="876" w:type="dxa"/>
            <w:shd w:val="clear" w:color="000000" w:fill="FFFFFF"/>
            <w:noWrap w:val="0"/>
            <w:vAlign w:val="center"/>
          </w:tcPr>
          <w:p w14:paraId="0DFF259A">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b/>
                <w:bCs/>
                <w:i w:val="0"/>
                <w:iCs w:val="0"/>
                <w:color w:val="000000"/>
                <w:kern w:val="0"/>
                <w:sz w:val="21"/>
                <w:szCs w:val="21"/>
                <w:u w:val="none"/>
                <w:lang w:val="en-US" w:eastAsia="zh-CN" w:bidi="ar"/>
              </w:rPr>
              <w:t>1065</w:t>
            </w:r>
          </w:p>
        </w:tc>
        <w:tc>
          <w:tcPr>
            <w:tcW w:w="1620" w:type="dxa"/>
            <w:shd w:val="clear" w:color="000000" w:fill="FFFFFF"/>
            <w:noWrap w:val="0"/>
            <w:vAlign w:val="center"/>
          </w:tcPr>
          <w:p w14:paraId="6598EDC0">
            <w:pPr>
              <w:widowControl/>
              <w:jc w:val="center"/>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bidi="ar"/>
              </w:rPr>
              <w:t>工业</w:t>
            </w:r>
          </w:p>
        </w:tc>
      </w:tr>
      <w:tr w14:paraId="5D3B3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2E23779B">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b/>
                <w:bCs/>
                <w:i w:val="0"/>
                <w:iCs w:val="0"/>
                <w:color w:val="000000"/>
                <w:sz w:val="21"/>
                <w:szCs w:val="21"/>
                <w:highlight w:val="white"/>
                <w:u w:val="none"/>
                <w:lang w:val="en-US" w:eastAsia="zh-CN" w:bidi="ar"/>
              </w:rPr>
              <w:t>3、</w:t>
            </w:r>
          </w:p>
        </w:tc>
        <w:tc>
          <w:tcPr>
            <w:tcW w:w="2293" w:type="dxa"/>
            <w:shd w:val="clear" w:color="000000" w:fill="FFFFFF"/>
            <w:noWrap w:val="0"/>
            <w:vAlign w:val="center"/>
          </w:tcPr>
          <w:p w14:paraId="7D64F90A">
            <w:pPr>
              <w:keepNext w:val="0"/>
              <w:keepLines w:val="0"/>
              <w:widowControl/>
              <w:suppressLineNumbers w:val="0"/>
              <w:jc w:val="center"/>
              <w:rPr>
                <w:rFonts w:hint="eastAsia" w:ascii="仿宋" w:hAnsi="仿宋" w:eastAsia="仿宋" w:cs="仿宋"/>
                <w:color w:val="000000"/>
                <w:sz w:val="21"/>
                <w:szCs w:val="21"/>
                <w:highlight w:val="white"/>
              </w:rPr>
            </w:pPr>
            <w:r>
              <w:rPr>
                <w:rFonts w:hint="eastAsia" w:ascii="仿宋" w:hAnsi="仿宋" w:eastAsia="仿宋" w:cs="仿宋"/>
                <w:b/>
                <w:bCs/>
                <w:i w:val="0"/>
                <w:iCs w:val="0"/>
                <w:color w:val="000000"/>
                <w:sz w:val="21"/>
                <w:szCs w:val="21"/>
                <w:highlight w:val="white"/>
                <w:u w:val="none"/>
                <w:lang w:val="en-US" w:eastAsia="zh-CN" w:bidi="ar"/>
              </w:rPr>
              <w:t>基建部分</w:t>
            </w:r>
          </w:p>
        </w:tc>
        <w:tc>
          <w:tcPr>
            <w:tcW w:w="2628" w:type="dxa"/>
            <w:shd w:val="clear" w:color="000000" w:fill="FFFFFF"/>
            <w:noWrap w:val="0"/>
            <w:vAlign w:val="center"/>
          </w:tcPr>
          <w:p w14:paraId="51C45005">
            <w:pPr>
              <w:widowControl/>
              <w:jc w:val="left"/>
              <w:rPr>
                <w:rFonts w:hint="eastAsia" w:ascii="仿宋" w:hAnsi="仿宋" w:eastAsia="仿宋" w:cs="仿宋"/>
                <w:sz w:val="21"/>
                <w:szCs w:val="21"/>
                <w:highlight w:val="white"/>
              </w:rPr>
            </w:pPr>
          </w:p>
        </w:tc>
        <w:tc>
          <w:tcPr>
            <w:tcW w:w="816" w:type="dxa"/>
            <w:shd w:val="clear" w:color="000000" w:fill="FFFFFF"/>
            <w:noWrap w:val="0"/>
            <w:vAlign w:val="center"/>
          </w:tcPr>
          <w:p w14:paraId="2283A99B">
            <w:pPr>
              <w:widowControl/>
              <w:jc w:val="center"/>
              <w:rPr>
                <w:rFonts w:hint="eastAsia" w:ascii="仿宋" w:hAnsi="仿宋" w:eastAsia="仿宋" w:cs="仿宋"/>
                <w:color w:val="000000"/>
                <w:sz w:val="21"/>
                <w:szCs w:val="21"/>
                <w:highlight w:val="white"/>
              </w:rPr>
            </w:pPr>
          </w:p>
        </w:tc>
        <w:tc>
          <w:tcPr>
            <w:tcW w:w="876" w:type="dxa"/>
            <w:shd w:val="clear" w:color="000000" w:fill="FFFFFF"/>
            <w:noWrap w:val="0"/>
            <w:vAlign w:val="center"/>
          </w:tcPr>
          <w:p w14:paraId="1A939C4F">
            <w:pPr>
              <w:widowControl/>
              <w:jc w:val="center"/>
              <w:rPr>
                <w:rFonts w:hint="eastAsia" w:ascii="仿宋" w:hAnsi="仿宋" w:eastAsia="仿宋" w:cs="仿宋"/>
                <w:color w:val="000000"/>
                <w:sz w:val="21"/>
                <w:szCs w:val="21"/>
                <w:highlight w:val="white"/>
              </w:rPr>
            </w:pPr>
          </w:p>
        </w:tc>
        <w:tc>
          <w:tcPr>
            <w:tcW w:w="1620" w:type="dxa"/>
            <w:shd w:val="clear" w:color="000000" w:fill="FFFFFF"/>
            <w:noWrap w:val="0"/>
            <w:vAlign w:val="center"/>
          </w:tcPr>
          <w:p w14:paraId="59B1BFF3">
            <w:pPr>
              <w:widowControl/>
              <w:jc w:val="center"/>
              <w:rPr>
                <w:rFonts w:hint="eastAsia" w:ascii="仿宋" w:hAnsi="仿宋" w:eastAsia="仿宋" w:cs="仿宋"/>
                <w:color w:val="000000"/>
                <w:sz w:val="21"/>
                <w:szCs w:val="21"/>
                <w:highlight w:val="white"/>
              </w:rPr>
            </w:pPr>
          </w:p>
        </w:tc>
      </w:tr>
      <w:tr w14:paraId="1ECFE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78C00C02">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1）</w:t>
            </w:r>
          </w:p>
        </w:tc>
        <w:tc>
          <w:tcPr>
            <w:tcW w:w="2293" w:type="dxa"/>
            <w:shd w:val="clear" w:color="000000" w:fill="FFFFFF"/>
            <w:noWrap w:val="0"/>
            <w:vAlign w:val="center"/>
          </w:tcPr>
          <w:p w14:paraId="506BDDD0">
            <w:pPr>
              <w:keepNext w:val="0"/>
              <w:keepLines w:val="0"/>
              <w:widowControl/>
              <w:suppressLineNumbers w:val="0"/>
              <w:jc w:val="left"/>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穿线井及井盖</w:t>
            </w:r>
          </w:p>
        </w:tc>
        <w:tc>
          <w:tcPr>
            <w:tcW w:w="2628" w:type="dxa"/>
            <w:shd w:val="clear" w:color="000000" w:fill="FFFFFF"/>
            <w:noWrap w:val="0"/>
            <w:vAlign w:val="center"/>
          </w:tcPr>
          <w:p w14:paraId="18C691A3">
            <w:pPr>
              <w:keepNext w:val="0"/>
              <w:keepLines w:val="0"/>
              <w:widowControl/>
              <w:suppressLineNumbers w:val="0"/>
              <w:jc w:val="left"/>
              <w:textAlignment w:val="center"/>
              <w:rPr>
                <w:rFonts w:hint="eastAsia" w:ascii="仿宋" w:hAnsi="仿宋" w:eastAsia="仿宋" w:cs="仿宋"/>
                <w:sz w:val="21"/>
                <w:szCs w:val="21"/>
                <w:highlight w:val="white"/>
              </w:rPr>
            </w:pPr>
            <w:r>
              <w:rPr>
                <w:rFonts w:hint="eastAsia" w:ascii="仿宋" w:hAnsi="仿宋" w:eastAsia="仿宋" w:cs="仿宋"/>
                <w:i w:val="0"/>
                <w:iCs w:val="0"/>
                <w:color w:val="000000"/>
                <w:kern w:val="0"/>
                <w:sz w:val="21"/>
                <w:szCs w:val="21"/>
                <w:u w:val="none"/>
                <w:lang w:val="en-US" w:eastAsia="zh-CN" w:bidi="ar"/>
              </w:rPr>
              <w:t>50cm*50cm*50cm，井盖上印有“公安专用”标志。</w:t>
            </w:r>
          </w:p>
        </w:tc>
        <w:tc>
          <w:tcPr>
            <w:tcW w:w="816" w:type="dxa"/>
            <w:shd w:val="clear" w:color="000000" w:fill="FFFFFF"/>
            <w:noWrap w:val="0"/>
            <w:vAlign w:val="center"/>
          </w:tcPr>
          <w:p w14:paraId="489C8546">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只</w:t>
            </w:r>
          </w:p>
        </w:tc>
        <w:tc>
          <w:tcPr>
            <w:tcW w:w="876" w:type="dxa"/>
            <w:shd w:val="clear" w:color="000000" w:fill="FFFFFF"/>
            <w:noWrap w:val="0"/>
            <w:vAlign w:val="center"/>
          </w:tcPr>
          <w:p w14:paraId="1E6927BD">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94</w:t>
            </w:r>
          </w:p>
        </w:tc>
        <w:tc>
          <w:tcPr>
            <w:tcW w:w="1620" w:type="dxa"/>
            <w:shd w:val="clear" w:color="000000" w:fill="FFFFFF"/>
            <w:noWrap w:val="0"/>
            <w:vAlign w:val="center"/>
          </w:tcPr>
          <w:p w14:paraId="06D78F52">
            <w:pPr>
              <w:widowControl/>
              <w:jc w:val="center"/>
              <w:rPr>
                <w:rFonts w:hint="eastAsia" w:ascii="仿宋" w:hAnsi="仿宋" w:eastAsia="仿宋" w:cs="仿宋"/>
                <w:color w:val="000000"/>
                <w:sz w:val="21"/>
                <w:szCs w:val="21"/>
                <w:highlight w:val="white"/>
              </w:rPr>
            </w:pPr>
            <w:r>
              <w:rPr>
                <w:rFonts w:hint="eastAsia" w:ascii="仿宋" w:hAnsi="仿宋" w:eastAsia="仿宋" w:cs="仿宋"/>
                <w:sz w:val="21"/>
                <w:szCs w:val="21"/>
                <w:highlight w:val="none"/>
              </w:rPr>
              <w:t>建筑业</w:t>
            </w:r>
          </w:p>
        </w:tc>
      </w:tr>
      <w:tr w14:paraId="28FFC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4B452ECE">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2）</w:t>
            </w:r>
          </w:p>
        </w:tc>
        <w:tc>
          <w:tcPr>
            <w:tcW w:w="2293" w:type="dxa"/>
            <w:shd w:val="clear" w:color="000000" w:fill="FFFFFF"/>
            <w:noWrap w:val="0"/>
            <w:vAlign w:val="center"/>
          </w:tcPr>
          <w:p w14:paraId="2F148D83">
            <w:pPr>
              <w:keepNext w:val="0"/>
              <w:keepLines w:val="0"/>
              <w:widowControl/>
              <w:suppressLineNumbers w:val="0"/>
              <w:jc w:val="left"/>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开挖管道（不低于1孔）</w:t>
            </w:r>
          </w:p>
        </w:tc>
        <w:tc>
          <w:tcPr>
            <w:tcW w:w="2628" w:type="dxa"/>
            <w:shd w:val="clear" w:color="000000" w:fill="FFFFFF"/>
            <w:noWrap w:val="0"/>
            <w:vAlign w:val="center"/>
          </w:tcPr>
          <w:p w14:paraId="4D924AC6">
            <w:pPr>
              <w:keepNext w:val="0"/>
              <w:keepLines w:val="0"/>
              <w:widowControl/>
              <w:suppressLineNumbers w:val="0"/>
              <w:jc w:val="left"/>
              <w:textAlignment w:val="center"/>
              <w:rPr>
                <w:rFonts w:hint="eastAsia" w:ascii="仿宋" w:hAnsi="仿宋" w:eastAsia="仿宋" w:cs="仿宋"/>
                <w:sz w:val="21"/>
                <w:szCs w:val="21"/>
                <w:highlight w:val="white"/>
              </w:rPr>
            </w:pPr>
            <w:r>
              <w:rPr>
                <w:rFonts w:hint="eastAsia" w:ascii="仿宋" w:hAnsi="仿宋" w:eastAsia="仿宋" w:cs="仿宋"/>
                <w:i w:val="0"/>
                <w:iCs w:val="0"/>
                <w:color w:val="000000"/>
                <w:kern w:val="0"/>
                <w:sz w:val="21"/>
                <w:szCs w:val="21"/>
                <w:u w:val="none"/>
                <w:lang w:val="en-US" w:eastAsia="zh-CN" w:bidi="ar"/>
              </w:rPr>
              <w:t>按《公安交通管理外场设备基础施工通用要求》，需满足现场实际需求，按实结算。</w:t>
            </w:r>
          </w:p>
        </w:tc>
        <w:tc>
          <w:tcPr>
            <w:tcW w:w="816" w:type="dxa"/>
            <w:shd w:val="clear" w:color="000000" w:fill="FFFFFF"/>
            <w:noWrap w:val="0"/>
            <w:vAlign w:val="center"/>
          </w:tcPr>
          <w:p w14:paraId="5DA5C848">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米</w:t>
            </w:r>
          </w:p>
        </w:tc>
        <w:tc>
          <w:tcPr>
            <w:tcW w:w="876" w:type="dxa"/>
            <w:shd w:val="clear" w:color="000000" w:fill="FFFFFF"/>
            <w:noWrap w:val="0"/>
            <w:vAlign w:val="center"/>
          </w:tcPr>
          <w:p w14:paraId="6F08FCBA">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915</w:t>
            </w:r>
          </w:p>
        </w:tc>
        <w:tc>
          <w:tcPr>
            <w:tcW w:w="1620" w:type="dxa"/>
            <w:shd w:val="clear" w:color="000000" w:fill="FFFFFF"/>
            <w:noWrap w:val="0"/>
            <w:vAlign w:val="center"/>
          </w:tcPr>
          <w:p w14:paraId="56BA70A4">
            <w:pPr>
              <w:widowControl/>
              <w:jc w:val="center"/>
              <w:rPr>
                <w:rFonts w:hint="eastAsia" w:ascii="仿宋" w:hAnsi="仿宋" w:eastAsia="仿宋" w:cs="仿宋"/>
                <w:color w:val="000000"/>
                <w:sz w:val="21"/>
                <w:szCs w:val="21"/>
                <w:highlight w:val="white"/>
              </w:rPr>
            </w:pPr>
            <w:r>
              <w:rPr>
                <w:rFonts w:hint="eastAsia" w:ascii="仿宋" w:hAnsi="仿宋" w:eastAsia="仿宋" w:cs="仿宋"/>
                <w:sz w:val="21"/>
                <w:szCs w:val="21"/>
                <w:highlight w:val="none"/>
              </w:rPr>
              <w:t>建筑业</w:t>
            </w:r>
          </w:p>
        </w:tc>
      </w:tr>
      <w:tr w14:paraId="107E5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01B8FAFA">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3）</w:t>
            </w:r>
          </w:p>
        </w:tc>
        <w:tc>
          <w:tcPr>
            <w:tcW w:w="2293" w:type="dxa"/>
            <w:shd w:val="clear" w:color="000000" w:fill="FFFFFF"/>
            <w:noWrap w:val="0"/>
            <w:vAlign w:val="center"/>
          </w:tcPr>
          <w:p w14:paraId="7D2A7072">
            <w:pPr>
              <w:keepNext w:val="0"/>
              <w:keepLines w:val="0"/>
              <w:widowControl/>
              <w:suppressLineNumbers w:val="0"/>
              <w:jc w:val="left"/>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6.5米杆件新增基础及预埋件含开挖及浇筑（含迁移杆件基础、地笼等）</w:t>
            </w:r>
          </w:p>
        </w:tc>
        <w:tc>
          <w:tcPr>
            <w:tcW w:w="2628" w:type="dxa"/>
            <w:shd w:val="clear" w:color="000000" w:fill="FFFFFF"/>
            <w:noWrap w:val="0"/>
            <w:vAlign w:val="center"/>
          </w:tcPr>
          <w:p w14:paraId="1794C155">
            <w:pPr>
              <w:keepNext w:val="0"/>
              <w:keepLines w:val="0"/>
              <w:widowControl/>
              <w:suppressLineNumbers w:val="0"/>
              <w:jc w:val="left"/>
              <w:textAlignment w:val="center"/>
              <w:rPr>
                <w:rFonts w:hint="eastAsia" w:ascii="仿宋" w:hAnsi="仿宋" w:eastAsia="仿宋" w:cs="仿宋"/>
                <w:sz w:val="21"/>
                <w:szCs w:val="21"/>
                <w:highlight w:val="white"/>
              </w:rPr>
            </w:pPr>
            <w:r>
              <w:rPr>
                <w:rFonts w:hint="eastAsia" w:ascii="仿宋" w:hAnsi="仿宋" w:eastAsia="仿宋" w:cs="仿宋"/>
                <w:i w:val="0"/>
                <w:iCs w:val="0"/>
                <w:color w:val="000000"/>
                <w:kern w:val="0"/>
                <w:sz w:val="21"/>
                <w:szCs w:val="21"/>
                <w:u w:val="none"/>
                <w:lang w:val="en-US" w:eastAsia="zh-CN" w:bidi="ar"/>
              </w:rPr>
              <w:t>定制，接地阻值不大于10Ω，含原有杆件迁移施工前需测量原有杆件底盘，新增地笼，并拆除原有监控杆基础，要求路面平整、无钢筋裸露、无安全隐患。</w:t>
            </w:r>
          </w:p>
        </w:tc>
        <w:tc>
          <w:tcPr>
            <w:tcW w:w="816" w:type="dxa"/>
            <w:shd w:val="clear" w:color="000000" w:fill="FFFFFF"/>
            <w:noWrap w:val="0"/>
            <w:vAlign w:val="center"/>
          </w:tcPr>
          <w:p w14:paraId="196CA414">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套</w:t>
            </w:r>
          </w:p>
        </w:tc>
        <w:tc>
          <w:tcPr>
            <w:tcW w:w="876" w:type="dxa"/>
            <w:shd w:val="clear" w:color="000000" w:fill="FFFFFF"/>
            <w:noWrap w:val="0"/>
            <w:vAlign w:val="center"/>
          </w:tcPr>
          <w:p w14:paraId="15F63D45">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33</w:t>
            </w:r>
          </w:p>
        </w:tc>
        <w:tc>
          <w:tcPr>
            <w:tcW w:w="1620" w:type="dxa"/>
            <w:shd w:val="clear" w:color="000000" w:fill="FFFFFF"/>
            <w:noWrap w:val="0"/>
            <w:vAlign w:val="center"/>
          </w:tcPr>
          <w:p w14:paraId="06E11F83">
            <w:pPr>
              <w:widowControl/>
              <w:jc w:val="center"/>
              <w:rPr>
                <w:rFonts w:hint="eastAsia" w:ascii="仿宋" w:hAnsi="仿宋" w:eastAsia="仿宋" w:cs="仿宋"/>
                <w:color w:val="000000"/>
                <w:sz w:val="21"/>
                <w:szCs w:val="21"/>
                <w:highlight w:val="white"/>
              </w:rPr>
            </w:pPr>
            <w:r>
              <w:rPr>
                <w:rFonts w:hint="eastAsia" w:ascii="仿宋" w:hAnsi="仿宋" w:eastAsia="仿宋" w:cs="仿宋"/>
                <w:sz w:val="21"/>
                <w:szCs w:val="21"/>
                <w:highlight w:val="none"/>
              </w:rPr>
              <w:t>建筑业</w:t>
            </w:r>
          </w:p>
        </w:tc>
      </w:tr>
      <w:tr w14:paraId="51D39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3E2E6CA4">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4）</w:t>
            </w:r>
          </w:p>
        </w:tc>
        <w:tc>
          <w:tcPr>
            <w:tcW w:w="2293" w:type="dxa"/>
            <w:shd w:val="clear" w:color="000000" w:fill="FFFFFF"/>
            <w:noWrap w:val="0"/>
            <w:vAlign w:val="center"/>
          </w:tcPr>
          <w:p w14:paraId="0D880E5F">
            <w:pPr>
              <w:keepNext w:val="0"/>
              <w:keepLines w:val="0"/>
              <w:widowControl/>
              <w:suppressLineNumbers w:val="0"/>
              <w:jc w:val="left"/>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4.5米杆件新增基础及预埋件含开挖及浇筑（含迁移杆件基础、地笼等）</w:t>
            </w:r>
          </w:p>
        </w:tc>
        <w:tc>
          <w:tcPr>
            <w:tcW w:w="2628" w:type="dxa"/>
            <w:shd w:val="clear" w:color="000000" w:fill="FFFFFF"/>
            <w:noWrap w:val="0"/>
            <w:vAlign w:val="center"/>
          </w:tcPr>
          <w:p w14:paraId="3B11ED6F">
            <w:pPr>
              <w:keepNext w:val="0"/>
              <w:keepLines w:val="0"/>
              <w:widowControl/>
              <w:suppressLineNumbers w:val="0"/>
              <w:jc w:val="left"/>
              <w:textAlignment w:val="center"/>
              <w:rPr>
                <w:rFonts w:hint="eastAsia" w:ascii="仿宋" w:hAnsi="仿宋" w:eastAsia="仿宋" w:cs="仿宋"/>
                <w:sz w:val="21"/>
                <w:szCs w:val="21"/>
                <w:highlight w:val="white"/>
              </w:rPr>
            </w:pPr>
            <w:r>
              <w:rPr>
                <w:rFonts w:hint="eastAsia" w:ascii="仿宋" w:hAnsi="仿宋" w:eastAsia="仿宋" w:cs="仿宋"/>
                <w:i w:val="0"/>
                <w:iCs w:val="0"/>
                <w:color w:val="000000"/>
                <w:kern w:val="0"/>
                <w:sz w:val="21"/>
                <w:szCs w:val="21"/>
                <w:u w:val="none"/>
                <w:lang w:val="en-US" w:eastAsia="zh-CN" w:bidi="ar"/>
              </w:rPr>
              <w:t>定制，接地阻值不大于10Ω，含原有杆件迁移施工前需测量原有杆件底盘，新增地笼，并拆除原有监控杆基础，要求路面平整、无钢筋裸露、无安全隐患。</w:t>
            </w:r>
          </w:p>
        </w:tc>
        <w:tc>
          <w:tcPr>
            <w:tcW w:w="816" w:type="dxa"/>
            <w:shd w:val="clear" w:color="000000" w:fill="FFFFFF"/>
            <w:noWrap w:val="0"/>
            <w:vAlign w:val="center"/>
          </w:tcPr>
          <w:p w14:paraId="5999ACF6">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套</w:t>
            </w:r>
          </w:p>
        </w:tc>
        <w:tc>
          <w:tcPr>
            <w:tcW w:w="876" w:type="dxa"/>
            <w:shd w:val="clear" w:color="000000" w:fill="FFFFFF"/>
            <w:noWrap w:val="0"/>
            <w:vAlign w:val="center"/>
          </w:tcPr>
          <w:p w14:paraId="0029D593">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14</w:t>
            </w:r>
          </w:p>
        </w:tc>
        <w:tc>
          <w:tcPr>
            <w:tcW w:w="1620" w:type="dxa"/>
            <w:shd w:val="clear" w:color="000000" w:fill="FFFFFF"/>
            <w:noWrap w:val="0"/>
            <w:vAlign w:val="center"/>
          </w:tcPr>
          <w:p w14:paraId="7BF2325E">
            <w:pPr>
              <w:widowControl/>
              <w:jc w:val="center"/>
              <w:rPr>
                <w:rFonts w:hint="eastAsia" w:ascii="仿宋" w:hAnsi="仿宋" w:eastAsia="仿宋" w:cs="仿宋"/>
                <w:color w:val="000000"/>
                <w:sz w:val="21"/>
                <w:szCs w:val="21"/>
                <w:highlight w:val="white"/>
              </w:rPr>
            </w:pPr>
            <w:r>
              <w:rPr>
                <w:rFonts w:hint="eastAsia" w:ascii="仿宋" w:hAnsi="仿宋" w:eastAsia="仿宋" w:cs="仿宋"/>
                <w:sz w:val="21"/>
                <w:szCs w:val="21"/>
                <w:highlight w:val="none"/>
              </w:rPr>
              <w:t>建筑业</w:t>
            </w:r>
          </w:p>
        </w:tc>
      </w:tr>
      <w:tr w14:paraId="2F7B3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602E3925">
            <w:pPr>
              <w:keepNext w:val="0"/>
              <w:keepLines w:val="0"/>
              <w:widowControl/>
              <w:suppressLineNumbers w:val="0"/>
              <w:jc w:val="center"/>
              <w:rPr>
                <w:rFonts w:hint="eastAsia" w:ascii="仿宋" w:hAnsi="仿宋" w:eastAsia="仿宋" w:cs="仿宋"/>
                <w:sz w:val="21"/>
                <w:szCs w:val="21"/>
                <w:highlight w:val="white"/>
              </w:rPr>
            </w:pPr>
            <w:r>
              <w:rPr>
                <w:rFonts w:hint="eastAsia" w:ascii="仿宋" w:hAnsi="仿宋" w:eastAsia="仿宋" w:cs="仿宋"/>
                <w:i w:val="0"/>
                <w:iCs w:val="0"/>
                <w:color w:val="000000"/>
                <w:sz w:val="21"/>
                <w:szCs w:val="21"/>
                <w:highlight w:val="white"/>
                <w:u w:val="none"/>
                <w:lang w:val="en-US" w:eastAsia="zh-CN" w:bidi="ar"/>
              </w:rPr>
              <w:t>5）</w:t>
            </w:r>
          </w:p>
        </w:tc>
        <w:tc>
          <w:tcPr>
            <w:tcW w:w="2293" w:type="dxa"/>
            <w:shd w:val="clear" w:color="000000" w:fill="FFFFFF"/>
            <w:noWrap w:val="0"/>
            <w:vAlign w:val="center"/>
          </w:tcPr>
          <w:p w14:paraId="339EB8C0">
            <w:pPr>
              <w:keepNext w:val="0"/>
              <w:keepLines w:val="0"/>
              <w:widowControl/>
              <w:suppressLineNumbers w:val="0"/>
              <w:jc w:val="left"/>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线缆敷设</w:t>
            </w:r>
          </w:p>
        </w:tc>
        <w:tc>
          <w:tcPr>
            <w:tcW w:w="2628" w:type="dxa"/>
            <w:shd w:val="clear" w:color="000000" w:fill="FFFFFF"/>
            <w:noWrap w:val="0"/>
            <w:vAlign w:val="center"/>
          </w:tcPr>
          <w:p w14:paraId="511D30A4">
            <w:pPr>
              <w:keepNext w:val="0"/>
              <w:keepLines w:val="0"/>
              <w:widowControl/>
              <w:suppressLineNumbers w:val="0"/>
              <w:jc w:val="left"/>
              <w:textAlignment w:val="center"/>
              <w:rPr>
                <w:rFonts w:hint="eastAsia" w:ascii="仿宋" w:hAnsi="仿宋" w:eastAsia="仿宋" w:cs="仿宋"/>
                <w:sz w:val="21"/>
                <w:szCs w:val="21"/>
                <w:highlight w:val="white"/>
              </w:rPr>
            </w:pPr>
            <w:r>
              <w:rPr>
                <w:rFonts w:hint="eastAsia" w:ascii="仿宋" w:hAnsi="仿宋" w:eastAsia="仿宋" w:cs="仿宋"/>
                <w:i w:val="0"/>
                <w:iCs w:val="0"/>
                <w:color w:val="000000"/>
                <w:kern w:val="0"/>
                <w:sz w:val="21"/>
                <w:szCs w:val="21"/>
                <w:u w:val="none"/>
                <w:lang w:val="en-US" w:eastAsia="zh-CN" w:bidi="ar"/>
              </w:rPr>
              <w:t>按照《公安交通管理外场设备基础施工通用要求》实施</w:t>
            </w:r>
          </w:p>
        </w:tc>
        <w:tc>
          <w:tcPr>
            <w:tcW w:w="816" w:type="dxa"/>
            <w:shd w:val="clear" w:color="000000" w:fill="FFFFFF"/>
            <w:noWrap w:val="0"/>
            <w:vAlign w:val="center"/>
          </w:tcPr>
          <w:p w14:paraId="67E48182">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i w:val="0"/>
                <w:iCs w:val="0"/>
                <w:color w:val="000000"/>
                <w:kern w:val="0"/>
                <w:sz w:val="21"/>
                <w:szCs w:val="21"/>
                <w:u w:val="none"/>
                <w:lang w:val="en-US" w:eastAsia="zh-CN" w:bidi="ar"/>
              </w:rPr>
              <w:t>米</w:t>
            </w:r>
          </w:p>
        </w:tc>
        <w:tc>
          <w:tcPr>
            <w:tcW w:w="876" w:type="dxa"/>
            <w:shd w:val="clear" w:color="000000" w:fill="FFFFFF"/>
            <w:noWrap w:val="0"/>
            <w:vAlign w:val="center"/>
          </w:tcPr>
          <w:p w14:paraId="254FC911">
            <w:pPr>
              <w:keepNext w:val="0"/>
              <w:keepLines w:val="0"/>
              <w:widowControl/>
              <w:suppressLineNumbers w:val="0"/>
              <w:jc w:val="center"/>
              <w:textAlignment w:val="center"/>
              <w:rPr>
                <w:rFonts w:hint="eastAsia" w:ascii="仿宋" w:hAnsi="仿宋" w:eastAsia="仿宋" w:cs="仿宋"/>
                <w:color w:val="000000"/>
                <w:sz w:val="21"/>
                <w:szCs w:val="21"/>
                <w:highlight w:val="white"/>
              </w:rPr>
            </w:pPr>
            <w:r>
              <w:rPr>
                <w:rFonts w:hint="eastAsia" w:ascii="仿宋" w:hAnsi="仿宋" w:eastAsia="仿宋" w:cs="仿宋"/>
                <w:b/>
                <w:bCs/>
                <w:i w:val="0"/>
                <w:iCs w:val="0"/>
                <w:color w:val="000000"/>
                <w:kern w:val="0"/>
                <w:sz w:val="21"/>
                <w:szCs w:val="21"/>
                <w:u w:val="none"/>
                <w:lang w:val="en-US" w:eastAsia="zh-CN" w:bidi="ar"/>
              </w:rPr>
              <w:t>4275</w:t>
            </w:r>
          </w:p>
        </w:tc>
        <w:tc>
          <w:tcPr>
            <w:tcW w:w="1620" w:type="dxa"/>
            <w:shd w:val="clear" w:color="000000" w:fill="FFFFFF"/>
            <w:noWrap w:val="0"/>
            <w:vAlign w:val="center"/>
          </w:tcPr>
          <w:p w14:paraId="63492E94">
            <w:pPr>
              <w:widowControl/>
              <w:jc w:val="center"/>
              <w:rPr>
                <w:rFonts w:hint="eastAsia" w:ascii="仿宋" w:hAnsi="仿宋" w:eastAsia="仿宋" w:cs="仿宋"/>
                <w:color w:val="000000"/>
                <w:sz w:val="21"/>
                <w:szCs w:val="21"/>
                <w:highlight w:val="white"/>
              </w:rPr>
            </w:pPr>
            <w:r>
              <w:rPr>
                <w:rFonts w:hint="eastAsia" w:ascii="仿宋" w:hAnsi="仿宋" w:eastAsia="仿宋" w:cs="仿宋"/>
                <w:i w:val="0"/>
                <w:iCs w:val="0"/>
                <w:color w:val="auto"/>
                <w:sz w:val="21"/>
                <w:szCs w:val="21"/>
                <w:highlight w:val="white"/>
                <w:u w:val="none"/>
                <w:lang w:val="en-US" w:eastAsia="zh-CN" w:bidi="ar"/>
              </w:rPr>
              <w:t>建筑业</w:t>
            </w:r>
          </w:p>
        </w:tc>
      </w:tr>
      <w:tr w14:paraId="4EFA6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6F49DFB7">
            <w:pPr>
              <w:keepNext w:val="0"/>
              <w:keepLines w:val="0"/>
              <w:widowControl/>
              <w:suppressLineNumbers w:val="0"/>
              <w:jc w:val="center"/>
              <w:rPr>
                <w:rFonts w:hint="eastAsia" w:ascii="仿宋" w:hAnsi="仿宋" w:eastAsia="仿宋" w:cs="仿宋"/>
                <w:b/>
                <w:bCs/>
                <w:i w:val="0"/>
                <w:iCs w:val="0"/>
                <w:color w:val="000000"/>
                <w:sz w:val="21"/>
                <w:szCs w:val="21"/>
                <w:highlight w:val="white"/>
                <w:u w:val="none"/>
              </w:rPr>
            </w:pPr>
            <w:r>
              <w:rPr>
                <w:rFonts w:hint="eastAsia" w:ascii="仿宋" w:hAnsi="仿宋" w:eastAsia="仿宋" w:cs="仿宋"/>
                <w:b/>
                <w:bCs/>
                <w:i w:val="0"/>
                <w:iCs w:val="0"/>
                <w:color w:val="000000"/>
                <w:sz w:val="21"/>
                <w:szCs w:val="21"/>
                <w:highlight w:val="white"/>
                <w:u w:val="none"/>
                <w:lang w:val="en-US" w:eastAsia="zh-CN" w:bidi="ar"/>
              </w:rPr>
              <w:t>4、</w:t>
            </w:r>
          </w:p>
        </w:tc>
        <w:tc>
          <w:tcPr>
            <w:tcW w:w="2293" w:type="dxa"/>
            <w:shd w:val="clear" w:color="000000" w:fill="FFFFFF"/>
            <w:noWrap w:val="0"/>
            <w:vAlign w:val="center"/>
          </w:tcPr>
          <w:p w14:paraId="2F8AFA64">
            <w:pPr>
              <w:keepNext w:val="0"/>
              <w:keepLines w:val="0"/>
              <w:widowControl/>
              <w:suppressLineNumbers w:val="0"/>
              <w:jc w:val="center"/>
              <w:rPr>
                <w:rFonts w:hint="eastAsia" w:ascii="仿宋" w:hAnsi="仿宋" w:eastAsia="仿宋" w:cs="仿宋"/>
                <w:b/>
                <w:bCs/>
                <w:i w:val="0"/>
                <w:iCs w:val="0"/>
                <w:color w:val="000000"/>
                <w:sz w:val="21"/>
                <w:szCs w:val="21"/>
                <w:highlight w:val="white"/>
                <w:u w:val="none"/>
              </w:rPr>
            </w:pPr>
            <w:r>
              <w:rPr>
                <w:rFonts w:hint="eastAsia" w:ascii="仿宋" w:hAnsi="仿宋" w:eastAsia="仿宋" w:cs="仿宋"/>
                <w:b/>
                <w:bCs/>
                <w:i w:val="0"/>
                <w:iCs w:val="0"/>
                <w:color w:val="000000"/>
                <w:sz w:val="21"/>
                <w:szCs w:val="21"/>
                <w:highlight w:val="white"/>
                <w:u w:val="none"/>
                <w:lang w:val="en-US" w:eastAsia="zh-CN" w:bidi="ar"/>
              </w:rPr>
              <w:t>其他配套部分</w:t>
            </w:r>
          </w:p>
        </w:tc>
        <w:tc>
          <w:tcPr>
            <w:tcW w:w="2628" w:type="dxa"/>
            <w:shd w:val="clear" w:color="000000" w:fill="FFFFFF"/>
            <w:noWrap w:val="0"/>
            <w:vAlign w:val="center"/>
          </w:tcPr>
          <w:p w14:paraId="6EF9AED9">
            <w:pPr>
              <w:keepNext w:val="0"/>
              <w:keepLines w:val="0"/>
              <w:widowControl/>
              <w:suppressLineNumbers w:val="0"/>
              <w:jc w:val="left"/>
              <w:rPr>
                <w:rFonts w:hint="eastAsia" w:ascii="仿宋" w:hAnsi="仿宋" w:eastAsia="仿宋" w:cs="仿宋"/>
                <w:sz w:val="21"/>
                <w:szCs w:val="21"/>
                <w:highlight w:val="white"/>
              </w:rPr>
            </w:pPr>
          </w:p>
        </w:tc>
        <w:tc>
          <w:tcPr>
            <w:tcW w:w="816" w:type="dxa"/>
            <w:shd w:val="clear" w:color="000000" w:fill="FFFFFF"/>
            <w:noWrap w:val="0"/>
            <w:vAlign w:val="center"/>
          </w:tcPr>
          <w:p w14:paraId="47AA31F7">
            <w:pPr>
              <w:keepNext w:val="0"/>
              <w:keepLines w:val="0"/>
              <w:widowControl/>
              <w:suppressLineNumbers w:val="0"/>
              <w:jc w:val="center"/>
              <w:rPr>
                <w:rFonts w:hint="eastAsia" w:ascii="仿宋" w:hAnsi="仿宋" w:eastAsia="仿宋" w:cs="仿宋"/>
                <w:color w:val="000000"/>
                <w:sz w:val="21"/>
                <w:szCs w:val="21"/>
                <w:highlight w:val="white"/>
              </w:rPr>
            </w:pPr>
          </w:p>
        </w:tc>
        <w:tc>
          <w:tcPr>
            <w:tcW w:w="876" w:type="dxa"/>
            <w:shd w:val="clear" w:color="000000" w:fill="FFFFFF"/>
            <w:noWrap w:val="0"/>
            <w:vAlign w:val="center"/>
          </w:tcPr>
          <w:p w14:paraId="51D88535">
            <w:pPr>
              <w:keepNext w:val="0"/>
              <w:keepLines w:val="0"/>
              <w:widowControl/>
              <w:suppressLineNumbers w:val="0"/>
              <w:jc w:val="center"/>
              <w:rPr>
                <w:rFonts w:hint="eastAsia" w:ascii="仿宋" w:hAnsi="仿宋" w:eastAsia="仿宋" w:cs="仿宋"/>
                <w:i w:val="0"/>
                <w:iCs w:val="0"/>
                <w:color w:val="000000"/>
                <w:sz w:val="21"/>
                <w:szCs w:val="21"/>
                <w:highlight w:val="white"/>
                <w:u w:val="none"/>
              </w:rPr>
            </w:pPr>
          </w:p>
        </w:tc>
        <w:tc>
          <w:tcPr>
            <w:tcW w:w="1620" w:type="dxa"/>
            <w:shd w:val="clear" w:color="000000" w:fill="FFFFFF"/>
            <w:noWrap w:val="0"/>
            <w:vAlign w:val="center"/>
          </w:tcPr>
          <w:p w14:paraId="3A925D3E">
            <w:pPr>
              <w:widowControl/>
              <w:jc w:val="center"/>
              <w:rPr>
                <w:rFonts w:hint="eastAsia" w:ascii="仿宋" w:hAnsi="仿宋" w:eastAsia="仿宋" w:cs="仿宋"/>
                <w:color w:val="000000"/>
                <w:sz w:val="21"/>
                <w:szCs w:val="21"/>
                <w:highlight w:val="white"/>
              </w:rPr>
            </w:pPr>
          </w:p>
        </w:tc>
      </w:tr>
      <w:tr w14:paraId="2C296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2AF1726D">
            <w:pPr>
              <w:keepNext w:val="0"/>
              <w:keepLines w:val="0"/>
              <w:widowControl/>
              <w:suppressLineNumbers w:val="0"/>
              <w:jc w:val="center"/>
              <w:rPr>
                <w:rFonts w:hint="eastAsia" w:ascii="仿宋" w:hAnsi="仿宋" w:eastAsia="仿宋" w:cs="仿宋"/>
                <w:b/>
                <w:bCs/>
                <w:i w:val="0"/>
                <w:iCs w:val="0"/>
                <w:color w:val="000000"/>
                <w:sz w:val="21"/>
                <w:szCs w:val="21"/>
                <w:highlight w:val="white"/>
                <w:u w:val="none"/>
              </w:rPr>
            </w:pPr>
            <w:r>
              <w:rPr>
                <w:rFonts w:hint="eastAsia" w:ascii="仿宋" w:hAnsi="仿宋" w:eastAsia="仿宋" w:cs="仿宋"/>
                <w:i w:val="0"/>
                <w:iCs w:val="0"/>
                <w:color w:val="000000"/>
                <w:sz w:val="21"/>
                <w:szCs w:val="21"/>
                <w:highlight w:val="white"/>
                <w:u w:val="none"/>
                <w:lang w:val="en-US" w:eastAsia="zh-CN" w:bidi="ar"/>
              </w:rPr>
              <w:t>1）</w:t>
            </w:r>
          </w:p>
        </w:tc>
        <w:tc>
          <w:tcPr>
            <w:tcW w:w="2293" w:type="dxa"/>
            <w:shd w:val="clear" w:color="000000" w:fill="FFFFFF"/>
            <w:noWrap w:val="0"/>
            <w:vAlign w:val="center"/>
          </w:tcPr>
          <w:p w14:paraId="69F9837A">
            <w:pPr>
              <w:keepNext w:val="0"/>
              <w:keepLines w:val="0"/>
              <w:widowControl/>
              <w:suppressLineNumbers w:val="0"/>
              <w:jc w:val="left"/>
              <w:textAlignment w:val="center"/>
              <w:rPr>
                <w:rFonts w:hint="eastAsia" w:ascii="仿宋" w:hAnsi="仿宋" w:eastAsia="仿宋" w:cs="仿宋"/>
                <w:b/>
                <w:bCs/>
                <w:i w:val="0"/>
                <w:iCs w:val="0"/>
                <w:color w:val="000000"/>
                <w:sz w:val="21"/>
                <w:szCs w:val="21"/>
                <w:highlight w:val="white"/>
                <w:u w:val="none"/>
              </w:rPr>
            </w:pPr>
            <w:r>
              <w:rPr>
                <w:rFonts w:hint="eastAsia" w:ascii="仿宋" w:hAnsi="仿宋" w:eastAsia="仿宋" w:cs="仿宋"/>
                <w:i w:val="0"/>
                <w:iCs w:val="0"/>
                <w:color w:val="000000"/>
                <w:kern w:val="0"/>
                <w:sz w:val="21"/>
                <w:szCs w:val="21"/>
                <w:u w:val="none"/>
                <w:lang w:val="en-US" w:eastAsia="zh-CN" w:bidi="ar"/>
              </w:rPr>
              <w:t>新增专线100M-3年</w:t>
            </w:r>
          </w:p>
        </w:tc>
        <w:tc>
          <w:tcPr>
            <w:tcW w:w="2628" w:type="dxa"/>
            <w:shd w:val="clear" w:color="000000" w:fill="FFFFFF"/>
            <w:noWrap w:val="0"/>
            <w:vAlign w:val="center"/>
          </w:tcPr>
          <w:p w14:paraId="2D8FE360">
            <w:pPr>
              <w:keepNext w:val="0"/>
              <w:keepLines w:val="0"/>
              <w:widowControl/>
              <w:suppressLineNumbers w:val="0"/>
              <w:jc w:val="left"/>
              <w:textAlignment w:val="center"/>
              <w:rPr>
                <w:rFonts w:hint="eastAsia" w:ascii="仿宋" w:hAnsi="仿宋" w:eastAsia="仿宋" w:cs="仿宋"/>
                <w:i w:val="0"/>
                <w:iCs w:val="0"/>
                <w:color w:val="000000"/>
                <w:sz w:val="21"/>
                <w:szCs w:val="21"/>
                <w:highlight w:val="white"/>
                <w:u w:val="none"/>
              </w:rPr>
            </w:pPr>
            <w:r>
              <w:rPr>
                <w:rFonts w:hint="eastAsia" w:ascii="仿宋" w:hAnsi="仿宋" w:eastAsia="仿宋" w:cs="仿宋"/>
                <w:i w:val="0"/>
                <w:iCs w:val="0"/>
                <w:color w:val="000000"/>
                <w:kern w:val="0"/>
                <w:sz w:val="21"/>
                <w:szCs w:val="21"/>
                <w:u w:val="none"/>
                <w:lang w:val="en-US" w:eastAsia="zh-CN" w:bidi="ar"/>
              </w:rPr>
              <w:t>不低于100M专线，确保路口各种设备能正常数据传输，视频不延迟、卡顿，含配套传输设备及端口等。</w:t>
            </w:r>
          </w:p>
        </w:tc>
        <w:tc>
          <w:tcPr>
            <w:tcW w:w="816" w:type="dxa"/>
            <w:shd w:val="clear" w:color="000000" w:fill="FFFFFF"/>
            <w:noWrap w:val="0"/>
            <w:vAlign w:val="center"/>
          </w:tcPr>
          <w:p w14:paraId="1AD30D5D">
            <w:pPr>
              <w:keepNext w:val="0"/>
              <w:keepLines w:val="0"/>
              <w:widowControl/>
              <w:suppressLineNumbers w:val="0"/>
              <w:jc w:val="center"/>
              <w:textAlignment w:val="center"/>
              <w:rPr>
                <w:rFonts w:hint="eastAsia" w:ascii="仿宋" w:hAnsi="仿宋" w:eastAsia="仿宋" w:cs="仿宋"/>
                <w:i w:val="0"/>
                <w:iCs w:val="0"/>
                <w:color w:val="000000"/>
                <w:sz w:val="21"/>
                <w:szCs w:val="21"/>
                <w:highlight w:val="white"/>
                <w:u w:val="none"/>
              </w:rPr>
            </w:pPr>
            <w:r>
              <w:rPr>
                <w:rFonts w:hint="eastAsia" w:ascii="仿宋" w:hAnsi="仿宋" w:eastAsia="仿宋" w:cs="仿宋"/>
                <w:i w:val="0"/>
                <w:iCs w:val="0"/>
                <w:color w:val="000000"/>
                <w:kern w:val="0"/>
                <w:sz w:val="21"/>
                <w:szCs w:val="21"/>
                <w:u w:val="none"/>
                <w:lang w:val="en-US" w:eastAsia="zh-CN" w:bidi="ar"/>
              </w:rPr>
              <w:t>条</w:t>
            </w:r>
          </w:p>
        </w:tc>
        <w:tc>
          <w:tcPr>
            <w:tcW w:w="876" w:type="dxa"/>
            <w:shd w:val="clear" w:color="000000" w:fill="FFFFFF"/>
            <w:noWrap w:val="0"/>
            <w:vAlign w:val="center"/>
          </w:tcPr>
          <w:p w14:paraId="68A175C6">
            <w:pPr>
              <w:keepNext w:val="0"/>
              <w:keepLines w:val="0"/>
              <w:widowControl/>
              <w:suppressLineNumbers w:val="0"/>
              <w:jc w:val="center"/>
              <w:textAlignment w:val="center"/>
              <w:rPr>
                <w:rFonts w:hint="eastAsia" w:ascii="仿宋" w:hAnsi="仿宋" w:eastAsia="仿宋" w:cs="仿宋"/>
                <w:i w:val="0"/>
                <w:iCs w:val="0"/>
                <w:color w:val="000000"/>
                <w:sz w:val="21"/>
                <w:szCs w:val="21"/>
                <w:highlight w:val="white"/>
                <w:u w:val="none"/>
              </w:rPr>
            </w:pPr>
            <w:r>
              <w:rPr>
                <w:rFonts w:hint="eastAsia" w:ascii="仿宋" w:hAnsi="仿宋" w:eastAsia="仿宋" w:cs="仿宋"/>
                <w:i w:val="0"/>
                <w:iCs w:val="0"/>
                <w:color w:val="000000"/>
                <w:kern w:val="0"/>
                <w:sz w:val="21"/>
                <w:szCs w:val="21"/>
                <w:u w:val="none"/>
                <w:lang w:val="en-US" w:eastAsia="zh-CN" w:bidi="ar"/>
              </w:rPr>
              <w:t>34</w:t>
            </w:r>
          </w:p>
        </w:tc>
        <w:tc>
          <w:tcPr>
            <w:tcW w:w="1620" w:type="dxa"/>
            <w:shd w:val="clear" w:color="000000" w:fill="FFFFFF"/>
            <w:noWrap w:val="0"/>
            <w:vAlign w:val="center"/>
          </w:tcPr>
          <w:p w14:paraId="5A1D7023">
            <w:pPr>
              <w:widowControl/>
              <w:jc w:val="center"/>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rPr>
              <w:t>信息传输业</w:t>
            </w:r>
          </w:p>
        </w:tc>
      </w:tr>
      <w:tr w14:paraId="5F743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53EE6E2C">
            <w:pPr>
              <w:keepNext w:val="0"/>
              <w:keepLines w:val="0"/>
              <w:widowControl/>
              <w:suppressLineNumbers w:val="0"/>
              <w:jc w:val="center"/>
              <w:rPr>
                <w:rFonts w:hint="eastAsia" w:ascii="仿宋" w:hAnsi="仿宋" w:eastAsia="仿宋" w:cs="仿宋"/>
                <w:b/>
                <w:bCs/>
                <w:i w:val="0"/>
                <w:iCs w:val="0"/>
                <w:color w:val="000000"/>
                <w:sz w:val="21"/>
                <w:szCs w:val="21"/>
                <w:highlight w:val="white"/>
                <w:u w:val="none"/>
              </w:rPr>
            </w:pPr>
            <w:r>
              <w:rPr>
                <w:rFonts w:hint="eastAsia" w:ascii="仿宋" w:hAnsi="仿宋" w:eastAsia="仿宋" w:cs="仿宋"/>
                <w:i w:val="0"/>
                <w:iCs w:val="0"/>
                <w:color w:val="000000"/>
                <w:sz w:val="21"/>
                <w:szCs w:val="21"/>
                <w:highlight w:val="white"/>
                <w:u w:val="none"/>
                <w:lang w:val="en-US" w:eastAsia="zh-CN" w:bidi="ar"/>
              </w:rPr>
              <w:t>2）</w:t>
            </w:r>
          </w:p>
        </w:tc>
        <w:tc>
          <w:tcPr>
            <w:tcW w:w="2293" w:type="dxa"/>
            <w:shd w:val="clear" w:color="000000" w:fill="FFFFFF"/>
            <w:noWrap w:val="0"/>
            <w:vAlign w:val="center"/>
          </w:tcPr>
          <w:p w14:paraId="1B8D19E8">
            <w:pPr>
              <w:keepNext w:val="0"/>
              <w:keepLines w:val="0"/>
              <w:widowControl/>
              <w:suppressLineNumbers w:val="0"/>
              <w:jc w:val="left"/>
              <w:textAlignment w:val="center"/>
              <w:rPr>
                <w:rFonts w:hint="eastAsia" w:ascii="仿宋" w:hAnsi="仿宋" w:eastAsia="仿宋" w:cs="仿宋"/>
                <w:b/>
                <w:bCs/>
                <w:i w:val="0"/>
                <w:iCs w:val="0"/>
                <w:color w:val="000000"/>
                <w:sz w:val="21"/>
                <w:szCs w:val="21"/>
                <w:highlight w:val="white"/>
                <w:u w:val="none"/>
              </w:rPr>
            </w:pPr>
            <w:r>
              <w:rPr>
                <w:rFonts w:hint="eastAsia" w:ascii="仿宋" w:hAnsi="仿宋" w:eastAsia="仿宋" w:cs="仿宋"/>
                <w:i w:val="0"/>
                <w:iCs w:val="0"/>
                <w:color w:val="000000"/>
                <w:kern w:val="0"/>
                <w:sz w:val="21"/>
                <w:szCs w:val="21"/>
                <w:u w:val="none"/>
                <w:lang w:val="en-US" w:eastAsia="zh-CN" w:bidi="ar"/>
              </w:rPr>
              <w:t>新增供电开户</w:t>
            </w:r>
          </w:p>
        </w:tc>
        <w:tc>
          <w:tcPr>
            <w:tcW w:w="2628" w:type="dxa"/>
            <w:shd w:val="clear" w:color="000000" w:fill="FFFFFF"/>
            <w:noWrap w:val="0"/>
            <w:vAlign w:val="center"/>
          </w:tcPr>
          <w:p w14:paraId="1ECD354D">
            <w:pPr>
              <w:keepNext w:val="0"/>
              <w:keepLines w:val="0"/>
              <w:widowControl/>
              <w:suppressLineNumbers w:val="0"/>
              <w:jc w:val="left"/>
              <w:textAlignment w:val="center"/>
              <w:rPr>
                <w:rFonts w:hint="eastAsia" w:ascii="仿宋" w:hAnsi="仿宋" w:eastAsia="仿宋" w:cs="仿宋"/>
                <w:i w:val="0"/>
                <w:iCs w:val="0"/>
                <w:color w:val="000000"/>
                <w:sz w:val="21"/>
                <w:szCs w:val="21"/>
                <w:highlight w:val="white"/>
                <w:u w:val="none"/>
              </w:rPr>
            </w:pPr>
            <w:r>
              <w:rPr>
                <w:rFonts w:hint="eastAsia" w:ascii="仿宋" w:hAnsi="仿宋" w:eastAsia="仿宋" w:cs="仿宋"/>
                <w:i w:val="0"/>
                <w:iCs w:val="0"/>
                <w:color w:val="000000"/>
                <w:kern w:val="0"/>
                <w:sz w:val="21"/>
                <w:szCs w:val="21"/>
                <w:u w:val="none"/>
                <w:lang w:val="en-US" w:eastAsia="zh-CN" w:bidi="ar"/>
              </w:rPr>
              <w:t>含勘查、开户、施工、供电部门验收等所有费用，根据供电部门要求实施，以及开户点所需的顶管、埋管、电杆立杆、架空线缆、线缆敷设，主缆线径不低于6mm²等接入施工，保证路口用电电压正常、设备能正常运转。含3年前端设备使用电费。</w:t>
            </w:r>
          </w:p>
        </w:tc>
        <w:tc>
          <w:tcPr>
            <w:tcW w:w="816" w:type="dxa"/>
            <w:shd w:val="clear" w:color="000000" w:fill="FFFFFF"/>
            <w:noWrap w:val="0"/>
            <w:vAlign w:val="center"/>
          </w:tcPr>
          <w:p w14:paraId="681D2873">
            <w:pPr>
              <w:keepNext w:val="0"/>
              <w:keepLines w:val="0"/>
              <w:widowControl/>
              <w:suppressLineNumbers w:val="0"/>
              <w:jc w:val="center"/>
              <w:textAlignment w:val="center"/>
              <w:rPr>
                <w:rFonts w:hint="eastAsia" w:ascii="仿宋" w:hAnsi="仿宋" w:eastAsia="仿宋" w:cs="仿宋"/>
                <w:i w:val="0"/>
                <w:iCs w:val="0"/>
                <w:color w:val="000000"/>
                <w:sz w:val="21"/>
                <w:szCs w:val="21"/>
                <w:highlight w:val="white"/>
                <w:u w:val="none"/>
              </w:rPr>
            </w:pPr>
            <w:r>
              <w:rPr>
                <w:rFonts w:hint="eastAsia" w:ascii="仿宋" w:hAnsi="仿宋" w:eastAsia="仿宋" w:cs="仿宋"/>
                <w:i w:val="0"/>
                <w:iCs w:val="0"/>
                <w:color w:val="000000"/>
                <w:kern w:val="0"/>
                <w:sz w:val="21"/>
                <w:szCs w:val="21"/>
                <w:u w:val="none"/>
                <w:lang w:val="en-US" w:eastAsia="zh-CN" w:bidi="ar"/>
              </w:rPr>
              <w:t>户</w:t>
            </w:r>
          </w:p>
        </w:tc>
        <w:tc>
          <w:tcPr>
            <w:tcW w:w="876" w:type="dxa"/>
            <w:shd w:val="clear" w:color="000000" w:fill="FFFFFF"/>
            <w:noWrap w:val="0"/>
            <w:vAlign w:val="center"/>
          </w:tcPr>
          <w:p w14:paraId="56BA0661">
            <w:pPr>
              <w:keepNext w:val="0"/>
              <w:keepLines w:val="0"/>
              <w:widowControl/>
              <w:suppressLineNumbers w:val="0"/>
              <w:jc w:val="center"/>
              <w:textAlignment w:val="center"/>
              <w:rPr>
                <w:rFonts w:hint="eastAsia" w:ascii="仿宋" w:hAnsi="仿宋" w:eastAsia="仿宋" w:cs="仿宋"/>
                <w:i w:val="0"/>
                <w:iCs w:val="0"/>
                <w:color w:val="000000"/>
                <w:sz w:val="21"/>
                <w:szCs w:val="21"/>
                <w:highlight w:val="white"/>
                <w:u w:val="none"/>
              </w:rPr>
            </w:pPr>
            <w:r>
              <w:rPr>
                <w:rFonts w:hint="eastAsia" w:ascii="仿宋" w:hAnsi="仿宋" w:eastAsia="仿宋" w:cs="仿宋"/>
                <w:i w:val="0"/>
                <w:iCs w:val="0"/>
                <w:color w:val="000000"/>
                <w:kern w:val="0"/>
                <w:sz w:val="21"/>
                <w:szCs w:val="21"/>
                <w:u w:val="none"/>
                <w:lang w:val="en-US" w:eastAsia="zh-CN" w:bidi="ar"/>
              </w:rPr>
              <w:t>29</w:t>
            </w:r>
          </w:p>
        </w:tc>
        <w:tc>
          <w:tcPr>
            <w:tcW w:w="1620" w:type="dxa"/>
            <w:shd w:val="clear" w:color="000000" w:fill="FFFFFF"/>
            <w:noWrap w:val="0"/>
            <w:vAlign w:val="center"/>
          </w:tcPr>
          <w:p w14:paraId="3B749EEF">
            <w:pPr>
              <w:widowControl/>
              <w:jc w:val="center"/>
              <w:rPr>
                <w:rFonts w:hint="eastAsia" w:ascii="仿宋" w:hAnsi="仿宋" w:eastAsia="仿宋" w:cs="仿宋"/>
                <w:color w:val="000000"/>
                <w:sz w:val="21"/>
                <w:szCs w:val="21"/>
                <w:highlight w:val="white"/>
              </w:rPr>
            </w:pPr>
            <w:r>
              <w:rPr>
                <w:rFonts w:hint="eastAsia" w:ascii="仿宋" w:hAnsi="仿宋" w:eastAsia="仿宋" w:cs="仿宋"/>
                <w:sz w:val="21"/>
                <w:szCs w:val="21"/>
                <w:highlight w:val="none"/>
              </w:rPr>
              <w:t>建筑业</w:t>
            </w:r>
          </w:p>
        </w:tc>
      </w:tr>
      <w:tr w14:paraId="442FA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45349B3B">
            <w:pPr>
              <w:keepNext w:val="0"/>
              <w:keepLines w:val="0"/>
              <w:widowControl/>
              <w:suppressLineNumbers w:val="0"/>
              <w:jc w:val="center"/>
              <w:rPr>
                <w:rFonts w:hint="eastAsia" w:ascii="仿宋" w:hAnsi="仿宋" w:eastAsia="仿宋" w:cs="仿宋"/>
                <w:b/>
                <w:bCs/>
                <w:i w:val="0"/>
                <w:iCs w:val="0"/>
                <w:color w:val="000000"/>
                <w:sz w:val="21"/>
                <w:szCs w:val="21"/>
                <w:highlight w:val="white"/>
                <w:u w:val="none"/>
              </w:rPr>
            </w:pPr>
            <w:r>
              <w:rPr>
                <w:rFonts w:hint="eastAsia" w:ascii="仿宋" w:hAnsi="仿宋" w:eastAsia="仿宋" w:cs="仿宋"/>
                <w:i w:val="0"/>
                <w:iCs w:val="0"/>
                <w:color w:val="000000"/>
                <w:sz w:val="21"/>
                <w:szCs w:val="21"/>
                <w:highlight w:val="white"/>
                <w:u w:val="none"/>
                <w:lang w:val="en-US" w:eastAsia="zh-CN" w:bidi="ar"/>
              </w:rPr>
              <w:t>3）</w:t>
            </w:r>
          </w:p>
        </w:tc>
        <w:tc>
          <w:tcPr>
            <w:tcW w:w="2293" w:type="dxa"/>
            <w:shd w:val="clear" w:color="000000" w:fill="FFFFFF"/>
            <w:noWrap w:val="0"/>
            <w:vAlign w:val="center"/>
          </w:tcPr>
          <w:p w14:paraId="187CBA9F">
            <w:pPr>
              <w:keepNext w:val="0"/>
              <w:keepLines w:val="0"/>
              <w:widowControl/>
              <w:suppressLineNumbers w:val="0"/>
              <w:jc w:val="left"/>
              <w:textAlignment w:val="center"/>
              <w:rPr>
                <w:rFonts w:hint="eastAsia" w:ascii="仿宋" w:hAnsi="仿宋" w:eastAsia="仿宋" w:cs="仿宋"/>
                <w:b/>
                <w:bCs/>
                <w:i w:val="0"/>
                <w:iCs w:val="0"/>
                <w:color w:val="000000"/>
                <w:sz w:val="21"/>
                <w:szCs w:val="21"/>
                <w:highlight w:val="white"/>
                <w:u w:val="none"/>
              </w:rPr>
            </w:pPr>
            <w:r>
              <w:rPr>
                <w:rFonts w:hint="eastAsia" w:ascii="仿宋" w:hAnsi="仿宋" w:eastAsia="仿宋" w:cs="仿宋"/>
                <w:i w:val="0"/>
                <w:iCs w:val="0"/>
                <w:color w:val="000000"/>
                <w:kern w:val="0"/>
                <w:sz w:val="21"/>
                <w:szCs w:val="21"/>
                <w:u w:val="none"/>
                <w:lang w:val="en-US" w:eastAsia="zh-CN" w:bidi="ar"/>
              </w:rPr>
              <w:t>点位治理及软件接入</w:t>
            </w:r>
          </w:p>
        </w:tc>
        <w:tc>
          <w:tcPr>
            <w:tcW w:w="2628" w:type="dxa"/>
            <w:shd w:val="clear" w:color="000000" w:fill="FFFFFF"/>
            <w:noWrap w:val="0"/>
            <w:vAlign w:val="center"/>
          </w:tcPr>
          <w:p w14:paraId="39BFF2FF">
            <w:pPr>
              <w:keepNext w:val="0"/>
              <w:keepLines w:val="0"/>
              <w:widowControl/>
              <w:suppressLineNumbers w:val="0"/>
              <w:jc w:val="left"/>
              <w:textAlignment w:val="center"/>
              <w:rPr>
                <w:rFonts w:hint="eastAsia" w:ascii="仿宋" w:hAnsi="仿宋" w:eastAsia="仿宋" w:cs="仿宋"/>
                <w:i w:val="0"/>
                <w:iCs w:val="0"/>
                <w:color w:val="000000"/>
                <w:sz w:val="21"/>
                <w:szCs w:val="21"/>
                <w:highlight w:val="white"/>
                <w:u w:val="none"/>
              </w:rPr>
            </w:pPr>
            <w:r>
              <w:rPr>
                <w:rFonts w:hint="eastAsia" w:ascii="仿宋" w:hAnsi="仿宋" w:eastAsia="仿宋" w:cs="仿宋"/>
                <w:i w:val="0"/>
                <w:iCs w:val="0"/>
                <w:color w:val="000000"/>
                <w:kern w:val="0"/>
                <w:sz w:val="21"/>
                <w:szCs w:val="21"/>
                <w:u w:val="none"/>
                <w:lang w:val="en-US" w:eastAsia="zh-CN" w:bidi="ar"/>
              </w:rPr>
              <w:t>本期所有前端感设备及配套</w:t>
            </w:r>
          </w:p>
        </w:tc>
        <w:tc>
          <w:tcPr>
            <w:tcW w:w="816" w:type="dxa"/>
            <w:shd w:val="clear" w:color="000000" w:fill="FFFFFF"/>
            <w:noWrap w:val="0"/>
            <w:vAlign w:val="center"/>
          </w:tcPr>
          <w:p w14:paraId="4FF9DEB0">
            <w:pPr>
              <w:keepNext w:val="0"/>
              <w:keepLines w:val="0"/>
              <w:widowControl/>
              <w:suppressLineNumbers w:val="0"/>
              <w:jc w:val="center"/>
              <w:textAlignment w:val="center"/>
              <w:rPr>
                <w:rFonts w:hint="eastAsia" w:ascii="仿宋" w:hAnsi="仿宋" w:eastAsia="仿宋" w:cs="仿宋"/>
                <w:i w:val="0"/>
                <w:iCs w:val="0"/>
                <w:color w:val="000000"/>
                <w:sz w:val="21"/>
                <w:szCs w:val="21"/>
                <w:highlight w:val="white"/>
                <w:u w:val="none"/>
              </w:rPr>
            </w:pPr>
            <w:r>
              <w:rPr>
                <w:rFonts w:hint="eastAsia" w:ascii="仿宋" w:hAnsi="仿宋" w:eastAsia="仿宋" w:cs="仿宋"/>
                <w:i w:val="0"/>
                <w:iCs w:val="0"/>
                <w:color w:val="000000"/>
                <w:kern w:val="0"/>
                <w:sz w:val="21"/>
                <w:szCs w:val="21"/>
                <w:u w:val="none"/>
                <w:lang w:val="en-US" w:eastAsia="zh-CN" w:bidi="ar"/>
              </w:rPr>
              <w:t>项</w:t>
            </w:r>
          </w:p>
        </w:tc>
        <w:tc>
          <w:tcPr>
            <w:tcW w:w="876" w:type="dxa"/>
            <w:shd w:val="clear" w:color="000000" w:fill="FFFFFF"/>
            <w:noWrap w:val="0"/>
            <w:vAlign w:val="center"/>
          </w:tcPr>
          <w:p w14:paraId="5D0ACA80">
            <w:pPr>
              <w:keepNext w:val="0"/>
              <w:keepLines w:val="0"/>
              <w:widowControl/>
              <w:suppressLineNumbers w:val="0"/>
              <w:jc w:val="center"/>
              <w:textAlignment w:val="center"/>
              <w:rPr>
                <w:rFonts w:hint="eastAsia" w:ascii="仿宋" w:hAnsi="仿宋" w:eastAsia="仿宋" w:cs="仿宋"/>
                <w:i w:val="0"/>
                <w:iCs w:val="0"/>
                <w:color w:val="000000"/>
                <w:sz w:val="21"/>
                <w:szCs w:val="21"/>
                <w:highlight w:val="white"/>
                <w:u w:val="none"/>
              </w:rPr>
            </w:pPr>
            <w:r>
              <w:rPr>
                <w:rFonts w:hint="eastAsia" w:ascii="仿宋" w:hAnsi="仿宋" w:eastAsia="仿宋" w:cs="仿宋"/>
                <w:i w:val="0"/>
                <w:iCs w:val="0"/>
                <w:color w:val="000000"/>
                <w:kern w:val="0"/>
                <w:sz w:val="21"/>
                <w:szCs w:val="21"/>
                <w:u w:val="none"/>
                <w:lang w:val="en-US" w:eastAsia="zh-CN" w:bidi="ar"/>
              </w:rPr>
              <w:t>1</w:t>
            </w:r>
          </w:p>
        </w:tc>
        <w:tc>
          <w:tcPr>
            <w:tcW w:w="1620" w:type="dxa"/>
            <w:shd w:val="clear" w:color="000000" w:fill="FFFFFF"/>
            <w:noWrap w:val="0"/>
            <w:vAlign w:val="center"/>
          </w:tcPr>
          <w:p w14:paraId="4BF12EE1">
            <w:pPr>
              <w:widowControl/>
              <w:jc w:val="center"/>
              <w:rPr>
                <w:rFonts w:hint="default" w:ascii="仿宋" w:hAnsi="仿宋" w:eastAsia="仿宋" w:cs="仿宋"/>
                <w:color w:val="000000"/>
                <w:sz w:val="21"/>
                <w:szCs w:val="21"/>
                <w:highlight w:val="white"/>
                <w:lang w:val="en-US" w:eastAsia="zh-CN"/>
              </w:rPr>
            </w:pPr>
            <w:r>
              <w:rPr>
                <w:rFonts w:hint="eastAsia" w:ascii="仿宋" w:hAnsi="仿宋" w:eastAsia="仿宋" w:cs="仿宋"/>
                <w:color w:val="000000"/>
                <w:sz w:val="21"/>
                <w:szCs w:val="21"/>
                <w:highlight w:val="white"/>
                <w:lang w:val="en-US" w:eastAsia="zh-CN"/>
              </w:rPr>
              <w:t>软件和信息技术服务业</w:t>
            </w:r>
          </w:p>
        </w:tc>
      </w:tr>
      <w:tr w14:paraId="3F9FB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673" w:type="dxa"/>
            <w:shd w:val="clear" w:color="000000" w:fill="FFFFFF"/>
            <w:noWrap w:val="0"/>
            <w:vAlign w:val="center"/>
          </w:tcPr>
          <w:p w14:paraId="3DEA3EC7">
            <w:pPr>
              <w:keepNext w:val="0"/>
              <w:keepLines w:val="0"/>
              <w:widowControl/>
              <w:suppressLineNumbers w:val="0"/>
              <w:jc w:val="center"/>
              <w:rPr>
                <w:rFonts w:hint="eastAsia" w:ascii="仿宋" w:hAnsi="仿宋" w:eastAsia="仿宋" w:cs="仿宋"/>
                <w:b/>
                <w:bCs/>
                <w:i w:val="0"/>
                <w:iCs w:val="0"/>
                <w:color w:val="000000"/>
                <w:sz w:val="21"/>
                <w:szCs w:val="21"/>
                <w:highlight w:val="white"/>
                <w:u w:val="none"/>
              </w:rPr>
            </w:pPr>
            <w:r>
              <w:rPr>
                <w:rFonts w:hint="eastAsia" w:ascii="仿宋" w:hAnsi="仿宋" w:eastAsia="仿宋" w:cs="仿宋"/>
                <w:i w:val="0"/>
                <w:iCs w:val="0"/>
                <w:color w:val="000000"/>
                <w:sz w:val="21"/>
                <w:szCs w:val="21"/>
                <w:highlight w:val="white"/>
                <w:u w:val="none"/>
                <w:lang w:val="en-US" w:eastAsia="zh-CN" w:bidi="ar"/>
              </w:rPr>
              <w:t>4）</w:t>
            </w:r>
          </w:p>
        </w:tc>
        <w:tc>
          <w:tcPr>
            <w:tcW w:w="2293" w:type="dxa"/>
            <w:shd w:val="clear" w:color="000000" w:fill="FFFFFF"/>
            <w:noWrap w:val="0"/>
            <w:vAlign w:val="center"/>
          </w:tcPr>
          <w:p w14:paraId="15027C33">
            <w:pPr>
              <w:keepNext w:val="0"/>
              <w:keepLines w:val="0"/>
              <w:widowControl/>
              <w:suppressLineNumbers w:val="0"/>
              <w:jc w:val="left"/>
              <w:textAlignment w:val="center"/>
              <w:rPr>
                <w:rFonts w:hint="eastAsia" w:ascii="仿宋" w:hAnsi="仿宋" w:eastAsia="仿宋" w:cs="仿宋"/>
                <w:b/>
                <w:bCs/>
                <w:i w:val="0"/>
                <w:iCs w:val="0"/>
                <w:color w:val="000000"/>
                <w:sz w:val="21"/>
                <w:szCs w:val="21"/>
                <w:highlight w:val="white"/>
                <w:u w:val="none"/>
              </w:rPr>
            </w:pPr>
            <w:r>
              <w:rPr>
                <w:rFonts w:hint="eastAsia" w:ascii="仿宋" w:hAnsi="仿宋" w:eastAsia="仿宋" w:cs="仿宋"/>
                <w:i w:val="0"/>
                <w:iCs w:val="0"/>
                <w:color w:val="000000"/>
                <w:kern w:val="0"/>
                <w:sz w:val="21"/>
                <w:szCs w:val="21"/>
                <w:u w:val="none"/>
                <w:lang w:val="en-US" w:eastAsia="zh-CN" w:bidi="ar"/>
              </w:rPr>
              <w:t>数字治理平台升级</w:t>
            </w:r>
          </w:p>
        </w:tc>
        <w:tc>
          <w:tcPr>
            <w:tcW w:w="2628" w:type="dxa"/>
            <w:shd w:val="clear" w:color="000000" w:fill="FFFFFF"/>
            <w:noWrap w:val="0"/>
            <w:vAlign w:val="center"/>
          </w:tcPr>
          <w:p w14:paraId="059FA677">
            <w:pPr>
              <w:keepNext w:val="0"/>
              <w:keepLines w:val="0"/>
              <w:widowControl/>
              <w:suppressLineNumbers w:val="0"/>
              <w:jc w:val="left"/>
              <w:textAlignment w:val="center"/>
              <w:rPr>
                <w:rFonts w:hint="eastAsia" w:ascii="仿宋" w:hAnsi="仿宋" w:eastAsia="仿宋" w:cs="仿宋"/>
                <w:i w:val="0"/>
                <w:iCs w:val="0"/>
                <w:color w:val="000000"/>
                <w:sz w:val="21"/>
                <w:szCs w:val="21"/>
                <w:highlight w:val="white"/>
                <w:u w:val="none"/>
              </w:rPr>
            </w:pPr>
            <w:r>
              <w:rPr>
                <w:rFonts w:hint="eastAsia" w:ascii="仿宋" w:hAnsi="仿宋" w:eastAsia="仿宋" w:cs="仿宋"/>
                <w:i w:val="0"/>
                <w:iCs w:val="0"/>
                <w:color w:val="000000"/>
                <w:kern w:val="0"/>
                <w:sz w:val="21"/>
                <w:szCs w:val="21"/>
                <w:u w:val="none"/>
                <w:lang w:val="en-US" w:eastAsia="zh-CN" w:bidi="ar"/>
              </w:rPr>
              <w:t>按要求对现有数字治理平台进行定制化开发维护升级</w:t>
            </w:r>
          </w:p>
        </w:tc>
        <w:tc>
          <w:tcPr>
            <w:tcW w:w="816" w:type="dxa"/>
            <w:shd w:val="clear" w:color="000000" w:fill="FFFFFF"/>
            <w:noWrap w:val="0"/>
            <w:vAlign w:val="center"/>
          </w:tcPr>
          <w:p w14:paraId="6920D665">
            <w:pPr>
              <w:keepNext w:val="0"/>
              <w:keepLines w:val="0"/>
              <w:widowControl/>
              <w:suppressLineNumbers w:val="0"/>
              <w:jc w:val="center"/>
              <w:textAlignment w:val="center"/>
              <w:rPr>
                <w:rFonts w:hint="eastAsia" w:ascii="仿宋" w:hAnsi="仿宋" w:eastAsia="仿宋" w:cs="仿宋"/>
                <w:i w:val="0"/>
                <w:iCs w:val="0"/>
                <w:color w:val="000000"/>
                <w:sz w:val="21"/>
                <w:szCs w:val="21"/>
                <w:highlight w:val="white"/>
                <w:u w:val="none"/>
              </w:rPr>
            </w:pPr>
            <w:r>
              <w:rPr>
                <w:rFonts w:hint="eastAsia" w:ascii="仿宋" w:hAnsi="仿宋" w:eastAsia="仿宋" w:cs="仿宋"/>
                <w:i w:val="0"/>
                <w:iCs w:val="0"/>
                <w:color w:val="000000"/>
                <w:kern w:val="0"/>
                <w:sz w:val="21"/>
                <w:szCs w:val="21"/>
                <w:u w:val="none"/>
                <w:lang w:val="en-US" w:eastAsia="zh-CN" w:bidi="ar"/>
              </w:rPr>
              <w:t>项</w:t>
            </w:r>
          </w:p>
        </w:tc>
        <w:tc>
          <w:tcPr>
            <w:tcW w:w="876" w:type="dxa"/>
            <w:shd w:val="clear" w:color="000000" w:fill="FFFFFF"/>
            <w:noWrap w:val="0"/>
            <w:vAlign w:val="center"/>
          </w:tcPr>
          <w:p w14:paraId="74DCC9EA">
            <w:pPr>
              <w:keepNext w:val="0"/>
              <w:keepLines w:val="0"/>
              <w:widowControl/>
              <w:suppressLineNumbers w:val="0"/>
              <w:jc w:val="center"/>
              <w:textAlignment w:val="center"/>
              <w:rPr>
                <w:rFonts w:hint="eastAsia" w:ascii="仿宋" w:hAnsi="仿宋" w:eastAsia="仿宋" w:cs="仿宋"/>
                <w:i w:val="0"/>
                <w:iCs w:val="0"/>
                <w:color w:val="000000"/>
                <w:sz w:val="21"/>
                <w:szCs w:val="21"/>
                <w:highlight w:val="white"/>
                <w:u w:val="none"/>
              </w:rPr>
            </w:pPr>
            <w:r>
              <w:rPr>
                <w:rFonts w:hint="eastAsia" w:ascii="仿宋" w:hAnsi="仿宋" w:eastAsia="仿宋" w:cs="仿宋"/>
                <w:i w:val="0"/>
                <w:iCs w:val="0"/>
                <w:color w:val="000000"/>
                <w:kern w:val="0"/>
                <w:sz w:val="21"/>
                <w:szCs w:val="21"/>
                <w:u w:val="none"/>
                <w:lang w:val="en-US" w:eastAsia="zh-CN" w:bidi="ar"/>
              </w:rPr>
              <w:t>1</w:t>
            </w:r>
          </w:p>
        </w:tc>
        <w:tc>
          <w:tcPr>
            <w:tcW w:w="1620" w:type="dxa"/>
            <w:shd w:val="clear" w:color="000000" w:fill="FFFFFF"/>
            <w:noWrap w:val="0"/>
            <w:vAlign w:val="center"/>
          </w:tcPr>
          <w:p w14:paraId="0CBEDB1A">
            <w:pPr>
              <w:widowControl/>
              <w:jc w:val="center"/>
              <w:rPr>
                <w:rFonts w:hint="eastAsia" w:ascii="仿宋" w:hAnsi="仿宋" w:eastAsia="仿宋" w:cs="仿宋"/>
                <w:color w:val="000000"/>
                <w:sz w:val="21"/>
                <w:szCs w:val="21"/>
                <w:highlight w:val="white"/>
              </w:rPr>
            </w:pPr>
            <w:r>
              <w:rPr>
                <w:rFonts w:hint="eastAsia" w:ascii="仿宋" w:hAnsi="仿宋" w:eastAsia="仿宋" w:cs="仿宋"/>
                <w:color w:val="000000"/>
                <w:sz w:val="21"/>
                <w:szCs w:val="21"/>
                <w:highlight w:val="white"/>
                <w:lang w:val="en-US" w:eastAsia="zh-CN"/>
              </w:rPr>
              <w:t>软件和信息技术服务业</w:t>
            </w:r>
          </w:p>
        </w:tc>
      </w:tr>
    </w:tbl>
    <w:p w14:paraId="60CA1560">
      <w:pPr>
        <w:pStyle w:val="34"/>
        <w:spacing w:beforeAutospacing="0" w:afterAutospacing="0" w:line="0" w:lineRule="atLeast"/>
        <w:jc w:val="both"/>
        <w:rPr>
          <w:rFonts w:hint="eastAsia" w:ascii="宋体" w:hAnsi="宋体" w:eastAsia="宋体" w:cs="宋体"/>
          <w:color w:val="4472C4" w:themeColor="accent5"/>
          <w:highlight w:val="white"/>
          <w14:textFill>
            <w14:solidFill>
              <w14:schemeClr w14:val="accent5"/>
            </w14:solidFill>
          </w14:textFill>
        </w:rPr>
      </w:pPr>
      <w:r>
        <w:rPr>
          <w:rFonts w:hint="eastAsia" w:ascii="宋体" w:hAnsi="宋体" w:eastAsia="宋体" w:cs="宋体"/>
          <w:color w:val="4472C4" w:themeColor="accent5"/>
          <w:highlight w:val="white"/>
          <w:lang w:val="en-US" w:eastAsia="zh-CN"/>
          <w14:textFill>
            <w14:solidFill>
              <w14:schemeClr w14:val="accent5"/>
            </w14:solidFill>
          </w14:textFill>
        </w:rPr>
        <w:t>注：</w:t>
      </w:r>
      <w:r>
        <w:rPr>
          <w:rFonts w:hint="eastAsia" w:ascii="宋体" w:hAnsi="宋体" w:eastAsia="宋体" w:cs="宋体"/>
          <w:color w:val="4472C4" w:themeColor="accent5"/>
          <w:highlight w:val="white"/>
          <w14:textFill>
            <w14:solidFill>
              <w14:schemeClr w14:val="accent5"/>
            </w14:solidFill>
          </w14:textFill>
        </w:rPr>
        <w:t>（1）</w:t>
      </w:r>
      <w:r>
        <w:rPr>
          <w:rFonts w:hint="eastAsia" w:ascii="宋体" w:hAnsi="宋体" w:eastAsia="宋体" w:cs="宋体"/>
          <w:b/>
          <w:bCs/>
          <w:color w:val="4472C4" w:themeColor="accent5"/>
          <w:highlight w:val="white"/>
          <w14:textFill>
            <w14:solidFill>
              <w14:schemeClr w14:val="accent5"/>
            </w14:solidFill>
          </w14:textFill>
        </w:rPr>
        <w:t>以上标注“◆”的产品核心产品</w:t>
      </w:r>
      <w:r>
        <w:rPr>
          <w:rFonts w:hint="eastAsia" w:ascii="宋体" w:hAnsi="宋体" w:eastAsia="宋体" w:cs="宋体"/>
          <w:color w:val="4472C4" w:themeColor="accent5"/>
          <w:highlight w:val="white"/>
          <w14:textFill>
            <w14:solidFill>
              <w14:schemeClr w14:val="accent5"/>
            </w14:solidFill>
          </w14:textFill>
        </w:rPr>
        <w:t>。</w:t>
      </w:r>
    </w:p>
    <w:p w14:paraId="6225FA00">
      <w:pPr>
        <w:pStyle w:val="34"/>
        <w:numPr>
          <w:ilvl w:val="0"/>
          <w:numId w:val="9"/>
        </w:numPr>
        <w:spacing w:beforeAutospacing="0" w:afterAutospacing="0" w:line="0" w:lineRule="atLeast"/>
        <w:ind w:left="0" w:firstLine="480"/>
        <w:jc w:val="both"/>
        <w:rPr>
          <w:rFonts w:hint="eastAsia" w:ascii="宋体" w:hAnsi="宋体" w:eastAsia="宋体" w:cs="宋体"/>
          <w:color w:val="000000"/>
          <w:highlight w:val="white"/>
        </w:rPr>
      </w:pPr>
      <w:r>
        <w:rPr>
          <w:rFonts w:hint="eastAsia" w:ascii="宋体" w:hAnsi="宋体" w:eastAsia="宋体" w:cs="宋体"/>
          <w:color w:val="000000"/>
          <w:highlight w:val="white"/>
        </w:rPr>
        <w:t>最终结算总价=实际验收通过的数量*中标单价，中标单价无论在任何情况下都不予调整。</w:t>
      </w:r>
    </w:p>
    <w:p w14:paraId="10DDB054">
      <w:pPr>
        <w:pStyle w:val="34"/>
        <w:numPr>
          <w:ilvl w:val="0"/>
          <w:numId w:val="9"/>
        </w:numPr>
        <w:spacing w:beforeAutospacing="0" w:afterAutospacing="0" w:line="0" w:lineRule="atLeast"/>
        <w:ind w:left="0" w:firstLine="480"/>
        <w:jc w:val="both"/>
        <w:rPr>
          <w:rFonts w:hint="eastAsia" w:ascii="宋体" w:hAnsi="宋体" w:eastAsia="宋体" w:cs="宋体"/>
          <w:color w:val="000000"/>
          <w:highlight w:val="white"/>
        </w:rPr>
      </w:pPr>
      <w:r>
        <w:rPr>
          <w:rFonts w:hint="eastAsia" w:ascii="宋体" w:hAnsi="宋体" w:eastAsia="宋体" w:cs="宋体"/>
          <w:color w:val="000000"/>
          <w:highlight w:val="white"/>
          <w:lang w:val="en-US" w:eastAsia="zh-CN"/>
        </w:rPr>
        <w:t>该项目主要设备需无缝对接至市现有应用平台，包含与现有道路交通综合管控平台、视频图像信息应用等各类平台对接费用，采购人不另外支付任何费用，投标时须提供承诺函并加盖投标人公章（格式自行拟定），未提供的视为未实质性响应采购要求。</w:t>
      </w:r>
    </w:p>
    <w:p w14:paraId="72F6DF36">
      <w:pPr>
        <w:pStyle w:val="34"/>
        <w:spacing w:beforeAutospacing="0" w:afterAutospacing="0" w:line="0" w:lineRule="atLeast"/>
        <w:ind w:firstLine="480"/>
        <w:jc w:val="both"/>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二、</w:t>
      </w:r>
      <w:r>
        <w:rPr>
          <w:rFonts w:hint="eastAsia" w:ascii="宋体" w:hAnsi="宋体" w:eastAsia="宋体" w:cs="宋体"/>
          <w:b/>
          <w:bCs/>
          <w:color w:val="000000"/>
          <w:highlight w:val="white"/>
          <w:lang w:val="en-US" w:eastAsia="zh-CN"/>
        </w:rPr>
        <w:t>技术参数及要求</w:t>
      </w:r>
    </w:p>
    <w:p w14:paraId="43C94E35">
      <w:pPr>
        <w:pStyle w:val="4"/>
        <w:pageBreakBefore w:val="0"/>
        <w:kinsoku/>
        <w:wordWrap/>
        <w:overflowPunct/>
        <w:topLinePunct w:val="0"/>
        <w:autoSpaceDE/>
        <w:autoSpaceDN/>
        <w:bidi w:val="0"/>
        <w:adjustRightInd/>
        <w:snapToGrid/>
        <w:spacing w:before="0" w:beforeAutospacing="0" w:after="0" w:afterAutospacing="0" w:line="440" w:lineRule="exact"/>
        <w:ind w:right="0" w:right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东台市公安局海防监控点位建设项目</w:t>
      </w:r>
    </w:p>
    <w:p w14:paraId="239DACF2">
      <w:pPr>
        <w:pStyle w:val="4"/>
        <w:pageBreakBefore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right="0" w:rightChars="0" w:firstLine="482" w:firstLineChars="200"/>
        <w:textAlignment w:val="auto"/>
        <w:outlineLvl w:val="1"/>
        <w:rPr>
          <w:rFonts w:hint="eastAsia" w:ascii="宋体" w:hAnsi="宋体" w:eastAsia="宋体" w:cs="宋体"/>
          <w:sz w:val="24"/>
          <w:szCs w:val="24"/>
        </w:rPr>
      </w:pPr>
      <w:r>
        <w:rPr>
          <w:rFonts w:hint="eastAsia" w:ascii="宋体" w:hAnsi="宋体" w:eastAsia="宋体" w:cs="宋体"/>
          <w:b/>
          <w:bCs/>
          <w:sz w:val="24"/>
          <w:szCs w:val="24"/>
          <w:lang w:val="en-US" w:eastAsia="zh-CN" w:bidi="ar"/>
        </w:rPr>
        <w:t>（一）</w:t>
      </w:r>
      <w:r>
        <w:rPr>
          <w:rFonts w:hint="eastAsia" w:ascii="宋体" w:hAnsi="宋体" w:eastAsia="宋体" w:cs="宋体"/>
          <w:sz w:val="24"/>
          <w:szCs w:val="24"/>
        </w:rPr>
        <w:t>技术参数要求：</w:t>
      </w:r>
    </w:p>
    <w:p w14:paraId="70341A80">
      <w:pPr>
        <w:pStyle w:val="5"/>
        <w:pageBreakBefore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right="0" w:rightChars="0" w:firstLine="482" w:firstLineChars="200"/>
        <w:textAlignment w:val="auto"/>
        <w:outlineLvl w:val="2"/>
        <w:rPr>
          <w:rFonts w:hint="eastAsia" w:ascii="宋体" w:hAnsi="宋体" w:eastAsia="宋体" w:cs="宋体"/>
          <w:sz w:val="24"/>
          <w:szCs w:val="24"/>
        </w:rPr>
      </w:pPr>
      <w:r>
        <w:rPr>
          <w:rFonts w:hint="default" w:ascii="宋体" w:hAnsi="宋体" w:eastAsia="宋体" w:cs="宋体"/>
          <w:b/>
          <w:bCs/>
          <w:sz w:val="24"/>
          <w:szCs w:val="24"/>
          <w:lang w:val="en-US" w:eastAsia="zh-CN" w:bidi="ar"/>
        </w:rPr>
        <w:t>1.</w:t>
      </w:r>
      <w:r>
        <w:rPr>
          <w:rFonts w:hint="eastAsia" w:ascii="宋体" w:hAnsi="宋体" w:eastAsia="宋体" w:cs="宋体"/>
          <w:sz w:val="24"/>
          <w:szCs w:val="24"/>
          <w:lang w:val="en-US" w:eastAsia="zh-CN"/>
        </w:rPr>
        <w:t>400W双目球-低功耗</w:t>
      </w:r>
    </w:p>
    <w:p w14:paraId="3DE19EEE">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全景采用不低于400万像素1/1.8英寸CMOS传感器，细节采用不低于1/2.8英寸CMOS传感器，内置GPU芯片；</w:t>
      </w:r>
    </w:p>
    <w:p w14:paraId="3B1E79D3">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最低照度：彩色：0.001ux，黑白：0.0001lux；</w:t>
      </w:r>
    </w:p>
    <w:p w14:paraId="1622AD43">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内置不少于10颗补光灯；</w:t>
      </w:r>
    </w:p>
    <w:p w14:paraId="607FB3CD">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支持不低于32倍光学变倍，16倍数字变倍；</w:t>
      </w:r>
    </w:p>
    <w:p w14:paraId="417AF3A7">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支持绊线入侵、区域入侵、穿越围栏、徘徊、物品遗留、物品搬移、快速移动、停车、人员聚集检测；</w:t>
      </w:r>
    </w:p>
    <w:p w14:paraId="611918F3">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支持水平方向360°连续旋转，垂直方向-20°～90°自动翻转180°后连续监视；</w:t>
      </w:r>
    </w:p>
    <w:p w14:paraId="6BE9DEC3">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支持人脸检测、优选、抓拍、上报最优的人脸抓图、人脸增强、人脸属性提取；</w:t>
      </w:r>
    </w:p>
    <w:p w14:paraId="0602F51F">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支持全景通道检测到且框出移动目标至细节通道摄像机开始转动的时间不大于0.2s；</w:t>
      </w:r>
    </w:p>
    <w:p w14:paraId="6F67CC62">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rPr>
        <w:t>支持可检测两眼瞳距不少于20像素点的人脸目标,人脸目标检出率不小于</w:t>
      </w:r>
      <w:r>
        <w:rPr>
          <w:rFonts w:hint="eastAsia" w:ascii="宋体" w:hAnsi="宋体" w:eastAsia="宋体" w:cs="宋体"/>
          <w:sz w:val="24"/>
          <w:szCs w:val="24"/>
          <w:highlight w:val="none"/>
        </w:rPr>
        <w:t>99%；</w:t>
      </w:r>
    </w:p>
    <w:p w14:paraId="3654838F">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★设备支持手动或自动启动雨刷,当设置为自动雨刷时,雨量监测器监测到雨水时会自动开启雨刷,监测不到雨水后自动停止</w:t>
      </w:r>
      <w:r>
        <w:rPr>
          <w:rFonts w:hint="eastAsia" w:ascii="宋体" w:hAnsi="宋体" w:eastAsia="宋体" w:cs="宋体"/>
          <w:sz w:val="24"/>
          <w:szCs w:val="24"/>
          <w:highlight w:val="none"/>
          <w:lang w:eastAsia="zh-CN"/>
        </w:rPr>
        <w:t>。</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eastAsia="zh-CN"/>
        </w:rPr>
        <w:t>提供公安部检测报告或第三方检测机构出具的检测报告复印件加投标人公章</w:t>
      </w:r>
      <w:r>
        <w:rPr>
          <w:rFonts w:hint="eastAsia" w:ascii="宋体" w:hAnsi="宋体" w:eastAsia="宋体" w:cs="宋体"/>
          <w:b/>
          <w:bCs/>
          <w:sz w:val="24"/>
          <w:szCs w:val="24"/>
          <w:highlight w:val="none"/>
        </w:rPr>
        <w:t>）</w:t>
      </w:r>
    </w:p>
    <w:p w14:paraId="63F5877B">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支持对镜头前盖玻璃加热,当环境温度和湿度达到阈值时,可自动开启镜头前盖玻璃加热功能,去除玻璃上的冰状和水状附着物；</w:t>
      </w:r>
    </w:p>
    <w:p w14:paraId="27A472AC">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支持1路音频输入和1路音频输出，内置2路报警输入和1路报警输出，支持报警联动功能；</w:t>
      </w:r>
    </w:p>
    <w:p w14:paraId="6A7C672C">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支持IP66防护等级，6000V防雷、防浪涌和防突波保护；</w:t>
      </w:r>
    </w:p>
    <w:p w14:paraId="7EC4D286">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支持4G全网通；</w:t>
      </w:r>
    </w:p>
    <w:p w14:paraId="30204C2B">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支持DC36V±25%宽电压输入；</w:t>
      </w:r>
    </w:p>
    <w:p w14:paraId="523DDD0F">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支持GB35114 A级加密。</w:t>
      </w:r>
    </w:p>
    <w:p w14:paraId="342F9EF2">
      <w:pPr>
        <w:pStyle w:val="5"/>
        <w:pageBreakBefore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right="0" w:rightChars="0" w:firstLine="482" w:firstLineChars="200"/>
        <w:textAlignment w:val="auto"/>
        <w:outlineLvl w:val="2"/>
        <w:rPr>
          <w:rFonts w:hint="eastAsia" w:ascii="宋体" w:hAnsi="宋体" w:eastAsia="宋体" w:cs="宋体"/>
          <w:sz w:val="24"/>
          <w:szCs w:val="24"/>
        </w:rPr>
      </w:pPr>
      <w:r>
        <w:rPr>
          <w:rFonts w:hint="default" w:ascii="宋体" w:hAnsi="宋体" w:eastAsia="宋体" w:cs="宋体"/>
          <w:b/>
          <w:bCs/>
          <w:sz w:val="24"/>
          <w:szCs w:val="24"/>
          <w:lang w:val="en-US" w:eastAsia="zh-CN" w:bidi="ar"/>
        </w:rPr>
        <w:t>2.</w:t>
      </w:r>
      <w:r>
        <w:rPr>
          <w:rFonts w:hint="eastAsia" w:ascii="宋体" w:hAnsi="宋体" w:eastAsia="宋体" w:cs="宋体"/>
          <w:sz w:val="24"/>
          <w:szCs w:val="24"/>
          <w:lang w:val="en-US" w:eastAsia="zh-CN"/>
        </w:rPr>
        <w:t>400W双向结构化-低功耗</w:t>
      </w:r>
    </w:p>
    <w:p w14:paraId="38F5B5F9">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双通道均采用不低于400万像素1/1.8英寸CMOS图像传感器，内置GPU芯片；</w:t>
      </w:r>
    </w:p>
    <w:p w14:paraId="7EBD3B62">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最低照度：彩色：0.002lux；黑白：0.0002lux；</w:t>
      </w:r>
    </w:p>
    <w:p w14:paraId="0092C376">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内置不少于1个电动变焦镜头，镜头焦距8mm～32mm；</w:t>
      </w:r>
    </w:p>
    <w:p w14:paraId="72C4A1C1">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设备2路通道均支持独立电动云台;通道一:垂直旋转范围:-5°~30°;水平旋转范围:0°~355°;通道二:垂直旋转范围:-5°~30°；</w:t>
      </w:r>
    </w:p>
    <w:p w14:paraId="4AB05118">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双通道均支持视频结构化，支持机动车、非机动车、人脸、人员等目标的抓拍和属性识别；</w:t>
      </w:r>
    </w:p>
    <w:p w14:paraId="5E2AEA4A">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支持正向/背向行驶车辆抓拍，支持车牌、车牌颜色、车标、车系、车身颜色、车辆类型；</w:t>
      </w:r>
    </w:p>
    <w:p w14:paraId="554AAC58">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内置扬声器和双麦克风；</w:t>
      </w:r>
    </w:p>
    <w:p w14:paraId="6604945E">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★聚焦目标可设置为混合模式或者人脸模式,当画面中无参考人体目标进行自动聚焦时,选择混合聚焦,应保证画面整体清晰;切换为人脸模式聚焦时,应根据画面场景自动调整聚焦策略,应优先保证抓拍人脸清晰度；</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eastAsia="zh-CN"/>
        </w:rPr>
        <w:t>提供公安部检测报告或第三方检测机构出具的检测报告复印件加投标人公章</w:t>
      </w:r>
      <w:r>
        <w:rPr>
          <w:rFonts w:hint="eastAsia" w:ascii="宋体" w:hAnsi="宋体" w:eastAsia="宋体" w:cs="宋体"/>
          <w:b/>
          <w:bCs/>
          <w:sz w:val="24"/>
          <w:szCs w:val="24"/>
          <w:highlight w:val="none"/>
        </w:rPr>
        <w:t>）</w:t>
      </w:r>
    </w:p>
    <w:p w14:paraId="1A4F5AA6">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环境光照度低于50lx且同一画面中,可同时对不同速度、明亮度、反光度的行人、非机动车、机动车分类曝光,可实时检测、跟踪、抓拍行进的行人人脸、人体、非机动车及车上人员、机动车车牌、机动车,可识别人脸及车牌号码,抓拍的人脸和车牌号码图片应清晰可辨,无过曝、过暗情况；</w:t>
      </w:r>
    </w:p>
    <w:p w14:paraId="0CF06A46">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rPr>
        <w:t>支持GB35114 A级安全加密</w:t>
      </w:r>
    </w:p>
    <w:p w14:paraId="48CBE6FF">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支持IP67防护等级</w:t>
      </w:r>
    </w:p>
    <w:p w14:paraId="3F2C7FC3">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支持DC12V供电方式</w:t>
      </w:r>
      <w:r>
        <w:rPr>
          <w:rFonts w:hint="eastAsia" w:ascii="宋体" w:hAnsi="宋体" w:eastAsia="宋体" w:cs="宋体"/>
          <w:sz w:val="24"/>
          <w:szCs w:val="24"/>
          <w:lang w:eastAsia="zh-CN"/>
        </w:rPr>
        <w:t>。</w:t>
      </w:r>
    </w:p>
    <w:p w14:paraId="5EEE87EF">
      <w:pPr>
        <w:pStyle w:val="5"/>
        <w:pageBreakBefore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right="0" w:rightChars="0" w:firstLine="482" w:firstLineChars="200"/>
        <w:textAlignment w:val="auto"/>
        <w:outlineLvl w:val="2"/>
        <w:rPr>
          <w:rFonts w:hint="eastAsia" w:ascii="宋体" w:hAnsi="宋体" w:eastAsia="宋体" w:cs="宋体"/>
          <w:sz w:val="24"/>
          <w:szCs w:val="24"/>
          <w:highlight w:val="none"/>
        </w:rPr>
      </w:pPr>
      <w:r>
        <w:rPr>
          <w:rFonts w:hint="default" w:ascii="宋体" w:hAnsi="宋体" w:eastAsia="宋体" w:cs="宋体"/>
          <w:b/>
          <w:bCs/>
          <w:sz w:val="24"/>
          <w:szCs w:val="24"/>
          <w:highlight w:val="none"/>
          <w:lang w:val="en-US" w:eastAsia="zh-CN" w:bidi="ar"/>
        </w:rPr>
        <w:t>3.</w:t>
      </w:r>
      <w:r>
        <w:rPr>
          <w:rFonts w:hint="eastAsia" w:ascii="宋体" w:hAnsi="宋体" w:eastAsia="宋体" w:cs="宋体"/>
          <w:sz w:val="24"/>
          <w:szCs w:val="24"/>
          <w:highlight w:val="none"/>
        </w:rPr>
        <w:t>400W</w:t>
      </w:r>
      <w:r>
        <w:rPr>
          <w:rFonts w:hint="eastAsia" w:ascii="宋体" w:hAnsi="宋体" w:eastAsia="宋体" w:cs="宋体"/>
          <w:sz w:val="24"/>
          <w:szCs w:val="24"/>
          <w:highlight w:val="none"/>
          <w:lang w:val="en-US" w:eastAsia="zh-CN"/>
        </w:rPr>
        <w:t>双目</w:t>
      </w:r>
      <w:r>
        <w:rPr>
          <w:rFonts w:hint="eastAsia" w:ascii="宋体" w:hAnsi="宋体" w:eastAsia="宋体" w:cs="宋体"/>
          <w:sz w:val="24"/>
          <w:szCs w:val="24"/>
          <w:highlight w:val="none"/>
        </w:rPr>
        <w:t>球机</w:t>
      </w:r>
    </w:p>
    <w:p w14:paraId="2C8D3171">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★设备内置2颗GPU芯片，由全景摄像机和细节摄像机组成，CMOS靶面尺寸均为1/1.8英寸，分辨率均不低于2688x1520；（投标文件中须提供有效的公安部认可的检测机构出具的检测报告影印件并加盖投标人公章）</w:t>
      </w:r>
    </w:p>
    <w:p w14:paraId="454BBECF">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细节镜头支持32倍光学变倍</w:t>
      </w:r>
    </w:p>
    <w:p w14:paraId="27D424D5">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在彩色模式下，当环境低照度降低至设定阈值，设备可自动开启白光灯补光，在白天、夜晚均可输出彩色视频图像；</w:t>
      </w:r>
    </w:p>
    <w:p w14:paraId="50578FF3">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支持最低照度可达彩色0.0002lx，黑白0.0001lx；</w:t>
      </w:r>
    </w:p>
    <w:p w14:paraId="001EF7A9">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水平旋转范围为360°连续旋转，垂直旋转范围为-15°~90°；</w:t>
      </w:r>
    </w:p>
    <w:p w14:paraId="3B17DD07">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★设备内置不少于10颗补光灯；（投标文件中须提供有效的公安部认可的检测机构出具的检测报告影印件并加盖投标人公章）</w:t>
      </w:r>
    </w:p>
    <w:p w14:paraId="7262DD27">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★支持人脸抓拍功能，可对经过设定区域的行人进行人脸检测和人脸跟踪，当检测到人脸后，可抓拍人脸图片；（投标文件中须提供有效的公安部认可的检测机构出具的检测报告影印件并加盖投标人公章）</w:t>
      </w:r>
    </w:p>
    <w:p w14:paraId="4D0BF59B">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支持智能红外、透雾、强光抑制、电子防抖、数字降噪、防红外过曝功能；</w:t>
      </w:r>
    </w:p>
    <w:p w14:paraId="17784DB3">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支持H.264、H.265、MJPEG视频编码格式，且具有High Profile编码能力；</w:t>
      </w:r>
    </w:p>
    <w:p w14:paraId="47A0A59F">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同一场景相同图像质量下设备在H.264或H.265编码时，开启智能编码和不开启智能编码相比，码率节约≥9/10；</w:t>
      </w:r>
    </w:p>
    <w:p w14:paraId="16852E29">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支持对镜头前盖玻璃加热，去除玻璃上的冰状和水状附着物；</w:t>
      </w:r>
    </w:p>
    <w:p w14:paraId="3DD6CFC3">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支持GB35114 A级安全加密；</w:t>
      </w:r>
    </w:p>
    <w:p w14:paraId="09C052AA">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支持IP67，6kV防浪涌；</w:t>
      </w:r>
    </w:p>
    <w:p w14:paraId="203BCB7F">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采用DC36V供电。</w:t>
      </w:r>
    </w:p>
    <w:p w14:paraId="33A39FDB">
      <w:pPr>
        <w:pStyle w:val="5"/>
        <w:pageBreakBefore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right="0" w:rightChars="0" w:firstLine="482" w:firstLineChars="200"/>
        <w:textAlignment w:val="auto"/>
        <w:outlineLvl w:val="2"/>
        <w:rPr>
          <w:rFonts w:hint="eastAsia" w:ascii="宋体" w:hAnsi="宋体" w:eastAsia="宋体" w:cs="宋体"/>
          <w:sz w:val="24"/>
          <w:szCs w:val="24"/>
        </w:rPr>
      </w:pPr>
      <w:r>
        <w:rPr>
          <w:rFonts w:hint="default" w:ascii="宋体" w:hAnsi="宋体" w:eastAsia="宋体" w:cs="宋体"/>
          <w:b/>
          <w:bCs/>
          <w:sz w:val="24"/>
          <w:szCs w:val="24"/>
          <w:lang w:val="en-US" w:eastAsia="zh-CN" w:bidi="ar"/>
        </w:rPr>
        <w:t>4.</w:t>
      </w:r>
      <w:r>
        <w:rPr>
          <w:rFonts w:hint="eastAsia" w:ascii="宋体" w:hAnsi="宋体" w:eastAsia="宋体" w:cs="宋体"/>
          <w:sz w:val="24"/>
          <w:szCs w:val="24"/>
        </w:rPr>
        <w:t>400W双</w:t>
      </w:r>
      <w:r>
        <w:rPr>
          <w:rFonts w:hint="eastAsia" w:ascii="宋体" w:hAnsi="宋体" w:eastAsia="宋体" w:cs="宋体"/>
          <w:sz w:val="24"/>
          <w:szCs w:val="24"/>
          <w:lang w:val="en-US" w:eastAsia="zh-CN"/>
        </w:rPr>
        <w:t>镜头</w:t>
      </w:r>
      <w:r>
        <w:rPr>
          <w:rFonts w:hint="eastAsia" w:ascii="宋体" w:hAnsi="宋体" w:eastAsia="宋体" w:cs="宋体"/>
          <w:sz w:val="24"/>
          <w:szCs w:val="24"/>
        </w:rPr>
        <w:t>结构化</w:t>
      </w:r>
    </w:p>
    <w:p w14:paraId="49C8A7F2">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双通道均采用不低于400万像素1/1.8英寸CMOS图像传感器，内置GPU芯片；</w:t>
      </w:r>
    </w:p>
    <w:p w14:paraId="638AF038">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最低照度：彩色：0.002lux；黑白：0.0002lux；</w:t>
      </w:r>
    </w:p>
    <w:p w14:paraId="022FE569">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内置不少于</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个电动变焦镜头，镜头焦距8mm～32mm；</w:t>
      </w:r>
    </w:p>
    <w:p w14:paraId="3C653174">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设备2路通道均支持独立电动云台;通道一:垂直旋转范围:-5°~30°;水平旋转范围:0°~355°;通道二:垂直旋转范围:-5°~30°；</w:t>
      </w:r>
    </w:p>
    <w:p w14:paraId="6EBF0B64">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双通道均支持视频结构化，支持机动车、非机动车、人脸、人员等目标的抓拍和属性识别；</w:t>
      </w:r>
    </w:p>
    <w:p w14:paraId="78DE2D60">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双通道均支持：在环境光着地低于50lx的条件下，可对速度不小于40Km/h的机动车，速度不大25Km/h的非机动车，速度不大5Km/h的行人三种同时经过画面的目标进行分类曝光，可抓拍人脸、人体、非机动车和机动车目标，抓拍的人脸和车牌号码图片应清晰可辨，无过曝，欠曝情况；</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eastAsia="zh-CN"/>
        </w:rPr>
        <w:t>提供公安部检测报告或第三方检测机构出具的检测报告复印件加投标人公章</w:t>
      </w:r>
      <w:r>
        <w:rPr>
          <w:rFonts w:hint="eastAsia" w:ascii="宋体" w:hAnsi="宋体" w:eastAsia="宋体" w:cs="宋体"/>
          <w:b/>
          <w:bCs/>
          <w:sz w:val="24"/>
          <w:szCs w:val="24"/>
          <w:highlight w:val="none"/>
        </w:rPr>
        <w:t>）</w:t>
      </w:r>
    </w:p>
    <w:p w14:paraId="3F3F07C2">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★聚焦目标可设置为混合模式或者人脸模式,当画面中无参考人体目标进行自动聚焦时,选择混合聚焦,应保证画面整体清晰;切换为人脸模式聚焦时,应根据画面场景自动调整聚焦策略,应优先保证抓拍人脸清晰度</w:t>
      </w:r>
      <w:r>
        <w:rPr>
          <w:rFonts w:hint="eastAsia" w:ascii="宋体" w:hAnsi="宋体" w:eastAsia="宋体" w:cs="宋体"/>
          <w:sz w:val="24"/>
          <w:szCs w:val="24"/>
          <w:highlight w:val="none"/>
          <w:lang w:val="en-US" w:eastAsia="zh-CN"/>
        </w:rPr>
        <w:t>；</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eastAsia="zh-CN"/>
        </w:rPr>
        <w:t>提供公安部检测报告或第三方检测机构出具的检测报告复印件加投标人公章</w:t>
      </w:r>
      <w:r>
        <w:rPr>
          <w:rFonts w:hint="eastAsia" w:ascii="宋体" w:hAnsi="宋体" w:eastAsia="宋体" w:cs="宋体"/>
          <w:b/>
          <w:bCs/>
          <w:sz w:val="24"/>
          <w:szCs w:val="24"/>
          <w:highlight w:val="none"/>
        </w:rPr>
        <w:t>）</w:t>
      </w:r>
    </w:p>
    <w:p w14:paraId="56D8ADEA">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内置扬声器和双麦克风；</w:t>
      </w:r>
    </w:p>
    <w:p w14:paraId="48F3F0FB">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支持绊线入侵、区域入侵、物品遗留、快速移动、停车检测、人员聚集、物品搬移、徘徊检测；</w:t>
      </w:r>
    </w:p>
    <w:p w14:paraId="34954D81">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内置水平仪,可检测样机是否水平状态；</w:t>
      </w:r>
    </w:p>
    <w:p w14:paraId="4FA0C457">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rPr>
        <w:t>支持GB35114 A级安全加密</w:t>
      </w:r>
    </w:p>
    <w:p w14:paraId="24EA39CE">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支持IP67防护等级</w:t>
      </w:r>
    </w:p>
    <w:p w14:paraId="3002EAFF">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支持DC12V供电方式</w:t>
      </w:r>
      <w:r>
        <w:rPr>
          <w:rFonts w:hint="eastAsia" w:ascii="宋体" w:hAnsi="宋体" w:eastAsia="宋体" w:cs="宋体"/>
          <w:sz w:val="24"/>
          <w:szCs w:val="24"/>
          <w:highlight w:val="none"/>
          <w:lang w:eastAsia="zh-CN"/>
        </w:rPr>
        <w:t>。</w:t>
      </w:r>
    </w:p>
    <w:p w14:paraId="05C3A3AD">
      <w:pPr>
        <w:pStyle w:val="5"/>
        <w:pageBreakBefore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right="0" w:rightChars="0" w:firstLine="482" w:firstLineChars="200"/>
        <w:textAlignment w:val="auto"/>
        <w:outlineLvl w:val="2"/>
        <w:rPr>
          <w:rFonts w:hint="eastAsia" w:ascii="宋体" w:hAnsi="宋体" w:eastAsia="宋体" w:cs="宋体"/>
          <w:sz w:val="24"/>
          <w:szCs w:val="24"/>
        </w:rPr>
      </w:pPr>
      <w:r>
        <w:rPr>
          <w:rFonts w:hint="default" w:ascii="宋体" w:hAnsi="宋体" w:eastAsia="宋体" w:cs="宋体"/>
          <w:b/>
          <w:bCs/>
          <w:sz w:val="24"/>
          <w:szCs w:val="24"/>
          <w:lang w:val="en-US" w:eastAsia="zh-CN" w:bidi="ar"/>
        </w:rPr>
        <w:t>5.</w:t>
      </w:r>
      <w:r>
        <w:rPr>
          <w:rFonts w:hint="eastAsia" w:ascii="宋体" w:hAnsi="宋体" w:eastAsia="宋体" w:cs="宋体"/>
          <w:sz w:val="24"/>
          <w:szCs w:val="24"/>
        </w:rPr>
        <w:t>400W三向结构化</w:t>
      </w:r>
    </w:p>
    <w:p w14:paraId="610C692D">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三通道均采用不低于400万像素1/1.8英寸CMOS图像传感器，内置GPU芯片；</w:t>
      </w:r>
    </w:p>
    <w:p w14:paraId="2D08868C">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最低照度：彩色：0.001lux；黑白0.0001lux；</w:t>
      </w:r>
    </w:p>
    <w:p w14:paraId="79D279D7">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内置不少于3个电动变焦镜头，全景：8mm～32mm，细节：5.4mm～135mm；</w:t>
      </w:r>
    </w:p>
    <w:p w14:paraId="74D06E34">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支持同时对2路全景和1路细节视频监控画面中的机动车、非机动车、人员中的一种或者多种目标进行抓拍及属性检测,并支持人脸、机动车、非机动车的抓拍去重；</w:t>
      </w:r>
    </w:p>
    <w:p w14:paraId="4CCE5E63">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全景通道1、全景通道2、细节通道均可进行水平和垂直方向调节,全景通道1进行水平、垂直调节时,全景通道2可保持不动,全景通道1和全景通道2分别进行水平、垂直调节时,细节通道可保持不动；</w:t>
      </w:r>
    </w:p>
    <w:p w14:paraId="49C51B12">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全景通道支持水平旋转范围:0°~240°垂直旋转范围:-30°~90°，细节通道支持水平旋转范围:0°~360°垂直旋转范围:-30°-90°；</w:t>
      </w:r>
    </w:p>
    <w:p w14:paraId="0F70E8A7">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具有混合抓拍模式,可分别或同时对2路全景通道和1路细节通道视频画面中的行人、非机动车、机动车进行检测、跟踪、抓拍,支持人脸、机动车车牌、非机动车车牌的抠图,可将人脸与人体、车牌与车辆关联显示；</w:t>
      </w:r>
    </w:p>
    <w:p w14:paraId="509FE71C">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支持硬件微引导程序、uboot、OS、应用软件逐级校验功能,非法篡改的uboot、OS、应用软件固件包,不能通过命令行、浏览器、客户端方式进行升级；</w:t>
      </w:r>
    </w:p>
    <w:p w14:paraId="2E65FF92">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支持固件安全检验功能,uboot应采用加密存储,通过离线烧写存储器方式写入的uboot执行程序,不能被硬件微引导程序加载执行；</w:t>
      </w:r>
    </w:p>
    <w:p w14:paraId="1D4480EB">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支持手动雨刷功能；</w:t>
      </w:r>
    </w:p>
    <w:p w14:paraId="419C45A6">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支持IP67防护等级，6000V防雷、防浪涌和防突波保护</w:t>
      </w:r>
    </w:p>
    <w:p w14:paraId="41E6B802">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支持DC36V±25%宽电压输入</w:t>
      </w:r>
    </w:p>
    <w:p w14:paraId="1D4BEFA3">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支持GB35114 A级加密</w:t>
      </w:r>
      <w:r>
        <w:rPr>
          <w:rFonts w:hint="eastAsia" w:ascii="宋体" w:hAnsi="宋体" w:eastAsia="宋体" w:cs="宋体"/>
          <w:sz w:val="24"/>
          <w:szCs w:val="24"/>
          <w:lang w:eastAsia="zh-CN"/>
        </w:rPr>
        <w:t>。</w:t>
      </w:r>
    </w:p>
    <w:p w14:paraId="368F67B1">
      <w:pPr>
        <w:pStyle w:val="5"/>
        <w:pageBreakBefore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right="0" w:rightChars="0" w:firstLine="482" w:firstLineChars="200"/>
        <w:textAlignment w:val="auto"/>
        <w:outlineLvl w:val="2"/>
        <w:rPr>
          <w:rFonts w:hint="eastAsia" w:ascii="宋体" w:hAnsi="宋体" w:eastAsia="宋体" w:cs="宋体"/>
          <w:sz w:val="24"/>
          <w:szCs w:val="24"/>
        </w:rPr>
      </w:pPr>
      <w:r>
        <w:rPr>
          <w:rFonts w:hint="default" w:ascii="宋体" w:hAnsi="宋体" w:eastAsia="宋体" w:cs="宋体"/>
          <w:b/>
          <w:bCs/>
          <w:sz w:val="24"/>
          <w:szCs w:val="24"/>
          <w:lang w:val="en-US" w:eastAsia="zh-CN" w:bidi="ar"/>
        </w:rPr>
        <w:t>6.</w:t>
      </w:r>
      <w:r>
        <w:rPr>
          <w:rFonts w:hint="eastAsia" w:ascii="宋体" w:hAnsi="宋体" w:eastAsia="宋体" w:cs="宋体"/>
          <w:sz w:val="24"/>
          <w:szCs w:val="24"/>
        </w:rPr>
        <w:t>太阳能</w:t>
      </w:r>
      <w:r>
        <w:rPr>
          <w:rFonts w:hint="eastAsia" w:ascii="宋体" w:hAnsi="宋体" w:eastAsia="宋体" w:cs="宋体"/>
          <w:sz w:val="24"/>
          <w:szCs w:val="24"/>
          <w:lang w:val="en-US" w:eastAsia="zh-CN"/>
        </w:rPr>
        <w:t>供电</w:t>
      </w:r>
      <w:r>
        <w:rPr>
          <w:rFonts w:hint="eastAsia" w:ascii="宋体" w:hAnsi="宋体" w:eastAsia="宋体" w:cs="宋体"/>
          <w:sz w:val="24"/>
          <w:szCs w:val="24"/>
        </w:rPr>
        <w:t>套装</w:t>
      </w:r>
    </w:p>
    <w:p w14:paraId="5A54B6C0">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一、套装不少于2块太阳能板、1台太阳能控制柜、1套太阳能板安装支架、2块蓄电池、1套蓄电池箱</w:t>
      </w:r>
    </w:p>
    <w:p w14:paraId="07F20CC8">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二、太阳能板技术参数：</w:t>
      </w:r>
    </w:p>
    <w:p w14:paraId="0DDF7EA2">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电池片类型：单晶硅；</w:t>
      </w:r>
    </w:p>
    <w:p w14:paraId="12BEC35D">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最大功率：≥275W；</w:t>
      </w:r>
    </w:p>
    <w:p w14:paraId="16B2FA9E">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工作电压：≥37.02V；</w:t>
      </w:r>
    </w:p>
    <w:p w14:paraId="34E9E12E">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工作电流：≥7.43A；</w:t>
      </w:r>
    </w:p>
    <w:p w14:paraId="02D5D851">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短路电流：≥8.67A；</w:t>
      </w:r>
    </w:p>
    <w:p w14:paraId="7B941844">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开路电压：≥44.92V；</w:t>
      </w:r>
    </w:p>
    <w:p w14:paraId="5204B57A">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最大机械载荷：正面5400Pa/背面2400Pa；</w:t>
      </w:r>
    </w:p>
    <w:p w14:paraId="725E26CA">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冲击强度：IK07；</w:t>
      </w:r>
    </w:p>
    <w:p w14:paraId="0169B9FA">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工作温度：-40℃～+80℃；</w:t>
      </w:r>
    </w:p>
    <w:p w14:paraId="7CD1C3E1">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三、太阳能控制柜技术参数：</w:t>
      </w:r>
    </w:p>
    <w:p w14:paraId="3D95EEE3">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系统输出电压12VDC/24VDC自动识别。</w:t>
      </w:r>
    </w:p>
    <w:p w14:paraId="773D8545">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最大功率点跟踪技术（MPPT），最大功率点跟踪效率&gt;99.9%。</w:t>
      </w:r>
    </w:p>
    <w:p w14:paraId="2D36AB86">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采用先进的数字电源技术，电路能量转换效率高达98%。</w:t>
      </w:r>
    </w:p>
    <w:p w14:paraId="2AC593F0">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配置高清液晶动态显示屏，可视化操作。</w:t>
      </w:r>
    </w:p>
    <w:p w14:paraId="1923D8F2">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系统电压自动识别，支持液体，胶体，AGM及锂电等多种电池类型。</w:t>
      </w:r>
    </w:p>
    <w:p w14:paraId="21F3F607">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支持过流、过压、短路、过温保护机制。</w:t>
      </w:r>
    </w:p>
    <w:p w14:paraId="7C9F1677">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配置3路断路器、防雷器，接线调试安全可靠。</w:t>
      </w:r>
    </w:p>
    <w:p w14:paraId="33C23F30">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支持抱箍安装，适用于直径150mm~240mm立杆。</w:t>
      </w:r>
    </w:p>
    <w:p w14:paraId="6F1DA317">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内置风扇，自动温控，高温启动散热。</w:t>
      </w:r>
    </w:p>
    <w:p w14:paraId="6CF533E3">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预留逆变器安装位置，实现AC220逆变输出。</w:t>
      </w:r>
    </w:p>
    <w:p w14:paraId="7620689C">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四、太阳能板安装支架：</w:t>
      </w:r>
    </w:p>
    <w:p w14:paraId="02BA2885">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Q235钢材质、冷镀锌防腐处理；</w:t>
      </w:r>
    </w:p>
    <w:p w14:paraId="5537CD8E">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安装倾角可实现10°、20°、30°、40°、50°调节，以满足不同纬度地区使用；</w:t>
      </w:r>
    </w:p>
    <w:p w14:paraId="76B9C2CA">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支持抱箍安装，适用于直径150mm~220mm立杆；</w:t>
      </w:r>
    </w:p>
    <w:p w14:paraId="47E255F4">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五、蓄电池技术参数：</w:t>
      </w:r>
    </w:p>
    <w:p w14:paraId="37829404">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额定容量≥150Ah，额定电压≥D12V</w:t>
      </w:r>
    </w:p>
    <w:p w14:paraId="4A2382BB">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阀控式免维护设计，寿命期间无需加水或加酸</w:t>
      </w:r>
    </w:p>
    <w:p w14:paraId="1DB2142A">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浮充和循环使用寿命长,自放电低</w:t>
      </w:r>
    </w:p>
    <w:p w14:paraId="6DC30DFC">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采用特殊合金板栅(AGM)，适合深循环放电</w:t>
      </w:r>
    </w:p>
    <w:p w14:paraId="7A5ECD41">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端子式接口，方便接线</w:t>
      </w:r>
    </w:p>
    <w:p w14:paraId="253EBD1B">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六、蓄电池箱技术参数：</w:t>
      </w:r>
    </w:p>
    <w:p w14:paraId="3CD058A7">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最大可放2个200 Ah电池</w:t>
      </w:r>
      <w:r>
        <w:rPr>
          <w:rFonts w:hint="eastAsia" w:ascii="宋体" w:hAnsi="宋体" w:eastAsia="宋体" w:cs="宋体"/>
          <w:sz w:val="24"/>
          <w:szCs w:val="24"/>
          <w:highlight w:val="none"/>
          <w:lang w:eastAsia="zh-CN"/>
        </w:rPr>
        <w:t>；</w:t>
      </w:r>
    </w:p>
    <w:p w14:paraId="5B29F8BC">
      <w:pPr>
        <w:pStyle w:val="5"/>
        <w:pageBreakBefore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right="0" w:rightChars="0" w:firstLine="482" w:firstLineChars="200"/>
        <w:textAlignment w:val="auto"/>
        <w:outlineLvl w:val="2"/>
        <w:rPr>
          <w:rFonts w:hint="eastAsia" w:ascii="宋体" w:hAnsi="宋体" w:eastAsia="宋体" w:cs="宋体"/>
          <w:sz w:val="24"/>
          <w:szCs w:val="24"/>
          <w:lang w:val="en-US" w:eastAsia="zh-CN"/>
        </w:rPr>
      </w:pPr>
      <w:r>
        <w:rPr>
          <w:rFonts w:hint="default" w:ascii="宋体" w:hAnsi="宋体" w:eastAsia="宋体" w:cs="宋体"/>
          <w:b/>
          <w:bCs/>
          <w:sz w:val="24"/>
          <w:szCs w:val="24"/>
          <w:lang w:val="en-US" w:eastAsia="zh-CN" w:bidi="ar"/>
        </w:rPr>
        <w:t>7.</w:t>
      </w:r>
      <w:r>
        <w:rPr>
          <w:rFonts w:hint="eastAsia" w:ascii="宋体" w:hAnsi="宋体" w:eastAsia="宋体" w:cs="宋体"/>
          <w:sz w:val="24"/>
          <w:szCs w:val="24"/>
          <w:lang w:val="en-US" w:eastAsia="zh-CN"/>
        </w:rPr>
        <w:t>硬盘录像机</w:t>
      </w:r>
    </w:p>
    <w:p w14:paraId="7693768E">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支持WEB、本地GUI界面操作</w:t>
      </w:r>
    </w:p>
    <w:p w14:paraId="2EC7EBD7">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开源鸿蒙操作系统</w:t>
      </w:r>
    </w:p>
    <w:p w14:paraId="1F5B49F5">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支持最大16路网络视频接入，网络性能256Mbps接入、256Mbps储存、256Mbps转发</w:t>
      </w:r>
    </w:p>
    <w:p w14:paraId="5D228351">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可接驳支持ONVIF、RTSP协议的第三方摄像机和主流品牌摄像机</w:t>
      </w:r>
    </w:p>
    <w:p w14:paraId="3174A07F">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支持16M/12M/8M/6M/5M/4M/3M/1080P/960P/720PIPC分辨率接入</w:t>
      </w:r>
    </w:p>
    <w:p w14:paraId="4E6A8A74">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支持1个SATA接口，可插入2.5寸SSD硬盘使用</w:t>
      </w:r>
    </w:p>
    <w:p w14:paraId="76D5CFBA">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支持8路报警输入。1-4路开关量信号接口 </w:t>
      </w:r>
    </w:p>
    <w:p w14:paraId="515B666F">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支持4路报警继电器输出（含1路受控DC12V输出），可配置报警事件联动继电器状态</w:t>
      </w:r>
    </w:p>
    <w:p w14:paraId="3FBE4D7E">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不低于</w:t>
      </w:r>
      <w:r>
        <w:rPr>
          <w:rFonts w:hint="eastAsia" w:ascii="宋体" w:hAnsi="宋体" w:eastAsia="宋体" w:cs="宋体"/>
          <w:sz w:val="24"/>
          <w:szCs w:val="24"/>
          <w:highlight w:val="none"/>
        </w:rPr>
        <w:t>4路RS485</w:t>
      </w:r>
    </w:p>
    <w:p w14:paraId="1C1CC2BD">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w:t>
      </w:r>
      <w:r>
        <w:rPr>
          <w:rFonts w:hint="eastAsia" w:ascii="宋体" w:hAnsi="宋体" w:eastAsia="宋体" w:cs="宋体"/>
          <w:sz w:val="24"/>
          <w:szCs w:val="24"/>
          <w:highlight w:val="none"/>
          <w:lang w:val="en-US" w:eastAsia="zh-CN"/>
        </w:rPr>
        <w:t>不低于</w:t>
      </w:r>
      <w:r>
        <w:rPr>
          <w:rFonts w:hint="eastAsia" w:ascii="宋体" w:hAnsi="宋体" w:eastAsia="宋体" w:cs="宋体"/>
          <w:sz w:val="24"/>
          <w:szCs w:val="24"/>
          <w:highlight w:val="none"/>
        </w:rPr>
        <w:t>1路12V 1A对外供电输出</w:t>
      </w:r>
    </w:p>
    <w:p w14:paraId="520AFBF6">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不低于</w:t>
      </w:r>
      <w:r>
        <w:rPr>
          <w:rFonts w:hint="eastAsia" w:ascii="宋体" w:hAnsi="宋体" w:eastAsia="宋体" w:cs="宋体"/>
          <w:sz w:val="24"/>
          <w:szCs w:val="24"/>
          <w:highlight w:val="none"/>
        </w:rPr>
        <w:t>2个USB2.0接口</w:t>
      </w:r>
    </w:p>
    <w:p w14:paraId="5BD3540E">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不低于</w:t>
      </w:r>
      <w:r>
        <w:rPr>
          <w:rFonts w:hint="eastAsia" w:ascii="宋体" w:hAnsi="宋体" w:eastAsia="宋体" w:cs="宋体"/>
          <w:sz w:val="24"/>
          <w:szCs w:val="24"/>
          <w:highlight w:val="none"/>
        </w:rPr>
        <w:t>2个千兆以太网口。支持2个不同段IP地址的IPC设备接入；支持将多网口设置同一个IP地址，实现数据链路冗余</w:t>
      </w:r>
    </w:p>
    <w:p w14:paraId="73867DD7">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支持VGA、HDMI异源输出，HDMI视频输出分辨率最高达4K</w:t>
      </w:r>
    </w:p>
    <w:p w14:paraId="08A96556">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支持移动、电信、联通4G网络接入，标配2根3米延长线的外置天线</w:t>
      </w:r>
    </w:p>
    <w:p w14:paraId="474D65B0">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支持-20℃～+60℃工作环境温度</w:t>
      </w:r>
    </w:p>
    <w:p w14:paraId="7201BE73">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支持关闭部分软硬件模块以降低设备功耗，支持按时间计划进入休眠状态和被唤醒，支持通过外部报警输入方式唤醒休眠中的设备</w:t>
      </w:r>
    </w:p>
    <w:p w14:paraId="16843EB4">
      <w:pPr>
        <w:pStyle w:val="5"/>
        <w:pageBreakBefore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right="0" w:rightChars="0" w:firstLine="482" w:firstLineChars="200"/>
        <w:textAlignment w:val="auto"/>
        <w:outlineLvl w:val="2"/>
        <w:rPr>
          <w:rFonts w:hint="eastAsia" w:ascii="宋体" w:hAnsi="宋体" w:eastAsia="宋体" w:cs="宋体"/>
          <w:sz w:val="24"/>
          <w:szCs w:val="24"/>
          <w:lang w:val="en-US" w:eastAsia="zh-CN"/>
        </w:rPr>
      </w:pPr>
      <w:r>
        <w:rPr>
          <w:rFonts w:hint="default" w:ascii="宋体" w:hAnsi="宋体" w:eastAsia="宋体" w:cs="宋体"/>
          <w:b/>
          <w:bCs/>
          <w:sz w:val="24"/>
          <w:szCs w:val="24"/>
          <w:lang w:val="en-US" w:eastAsia="zh-CN" w:bidi="ar"/>
        </w:rPr>
        <w:t>8.</w:t>
      </w:r>
      <w:r>
        <w:rPr>
          <w:rFonts w:hint="eastAsia" w:ascii="宋体" w:hAnsi="宋体" w:eastAsia="宋体" w:cs="宋体"/>
          <w:sz w:val="24"/>
          <w:szCs w:val="24"/>
          <w:lang w:val="en-US" w:eastAsia="zh-CN"/>
        </w:rPr>
        <w:t>硬盘</w:t>
      </w:r>
    </w:p>
    <w:p w14:paraId="0F8BB1B2">
      <w:pPr>
        <w:pStyle w:val="200"/>
        <w:pageBreakBefore w:val="0"/>
        <w:kinsoku/>
        <w:wordWrap/>
        <w:overflowPunct/>
        <w:topLinePunct w:val="0"/>
        <w:autoSpaceDE/>
        <w:autoSpaceDN/>
        <w:bidi w:val="0"/>
        <w:adjustRightInd/>
        <w:snapToGrid/>
        <w:spacing w:before="0" w:beforeLines="0" w:beforeAutospacing="0" w:after="0" w:afterLines="0" w:afterAutospacing="0" w:line="440" w:lineRule="exact"/>
        <w:ind w:left="0" w:right="0" w:rightChars="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1、2.5英寸SATA接口SSD，容量</w:t>
      </w:r>
      <w:r>
        <w:rPr>
          <w:rFonts w:hint="eastAsia" w:ascii="宋体" w:hAnsi="宋体" w:eastAsia="宋体" w:cs="宋体"/>
          <w:sz w:val="24"/>
          <w:szCs w:val="24"/>
          <w:lang w:val="en-US" w:eastAsia="zh-CN"/>
        </w:rPr>
        <w:t>不低于1</w:t>
      </w:r>
      <w:r>
        <w:rPr>
          <w:rFonts w:hint="eastAsia" w:ascii="宋体" w:hAnsi="宋体" w:eastAsia="宋体" w:cs="宋体"/>
          <w:sz w:val="24"/>
          <w:szCs w:val="24"/>
          <w:lang w:eastAsia="zh-CN"/>
        </w:rPr>
        <w:t>TB，</w:t>
      </w:r>
      <w:r>
        <w:rPr>
          <w:rFonts w:hint="eastAsia" w:ascii="宋体" w:hAnsi="宋体" w:eastAsia="宋体" w:cs="宋体"/>
          <w:sz w:val="24"/>
          <w:szCs w:val="24"/>
          <w:lang w:val="en-US" w:eastAsia="zh-CN"/>
        </w:rPr>
        <w:t>根据现场实际情况自行调节，满足视频存储30天</w:t>
      </w:r>
      <w:r>
        <w:rPr>
          <w:rFonts w:hint="eastAsia" w:ascii="宋体" w:hAnsi="宋体" w:eastAsia="宋体" w:cs="宋体"/>
          <w:sz w:val="24"/>
          <w:szCs w:val="24"/>
          <w:lang w:eastAsia="zh-CN"/>
        </w:rPr>
        <w:t>；</w:t>
      </w:r>
    </w:p>
    <w:p w14:paraId="0055CF0D">
      <w:pPr>
        <w:pStyle w:val="200"/>
        <w:pageBreakBefore w:val="0"/>
        <w:kinsoku/>
        <w:wordWrap/>
        <w:overflowPunct/>
        <w:topLinePunct w:val="0"/>
        <w:autoSpaceDE/>
        <w:autoSpaceDN/>
        <w:bidi w:val="0"/>
        <w:adjustRightInd/>
        <w:snapToGrid/>
        <w:spacing w:before="0" w:beforeLines="0" w:beforeAutospacing="0" w:after="0" w:afterLines="0" w:afterAutospacing="0" w:line="440" w:lineRule="exact"/>
        <w:ind w:left="0" w:right="0" w:rightChars="0"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2、适用宽温环境，能在-40℃～+85℃温度范围内正常工作；</w:t>
      </w:r>
    </w:p>
    <w:p w14:paraId="05505297">
      <w:pPr>
        <w:pStyle w:val="5"/>
        <w:pageBreakBefore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right="0" w:rightChars="0" w:firstLine="482" w:firstLineChars="200"/>
        <w:textAlignment w:val="auto"/>
        <w:outlineLvl w:val="2"/>
        <w:rPr>
          <w:rFonts w:hint="eastAsia" w:ascii="宋体" w:hAnsi="宋体" w:eastAsia="宋体" w:cs="宋体"/>
          <w:sz w:val="24"/>
          <w:szCs w:val="24"/>
        </w:rPr>
      </w:pPr>
      <w:r>
        <w:rPr>
          <w:rFonts w:hint="default" w:ascii="宋体" w:hAnsi="宋体" w:eastAsia="宋体" w:cs="宋体"/>
          <w:b/>
          <w:bCs/>
          <w:sz w:val="24"/>
          <w:szCs w:val="24"/>
          <w:lang w:val="en-US" w:eastAsia="zh-CN" w:bidi="ar"/>
        </w:rPr>
        <w:t>9.</w:t>
      </w:r>
      <w:r>
        <w:rPr>
          <w:rFonts w:hint="eastAsia" w:ascii="宋体" w:hAnsi="宋体" w:eastAsia="宋体" w:cs="宋体"/>
          <w:sz w:val="24"/>
          <w:szCs w:val="24"/>
        </w:rPr>
        <w:t>定向流</w:t>
      </w:r>
      <w:r>
        <w:rPr>
          <w:rFonts w:hint="eastAsia" w:ascii="宋体" w:hAnsi="宋体" w:eastAsia="宋体" w:cs="宋体"/>
          <w:sz w:val="24"/>
          <w:szCs w:val="24"/>
          <w:lang w:val="en-US" w:eastAsia="zh-CN"/>
        </w:rPr>
        <w:t>量卡</w:t>
      </w:r>
    </w:p>
    <w:p w14:paraId="54A27F42">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高速流量，保障正常使用需求。</w:t>
      </w:r>
    </w:p>
    <w:p w14:paraId="47538C58">
      <w:pPr>
        <w:pStyle w:val="5"/>
        <w:keepNext/>
        <w:keepLines/>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right="0" w:rightChars="0" w:firstLine="482" w:firstLineChars="200"/>
        <w:textAlignment w:val="auto"/>
        <w:outlineLvl w:val="2"/>
        <w:rPr>
          <w:rFonts w:hint="eastAsia" w:ascii="宋体" w:hAnsi="宋体" w:eastAsia="宋体" w:cs="宋体"/>
          <w:b/>
          <w:sz w:val="24"/>
          <w:szCs w:val="24"/>
        </w:rPr>
      </w:pPr>
      <w:r>
        <w:rPr>
          <w:rFonts w:hint="default" w:ascii="宋体" w:hAnsi="宋体" w:eastAsia="宋体" w:cs="宋体"/>
          <w:b/>
          <w:bCs/>
          <w:sz w:val="24"/>
          <w:szCs w:val="24"/>
          <w:lang w:val="en-US" w:eastAsia="zh-CN" w:bidi="ar"/>
        </w:rPr>
        <w:t>10.</w:t>
      </w:r>
      <w:r>
        <w:rPr>
          <w:rFonts w:hint="eastAsia" w:ascii="宋体" w:hAnsi="宋体" w:eastAsia="宋体" w:cs="宋体"/>
          <w:b/>
          <w:sz w:val="24"/>
          <w:szCs w:val="24"/>
        </w:rPr>
        <w:t>抱杆箱</w:t>
      </w:r>
    </w:p>
    <w:p w14:paraId="699D3483">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箱体材料：镀锌钢板，板材厚度≥1.2mm；</w:t>
      </w:r>
    </w:p>
    <w:p w14:paraId="0A542BF9">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箱体尺寸：≥3</w:t>
      </w:r>
      <w:r>
        <w:rPr>
          <w:rFonts w:hint="eastAsia" w:ascii="宋体" w:hAnsi="宋体" w:eastAsia="宋体" w:cs="宋体"/>
          <w:sz w:val="24"/>
          <w:szCs w:val="24"/>
          <w:lang w:val="en-US" w:eastAsia="zh-CN"/>
        </w:rPr>
        <w:t>5</w:t>
      </w:r>
      <w:r>
        <w:rPr>
          <w:rFonts w:hint="eastAsia" w:ascii="宋体" w:hAnsi="宋体" w:eastAsia="宋体" w:cs="宋体"/>
          <w:sz w:val="24"/>
          <w:szCs w:val="24"/>
        </w:rPr>
        <w:t>0(宽)*</w:t>
      </w:r>
      <w:r>
        <w:rPr>
          <w:rFonts w:hint="eastAsia" w:ascii="宋体" w:hAnsi="宋体" w:eastAsia="宋体" w:cs="宋体"/>
          <w:sz w:val="24"/>
          <w:szCs w:val="24"/>
          <w:lang w:val="en-US" w:eastAsia="zh-CN"/>
        </w:rPr>
        <w:t>45</w:t>
      </w:r>
      <w:r>
        <w:rPr>
          <w:rFonts w:hint="eastAsia" w:ascii="宋体" w:hAnsi="宋体" w:eastAsia="宋体" w:cs="宋体"/>
          <w:sz w:val="24"/>
          <w:szCs w:val="24"/>
        </w:rPr>
        <w:t>0(高)*2</w:t>
      </w:r>
      <w:r>
        <w:rPr>
          <w:rFonts w:hint="eastAsia" w:ascii="宋体" w:hAnsi="宋体" w:eastAsia="宋体" w:cs="宋体"/>
          <w:sz w:val="24"/>
          <w:szCs w:val="24"/>
          <w:lang w:val="en-US" w:eastAsia="zh-CN"/>
        </w:rPr>
        <w:t>0</w:t>
      </w:r>
      <w:r>
        <w:rPr>
          <w:rFonts w:hint="eastAsia" w:ascii="宋体" w:hAnsi="宋体" w:eastAsia="宋体" w:cs="宋体"/>
          <w:sz w:val="24"/>
          <w:szCs w:val="24"/>
        </w:rPr>
        <w:t>0(深)mm；</w:t>
      </w:r>
    </w:p>
    <w:p w14:paraId="1A95C8B6">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箱体外观：静电喷塑，颜色、标识根据实际需求定制；</w:t>
      </w:r>
    </w:p>
    <w:p w14:paraId="7608E294">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安装方式：满足抱箍、壁挂或落地安装；</w:t>
      </w:r>
    </w:p>
    <w:p w14:paraId="3F0CC20A">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进线方式：底部或背部进线；</w:t>
      </w:r>
    </w:p>
    <w:p w14:paraId="09C3CDF7">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电源配置：三眼插座2个，二眼插座2个，接地线段子5个，电子式自动重合闸保护器；额定电流；10-16A可选；漏流动作电流；30mA；漏电不动作电流；15mA漏流动作时间：≤0.1s合闸前具有检测功能。</w:t>
      </w:r>
    </w:p>
    <w:p w14:paraId="651FCE99">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防雷接地：防雷接地电阻小于10欧姆，电气工作接地电阻小于4欧姆。</w:t>
      </w:r>
    </w:p>
    <w:p w14:paraId="214C9D2D">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网络传输单元：含1个工业级光口千兆交换机（交换机具备上行10/100/1000M光速率光模块端口，含光模块；下行具备10/100/1000M自适应以太网口，光口及电口需要满足本工程实际需要）</w:t>
      </w:r>
    </w:p>
    <w:p w14:paraId="0CBBADB6">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箱体内部需集成化设计，按需求配置</w:t>
      </w:r>
      <w:r>
        <w:rPr>
          <w:rFonts w:hint="eastAsia" w:ascii="宋体" w:hAnsi="宋体" w:eastAsia="宋体" w:cs="宋体"/>
          <w:b/>
          <w:bCs/>
          <w:sz w:val="24"/>
          <w:szCs w:val="24"/>
        </w:rPr>
        <w:t>具备管理功能</w:t>
      </w:r>
      <w:r>
        <w:rPr>
          <w:rFonts w:hint="eastAsia" w:ascii="宋体" w:hAnsi="宋体" w:eastAsia="宋体" w:cs="宋体"/>
          <w:sz w:val="24"/>
          <w:szCs w:val="24"/>
        </w:rPr>
        <w:t>的工业级交换机（光口及电口需要满足本工程实际需要），同时预留设备安装空间；</w:t>
      </w:r>
    </w:p>
    <w:p w14:paraId="5E6E15DB">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箱体需配套二维码一体化设计，对接数字治理平台，实现扫码点位数据同步更新、点位现场绑定，对接警用PGIS地图，实现点位精准上图。</w:t>
      </w:r>
    </w:p>
    <w:p w14:paraId="38381176">
      <w:pPr>
        <w:pStyle w:val="5"/>
        <w:pageBreakBefore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right="0" w:rightChars="0" w:firstLine="482" w:firstLineChars="200"/>
        <w:textAlignment w:val="auto"/>
        <w:outlineLvl w:val="2"/>
        <w:rPr>
          <w:rFonts w:hint="eastAsia" w:ascii="宋体" w:hAnsi="宋体" w:eastAsia="宋体" w:cs="宋体"/>
          <w:sz w:val="24"/>
          <w:szCs w:val="24"/>
        </w:rPr>
      </w:pPr>
      <w:r>
        <w:rPr>
          <w:rFonts w:hint="default" w:ascii="宋体" w:hAnsi="宋体" w:eastAsia="宋体" w:cs="宋体"/>
          <w:b/>
          <w:bCs/>
          <w:sz w:val="24"/>
          <w:szCs w:val="24"/>
          <w:lang w:val="en-US" w:eastAsia="zh-CN" w:bidi="ar"/>
        </w:rPr>
        <w:t>11.</w:t>
      </w:r>
      <w:r>
        <w:rPr>
          <w:rFonts w:hint="eastAsia" w:ascii="宋体" w:hAnsi="宋体" w:eastAsia="宋体" w:cs="宋体"/>
          <w:sz w:val="24"/>
          <w:szCs w:val="24"/>
        </w:rPr>
        <w:t>专用光纤链路</w:t>
      </w:r>
      <w:r>
        <w:rPr>
          <w:rFonts w:hint="eastAsia" w:ascii="宋体" w:hAnsi="宋体" w:eastAsia="宋体" w:cs="宋体"/>
          <w:sz w:val="24"/>
          <w:szCs w:val="24"/>
          <w:lang w:val="en-US" w:eastAsia="zh-CN"/>
        </w:rPr>
        <w:t>-100M</w:t>
      </w: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年）</w:t>
      </w:r>
    </w:p>
    <w:p w14:paraId="4F3CD389">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不低于100M专线，确保路口各种设备能正常数据传输，视频不延迟、卡顿，含配套传输设备及端口等。</w:t>
      </w:r>
    </w:p>
    <w:p w14:paraId="18A403CF">
      <w:pPr>
        <w:pStyle w:val="5"/>
        <w:pageBreakBefore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right="0" w:rightChars="0" w:firstLine="482" w:firstLineChars="200"/>
        <w:textAlignment w:val="auto"/>
        <w:outlineLvl w:val="2"/>
        <w:rPr>
          <w:rFonts w:hint="eastAsia" w:ascii="宋体" w:hAnsi="宋体" w:eastAsia="宋体" w:cs="宋体"/>
          <w:sz w:val="24"/>
          <w:szCs w:val="24"/>
        </w:rPr>
      </w:pPr>
      <w:r>
        <w:rPr>
          <w:rFonts w:hint="default" w:ascii="宋体" w:hAnsi="宋体" w:eastAsia="宋体" w:cs="宋体"/>
          <w:b/>
          <w:bCs/>
          <w:sz w:val="24"/>
          <w:szCs w:val="24"/>
          <w:lang w:val="en-US" w:eastAsia="zh-CN" w:bidi="ar"/>
        </w:rPr>
        <w:t>12.</w:t>
      </w:r>
      <w:r>
        <w:rPr>
          <w:rFonts w:hint="eastAsia" w:ascii="宋体" w:hAnsi="宋体" w:eastAsia="宋体" w:cs="宋体"/>
          <w:sz w:val="24"/>
          <w:szCs w:val="24"/>
        </w:rPr>
        <w:t>点位治理</w:t>
      </w:r>
      <w:r>
        <w:rPr>
          <w:rFonts w:hint="eastAsia" w:ascii="宋体" w:hAnsi="宋体" w:eastAsia="宋体" w:cs="宋体"/>
          <w:sz w:val="24"/>
          <w:szCs w:val="24"/>
          <w:lang w:val="en-US" w:eastAsia="zh-CN"/>
        </w:rPr>
        <w:t>及软件接入</w:t>
      </w:r>
    </w:p>
    <w:p w14:paraId="4F3705F1">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包含：1、本期所有点位的信息治理，通过前端扫码绑定设备与杆件，录入设备与杆件档案信息，拍摄现场照片，采集互联网及警务PGIS经纬度等一系列治理工作；2、数字治理平台接入授权。</w:t>
      </w:r>
      <w:r>
        <w:rPr>
          <w:rFonts w:hint="eastAsia" w:ascii="宋体" w:hAnsi="宋体" w:eastAsia="宋体" w:cs="宋体"/>
          <w:sz w:val="24"/>
          <w:szCs w:val="24"/>
          <w:lang w:val="en-US" w:eastAsia="zh-CN"/>
        </w:rPr>
        <w:t>3、其他应配置的人脸或车辆授权</w:t>
      </w:r>
    </w:p>
    <w:p w14:paraId="504E3FA6">
      <w:pPr>
        <w:pStyle w:val="4"/>
        <w:pageBreakBefore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right="0" w:rightChars="0" w:firstLine="482" w:firstLineChars="200"/>
        <w:textAlignment w:val="auto"/>
        <w:outlineLvl w:val="1"/>
        <w:rPr>
          <w:rFonts w:hint="eastAsia" w:ascii="宋体" w:hAnsi="宋体" w:eastAsia="宋体" w:cs="宋体"/>
          <w:sz w:val="24"/>
          <w:szCs w:val="24"/>
        </w:rPr>
      </w:pPr>
      <w:r>
        <w:rPr>
          <w:rFonts w:hint="eastAsia" w:ascii="宋体" w:hAnsi="宋体" w:eastAsia="宋体" w:cs="宋体"/>
          <w:b/>
          <w:bCs/>
          <w:sz w:val="24"/>
          <w:szCs w:val="24"/>
          <w:lang w:val="en-US" w:eastAsia="zh-CN" w:bidi="ar"/>
        </w:rPr>
        <w:t>（二）</w:t>
      </w:r>
      <w:r>
        <w:rPr>
          <w:rFonts w:hint="eastAsia" w:ascii="宋体" w:hAnsi="宋体" w:eastAsia="宋体" w:cs="宋体"/>
          <w:sz w:val="24"/>
          <w:szCs w:val="24"/>
        </w:rPr>
        <w:t>建设依据</w:t>
      </w:r>
    </w:p>
    <w:p w14:paraId="67A268AF">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本项目根据东台市公安局的实际需求与具体条件，提出目前现阶段系统的建设方案，依据国家相关法律规章、国家和行业相关政策依据和技术标准、相关研究成果等资料进行可研编制，具体如下：</w:t>
      </w:r>
    </w:p>
    <w:p w14:paraId="4DE78988">
      <w:pPr>
        <w:pStyle w:val="3"/>
        <w:keepNext/>
        <w:keepLines/>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right="0" w:rightChars="0" w:firstLine="482" w:firstLineChars="200"/>
        <w:textAlignment w:val="auto"/>
        <w:outlineLvl w:val="0"/>
        <w:rPr>
          <w:rFonts w:hint="eastAsia" w:ascii="宋体" w:hAnsi="宋体" w:eastAsia="宋体" w:cs="宋体"/>
          <w:sz w:val="24"/>
          <w:szCs w:val="24"/>
          <w:highlight w:val="none"/>
        </w:rPr>
      </w:pPr>
      <w:bookmarkStart w:id="186" w:name="_Toc18789"/>
      <w:bookmarkStart w:id="187" w:name="_Toc31584"/>
      <w:r>
        <w:rPr>
          <w:rFonts w:hint="default" w:ascii="宋体" w:hAnsi="宋体" w:eastAsia="宋体" w:cs="宋体"/>
          <w:b/>
          <w:bCs/>
          <w:sz w:val="24"/>
          <w:szCs w:val="24"/>
          <w:lang w:val="en-US" w:eastAsia="zh-CN" w:bidi="ar"/>
        </w:rPr>
        <w:t>1.</w:t>
      </w:r>
      <w:r>
        <w:rPr>
          <w:rFonts w:hint="eastAsia" w:ascii="宋体" w:hAnsi="宋体" w:eastAsia="宋体" w:cs="宋体"/>
          <w:sz w:val="24"/>
          <w:szCs w:val="24"/>
          <w:highlight w:val="none"/>
          <w:lang w:val="en-US" w:eastAsia="zh-CN"/>
        </w:rPr>
        <w:t>国家法规政策</w:t>
      </w:r>
      <w:bookmarkEnd w:id="186"/>
      <w:bookmarkEnd w:id="187"/>
    </w:p>
    <w:p w14:paraId="4431ECD9">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w:t>
      </w:r>
      <w:r>
        <w:rPr>
          <w:rFonts w:hint="eastAsia" w:ascii="宋体" w:hAnsi="宋体" w:eastAsia="宋体" w:cs="宋体"/>
          <w:sz w:val="24"/>
          <w:szCs w:val="24"/>
          <w:highlight w:val="none"/>
        </w:rPr>
        <w:t>《中华人民共和国国民经济和社会发展第十四个五年规划和2035年远景目标纲要》</w:t>
      </w:r>
    </w:p>
    <w:p w14:paraId="3F5DB119">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w:t>
      </w:r>
      <w:r>
        <w:rPr>
          <w:rFonts w:hint="eastAsia" w:ascii="宋体" w:hAnsi="宋体" w:eastAsia="宋体" w:cs="宋体"/>
          <w:sz w:val="24"/>
          <w:szCs w:val="24"/>
          <w:highlight w:val="none"/>
        </w:rPr>
        <w:t>《公安信息化建设“十四五”规划》</w:t>
      </w:r>
    </w:p>
    <w:p w14:paraId="1676D194">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(3)</w:t>
      </w:r>
      <w:r>
        <w:rPr>
          <w:rFonts w:hint="eastAsia" w:ascii="宋体" w:hAnsi="宋体" w:eastAsia="宋体" w:cs="宋体"/>
          <w:sz w:val="24"/>
          <w:szCs w:val="24"/>
          <w:highlight w:val="none"/>
        </w:rPr>
        <w:t>《“十四五”公安视频图像信息系统建设任务书》</w:t>
      </w:r>
    </w:p>
    <w:p w14:paraId="28A8C7F2">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(4)</w:t>
      </w:r>
      <w:r>
        <w:rPr>
          <w:rFonts w:hint="eastAsia" w:ascii="宋体" w:hAnsi="宋体" w:eastAsia="宋体" w:cs="宋体"/>
          <w:sz w:val="24"/>
          <w:szCs w:val="24"/>
          <w:highlight w:val="none"/>
        </w:rPr>
        <w:t>《公安视频图像智能化建设应用指南》（公科信〔2020〕48号）</w:t>
      </w:r>
    </w:p>
    <w:p w14:paraId="516BE7FE">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(5)</w:t>
      </w:r>
      <w:r>
        <w:rPr>
          <w:rFonts w:hint="eastAsia" w:ascii="宋体" w:hAnsi="宋体" w:eastAsia="宋体" w:cs="宋体"/>
          <w:sz w:val="24"/>
          <w:szCs w:val="24"/>
          <w:highlight w:val="none"/>
        </w:rPr>
        <w:t>《2023年度全国公安科信部门信息化建设与运维管理考核指标及测评方法》</w:t>
      </w:r>
    </w:p>
    <w:p w14:paraId="3B3411AA">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(6)</w:t>
      </w:r>
      <w:r>
        <w:rPr>
          <w:rFonts w:hint="eastAsia" w:ascii="宋体" w:hAnsi="宋体" w:eastAsia="宋体" w:cs="宋体"/>
          <w:sz w:val="24"/>
          <w:szCs w:val="24"/>
          <w:highlight w:val="none"/>
        </w:rPr>
        <w:t>《关于启动公安视频监控安全防护设施试点建设工作的通知》</w:t>
      </w:r>
    </w:p>
    <w:p w14:paraId="3C4562CE">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(7)</w:t>
      </w:r>
      <w:r>
        <w:rPr>
          <w:rFonts w:hint="eastAsia" w:ascii="宋体" w:hAnsi="宋体" w:eastAsia="宋体" w:cs="宋体"/>
          <w:sz w:val="24"/>
          <w:szCs w:val="24"/>
          <w:highlight w:val="none"/>
        </w:rPr>
        <w:t>《全省公安机关“苏警数智”行动工作方案》</w:t>
      </w:r>
    </w:p>
    <w:p w14:paraId="0BA68A3B">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(8)</w:t>
      </w:r>
      <w:r>
        <w:rPr>
          <w:rFonts w:hint="eastAsia" w:ascii="宋体" w:hAnsi="宋体" w:eastAsia="宋体" w:cs="宋体"/>
          <w:sz w:val="24"/>
          <w:szCs w:val="24"/>
          <w:highlight w:val="none"/>
        </w:rPr>
        <w:t>《全省智能泛在感知网平台联动服务五类接口设计方案》</w:t>
      </w:r>
    </w:p>
    <w:p w14:paraId="0D72E3C0">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(9)</w:t>
      </w:r>
      <w:r>
        <w:rPr>
          <w:rFonts w:hint="eastAsia" w:ascii="宋体" w:hAnsi="宋体" w:eastAsia="宋体" w:cs="宋体"/>
          <w:sz w:val="24"/>
          <w:szCs w:val="24"/>
          <w:highlight w:val="none"/>
        </w:rPr>
        <w:t>《全省公安人像档案建设及省市级联技术指南》</w:t>
      </w:r>
    </w:p>
    <w:p w14:paraId="2D4BBAA9">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(10)</w:t>
      </w:r>
      <w:r>
        <w:rPr>
          <w:rFonts w:hint="eastAsia" w:ascii="宋体" w:hAnsi="宋体" w:eastAsia="宋体" w:cs="宋体"/>
          <w:sz w:val="24"/>
          <w:szCs w:val="24"/>
          <w:highlight w:val="none"/>
        </w:rPr>
        <w:t>《全省公安视频图像数据治理工作方案》</w:t>
      </w:r>
    </w:p>
    <w:p w14:paraId="27C0BB01">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(11)</w:t>
      </w:r>
      <w:r>
        <w:rPr>
          <w:rFonts w:hint="eastAsia" w:ascii="宋体" w:hAnsi="宋体" w:eastAsia="宋体" w:cs="宋体"/>
          <w:sz w:val="24"/>
          <w:szCs w:val="24"/>
          <w:highlight w:val="none"/>
        </w:rPr>
        <w:t>《全省智能泛在感知网建设应用系列技术指南——数据接入建设（试行）》（苏公数据传发</w:t>
      </w:r>
      <w:r>
        <w:rPr>
          <w:rFonts w:hint="eastAsia" w:ascii="宋体" w:hAnsi="宋体" w:eastAsia="宋体" w:cs="宋体"/>
          <w:sz w:val="24"/>
          <w:szCs w:val="24"/>
          <w:highlight w:val="none"/>
          <w:lang w:eastAsia="zh-CN"/>
        </w:rPr>
        <w:t>〔2020〕80号</w:t>
      </w:r>
      <w:r>
        <w:rPr>
          <w:rFonts w:hint="eastAsia" w:ascii="宋体" w:hAnsi="宋体" w:eastAsia="宋体" w:cs="宋体"/>
          <w:sz w:val="24"/>
          <w:szCs w:val="24"/>
          <w:highlight w:val="none"/>
        </w:rPr>
        <w:t>附件一）</w:t>
      </w:r>
    </w:p>
    <w:p w14:paraId="3926BE17">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(12)</w:t>
      </w:r>
      <w:r>
        <w:rPr>
          <w:rFonts w:hint="eastAsia" w:ascii="宋体" w:hAnsi="宋体" w:eastAsia="宋体" w:cs="宋体"/>
          <w:sz w:val="24"/>
          <w:szCs w:val="24"/>
          <w:highlight w:val="none"/>
        </w:rPr>
        <w:t>《全省智能泛在感知网建设应用系列技术指南——1400协议扩展（试行）》（苏公数据传发</w:t>
      </w:r>
      <w:r>
        <w:rPr>
          <w:rFonts w:hint="eastAsia" w:ascii="宋体" w:hAnsi="宋体" w:eastAsia="宋体" w:cs="宋体"/>
          <w:sz w:val="24"/>
          <w:szCs w:val="24"/>
          <w:highlight w:val="none"/>
          <w:lang w:eastAsia="zh-CN"/>
        </w:rPr>
        <w:t>〔2020〕80号</w:t>
      </w:r>
      <w:r>
        <w:rPr>
          <w:rFonts w:hint="eastAsia" w:ascii="宋体" w:hAnsi="宋体" w:eastAsia="宋体" w:cs="宋体"/>
          <w:sz w:val="24"/>
          <w:szCs w:val="24"/>
          <w:highlight w:val="none"/>
        </w:rPr>
        <w:t>附件二）</w:t>
      </w:r>
    </w:p>
    <w:p w14:paraId="271D8C8F">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(13)</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公共安全视频监控联网信息安全技术要求</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实施技术指南》</w:t>
      </w:r>
    </w:p>
    <w:p w14:paraId="0B167E51">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(14)</w:t>
      </w:r>
      <w:r>
        <w:rPr>
          <w:rFonts w:hint="eastAsia" w:ascii="宋体" w:hAnsi="宋体" w:eastAsia="宋体" w:cs="宋体"/>
          <w:sz w:val="24"/>
          <w:szCs w:val="24"/>
          <w:highlight w:val="none"/>
        </w:rPr>
        <w:t>《关于规范推进公安视频图像智能化应用建设的通知》（公科信〔2019〕36号）</w:t>
      </w:r>
    </w:p>
    <w:p w14:paraId="2EBBEB71">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(15)</w:t>
      </w:r>
      <w:r>
        <w:rPr>
          <w:rFonts w:hint="eastAsia" w:ascii="宋体" w:hAnsi="宋体" w:eastAsia="宋体" w:cs="宋体"/>
          <w:sz w:val="24"/>
          <w:szCs w:val="24"/>
          <w:highlight w:val="none"/>
        </w:rPr>
        <w:t>《关于加强公安大数据智能化建设应用的指导意见》</w:t>
      </w:r>
    </w:p>
    <w:p w14:paraId="1F4FA8B7">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(16)</w:t>
      </w:r>
      <w:r>
        <w:rPr>
          <w:rFonts w:hint="eastAsia" w:ascii="宋体" w:hAnsi="宋体" w:eastAsia="宋体" w:cs="宋体"/>
          <w:sz w:val="24"/>
          <w:szCs w:val="24"/>
          <w:highlight w:val="none"/>
        </w:rPr>
        <w:t>《全国公安机关社会治安防控体系建设指南（试行）》</w:t>
      </w:r>
    </w:p>
    <w:p w14:paraId="472F36C9">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(17)</w:t>
      </w:r>
      <w:r>
        <w:rPr>
          <w:rFonts w:hint="eastAsia" w:ascii="宋体" w:hAnsi="宋体" w:eastAsia="宋体" w:cs="宋体"/>
          <w:sz w:val="24"/>
          <w:szCs w:val="24"/>
          <w:highlight w:val="none"/>
        </w:rPr>
        <w:t>《江苏沿海地区发展规划（2021-2025 年）》</w:t>
      </w:r>
    </w:p>
    <w:p w14:paraId="069626A5">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(18)</w:t>
      </w:r>
      <w:r>
        <w:rPr>
          <w:rFonts w:hint="eastAsia" w:ascii="宋体" w:hAnsi="宋体" w:eastAsia="宋体" w:cs="宋体"/>
          <w:sz w:val="24"/>
          <w:szCs w:val="24"/>
          <w:highlight w:val="none"/>
        </w:rPr>
        <w:t>《盐城市海洋经济高质量发展三年行动计划》（2024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2026年）</w:t>
      </w:r>
    </w:p>
    <w:p w14:paraId="6C623989">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(19)</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东台市</w:t>
      </w:r>
      <w:r>
        <w:rPr>
          <w:rFonts w:hint="eastAsia" w:ascii="宋体" w:hAnsi="宋体" w:eastAsia="宋体" w:cs="宋体"/>
          <w:sz w:val="24"/>
          <w:szCs w:val="24"/>
          <w:highlight w:val="none"/>
        </w:rPr>
        <w:t>国土空间总体规划（2021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2035年）》</w:t>
      </w:r>
    </w:p>
    <w:p w14:paraId="34D04586">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(20)</w:t>
      </w:r>
      <w:r>
        <w:rPr>
          <w:rFonts w:hint="eastAsia" w:ascii="宋体" w:hAnsi="宋体" w:eastAsia="宋体" w:cs="宋体"/>
          <w:sz w:val="24"/>
          <w:szCs w:val="24"/>
          <w:highlight w:val="none"/>
        </w:rPr>
        <w:t>《中华人民共和国网络安全法》</w:t>
      </w:r>
    </w:p>
    <w:p w14:paraId="646B37FD">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(21)</w:t>
      </w:r>
      <w:r>
        <w:rPr>
          <w:rFonts w:hint="eastAsia" w:ascii="宋体" w:hAnsi="宋体" w:eastAsia="宋体" w:cs="宋体"/>
          <w:sz w:val="24"/>
          <w:szCs w:val="24"/>
          <w:highlight w:val="none"/>
        </w:rPr>
        <w:t>《中华人民共和国数据安全法》</w:t>
      </w:r>
    </w:p>
    <w:p w14:paraId="287D6EBD">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(22)</w:t>
      </w:r>
      <w:r>
        <w:rPr>
          <w:rFonts w:hint="eastAsia" w:ascii="宋体" w:hAnsi="宋体" w:eastAsia="宋体" w:cs="宋体"/>
          <w:sz w:val="24"/>
          <w:szCs w:val="24"/>
          <w:highlight w:val="none"/>
        </w:rPr>
        <w:t>《中华人民共和国个人信息保护法》</w:t>
      </w:r>
    </w:p>
    <w:p w14:paraId="728546D0">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(23)</w:t>
      </w:r>
      <w:r>
        <w:rPr>
          <w:rFonts w:hint="eastAsia" w:ascii="宋体" w:hAnsi="宋体" w:eastAsia="宋体" w:cs="宋体"/>
          <w:sz w:val="24"/>
          <w:szCs w:val="24"/>
          <w:highlight w:val="none"/>
        </w:rPr>
        <w:t>《中华人民共和国密码法》</w:t>
      </w:r>
    </w:p>
    <w:p w14:paraId="2922079D">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(24)</w:t>
      </w:r>
      <w:r>
        <w:rPr>
          <w:rFonts w:hint="eastAsia" w:ascii="宋体" w:hAnsi="宋体" w:eastAsia="宋体" w:cs="宋体"/>
          <w:sz w:val="24"/>
          <w:szCs w:val="24"/>
          <w:highlight w:val="none"/>
        </w:rPr>
        <w:t>《信息安全技术 网络安全等级保护基本要求》GB/T 22239-2019</w:t>
      </w:r>
    </w:p>
    <w:p w14:paraId="0B7516B2">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(25)</w:t>
      </w:r>
      <w:r>
        <w:rPr>
          <w:rFonts w:hint="eastAsia" w:ascii="宋体" w:hAnsi="宋体" w:eastAsia="宋体" w:cs="宋体"/>
          <w:sz w:val="24"/>
          <w:szCs w:val="24"/>
          <w:highlight w:val="none"/>
        </w:rPr>
        <w:t>《公共安全视频图像信息系统管理条例》中华人民共和国国务院799号令-2025</w:t>
      </w:r>
    </w:p>
    <w:p w14:paraId="10E6C005">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(26)</w:t>
      </w:r>
      <w:r>
        <w:rPr>
          <w:rFonts w:hint="eastAsia" w:ascii="宋体" w:hAnsi="宋体" w:eastAsia="宋体" w:cs="宋体"/>
          <w:sz w:val="24"/>
          <w:szCs w:val="24"/>
          <w:highlight w:val="none"/>
        </w:rPr>
        <w:t>中华人民共和国国务院令（第 809 号）《政务数据共享条例》</w:t>
      </w:r>
    </w:p>
    <w:p w14:paraId="732EBDFA">
      <w:pPr>
        <w:pStyle w:val="3"/>
        <w:keepNext/>
        <w:keepLines/>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right="0" w:rightChars="0" w:firstLine="482" w:firstLineChars="200"/>
        <w:textAlignment w:val="auto"/>
        <w:outlineLvl w:val="0"/>
        <w:rPr>
          <w:rFonts w:hint="eastAsia" w:ascii="宋体" w:hAnsi="宋体" w:eastAsia="宋体" w:cs="宋体"/>
          <w:sz w:val="24"/>
          <w:szCs w:val="24"/>
          <w:highlight w:val="none"/>
          <w:lang w:val="en-US" w:eastAsia="zh-CN"/>
        </w:rPr>
      </w:pPr>
      <w:bookmarkStart w:id="188" w:name="_Toc23528"/>
      <w:bookmarkStart w:id="189" w:name="_Toc166318258"/>
      <w:bookmarkStart w:id="190" w:name="_Toc176818656"/>
      <w:r>
        <w:rPr>
          <w:rFonts w:hint="default" w:ascii="宋体" w:hAnsi="宋体" w:eastAsia="宋体" w:cs="宋体"/>
          <w:b/>
          <w:bCs/>
          <w:sz w:val="24"/>
          <w:szCs w:val="24"/>
          <w:lang w:val="en-US" w:eastAsia="zh-CN" w:bidi="ar"/>
        </w:rPr>
        <w:t>2.</w:t>
      </w:r>
      <w:r>
        <w:rPr>
          <w:rFonts w:hint="eastAsia" w:ascii="宋体" w:hAnsi="宋体" w:eastAsia="宋体" w:cs="宋体"/>
          <w:sz w:val="24"/>
          <w:szCs w:val="24"/>
          <w:highlight w:val="none"/>
          <w:lang w:val="en-US" w:eastAsia="zh-CN"/>
        </w:rPr>
        <w:t xml:space="preserve"> </w:t>
      </w:r>
      <w:bookmarkStart w:id="191" w:name="_Toc14049"/>
      <w:r>
        <w:rPr>
          <w:rFonts w:hint="eastAsia" w:ascii="宋体" w:hAnsi="宋体" w:eastAsia="宋体" w:cs="宋体"/>
          <w:sz w:val="24"/>
          <w:szCs w:val="24"/>
          <w:highlight w:val="none"/>
          <w:lang w:val="en-US" w:eastAsia="zh-CN"/>
        </w:rPr>
        <w:t>标准规范依据</w:t>
      </w:r>
      <w:bookmarkEnd w:id="188"/>
      <w:bookmarkEnd w:id="189"/>
      <w:bookmarkEnd w:id="190"/>
      <w:bookmarkEnd w:id="191"/>
    </w:p>
    <w:p w14:paraId="13E5D050">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w:t>
      </w:r>
      <w:r>
        <w:rPr>
          <w:rFonts w:hint="eastAsia" w:ascii="宋体" w:hAnsi="宋体" w:eastAsia="宋体" w:cs="宋体"/>
          <w:sz w:val="24"/>
          <w:szCs w:val="24"/>
          <w:highlight w:val="none"/>
        </w:rPr>
        <w:t>《公共安全视频监控联网信息安全技术要求》（GB35114-2017）</w:t>
      </w:r>
    </w:p>
    <w:p w14:paraId="6C26485C">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w:t>
      </w:r>
      <w:r>
        <w:rPr>
          <w:rFonts w:hint="eastAsia" w:ascii="宋体" w:hAnsi="宋体" w:eastAsia="宋体" w:cs="宋体"/>
          <w:sz w:val="24"/>
          <w:szCs w:val="24"/>
          <w:highlight w:val="none"/>
        </w:rPr>
        <w:t>《公共安全视频监控数字视音频编解码技术要求》（GB/T25724-2017）</w:t>
      </w:r>
    </w:p>
    <w:p w14:paraId="3261DEE1">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(3)</w:t>
      </w:r>
      <w:r>
        <w:rPr>
          <w:rFonts w:hint="eastAsia" w:ascii="宋体" w:hAnsi="宋体" w:eastAsia="宋体" w:cs="宋体"/>
          <w:sz w:val="24"/>
          <w:szCs w:val="24"/>
          <w:highlight w:val="none"/>
        </w:rPr>
        <w:t>《公共安全视频监控联网系统信息传输、交换、控制技术要求》（GB/T28181-2022）</w:t>
      </w:r>
    </w:p>
    <w:p w14:paraId="1CD7E229">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(4)</w:t>
      </w:r>
      <w:r>
        <w:rPr>
          <w:rFonts w:hint="eastAsia" w:ascii="宋体" w:hAnsi="宋体" w:eastAsia="宋体" w:cs="宋体"/>
          <w:sz w:val="24"/>
          <w:szCs w:val="24"/>
          <w:highlight w:val="none"/>
        </w:rPr>
        <w:t>《公共安全重点区域视频图像信息采集规范》（GB37300-2018）</w:t>
      </w:r>
    </w:p>
    <w:p w14:paraId="44CFF4C8">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(5)</w:t>
      </w:r>
      <w:r>
        <w:rPr>
          <w:rFonts w:hint="eastAsia" w:ascii="宋体" w:hAnsi="宋体" w:eastAsia="宋体" w:cs="宋体"/>
          <w:sz w:val="24"/>
          <w:szCs w:val="24"/>
          <w:highlight w:val="none"/>
        </w:rPr>
        <w:t>《公共安全社会视频资源安全联网设备技术要求》（GA/T1781-2021）</w:t>
      </w:r>
    </w:p>
    <w:p w14:paraId="5636A3DA">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(6)</w:t>
      </w:r>
      <w:r>
        <w:rPr>
          <w:rFonts w:hint="eastAsia" w:ascii="宋体" w:hAnsi="宋体" w:eastAsia="宋体" w:cs="宋体"/>
          <w:sz w:val="24"/>
          <w:szCs w:val="24"/>
          <w:highlight w:val="none"/>
        </w:rPr>
        <w:t>《公安视频图像信息系统安全技术要求 第1部分：通用要求》（GA/T1788.1-2021）</w:t>
      </w:r>
    </w:p>
    <w:p w14:paraId="6115A398">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(7)</w:t>
      </w:r>
      <w:r>
        <w:rPr>
          <w:rFonts w:hint="eastAsia" w:ascii="宋体" w:hAnsi="宋体" w:eastAsia="宋体" w:cs="宋体"/>
          <w:sz w:val="24"/>
          <w:szCs w:val="24"/>
          <w:highlight w:val="none"/>
        </w:rPr>
        <w:t>《公安视频图像信息系统安全技术要求 第2部分：前端设备》（GA/T1788.2-2021）</w:t>
      </w:r>
    </w:p>
    <w:p w14:paraId="10138D06">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(8)</w:t>
      </w:r>
      <w:r>
        <w:rPr>
          <w:rFonts w:hint="eastAsia" w:ascii="宋体" w:hAnsi="宋体" w:eastAsia="宋体" w:cs="宋体"/>
          <w:sz w:val="24"/>
          <w:szCs w:val="24"/>
          <w:highlight w:val="none"/>
        </w:rPr>
        <w:t>《公安视频图像信息系统安全技术要求 第3部分：安全交互》（GA/T1788.3-2021）</w:t>
      </w:r>
    </w:p>
    <w:p w14:paraId="6D1BBCD2">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(9)</w:t>
      </w:r>
      <w:r>
        <w:rPr>
          <w:rFonts w:hint="eastAsia" w:ascii="宋体" w:hAnsi="宋体" w:eastAsia="宋体" w:cs="宋体"/>
          <w:sz w:val="24"/>
          <w:szCs w:val="24"/>
          <w:highlight w:val="none"/>
        </w:rPr>
        <w:t>《公共安全视频图像分析多算法应用技术要求》（T/CSPIA 005-2021）</w:t>
      </w:r>
    </w:p>
    <w:p w14:paraId="6AF19F91">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(10)</w:t>
      </w:r>
      <w:r>
        <w:rPr>
          <w:rFonts w:hint="eastAsia" w:ascii="宋体" w:hAnsi="宋体" w:eastAsia="宋体" w:cs="宋体"/>
          <w:sz w:val="24"/>
          <w:szCs w:val="24"/>
          <w:highlight w:val="none"/>
        </w:rPr>
        <w:t>《公安视频图像分析系统第1部分：通用技术要求》（GA/T 1399.1-2017）</w:t>
      </w:r>
    </w:p>
    <w:p w14:paraId="156C0DB2">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(11)</w:t>
      </w:r>
      <w:r>
        <w:rPr>
          <w:rFonts w:hint="eastAsia" w:ascii="宋体" w:hAnsi="宋体" w:eastAsia="宋体" w:cs="宋体"/>
          <w:sz w:val="24"/>
          <w:szCs w:val="24"/>
          <w:highlight w:val="none"/>
        </w:rPr>
        <w:t>《公安视频图像分析系统第2部分：视频图像内容分析及描述技术要求》（GA/T 1399.2-2017）</w:t>
      </w:r>
    </w:p>
    <w:p w14:paraId="37249FCC">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(12)</w:t>
      </w:r>
      <w:r>
        <w:rPr>
          <w:rFonts w:hint="eastAsia" w:ascii="宋体" w:hAnsi="宋体" w:eastAsia="宋体" w:cs="宋体"/>
          <w:sz w:val="24"/>
          <w:szCs w:val="24"/>
          <w:highlight w:val="none"/>
        </w:rPr>
        <w:t>《公安视频图像信息应用系统 第1部分：通用技术要求》（GA/T 1400.1-2017）</w:t>
      </w:r>
    </w:p>
    <w:p w14:paraId="061C1D31">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(13)</w:t>
      </w:r>
      <w:r>
        <w:rPr>
          <w:rFonts w:hint="eastAsia" w:ascii="宋体" w:hAnsi="宋体" w:eastAsia="宋体" w:cs="宋体"/>
          <w:sz w:val="24"/>
          <w:szCs w:val="24"/>
          <w:highlight w:val="none"/>
        </w:rPr>
        <w:t>《公安视频图像信息应用系统 第2部分：应用平台技术要求》（GA/T 1400.2-2017）</w:t>
      </w:r>
    </w:p>
    <w:p w14:paraId="6A7DF15C">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(14)</w:t>
      </w:r>
      <w:r>
        <w:rPr>
          <w:rFonts w:hint="eastAsia" w:ascii="宋体" w:hAnsi="宋体" w:eastAsia="宋体" w:cs="宋体"/>
          <w:sz w:val="24"/>
          <w:szCs w:val="24"/>
          <w:highlight w:val="none"/>
        </w:rPr>
        <w:t>《公安视频图像信息应用系统 第3部分：数据库技术要求》（GA/T 1400.3-2017）</w:t>
      </w:r>
    </w:p>
    <w:p w14:paraId="5894AC2F">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(15)</w:t>
      </w:r>
      <w:r>
        <w:rPr>
          <w:rFonts w:hint="eastAsia" w:ascii="宋体" w:hAnsi="宋体" w:eastAsia="宋体" w:cs="宋体"/>
          <w:sz w:val="24"/>
          <w:szCs w:val="24"/>
          <w:highlight w:val="none"/>
        </w:rPr>
        <w:t>《公安视频图像信息应用系统 第4部分：接口协议要求》（GA/T 1400.4-2017）</w:t>
      </w:r>
    </w:p>
    <w:p w14:paraId="0A318554">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(16)</w:t>
      </w:r>
      <w:r>
        <w:rPr>
          <w:rFonts w:hint="eastAsia" w:ascii="宋体" w:hAnsi="宋体" w:eastAsia="宋体" w:cs="宋体"/>
          <w:sz w:val="24"/>
          <w:szCs w:val="24"/>
          <w:highlight w:val="none"/>
        </w:rPr>
        <w:t>《安全防范工程技术标准》（GB 50348-2018）</w:t>
      </w:r>
    </w:p>
    <w:p w14:paraId="287622BE">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(17)</w:t>
      </w:r>
      <w:r>
        <w:rPr>
          <w:rFonts w:hint="eastAsia" w:ascii="宋体" w:hAnsi="宋体" w:eastAsia="宋体" w:cs="宋体"/>
          <w:sz w:val="24"/>
          <w:szCs w:val="24"/>
          <w:highlight w:val="none"/>
        </w:rPr>
        <w:t>《住宅小区安全防范系统通用技术要求》（GB/T 21741-2021）</w:t>
      </w:r>
    </w:p>
    <w:p w14:paraId="52B6D313">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(18)</w:t>
      </w:r>
      <w:r>
        <w:rPr>
          <w:rFonts w:hint="eastAsia" w:ascii="宋体" w:hAnsi="宋体" w:eastAsia="宋体" w:cs="宋体"/>
          <w:sz w:val="24"/>
          <w:szCs w:val="24"/>
          <w:highlight w:val="none"/>
        </w:rPr>
        <w:t>《视频安防监控系统工程设计规范》（GB 50395-2007）</w:t>
      </w:r>
    </w:p>
    <w:p w14:paraId="26D50B13">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(19)</w:t>
      </w:r>
      <w:r>
        <w:rPr>
          <w:rFonts w:hint="eastAsia" w:ascii="宋体" w:hAnsi="宋体" w:eastAsia="宋体" w:cs="宋体"/>
          <w:sz w:val="24"/>
          <w:szCs w:val="24"/>
          <w:highlight w:val="none"/>
        </w:rPr>
        <w:t>《数据中心设计规范》（GB 50174-2017）</w:t>
      </w:r>
    </w:p>
    <w:p w14:paraId="23F95942">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(20)</w:t>
      </w:r>
      <w:r>
        <w:rPr>
          <w:rFonts w:hint="eastAsia" w:ascii="宋体" w:hAnsi="宋体" w:eastAsia="宋体" w:cs="宋体"/>
          <w:sz w:val="24"/>
          <w:szCs w:val="24"/>
          <w:highlight w:val="none"/>
        </w:rPr>
        <w:t>《公共安全视频监控数字视音频编解码技术要求》（GB/T 25724-2017）</w:t>
      </w:r>
    </w:p>
    <w:p w14:paraId="612B3C07">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(21)</w:t>
      </w:r>
      <w:r>
        <w:rPr>
          <w:rFonts w:hint="eastAsia" w:ascii="宋体" w:hAnsi="宋体" w:eastAsia="宋体" w:cs="宋体"/>
          <w:sz w:val="24"/>
          <w:szCs w:val="24"/>
          <w:highlight w:val="none"/>
        </w:rPr>
        <w:t>《道路交通安全违法行为视频取证设备技术规范》（GA/T995-2020）</w:t>
      </w:r>
    </w:p>
    <w:p w14:paraId="6CF08E6F">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(22)</w:t>
      </w:r>
      <w:r>
        <w:rPr>
          <w:rFonts w:hint="eastAsia" w:ascii="宋体" w:hAnsi="宋体" w:eastAsia="宋体" w:cs="宋体"/>
          <w:sz w:val="24"/>
          <w:szCs w:val="24"/>
          <w:highlight w:val="none"/>
        </w:rPr>
        <w:t>《闯红灯自动记录系统通用技术条件》（GA/T496-2014）</w:t>
      </w:r>
    </w:p>
    <w:p w14:paraId="7FA46ED4">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(23)</w:t>
      </w:r>
      <w:r>
        <w:rPr>
          <w:rFonts w:hint="eastAsia" w:ascii="宋体" w:hAnsi="宋体" w:eastAsia="宋体" w:cs="宋体"/>
          <w:sz w:val="24"/>
          <w:szCs w:val="24"/>
          <w:highlight w:val="none"/>
        </w:rPr>
        <w:t>《道路交通安全违法行为图像取证技术规范》（GA/T 832-2014）</w:t>
      </w:r>
    </w:p>
    <w:p w14:paraId="1C309448">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(24)</w:t>
      </w:r>
      <w:r>
        <w:rPr>
          <w:rFonts w:hint="eastAsia" w:ascii="宋体" w:hAnsi="宋体" w:eastAsia="宋体" w:cs="宋体"/>
          <w:sz w:val="24"/>
          <w:szCs w:val="24"/>
          <w:highlight w:val="none"/>
        </w:rPr>
        <w:t>《机动车号牌图像自动识别技术规范》（GA/T 833-2016）</w:t>
      </w:r>
    </w:p>
    <w:p w14:paraId="4C05FC63">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(25)</w:t>
      </w:r>
      <w:r>
        <w:rPr>
          <w:rFonts w:hint="eastAsia" w:ascii="宋体" w:hAnsi="宋体" w:eastAsia="宋体" w:cs="宋体"/>
          <w:sz w:val="24"/>
          <w:szCs w:val="24"/>
          <w:highlight w:val="none"/>
        </w:rPr>
        <w:t>《道路车辆智能检测记录系统通用技术条件》（GA/T 497-2016）</w:t>
      </w:r>
    </w:p>
    <w:p w14:paraId="43A4301B">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(26)</w:t>
      </w:r>
      <w:r>
        <w:rPr>
          <w:rFonts w:hint="eastAsia" w:ascii="宋体" w:hAnsi="宋体" w:eastAsia="宋体" w:cs="宋体"/>
          <w:sz w:val="24"/>
          <w:szCs w:val="24"/>
          <w:highlight w:val="none"/>
        </w:rPr>
        <w:t>《安防监控视频实时智能分析设备技术要求》（GB/T 30147-2013）</w:t>
      </w:r>
    </w:p>
    <w:p w14:paraId="00D8C279">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(27)</w:t>
      </w:r>
      <w:r>
        <w:rPr>
          <w:rFonts w:hint="eastAsia" w:ascii="宋体" w:hAnsi="宋体" w:eastAsia="宋体" w:cs="宋体"/>
          <w:sz w:val="24"/>
          <w:szCs w:val="24"/>
          <w:highlight w:val="none"/>
        </w:rPr>
        <w:t>《安全防范视频监控人脸识别系统技术要求》（GB/T 31488-2015）</w:t>
      </w:r>
    </w:p>
    <w:p w14:paraId="04FA6164">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(28)</w:t>
      </w:r>
      <w:r>
        <w:rPr>
          <w:rFonts w:hint="eastAsia" w:ascii="宋体" w:hAnsi="宋体" w:eastAsia="宋体" w:cs="宋体"/>
          <w:sz w:val="24"/>
          <w:szCs w:val="24"/>
          <w:highlight w:val="none"/>
        </w:rPr>
        <w:t>《信息安全技术—信息安全等级保护定级指南》（GB/T 22240-2020）</w:t>
      </w:r>
    </w:p>
    <w:p w14:paraId="3F21DA0C">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(29)</w:t>
      </w:r>
      <w:r>
        <w:rPr>
          <w:rFonts w:hint="eastAsia" w:ascii="宋体" w:hAnsi="宋体" w:eastAsia="宋体" w:cs="宋体"/>
          <w:sz w:val="24"/>
          <w:szCs w:val="24"/>
          <w:highlight w:val="none"/>
        </w:rPr>
        <w:t>《信息安全技术网络安全等级保护实施指南》（GB/T 25058-2019）</w:t>
      </w:r>
    </w:p>
    <w:p w14:paraId="72AAAB48">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(30)</w:t>
      </w:r>
      <w:r>
        <w:rPr>
          <w:rFonts w:hint="eastAsia" w:ascii="宋体" w:hAnsi="宋体" w:eastAsia="宋体" w:cs="宋体"/>
          <w:sz w:val="24"/>
          <w:szCs w:val="24"/>
          <w:highlight w:val="none"/>
        </w:rPr>
        <w:t>《信息安全技术网络安全等级保护基本要求》（GB/T 22239-2019）</w:t>
      </w:r>
    </w:p>
    <w:p w14:paraId="786F5C32">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(31)</w:t>
      </w:r>
      <w:r>
        <w:rPr>
          <w:rFonts w:hint="eastAsia" w:ascii="宋体" w:hAnsi="宋体" w:eastAsia="宋体" w:cs="宋体"/>
          <w:sz w:val="24"/>
          <w:szCs w:val="24"/>
          <w:highlight w:val="none"/>
        </w:rPr>
        <w:t>《信息安全技术网络安全等级保护测评要求》（GB/T 28448-2019）</w:t>
      </w:r>
    </w:p>
    <w:p w14:paraId="2AAE190A">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(32)</w:t>
      </w:r>
      <w:r>
        <w:rPr>
          <w:rFonts w:hint="eastAsia" w:ascii="宋体" w:hAnsi="宋体" w:eastAsia="宋体" w:cs="宋体"/>
          <w:sz w:val="24"/>
          <w:szCs w:val="24"/>
          <w:highlight w:val="none"/>
        </w:rPr>
        <w:t>《信息安全技术网络安全等级保护安全设计技术要求》（GB/T 25070-2019）</w:t>
      </w:r>
    </w:p>
    <w:p w14:paraId="795BC3B4">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(33)</w:t>
      </w:r>
      <w:r>
        <w:rPr>
          <w:rFonts w:hint="eastAsia" w:ascii="宋体" w:hAnsi="宋体" w:eastAsia="宋体" w:cs="宋体"/>
          <w:sz w:val="24"/>
          <w:szCs w:val="24"/>
          <w:highlight w:val="none"/>
        </w:rPr>
        <w:t>中华人民共和国国务院令（第 809 号）《政务数据共享条例》</w:t>
      </w:r>
    </w:p>
    <w:p w14:paraId="37E3D1C0">
      <w:pPr>
        <w:pStyle w:val="3"/>
        <w:keepNext/>
        <w:keepLines/>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right="0" w:rightChars="0" w:firstLine="482" w:firstLineChars="200"/>
        <w:textAlignment w:val="auto"/>
        <w:outlineLvl w:val="0"/>
        <w:rPr>
          <w:rFonts w:hint="eastAsia" w:ascii="宋体" w:hAnsi="宋体" w:eastAsia="宋体" w:cs="宋体"/>
          <w:sz w:val="24"/>
          <w:szCs w:val="24"/>
          <w:highlight w:val="none"/>
          <w:lang w:val="en-US" w:eastAsia="zh-CN"/>
        </w:rPr>
      </w:pPr>
      <w:bookmarkStart w:id="192" w:name="_Toc25054"/>
      <w:r>
        <w:rPr>
          <w:rFonts w:hint="default" w:ascii="宋体" w:hAnsi="宋体" w:eastAsia="宋体" w:cs="宋体"/>
          <w:b/>
          <w:bCs/>
          <w:sz w:val="24"/>
          <w:szCs w:val="24"/>
          <w:lang w:val="en-US" w:eastAsia="zh-CN" w:bidi="ar"/>
        </w:rPr>
        <w:t>3.</w:t>
      </w:r>
      <w:r>
        <w:rPr>
          <w:rFonts w:hint="eastAsia" w:ascii="宋体" w:hAnsi="宋体" w:eastAsia="宋体" w:cs="宋体"/>
          <w:sz w:val="24"/>
          <w:szCs w:val="24"/>
          <w:highlight w:val="none"/>
          <w:lang w:val="en-US" w:eastAsia="zh-CN"/>
        </w:rPr>
        <w:t xml:space="preserve"> </w:t>
      </w:r>
      <w:bookmarkStart w:id="193" w:name="_Toc27830"/>
      <w:r>
        <w:rPr>
          <w:rFonts w:hint="eastAsia" w:ascii="宋体" w:hAnsi="宋体" w:eastAsia="宋体" w:cs="宋体"/>
          <w:sz w:val="24"/>
          <w:szCs w:val="24"/>
          <w:highlight w:val="none"/>
          <w:lang w:val="en-US" w:eastAsia="zh-CN"/>
        </w:rPr>
        <w:t>信息安全标准</w:t>
      </w:r>
      <w:bookmarkEnd w:id="192"/>
      <w:bookmarkEnd w:id="193"/>
    </w:p>
    <w:p w14:paraId="0ED68D93">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w:t>
      </w:r>
      <w:r>
        <w:rPr>
          <w:rFonts w:hint="eastAsia" w:ascii="宋体" w:hAnsi="宋体" w:eastAsia="宋体" w:cs="宋体"/>
          <w:sz w:val="24"/>
          <w:szCs w:val="24"/>
          <w:highlight w:val="none"/>
        </w:rPr>
        <w:t>《计算机信息系统安全保护等级划分准则》（GB17859-1999）</w:t>
      </w:r>
    </w:p>
    <w:p w14:paraId="3E5EF8E7">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w:t>
      </w:r>
      <w:r>
        <w:rPr>
          <w:rFonts w:hint="eastAsia" w:ascii="宋体" w:hAnsi="宋体" w:eastAsia="宋体" w:cs="宋体"/>
          <w:sz w:val="24"/>
          <w:szCs w:val="24"/>
          <w:highlight w:val="none"/>
        </w:rPr>
        <w:t>《信息安全技术网络安全等级保护实施指南》 GB/T25058-2019）</w:t>
      </w:r>
    </w:p>
    <w:p w14:paraId="588A6BDD">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(3)</w:t>
      </w:r>
      <w:r>
        <w:rPr>
          <w:rFonts w:hint="eastAsia" w:ascii="宋体" w:hAnsi="宋体" w:eastAsia="宋体" w:cs="宋体"/>
          <w:sz w:val="24"/>
          <w:szCs w:val="24"/>
          <w:highlight w:val="none"/>
        </w:rPr>
        <w:t>《信息安全技术网络安全等级保护基本要求》（GB/T22239-2019）</w:t>
      </w:r>
    </w:p>
    <w:p w14:paraId="1FF0D71C">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(4)</w:t>
      </w:r>
      <w:r>
        <w:rPr>
          <w:rFonts w:hint="eastAsia" w:ascii="宋体" w:hAnsi="宋体" w:eastAsia="宋体" w:cs="宋体"/>
          <w:sz w:val="24"/>
          <w:szCs w:val="24"/>
          <w:highlight w:val="none"/>
        </w:rPr>
        <w:t>《信息安全技术网络安全等级保护安全设计技术要求》（GB/T25070-2019）</w:t>
      </w:r>
    </w:p>
    <w:p w14:paraId="66A4D3CF">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(5)</w:t>
      </w:r>
      <w:r>
        <w:rPr>
          <w:rFonts w:hint="eastAsia" w:ascii="宋体" w:hAnsi="宋体" w:eastAsia="宋体" w:cs="宋体"/>
          <w:sz w:val="24"/>
          <w:szCs w:val="24"/>
          <w:highlight w:val="none"/>
        </w:rPr>
        <w:t>《信息安全技术</w:t>
      </w:r>
      <w:r>
        <w:rPr>
          <w:rFonts w:hint="eastAsia" w:ascii="宋体" w:hAnsi="宋体" w:eastAsia="宋体" w:cs="宋体"/>
          <w:sz w:val="24"/>
          <w:szCs w:val="24"/>
          <w:highlight w:val="none"/>
          <w:lang w:eastAsia="zh-CN"/>
        </w:rPr>
        <w:t>网络</w:t>
      </w:r>
      <w:r>
        <w:rPr>
          <w:rFonts w:hint="eastAsia" w:ascii="宋体" w:hAnsi="宋体" w:eastAsia="宋体" w:cs="宋体"/>
          <w:sz w:val="24"/>
          <w:szCs w:val="24"/>
          <w:highlight w:val="none"/>
        </w:rPr>
        <w:t>安全等级保护测评要求》（GB/T28448-2019）</w:t>
      </w:r>
    </w:p>
    <w:p w14:paraId="60EEBF73">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(6)</w:t>
      </w:r>
      <w:r>
        <w:rPr>
          <w:rFonts w:hint="eastAsia" w:ascii="宋体" w:hAnsi="宋体" w:eastAsia="宋体" w:cs="宋体"/>
          <w:sz w:val="24"/>
          <w:szCs w:val="24"/>
          <w:highlight w:val="none"/>
        </w:rPr>
        <w:t>《信息安全技术网络安全等级保护测评过程指南》（GB/T28449-2019）</w:t>
      </w:r>
    </w:p>
    <w:p w14:paraId="04DAE11F">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(7)</w:t>
      </w:r>
      <w:r>
        <w:rPr>
          <w:rFonts w:hint="eastAsia" w:ascii="宋体" w:hAnsi="宋体" w:eastAsia="宋体" w:cs="宋体"/>
          <w:sz w:val="24"/>
          <w:szCs w:val="24"/>
          <w:highlight w:val="none"/>
        </w:rPr>
        <w:t>《信息安全技术信息系统安全等级保护定级指南》（GB/T22240-2020）</w:t>
      </w:r>
    </w:p>
    <w:p w14:paraId="4629E92F">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(8)</w:t>
      </w:r>
      <w:r>
        <w:rPr>
          <w:rFonts w:hint="eastAsia" w:ascii="宋体" w:hAnsi="宋体" w:eastAsia="宋体" w:cs="宋体"/>
          <w:sz w:val="24"/>
          <w:szCs w:val="24"/>
          <w:highlight w:val="none"/>
        </w:rPr>
        <w:t>《信息安全技术网络安全等级保护测试评估技术指南》（GB/T36627-2018）</w:t>
      </w:r>
    </w:p>
    <w:p w14:paraId="45BBA0B2">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(9)</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信息安全</w:t>
      </w:r>
      <w:r>
        <w:rPr>
          <w:rFonts w:hint="eastAsia" w:ascii="宋体" w:hAnsi="宋体" w:eastAsia="宋体" w:cs="宋体"/>
          <w:sz w:val="24"/>
          <w:szCs w:val="24"/>
          <w:highlight w:val="none"/>
        </w:rPr>
        <w:t>技术网络安全等级保护安全管理中心技术要求》（GB/T36958-2018）</w:t>
      </w:r>
    </w:p>
    <w:p w14:paraId="4E7A90C5">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(10)</w:t>
      </w:r>
      <w:r>
        <w:rPr>
          <w:rFonts w:hint="eastAsia" w:ascii="宋体" w:hAnsi="宋体" w:eastAsia="宋体" w:cs="宋体"/>
          <w:sz w:val="24"/>
          <w:szCs w:val="24"/>
          <w:highlight w:val="none"/>
        </w:rPr>
        <w:t>《信息安全技术网络安全等级保护</w:t>
      </w:r>
      <w:r>
        <w:rPr>
          <w:rFonts w:hint="eastAsia" w:ascii="宋体" w:hAnsi="宋体" w:eastAsia="宋体" w:cs="宋体"/>
          <w:sz w:val="24"/>
          <w:szCs w:val="24"/>
          <w:highlight w:val="none"/>
          <w:lang w:eastAsia="zh-CN"/>
        </w:rPr>
        <w:t>评估</w:t>
      </w:r>
      <w:r>
        <w:rPr>
          <w:rFonts w:hint="eastAsia" w:ascii="宋体" w:hAnsi="宋体" w:eastAsia="宋体" w:cs="宋体"/>
          <w:sz w:val="24"/>
          <w:szCs w:val="24"/>
          <w:highlight w:val="none"/>
        </w:rPr>
        <w:t>机构能力要求和评估规范》（GB/T36959-2018）</w:t>
      </w:r>
    </w:p>
    <w:p w14:paraId="52DDEC03">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(11)</w:t>
      </w:r>
      <w:r>
        <w:rPr>
          <w:rFonts w:hint="eastAsia" w:ascii="宋体" w:hAnsi="宋体" w:eastAsia="宋体" w:cs="宋体"/>
          <w:sz w:val="24"/>
          <w:szCs w:val="24"/>
          <w:highlight w:val="none"/>
        </w:rPr>
        <w:t>《公安机关内部网络和数据安全管理规定》</w:t>
      </w:r>
    </w:p>
    <w:p w14:paraId="4B66F617">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(12)</w:t>
      </w:r>
      <w:r>
        <w:rPr>
          <w:rFonts w:hint="eastAsia" w:ascii="宋体" w:hAnsi="宋体" w:eastAsia="宋体" w:cs="宋体"/>
          <w:sz w:val="24"/>
          <w:szCs w:val="24"/>
          <w:highlight w:val="none"/>
        </w:rPr>
        <w:t>《公安视频图像信息系统安全技术要求》GA/T 1788.1、1788.2、1788.3、1788.4</w:t>
      </w:r>
    </w:p>
    <w:p w14:paraId="5925AE9A">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(13)</w:t>
      </w:r>
      <w:r>
        <w:rPr>
          <w:rFonts w:hint="eastAsia" w:ascii="宋体" w:hAnsi="宋体" w:eastAsia="宋体" w:cs="宋体"/>
          <w:sz w:val="24"/>
          <w:szCs w:val="24"/>
          <w:highlight w:val="none"/>
        </w:rPr>
        <w:t>《公安大数据安全 安全防护体系技术设计要求》 GA/DSJ 352-2019</w:t>
      </w:r>
    </w:p>
    <w:p w14:paraId="7150E421">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(14)</w:t>
      </w:r>
      <w:r>
        <w:rPr>
          <w:rFonts w:hint="eastAsia" w:ascii="宋体" w:hAnsi="宋体" w:eastAsia="宋体" w:cs="宋体"/>
          <w:sz w:val="24"/>
          <w:szCs w:val="24"/>
          <w:highlight w:val="none"/>
        </w:rPr>
        <w:t xml:space="preserve">中华人民共和国国务院令（第 809 号）《政务数据共享条例》 </w:t>
      </w:r>
    </w:p>
    <w:p w14:paraId="208DE191">
      <w:pPr>
        <w:pStyle w:val="3"/>
        <w:keepNext/>
        <w:keepLines/>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ind w:left="0" w:leftChars="0" w:right="0" w:rightChars="0" w:firstLine="482" w:firstLineChars="200"/>
        <w:textAlignment w:val="auto"/>
        <w:outlineLvl w:val="0"/>
        <w:rPr>
          <w:rFonts w:hint="eastAsia" w:ascii="宋体" w:hAnsi="宋体" w:eastAsia="宋体" w:cs="宋体"/>
          <w:sz w:val="24"/>
          <w:szCs w:val="24"/>
          <w:highlight w:val="none"/>
          <w:lang w:val="en-US" w:eastAsia="zh-CN"/>
        </w:rPr>
      </w:pPr>
      <w:bookmarkStart w:id="194" w:name="_Toc18031"/>
      <w:r>
        <w:rPr>
          <w:rFonts w:hint="default" w:ascii="宋体" w:hAnsi="宋体" w:eastAsia="宋体" w:cs="宋体"/>
          <w:b/>
          <w:bCs/>
          <w:sz w:val="24"/>
          <w:szCs w:val="24"/>
          <w:lang w:val="en-US" w:eastAsia="zh-CN" w:bidi="ar"/>
        </w:rPr>
        <w:t>4.</w:t>
      </w:r>
      <w:r>
        <w:rPr>
          <w:rFonts w:hint="eastAsia" w:ascii="宋体" w:hAnsi="宋体" w:eastAsia="宋体" w:cs="宋体"/>
          <w:sz w:val="24"/>
          <w:szCs w:val="24"/>
          <w:highlight w:val="none"/>
          <w:lang w:val="en-US" w:eastAsia="zh-CN"/>
        </w:rPr>
        <w:t xml:space="preserve"> </w:t>
      </w:r>
      <w:bookmarkStart w:id="195" w:name="_Toc1820"/>
      <w:r>
        <w:rPr>
          <w:rFonts w:hint="eastAsia" w:ascii="宋体" w:hAnsi="宋体" w:eastAsia="宋体" w:cs="宋体"/>
          <w:sz w:val="24"/>
          <w:szCs w:val="24"/>
          <w:highlight w:val="none"/>
          <w:lang w:val="en-US" w:eastAsia="zh-CN"/>
        </w:rPr>
        <w:t>网络安全相关法规</w:t>
      </w:r>
      <w:bookmarkEnd w:id="194"/>
      <w:bookmarkEnd w:id="195"/>
    </w:p>
    <w:p w14:paraId="57D801F1">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w:t>
      </w:r>
      <w:r>
        <w:rPr>
          <w:rFonts w:hint="eastAsia" w:ascii="宋体" w:hAnsi="宋体" w:eastAsia="宋体" w:cs="宋体"/>
          <w:sz w:val="24"/>
          <w:szCs w:val="24"/>
          <w:highlight w:val="none"/>
        </w:rPr>
        <w:t>《中华人民共和国网络安全法》（2017）</w:t>
      </w:r>
    </w:p>
    <w:p w14:paraId="7E686785">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(2)</w:t>
      </w:r>
      <w:r>
        <w:rPr>
          <w:rFonts w:hint="eastAsia" w:ascii="宋体" w:hAnsi="宋体" w:eastAsia="宋体" w:cs="宋体"/>
          <w:sz w:val="24"/>
          <w:szCs w:val="24"/>
          <w:highlight w:val="none"/>
        </w:rPr>
        <w:t>《中华人民共和国数据安全法》（2021）</w:t>
      </w:r>
    </w:p>
    <w:p w14:paraId="260DC6E7">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(3)</w:t>
      </w:r>
      <w:r>
        <w:rPr>
          <w:rFonts w:hint="eastAsia" w:ascii="宋体" w:hAnsi="宋体" w:eastAsia="宋体" w:cs="宋体"/>
          <w:sz w:val="24"/>
          <w:szCs w:val="24"/>
          <w:highlight w:val="none"/>
        </w:rPr>
        <w:t>《中华人民共和国个人信息保护法》（2021）</w:t>
      </w:r>
    </w:p>
    <w:p w14:paraId="3F9D9754">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(4)</w:t>
      </w:r>
      <w:r>
        <w:rPr>
          <w:rFonts w:hint="eastAsia" w:ascii="宋体" w:hAnsi="宋体" w:eastAsia="宋体" w:cs="宋体"/>
          <w:sz w:val="24"/>
          <w:szCs w:val="24"/>
          <w:highlight w:val="none"/>
        </w:rPr>
        <w:t>《关键信息基础设施安全保护条例》（2021）</w:t>
      </w:r>
    </w:p>
    <w:p w14:paraId="266FDECE">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(5)</w:t>
      </w:r>
      <w:r>
        <w:rPr>
          <w:rFonts w:hint="eastAsia" w:ascii="宋体" w:hAnsi="宋体" w:eastAsia="宋体" w:cs="宋体"/>
          <w:sz w:val="24"/>
          <w:szCs w:val="24"/>
          <w:highlight w:val="none"/>
        </w:rPr>
        <w:t>《关于加强公共安全视频监控建设联网应用的意见》（发改高技〔2015〕996号）</w:t>
      </w:r>
    </w:p>
    <w:p w14:paraId="00BCE5FD">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(6)</w:t>
      </w:r>
      <w:r>
        <w:rPr>
          <w:rFonts w:hint="eastAsia" w:ascii="宋体" w:hAnsi="宋体" w:eastAsia="宋体" w:cs="宋体"/>
          <w:sz w:val="24"/>
          <w:szCs w:val="24"/>
          <w:highlight w:val="none"/>
        </w:rPr>
        <w:t>《江苏省公共安全技术防范管理条例》</w:t>
      </w:r>
    </w:p>
    <w:p w14:paraId="19297493">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(7)</w:t>
      </w:r>
      <w:r>
        <w:rPr>
          <w:rFonts w:hint="eastAsia" w:ascii="宋体" w:hAnsi="宋体" w:eastAsia="宋体" w:cs="宋体"/>
          <w:sz w:val="24"/>
          <w:szCs w:val="24"/>
          <w:highlight w:val="none"/>
        </w:rPr>
        <w:t>《信息安全技术 网络安全等级保护基本要求》（GB/T 22239-2019）</w:t>
      </w:r>
    </w:p>
    <w:p w14:paraId="2B819AC9">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(8)</w:t>
      </w:r>
      <w:r>
        <w:rPr>
          <w:rFonts w:hint="eastAsia" w:ascii="宋体" w:hAnsi="宋体" w:eastAsia="宋体" w:cs="宋体"/>
          <w:sz w:val="24"/>
          <w:szCs w:val="24"/>
          <w:highlight w:val="none"/>
        </w:rPr>
        <w:t>《公共安全视频监控联网系统信息传输、交换、控制技术要求》（GB/T 28181-2022）</w:t>
      </w:r>
    </w:p>
    <w:p w14:paraId="3C75F847">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(9)</w:t>
      </w:r>
      <w:r>
        <w:rPr>
          <w:rFonts w:hint="eastAsia" w:ascii="宋体" w:hAnsi="宋体" w:eastAsia="宋体" w:cs="宋体"/>
          <w:sz w:val="24"/>
          <w:szCs w:val="24"/>
          <w:highlight w:val="none"/>
        </w:rPr>
        <w:t>《信息安全技术个人信息安全规范》（GB/T 35273-2020）</w:t>
      </w:r>
    </w:p>
    <w:p w14:paraId="6BCBB708">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440" w:lineRule="exact"/>
        <w:ind w:left="0" w:leftChars="0" w:right="0" w:rightChars="0" w:firstLine="480" w:firstLineChars="200"/>
        <w:jc w:val="left"/>
        <w:textAlignment w:val="auto"/>
        <w:rPr>
          <w:rFonts w:hint="eastAsia" w:ascii="宋体" w:hAnsi="宋体" w:eastAsia="宋体" w:cs="宋体"/>
          <w:sz w:val="24"/>
          <w:szCs w:val="24"/>
          <w:highlight w:val="none"/>
        </w:rPr>
      </w:pPr>
      <w:r>
        <w:rPr>
          <w:rFonts w:hint="default" w:ascii="宋体" w:hAnsi="宋体" w:eastAsia="宋体" w:cs="宋体"/>
          <w:sz w:val="24"/>
          <w:szCs w:val="24"/>
          <w:lang w:val="en-US" w:eastAsia="zh-CN" w:bidi="ar-SA"/>
        </w:rPr>
        <w:t>(10)</w:t>
      </w:r>
      <w:r>
        <w:rPr>
          <w:rFonts w:hint="eastAsia" w:ascii="宋体" w:hAnsi="宋体" w:eastAsia="宋体" w:cs="宋体"/>
          <w:sz w:val="24"/>
          <w:szCs w:val="24"/>
          <w:highlight w:val="none"/>
        </w:rPr>
        <w:t>《农村地区安全防范系统技术规范》（GA/T 1788-2021）</w:t>
      </w:r>
    </w:p>
    <w:p w14:paraId="1B18635B">
      <w:pPr>
        <w:pageBreakBefore w:val="0"/>
        <w:kinsoku/>
        <w:wordWrap/>
        <w:overflowPunct/>
        <w:topLinePunct w:val="0"/>
        <w:autoSpaceDE/>
        <w:autoSpaceDN/>
        <w:bidi w:val="0"/>
        <w:adjustRightInd/>
        <w:snapToGrid/>
        <w:spacing w:beforeAutospacing="0" w:afterAutospacing="0" w:line="440" w:lineRule="exact"/>
        <w:ind w:left="0" w:right="0" w:rightChars="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限于篇幅，此处列举部分依据，除上述规范以外，遵循国家现行的规范和标准要求。</w:t>
      </w:r>
    </w:p>
    <w:p w14:paraId="49C08CC8">
      <w:pPr>
        <w:rPr>
          <w:rFonts w:hint="eastAsia"/>
          <w:lang w:val="en-US" w:eastAsia="zh-CN"/>
        </w:rPr>
      </w:pPr>
    </w:p>
    <w:p w14:paraId="2B8603D7">
      <w:pPr>
        <w:pStyle w:val="34"/>
        <w:numPr>
          <w:ilvl w:val="0"/>
          <w:numId w:val="0"/>
        </w:numPr>
        <w:spacing w:beforeAutospacing="0" w:afterAutospacing="0" w:line="0" w:lineRule="atLeast"/>
        <w:ind w:left="0" w:leftChars="0" w:firstLine="0" w:firstLineChars="0"/>
        <w:jc w:val="both"/>
        <w:rPr>
          <w:rFonts w:hint="default" w:ascii="宋体" w:hAnsi="宋体" w:eastAsia="宋体" w:cs="宋体"/>
          <w:b/>
          <w:bCs/>
          <w:color w:val="000000"/>
          <w:highlight w:val="white"/>
        </w:rPr>
      </w:pPr>
      <w:r>
        <w:rPr>
          <w:rFonts w:hint="eastAsia" w:ascii="宋体" w:hAnsi="宋体" w:eastAsia="宋体" w:cs="宋体"/>
          <w:b/>
          <w:bCs/>
          <w:color w:val="000000"/>
          <w:sz w:val="24"/>
          <w:szCs w:val="24"/>
          <w:lang w:val="en-US" w:eastAsia="zh-CN" w:bidi="ar-SA"/>
        </w:rPr>
        <w:t>三、</w:t>
      </w:r>
      <w:r>
        <w:rPr>
          <w:rFonts w:hint="eastAsia" w:ascii="宋体" w:hAnsi="宋体" w:eastAsia="宋体" w:cs="宋体"/>
          <w:b/>
          <w:bCs/>
          <w:color w:val="000000"/>
          <w:highlight w:val="white"/>
          <w:lang w:val="en-US" w:eastAsia="zh-CN"/>
        </w:rPr>
        <w:t>商务要求</w:t>
      </w:r>
    </w:p>
    <w:p w14:paraId="7D1A2420">
      <w:pPr>
        <w:keepNext w:val="0"/>
        <w:keepLines w:val="0"/>
        <w:pageBreakBefore w:val="0"/>
        <w:widowControl w:val="0"/>
        <w:spacing w:line="360" w:lineRule="auto"/>
        <w:ind w:firstLine="480"/>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1</w:t>
      </w:r>
      <w:r>
        <w:rPr>
          <w:rFonts w:hint="eastAsia" w:ascii="宋体" w:hAnsi="宋体" w:eastAsia="宋体" w:cs="宋体"/>
          <w:b/>
          <w:bCs/>
          <w:sz w:val="24"/>
          <w:szCs w:val="24"/>
          <w:highlight w:val="white"/>
          <w:lang w:eastAsia="zh-CN"/>
        </w:rPr>
        <w:t>、</w:t>
      </w:r>
      <w:r>
        <w:rPr>
          <w:rFonts w:hint="eastAsia" w:ascii="宋体" w:hAnsi="宋体" w:eastAsia="宋体" w:cs="宋体"/>
          <w:b/>
          <w:bCs/>
          <w:sz w:val="24"/>
          <w:szCs w:val="24"/>
          <w:highlight w:val="white"/>
        </w:rPr>
        <w:t>履约期限</w:t>
      </w:r>
      <w:r>
        <w:rPr>
          <w:rFonts w:hint="eastAsia" w:ascii="宋体" w:hAnsi="宋体" w:eastAsia="宋体" w:cs="宋体"/>
          <w:b/>
          <w:bCs/>
          <w:sz w:val="24"/>
          <w:szCs w:val="24"/>
          <w:highlight w:val="white"/>
          <w:lang w:eastAsia="zh-CN"/>
        </w:rPr>
        <w:t>：</w:t>
      </w:r>
    </w:p>
    <w:p w14:paraId="7832FB44">
      <w:pPr>
        <w:keepNext w:val="0"/>
        <w:keepLines w:val="0"/>
        <w:pageBreakBefore w:val="0"/>
        <w:widowControl w:val="0"/>
        <w:spacing w:line="360" w:lineRule="auto"/>
        <w:ind w:firstLine="480"/>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（1）</w:t>
      </w:r>
      <w:r>
        <w:rPr>
          <w:rFonts w:hint="eastAsia" w:ascii="宋体" w:hAnsi="宋体" w:eastAsia="宋体" w:cs="宋体"/>
          <w:sz w:val="24"/>
          <w:szCs w:val="24"/>
          <w:highlight w:val="white"/>
        </w:rPr>
        <w:t>合同签订后</w:t>
      </w:r>
      <w:r>
        <w:rPr>
          <w:rFonts w:hint="eastAsia" w:ascii="宋体" w:hAnsi="宋体" w:eastAsia="宋体" w:cs="宋体"/>
          <w:sz w:val="24"/>
          <w:szCs w:val="24"/>
          <w:highlight w:val="white"/>
          <w:lang w:val="en-US" w:eastAsia="zh-CN"/>
        </w:rPr>
        <w:t>90日历天</w:t>
      </w:r>
      <w:r>
        <w:rPr>
          <w:rFonts w:hint="eastAsia" w:ascii="宋体" w:hAnsi="宋体" w:eastAsia="宋体" w:cs="宋体"/>
          <w:sz w:val="24"/>
          <w:szCs w:val="24"/>
          <w:highlight w:val="white"/>
        </w:rPr>
        <w:t>内货物全部送达招标人指定位置且安装、调试完毕，并确保正常稳定运行。</w:t>
      </w:r>
    </w:p>
    <w:p w14:paraId="4BB94DF6">
      <w:pPr>
        <w:keepNext w:val="0"/>
        <w:keepLines w:val="0"/>
        <w:pageBreakBefore w:val="0"/>
        <w:widowControl w:val="0"/>
        <w:spacing w:line="360" w:lineRule="auto"/>
        <w:ind w:firstLine="480"/>
        <w:rPr>
          <w:rFonts w:hint="eastAsia" w:ascii="宋体" w:hAnsi="宋体" w:eastAsia="宋体" w:cs="宋体"/>
          <w:sz w:val="24"/>
          <w:szCs w:val="24"/>
          <w:highlight w:val="white"/>
        </w:rPr>
      </w:pPr>
      <w:r>
        <w:rPr>
          <w:rFonts w:hint="eastAsia" w:ascii="宋体" w:hAnsi="宋体" w:eastAsia="宋体" w:cs="宋体"/>
          <w:sz w:val="24"/>
          <w:szCs w:val="24"/>
          <w:highlight w:val="white"/>
        </w:rPr>
        <w:t>（2）乙方在交货时，货物的品牌型号必须与投标报价单保持一致，必须保证品牌正宗，原始包装并附有合格证、产品安装使用说明书等相关资料。</w:t>
      </w:r>
    </w:p>
    <w:p w14:paraId="7E3994D9">
      <w:pPr>
        <w:keepNext w:val="0"/>
        <w:keepLines w:val="0"/>
        <w:pageBreakBefore w:val="0"/>
        <w:widowControl w:val="0"/>
        <w:spacing w:line="360" w:lineRule="auto"/>
        <w:ind w:firstLine="480"/>
        <w:rPr>
          <w:rFonts w:hint="default" w:ascii="宋体" w:hAnsi="宋体" w:eastAsia="宋体" w:cs="宋体"/>
          <w:sz w:val="24"/>
          <w:szCs w:val="24"/>
          <w:highlight w:val="white"/>
        </w:rPr>
      </w:pPr>
      <w:r>
        <w:rPr>
          <w:rFonts w:hint="eastAsia" w:ascii="宋体" w:hAnsi="宋体" w:eastAsia="宋体" w:cs="宋体"/>
          <w:b/>
          <w:bCs/>
          <w:sz w:val="24"/>
          <w:szCs w:val="24"/>
          <w:highlight w:val="white"/>
          <w:lang w:val="en-US" w:eastAsia="zh-CN"/>
        </w:rPr>
        <w:t>2、履约地点：</w:t>
      </w:r>
    </w:p>
    <w:p w14:paraId="1713A069">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东台市境内（采购人指定地点）</w:t>
      </w:r>
    </w:p>
    <w:tbl>
      <w:tblPr>
        <w:tblStyle w:val="36"/>
        <w:tblW w:w="9280"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2"/>
        <w:gridCol w:w="1671"/>
        <w:gridCol w:w="677"/>
        <w:gridCol w:w="3360"/>
        <w:gridCol w:w="1477"/>
        <w:gridCol w:w="1643"/>
      </w:tblGrid>
      <w:tr w14:paraId="2292C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280" w:type="dxa"/>
            <w:gridSpan w:val="6"/>
            <w:tcBorders>
              <w:top w:val="nil"/>
              <w:left w:val="nil"/>
              <w:bottom w:val="nil"/>
              <w:right w:val="nil"/>
            </w:tcBorders>
            <w:shd w:val="clear" w:color="auto" w:fill="auto"/>
            <w:noWrap/>
            <w:vAlign w:val="center"/>
          </w:tcPr>
          <w:p w14:paraId="4A4092F2">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Arial" w:hAnsi="Arial" w:cs="Arial"/>
                <w:b w:val="0"/>
                <w:bCs/>
                <w:color w:val="000000"/>
                <w:sz w:val="28"/>
                <w:szCs w:val="28"/>
                <w:highlight w:val="none"/>
                <w:lang w:val="en-US" w:eastAsia="zh-CN"/>
              </w:rPr>
              <w:t>东台市海防监控点位建设项目点位明细</w:t>
            </w:r>
          </w:p>
        </w:tc>
      </w:tr>
      <w:tr w14:paraId="0EDD4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A1A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AA0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文件夹</w:t>
            </w:r>
          </w:p>
        </w:tc>
        <w:tc>
          <w:tcPr>
            <w:tcW w:w="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8C1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属性</w:t>
            </w:r>
          </w:p>
        </w:tc>
        <w:tc>
          <w:tcPr>
            <w:tcW w:w="3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7CB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名称</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BFD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经度</w:t>
            </w:r>
          </w:p>
        </w:tc>
        <w:tc>
          <w:tcPr>
            <w:tcW w:w="16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066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纬度</w:t>
            </w:r>
          </w:p>
        </w:tc>
      </w:tr>
      <w:tr w14:paraId="38F5D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738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6BE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新东边防派出所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11D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AB8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方塘河闸南三叉口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C79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120.8979474</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386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32.68540863</w:t>
            </w:r>
          </w:p>
        </w:tc>
      </w:tr>
      <w:tr w14:paraId="5C004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E7C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4E4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新东边防派出所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BEC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61E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弶南村与海安交界卡口杆</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178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120.9320465</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BCE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32.68623002</w:t>
            </w:r>
          </w:p>
        </w:tc>
      </w:tr>
      <w:tr w14:paraId="0D84E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93B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6A9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新东边防派出所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F16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60A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东台呁汇北侧路口结构化</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785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120.9320465</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169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32.68666665</w:t>
            </w:r>
          </w:p>
        </w:tc>
      </w:tr>
      <w:tr w14:paraId="7AC38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F94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46A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新东边防派出所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937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BEE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黄海原种场厂部与海堤路交界路口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BBD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120.8789368</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383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32.64653513</w:t>
            </w:r>
          </w:p>
        </w:tc>
      </w:tr>
      <w:tr w14:paraId="080D0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3A0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0E9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弶港海防派出所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58B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9F4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条子泥东门口，新增</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5B2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120.9528251</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97F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32.76059805</w:t>
            </w:r>
          </w:p>
        </w:tc>
      </w:tr>
      <w:tr w14:paraId="69308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A87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508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弶港海防派出所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8C9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9FA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条子泥海潮路点位赶海点</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A33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120.9457787</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3C9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32.72284904</w:t>
            </w:r>
          </w:p>
        </w:tc>
      </w:tr>
      <w:tr w14:paraId="661FA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B00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C01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弶港海防派出所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96D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8CB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条子泥海潮路闸口点位1</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A80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120.9428981</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AD1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32.72240892</w:t>
            </w:r>
          </w:p>
        </w:tc>
      </w:tr>
      <w:tr w14:paraId="4A850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473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380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弶港海防派出所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30C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16F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条子泥海潮路点位2</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FAF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120.9386211</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EDE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32.72222228</w:t>
            </w:r>
          </w:p>
        </w:tc>
      </w:tr>
      <w:tr w14:paraId="05973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D62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7AF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弶港海防派出所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430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EE5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条子泥海潮路点位3</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7A8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120.9327958</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0B1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32.72182957</w:t>
            </w:r>
          </w:p>
        </w:tc>
      </w:tr>
      <w:tr w14:paraId="169B5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6D6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B92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弶港海防派出所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D51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A53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条子泥海潮路点位4</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F06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120.9243439</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E8B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32.72141343</w:t>
            </w:r>
          </w:p>
        </w:tc>
      </w:tr>
      <w:tr w14:paraId="6648E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67F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7E7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弶港海防派出所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330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4DD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条子泥海潮路点位5</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7F3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120.9074017</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48E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32.72052535</w:t>
            </w:r>
          </w:p>
        </w:tc>
      </w:tr>
      <w:tr w14:paraId="6D181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ABE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50E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弶港海防派出所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845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BAA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条子泥海潮路点位6</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FDF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120.8913048</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CF0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32.72997725</w:t>
            </w:r>
          </w:p>
        </w:tc>
      </w:tr>
      <w:tr w14:paraId="5944D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1B8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467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梁垛河闸派出所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3E7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E8A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三水滩东门，新增</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1E4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120.9127624</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B8C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32.88421298</w:t>
            </w:r>
          </w:p>
        </w:tc>
      </w:tr>
      <w:tr w14:paraId="1E1B7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4AC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E41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梁垛河闸派出所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6D8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0E2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众鑫合作社外围五区中间3号入口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599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120.9313633</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2B0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32.89175692</w:t>
            </w:r>
          </w:p>
        </w:tc>
      </w:tr>
      <w:tr w14:paraId="7B085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238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C5B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梁垛河闸派出所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ACE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1F2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众鑫合作社外围五区中间2号入口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62C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120.9272759</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361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32.8866648</w:t>
            </w:r>
          </w:p>
        </w:tc>
      </w:tr>
      <w:tr w14:paraId="62C30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340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C47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梁垛河闸派出所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036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4F1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众鑫合作社外围五区1号入口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EF6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120.9215837</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F1D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32.88778594</w:t>
            </w:r>
          </w:p>
        </w:tc>
      </w:tr>
      <w:tr w14:paraId="6FE39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07F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E21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梁垛河闸派出所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D23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F64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众鑫合作社外围五区中间5号入口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388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120.9328472</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811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32.90185603</w:t>
            </w:r>
          </w:p>
        </w:tc>
      </w:tr>
      <w:tr w14:paraId="6270E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224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FED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梁垛河闸派出所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1AB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C30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众鑫合作社外围五区中间4号入口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547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120.9323442</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6D0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32.89762106</w:t>
            </w:r>
          </w:p>
        </w:tc>
      </w:tr>
      <w:tr w14:paraId="05464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CDB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033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梁垛河闸派出所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ADB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9A5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众鑫合作社外围五区旁边道路</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451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120.9191425</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ACB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32.89163475</w:t>
            </w:r>
          </w:p>
        </w:tc>
      </w:tr>
      <w:tr w14:paraId="55B24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4BB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C3C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梁垛河闸派出所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7F1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C17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众鑫水产养殖二区与三区间道路</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180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120.9217086</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260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32.89956528</w:t>
            </w:r>
          </w:p>
        </w:tc>
      </w:tr>
      <w:tr w14:paraId="0850C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7E5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56E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梁垛河闸派出所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2A8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EEA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众鑫水产养殖三区与四区间道路</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B2A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120.9217116</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953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32.89538577</w:t>
            </w:r>
          </w:p>
        </w:tc>
      </w:tr>
      <w:tr w14:paraId="1F351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5ED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2B3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梁垛河闸派出所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AE4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570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梁北公司北侧道路口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89D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120.9080301</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333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32.91013034</w:t>
            </w:r>
          </w:p>
        </w:tc>
      </w:tr>
      <w:tr w14:paraId="174B0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FC6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AF5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梁垛河闸派出所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C24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30D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条子泥景区北侧灯塔南边小路</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98A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120.9355692</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FFA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32.87992429</w:t>
            </w:r>
          </w:p>
        </w:tc>
      </w:tr>
      <w:tr w14:paraId="127E1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5E3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DCD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梁垛河闸派出所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74D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7CC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条子泥海水养殖区南首水泵站旁</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46A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120.934533</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075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32.85094624</w:t>
            </w:r>
          </w:p>
        </w:tc>
      </w:tr>
      <w:tr w14:paraId="02E74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381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1A7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梁垛河闸派出所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B45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58F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条子泥施小牛蟹苗基地南侧闸口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D1D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120.9371112</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635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32.87890665</w:t>
            </w:r>
          </w:p>
        </w:tc>
      </w:tr>
      <w:tr w14:paraId="48DC0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760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444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梁垛河闸派出所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6B1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286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徐霞客钓鱼场门口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272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120.9449729</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FC9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32.88080545</w:t>
            </w:r>
          </w:p>
        </w:tc>
      </w:tr>
      <w:tr w14:paraId="6D3BA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27A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411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梁垛河闸派出所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9C4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7DB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孔雀园门口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24E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120.9041502</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75E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32.84957059</w:t>
            </w:r>
          </w:p>
        </w:tc>
      </w:tr>
      <w:tr w14:paraId="744C8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EC2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83B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梁垛河闸派出所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9CC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410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通博蟹苗场边</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273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120.9065769</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E45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32.84888559</w:t>
            </w:r>
          </w:p>
        </w:tc>
      </w:tr>
      <w:tr w14:paraId="7B20A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9DC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792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梁垛河闸派出所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775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CBC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海鱼路与风光路岔路口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3CD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120.9288877</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BF3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32.84535304</w:t>
            </w:r>
          </w:p>
        </w:tc>
      </w:tr>
      <w:tr w14:paraId="78886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233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F77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962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5D6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蹲门度假村北路东首路西</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996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120.8876713</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2B0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32.96211975</w:t>
            </w:r>
          </w:p>
        </w:tc>
      </w:tr>
      <w:tr w14:paraId="1012D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0E9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EB0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506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0EF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蹲门度假村北路东首路东</w:t>
            </w:r>
          </w:p>
        </w:tc>
        <w:tc>
          <w:tcPr>
            <w:tcW w:w="1477" w:type="dxa"/>
            <w:tcBorders>
              <w:top w:val="nil"/>
              <w:left w:val="nil"/>
              <w:bottom w:val="nil"/>
              <w:right w:val="nil"/>
            </w:tcBorders>
            <w:shd w:val="clear" w:color="auto" w:fill="auto"/>
            <w:noWrap/>
            <w:vAlign w:val="center"/>
          </w:tcPr>
          <w:p w14:paraId="60E192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120.8879168</w:t>
            </w:r>
          </w:p>
        </w:tc>
        <w:tc>
          <w:tcPr>
            <w:tcW w:w="1643" w:type="dxa"/>
            <w:tcBorders>
              <w:top w:val="nil"/>
              <w:left w:val="nil"/>
              <w:bottom w:val="nil"/>
              <w:right w:val="nil"/>
            </w:tcBorders>
            <w:shd w:val="clear" w:color="auto" w:fill="auto"/>
            <w:noWrap/>
            <w:vAlign w:val="center"/>
          </w:tcPr>
          <w:p w14:paraId="597386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32.96219411</w:t>
            </w:r>
          </w:p>
        </w:tc>
      </w:tr>
      <w:tr w14:paraId="0E1A8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8DE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17B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61A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7CA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蹲门农场外大圩东北角路口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CC9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120.8938534</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8E6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33.01336325</w:t>
            </w:r>
          </w:p>
        </w:tc>
      </w:tr>
      <w:tr w14:paraId="077D7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ADF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D23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B24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2B6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蹲门农场大圩外侧东北港汊2，进排水河道</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011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120.9099852</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AAD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33.0097915</w:t>
            </w:r>
          </w:p>
        </w:tc>
      </w:tr>
      <w:tr w14:paraId="722F2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106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379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24A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26D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蹲门农场大圩外侧东北港汊1</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06E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120.9114109</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EDB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33.0144593</w:t>
            </w:r>
          </w:p>
        </w:tc>
      </w:tr>
      <w:tr w14:paraId="4BDBF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A4F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82A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438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434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蹲门农场外大圩东北小闸南路口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1D1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120.8979694</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DFD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33.00545006</w:t>
            </w:r>
          </w:p>
        </w:tc>
      </w:tr>
      <w:tr w14:paraId="65301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B7F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BEA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E80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962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蹲门农场外大圩东北小闸北路口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A4D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120.8974798</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8F8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33.00649183</w:t>
            </w:r>
          </w:p>
        </w:tc>
      </w:tr>
      <w:tr w14:paraId="20B4F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D28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FA2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18D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5DD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蹲门农场外大圩东侧路口6号门</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BD9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120.9018207</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4F8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32.97761783</w:t>
            </w:r>
          </w:p>
        </w:tc>
      </w:tr>
      <w:tr w14:paraId="44010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63D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AF9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741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05D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蹲门农场外大圩东南角4号门</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FE7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120.9029198</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E91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32.96734131</w:t>
            </w:r>
          </w:p>
        </w:tc>
      </w:tr>
      <w:tr w14:paraId="4D069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222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F80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DB9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5B3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蹲门农场外大圩南侧路口1-2号门</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870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120.8964079</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DDF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32.96247079</w:t>
            </w:r>
          </w:p>
        </w:tc>
      </w:tr>
      <w:tr w14:paraId="72686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492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364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CF4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29F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蹲门农场外大圩南侧路口1-3号门</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2B9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120.8970986</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AA1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32.96297807</w:t>
            </w:r>
          </w:p>
        </w:tc>
      </w:tr>
      <w:tr w14:paraId="6249F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583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FF2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04F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0BF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川水港闸南侧梁川路北出口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A19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120.891244</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8B2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32.95185223</w:t>
            </w:r>
          </w:p>
        </w:tc>
      </w:tr>
      <w:tr w14:paraId="7A5AD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50A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AAA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375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C58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梁北公司外大圩西北角出口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0D6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120.891844</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537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32.94872601</w:t>
            </w:r>
          </w:p>
        </w:tc>
      </w:tr>
      <w:tr w14:paraId="48410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91B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1E7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B1F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9BD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川水港闸北侧路口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7A0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120.8924339</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1C3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32.953904</w:t>
            </w:r>
          </w:p>
        </w:tc>
      </w:tr>
      <w:tr w14:paraId="72B41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D6E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0E7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AFF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E2E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川水港闸南侧路口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C69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120.8929036</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761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32.95215768</w:t>
            </w:r>
          </w:p>
        </w:tc>
      </w:tr>
      <w:tr w14:paraId="1F869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D50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485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D04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18A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川水港闸南侧工程船码头出口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3F9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120.8984786</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E57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32.94946113</w:t>
            </w:r>
          </w:p>
        </w:tc>
      </w:tr>
      <w:tr w14:paraId="36517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CA5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DC6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571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7BC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梁北公司外大圩东北角出海通道</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C25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120.9054112</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8FC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32.9493036</w:t>
            </w:r>
          </w:p>
        </w:tc>
      </w:tr>
      <w:tr w14:paraId="397D1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A72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392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2EB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872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蹲门巴斗交界处港汊</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13D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120.8944932</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ED0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32.93715798</w:t>
            </w:r>
          </w:p>
        </w:tc>
      </w:tr>
      <w:tr w14:paraId="449EA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768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577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DEC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F8F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梁川路蹲门巴斗交界处通海道路</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E90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120.8997959</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B7C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32.91457771</w:t>
            </w:r>
          </w:p>
        </w:tc>
      </w:tr>
      <w:tr w14:paraId="4F2DA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876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AFE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91A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6D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梁川路与梁北公司北区二号路交界处</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FBD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120.9308274</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998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32.9119654</w:t>
            </w:r>
          </w:p>
        </w:tc>
      </w:tr>
      <w:tr w14:paraId="18702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8BC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FFC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57C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DC5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蹲门中心路与麋鹿线交界处（蹲西西首）</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A0B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120.842027</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C75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32.95782076</w:t>
            </w:r>
          </w:p>
        </w:tc>
      </w:tr>
      <w:tr w14:paraId="34C46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A0D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0CE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FA6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9A8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蹲门巴斗交界处港汊北侧下海通道路口</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F7E8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120.9306799</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38FC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32.91452863</w:t>
            </w:r>
          </w:p>
        </w:tc>
      </w:tr>
      <w:tr w14:paraId="0E127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39E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A6D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东台河闸派出所</w:t>
            </w:r>
          </w:p>
        </w:tc>
        <w:tc>
          <w:tcPr>
            <w:tcW w:w="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9A5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海防</w:t>
            </w:r>
          </w:p>
        </w:tc>
        <w:tc>
          <w:tcPr>
            <w:tcW w:w="3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2F56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川水港闸南侧工程船码头</w:t>
            </w:r>
          </w:p>
        </w:tc>
        <w:tc>
          <w:tcPr>
            <w:tcW w:w="14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24A5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120.900498</w:t>
            </w:r>
          </w:p>
        </w:tc>
        <w:tc>
          <w:tcPr>
            <w:tcW w:w="16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A50C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32.95252031</w:t>
            </w:r>
          </w:p>
        </w:tc>
      </w:tr>
    </w:tbl>
    <w:p w14:paraId="6D37FDEB">
      <w:pPr>
        <w:rPr>
          <w:rFonts w:hint="default"/>
          <w:lang w:val="en-US" w:eastAsia="zh-CN"/>
        </w:rPr>
      </w:pPr>
    </w:p>
    <w:p w14:paraId="3D0F294F">
      <w:pPr>
        <w:keepNext w:val="0"/>
        <w:keepLines w:val="0"/>
        <w:pageBreakBefore w:val="0"/>
        <w:widowControl w:val="0"/>
        <w:spacing w:line="360" w:lineRule="auto"/>
        <w:ind w:firstLine="480"/>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3、售后服务：</w:t>
      </w:r>
    </w:p>
    <w:p w14:paraId="78A9C48A">
      <w:pPr>
        <w:keepNext w:val="0"/>
        <w:keepLines w:val="0"/>
        <w:pageBreakBefore w:val="0"/>
        <w:widowControl w:val="0"/>
        <w:spacing w:line="360" w:lineRule="auto"/>
        <w:ind w:firstLine="480"/>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lang w:val="en-US" w:eastAsia="zh-CN"/>
        </w:rPr>
        <w:t>3.1质量保证期：三年。（其中杆件产品质保期为20年。质保期以设备最终验收之日起算。合同签订前提供“附件：主要设备技术参数要求”中设备的3年原厂质保函和杆件产品20年原厂质保函）（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p>
    <w:p w14:paraId="269CADC3">
      <w:pPr>
        <w:keepNext w:val="0"/>
        <w:keepLines w:val="0"/>
        <w:pageBreakBefore w:val="0"/>
        <w:widowControl w:val="0"/>
        <w:spacing w:line="360" w:lineRule="auto"/>
        <w:ind w:firstLine="480"/>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3.2在质量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w:t>
      </w:r>
    </w:p>
    <w:p w14:paraId="37084D41">
      <w:pPr>
        <w:keepNext w:val="0"/>
        <w:keepLines w:val="0"/>
        <w:pageBreakBefore w:val="0"/>
        <w:widowControl w:val="0"/>
        <w:spacing w:line="360" w:lineRule="auto"/>
        <w:ind w:firstLine="480"/>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3.3质量保证期满后，供应商和厂家应同样提供免费电话咨询服务，并以优惠价格提供售后服务；</w:t>
      </w:r>
    </w:p>
    <w:p w14:paraId="5FC5A6AA">
      <w:pPr>
        <w:keepNext w:val="0"/>
        <w:keepLines w:val="0"/>
        <w:pageBreakBefore w:val="0"/>
        <w:widowControl w:val="0"/>
        <w:spacing w:line="360" w:lineRule="auto"/>
        <w:ind w:firstLine="480"/>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3.4</w:t>
      </w:r>
      <w:r>
        <w:rPr>
          <w:rFonts w:hint="eastAsia" w:ascii="宋体" w:hAnsi="宋体" w:eastAsia="宋体" w:cs="宋体"/>
          <w:color w:val="000000"/>
          <w:sz w:val="24"/>
          <w:szCs w:val="24"/>
          <w:highlight w:val="white"/>
          <w:lang w:val="en-US" w:eastAsia="zh-CN"/>
        </w:rPr>
        <w:t>如甲方使用不当造成货物的毁损，乙方有义务协助维修。</w:t>
      </w:r>
    </w:p>
    <w:p w14:paraId="3448C693">
      <w:pPr>
        <w:keepNext w:val="0"/>
        <w:keepLines w:val="0"/>
        <w:pageBreakBefore w:val="0"/>
        <w:widowControl w:val="0"/>
        <w:spacing w:line="360" w:lineRule="auto"/>
        <w:ind w:firstLine="480"/>
        <w:rPr>
          <w:rFonts w:hint="eastAsia" w:ascii="宋体" w:hAnsi="宋体" w:eastAsia="宋体" w:cs="宋体"/>
          <w:b/>
          <w:bCs/>
          <w:sz w:val="24"/>
          <w:szCs w:val="24"/>
          <w:highlight w:val="white"/>
          <w:lang w:val="en-US" w:eastAsia="zh-CN"/>
        </w:rPr>
      </w:pPr>
      <w:r>
        <w:rPr>
          <w:rFonts w:hint="eastAsia" w:ascii="宋体" w:hAnsi="宋体" w:eastAsia="宋体" w:cs="宋体"/>
          <w:b/>
          <w:bCs/>
          <w:sz w:val="24"/>
          <w:szCs w:val="24"/>
          <w:highlight w:val="white"/>
          <w:lang w:val="en-US" w:eastAsia="zh-CN"/>
        </w:rPr>
        <w:t>4、本项目</w:t>
      </w:r>
      <w:r>
        <w:rPr>
          <w:rFonts w:hint="eastAsia" w:ascii="宋体" w:hAnsi="宋体" w:eastAsia="宋体" w:cs="宋体"/>
          <w:b/>
          <w:bCs/>
          <w:sz w:val="24"/>
          <w:szCs w:val="24"/>
          <w:highlight w:val="white"/>
          <w:u w:val="single"/>
          <w:lang w:val="en-US" w:eastAsia="zh-CN"/>
        </w:rPr>
        <w:t>不接受</w:t>
      </w:r>
      <w:r>
        <w:rPr>
          <w:rFonts w:hint="eastAsia" w:ascii="宋体" w:hAnsi="宋体" w:eastAsia="宋体" w:cs="宋体"/>
          <w:b/>
          <w:bCs/>
          <w:sz w:val="24"/>
          <w:szCs w:val="24"/>
          <w:highlight w:val="white"/>
          <w:lang w:val="en-US" w:eastAsia="zh-CN"/>
        </w:rPr>
        <w:t>进口产品投标。</w:t>
      </w:r>
    </w:p>
    <w:p w14:paraId="2DFC3717">
      <w:pPr>
        <w:keepNext w:val="0"/>
        <w:keepLines w:val="0"/>
        <w:pageBreakBefore w:val="0"/>
        <w:widowControl w:val="0"/>
        <w:spacing w:line="360" w:lineRule="auto"/>
        <w:ind w:firstLine="480"/>
        <w:rPr>
          <w:rFonts w:hint="eastAsia" w:ascii="宋体" w:hAnsi="宋体" w:eastAsia="宋体" w:cs="宋体"/>
          <w:b/>
          <w:bCs/>
          <w:sz w:val="24"/>
          <w:szCs w:val="24"/>
          <w:highlight w:val="white"/>
          <w:lang w:val="en-US" w:eastAsia="zh-CN"/>
        </w:rPr>
      </w:pPr>
      <w:r>
        <w:rPr>
          <w:rFonts w:hint="eastAsia" w:ascii="宋体" w:hAnsi="宋体" w:eastAsia="宋体" w:cs="宋体"/>
          <w:b/>
          <w:bCs/>
          <w:sz w:val="24"/>
          <w:szCs w:val="24"/>
          <w:highlight w:val="white"/>
          <w:lang w:val="en-US" w:eastAsia="zh-CN"/>
        </w:rPr>
        <w:t>5、采购标的对应的中小企业划分标准所属行业一览表</w:t>
      </w:r>
    </w:p>
    <w:tbl>
      <w:tblPr>
        <w:tblStyle w:val="36"/>
        <w:tblW w:w="8522" w:type="dxa"/>
        <w:tblCellSpacing w:w="0" w:type="dxa"/>
        <w:tblInd w:w="10" w:type="dxa"/>
        <w:tblLayout w:type="autofit"/>
        <w:tblCellMar>
          <w:top w:w="0" w:type="dxa"/>
          <w:left w:w="108" w:type="dxa"/>
          <w:bottom w:w="0" w:type="dxa"/>
          <w:right w:w="108" w:type="dxa"/>
        </w:tblCellMar>
      </w:tblPr>
      <w:tblGrid>
        <w:gridCol w:w="1107"/>
        <w:gridCol w:w="3439"/>
        <w:gridCol w:w="3976"/>
      </w:tblGrid>
      <w:tr w14:paraId="2266103D">
        <w:tblPrEx>
          <w:tblCellMar>
            <w:top w:w="0" w:type="dxa"/>
            <w:left w:w="108" w:type="dxa"/>
            <w:bottom w:w="0" w:type="dxa"/>
            <w:right w:w="108" w:type="dxa"/>
          </w:tblCellMar>
        </w:tblPrEx>
        <w:trPr>
          <w:trHeight w:val="444" w:hRule="atLeast"/>
          <w:tblHeader/>
          <w:tblCellSpacing w:w="0" w:type="dxa"/>
        </w:trPr>
        <w:tc>
          <w:tcPr>
            <w:tcW w:w="11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888C45">
            <w:pPr>
              <w:pStyle w:val="34"/>
              <w:spacing w:beforeAutospacing="0" w:afterAutospacing="0" w:line="240" w:lineRule="auto"/>
              <w:ind w:left="0" w:right="0" w:firstLine="0"/>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序号</w:t>
            </w:r>
          </w:p>
        </w:tc>
        <w:tc>
          <w:tcPr>
            <w:tcW w:w="34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CB2D7D">
            <w:pPr>
              <w:pStyle w:val="34"/>
              <w:spacing w:beforeAutospacing="0" w:afterAutospacing="0" w:line="240" w:lineRule="auto"/>
              <w:ind w:left="0" w:right="0" w:firstLine="0"/>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采购标的</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237770">
            <w:pPr>
              <w:pStyle w:val="34"/>
              <w:spacing w:beforeAutospacing="0" w:afterAutospacing="0" w:line="240" w:lineRule="auto"/>
              <w:ind w:left="0" w:right="0" w:firstLine="0"/>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对应中小企业划分标准所属行业</w:t>
            </w:r>
          </w:p>
        </w:tc>
      </w:tr>
      <w:tr w14:paraId="099EAFE2">
        <w:tblPrEx>
          <w:tblCellMar>
            <w:top w:w="0" w:type="dxa"/>
            <w:left w:w="108" w:type="dxa"/>
            <w:bottom w:w="0" w:type="dxa"/>
            <w:right w:w="108" w:type="dxa"/>
          </w:tblCellMar>
        </w:tblPrEx>
        <w:trPr>
          <w:trHeight w:val="445" w:hRule="atLeast"/>
          <w:tblCellSpacing w:w="0" w:type="dxa"/>
        </w:trPr>
        <w:tc>
          <w:tcPr>
            <w:tcW w:w="11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A5A3E2">
            <w:pPr>
              <w:pStyle w:val="34"/>
              <w:spacing w:beforeAutospacing="0" w:afterAutospacing="0" w:line="240" w:lineRule="auto"/>
              <w:ind w:left="0" w:righ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p>
        </w:tc>
        <w:tc>
          <w:tcPr>
            <w:tcW w:w="34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0A3F00">
            <w:pPr>
              <w:pStyle w:val="34"/>
              <w:spacing w:beforeAutospacing="0" w:afterAutospacing="0" w:line="240" w:lineRule="auto"/>
              <w:ind w:left="0" w:righ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东台市海防监控点位建设项目</w:t>
            </w:r>
          </w:p>
        </w:tc>
        <w:tc>
          <w:tcPr>
            <w:tcW w:w="39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7A9674">
            <w:pPr>
              <w:pStyle w:val="34"/>
              <w:spacing w:beforeAutospacing="0" w:afterAutospacing="0" w:line="240" w:lineRule="auto"/>
              <w:ind w:left="0" w:right="0" w:firstLine="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详见采购内容备注栏“所属行业”</w:t>
            </w:r>
          </w:p>
        </w:tc>
      </w:tr>
    </w:tbl>
    <w:p w14:paraId="3D404962">
      <w:bookmarkStart w:id="196" w:name="_Toc120614281"/>
    </w:p>
    <w:p w14:paraId="11CCBC82">
      <w:pPr>
        <w:rPr>
          <w:rFonts w:hint="eastAsia" w:ascii="黑体" w:hAnsi="宋体" w:eastAsia="黑体" w:cs="黑体"/>
          <w:color w:val="000000"/>
          <w:sz w:val="44"/>
          <w:szCs w:val="44"/>
          <w:highlight w:val="none"/>
        </w:rPr>
      </w:pPr>
    </w:p>
    <w:p w14:paraId="60636E5D">
      <w:pPr>
        <w:rPr>
          <w:rFonts w:hint="eastAsia" w:ascii="黑体" w:hAnsi="宋体" w:eastAsia="黑体" w:cs="黑体"/>
          <w:color w:val="000000"/>
          <w:sz w:val="44"/>
          <w:szCs w:val="44"/>
          <w:highlight w:val="none"/>
        </w:rPr>
      </w:pPr>
    </w:p>
    <w:p w14:paraId="60836405">
      <w:pPr>
        <w:rPr>
          <w:rFonts w:hint="eastAsia" w:ascii="黑体" w:hAnsi="宋体" w:eastAsia="黑体" w:cs="黑体"/>
          <w:color w:val="000000"/>
          <w:sz w:val="44"/>
          <w:szCs w:val="44"/>
          <w:highlight w:val="none"/>
        </w:rPr>
      </w:pPr>
    </w:p>
    <w:p w14:paraId="65743F4C">
      <w:pPr>
        <w:rPr>
          <w:rFonts w:hint="eastAsia" w:ascii="黑体" w:hAnsi="宋体" w:eastAsia="黑体" w:cs="黑体"/>
          <w:color w:val="000000"/>
          <w:sz w:val="44"/>
          <w:szCs w:val="44"/>
          <w:highlight w:val="none"/>
        </w:rPr>
      </w:pPr>
    </w:p>
    <w:p w14:paraId="428E9FE7">
      <w:pPr>
        <w:rPr>
          <w:rFonts w:hint="eastAsia" w:ascii="黑体" w:hAnsi="宋体" w:eastAsia="黑体" w:cs="黑体"/>
          <w:color w:val="000000"/>
          <w:sz w:val="44"/>
          <w:szCs w:val="44"/>
          <w:highlight w:val="none"/>
        </w:rPr>
      </w:pPr>
    </w:p>
    <w:p w14:paraId="6062FD50">
      <w:pPr>
        <w:rPr>
          <w:rFonts w:hint="eastAsia" w:ascii="黑体" w:hAnsi="宋体" w:eastAsia="黑体" w:cs="黑体"/>
          <w:color w:val="000000"/>
          <w:sz w:val="44"/>
          <w:szCs w:val="44"/>
          <w:highlight w:val="none"/>
        </w:rPr>
      </w:pPr>
    </w:p>
    <w:p w14:paraId="3D69F072">
      <w:pPr>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评标方法与评标标准</w:t>
      </w:r>
    </w:p>
    <w:p w14:paraId="0D2FF668">
      <w:pPr>
        <w:pStyle w:val="34"/>
        <w:spacing w:beforeAutospacing="0" w:afterAutospacing="0"/>
        <w:jc w:val="both"/>
        <w:rPr>
          <w:highlight w:val="none"/>
        </w:rPr>
      </w:pPr>
      <w:r>
        <w:rPr>
          <w:highlight w:val="none"/>
        </w:rPr>
        <w:t> </w:t>
      </w:r>
    </w:p>
    <w:p w14:paraId="5417982B">
      <w:pPr>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64A3B50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bCs/>
          <w:color w:val="000000"/>
          <w:sz w:val="24"/>
          <w:szCs w:val="24"/>
          <w:highlight w:val="none"/>
          <w:lang w:eastAsia="zh-CN"/>
        </w:rPr>
        <w:t>，</w:t>
      </w:r>
      <w:r>
        <w:rPr>
          <w:rFonts w:hint="eastAsia" w:ascii="宋体" w:hAnsi="宋体" w:eastAsia="宋体" w:cs="宋体"/>
          <w:color w:val="00000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并列</w:t>
      </w:r>
      <w:r>
        <w:rPr>
          <w:rFonts w:hint="eastAsia" w:ascii="宋体" w:hAnsi="宋体" w:eastAsia="宋体" w:cs="宋体"/>
          <w:color w:val="000000"/>
          <w:sz w:val="24"/>
          <w:szCs w:val="24"/>
          <w:highlight w:val="none"/>
        </w:rPr>
        <w:t>。投标文件满足招标文件全部实质性要求，且按照评审因素的量化指标评审得分最高的投标人为排名第一的中标候选人，本项目选取</w:t>
      </w:r>
      <w:r>
        <w:rPr>
          <w:rFonts w:hint="eastAsia" w:ascii="宋体" w:hAnsi="宋体" w:eastAsia="宋体" w:cs="宋体"/>
          <w:b/>
          <w:bCs/>
          <w:color w:val="000000"/>
          <w:sz w:val="24"/>
          <w:szCs w:val="24"/>
          <w:highlight w:val="none"/>
          <w:u w:val="single"/>
        </w:rPr>
        <w:t>1</w:t>
      </w:r>
      <w:r>
        <w:rPr>
          <w:rFonts w:hint="eastAsia" w:ascii="宋体" w:hAnsi="宋体" w:eastAsia="宋体" w:cs="宋体"/>
          <w:color w:val="000000"/>
          <w:sz w:val="24"/>
          <w:szCs w:val="24"/>
          <w:highlight w:val="none"/>
        </w:rPr>
        <w:t>名中标候选人。</w:t>
      </w:r>
    </w:p>
    <w:p w14:paraId="4D8664ED">
      <w:pPr>
        <w:pStyle w:val="34"/>
        <w:spacing w:before="120" w:beforeAutospacing="0" w:after="120" w:afterAutospacing="0" w:line="360" w:lineRule="auto"/>
        <w:ind w:firstLine="441"/>
        <w:rPr>
          <w:rFonts w:hint="eastAsia" w:ascii="宋体" w:hAnsi="宋体" w:eastAsia="宋体" w:cs="宋体"/>
          <w:highlight w:val="none"/>
        </w:rPr>
      </w:pPr>
      <w:r>
        <w:rPr>
          <w:rFonts w:hint="eastAsia" w:ascii="宋体" w:hAnsi="宋体" w:eastAsia="宋体" w:cs="宋体"/>
          <w:b/>
          <w:color w:val="000000"/>
          <w:highlight w:val="none"/>
          <w:lang w:val="en-US" w:eastAsia="zh-CN"/>
        </w:rPr>
        <w:t>二、</w:t>
      </w:r>
      <w:r>
        <w:rPr>
          <w:rFonts w:hint="eastAsia" w:ascii="宋体" w:hAnsi="宋体" w:eastAsia="宋体" w:cs="宋体"/>
          <w:b/>
          <w:color w:val="000000"/>
          <w:highlight w:val="none"/>
        </w:rPr>
        <w:t>政府采购政策功能落实</w:t>
      </w:r>
    </w:p>
    <w:p w14:paraId="64A7F0CA">
      <w:pPr>
        <w:pStyle w:val="34"/>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1、小微型企业价格扣除</w:t>
      </w:r>
    </w:p>
    <w:p w14:paraId="2D1FF220">
      <w:pPr>
        <w:pStyle w:val="194"/>
        <w:ind w:firstLine="360"/>
        <w:rPr>
          <w:rFonts w:hint="eastAsia" w:ascii="宋体" w:hAnsi="宋体" w:eastAsia="宋体" w:cs="宋体"/>
          <w:highlight w:val="none"/>
        </w:rPr>
      </w:pPr>
      <w:r>
        <w:rPr>
          <w:rFonts w:hint="eastAsia" w:ascii="宋体" w:hAnsi="宋体" w:eastAsia="宋体" w:cs="宋体"/>
          <w:highlight w:val="none"/>
        </w:rPr>
        <w:t>（1）本项目若不专门面向中小企业采购，对</w:t>
      </w:r>
      <w:r>
        <w:rPr>
          <w:rFonts w:hint="eastAsia" w:ascii="宋体" w:hAnsi="宋体" w:eastAsia="宋体" w:cs="宋体"/>
          <w:highlight w:val="none"/>
          <w:lang w:val="en-US" w:eastAsia="zh-CN"/>
        </w:rPr>
        <w:t>符合规定的</w:t>
      </w:r>
      <w:r>
        <w:rPr>
          <w:rFonts w:hint="eastAsia" w:ascii="宋体" w:hAnsi="宋体" w:eastAsia="宋体" w:cs="宋体"/>
          <w:highlight w:val="none"/>
        </w:rPr>
        <w:t>小型和微型企业</w:t>
      </w:r>
      <w:r>
        <w:rPr>
          <w:rFonts w:hint="eastAsia" w:ascii="宋体" w:hAnsi="宋体" w:eastAsia="宋体" w:cs="宋体"/>
          <w:highlight w:val="none"/>
          <w:lang w:val="en-US" w:eastAsia="zh-CN"/>
        </w:rPr>
        <w:t>报价</w:t>
      </w:r>
      <w:r>
        <w:rPr>
          <w:rFonts w:hint="eastAsia" w:ascii="宋体" w:hAnsi="宋体" w:eastAsia="宋体" w:cs="宋体"/>
          <w:highlight w:val="none"/>
        </w:rPr>
        <w:t>给予20%的扣除价格，用扣除后的价格参与评审；若专门面向中小企业采购，不再对小型和微型企业</w:t>
      </w:r>
      <w:r>
        <w:rPr>
          <w:rFonts w:hint="eastAsia" w:ascii="宋体" w:hAnsi="宋体" w:eastAsia="宋体" w:cs="宋体"/>
          <w:highlight w:val="none"/>
          <w:lang w:val="en-US" w:eastAsia="zh-CN"/>
        </w:rPr>
        <w:t>报价</w:t>
      </w:r>
      <w:r>
        <w:rPr>
          <w:rFonts w:hint="eastAsia" w:ascii="宋体" w:hAnsi="宋体" w:eastAsia="宋体" w:cs="宋体"/>
          <w:highlight w:val="none"/>
        </w:rPr>
        <w:t>给予价格扣除。</w:t>
      </w:r>
    </w:p>
    <w:p w14:paraId="0583D52A">
      <w:pPr>
        <w:pStyle w:val="194"/>
        <w:ind w:firstLine="360"/>
        <w:rPr>
          <w:rFonts w:hint="eastAsia" w:ascii="宋体" w:hAnsi="宋体" w:eastAsia="宋体" w:cs="宋体"/>
          <w:highlight w:val="none"/>
        </w:rPr>
      </w:pPr>
      <w:r>
        <w:rPr>
          <w:rFonts w:hint="eastAsia" w:ascii="宋体" w:hAnsi="宋体" w:eastAsia="宋体" w:cs="宋体"/>
          <w:highlight w:val="none"/>
        </w:rPr>
        <w:t>（2）供应商需按照采购文件的要求提供相应的《</w:t>
      </w:r>
      <w:r>
        <w:rPr>
          <w:rFonts w:hint="eastAsia" w:ascii="宋体" w:hAnsi="宋体" w:eastAsia="宋体" w:cs="宋体"/>
          <w:highlight w:val="none"/>
          <w:lang w:val="en-US" w:eastAsia="zh-CN"/>
        </w:rPr>
        <w:t>中小</w:t>
      </w:r>
      <w:r>
        <w:rPr>
          <w:rFonts w:hint="eastAsia" w:ascii="宋体" w:hAnsi="宋体" w:eastAsia="宋体" w:cs="宋体"/>
          <w:highlight w:val="none"/>
        </w:rPr>
        <w:t>企业声明函》。</w:t>
      </w:r>
    </w:p>
    <w:p w14:paraId="351F887A">
      <w:pPr>
        <w:pStyle w:val="194"/>
        <w:ind w:firstLine="360"/>
        <w:rPr>
          <w:rFonts w:hint="eastAsia" w:ascii="宋体" w:hAnsi="宋体" w:eastAsia="宋体" w:cs="宋体"/>
          <w:highlight w:val="none"/>
        </w:rPr>
      </w:pPr>
      <w:r>
        <w:rPr>
          <w:rFonts w:hint="eastAsia" w:ascii="宋体" w:hAnsi="宋体" w:eastAsia="宋体" w:cs="宋体"/>
          <w:highlight w:val="none"/>
        </w:rPr>
        <w:t>（3）企业标准请参照《关于印发中小企业划型标准规定的通知》（工信部联企业</w:t>
      </w:r>
      <w:r>
        <w:rPr>
          <w:rFonts w:hint="eastAsia" w:ascii="宋体" w:hAnsi="宋体" w:eastAsia="宋体" w:cs="宋体"/>
          <w:highlight w:val="none"/>
          <w:lang w:eastAsia="zh-CN"/>
        </w:rPr>
        <w:t>〔2011〕300号</w:t>
      </w:r>
      <w:r>
        <w:rPr>
          <w:rFonts w:hint="eastAsia" w:ascii="宋体" w:hAnsi="宋体" w:eastAsia="宋体" w:cs="宋体"/>
          <w:highlight w:val="none"/>
        </w:rPr>
        <w:t>）文件规定自行填写。</w:t>
      </w:r>
    </w:p>
    <w:p w14:paraId="302002DA">
      <w:pPr>
        <w:pStyle w:val="34"/>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2、残疾人福利单位价格扣除</w:t>
      </w:r>
    </w:p>
    <w:p w14:paraId="67C69273">
      <w:pPr>
        <w:pStyle w:val="34"/>
        <w:spacing w:before="120" w:beforeAutospacing="0" w:after="120" w:afterAutospacing="0" w:line="0" w:lineRule="atLeast"/>
        <w:ind w:left="120" w:firstLine="360"/>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（1）本项目对残疾人福利性单位视同小型、微型企业，给予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2E7A8966">
      <w:pPr>
        <w:pStyle w:val="34"/>
        <w:spacing w:before="120" w:beforeAutospacing="0" w:after="120" w:afterAutospacing="0" w:line="0" w:lineRule="atLeast"/>
        <w:ind w:left="120" w:firstLine="360"/>
        <w:rPr>
          <w:rFonts w:hint="eastAsia" w:ascii="宋体" w:hAnsi="宋体" w:eastAsia="宋体" w:cs="宋体"/>
          <w:highlight w:val="none"/>
        </w:rPr>
      </w:pPr>
      <w:r>
        <w:rPr>
          <w:rFonts w:hint="eastAsia" w:ascii="宋体" w:hAnsi="宋体" w:eastAsia="宋体" w:cs="宋体"/>
          <w:color w:val="000000"/>
          <w:highlight w:val="none"/>
        </w:rPr>
        <w:t>（2）残疾人福利单位需按照采购文件的要求提供《残疾人福利性单位声明函》。</w:t>
      </w:r>
    </w:p>
    <w:p w14:paraId="3E374B8D">
      <w:pPr>
        <w:pStyle w:val="34"/>
        <w:spacing w:before="120" w:beforeAutospacing="0" w:after="120" w:afterAutospacing="0" w:line="0" w:lineRule="atLeast"/>
        <w:ind w:left="120" w:firstLine="360"/>
        <w:rPr>
          <w:rFonts w:hint="eastAsia" w:ascii="宋体" w:hAnsi="宋体" w:eastAsia="宋体" w:cs="宋体"/>
          <w:highlight w:val="none"/>
        </w:rPr>
      </w:pPr>
      <w:r>
        <w:rPr>
          <w:rFonts w:hint="eastAsia" w:ascii="宋体" w:hAnsi="宋体" w:eastAsia="宋体" w:cs="宋体"/>
          <w:color w:val="000000"/>
          <w:highlight w:val="none"/>
        </w:rPr>
        <w:t>（3）残疾人福利单位标准请参照《关于促进残疾人就业政府采购政策的通知》（财库〔2017〕141号）。</w:t>
      </w:r>
    </w:p>
    <w:p w14:paraId="3B5FB6BB">
      <w:pPr>
        <w:pStyle w:val="34"/>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3、监狱和戒毒企业价格扣除</w:t>
      </w:r>
    </w:p>
    <w:p w14:paraId="32A3710C">
      <w:pPr>
        <w:pStyle w:val="34"/>
        <w:spacing w:before="120" w:beforeAutospacing="0" w:after="120" w:afterAutospacing="0" w:line="0" w:lineRule="atLeast"/>
        <w:ind w:left="120" w:firstLine="360"/>
        <w:rPr>
          <w:rFonts w:hint="eastAsia" w:ascii="宋体" w:hAnsi="宋体" w:eastAsia="宋体" w:cs="宋体"/>
          <w:color w:val="000000"/>
          <w:highlight w:val="none"/>
          <w:u w:val="single"/>
        </w:rPr>
      </w:pPr>
      <w:r>
        <w:rPr>
          <w:rFonts w:hint="eastAsia" w:ascii="宋体" w:hAnsi="宋体" w:eastAsia="宋体" w:cs="宋体"/>
          <w:color w:val="000000"/>
          <w:highlight w:val="none"/>
        </w:rPr>
        <w:t>（1）本项目对监狱和戒毒企业（简称监狱企业）视同小型、微型企业，给予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43631D66">
      <w:pPr>
        <w:pStyle w:val="34"/>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（2）监狱企业参加政府采购活动时，需提供由省级以上监狱管理局、戒毒管理局(含新疆生产建设兵团)出具的属于监狱企业的证明文件。供应商如不提供上述证明文件，价格将不做相应扣除。</w:t>
      </w:r>
    </w:p>
    <w:p w14:paraId="2D57706E">
      <w:pPr>
        <w:pStyle w:val="34"/>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（3）监狱企业标准请参照《关于政府采购支持监狱企业发展有关问题的通知》（财库</w:t>
      </w:r>
      <w:r>
        <w:rPr>
          <w:rFonts w:hint="eastAsia" w:ascii="宋体" w:hAnsi="宋体" w:eastAsia="宋体" w:cs="宋体"/>
          <w:color w:val="000000"/>
          <w:highlight w:val="none"/>
          <w:lang w:eastAsia="zh-CN"/>
        </w:rPr>
        <w:t>〔2014〕68号</w:t>
      </w:r>
      <w:r>
        <w:rPr>
          <w:rFonts w:hint="eastAsia" w:ascii="宋体" w:hAnsi="宋体" w:eastAsia="宋体" w:cs="宋体"/>
          <w:color w:val="000000"/>
          <w:highlight w:val="none"/>
        </w:rPr>
        <w:t>）。</w:t>
      </w:r>
    </w:p>
    <w:p w14:paraId="65D31D09">
      <w:pPr>
        <w:pStyle w:val="34"/>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4、残疾人福利单位、监狱企业属于小型、微型企业的，不重复享受政策。</w:t>
      </w:r>
    </w:p>
    <w:p w14:paraId="1088E0A2">
      <w:pPr>
        <w:pStyle w:val="34"/>
        <w:spacing w:before="120" w:beforeAutospacing="0" w:after="120" w:afterAutospacing="0" w:line="0" w:lineRule="atLeast"/>
        <w:ind w:firstLine="480"/>
        <w:rPr>
          <w:rFonts w:hint="eastAsia" w:ascii="宋体" w:hAnsi="宋体" w:eastAsia="宋体" w:cs="宋体"/>
          <w:color w:val="000000"/>
          <w:highlight w:val="none"/>
        </w:rPr>
      </w:pPr>
      <w:r>
        <w:rPr>
          <w:rFonts w:hint="eastAsia" w:ascii="宋体" w:hAnsi="宋体" w:eastAsia="宋体" w:cs="宋体"/>
          <w:color w:val="000000"/>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6%</w:t>
      </w:r>
      <w:r>
        <w:rPr>
          <w:rFonts w:hint="eastAsia" w:ascii="宋体" w:hAnsi="宋体" w:eastAsia="宋体" w:cs="宋体"/>
          <w:color w:val="000000"/>
          <w:highlight w:val="none"/>
        </w:rPr>
        <w:t>的价格扣除，用扣除后的价格参与评审。</w:t>
      </w:r>
    </w:p>
    <w:p w14:paraId="6D1C9BA1">
      <w:pPr>
        <w:pStyle w:val="34"/>
        <w:spacing w:before="120" w:beforeAutospacing="0" w:after="120" w:afterAutospacing="0" w:line="0" w:lineRule="atLeast"/>
        <w:ind w:left="120" w:firstLine="360"/>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6、联合体各方均为小型、微型企业（残疾人福利单位、监狱企业）的，联合体享受</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5411139B">
      <w:pPr>
        <w:spacing w:line="400" w:lineRule="exact"/>
        <w:ind w:firstLine="482"/>
        <w:jc w:val="left"/>
        <w:rPr>
          <w:rFonts w:hint="eastAsia" w:ascii="宋体" w:hAnsi="宋体" w:eastAsia="宋体" w:cs="宋体"/>
          <w:b w:val="0"/>
          <w:bCs w:val="0"/>
          <w:color w:val="4472C4" w:themeColor="accent5"/>
          <w:sz w:val="24"/>
          <w:szCs w:val="24"/>
          <w:highlight w:val="none"/>
          <w14:textFill>
            <w14:solidFill>
              <w14:schemeClr w14:val="accent5"/>
            </w14:solidFill>
          </w14:textFill>
        </w:rPr>
      </w:pPr>
      <w:r>
        <w:rPr>
          <w:rFonts w:hint="eastAsia" w:ascii="宋体" w:hAnsi="宋体" w:eastAsia="宋体" w:cs="宋体"/>
          <w:b w:val="0"/>
          <w:bCs w:val="0"/>
          <w:color w:val="4472C4" w:themeColor="accent5"/>
          <w:sz w:val="24"/>
          <w:szCs w:val="24"/>
          <w:highlight w:val="none"/>
          <w14:textFill>
            <w14:solidFill>
              <w14:schemeClr w14:val="accent5"/>
            </w14:solidFill>
          </w14:textFill>
        </w:rPr>
        <w:t>7、采购本国产品的支持政策</w:t>
      </w:r>
    </w:p>
    <w:p w14:paraId="45251357">
      <w:pPr>
        <w:spacing w:line="400" w:lineRule="exact"/>
        <w:ind w:firstLine="482"/>
        <w:jc w:val="left"/>
        <w:rPr>
          <w:rFonts w:hint="eastAsia" w:ascii="宋体" w:hAnsi="宋体" w:eastAsia="宋体" w:cs="宋体"/>
          <w:b w:val="0"/>
          <w:bCs w:val="0"/>
          <w:color w:val="4472C4" w:themeColor="accent5"/>
          <w:sz w:val="24"/>
          <w:szCs w:val="24"/>
          <w:highlight w:val="none"/>
          <w14:textFill>
            <w14:solidFill>
              <w14:schemeClr w14:val="accent5"/>
            </w14:solidFill>
          </w14:textFill>
        </w:rPr>
      </w:pPr>
      <w:r>
        <w:rPr>
          <w:rFonts w:hint="eastAsia" w:ascii="宋体" w:hAnsi="宋体" w:eastAsia="宋体" w:cs="宋体"/>
          <w:b w:val="0"/>
          <w:bCs w:val="0"/>
          <w:color w:val="4472C4" w:themeColor="accent5"/>
          <w:sz w:val="24"/>
          <w:szCs w:val="24"/>
          <w:highlight w:val="none"/>
          <w14:textFill>
            <w14:solidFill>
              <w14:schemeClr w14:val="accent5"/>
            </w14:solidFill>
          </w14:textFill>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val="0"/>
          <w:bCs w:val="0"/>
          <w:color w:val="4472C4" w:themeColor="accent5"/>
          <w:sz w:val="24"/>
          <w:szCs w:val="24"/>
          <w:highlight w:val="none"/>
          <w:u w:val="single"/>
          <w14:textFill>
            <w14:solidFill>
              <w14:schemeClr w14:val="accent5"/>
            </w14:solidFill>
          </w14:textFill>
        </w:rPr>
        <w:t>20%</w:t>
      </w:r>
      <w:r>
        <w:rPr>
          <w:rFonts w:hint="eastAsia" w:ascii="宋体" w:hAnsi="宋体" w:eastAsia="宋体" w:cs="宋体"/>
          <w:b w:val="0"/>
          <w:bCs w:val="0"/>
          <w:color w:val="4472C4" w:themeColor="accent5"/>
          <w:sz w:val="24"/>
          <w:szCs w:val="24"/>
          <w:highlight w:val="none"/>
          <w14:textFill>
            <w14:solidFill>
              <w14:schemeClr w14:val="accent5"/>
            </w14:solidFill>
          </w14:textFill>
        </w:rPr>
        <w:t>的价格扣除，用扣除后的价格参与评审。</w:t>
      </w:r>
    </w:p>
    <w:p w14:paraId="557950B7">
      <w:pPr>
        <w:spacing w:line="400" w:lineRule="exact"/>
        <w:ind w:firstLine="482"/>
        <w:jc w:val="left"/>
        <w:rPr>
          <w:rFonts w:hint="eastAsia" w:ascii="宋体" w:hAnsi="宋体" w:eastAsia="宋体" w:cs="宋体"/>
          <w:b w:val="0"/>
          <w:bCs w:val="0"/>
          <w:color w:val="4472C4" w:themeColor="accent5"/>
          <w:sz w:val="24"/>
          <w:szCs w:val="24"/>
          <w:highlight w:val="none"/>
          <w14:textFill>
            <w14:solidFill>
              <w14:schemeClr w14:val="accent5"/>
            </w14:solidFill>
          </w14:textFill>
        </w:rPr>
      </w:pPr>
      <w:r>
        <w:rPr>
          <w:rFonts w:hint="eastAsia" w:ascii="宋体" w:hAnsi="宋体" w:eastAsia="宋体" w:cs="宋体"/>
          <w:b w:val="0"/>
          <w:bCs w:val="0"/>
          <w:color w:val="4472C4" w:themeColor="accent5"/>
          <w:sz w:val="24"/>
          <w:szCs w:val="24"/>
          <w:highlight w:val="none"/>
          <w14:textFill>
            <w14:solidFill>
              <w14:schemeClr w14:val="accent5"/>
            </w14:solidFill>
          </w14:textFill>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4472C4" w:themeColor="accent5"/>
          <w:sz w:val="24"/>
          <w:szCs w:val="24"/>
          <w:highlight w:val="none"/>
          <w:u w:val="single"/>
          <w14:textFill>
            <w14:solidFill>
              <w14:schemeClr w14:val="accent5"/>
            </w14:solidFill>
          </w14:textFill>
        </w:rPr>
        <w:t>80%</w:t>
      </w:r>
      <w:r>
        <w:rPr>
          <w:rFonts w:hint="eastAsia" w:ascii="宋体" w:hAnsi="宋体" w:eastAsia="宋体" w:cs="宋体"/>
          <w:b w:val="0"/>
          <w:bCs w:val="0"/>
          <w:color w:val="4472C4" w:themeColor="accent5"/>
          <w:sz w:val="24"/>
          <w:szCs w:val="24"/>
          <w:highlight w:val="none"/>
          <w14:textFill>
            <w14:solidFill>
              <w14:schemeClr w14:val="accent5"/>
            </w14:solidFill>
          </w14:textFill>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4472C4" w:themeColor="accent5"/>
          <w:sz w:val="24"/>
          <w:szCs w:val="24"/>
          <w:highlight w:val="none"/>
          <w:u w:val="single"/>
          <w14:textFill>
            <w14:solidFill>
              <w14:schemeClr w14:val="accent5"/>
            </w14:solidFill>
          </w14:textFill>
        </w:rPr>
        <w:t>20%</w:t>
      </w:r>
      <w:r>
        <w:rPr>
          <w:rFonts w:hint="eastAsia" w:ascii="宋体" w:hAnsi="宋体" w:eastAsia="宋体" w:cs="宋体"/>
          <w:b w:val="0"/>
          <w:bCs w:val="0"/>
          <w:color w:val="4472C4" w:themeColor="accent5"/>
          <w:sz w:val="24"/>
          <w:szCs w:val="24"/>
          <w:highlight w:val="none"/>
          <w14:textFill>
            <w14:solidFill>
              <w14:schemeClr w14:val="accent5"/>
            </w14:solidFill>
          </w14:textFill>
        </w:rPr>
        <w:t>的价格扣除，用扣除后的价格参与评审。供应商未填写比例数值，或比例数值未达到80%的，将不享受本国产品价格评审优惠。</w:t>
      </w:r>
    </w:p>
    <w:p w14:paraId="54AB76C0">
      <w:pPr>
        <w:spacing w:line="400" w:lineRule="exact"/>
        <w:ind w:firstLine="482"/>
        <w:jc w:val="left"/>
        <w:rPr>
          <w:rFonts w:hint="eastAsia" w:ascii="宋体" w:hAnsi="宋体" w:eastAsia="宋体" w:cs="宋体"/>
          <w:b w:val="0"/>
          <w:bCs w:val="0"/>
          <w:color w:val="4472C4" w:themeColor="accent5"/>
          <w:sz w:val="24"/>
          <w:szCs w:val="24"/>
          <w:highlight w:val="none"/>
          <w14:textFill>
            <w14:solidFill>
              <w14:schemeClr w14:val="accent5"/>
            </w14:solidFill>
          </w14:textFill>
        </w:rPr>
      </w:pPr>
      <w:r>
        <w:rPr>
          <w:rFonts w:hint="eastAsia" w:ascii="宋体" w:hAnsi="宋体" w:eastAsia="宋体" w:cs="宋体"/>
          <w:b w:val="0"/>
          <w:bCs w:val="0"/>
          <w:color w:val="4472C4" w:themeColor="accent5"/>
          <w:sz w:val="24"/>
          <w:szCs w:val="24"/>
          <w:highlight w:val="none"/>
          <w14:textFill>
            <w14:solidFill>
              <w14:schemeClr w14:val="accent5"/>
            </w14:solidFill>
          </w14:textFill>
        </w:rPr>
        <w:t>7.3 供应商需按照招标文件的要求提供《关于符合本国产品标准的声明函》（以下简称《声明函》），如不提供将不享受本国产品价格评审优惠。</w:t>
      </w:r>
    </w:p>
    <w:p w14:paraId="380405B7">
      <w:pPr>
        <w:spacing w:line="400" w:lineRule="exact"/>
        <w:ind w:firstLine="482"/>
        <w:jc w:val="left"/>
        <w:rPr>
          <w:rFonts w:hint="eastAsia" w:ascii="宋体" w:hAnsi="宋体" w:eastAsia="宋体" w:cs="宋体"/>
          <w:b w:val="0"/>
          <w:bCs w:val="0"/>
          <w:color w:val="4472C4" w:themeColor="accent5"/>
          <w:sz w:val="24"/>
          <w:szCs w:val="24"/>
          <w:highlight w:val="none"/>
          <w14:textFill>
            <w14:solidFill>
              <w14:schemeClr w14:val="accent5"/>
            </w14:solidFill>
          </w14:textFill>
        </w:rPr>
      </w:pPr>
      <w:r>
        <w:rPr>
          <w:rFonts w:hint="eastAsia" w:ascii="宋体" w:hAnsi="宋体" w:eastAsia="宋体" w:cs="宋体"/>
          <w:b w:val="0"/>
          <w:bCs w:val="0"/>
          <w:color w:val="4472C4" w:themeColor="accent5"/>
          <w:sz w:val="24"/>
          <w:szCs w:val="24"/>
          <w:highlight w:val="none"/>
          <w14:textFill>
            <w14:solidFill>
              <w14:schemeClr w14:val="accent5"/>
            </w14:solidFill>
          </w14:textFill>
        </w:rPr>
        <w:t>7.4 供应商需在《声明函》中逐一、准确填写产品名称、厂名、生产厂址三项信息（《声明函》中用</w:t>
      </w:r>
      <w:r>
        <w:rPr>
          <w:rFonts w:hint="eastAsia" w:ascii="宋体" w:hAnsi="宋体" w:eastAsia="宋体" w:cs="宋体"/>
          <w:b w:val="0"/>
          <w:bCs w:val="0"/>
          <w:color w:val="4472C4" w:themeColor="accent5"/>
          <w:sz w:val="24"/>
          <w:szCs w:val="24"/>
          <w:highlight w:val="none"/>
          <w:lang w:val="en-US" w:eastAsia="zh-CN"/>
          <w14:textFill>
            <w14:solidFill>
              <w14:schemeClr w14:val="accent5"/>
            </w14:solidFill>
          </w14:textFill>
        </w:rPr>
        <w:t>横</w:t>
      </w:r>
      <w:r>
        <w:rPr>
          <w:rFonts w:hint="eastAsia" w:ascii="宋体" w:hAnsi="宋体" w:eastAsia="宋体" w:cs="宋体"/>
          <w:b w:val="0"/>
          <w:bCs w:val="0"/>
          <w:color w:val="4472C4" w:themeColor="accent5"/>
          <w:sz w:val="24"/>
          <w:szCs w:val="24"/>
          <w:highlight w:val="none"/>
          <w14:textFill>
            <w14:solidFill>
              <w14:schemeClr w14:val="accent5"/>
            </w14:solidFill>
          </w14:textFill>
        </w:rPr>
        <w:t>线划除的地方无需填写），三项信息中任意一项未填写的视为该项产品不符合本国产品标准，不享受本国产品价格评审优惠。</w:t>
      </w:r>
    </w:p>
    <w:p w14:paraId="30A0CE61">
      <w:pPr>
        <w:spacing w:line="400" w:lineRule="exact"/>
        <w:ind w:firstLine="482"/>
        <w:jc w:val="left"/>
        <w:rPr>
          <w:rFonts w:hint="eastAsia" w:ascii="宋体" w:hAnsi="宋体" w:eastAsia="宋体" w:cs="宋体"/>
          <w:b w:val="0"/>
          <w:bCs w:val="0"/>
          <w:color w:val="4472C4" w:themeColor="accent5"/>
          <w:highlight w:val="none"/>
          <w:u w:val="single"/>
          <w:lang w:eastAsia="zh-CN"/>
          <w14:textFill>
            <w14:solidFill>
              <w14:schemeClr w14:val="accent5"/>
            </w14:solidFill>
          </w14:textFill>
        </w:rPr>
      </w:pPr>
      <w:r>
        <w:rPr>
          <w:rFonts w:hint="eastAsia" w:ascii="宋体" w:hAnsi="宋体" w:eastAsia="宋体" w:cs="宋体"/>
          <w:b w:val="0"/>
          <w:bCs w:val="0"/>
          <w:color w:val="4472C4" w:themeColor="accent5"/>
          <w:sz w:val="24"/>
          <w:szCs w:val="24"/>
          <w:highlight w:val="none"/>
          <w14:textFill>
            <w14:solidFill>
              <w14:schemeClr w14:val="accent5"/>
            </w14:solidFill>
          </w14:textFill>
        </w:rPr>
        <w:t>7.5 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4472C4" w:themeColor="accent5"/>
          <w:sz w:val="24"/>
          <w:szCs w:val="24"/>
          <w:highlight w:val="none"/>
          <w:lang w:val="en-US" w:eastAsia="zh-CN"/>
          <w14:textFill>
            <w14:solidFill>
              <w14:schemeClr w14:val="accent5"/>
            </w14:solidFill>
          </w14:textFill>
        </w:rPr>
        <w:t>在苏采云系统</w:t>
      </w:r>
      <w:r>
        <w:rPr>
          <w:rFonts w:hint="eastAsia" w:ascii="宋体" w:hAnsi="宋体" w:eastAsia="宋体" w:cs="宋体"/>
          <w:b w:val="0"/>
          <w:bCs w:val="0"/>
          <w:color w:val="4472C4" w:themeColor="accent5"/>
          <w:sz w:val="24"/>
          <w:szCs w:val="24"/>
          <w:highlight w:val="none"/>
          <w14:textFill>
            <w14:solidFill>
              <w14:schemeClr w14:val="accent5"/>
            </w14:solidFill>
          </w14:textFill>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48D114F">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如属政府强制采购产品未提供认证证书的或认证证书提供不全的将视为未实质性响应采购要求</w:t>
      </w:r>
      <w:r>
        <w:rPr>
          <w:rFonts w:hint="eastAsia" w:ascii="宋体" w:hAnsi="宋体" w:eastAsia="宋体" w:cs="宋体"/>
          <w:i/>
          <w:color w:val="auto"/>
          <w:sz w:val="24"/>
          <w:highlight w:val="none"/>
        </w:rPr>
        <w:t>。</w:t>
      </w:r>
      <w:r>
        <w:rPr>
          <w:rFonts w:hint="eastAsia" w:ascii="宋体" w:hAnsi="宋体" w:eastAsia="宋体" w:cs="宋体"/>
          <w:color w:val="auto"/>
          <w:sz w:val="24"/>
          <w:highlight w:val="none"/>
        </w:rPr>
        <w:t>其他条件相同情况下，应当优先采购节能产品、环境标志产品。</w:t>
      </w:r>
    </w:p>
    <w:p w14:paraId="16E92C1A">
      <w:pPr>
        <w:pStyle w:val="34"/>
        <w:spacing w:before="120" w:beforeAutospacing="0" w:after="120" w:afterAutospacing="0" w:line="0" w:lineRule="atLeast"/>
        <w:ind w:firstLine="482"/>
        <w:rPr>
          <w:rFonts w:hint="eastAsia" w:ascii="宋体" w:hAnsi="宋体" w:eastAsia="宋体" w:cs="宋体"/>
          <w:highlight w:val="none"/>
        </w:rPr>
      </w:pPr>
      <w:r>
        <w:rPr>
          <w:rFonts w:hint="eastAsia" w:ascii="宋体" w:hAnsi="宋体" w:eastAsia="宋体" w:cs="宋体"/>
          <w:b/>
          <w:color w:val="000000"/>
          <w:highlight w:val="none"/>
          <w:lang w:val="en-US" w:eastAsia="zh-CN"/>
        </w:rPr>
        <w:t>三、</w:t>
      </w:r>
      <w:r>
        <w:rPr>
          <w:rFonts w:hint="eastAsia" w:ascii="宋体" w:hAnsi="宋体" w:eastAsia="宋体" w:cs="宋体"/>
          <w:b/>
          <w:color w:val="000000"/>
          <w:highlight w:val="none"/>
        </w:rPr>
        <w:t>评标方法与评标标准</w:t>
      </w:r>
    </w:p>
    <w:p w14:paraId="5ACF3C79">
      <w:pPr>
        <w:pStyle w:val="34"/>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tbl>
      <w:tblPr>
        <w:tblStyle w:val="36"/>
        <w:tblW w:w="91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5"/>
        <w:gridCol w:w="1118"/>
        <w:gridCol w:w="1352"/>
        <w:gridCol w:w="818"/>
        <w:gridCol w:w="5288"/>
      </w:tblGrid>
      <w:tr w14:paraId="2346D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575" w:type="dxa"/>
            <w:tcBorders>
              <w:top w:val="single" w:color="auto" w:sz="4" w:space="0"/>
              <w:left w:val="single" w:color="auto" w:sz="4" w:space="0"/>
              <w:bottom w:val="single" w:color="auto" w:sz="4" w:space="0"/>
              <w:right w:val="single" w:color="auto" w:sz="4" w:space="0"/>
            </w:tcBorders>
            <w:noWrap w:val="0"/>
            <w:vAlign w:val="center"/>
          </w:tcPr>
          <w:p w14:paraId="493BF2CE">
            <w:pPr>
              <w:jc w:val="center"/>
              <w:rPr>
                <w:rFonts w:hint="eastAsia" w:ascii="仿宋" w:hAnsi="仿宋" w:eastAsia="仿宋" w:cs="仿宋"/>
                <w:b/>
                <w:bCs/>
                <w:highlight w:val="none"/>
              </w:rPr>
            </w:pPr>
            <w:r>
              <w:rPr>
                <w:rFonts w:hint="eastAsia" w:ascii="仿宋" w:hAnsi="仿宋" w:eastAsia="仿宋" w:cs="仿宋"/>
                <w:b/>
                <w:bCs/>
                <w:highlight w:val="none"/>
              </w:rPr>
              <w:t>序</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1E21EAE1">
            <w:pPr>
              <w:jc w:val="center"/>
              <w:rPr>
                <w:rFonts w:hint="eastAsia" w:ascii="仿宋" w:hAnsi="仿宋" w:eastAsia="仿宋" w:cs="仿宋"/>
                <w:b/>
                <w:bCs/>
                <w:highlight w:val="none"/>
              </w:rPr>
            </w:pPr>
            <w:r>
              <w:rPr>
                <w:rFonts w:hint="eastAsia" w:ascii="仿宋" w:hAnsi="仿宋" w:eastAsia="仿宋" w:cs="仿宋"/>
                <w:b/>
                <w:bCs/>
                <w:highlight w:val="none"/>
              </w:rPr>
              <w:t>分部内容</w:t>
            </w:r>
          </w:p>
        </w:tc>
        <w:tc>
          <w:tcPr>
            <w:tcW w:w="1352" w:type="dxa"/>
            <w:tcBorders>
              <w:top w:val="single" w:color="auto" w:sz="4" w:space="0"/>
              <w:left w:val="single" w:color="auto" w:sz="4" w:space="0"/>
              <w:bottom w:val="single" w:color="auto" w:sz="4" w:space="0"/>
              <w:right w:val="single" w:color="auto" w:sz="4" w:space="0"/>
            </w:tcBorders>
            <w:noWrap w:val="0"/>
            <w:vAlign w:val="center"/>
          </w:tcPr>
          <w:p w14:paraId="1101D7DC">
            <w:pPr>
              <w:jc w:val="center"/>
              <w:rPr>
                <w:rFonts w:hint="eastAsia" w:ascii="仿宋" w:hAnsi="仿宋" w:eastAsia="仿宋" w:cs="仿宋"/>
                <w:b/>
                <w:bCs/>
                <w:highlight w:val="none"/>
              </w:rPr>
            </w:pPr>
            <w:r>
              <w:rPr>
                <w:rFonts w:hint="eastAsia" w:ascii="仿宋" w:hAnsi="仿宋" w:eastAsia="仿宋" w:cs="仿宋"/>
                <w:b/>
                <w:bCs/>
                <w:highlight w:val="none"/>
              </w:rPr>
              <w:t>分项内容</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65E4511F">
            <w:pPr>
              <w:jc w:val="center"/>
              <w:rPr>
                <w:rFonts w:hint="eastAsia" w:ascii="仿宋" w:hAnsi="仿宋" w:eastAsia="仿宋" w:cs="仿宋"/>
                <w:b/>
                <w:bCs/>
                <w:highlight w:val="none"/>
              </w:rPr>
            </w:pPr>
            <w:r>
              <w:rPr>
                <w:rFonts w:hint="eastAsia" w:ascii="仿宋" w:hAnsi="仿宋" w:eastAsia="仿宋" w:cs="仿宋"/>
                <w:b/>
                <w:bCs/>
                <w:highlight w:val="none"/>
              </w:rPr>
              <w:t>分值</w:t>
            </w:r>
          </w:p>
        </w:tc>
        <w:tc>
          <w:tcPr>
            <w:tcW w:w="5288" w:type="dxa"/>
            <w:tcBorders>
              <w:top w:val="single" w:color="auto" w:sz="4" w:space="0"/>
              <w:left w:val="single" w:color="auto" w:sz="4" w:space="0"/>
              <w:bottom w:val="single" w:color="auto" w:sz="4" w:space="0"/>
              <w:right w:val="single" w:color="auto" w:sz="4" w:space="0"/>
            </w:tcBorders>
            <w:noWrap w:val="0"/>
            <w:vAlign w:val="center"/>
          </w:tcPr>
          <w:p w14:paraId="3410F850">
            <w:pPr>
              <w:pStyle w:val="13"/>
              <w:jc w:val="center"/>
              <w:rPr>
                <w:rFonts w:hint="eastAsia" w:ascii="仿宋" w:hAnsi="仿宋" w:eastAsia="仿宋" w:cs="仿宋"/>
                <w:b/>
                <w:bCs/>
                <w:highlight w:val="none"/>
              </w:rPr>
            </w:pPr>
            <w:r>
              <w:rPr>
                <w:rFonts w:hint="eastAsia" w:ascii="仿宋" w:hAnsi="仿宋" w:eastAsia="仿宋" w:cs="仿宋"/>
                <w:b/>
                <w:bCs/>
                <w:highlight w:val="none"/>
              </w:rPr>
              <w:t>打分要求</w:t>
            </w:r>
          </w:p>
        </w:tc>
      </w:tr>
      <w:tr w14:paraId="694AE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575" w:type="dxa"/>
            <w:tcBorders>
              <w:top w:val="single" w:color="auto" w:sz="4" w:space="0"/>
              <w:left w:val="single" w:color="auto" w:sz="4" w:space="0"/>
              <w:right w:val="single" w:color="auto" w:sz="4" w:space="0"/>
            </w:tcBorders>
            <w:noWrap w:val="0"/>
            <w:vAlign w:val="center"/>
          </w:tcPr>
          <w:p w14:paraId="672FB09B">
            <w:pPr>
              <w:jc w:val="center"/>
              <w:rPr>
                <w:rFonts w:hint="eastAsia" w:ascii="仿宋" w:hAnsi="仿宋" w:eastAsia="仿宋" w:cs="仿宋"/>
                <w:highlight w:val="none"/>
              </w:rPr>
            </w:pPr>
            <w:r>
              <w:rPr>
                <w:rFonts w:hint="eastAsia" w:ascii="仿宋" w:hAnsi="仿宋" w:eastAsia="仿宋" w:cs="仿宋"/>
                <w:highlight w:val="none"/>
              </w:rPr>
              <w:t>一</w:t>
            </w:r>
          </w:p>
        </w:tc>
        <w:tc>
          <w:tcPr>
            <w:tcW w:w="1118" w:type="dxa"/>
            <w:tcBorders>
              <w:top w:val="single" w:color="auto" w:sz="4" w:space="0"/>
              <w:left w:val="single" w:color="auto" w:sz="4" w:space="0"/>
              <w:right w:val="single" w:color="auto" w:sz="4" w:space="0"/>
            </w:tcBorders>
            <w:noWrap w:val="0"/>
            <w:vAlign w:val="center"/>
          </w:tcPr>
          <w:p w14:paraId="74AAAC36">
            <w:pPr>
              <w:jc w:val="center"/>
              <w:rPr>
                <w:rFonts w:hint="eastAsia" w:ascii="仿宋" w:hAnsi="仿宋" w:eastAsia="仿宋" w:cs="仿宋"/>
                <w:highlight w:val="none"/>
              </w:rPr>
            </w:pPr>
            <w:r>
              <w:rPr>
                <w:rFonts w:hint="eastAsia" w:ascii="仿宋" w:hAnsi="仿宋" w:eastAsia="仿宋" w:cs="仿宋"/>
                <w:highlight w:val="none"/>
              </w:rPr>
              <w:t>价格部分</w:t>
            </w:r>
          </w:p>
        </w:tc>
        <w:tc>
          <w:tcPr>
            <w:tcW w:w="1352" w:type="dxa"/>
            <w:tcBorders>
              <w:top w:val="single" w:color="auto" w:sz="4" w:space="0"/>
              <w:left w:val="single" w:color="auto" w:sz="4" w:space="0"/>
              <w:bottom w:val="single" w:color="auto" w:sz="4" w:space="0"/>
              <w:right w:val="single" w:color="auto" w:sz="4" w:space="0"/>
            </w:tcBorders>
            <w:noWrap w:val="0"/>
            <w:vAlign w:val="center"/>
          </w:tcPr>
          <w:p w14:paraId="7C21C7D0">
            <w:pPr>
              <w:jc w:val="cente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投标报价</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39D7E959">
            <w:pPr>
              <w:jc w:val="center"/>
              <w:rPr>
                <w:rFonts w:hint="default" w:ascii="仿宋" w:hAnsi="仿宋" w:eastAsia="仿宋" w:cs="仿宋"/>
                <w:b w:val="0"/>
                <w:bCs w:val="0"/>
                <w:color w:val="auto"/>
                <w:highlight w:val="none"/>
                <w:lang w:val="en-US"/>
              </w:rPr>
            </w:pPr>
            <w:r>
              <w:rPr>
                <w:rFonts w:hint="eastAsia" w:ascii="仿宋" w:hAnsi="仿宋" w:eastAsia="仿宋" w:cs="仿宋"/>
                <w:b w:val="0"/>
                <w:bCs w:val="0"/>
                <w:color w:val="auto"/>
                <w:highlight w:val="none"/>
                <w:lang w:val="en-US" w:eastAsia="zh-CN"/>
              </w:rPr>
              <w:t>30</w:t>
            </w:r>
          </w:p>
        </w:tc>
        <w:tc>
          <w:tcPr>
            <w:tcW w:w="5288" w:type="dxa"/>
            <w:tcBorders>
              <w:top w:val="single" w:color="auto" w:sz="4" w:space="0"/>
              <w:left w:val="single" w:color="auto" w:sz="4" w:space="0"/>
              <w:bottom w:val="single" w:color="auto" w:sz="4" w:space="0"/>
              <w:right w:val="single" w:color="auto" w:sz="4" w:space="0"/>
            </w:tcBorders>
            <w:noWrap w:val="0"/>
            <w:vAlign w:val="center"/>
          </w:tcPr>
          <w:p w14:paraId="1D851081">
            <w:pPr>
              <w:pStyle w:val="13"/>
              <w:rPr>
                <w:rFonts w:hint="eastAsia" w:ascii="仿宋" w:hAnsi="仿宋" w:eastAsia="仿宋" w:cs="仿宋"/>
                <w:b w:val="0"/>
                <w:bCs w:val="0"/>
                <w:color w:val="auto"/>
                <w:highlight w:val="none"/>
              </w:rPr>
            </w:pPr>
            <w:bookmarkStart w:id="197" w:name="OLE_LINK20"/>
            <w:r>
              <w:rPr>
                <w:rFonts w:hint="eastAsia" w:ascii="仿宋" w:hAnsi="仿宋" w:eastAsia="仿宋" w:cs="仿宋"/>
                <w:b w:val="0"/>
                <w:bCs w:val="0"/>
                <w:color w:val="auto"/>
                <w:highlight w:val="none"/>
              </w:rPr>
              <w:t>满足招标文件要求且投标价格最低的投标报价为基准价，其价格分为满分。报价得分=(评标基准价/投标报价)×</w:t>
            </w:r>
            <w:r>
              <w:rPr>
                <w:rFonts w:hint="eastAsia" w:ascii="仿宋" w:hAnsi="仿宋" w:eastAsia="仿宋" w:cs="仿宋"/>
                <w:b w:val="0"/>
                <w:bCs w:val="0"/>
                <w:color w:val="auto"/>
                <w:highlight w:val="none"/>
                <w:lang w:val="en-US" w:eastAsia="zh-CN"/>
              </w:rPr>
              <w:t>30</w:t>
            </w:r>
            <w:r>
              <w:rPr>
                <w:rFonts w:hint="eastAsia" w:ascii="仿宋" w:hAnsi="仿宋" w:eastAsia="仿宋" w:cs="仿宋"/>
                <w:b w:val="0"/>
                <w:bCs w:val="0"/>
                <w:color w:val="auto"/>
                <w:highlight w:val="none"/>
              </w:rPr>
              <w:t>。</w:t>
            </w:r>
            <w:bookmarkEnd w:id="197"/>
          </w:p>
        </w:tc>
      </w:tr>
      <w:tr w14:paraId="4ED9F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9" w:hRule="atLeast"/>
          <w:jc w:val="center"/>
        </w:trPr>
        <w:tc>
          <w:tcPr>
            <w:tcW w:w="575" w:type="dxa"/>
            <w:vMerge w:val="restart"/>
            <w:tcBorders>
              <w:top w:val="single" w:color="auto" w:sz="4" w:space="0"/>
              <w:left w:val="single" w:color="auto" w:sz="4" w:space="0"/>
              <w:right w:val="single" w:color="auto" w:sz="4" w:space="0"/>
            </w:tcBorders>
            <w:noWrap w:val="0"/>
            <w:vAlign w:val="center"/>
          </w:tcPr>
          <w:p w14:paraId="6F5A8E9F">
            <w:pPr>
              <w:jc w:val="center"/>
              <w:rPr>
                <w:rFonts w:hint="eastAsia" w:ascii="仿宋" w:hAnsi="仿宋" w:eastAsia="仿宋" w:cs="仿宋"/>
                <w:highlight w:val="none"/>
              </w:rPr>
            </w:pPr>
            <w:r>
              <w:rPr>
                <w:rFonts w:hint="eastAsia" w:ascii="仿宋" w:hAnsi="仿宋" w:eastAsia="仿宋" w:cs="仿宋"/>
                <w:highlight w:val="none"/>
              </w:rPr>
              <w:t>二</w:t>
            </w:r>
          </w:p>
        </w:tc>
        <w:tc>
          <w:tcPr>
            <w:tcW w:w="1118" w:type="dxa"/>
            <w:vMerge w:val="restart"/>
            <w:tcBorders>
              <w:top w:val="single" w:color="auto" w:sz="4" w:space="0"/>
              <w:left w:val="single" w:color="auto" w:sz="4" w:space="0"/>
              <w:right w:val="single" w:color="auto" w:sz="4" w:space="0"/>
            </w:tcBorders>
            <w:noWrap w:val="0"/>
            <w:vAlign w:val="center"/>
          </w:tcPr>
          <w:p w14:paraId="65B42407">
            <w:pPr>
              <w:jc w:val="center"/>
              <w:rPr>
                <w:rFonts w:hint="eastAsia" w:ascii="仿宋" w:hAnsi="仿宋" w:eastAsia="仿宋" w:cs="仿宋"/>
                <w:highlight w:val="none"/>
              </w:rPr>
            </w:pPr>
            <w:r>
              <w:rPr>
                <w:rFonts w:hint="eastAsia" w:ascii="仿宋" w:hAnsi="仿宋" w:eastAsia="仿宋" w:cs="仿宋"/>
                <w:highlight w:val="none"/>
              </w:rPr>
              <w:t>技术部分</w:t>
            </w:r>
          </w:p>
        </w:tc>
        <w:tc>
          <w:tcPr>
            <w:tcW w:w="1352" w:type="dxa"/>
            <w:tcBorders>
              <w:top w:val="single" w:color="auto" w:sz="4" w:space="0"/>
              <w:left w:val="single" w:color="auto" w:sz="4" w:space="0"/>
              <w:right w:val="single" w:color="auto" w:sz="4" w:space="0"/>
            </w:tcBorders>
            <w:noWrap w:val="0"/>
            <w:vAlign w:val="center"/>
          </w:tcPr>
          <w:p w14:paraId="369B0EB4">
            <w:pPr>
              <w:jc w:val="center"/>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white"/>
              </w:rPr>
              <w:t>产品功能配置指标评价</w:t>
            </w:r>
          </w:p>
        </w:tc>
        <w:tc>
          <w:tcPr>
            <w:tcW w:w="818" w:type="dxa"/>
            <w:tcBorders>
              <w:top w:val="single" w:color="auto" w:sz="4" w:space="0"/>
              <w:left w:val="single" w:color="auto" w:sz="4" w:space="0"/>
              <w:right w:val="single" w:color="auto" w:sz="4" w:space="0"/>
            </w:tcBorders>
            <w:noWrap w:val="0"/>
            <w:vAlign w:val="center"/>
          </w:tcPr>
          <w:p w14:paraId="227AF1BA">
            <w:pPr>
              <w:jc w:val="center"/>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white"/>
                <w:lang w:val="en-US" w:eastAsia="zh-CN"/>
              </w:rPr>
              <w:t>20</w:t>
            </w:r>
          </w:p>
        </w:tc>
        <w:tc>
          <w:tcPr>
            <w:tcW w:w="5288" w:type="dxa"/>
            <w:tcBorders>
              <w:top w:val="single" w:color="auto" w:sz="4" w:space="0"/>
              <w:left w:val="single" w:color="auto" w:sz="4" w:space="0"/>
              <w:right w:val="single" w:color="auto" w:sz="4" w:space="0"/>
            </w:tcBorders>
            <w:noWrap w:val="0"/>
            <w:vAlign w:val="center"/>
          </w:tcPr>
          <w:p w14:paraId="69115B97">
            <w:pPr>
              <w:ind w:firstLine="420"/>
              <w:rPr>
                <w:rFonts w:hint="eastAsia" w:ascii="仿宋" w:hAnsi="仿宋" w:eastAsia="仿宋" w:cs="仿宋"/>
                <w:b w:val="0"/>
                <w:bCs w:val="0"/>
                <w:color w:val="auto"/>
                <w:sz w:val="21"/>
                <w:szCs w:val="21"/>
                <w:highlight w:val="white"/>
              </w:rPr>
            </w:pPr>
            <w:r>
              <w:rPr>
                <w:rFonts w:hint="eastAsia" w:ascii="仿宋" w:hAnsi="仿宋" w:eastAsia="仿宋" w:cs="仿宋"/>
                <w:b w:val="0"/>
                <w:bCs w:val="0"/>
                <w:color w:val="auto"/>
                <w:sz w:val="21"/>
                <w:szCs w:val="21"/>
                <w:highlight w:val="white"/>
              </w:rPr>
              <w:t>根据各投标人对本次招标技术参数部分响应情况进行评定。投标人的所有技术参数满足招标要求的得满分</w:t>
            </w:r>
            <w:r>
              <w:rPr>
                <w:rFonts w:hint="eastAsia" w:ascii="仿宋" w:hAnsi="仿宋" w:eastAsia="仿宋" w:cs="仿宋"/>
                <w:b w:val="0"/>
                <w:bCs w:val="0"/>
                <w:color w:val="auto"/>
                <w:sz w:val="21"/>
                <w:szCs w:val="21"/>
                <w:highlight w:val="white"/>
                <w:lang w:val="en-US" w:eastAsia="zh-CN"/>
              </w:rPr>
              <w:t>20</w:t>
            </w:r>
            <w:r>
              <w:rPr>
                <w:rFonts w:hint="eastAsia" w:ascii="仿宋" w:hAnsi="仿宋" w:eastAsia="仿宋" w:cs="仿宋"/>
                <w:b w:val="0"/>
                <w:bCs w:val="0"/>
                <w:color w:val="auto"/>
                <w:sz w:val="21"/>
                <w:szCs w:val="21"/>
                <w:highlight w:val="white"/>
              </w:rPr>
              <w:t>分；其中加“</w:t>
            </w:r>
            <w:r>
              <w:rPr>
                <w:rFonts w:hint="eastAsia" w:ascii="仿宋" w:hAnsi="仿宋" w:eastAsia="仿宋" w:cs="仿宋"/>
                <w:b w:val="0"/>
                <w:bCs w:val="0"/>
                <w:color w:val="auto"/>
                <w:sz w:val="21"/>
                <w:szCs w:val="21"/>
                <w:highlight w:val="white"/>
                <w:lang w:eastAsia="zh-CN"/>
              </w:rPr>
              <w:t>★</w:t>
            </w:r>
            <w:r>
              <w:rPr>
                <w:rFonts w:hint="eastAsia" w:ascii="仿宋" w:hAnsi="仿宋" w:eastAsia="仿宋" w:cs="仿宋"/>
                <w:b w:val="0"/>
                <w:bCs w:val="0"/>
                <w:color w:val="auto"/>
                <w:sz w:val="21"/>
                <w:szCs w:val="21"/>
                <w:highlight w:val="white"/>
              </w:rPr>
              <w:t>”项技术参数负偏离的，每有一项扣</w:t>
            </w:r>
            <w:r>
              <w:rPr>
                <w:rFonts w:hint="eastAsia" w:ascii="仿宋" w:hAnsi="仿宋" w:eastAsia="仿宋" w:cs="仿宋"/>
                <w:b w:val="0"/>
                <w:bCs w:val="0"/>
                <w:color w:val="auto"/>
                <w:sz w:val="21"/>
                <w:szCs w:val="21"/>
                <w:highlight w:val="white"/>
                <w:lang w:val="en-US" w:eastAsia="zh-CN"/>
              </w:rPr>
              <w:t>2</w:t>
            </w:r>
            <w:r>
              <w:rPr>
                <w:rFonts w:hint="eastAsia" w:ascii="仿宋" w:hAnsi="仿宋" w:eastAsia="仿宋" w:cs="仿宋"/>
                <w:b w:val="0"/>
                <w:bCs w:val="0"/>
                <w:color w:val="auto"/>
                <w:sz w:val="21"/>
                <w:szCs w:val="21"/>
                <w:highlight w:val="white"/>
              </w:rPr>
              <w:t>分；非“</w:t>
            </w:r>
            <w:r>
              <w:rPr>
                <w:rFonts w:hint="eastAsia" w:ascii="仿宋" w:hAnsi="仿宋" w:eastAsia="仿宋" w:cs="仿宋"/>
                <w:b w:val="0"/>
                <w:bCs w:val="0"/>
                <w:color w:val="auto"/>
                <w:sz w:val="21"/>
                <w:szCs w:val="21"/>
                <w:highlight w:val="white"/>
                <w:lang w:eastAsia="zh-CN"/>
              </w:rPr>
              <w:t>★</w:t>
            </w:r>
            <w:r>
              <w:rPr>
                <w:rFonts w:hint="eastAsia" w:ascii="仿宋" w:hAnsi="仿宋" w:eastAsia="仿宋" w:cs="仿宋"/>
                <w:b w:val="0"/>
                <w:bCs w:val="0"/>
                <w:color w:val="auto"/>
                <w:sz w:val="21"/>
                <w:szCs w:val="21"/>
                <w:highlight w:val="white"/>
              </w:rPr>
              <w:t>”项技术参数负偏离的，每有一项扣</w:t>
            </w:r>
            <w:r>
              <w:rPr>
                <w:rFonts w:hint="eastAsia" w:ascii="仿宋" w:hAnsi="仿宋" w:eastAsia="仿宋" w:cs="仿宋"/>
                <w:b w:val="0"/>
                <w:bCs w:val="0"/>
                <w:color w:val="auto"/>
                <w:sz w:val="21"/>
                <w:szCs w:val="21"/>
                <w:highlight w:val="white"/>
                <w:lang w:val="en-US" w:eastAsia="zh-CN"/>
              </w:rPr>
              <w:t>0.5</w:t>
            </w:r>
            <w:r>
              <w:rPr>
                <w:rFonts w:hint="eastAsia" w:ascii="仿宋" w:hAnsi="仿宋" w:eastAsia="仿宋" w:cs="仿宋"/>
                <w:b w:val="0"/>
                <w:bCs w:val="0"/>
                <w:color w:val="auto"/>
                <w:sz w:val="21"/>
                <w:szCs w:val="21"/>
                <w:highlight w:val="white"/>
              </w:rPr>
              <w:t>分，扣完为止。</w:t>
            </w:r>
          </w:p>
          <w:p w14:paraId="31CFE246">
            <w:pPr>
              <w:ind w:firstLine="420"/>
              <w:rPr>
                <w:rFonts w:hint="eastAsia" w:ascii="仿宋" w:hAnsi="仿宋" w:eastAsia="仿宋" w:cs="仿宋"/>
                <w:b w:val="0"/>
                <w:bCs w:val="0"/>
                <w:color w:val="auto"/>
                <w:sz w:val="21"/>
                <w:szCs w:val="21"/>
                <w:highlight w:val="white"/>
              </w:rPr>
            </w:pPr>
            <w:r>
              <w:rPr>
                <w:rFonts w:hint="eastAsia" w:ascii="仿宋" w:hAnsi="仿宋" w:eastAsia="仿宋" w:cs="仿宋"/>
                <w:b w:val="0"/>
                <w:bCs w:val="0"/>
                <w:color w:val="auto"/>
                <w:sz w:val="21"/>
                <w:szCs w:val="21"/>
                <w:highlight w:val="white"/>
              </w:rPr>
              <w:t>注：</w:t>
            </w:r>
            <w:r>
              <w:rPr>
                <w:rFonts w:hint="eastAsia" w:ascii="仿宋" w:hAnsi="仿宋" w:eastAsia="仿宋" w:cs="仿宋"/>
                <w:b w:val="0"/>
                <w:bCs w:val="0"/>
                <w:color w:val="auto"/>
                <w:sz w:val="21"/>
                <w:szCs w:val="21"/>
                <w:highlight w:val="white"/>
              </w:rPr>
              <w:fldChar w:fldCharType="begin"/>
            </w:r>
            <w:r>
              <w:rPr>
                <w:rFonts w:hint="eastAsia" w:ascii="仿宋" w:hAnsi="仿宋" w:eastAsia="仿宋" w:cs="仿宋"/>
                <w:b w:val="0"/>
                <w:bCs w:val="0"/>
                <w:color w:val="auto"/>
                <w:sz w:val="21"/>
                <w:szCs w:val="21"/>
                <w:highlight w:val="white"/>
              </w:rPr>
              <w:instrText xml:space="preserve"> = 1 \* GB3 \* MERGEFORMAT </w:instrText>
            </w:r>
            <w:r>
              <w:rPr>
                <w:rFonts w:hint="eastAsia" w:ascii="仿宋" w:hAnsi="仿宋" w:eastAsia="仿宋" w:cs="仿宋"/>
                <w:b w:val="0"/>
                <w:bCs w:val="0"/>
                <w:color w:val="auto"/>
                <w:sz w:val="21"/>
                <w:szCs w:val="21"/>
                <w:highlight w:val="white"/>
              </w:rPr>
              <w:fldChar w:fldCharType="separate"/>
            </w:r>
            <w:r>
              <w:rPr>
                <w:rFonts w:hint="eastAsia" w:ascii="仿宋" w:hAnsi="仿宋" w:eastAsia="仿宋" w:cs="仿宋"/>
                <w:b w:val="0"/>
                <w:bCs w:val="0"/>
                <w:color w:val="auto"/>
                <w:sz w:val="21"/>
                <w:szCs w:val="21"/>
                <w:highlight w:val="white"/>
              </w:rPr>
              <w:t>①</w:t>
            </w:r>
            <w:r>
              <w:rPr>
                <w:rFonts w:hint="eastAsia" w:ascii="仿宋" w:hAnsi="仿宋" w:eastAsia="仿宋" w:cs="仿宋"/>
                <w:b w:val="0"/>
                <w:bCs w:val="0"/>
                <w:color w:val="auto"/>
                <w:sz w:val="21"/>
                <w:szCs w:val="21"/>
                <w:highlight w:val="white"/>
              </w:rPr>
              <w:fldChar w:fldCharType="end"/>
            </w:r>
            <w:r>
              <w:rPr>
                <w:rFonts w:hint="eastAsia" w:ascii="仿宋" w:hAnsi="仿宋" w:eastAsia="仿宋" w:cs="仿宋"/>
                <w:b w:val="0"/>
                <w:bCs w:val="0"/>
                <w:color w:val="auto"/>
                <w:sz w:val="21"/>
                <w:szCs w:val="21"/>
                <w:highlight w:val="white"/>
              </w:rPr>
              <w:t>技术参数要求提供的证明材料（检测报告）的以证明材料复印件加盖投标单位公章为准，其他参数以提供的技术参数响应表加盖投标单位公章为准；</w:t>
            </w:r>
          </w:p>
          <w:p w14:paraId="0A6E7132">
            <w:pPr>
              <w:pStyle w:val="13"/>
              <w:ind w:firstLine="420" w:firstLineChars="0"/>
              <w:rPr>
                <w:rFonts w:hint="eastAsia" w:ascii="仿宋" w:hAnsi="仿宋" w:eastAsia="仿宋" w:cs="仿宋"/>
                <w:b w:val="0"/>
                <w:bCs w:val="0"/>
                <w:color w:val="auto"/>
                <w:highlight w:val="none"/>
                <w:lang w:eastAsia="zh-CN"/>
              </w:rPr>
            </w:pPr>
            <w:r>
              <w:rPr>
                <w:rFonts w:hint="eastAsia" w:ascii="仿宋" w:hAnsi="仿宋" w:eastAsia="仿宋" w:cs="仿宋"/>
                <w:b w:val="0"/>
                <w:bCs w:val="0"/>
                <w:color w:val="auto"/>
                <w:sz w:val="21"/>
                <w:szCs w:val="21"/>
                <w:highlight w:val="white"/>
              </w:rPr>
              <w:fldChar w:fldCharType="begin"/>
            </w:r>
            <w:r>
              <w:rPr>
                <w:rFonts w:hint="eastAsia" w:ascii="仿宋" w:hAnsi="仿宋" w:eastAsia="仿宋" w:cs="仿宋"/>
                <w:b w:val="0"/>
                <w:bCs w:val="0"/>
                <w:color w:val="auto"/>
                <w:sz w:val="21"/>
                <w:szCs w:val="21"/>
                <w:highlight w:val="white"/>
              </w:rPr>
              <w:instrText xml:space="preserve"> = 2 \* GB3 \* MERGEFORMAT </w:instrText>
            </w:r>
            <w:r>
              <w:rPr>
                <w:rFonts w:hint="eastAsia" w:ascii="仿宋" w:hAnsi="仿宋" w:eastAsia="仿宋" w:cs="仿宋"/>
                <w:b w:val="0"/>
                <w:bCs w:val="0"/>
                <w:color w:val="auto"/>
                <w:sz w:val="21"/>
                <w:szCs w:val="21"/>
                <w:highlight w:val="white"/>
              </w:rPr>
              <w:fldChar w:fldCharType="separate"/>
            </w:r>
            <w:r>
              <w:rPr>
                <w:rFonts w:hint="eastAsia" w:ascii="仿宋" w:hAnsi="仿宋" w:eastAsia="仿宋" w:cs="仿宋"/>
                <w:b w:val="0"/>
                <w:bCs w:val="0"/>
                <w:color w:val="auto"/>
                <w:sz w:val="21"/>
                <w:szCs w:val="21"/>
                <w:highlight w:val="white"/>
              </w:rPr>
              <w:t>②</w:t>
            </w:r>
            <w:r>
              <w:rPr>
                <w:rFonts w:hint="eastAsia" w:ascii="仿宋" w:hAnsi="仿宋" w:eastAsia="仿宋" w:cs="仿宋"/>
                <w:b w:val="0"/>
                <w:bCs w:val="0"/>
                <w:color w:val="auto"/>
                <w:sz w:val="21"/>
                <w:szCs w:val="21"/>
                <w:highlight w:val="white"/>
              </w:rPr>
              <w:fldChar w:fldCharType="end"/>
            </w:r>
            <w:r>
              <w:rPr>
                <w:rFonts w:hint="eastAsia" w:ascii="仿宋" w:hAnsi="仿宋" w:eastAsia="仿宋" w:cs="仿宋"/>
                <w:b w:val="0"/>
                <w:bCs w:val="0"/>
                <w:color w:val="auto"/>
                <w:sz w:val="21"/>
                <w:szCs w:val="21"/>
                <w:highlight w:val="white"/>
              </w:rPr>
              <w:t>技术参数中每一条的要求为一项，投标人需详尽真实的提供所投产品的品牌型号及技术参数响应表，列明偏离情况</w:t>
            </w:r>
            <w:r>
              <w:rPr>
                <w:rFonts w:hint="eastAsia" w:ascii="仿宋" w:hAnsi="仿宋" w:eastAsia="仿宋" w:cs="仿宋"/>
                <w:b w:val="0"/>
                <w:bCs w:val="0"/>
                <w:color w:val="auto"/>
                <w:sz w:val="21"/>
                <w:szCs w:val="21"/>
                <w:highlight w:val="white"/>
                <w:lang w:eastAsia="zh-CN"/>
              </w:rPr>
              <w:t>。</w:t>
            </w:r>
          </w:p>
        </w:tc>
      </w:tr>
      <w:tr w14:paraId="572CA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9" w:hRule="atLeast"/>
          <w:jc w:val="center"/>
        </w:trPr>
        <w:tc>
          <w:tcPr>
            <w:tcW w:w="575" w:type="dxa"/>
            <w:vMerge w:val="continue"/>
            <w:tcBorders>
              <w:left w:val="single" w:color="auto" w:sz="4" w:space="0"/>
              <w:right w:val="single" w:color="auto" w:sz="4" w:space="0"/>
            </w:tcBorders>
            <w:noWrap w:val="0"/>
            <w:vAlign w:val="center"/>
          </w:tcPr>
          <w:p w14:paraId="4949A5E8">
            <w:pPr>
              <w:jc w:val="center"/>
            </w:pPr>
          </w:p>
        </w:tc>
        <w:tc>
          <w:tcPr>
            <w:tcW w:w="1118" w:type="dxa"/>
            <w:vMerge w:val="continue"/>
            <w:tcBorders>
              <w:left w:val="single" w:color="auto" w:sz="4" w:space="0"/>
              <w:right w:val="single" w:color="auto" w:sz="4" w:space="0"/>
            </w:tcBorders>
            <w:noWrap w:val="0"/>
            <w:vAlign w:val="center"/>
          </w:tcPr>
          <w:p w14:paraId="05B07CD0">
            <w:pPr>
              <w:jc w:val="center"/>
            </w:pPr>
          </w:p>
        </w:tc>
        <w:tc>
          <w:tcPr>
            <w:tcW w:w="1352" w:type="dxa"/>
            <w:tcBorders>
              <w:top w:val="single" w:color="auto" w:sz="4" w:space="0"/>
              <w:left w:val="single" w:color="auto" w:sz="4" w:space="0"/>
              <w:right w:val="single" w:color="auto" w:sz="4" w:space="0"/>
            </w:tcBorders>
            <w:shd w:val="clear" w:color="auto" w:fill="auto"/>
            <w:noWrap w:val="0"/>
            <w:vAlign w:val="center"/>
          </w:tcPr>
          <w:p w14:paraId="7FB0A543">
            <w:pPr>
              <w:jc w:val="center"/>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项目实施</w:t>
            </w:r>
          </w:p>
          <w:p w14:paraId="4216F113">
            <w:pPr>
              <w:jc w:val="center"/>
              <w:rPr>
                <w:rFonts w:hint="eastAsia" w:ascii="仿宋" w:hAnsi="仿宋" w:eastAsia="仿宋" w:cs="仿宋"/>
                <w:b w:val="0"/>
                <w:bCs w:val="0"/>
                <w:color w:val="auto"/>
                <w:sz w:val="21"/>
                <w:szCs w:val="24"/>
                <w:highlight w:val="none"/>
                <w:lang w:val="en-US" w:eastAsia="zh-CN" w:bidi="ar-SA"/>
              </w:rPr>
            </w:pPr>
            <w:r>
              <w:rPr>
                <w:rFonts w:hint="eastAsia" w:ascii="仿宋" w:hAnsi="仿宋" w:eastAsia="仿宋" w:cs="仿宋"/>
                <w:b w:val="0"/>
                <w:bCs w:val="0"/>
                <w:color w:val="auto"/>
                <w:highlight w:val="none"/>
                <w:lang w:val="en-US" w:eastAsia="zh-CN"/>
              </w:rPr>
              <w:t>方案</w:t>
            </w:r>
          </w:p>
        </w:tc>
        <w:tc>
          <w:tcPr>
            <w:tcW w:w="818" w:type="dxa"/>
            <w:tcBorders>
              <w:left w:val="single" w:color="auto" w:sz="4" w:space="0"/>
              <w:right w:val="single" w:color="auto" w:sz="4" w:space="0"/>
            </w:tcBorders>
            <w:shd w:val="clear" w:color="auto" w:fill="auto"/>
            <w:noWrap w:val="0"/>
            <w:vAlign w:val="center"/>
          </w:tcPr>
          <w:p w14:paraId="70A4E479">
            <w:pPr>
              <w:jc w:val="center"/>
              <w:rPr>
                <w:rFonts w:hint="default" w:ascii="仿宋" w:hAnsi="仿宋" w:eastAsia="仿宋" w:cs="仿宋"/>
                <w:b w:val="0"/>
                <w:bCs w:val="0"/>
                <w:color w:val="auto"/>
                <w:sz w:val="21"/>
                <w:szCs w:val="24"/>
                <w:highlight w:val="none"/>
                <w:lang w:val="en-US" w:eastAsia="zh-CN" w:bidi="ar-SA"/>
              </w:rPr>
            </w:pPr>
            <w:r>
              <w:rPr>
                <w:rFonts w:hint="eastAsia" w:ascii="仿宋" w:hAnsi="仿宋" w:eastAsia="仿宋" w:cs="仿宋"/>
                <w:b w:val="0"/>
                <w:bCs w:val="0"/>
                <w:color w:val="auto"/>
                <w:sz w:val="21"/>
                <w:szCs w:val="24"/>
                <w:highlight w:val="none"/>
                <w:lang w:val="en-US" w:eastAsia="zh-CN" w:bidi="ar-SA"/>
              </w:rPr>
              <w:t>10</w:t>
            </w:r>
          </w:p>
        </w:tc>
        <w:tc>
          <w:tcPr>
            <w:tcW w:w="5288" w:type="dxa"/>
            <w:tcBorders>
              <w:left w:val="single" w:color="auto" w:sz="4" w:space="0"/>
              <w:right w:val="single" w:color="auto" w:sz="4" w:space="0"/>
            </w:tcBorders>
            <w:shd w:val="clear" w:color="auto" w:fill="auto"/>
            <w:noWrap w:val="0"/>
            <w:vAlign w:val="center"/>
          </w:tcPr>
          <w:p w14:paraId="65F763A1">
            <w:pPr>
              <w:pStyle w:val="13"/>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根据投标人对</w:t>
            </w:r>
            <w:r>
              <w:rPr>
                <w:rFonts w:hint="eastAsia" w:ascii="仿宋" w:hAnsi="仿宋" w:eastAsia="仿宋" w:cs="仿宋"/>
                <w:color w:val="auto"/>
                <w:highlight w:val="white"/>
              </w:rPr>
              <w:t>本海防监控点位</w:t>
            </w:r>
            <w:r>
              <w:rPr>
                <w:rFonts w:hint="eastAsia" w:ascii="仿宋" w:hAnsi="仿宋" w:eastAsia="仿宋" w:cs="仿宋"/>
                <w:color w:val="auto"/>
                <w:highlight w:val="white"/>
                <w:lang w:val="en-US" w:eastAsia="zh-CN"/>
              </w:rPr>
              <w:t>建设</w:t>
            </w:r>
            <w:r>
              <w:rPr>
                <w:rFonts w:hint="eastAsia" w:ascii="仿宋" w:hAnsi="仿宋" w:eastAsia="仿宋" w:cs="仿宋"/>
                <w:color w:val="auto"/>
                <w:highlight w:val="white"/>
              </w:rPr>
              <w:t>项目</w:t>
            </w:r>
            <w:r>
              <w:rPr>
                <w:rFonts w:hint="eastAsia" w:ascii="仿宋" w:hAnsi="仿宋" w:eastAsia="仿宋" w:cs="仿宋"/>
                <w:color w:val="auto"/>
                <w:highlight w:val="none"/>
                <w:lang w:val="en-US" w:eastAsia="zh-CN"/>
              </w:rPr>
              <w:t>需求的理解、方案完整性、专业性及可行性进行评审。实施方案内容包含但不限于：项目需求理解、项目进度计划与资源投入、各前端点位供电及传输条件分析、平台联调测试、人员培训、项目质量及工期管控、安全文明施工及质保保障机制等。</w:t>
            </w:r>
          </w:p>
          <w:p w14:paraId="3924089E">
            <w:pPr>
              <w:pStyle w:val="13"/>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本项满分10分，评审委员会根据投标人具体响应内容，按以下量化标准进行满足性判断：</w:t>
            </w:r>
          </w:p>
          <w:p w14:paraId="31BB8D37">
            <w:pPr>
              <w:pStyle w:val="13"/>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1.方案完整详尽，专业性、可行性强，考虑周全，思路清晰，完全满足项目需求，得10分；</w:t>
            </w:r>
          </w:p>
          <w:p w14:paraId="6375A163">
            <w:pPr>
              <w:pStyle w:val="13"/>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2.方案较为完整、针对性较强，思路基本清晰，能够满足项目需求，得7分；</w:t>
            </w:r>
          </w:p>
          <w:p w14:paraId="4F60370E">
            <w:pPr>
              <w:pStyle w:val="13"/>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3.方案较为简单，针对性基本满足项目需求，得4分；</w:t>
            </w:r>
          </w:p>
          <w:p w14:paraId="221B030B">
            <w:pPr>
              <w:pStyle w:val="13"/>
              <w:ind w:firstLine="420" w:firstLineChars="0"/>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highlight w:val="none"/>
                <w:lang w:val="en-US" w:eastAsia="zh-CN"/>
              </w:rPr>
              <w:t>4.未提供实施方案，或方案内容严重缺失、不符合项目需求，不得分。</w:t>
            </w:r>
          </w:p>
        </w:tc>
      </w:tr>
      <w:tr w14:paraId="6D72F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5" w:type="dxa"/>
            <w:vMerge w:val="continue"/>
            <w:tcBorders>
              <w:left w:val="single" w:color="auto" w:sz="4" w:space="0"/>
              <w:right w:val="single" w:color="auto" w:sz="4" w:space="0"/>
            </w:tcBorders>
            <w:noWrap w:val="0"/>
            <w:vAlign w:val="center"/>
          </w:tcPr>
          <w:p w14:paraId="698C5D98">
            <w:pPr>
              <w:jc w:val="center"/>
              <w:rPr>
                <w:rFonts w:hint="eastAsia" w:ascii="仿宋" w:hAnsi="仿宋" w:eastAsia="仿宋" w:cs="仿宋"/>
                <w:highlight w:val="none"/>
              </w:rPr>
            </w:pPr>
          </w:p>
        </w:tc>
        <w:tc>
          <w:tcPr>
            <w:tcW w:w="1118" w:type="dxa"/>
            <w:vMerge w:val="continue"/>
            <w:tcBorders>
              <w:left w:val="single" w:color="auto" w:sz="4" w:space="0"/>
              <w:right w:val="single" w:color="auto" w:sz="4" w:space="0"/>
            </w:tcBorders>
            <w:noWrap w:val="0"/>
            <w:vAlign w:val="center"/>
          </w:tcPr>
          <w:p w14:paraId="333A765B">
            <w:pPr>
              <w:jc w:val="center"/>
              <w:rPr>
                <w:rFonts w:hint="eastAsia" w:ascii="仿宋" w:hAnsi="仿宋" w:eastAsia="仿宋" w:cs="仿宋"/>
                <w:highlight w:val="none"/>
              </w:rPr>
            </w:pPr>
          </w:p>
        </w:tc>
        <w:tc>
          <w:tcPr>
            <w:tcW w:w="1352" w:type="dxa"/>
            <w:tcBorders>
              <w:top w:val="single" w:color="auto" w:sz="4" w:space="0"/>
              <w:left w:val="single" w:color="auto" w:sz="4" w:space="0"/>
              <w:right w:val="single" w:color="auto" w:sz="4" w:space="0"/>
            </w:tcBorders>
            <w:noWrap w:val="0"/>
            <w:vAlign w:val="center"/>
          </w:tcPr>
          <w:p w14:paraId="14BC3121">
            <w:pPr>
              <w:jc w:val="center"/>
              <w:rPr>
                <w:rFonts w:hint="default" w:ascii="仿宋" w:hAnsi="仿宋" w:eastAsia="仿宋" w:cs="仿宋"/>
                <w:b w:val="0"/>
                <w:bCs w:val="0"/>
                <w:color w:val="auto"/>
                <w:highlight w:val="none"/>
                <w:lang w:val="en-US" w:eastAsia="zh-CN"/>
              </w:rPr>
            </w:pPr>
            <w:r>
              <w:rPr>
                <w:rFonts w:hint="default" w:ascii="仿宋" w:hAnsi="仿宋" w:eastAsia="仿宋" w:cs="仿宋"/>
                <w:b w:val="0"/>
                <w:bCs w:val="0"/>
                <w:color w:val="auto"/>
                <w:highlight w:val="none"/>
                <w:lang w:val="en-US" w:eastAsia="zh-CN"/>
              </w:rPr>
              <w:t>重点难点</w:t>
            </w:r>
          </w:p>
          <w:p w14:paraId="4FEB4496">
            <w:pPr>
              <w:jc w:val="center"/>
              <w:rPr>
                <w:rFonts w:hint="default" w:ascii="仿宋" w:hAnsi="仿宋" w:eastAsia="仿宋" w:cs="仿宋"/>
                <w:b w:val="0"/>
                <w:bCs w:val="0"/>
                <w:color w:val="auto"/>
                <w:highlight w:val="none"/>
                <w:lang w:val="en-US" w:eastAsia="zh-CN"/>
              </w:rPr>
            </w:pPr>
            <w:r>
              <w:rPr>
                <w:rFonts w:hint="default" w:ascii="仿宋" w:hAnsi="仿宋" w:eastAsia="仿宋" w:cs="仿宋"/>
                <w:b w:val="0"/>
                <w:bCs w:val="0"/>
                <w:color w:val="auto"/>
                <w:highlight w:val="none"/>
                <w:lang w:val="en-US" w:eastAsia="zh-CN"/>
              </w:rPr>
              <w:t>分析</w:t>
            </w:r>
          </w:p>
        </w:tc>
        <w:tc>
          <w:tcPr>
            <w:tcW w:w="818" w:type="dxa"/>
            <w:tcBorders>
              <w:left w:val="single" w:color="auto" w:sz="4" w:space="0"/>
              <w:right w:val="single" w:color="auto" w:sz="4" w:space="0"/>
            </w:tcBorders>
            <w:noWrap w:val="0"/>
            <w:vAlign w:val="center"/>
          </w:tcPr>
          <w:p w14:paraId="46A99F3F">
            <w:pPr>
              <w:jc w:val="center"/>
              <w:rPr>
                <w:rFonts w:hint="eastAsia" w:ascii="仿宋" w:hAnsi="仿宋" w:eastAsia="仿宋" w:cs="仿宋"/>
                <w:b w:val="0"/>
                <w:bCs w:val="0"/>
                <w:color w:val="auto"/>
                <w:sz w:val="21"/>
                <w:szCs w:val="24"/>
                <w:highlight w:val="none"/>
              </w:rPr>
            </w:pPr>
            <w:r>
              <w:rPr>
                <w:rFonts w:hint="eastAsia" w:ascii="仿宋" w:hAnsi="仿宋" w:eastAsia="仿宋" w:cs="仿宋"/>
                <w:b w:val="0"/>
                <w:bCs w:val="0"/>
                <w:color w:val="auto"/>
                <w:sz w:val="21"/>
                <w:szCs w:val="24"/>
                <w:highlight w:val="none"/>
                <w:lang w:val="en-US" w:eastAsia="zh-CN"/>
              </w:rPr>
              <w:t>10</w:t>
            </w:r>
          </w:p>
        </w:tc>
        <w:tc>
          <w:tcPr>
            <w:tcW w:w="5288" w:type="dxa"/>
            <w:tcBorders>
              <w:left w:val="single" w:color="auto" w:sz="4" w:space="0"/>
              <w:right w:val="single" w:color="auto" w:sz="4" w:space="0"/>
            </w:tcBorders>
            <w:noWrap w:val="0"/>
            <w:vAlign w:val="center"/>
          </w:tcPr>
          <w:p w14:paraId="242E757B">
            <w:pPr>
              <w:pStyle w:val="13"/>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根据投标人对</w:t>
            </w:r>
            <w:r>
              <w:rPr>
                <w:rFonts w:hint="eastAsia" w:ascii="仿宋" w:hAnsi="仿宋" w:eastAsia="仿宋" w:cs="仿宋"/>
                <w:color w:val="auto"/>
                <w:highlight w:val="white"/>
              </w:rPr>
              <w:t>本海防监控点位</w:t>
            </w:r>
            <w:r>
              <w:rPr>
                <w:rFonts w:hint="eastAsia" w:ascii="仿宋" w:hAnsi="仿宋" w:eastAsia="仿宋" w:cs="仿宋"/>
                <w:color w:val="auto"/>
                <w:highlight w:val="white"/>
                <w:lang w:val="en-US" w:eastAsia="zh-CN"/>
              </w:rPr>
              <w:t>建设</w:t>
            </w:r>
            <w:r>
              <w:rPr>
                <w:rFonts w:hint="eastAsia" w:ascii="仿宋" w:hAnsi="仿宋" w:eastAsia="仿宋" w:cs="仿宋"/>
                <w:color w:val="auto"/>
                <w:highlight w:val="white"/>
              </w:rPr>
              <w:t>项目</w:t>
            </w:r>
            <w:r>
              <w:rPr>
                <w:rFonts w:hint="eastAsia" w:ascii="仿宋" w:hAnsi="仿宋" w:eastAsia="仿宋" w:cs="仿宋"/>
                <w:color w:val="auto"/>
                <w:highlight w:val="none"/>
                <w:lang w:val="en-US" w:eastAsia="zh-CN"/>
              </w:rPr>
              <w:t>重点、难点的识别准确性，以及针对重点工作的保障措施、难点问题的解决方案专业性、可行性进行评审。重点涵盖专用设备调试(包含前端感知设备及太阳能供电系统等)、组网方案（包含各前端点位视频专网线路布放路径、无线VPN接入方式等）等相关内容。</w:t>
            </w:r>
          </w:p>
          <w:p w14:paraId="049E0812">
            <w:pPr>
              <w:pStyle w:val="13"/>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本项满分10分，评审委员会根据投标人具体响应内容，按以下量化标准进行满足性判断：</w:t>
            </w:r>
          </w:p>
          <w:p w14:paraId="338EE49A">
            <w:pPr>
              <w:pStyle w:val="13"/>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1.能精准识别项目核心重点、难点，贴合海防公安技防项目实际，难点解决方案专业可行、针对性极强，得10分；</w:t>
            </w:r>
          </w:p>
          <w:p w14:paraId="49B49AC5">
            <w:pPr>
              <w:pStyle w:val="13"/>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2.能准确识别项目主要重点、难点，难点解决方案可行、有一定针对性，得7分；</w:t>
            </w:r>
          </w:p>
          <w:p w14:paraId="39FCAF59">
            <w:pPr>
              <w:pStyle w:val="13"/>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3.能识别项目部分重点、难点，难点解决方案针对性基本可行，得4分；</w:t>
            </w:r>
          </w:p>
          <w:p w14:paraId="11934C78">
            <w:pPr>
              <w:pStyle w:val="13"/>
              <w:ind w:firstLine="420" w:firstLineChars="0"/>
              <w:rPr>
                <w:rFonts w:hint="eastAsia" w:ascii="仿宋" w:hAnsi="仿宋" w:eastAsia="仿宋" w:cs="仿宋"/>
                <w:color w:val="auto"/>
                <w:sz w:val="21"/>
                <w:szCs w:val="21"/>
                <w:highlight w:val="none"/>
              </w:rPr>
            </w:pPr>
            <w:r>
              <w:rPr>
                <w:rFonts w:hint="eastAsia" w:ascii="仿宋" w:hAnsi="仿宋" w:eastAsia="仿宋" w:cs="仿宋"/>
                <w:color w:val="auto"/>
                <w:highlight w:val="none"/>
                <w:lang w:val="en-US" w:eastAsia="zh-CN"/>
              </w:rPr>
              <w:t>4.未提供重点难点分析相关内容，或重点、难点识别严重偏差，无有效解决方案，不得分。</w:t>
            </w:r>
          </w:p>
        </w:tc>
      </w:tr>
      <w:tr w14:paraId="1FF00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1" w:hRule="atLeast"/>
          <w:jc w:val="center"/>
        </w:trPr>
        <w:tc>
          <w:tcPr>
            <w:tcW w:w="575" w:type="dxa"/>
            <w:vMerge w:val="continue"/>
            <w:tcBorders>
              <w:left w:val="single" w:color="auto" w:sz="4" w:space="0"/>
              <w:right w:val="single" w:color="auto" w:sz="4" w:space="0"/>
            </w:tcBorders>
            <w:noWrap w:val="0"/>
            <w:vAlign w:val="center"/>
          </w:tcPr>
          <w:p w14:paraId="2D43B9AF">
            <w:pPr>
              <w:jc w:val="center"/>
              <w:rPr>
                <w:rFonts w:hint="eastAsia" w:ascii="仿宋" w:hAnsi="仿宋" w:eastAsia="仿宋" w:cs="仿宋"/>
                <w:highlight w:val="none"/>
              </w:rPr>
            </w:pPr>
          </w:p>
        </w:tc>
        <w:tc>
          <w:tcPr>
            <w:tcW w:w="1118" w:type="dxa"/>
            <w:vMerge w:val="continue"/>
            <w:tcBorders>
              <w:left w:val="single" w:color="auto" w:sz="4" w:space="0"/>
              <w:right w:val="single" w:color="auto" w:sz="4" w:space="0"/>
            </w:tcBorders>
            <w:noWrap w:val="0"/>
            <w:vAlign w:val="center"/>
          </w:tcPr>
          <w:p w14:paraId="6F5E649C">
            <w:pPr>
              <w:jc w:val="center"/>
              <w:rPr>
                <w:rFonts w:hint="eastAsia" w:ascii="仿宋" w:hAnsi="仿宋" w:eastAsia="仿宋" w:cs="仿宋"/>
                <w:highlight w:val="none"/>
              </w:rPr>
            </w:pPr>
          </w:p>
        </w:tc>
        <w:tc>
          <w:tcPr>
            <w:tcW w:w="1352" w:type="dxa"/>
            <w:tcBorders>
              <w:top w:val="single" w:color="auto" w:sz="4" w:space="0"/>
              <w:left w:val="single" w:color="auto" w:sz="4" w:space="0"/>
              <w:right w:val="single" w:color="auto" w:sz="4" w:space="0"/>
            </w:tcBorders>
            <w:noWrap w:val="0"/>
            <w:vAlign w:val="center"/>
          </w:tcPr>
          <w:p w14:paraId="157C8B10">
            <w:pPr>
              <w:widowControl/>
              <w:jc w:val="center"/>
              <w:rPr>
                <w:rFonts w:hint="eastAsia" w:ascii="仿宋" w:hAnsi="仿宋" w:eastAsia="仿宋" w:cs="仿宋"/>
                <w:b w:val="0"/>
                <w:bCs w:val="0"/>
                <w:color w:val="auto"/>
                <w:sz w:val="21"/>
                <w:szCs w:val="21"/>
                <w:highlight w:val="white"/>
              </w:rPr>
            </w:pPr>
            <w:r>
              <w:rPr>
                <w:rFonts w:hint="eastAsia" w:ascii="仿宋" w:hAnsi="仿宋" w:eastAsia="仿宋" w:cs="仿宋"/>
                <w:b w:val="0"/>
                <w:bCs w:val="0"/>
                <w:color w:val="auto"/>
                <w:sz w:val="21"/>
                <w:szCs w:val="21"/>
                <w:highlight w:val="white"/>
                <w:lang w:val="en-US" w:eastAsia="zh-CN" w:bidi="ar"/>
              </w:rPr>
              <w:t>售后服务</w:t>
            </w:r>
          </w:p>
          <w:p w14:paraId="0F2CB95A">
            <w:pPr>
              <w:widowControl/>
              <w:jc w:val="center"/>
              <w:rPr>
                <w:rFonts w:hint="eastAsia" w:ascii="仿宋" w:hAnsi="仿宋" w:eastAsia="仿宋" w:cs="仿宋"/>
                <w:b w:val="0"/>
                <w:bCs w:val="0"/>
                <w:color w:val="auto"/>
                <w:highlight w:val="none"/>
              </w:rPr>
            </w:pPr>
            <w:r>
              <w:rPr>
                <w:rFonts w:hint="eastAsia" w:ascii="仿宋" w:hAnsi="仿宋" w:eastAsia="仿宋" w:cs="仿宋"/>
                <w:b w:val="0"/>
                <w:bCs w:val="0"/>
                <w:color w:val="auto"/>
                <w:sz w:val="21"/>
                <w:szCs w:val="21"/>
                <w:highlight w:val="white"/>
                <w:lang w:val="en-US" w:eastAsia="zh-CN" w:bidi="ar"/>
              </w:rPr>
              <w:t>方案</w:t>
            </w:r>
          </w:p>
        </w:tc>
        <w:tc>
          <w:tcPr>
            <w:tcW w:w="818" w:type="dxa"/>
            <w:tcBorders>
              <w:top w:val="single" w:color="auto" w:sz="4" w:space="0"/>
              <w:left w:val="single" w:color="auto" w:sz="4" w:space="0"/>
              <w:right w:val="single" w:color="auto" w:sz="4" w:space="0"/>
            </w:tcBorders>
            <w:noWrap w:val="0"/>
            <w:vAlign w:val="center"/>
          </w:tcPr>
          <w:p w14:paraId="25B115C3">
            <w:pPr>
              <w:keepNext w:val="0"/>
              <w:keepLines w:val="0"/>
              <w:pageBreakBefore w:val="0"/>
              <w:widowControl w:val="0"/>
              <w:spacing w:line="240" w:lineRule="auto"/>
              <w:jc w:val="center"/>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8</w:t>
            </w:r>
          </w:p>
        </w:tc>
        <w:tc>
          <w:tcPr>
            <w:tcW w:w="5288" w:type="dxa"/>
            <w:tcBorders>
              <w:top w:val="single" w:color="auto" w:sz="4" w:space="0"/>
              <w:left w:val="single" w:color="auto" w:sz="4" w:space="0"/>
              <w:right w:val="single" w:color="auto" w:sz="4" w:space="0"/>
            </w:tcBorders>
            <w:noWrap w:val="0"/>
            <w:vAlign w:val="center"/>
          </w:tcPr>
          <w:p w14:paraId="117E9C5A">
            <w:pPr>
              <w:widowControl/>
              <w:ind w:firstLine="420" w:firstLineChars="0"/>
              <w:jc w:val="left"/>
              <w:rPr>
                <w:rFonts w:hint="eastAsia" w:ascii="仿宋" w:hAnsi="仿宋" w:eastAsia="仿宋" w:cs="仿宋"/>
                <w:color w:val="auto"/>
                <w:highlight w:val="white"/>
              </w:rPr>
            </w:pPr>
            <w:r>
              <w:rPr>
                <w:rFonts w:hint="eastAsia" w:ascii="仿宋" w:hAnsi="仿宋" w:eastAsia="仿宋" w:cs="仿宋"/>
                <w:color w:val="auto"/>
                <w:highlight w:val="white"/>
              </w:rPr>
              <w:t>根据投标人对本海防监控点位</w:t>
            </w:r>
            <w:r>
              <w:rPr>
                <w:rFonts w:hint="eastAsia" w:ascii="仿宋" w:hAnsi="仿宋" w:eastAsia="仿宋" w:cs="仿宋"/>
                <w:color w:val="auto"/>
                <w:highlight w:val="white"/>
                <w:lang w:val="en-US" w:eastAsia="zh-CN"/>
              </w:rPr>
              <w:t>建设</w:t>
            </w:r>
            <w:r>
              <w:rPr>
                <w:rFonts w:hint="eastAsia" w:ascii="仿宋" w:hAnsi="仿宋" w:eastAsia="仿宋" w:cs="仿宋"/>
                <w:color w:val="auto"/>
                <w:highlight w:val="white"/>
              </w:rPr>
              <w:t>项目售后服务需求的理解、方案完整性、专业性及可行性进行评审。售后服务方案内容包含但不限于：运维组织架构、故障处理保障措施、运维效率提升措施等。</w:t>
            </w:r>
          </w:p>
          <w:p w14:paraId="371DB24A">
            <w:pPr>
              <w:widowControl/>
              <w:ind w:firstLine="420" w:firstLineChars="0"/>
              <w:jc w:val="left"/>
              <w:rPr>
                <w:rFonts w:hint="eastAsia" w:ascii="仿宋" w:hAnsi="仿宋" w:eastAsia="仿宋" w:cs="仿宋"/>
                <w:color w:val="auto"/>
                <w:highlight w:val="white"/>
              </w:rPr>
            </w:pPr>
            <w:r>
              <w:rPr>
                <w:rFonts w:hint="eastAsia" w:ascii="仿宋" w:hAnsi="仿宋" w:eastAsia="仿宋" w:cs="仿宋"/>
                <w:color w:val="auto"/>
                <w:highlight w:val="white"/>
              </w:rPr>
              <w:t>本项满分</w:t>
            </w:r>
            <w:r>
              <w:rPr>
                <w:rFonts w:hint="eastAsia" w:ascii="仿宋" w:hAnsi="仿宋" w:eastAsia="仿宋" w:cs="仿宋"/>
                <w:color w:val="auto"/>
                <w:highlight w:val="white"/>
                <w:lang w:val="en-US" w:eastAsia="zh-CN"/>
              </w:rPr>
              <w:t>8</w:t>
            </w:r>
            <w:r>
              <w:rPr>
                <w:rFonts w:hint="eastAsia" w:ascii="仿宋" w:hAnsi="仿宋" w:eastAsia="仿宋" w:cs="仿宋"/>
                <w:color w:val="auto"/>
                <w:highlight w:val="white"/>
              </w:rPr>
              <w:t>分，评审委员会根据投标人具体响应内容，按以下量化标准进行满足性判断：</w:t>
            </w:r>
          </w:p>
          <w:p w14:paraId="6F20326D">
            <w:pPr>
              <w:widowControl/>
              <w:ind w:firstLine="420" w:firstLineChars="0"/>
              <w:jc w:val="left"/>
              <w:rPr>
                <w:rFonts w:hint="eastAsia" w:ascii="仿宋" w:hAnsi="仿宋" w:eastAsia="仿宋" w:cs="仿宋"/>
                <w:color w:val="auto"/>
                <w:highlight w:val="white"/>
              </w:rPr>
            </w:pPr>
            <w:r>
              <w:rPr>
                <w:rFonts w:hint="eastAsia" w:ascii="仿宋" w:hAnsi="仿宋" w:eastAsia="仿宋" w:cs="仿宋"/>
                <w:color w:val="auto"/>
                <w:highlight w:val="white"/>
              </w:rPr>
              <w:t>1.方案完整详尽，专业性、可行性强，考虑周全，思路清晰，完全满足项目售后需求，得</w:t>
            </w:r>
            <w:r>
              <w:rPr>
                <w:rFonts w:hint="eastAsia" w:ascii="仿宋" w:hAnsi="仿宋" w:eastAsia="仿宋" w:cs="仿宋"/>
                <w:color w:val="auto"/>
                <w:highlight w:val="white"/>
                <w:lang w:val="en-US" w:eastAsia="zh-CN"/>
              </w:rPr>
              <w:t>8</w:t>
            </w:r>
            <w:r>
              <w:rPr>
                <w:rFonts w:hint="eastAsia" w:ascii="仿宋" w:hAnsi="仿宋" w:eastAsia="仿宋" w:cs="仿宋"/>
                <w:color w:val="auto"/>
                <w:highlight w:val="white"/>
              </w:rPr>
              <w:t>分；</w:t>
            </w:r>
          </w:p>
          <w:p w14:paraId="12080051">
            <w:pPr>
              <w:widowControl/>
              <w:ind w:firstLine="420" w:firstLineChars="0"/>
              <w:jc w:val="left"/>
              <w:rPr>
                <w:rFonts w:hint="eastAsia" w:ascii="仿宋" w:hAnsi="仿宋" w:eastAsia="仿宋" w:cs="仿宋"/>
                <w:color w:val="auto"/>
                <w:highlight w:val="white"/>
              </w:rPr>
            </w:pPr>
            <w:r>
              <w:rPr>
                <w:rFonts w:hint="eastAsia" w:ascii="仿宋" w:hAnsi="仿宋" w:eastAsia="仿宋" w:cs="仿宋"/>
                <w:color w:val="auto"/>
                <w:highlight w:val="white"/>
              </w:rPr>
              <w:t>2.方案较为完整、针对性较强，思路基本清晰，能够满足项目售后需求，得</w:t>
            </w:r>
            <w:r>
              <w:rPr>
                <w:rFonts w:hint="eastAsia" w:ascii="仿宋" w:hAnsi="仿宋" w:eastAsia="仿宋" w:cs="仿宋"/>
                <w:color w:val="auto"/>
                <w:highlight w:val="white"/>
                <w:lang w:val="en-US" w:eastAsia="zh-CN"/>
              </w:rPr>
              <w:t>5</w:t>
            </w:r>
            <w:r>
              <w:rPr>
                <w:rFonts w:hint="eastAsia" w:ascii="仿宋" w:hAnsi="仿宋" w:eastAsia="仿宋" w:cs="仿宋"/>
                <w:color w:val="auto"/>
                <w:highlight w:val="white"/>
              </w:rPr>
              <w:t>分；</w:t>
            </w:r>
          </w:p>
          <w:p w14:paraId="26A538F3">
            <w:pPr>
              <w:widowControl/>
              <w:ind w:firstLine="420" w:firstLineChars="0"/>
              <w:jc w:val="left"/>
              <w:rPr>
                <w:rFonts w:hint="eastAsia" w:ascii="仿宋" w:hAnsi="仿宋" w:eastAsia="仿宋" w:cs="仿宋"/>
                <w:color w:val="auto"/>
                <w:highlight w:val="white"/>
              </w:rPr>
            </w:pPr>
            <w:r>
              <w:rPr>
                <w:rFonts w:hint="eastAsia" w:ascii="仿宋" w:hAnsi="仿宋" w:eastAsia="仿宋" w:cs="仿宋"/>
                <w:color w:val="auto"/>
                <w:highlight w:val="white"/>
              </w:rPr>
              <w:t>3.方案较为简单，针对性基本满足项目售后需求，得</w:t>
            </w:r>
            <w:r>
              <w:rPr>
                <w:rFonts w:hint="eastAsia" w:ascii="仿宋" w:hAnsi="仿宋" w:eastAsia="仿宋" w:cs="仿宋"/>
                <w:color w:val="auto"/>
                <w:highlight w:val="white"/>
                <w:lang w:val="en-US" w:eastAsia="zh-CN"/>
              </w:rPr>
              <w:t>2</w:t>
            </w:r>
            <w:r>
              <w:rPr>
                <w:rFonts w:hint="eastAsia" w:ascii="仿宋" w:hAnsi="仿宋" w:eastAsia="仿宋" w:cs="仿宋"/>
                <w:color w:val="auto"/>
                <w:highlight w:val="white"/>
              </w:rPr>
              <w:t>分；</w:t>
            </w:r>
          </w:p>
          <w:p w14:paraId="63B97D95">
            <w:pPr>
              <w:widowControl/>
              <w:ind w:firstLine="420" w:firstLineChars="0"/>
              <w:jc w:val="left"/>
              <w:rPr>
                <w:rFonts w:hint="eastAsia" w:ascii="仿宋" w:hAnsi="仿宋" w:eastAsia="仿宋" w:cs="仿宋"/>
                <w:color w:val="auto"/>
                <w:highlight w:val="white"/>
              </w:rPr>
            </w:pPr>
            <w:r>
              <w:rPr>
                <w:rFonts w:hint="eastAsia" w:ascii="仿宋" w:hAnsi="仿宋" w:eastAsia="仿宋" w:cs="仿宋"/>
                <w:color w:val="auto"/>
                <w:highlight w:val="white"/>
              </w:rPr>
              <w:t>4.未提供售后服务方案，或方案内容严重缺失、不符合项目售后需求，不得分。</w:t>
            </w:r>
          </w:p>
        </w:tc>
      </w:tr>
      <w:tr w14:paraId="21E1D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575" w:type="dxa"/>
            <w:vMerge w:val="restart"/>
            <w:tcBorders>
              <w:left w:val="single" w:color="auto" w:sz="4" w:space="0"/>
              <w:right w:val="single" w:color="auto" w:sz="4" w:space="0"/>
            </w:tcBorders>
            <w:noWrap w:val="0"/>
            <w:vAlign w:val="center"/>
          </w:tcPr>
          <w:p w14:paraId="55FBE28F">
            <w:pPr>
              <w:jc w:val="center"/>
              <w:rPr>
                <w:rFonts w:hint="eastAsia" w:ascii="仿宋" w:hAnsi="仿宋" w:eastAsia="仿宋" w:cs="仿宋"/>
                <w:highlight w:val="none"/>
              </w:rPr>
            </w:pPr>
            <w:r>
              <w:rPr>
                <w:rFonts w:hint="eastAsia" w:ascii="仿宋" w:hAnsi="仿宋" w:eastAsia="仿宋" w:cs="仿宋"/>
                <w:highlight w:val="none"/>
              </w:rPr>
              <w:t>三</w:t>
            </w:r>
          </w:p>
        </w:tc>
        <w:tc>
          <w:tcPr>
            <w:tcW w:w="1118" w:type="dxa"/>
            <w:vMerge w:val="restart"/>
            <w:tcBorders>
              <w:left w:val="single" w:color="auto" w:sz="4" w:space="0"/>
              <w:right w:val="single" w:color="auto" w:sz="4" w:space="0"/>
            </w:tcBorders>
            <w:noWrap w:val="0"/>
            <w:vAlign w:val="center"/>
          </w:tcPr>
          <w:p w14:paraId="6DE762C8">
            <w:pPr>
              <w:jc w:val="center"/>
              <w:rPr>
                <w:rFonts w:hint="eastAsia" w:ascii="仿宋" w:hAnsi="仿宋" w:eastAsia="仿宋" w:cs="仿宋"/>
                <w:highlight w:val="none"/>
              </w:rPr>
            </w:pPr>
            <w:r>
              <w:rPr>
                <w:rFonts w:hint="eastAsia" w:ascii="仿宋" w:hAnsi="仿宋" w:eastAsia="仿宋" w:cs="仿宋"/>
                <w:highlight w:val="none"/>
              </w:rPr>
              <w:t>履约能力</w:t>
            </w:r>
          </w:p>
        </w:tc>
        <w:tc>
          <w:tcPr>
            <w:tcW w:w="1352" w:type="dxa"/>
            <w:tcBorders>
              <w:top w:val="single" w:color="auto" w:sz="4" w:space="0"/>
              <w:left w:val="single" w:color="auto" w:sz="4" w:space="0"/>
              <w:right w:val="single" w:color="auto" w:sz="4" w:space="0"/>
            </w:tcBorders>
            <w:noWrap w:val="0"/>
            <w:vAlign w:val="center"/>
          </w:tcPr>
          <w:p w14:paraId="4C8484F3">
            <w:pPr>
              <w:jc w:val="center"/>
              <w:rPr>
                <w:rFonts w:hint="eastAsia" w:ascii="仿宋" w:hAnsi="仿宋" w:eastAsia="仿宋" w:cs="仿宋"/>
                <w:b w:val="0"/>
                <w:bCs w:val="0"/>
                <w:color w:val="auto"/>
                <w:highlight w:val="none"/>
              </w:rPr>
            </w:pPr>
            <w:bookmarkStart w:id="198" w:name="OLE_LINK27"/>
            <w:r>
              <w:rPr>
                <w:rFonts w:hint="eastAsia" w:ascii="仿宋" w:hAnsi="仿宋" w:eastAsia="仿宋" w:cs="仿宋"/>
                <w:b w:val="0"/>
                <w:bCs w:val="0"/>
                <w:color w:val="auto"/>
                <w:highlight w:val="none"/>
                <w:lang w:val="en-US" w:eastAsia="zh-CN"/>
              </w:rPr>
              <w:t>企业资信</w:t>
            </w:r>
            <w:bookmarkEnd w:id="198"/>
          </w:p>
        </w:tc>
        <w:tc>
          <w:tcPr>
            <w:tcW w:w="818" w:type="dxa"/>
            <w:tcBorders>
              <w:top w:val="single" w:color="auto" w:sz="4" w:space="0"/>
              <w:left w:val="single" w:color="auto" w:sz="4" w:space="0"/>
              <w:right w:val="single" w:color="auto" w:sz="4" w:space="0"/>
            </w:tcBorders>
            <w:noWrap w:val="0"/>
            <w:vAlign w:val="center"/>
          </w:tcPr>
          <w:p w14:paraId="47828515">
            <w:pPr>
              <w:jc w:val="center"/>
              <w:rPr>
                <w:rFonts w:hint="default"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7</w:t>
            </w:r>
          </w:p>
        </w:tc>
        <w:tc>
          <w:tcPr>
            <w:tcW w:w="5288" w:type="dxa"/>
            <w:tcBorders>
              <w:top w:val="single" w:color="auto" w:sz="4" w:space="0"/>
              <w:left w:val="single" w:color="auto" w:sz="4" w:space="0"/>
              <w:right w:val="single" w:color="auto" w:sz="4" w:space="0"/>
            </w:tcBorders>
            <w:noWrap w:val="0"/>
            <w:vAlign w:val="center"/>
          </w:tcPr>
          <w:p w14:paraId="28AF2934">
            <w:pPr>
              <w:widowControl/>
              <w:ind w:firstLine="420" w:firstLineChars="0"/>
              <w:jc w:val="left"/>
              <w:rPr>
                <w:rFonts w:hint="eastAsia" w:ascii="仿宋" w:hAnsi="仿宋" w:eastAsia="仿宋" w:cs="仿宋"/>
                <w:color w:val="auto"/>
                <w:highlight w:val="white"/>
                <w:lang w:val="en-US" w:eastAsia="zh-CN"/>
              </w:rPr>
            </w:pPr>
            <w:bookmarkStart w:id="199" w:name="OLE_LINK28"/>
            <w:r>
              <w:rPr>
                <w:rFonts w:hint="eastAsia" w:ascii="仿宋" w:hAnsi="仿宋" w:eastAsia="仿宋" w:cs="仿宋"/>
                <w:color w:val="auto"/>
                <w:highlight w:val="white"/>
                <w:lang w:val="en-US" w:eastAsia="zh-CN"/>
              </w:rPr>
              <w:t>1.投标人持有有效期内的《增值电信业务经营许可证》，许可经营范围包含互联网数据中心业务或互联网接入服务业务的，得2分；未提供对应资质证书或资质超出有效期或许可经营范围不满足要求的，本项不得分。</w:t>
            </w:r>
          </w:p>
          <w:p w14:paraId="7B903D7B">
            <w:pPr>
              <w:spacing w:line="300" w:lineRule="exact"/>
              <w:ind w:firstLine="42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2.投标人</w:t>
            </w:r>
            <w:bookmarkStart w:id="227" w:name="_GoBack"/>
            <w:bookmarkEnd w:id="227"/>
            <w:r>
              <w:rPr>
                <w:rFonts w:hint="eastAsia" w:ascii="仿宋" w:hAnsi="仿宋" w:eastAsia="仿宋" w:cs="仿宋"/>
                <w:color w:val="auto"/>
                <w:szCs w:val="21"/>
                <w:highlight w:val="none"/>
                <w:lang w:val="en-US" w:eastAsia="zh-CN"/>
              </w:rPr>
              <w:t>具有有效的IS9001质量管理体系认证、ISO14001环境管理体系认证、ISO45001职业健康安全管理体系认证、ISO20000信息技术服务管理体系认证、ISO27001信息安全管理体系认证证书，每提供1个有效证书得1分，本项最高得5分。</w:t>
            </w:r>
          </w:p>
          <w:p w14:paraId="6007A7C6">
            <w:pPr>
              <w:spacing w:line="300" w:lineRule="exact"/>
              <w:ind w:firstLine="420"/>
              <w:jc w:val="left"/>
              <w:rPr>
                <w:rFonts w:hint="default"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注：投标文件中需提供以上有效证书扫描件，须同时提供全国认证认可信息公共服务平台官网（网址：http://cx.cnca.cn/）证书信息查询截图，否则该项不得分。</w:t>
            </w:r>
            <w:bookmarkEnd w:id="199"/>
          </w:p>
        </w:tc>
      </w:tr>
      <w:tr w14:paraId="1E95B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575" w:type="dxa"/>
            <w:vMerge w:val="continue"/>
            <w:tcBorders>
              <w:left w:val="single" w:color="auto" w:sz="4" w:space="0"/>
              <w:right w:val="single" w:color="auto" w:sz="4" w:space="0"/>
            </w:tcBorders>
            <w:noWrap w:val="0"/>
            <w:vAlign w:val="center"/>
          </w:tcPr>
          <w:p w14:paraId="0AD7ABA5">
            <w:pPr>
              <w:jc w:val="center"/>
              <w:rPr>
                <w:rFonts w:hint="eastAsia" w:ascii="仿宋" w:hAnsi="仿宋" w:eastAsia="仿宋" w:cs="仿宋"/>
                <w:highlight w:val="none"/>
                <w:lang w:val="en-US" w:eastAsia="zh-CN"/>
              </w:rPr>
            </w:pPr>
          </w:p>
        </w:tc>
        <w:tc>
          <w:tcPr>
            <w:tcW w:w="1118" w:type="dxa"/>
            <w:vMerge w:val="continue"/>
            <w:tcBorders>
              <w:left w:val="single" w:color="auto" w:sz="4" w:space="0"/>
              <w:right w:val="single" w:color="auto" w:sz="4" w:space="0"/>
            </w:tcBorders>
            <w:noWrap w:val="0"/>
            <w:vAlign w:val="center"/>
          </w:tcPr>
          <w:p w14:paraId="106D9F99">
            <w:pPr>
              <w:jc w:val="center"/>
              <w:rPr>
                <w:rFonts w:hint="eastAsia" w:ascii="仿宋" w:hAnsi="仿宋" w:eastAsia="仿宋" w:cs="仿宋"/>
                <w:highlight w:val="none"/>
              </w:rPr>
            </w:pPr>
          </w:p>
        </w:tc>
        <w:tc>
          <w:tcPr>
            <w:tcW w:w="1352" w:type="dxa"/>
            <w:tcBorders>
              <w:top w:val="single" w:color="auto" w:sz="4" w:space="0"/>
              <w:left w:val="single" w:color="auto" w:sz="4" w:space="0"/>
              <w:right w:val="single" w:color="auto" w:sz="4" w:space="0"/>
            </w:tcBorders>
            <w:noWrap w:val="0"/>
            <w:vAlign w:val="center"/>
          </w:tcPr>
          <w:p w14:paraId="44AD5987">
            <w:pPr>
              <w:jc w:val="center"/>
              <w:rPr>
                <w:rFonts w:hint="default"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人员配置</w:t>
            </w:r>
          </w:p>
        </w:tc>
        <w:tc>
          <w:tcPr>
            <w:tcW w:w="818" w:type="dxa"/>
            <w:tcBorders>
              <w:left w:val="single" w:color="auto" w:sz="4" w:space="0"/>
              <w:right w:val="single" w:color="auto" w:sz="4" w:space="0"/>
            </w:tcBorders>
            <w:noWrap w:val="0"/>
            <w:vAlign w:val="center"/>
          </w:tcPr>
          <w:p w14:paraId="31F16F1D">
            <w:pPr>
              <w:jc w:val="center"/>
              <w:rPr>
                <w:rFonts w:hint="eastAsia" w:ascii="仿宋" w:hAnsi="仿宋" w:eastAsia="仿宋" w:cs="仿宋"/>
                <w:b w:val="0"/>
                <w:bCs w:val="0"/>
                <w:color w:val="auto"/>
                <w:sz w:val="21"/>
                <w:szCs w:val="24"/>
                <w:highlight w:val="none"/>
              </w:rPr>
            </w:pPr>
            <w:r>
              <w:rPr>
                <w:rFonts w:hint="eastAsia" w:ascii="仿宋" w:hAnsi="仿宋" w:eastAsia="仿宋" w:cs="仿宋"/>
                <w:b w:val="0"/>
                <w:bCs w:val="0"/>
                <w:color w:val="auto"/>
                <w:highlight w:val="none"/>
                <w:lang w:val="en-US" w:eastAsia="zh-CN"/>
              </w:rPr>
              <w:t>7</w:t>
            </w:r>
          </w:p>
        </w:tc>
        <w:tc>
          <w:tcPr>
            <w:tcW w:w="5288" w:type="dxa"/>
            <w:tcBorders>
              <w:left w:val="single" w:color="auto" w:sz="4" w:space="0"/>
              <w:right w:val="single" w:color="auto" w:sz="4" w:space="0"/>
            </w:tcBorders>
            <w:noWrap w:val="0"/>
            <w:vAlign w:val="center"/>
          </w:tcPr>
          <w:p w14:paraId="12240895">
            <w:pPr>
              <w:ind w:firstLine="422" w:firstLineChars="200"/>
              <w:contextualSpacing/>
              <w:jc w:val="both"/>
              <w:rPr>
                <w:rFonts w:hint="eastAsia" w:ascii="仿宋" w:hAnsi="仿宋" w:eastAsia="仿宋" w:cs="仿宋"/>
                <w:b/>
                <w:bCs w:val="0"/>
                <w:color w:val="auto"/>
                <w:sz w:val="21"/>
                <w:szCs w:val="21"/>
                <w:highlight w:val="none"/>
              </w:rPr>
            </w:pPr>
            <w:bookmarkStart w:id="200" w:name="OLE_LINK30"/>
            <w:r>
              <w:rPr>
                <w:rFonts w:hint="eastAsia" w:ascii="仿宋" w:hAnsi="仿宋" w:eastAsia="仿宋" w:cs="仿宋"/>
                <w:b/>
                <w:bCs w:val="0"/>
                <w:color w:val="auto"/>
                <w:sz w:val="21"/>
                <w:szCs w:val="21"/>
                <w:highlight w:val="none"/>
                <w:lang w:val="en-US" w:eastAsia="zh-CN"/>
              </w:rPr>
              <w:t>1.</w:t>
            </w:r>
            <w:r>
              <w:rPr>
                <w:rFonts w:hint="eastAsia" w:ascii="仿宋" w:hAnsi="仿宋" w:eastAsia="仿宋" w:cs="仿宋"/>
                <w:b/>
                <w:bCs w:val="0"/>
                <w:color w:val="auto"/>
                <w:sz w:val="21"/>
                <w:szCs w:val="21"/>
                <w:highlight w:val="none"/>
              </w:rPr>
              <w:t>项目</w:t>
            </w:r>
            <w:r>
              <w:rPr>
                <w:rFonts w:hint="eastAsia" w:ascii="仿宋" w:hAnsi="仿宋" w:eastAsia="仿宋" w:cs="仿宋"/>
                <w:b/>
                <w:bCs w:val="0"/>
                <w:color w:val="auto"/>
                <w:sz w:val="21"/>
                <w:szCs w:val="21"/>
                <w:highlight w:val="none"/>
                <w:lang w:val="en-US" w:eastAsia="zh-CN"/>
              </w:rPr>
              <w:t>负责人：</w:t>
            </w:r>
          </w:p>
          <w:p w14:paraId="64B4EFFA">
            <w:pPr>
              <w:widowControl/>
              <w:ind w:firstLine="420"/>
              <w:jc w:val="left"/>
              <w:rPr>
                <w:rFonts w:hint="eastAsia" w:ascii="仿宋" w:hAnsi="仿宋" w:eastAsia="仿宋" w:cs="仿宋"/>
                <w:bCs/>
                <w:color w:val="auto"/>
                <w:sz w:val="21"/>
                <w:szCs w:val="21"/>
                <w:highlight w:val="none"/>
                <w:lang w:val="en-US" w:eastAsia="zh-CN"/>
              </w:rPr>
            </w:pPr>
            <w:r>
              <w:rPr>
                <w:rFonts w:hint="eastAsia" w:ascii="仿宋" w:hAnsi="仿宋" w:eastAsia="仿宋" w:cs="仿宋"/>
                <w:color w:val="auto"/>
                <w:sz w:val="21"/>
                <w:szCs w:val="21"/>
                <w:highlight w:val="none"/>
                <w:lang w:val="zh-CN" w:bidi="ar"/>
              </w:rPr>
              <w:t>投标人针对本项目拟派的项目负责人</w:t>
            </w:r>
            <w:r>
              <w:rPr>
                <w:rFonts w:hint="eastAsia" w:ascii="仿宋" w:hAnsi="仿宋" w:eastAsia="仿宋" w:cs="仿宋"/>
                <w:bCs/>
                <w:color w:val="auto"/>
                <w:sz w:val="21"/>
                <w:szCs w:val="21"/>
                <w:highlight w:val="none"/>
              </w:rPr>
              <w:t>具有</w:t>
            </w:r>
            <w:r>
              <w:rPr>
                <w:rFonts w:hint="eastAsia" w:ascii="仿宋" w:hAnsi="仿宋" w:eastAsia="仿宋" w:cs="仿宋"/>
                <w:bCs/>
                <w:color w:val="auto"/>
                <w:sz w:val="21"/>
                <w:szCs w:val="21"/>
                <w:highlight w:val="none"/>
                <w:lang w:eastAsia="zh-CN"/>
              </w:rPr>
              <w:t>高级</w:t>
            </w:r>
            <w:r>
              <w:rPr>
                <w:rFonts w:hint="eastAsia" w:ascii="仿宋" w:hAnsi="仿宋" w:eastAsia="仿宋" w:cs="仿宋"/>
                <w:bCs/>
                <w:color w:val="auto"/>
                <w:sz w:val="21"/>
                <w:szCs w:val="21"/>
                <w:highlight w:val="none"/>
              </w:rPr>
              <w:t>信息系统项目管理师认证证书、</w:t>
            </w:r>
            <w:r>
              <w:rPr>
                <w:rFonts w:hint="eastAsia" w:ascii="仿宋" w:hAnsi="仿宋" w:eastAsia="仿宋" w:cs="仿宋"/>
                <w:bCs/>
                <w:color w:val="auto"/>
                <w:sz w:val="21"/>
                <w:szCs w:val="21"/>
                <w:highlight w:val="none"/>
                <w:lang w:eastAsia="zh-CN"/>
              </w:rPr>
              <w:t>高级工程师、</w:t>
            </w:r>
            <w:r>
              <w:rPr>
                <w:rFonts w:hint="eastAsia" w:ascii="仿宋" w:hAnsi="仿宋" w:eastAsia="仿宋" w:cs="仿宋"/>
                <w:color w:val="auto"/>
                <w:sz w:val="21"/>
                <w:szCs w:val="21"/>
                <w:highlight w:val="none"/>
                <w:lang w:val="en-US" w:eastAsia="zh-CN" w:bidi="ar-SA"/>
              </w:rPr>
              <w:t>注册信息安全专业人员证书（CISP）、</w:t>
            </w:r>
            <w:r>
              <w:rPr>
                <w:rFonts w:hint="eastAsia" w:ascii="仿宋" w:hAnsi="仿宋" w:eastAsia="仿宋" w:cs="仿宋"/>
                <w:color w:val="auto"/>
                <w:sz w:val="21"/>
                <w:szCs w:val="21"/>
                <w:highlight w:val="none"/>
                <w:lang w:val="zh-CN" w:bidi="ar"/>
              </w:rPr>
              <w:t>IT服务项目经理(ITSS)</w:t>
            </w:r>
            <w:r>
              <w:rPr>
                <w:rFonts w:hint="eastAsia" w:ascii="仿宋" w:hAnsi="仿宋" w:eastAsia="仿宋" w:cs="仿宋"/>
                <w:bCs/>
                <w:color w:val="auto"/>
                <w:sz w:val="21"/>
                <w:szCs w:val="21"/>
                <w:highlight w:val="none"/>
              </w:rPr>
              <w:t>，每</w:t>
            </w:r>
            <w:r>
              <w:rPr>
                <w:rFonts w:hint="eastAsia" w:ascii="仿宋" w:hAnsi="仿宋" w:eastAsia="仿宋" w:cs="仿宋"/>
                <w:bCs/>
                <w:color w:val="auto"/>
                <w:sz w:val="21"/>
                <w:szCs w:val="21"/>
                <w:highlight w:val="none"/>
                <w:lang w:val="en-US" w:eastAsia="zh-CN"/>
              </w:rPr>
              <w:t>提供一</w:t>
            </w:r>
            <w:r>
              <w:rPr>
                <w:rFonts w:hint="eastAsia" w:ascii="仿宋" w:hAnsi="仿宋" w:eastAsia="仿宋" w:cs="仿宋"/>
                <w:bCs/>
                <w:color w:val="auto"/>
                <w:sz w:val="21"/>
                <w:szCs w:val="21"/>
                <w:highlight w:val="none"/>
              </w:rPr>
              <w:t>项</w:t>
            </w:r>
            <w:r>
              <w:rPr>
                <w:rFonts w:hint="eastAsia" w:ascii="仿宋" w:hAnsi="仿宋" w:eastAsia="仿宋" w:cs="仿宋"/>
                <w:bCs/>
                <w:color w:val="auto"/>
                <w:sz w:val="21"/>
                <w:szCs w:val="21"/>
                <w:highlight w:val="none"/>
                <w:lang w:val="en-US" w:eastAsia="zh-CN"/>
              </w:rPr>
              <w:t>有效证书</w:t>
            </w:r>
            <w:r>
              <w:rPr>
                <w:rFonts w:hint="eastAsia" w:ascii="仿宋" w:hAnsi="仿宋" w:eastAsia="仿宋" w:cs="仿宋"/>
                <w:bCs/>
                <w:color w:val="auto"/>
                <w:sz w:val="21"/>
                <w:szCs w:val="21"/>
                <w:highlight w:val="none"/>
              </w:rPr>
              <w:t>得1分</w:t>
            </w:r>
            <w:r>
              <w:rPr>
                <w:rFonts w:hint="eastAsia" w:ascii="仿宋" w:hAnsi="仿宋" w:eastAsia="仿宋" w:cs="仿宋"/>
                <w:bCs/>
                <w:color w:val="auto"/>
                <w:sz w:val="21"/>
                <w:szCs w:val="21"/>
                <w:highlight w:val="none"/>
                <w:lang w:eastAsia="zh-CN"/>
              </w:rPr>
              <w:t>，满分</w:t>
            </w:r>
            <w:r>
              <w:rPr>
                <w:rFonts w:hint="eastAsia" w:ascii="仿宋" w:hAnsi="仿宋" w:eastAsia="仿宋" w:cs="仿宋"/>
                <w:bCs/>
                <w:color w:val="auto"/>
                <w:sz w:val="21"/>
                <w:szCs w:val="21"/>
                <w:highlight w:val="none"/>
                <w:lang w:val="en-US" w:eastAsia="zh-CN"/>
              </w:rPr>
              <w:t>4分。</w:t>
            </w:r>
          </w:p>
          <w:p w14:paraId="7CEA2072">
            <w:pPr>
              <w:ind w:firstLine="422" w:firstLineChars="200"/>
              <w:contextualSpacing/>
              <w:jc w:val="both"/>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lang w:val="en-US" w:eastAsia="zh-CN"/>
              </w:rPr>
              <w:t>2.项目组成员（不包括项目负责人）：</w:t>
            </w:r>
          </w:p>
          <w:bookmarkEnd w:id="200"/>
          <w:p w14:paraId="2B651BEA">
            <w:pPr>
              <w:widowControl/>
              <w:ind w:firstLine="420"/>
              <w:jc w:val="left"/>
              <w:rPr>
                <w:rFonts w:hint="default" w:ascii="仿宋" w:hAnsi="仿宋" w:eastAsia="仿宋" w:cs="仿宋"/>
                <w:b/>
                <w:bCs w:val="0"/>
                <w:color w:val="auto"/>
                <w:sz w:val="21"/>
                <w:szCs w:val="21"/>
                <w:highlight w:val="yellow"/>
                <w:lang w:val="en-US" w:eastAsia="zh-CN"/>
              </w:rPr>
            </w:pPr>
            <w:r>
              <w:rPr>
                <w:rFonts w:hint="eastAsia" w:ascii="仿宋" w:hAnsi="仿宋" w:eastAsia="仿宋" w:cs="仿宋"/>
                <w:color w:val="auto"/>
                <w:sz w:val="21"/>
                <w:szCs w:val="21"/>
                <w:highlight w:val="none"/>
                <w:lang w:val="en-US" w:eastAsia="zh-CN" w:bidi="ar-SA"/>
              </w:rPr>
              <w:t>项目组成员中具有信息安全保障人员认证证书（CISAW）、系统集成项目管理工程师、网络规划设计师，每提供一项有效证书得1分，满分3分。</w:t>
            </w:r>
          </w:p>
          <w:p w14:paraId="32560BE0">
            <w:pPr>
              <w:spacing w:line="300" w:lineRule="exact"/>
              <w:ind w:firstLine="422"/>
              <w:jc w:val="left"/>
              <w:rPr>
                <w:rFonts w:hint="eastAsia" w:ascii="仿宋" w:hAnsi="仿宋" w:eastAsia="仿宋" w:cs="仿宋"/>
                <w:color w:val="auto"/>
                <w:sz w:val="21"/>
                <w:szCs w:val="24"/>
                <w:highlight w:val="none"/>
              </w:rPr>
            </w:pPr>
            <w:r>
              <w:rPr>
                <w:rFonts w:hint="eastAsia" w:ascii="仿宋" w:hAnsi="仿宋" w:eastAsia="仿宋" w:cs="仿宋"/>
                <w:b/>
                <w:bCs/>
                <w:color w:val="auto"/>
                <w:sz w:val="21"/>
                <w:szCs w:val="21"/>
                <w:highlight w:val="none"/>
                <w:lang w:val="zh-CN" w:bidi="ar"/>
              </w:rPr>
              <w:t>注：</w:t>
            </w:r>
            <w:r>
              <w:rPr>
                <w:rFonts w:hint="eastAsia" w:ascii="仿宋" w:hAnsi="仿宋" w:eastAsia="仿宋" w:cs="仿宋"/>
                <w:b/>
                <w:bCs/>
                <w:color w:val="auto"/>
                <w:sz w:val="21"/>
                <w:szCs w:val="21"/>
                <w:highlight w:val="none"/>
                <w:lang w:val="en-US" w:eastAsia="zh-CN" w:bidi="ar"/>
              </w:rPr>
              <w:t>提供项目组成员一览表、相关</w:t>
            </w:r>
            <w:r>
              <w:rPr>
                <w:rFonts w:hint="eastAsia" w:ascii="仿宋" w:hAnsi="仿宋" w:eastAsia="仿宋" w:cs="仿宋"/>
                <w:b/>
                <w:bCs/>
                <w:color w:val="auto"/>
                <w:sz w:val="21"/>
                <w:szCs w:val="21"/>
                <w:highlight w:val="none"/>
                <w:lang w:val="zh-CN" w:bidi="ar"/>
              </w:rPr>
              <w:t>证书（证书需在有效期内）</w:t>
            </w:r>
            <w:r>
              <w:rPr>
                <w:rFonts w:hint="eastAsia" w:ascii="仿宋" w:hAnsi="仿宋" w:eastAsia="仿宋" w:cs="仿宋"/>
                <w:b/>
                <w:bCs/>
                <w:color w:val="auto"/>
                <w:sz w:val="21"/>
                <w:szCs w:val="21"/>
                <w:highlight w:val="none"/>
                <w:lang w:val="en-US" w:eastAsia="zh-CN" w:bidi="ar"/>
              </w:rPr>
              <w:t>扫描</w:t>
            </w:r>
            <w:r>
              <w:rPr>
                <w:rFonts w:hint="eastAsia" w:ascii="仿宋" w:hAnsi="仿宋" w:eastAsia="仿宋" w:cs="仿宋"/>
                <w:b/>
                <w:bCs/>
                <w:color w:val="auto"/>
                <w:sz w:val="21"/>
                <w:szCs w:val="21"/>
                <w:highlight w:val="none"/>
                <w:lang w:val="zh-CN" w:bidi="ar"/>
              </w:rPr>
              <w:t>件和本单位为其缴纳的社保证明（从投标截止日当月向前3个月内任意一个月的</w:t>
            </w:r>
            <w:r>
              <w:rPr>
                <w:rFonts w:hint="eastAsia" w:ascii="仿宋" w:hAnsi="仿宋" w:eastAsia="仿宋" w:cs="仿宋"/>
                <w:b/>
                <w:bCs/>
                <w:color w:val="auto"/>
                <w:sz w:val="21"/>
                <w:szCs w:val="21"/>
                <w:highlight w:val="none"/>
                <w:lang w:val="en-US" w:eastAsia="zh-CN" w:bidi="ar"/>
              </w:rPr>
              <w:t>缴费记录</w:t>
            </w:r>
            <w:r>
              <w:rPr>
                <w:rFonts w:hint="eastAsia" w:ascii="仿宋" w:hAnsi="仿宋" w:eastAsia="仿宋" w:cs="仿宋"/>
                <w:b/>
                <w:bCs/>
                <w:color w:val="auto"/>
                <w:sz w:val="21"/>
                <w:szCs w:val="21"/>
                <w:highlight w:val="none"/>
                <w:lang w:val="zh-CN" w:bidi="ar"/>
              </w:rPr>
              <w:t>）材料</w:t>
            </w:r>
            <w:r>
              <w:rPr>
                <w:rFonts w:hint="eastAsia" w:ascii="仿宋" w:hAnsi="仿宋" w:eastAsia="仿宋" w:cs="仿宋"/>
                <w:b/>
                <w:bCs/>
                <w:color w:val="auto"/>
                <w:sz w:val="21"/>
                <w:szCs w:val="21"/>
                <w:highlight w:val="none"/>
                <w:lang w:val="en-US" w:eastAsia="zh-CN" w:bidi="ar"/>
              </w:rPr>
              <w:t>并</w:t>
            </w:r>
            <w:r>
              <w:rPr>
                <w:rFonts w:hint="eastAsia" w:ascii="仿宋" w:hAnsi="仿宋" w:eastAsia="仿宋" w:cs="仿宋"/>
                <w:b/>
                <w:bCs/>
                <w:color w:val="auto"/>
                <w:sz w:val="21"/>
                <w:szCs w:val="21"/>
                <w:highlight w:val="none"/>
                <w:lang w:val="zh-CN" w:bidi="ar"/>
              </w:rPr>
              <w:t>加盖投标人</w:t>
            </w:r>
            <w:r>
              <w:rPr>
                <w:rFonts w:hint="eastAsia" w:ascii="仿宋" w:hAnsi="仿宋" w:eastAsia="仿宋" w:cs="仿宋"/>
                <w:b/>
                <w:bCs/>
                <w:color w:val="auto"/>
                <w:sz w:val="21"/>
                <w:szCs w:val="21"/>
                <w:highlight w:val="none"/>
                <w:lang w:val="en-US" w:eastAsia="zh-CN" w:bidi="ar"/>
              </w:rPr>
              <w:t>章印。</w:t>
            </w:r>
          </w:p>
        </w:tc>
      </w:tr>
      <w:tr w14:paraId="04195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75" w:type="dxa"/>
            <w:tcBorders>
              <w:left w:val="single" w:color="auto" w:sz="4" w:space="0"/>
              <w:right w:val="single" w:color="auto" w:sz="4" w:space="0"/>
            </w:tcBorders>
            <w:noWrap w:val="0"/>
            <w:vAlign w:val="center"/>
          </w:tcPr>
          <w:p w14:paraId="42B246BF">
            <w:pPr>
              <w:jc w:val="center"/>
              <w:rPr>
                <w:rFonts w:hint="eastAsia" w:ascii="仿宋" w:hAnsi="仿宋" w:eastAsia="仿宋" w:cs="仿宋"/>
                <w:highlight w:val="none"/>
              </w:rPr>
            </w:pPr>
            <w:r>
              <w:rPr>
                <w:rFonts w:hint="eastAsia" w:ascii="仿宋" w:hAnsi="仿宋" w:eastAsia="仿宋" w:cs="仿宋"/>
                <w:highlight w:val="none"/>
                <w:lang w:val="en-US" w:eastAsia="zh-CN"/>
              </w:rPr>
              <w:t>四</w:t>
            </w:r>
          </w:p>
        </w:tc>
        <w:tc>
          <w:tcPr>
            <w:tcW w:w="1118" w:type="dxa"/>
            <w:tcBorders>
              <w:left w:val="single" w:color="auto" w:sz="4" w:space="0"/>
              <w:right w:val="single" w:color="auto" w:sz="4" w:space="0"/>
            </w:tcBorders>
            <w:noWrap w:val="0"/>
            <w:vAlign w:val="center"/>
          </w:tcPr>
          <w:p w14:paraId="0F1AE4BD">
            <w:pPr>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类似业绩</w:t>
            </w:r>
          </w:p>
        </w:tc>
        <w:tc>
          <w:tcPr>
            <w:tcW w:w="1352" w:type="dxa"/>
            <w:tcBorders>
              <w:top w:val="single" w:color="auto" w:sz="4" w:space="0"/>
              <w:left w:val="single" w:color="auto" w:sz="4" w:space="0"/>
              <w:bottom w:val="single" w:color="auto" w:sz="4" w:space="0"/>
              <w:right w:val="single" w:color="auto" w:sz="4" w:space="0"/>
            </w:tcBorders>
            <w:noWrap w:val="0"/>
            <w:vAlign w:val="center"/>
          </w:tcPr>
          <w:p w14:paraId="42684571">
            <w:pPr>
              <w:jc w:val="center"/>
              <w:rPr>
                <w:rFonts w:hint="eastAsia" w:ascii="仿宋" w:hAnsi="仿宋" w:eastAsia="仿宋" w:cs="仿宋"/>
                <w:b w:val="0"/>
                <w:bCs w:val="0"/>
                <w:color w:val="auto"/>
                <w:sz w:val="21"/>
                <w:szCs w:val="24"/>
                <w:highlight w:val="none"/>
              </w:rPr>
            </w:pPr>
            <w:bookmarkStart w:id="201" w:name="OLE_LINK35"/>
            <w:r>
              <w:rPr>
                <w:rFonts w:hint="eastAsia" w:ascii="仿宋" w:hAnsi="仿宋" w:eastAsia="仿宋" w:cs="仿宋"/>
                <w:b w:val="0"/>
                <w:bCs w:val="0"/>
                <w:color w:val="auto"/>
                <w:highlight w:val="none"/>
                <w:lang w:val="en-US" w:eastAsia="zh-CN"/>
              </w:rPr>
              <w:t>业绩</w:t>
            </w:r>
            <w:bookmarkEnd w:id="201"/>
          </w:p>
        </w:tc>
        <w:tc>
          <w:tcPr>
            <w:tcW w:w="818" w:type="dxa"/>
            <w:tcBorders>
              <w:left w:val="single" w:color="auto" w:sz="4" w:space="0"/>
              <w:right w:val="single" w:color="auto" w:sz="4" w:space="0"/>
            </w:tcBorders>
            <w:noWrap w:val="0"/>
            <w:vAlign w:val="center"/>
          </w:tcPr>
          <w:p w14:paraId="36F26464">
            <w:pPr>
              <w:jc w:val="center"/>
              <w:rPr>
                <w:rFonts w:hint="eastAsia" w:ascii="仿宋" w:hAnsi="仿宋" w:eastAsia="仿宋" w:cs="仿宋"/>
                <w:b w:val="0"/>
                <w:bCs w:val="0"/>
                <w:color w:val="auto"/>
                <w:sz w:val="21"/>
                <w:szCs w:val="24"/>
                <w:highlight w:val="none"/>
              </w:rPr>
            </w:pPr>
            <w:r>
              <w:rPr>
                <w:rFonts w:hint="eastAsia" w:ascii="仿宋" w:hAnsi="仿宋" w:eastAsia="仿宋" w:cs="仿宋"/>
                <w:b w:val="0"/>
                <w:bCs w:val="0"/>
                <w:color w:val="auto"/>
                <w:highlight w:val="none"/>
                <w:lang w:val="en-US" w:eastAsia="zh-CN"/>
              </w:rPr>
              <w:t>6</w:t>
            </w:r>
          </w:p>
        </w:tc>
        <w:tc>
          <w:tcPr>
            <w:tcW w:w="5288" w:type="dxa"/>
            <w:tcBorders>
              <w:left w:val="single" w:color="auto" w:sz="4" w:space="0"/>
              <w:right w:val="single" w:color="auto" w:sz="4" w:space="0"/>
            </w:tcBorders>
            <w:noWrap w:val="0"/>
            <w:vAlign w:val="center"/>
          </w:tcPr>
          <w:p w14:paraId="10E73C54">
            <w:pPr>
              <w:keepNext w:val="0"/>
              <w:keepLines w:val="0"/>
              <w:pageBreakBefore w:val="0"/>
              <w:ind w:firstLine="420"/>
              <w:jc w:val="left"/>
              <w:rPr>
                <w:rFonts w:hint="eastAsia" w:ascii="仿宋" w:hAnsi="仿宋" w:eastAsia="仿宋" w:cs="仿宋"/>
                <w:b w:val="0"/>
                <w:bCs w:val="0"/>
                <w:color w:val="auto"/>
                <w:sz w:val="21"/>
                <w:szCs w:val="21"/>
                <w:highlight w:val="none"/>
              </w:rPr>
            </w:pPr>
            <w:bookmarkStart w:id="202" w:name="OLE_LINK36"/>
            <w:r>
              <w:rPr>
                <w:rFonts w:hint="eastAsia" w:ascii="仿宋" w:hAnsi="仿宋" w:eastAsia="仿宋" w:cs="仿宋"/>
                <w:b w:val="0"/>
                <w:bCs w:val="0"/>
                <w:color w:val="auto"/>
                <w:sz w:val="21"/>
                <w:szCs w:val="21"/>
                <w:highlight w:val="none"/>
                <w:lang w:val="en-US" w:eastAsia="zh-CN"/>
              </w:rPr>
              <w:t>投标人自2022年1月1日以来</w:t>
            </w:r>
            <w:r>
              <w:rPr>
                <w:rFonts w:hint="eastAsia" w:ascii="仿宋" w:hAnsi="仿宋" w:eastAsia="仿宋" w:cs="仿宋"/>
                <w:b w:val="0"/>
                <w:bCs w:val="0"/>
                <w:color w:val="auto"/>
                <w:sz w:val="21"/>
                <w:szCs w:val="21"/>
                <w:highlight w:val="none"/>
              </w:rPr>
              <w:t>（以合同签订日期为准）投标人承担过类似项目</w:t>
            </w:r>
            <w:r>
              <w:rPr>
                <w:rFonts w:hint="eastAsia" w:ascii="仿宋" w:hAnsi="仿宋" w:eastAsia="仿宋" w:cs="仿宋"/>
                <w:b w:val="0"/>
                <w:bCs w:val="0"/>
                <w:color w:val="auto"/>
                <w:sz w:val="21"/>
                <w:szCs w:val="21"/>
                <w:highlight w:val="none"/>
                <w:lang w:eastAsia="zh-CN"/>
              </w:rPr>
              <w:t>的</w:t>
            </w:r>
            <w:r>
              <w:rPr>
                <w:rFonts w:hint="eastAsia" w:ascii="仿宋" w:hAnsi="仿宋" w:eastAsia="仿宋" w:cs="仿宋"/>
                <w:b w:val="0"/>
                <w:bCs w:val="0"/>
                <w:color w:val="auto"/>
                <w:sz w:val="21"/>
                <w:szCs w:val="21"/>
                <w:highlight w:val="none"/>
                <w:lang w:val="en-US" w:eastAsia="zh-CN"/>
              </w:rPr>
              <w:t>成功案例</w:t>
            </w:r>
            <w:r>
              <w:rPr>
                <w:rFonts w:hint="eastAsia" w:ascii="仿宋" w:hAnsi="仿宋" w:eastAsia="仿宋" w:cs="仿宋"/>
                <w:b w:val="0"/>
                <w:bCs w:val="0"/>
                <w:color w:val="auto"/>
                <w:sz w:val="21"/>
                <w:szCs w:val="21"/>
                <w:highlight w:val="none"/>
                <w:lang w:eastAsia="zh-CN"/>
              </w:rPr>
              <w:t>，每提供</w:t>
            </w:r>
            <w:r>
              <w:rPr>
                <w:rFonts w:hint="eastAsia" w:ascii="仿宋" w:hAnsi="仿宋" w:eastAsia="仿宋" w:cs="仿宋"/>
                <w:b w:val="0"/>
                <w:bCs w:val="0"/>
                <w:color w:val="auto"/>
                <w:sz w:val="21"/>
                <w:szCs w:val="21"/>
                <w:highlight w:val="none"/>
                <w:lang w:val="en-US" w:eastAsia="zh-CN"/>
              </w:rPr>
              <w:t>一</w:t>
            </w:r>
            <w:r>
              <w:rPr>
                <w:rFonts w:hint="eastAsia" w:ascii="仿宋" w:hAnsi="仿宋" w:eastAsia="仿宋" w:cs="仿宋"/>
                <w:b w:val="0"/>
                <w:bCs w:val="0"/>
                <w:color w:val="auto"/>
                <w:sz w:val="21"/>
                <w:szCs w:val="21"/>
                <w:highlight w:val="none"/>
                <w:lang w:eastAsia="zh-CN"/>
              </w:rPr>
              <w:t>份有效</w:t>
            </w:r>
            <w:r>
              <w:rPr>
                <w:rFonts w:hint="eastAsia" w:ascii="仿宋" w:hAnsi="仿宋" w:eastAsia="仿宋" w:cs="仿宋"/>
                <w:b w:val="0"/>
                <w:bCs w:val="0"/>
                <w:color w:val="auto"/>
                <w:sz w:val="21"/>
                <w:szCs w:val="21"/>
                <w:highlight w:val="none"/>
                <w:lang w:val="en-US" w:eastAsia="zh-CN"/>
              </w:rPr>
              <w:t>业绩</w:t>
            </w:r>
            <w:r>
              <w:rPr>
                <w:rFonts w:hint="eastAsia" w:ascii="仿宋" w:hAnsi="仿宋" w:eastAsia="仿宋" w:cs="仿宋"/>
                <w:b w:val="0"/>
                <w:bCs w:val="0"/>
                <w:color w:val="auto"/>
                <w:sz w:val="21"/>
                <w:szCs w:val="21"/>
                <w:highlight w:val="none"/>
                <w:lang w:eastAsia="zh-CN"/>
              </w:rPr>
              <w:t>得</w:t>
            </w:r>
            <w:r>
              <w:rPr>
                <w:rFonts w:hint="eastAsia" w:ascii="仿宋" w:hAnsi="仿宋" w:eastAsia="仿宋" w:cs="仿宋"/>
                <w:b w:val="0"/>
                <w:bCs w:val="0"/>
                <w:color w:val="auto"/>
                <w:sz w:val="21"/>
                <w:szCs w:val="21"/>
                <w:highlight w:val="none"/>
                <w:lang w:val="en-US" w:eastAsia="zh-CN"/>
              </w:rPr>
              <w:t>3</w:t>
            </w:r>
            <w:r>
              <w:rPr>
                <w:rFonts w:hint="eastAsia" w:ascii="仿宋" w:hAnsi="仿宋" w:eastAsia="仿宋" w:cs="仿宋"/>
                <w:b w:val="0"/>
                <w:bCs w:val="0"/>
                <w:color w:val="auto"/>
                <w:sz w:val="21"/>
                <w:szCs w:val="21"/>
                <w:highlight w:val="none"/>
                <w:lang w:eastAsia="zh-CN"/>
              </w:rPr>
              <w:t>分，本项最多得</w:t>
            </w:r>
            <w:r>
              <w:rPr>
                <w:rFonts w:hint="eastAsia" w:ascii="仿宋" w:hAnsi="仿宋" w:eastAsia="仿宋" w:cs="仿宋"/>
                <w:b w:val="0"/>
                <w:bCs w:val="0"/>
                <w:color w:val="auto"/>
                <w:sz w:val="21"/>
                <w:szCs w:val="21"/>
                <w:highlight w:val="none"/>
                <w:lang w:val="en-US" w:eastAsia="zh-CN"/>
              </w:rPr>
              <w:t>6</w:t>
            </w:r>
            <w:r>
              <w:rPr>
                <w:rFonts w:hint="eastAsia" w:ascii="仿宋" w:hAnsi="仿宋" w:eastAsia="仿宋" w:cs="仿宋"/>
                <w:b w:val="0"/>
                <w:bCs w:val="0"/>
                <w:color w:val="auto"/>
                <w:sz w:val="21"/>
                <w:szCs w:val="21"/>
                <w:highlight w:val="none"/>
                <w:lang w:eastAsia="zh-CN"/>
              </w:rPr>
              <w:t>分。</w:t>
            </w:r>
          </w:p>
          <w:p w14:paraId="6FCF0F88">
            <w:pPr>
              <w:keepNext w:val="0"/>
              <w:keepLines w:val="0"/>
              <w:pageBreakBefore w:val="0"/>
              <w:ind w:firstLine="42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注：①本项需自行拟制业绩汇总表；</w:t>
            </w:r>
          </w:p>
          <w:p w14:paraId="03E83D62">
            <w:pPr>
              <w:keepNext w:val="0"/>
              <w:keepLines w:val="0"/>
              <w:pageBreakBefore w:val="0"/>
              <w:ind w:firstLine="840"/>
              <w:jc w:val="left"/>
              <w:rPr>
                <w:rFonts w:hint="eastAsia" w:ascii="仿宋" w:hAnsi="仿宋" w:eastAsia="仿宋" w:cs="仿宋"/>
                <w:color w:val="auto"/>
                <w:sz w:val="21"/>
                <w:szCs w:val="24"/>
                <w:highlight w:val="none"/>
              </w:rPr>
            </w:pPr>
            <w:r>
              <w:rPr>
                <w:rFonts w:hint="eastAsia" w:ascii="仿宋" w:hAnsi="仿宋" w:eastAsia="仿宋" w:cs="仿宋"/>
                <w:b w:val="0"/>
                <w:bCs w:val="0"/>
                <w:color w:val="auto"/>
                <w:sz w:val="21"/>
                <w:szCs w:val="21"/>
                <w:highlight w:val="none"/>
              </w:rPr>
              <w:t>②投标文件中须同时提供合同</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lang w:val="en-US" w:eastAsia="zh-CN"/>
              </w:rPr>
              <w:t>或</w:t>
            </w:r>
            <w:r>
              <w:rPr>
                <w:rFonts w:hint="eastAsia" w:ascii="仿宋" w:hAnsi="仿宋" w:eastAsia="仿宋" w:cs="仿宋"/>
                <w:b w:val="0"/>
                <w:bCs w:val="0"/>
                <w:color w:val="auto"/>
                <w:sz w:val="21"/>
                <w:szCs w:val="21"/>
                <w:highlight w:val="none"/>
              </w:rPr>
              <w:t>中标通知书</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及</w:t>
            </w:r>
            <w:r>
              <w:rPr>
                <w:rFonts w:hint="eastAsia" w:ascii="仿宋" w:hAnsi="仿宋" w:eastAsia="仿宋" w:cs="仿宋"/>
                <w:b w:val="0"/>
                <w:bCs w:val="0"/>
                <w:color w:val="auto"/>
                <w:sz w:val="21"/>
                <w:szCs w:val="21"/>
                <w:highlight w:val="none"/>
                <w:lang w:val="en-US" w:eastAsia="zh-CN"/>
              </w:rPr>
              <w:t>相关</w:t>
            </w:r>
            <w:r>
              <w:rPr>
                <w:rFonts w:hint="eastAsia" w:ascii="仿宋" w:hAnsi="仿宋" w:eastAsia="仿宋" w:cs="仿宋"/>
                <w:b w:val="0"/>
                <w:bCs w:val="0"/>
                <w:color w:val="auto"/>
                <w:sz w:val="21"/>
                <w:szCs w:val="21"/>
                <w:highlight w:val="none"/>
              </w:rPr>
              <w:t>验收证明</w:t>
            </w:r>
            <w:r>
              <w:rPr>
                <w:rFonts w:hint="eastAsia" w:ascii="仿宋" w:hAnsi="仿宋" w:eastAsia="仿宋" w:cs="仿宋"/>
                <w:b w:val="0"/>
                <w:bCs w:val="0"/>
                <w:color w:val="auto"/>
                <w:sz w:val="21"/>
                <w:szCs w:val="21"/>
                <w:highlight w:val="none"/>
                <w:lang w:val="en-US" w:eastAsia="zh-CN"/>
              </w:rPr>
              <w:t>扫描件</w:t>
            </w:r>
            <w:r>
              <w:rPr>
                <w:rFonts w:hint="eastAsia" w:ascii="仿宋" w:hAnsi="仿宋" w:eastAsia="仿宋" w:cs="仿宋"/>
                <w:b w:val="0"/>
                <w:bCs w:val="0"/>
                <w:color w:val="auto"/>
                <w:sz w:val="21"/>
                <w:szCs w:val="21"/>
                <w:highlight w:val="none"/>
              </w:rPr>
              <w:t>，否则不得分。</w:t>
            </w:r>
            <w:bookmarkEnd w:id="202"/>
          </w:p>
        </w:tc>
      </w:tr>
      <w:tr w14:paraId="6471B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75" w:type="dxa"/>
            <w:tcBorders>
              <w:left w:val="single" w:color="auto" w:sz="4" w:space="0"/>
              <w:right w:val="single" w:color="auto" w:sz="4" w:space="0"/>
            </w:tcBorders>
            <w:noWrap w:val="0"/>
            <w:vAlign w:val="center"/>
          </w:tcPr>
          <w:p w14:paraId="31C20288">
            <w:pPr>
              <w:jc w:val="center"/>
              <w:rPr>
                <w:rFonts w:hint="eastAsia" w:ascii="仿宋" w:hAnsi="仿宋" w:eastAsia="仿宋" w:cs="仿宋"/>
                <w:highlight w:val="none"/>
                <w:lang w:val="en-US" w:eastAsia="zh-CN"/>
              </w:rPr>
            </w:pPr>
            <w:r>
              <w:rPr>
                <w:rFonts w:hint="eastAsia" w:ascii="仿宋" w:hAnsi="仿宋" w:eastAsia="仿宋" w:cs="仿宋"/>
                <w:highlight w:val="white"/>
                <w:lang w:val="en-US" w:eastAsia="zh-CN"/>
              </w:rPr>
              <w:t>五</w:t>
            </w:r>
          </w:p>
        </w:tc>
        <w:tc>
          <w:tcPr>
            <w:tcW w:w="1118" w:type="dxa"/>
            <w:tcBorders>
              <w:left w:val="single" w:color="auto" w:sz="4" w:space="0"/>
              <w:right w:val="single" w:color="auto" w:sz="4" w:space="0"/>
            </w:tcBorders>
            <w:noWrap w:val="0"/>
            <w:vAlign w:val="center"/>
          </w:tcPr>
          <w:p w14:paraId="0E9725C3">
            <w:pPr>
              <w:jc w:val="center"/>
              <w:rPr>
                <w:rFonts w:hint="eastAsia" w:ascii="仿宋" w:hAnsi="仿宋" w:eastAsia="仿宋" w:cs="仿宋"/>
                <w:highlight w:val="none"/>
                <w:lang w:val="en-US" w:eastAsia="zh-CN"/>
              </w:rPr>
            </w:pPr>
            <w:r>
              <w:rPr>
                <w:rFonts w:hint="eastAsia" w:ascii="仿宋" w:hAnsi="仿宋" w:eastAsia="仿宋" w:cs="仿宋"/>
                <w:highlight w:val="white"/>
                <w:lang w:val="en-US" w:eastAsia="zh-CN"/>
              </w:rPr>
              <w:t>其他</w:t>
            </w:r>
          </w:p>
        </w:tc>
        <w:tc>
          <w:tcPr>
            <w:tcW w:w="1352" w:type="dxa"/>
            <w:tcBorders>
              <w:top w:val="single" w:color="auto" w:sz="4" w:space="0"/>
              <w:left w:val="single" w:color="auto" w:sz="4" w:space="0"/>
              <w:bottom w:val="single" w:color="auto" w:sz="4" w:space="0"/>
              <w:right w:val="single" w:color="auto" w:sz="4" w:space="0"/>
            </w:tcBorders>
            <w:noWrap w:val="0"/>
            <w:vAlign w:val="center"/>
          </w:tcPr>
          <w:p w14:paraId="6F6DE9A7">
            <w:pPr>
              <w:jc w:val="center"/>
              <w:rPr>
                <w:rFonts w:hint="eastAsia" w:ascii="仿宋" w:hAnsi="仿宋" w:eastAsia="仿宋" w:cs="仿宋"/>
                <w:b w:val="0"/>
                <w:bCs w:val="0"/>
                <w:color w:val="auto"/>
                <w:highlight w:val="none"/>
                <w:lang w:val="en-US" w:eastAsia="zh-CN"/>
              </w:rPr>
            </w:pPr>
            <w:r>
              <w:rPr>
                <w:rFonts w:hint="eastAsia" w:ascii="仿宋" w:hAnsi="仿宋" w:eastAsia="仿宋" w:cs="仿宋"/>
                <w:highlight w:val="white"/>
              </w:rPr>
              <w:t>节能环保</w:t>
            </w:r>
          </w:p>
        </w:tc>
        <w:tc>
          <w:tcPr>
            <w:tcW w:w="818" w:type="dxa"/>
            <w:tcBorders>
              <w:left w:val="single" w:color="auto" w:sz="4" w:space="0"/>
              <w:right w:val="single" w:color="auto" w:sz="4" w:space="0"/>
            </w:tcBorders>
            <w:noWrap w:val="0"/>
            <w:vAlign w:val="center"/>
          </w:tcPr>
          <w:p w14:paraId="7F364A09">
            <w:pPr>
              <w:jc w:val="center"/>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white"/>
                <w:lang w:val="en-US" w:eastAsia="zh-CN"/>
              </w:rPr>
              <w:t>2</w:t>
            </w:r>
          </w:p>
        </w:tc>
        <w:tc>
          <w:tcPr>
            <w:tcW w:w="5288" w:type="dxa"/>
            <w:tcBorders>
              <w:left w:val="single" w:color="auto" w:sz="4" w:space="0"/>
              <w:right w:val="single" w:color="auto" w:sz="4" w:space="0"/>
            </w:tcBorders>
            <w:noWrap w:val="0"/>
            <w:vAlign w:val="center"/>
          </w:tcPr>
          <w:p w14:paraId="1D033C9E">
            <w:pPr>
              <w:keepNext w:val="0"/>
              <w:keepLines w:val="0"/>
              <w:pageBreakBefore w:val="0"/>
              <w:ind w:firstLine="420"/>
              <w:jc w:val="left"/>
              <w:rPr>
                <w:rFonts w:hint="eastAsia" w:ascii="仿宋" w:hAnsi="仿宋" w:eastAsia="仿宋" w:cs="仿宋"/>
                <w:b w:val="0"/>
                <w:bCs w:val="0"/>
                <w:color w:val="auto"/>
                <w:sz w:val="21"/>
                <w:szCs w:val="21"/>
                <w:highlight w:val="white"/>
              </w:rPr>
            </w:pPr>
            <w:r>
              <w:rPr>
                <w:rFonts w:hint="eastAsia" w:ascii="仿宋" w:hAnsi="仿宋" w:eastAsia="仿宋" w:cs="仿宋"/>
                <w:b w:val="0"/>
                <w:bCs w:val="0"/>
                <w:color w:val="auto"/>
                <w:sz w:val="21"/>
                <w:szCs w:val="21"/>
                <w:highlight w:val="white"/>
                <w:lang w:val="en-US" w:eastAsia="zh-CN"/>
              </w:rPr>
              <w:t>1、投标产品属于财政部、国家发改委公布的“节能产品品目清单”范围内的，投标人提供国家确定的认证机构出具的、处于有效期之内的该节能产品认证证书原件彩色扫描件的，有1个得0.5分，最多得1分。如投标产品均属于政府强制采购节能产品品目清单范围内，本项不得分。</w:t>
            </w:r>
          </w:p>
          <w:p w14:paraId="13EB5C9E">
            <w:pPr>
              <w:keepNext w:val="0"/>
              <w:keepLines w:val="0"/>
              <w:pageBreakBefore w:val="0"/>
              <w:ind w:firstLine="420" w:firstLineChars="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white"/>
                <w:lang w:val="en-US" w:eastAsia="zh-CN"/>
              </w:rPr>
              <w:t>2、投标产品属于财政部、生态环境部公布的“环境标志产品品目清单”范围内的，投标人提供国家确定的认证机构出具的、处于有效期内的该环保产品认证证书原件彩色扫描件的，有1个得0.5分，最多得1分。</w:t>
            </w:r>
          </w:p>
        </w:tc>
      </w:tr>
    </w:tbl>
    <w:p w14:paraId="5D28A985">
      <w:pPr>
        <w:pStyle w:val="34"/>
        <w:spacing w:beforeAutospacing="0" w:afterAutospacing="0"/>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说明：（1）所有打分项均以投标人所提供的投标文件进行打分，投标文件中未提及的不予认可，投标文件提交截止时间后不得修改或是补充投标文件。（2）投标人的最终得分为所有评委打分的平均值，计算结果保留至小数点后两位。</w:t>
      </w:r>
    </w:p>
    <w:p w14:paraId="7C1183BF">
      <w:pPr>
        <w:pStyle w:val="34"/>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43DDC779">
      <w:pPr>
        <w:pStyle w:val="34"/>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67FD54A0">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p>
    <w:p w14:paraId="6E010666">
      <w:pPr>
        <w:pStyle w:val="34"/>
        <w:keepNext/>
        <w:spacing w:beforeAutospacing="0" w:afterAutospacing="0"/>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 </w:t>
      </w:r>
    </w:p>
    <w:p w14:paraId="79098088">
      <w:pPr>
        <w:pStyle w:val="34"/>
        <w:keepNext/>
        <w:spacing w:beforeAutospacing="0" w:afterAutospacing="0"/>
        <w:jc w:val="center"/>
        <w:rPr>
          <w:rFonts w:hint="eastAsia" w:ascii="黑体" w:hAnsi="宋体" w:eastAsia="黑体" w:cs="黑体"/>
          <w:color w:val="000000"/>
          <w:sz w:val="44"/>
          <w:szCs w:val="44"/>
          <w:highlight w:val="none"/>
        </w:rPr>
      </w:pPr>
    </w:p>
    <w:p w14:paraId="5202486F">
      <w:pPr>
        <w:pStyle w:val="34"/>
        <w:keepNext/>
        <w:spacing w:beforeAutospacing="0" w:afterAutospacing="0"/>
        <w:jc w:val="center"/>
        <w:rPr>
          <w:rFonts w:hint="eastAsia" w:ascii="黑体" w:hAnsi="宋体" w:eastAsia="黑体" w:cs="黑体"/>
          <w:color w:val="000000"/>
          <w:sz w:val="44"/>
          <w:szCs w:val="44"/>
          <w:highlight w:val="none"/>
        </w:rPr>
      </w:pPr>
    </w:p>
    <w:p w14:paraId="311F1C33">
      <w:pPr>
        <w:pStyle w:val="34"/>
        <w:keepNext/>
        <w:spacing w:beforeAutospacing="0" w:afterAutospacing="0"/>
        <w:jc w:val="center"/>
        <w:rPr>
          <w:rFonts w:hint="eastAsia" w:ascii="黑体" w:hAnsi="宋体" w:eastAsia="黑体" w:cs="黑体"/>
          <w:color w:val="000000"/>
          <w:sz w:val="44"/>
          <w:szCs w:val="44"/>
          <w:highlight w:val="none"/>
        </w:rPr>
      </w:pPr>
    </w:p>
    <w:p w14:paraId="20DEAD36">
      <w:pPr>
        <w:pStyle w:val="34"/>
        <w:keepNext/>
        <w:spacing w:beforeAutospacing="0" w:afterAutospacing="0"/>
        <w:jc w:val="center"/>
        <w:rPr>
          <w:rFonts w:hint="eastAsia" w:ascii="黑体" w:hAnsi="宋体" w:eastAsia="黑体" w:cs="黑体"/>
          <w:color w:val="000000"/>
          <w:sz w:val="44"/>
          <w:szCs w:val="44"/>
          <w:highlight w:val="none"/>
        </w:rPr>
      </w:pPr>
    </w:p>
    <w:p w14:paraId="08ACAAA7">
      <w:pPr>
        <w:pStyle w:val="34"/>
        <w:spacing w:beforeAutospacing="0" w:afterAutospacing="0"/>
        <w:jc w:val="center"/>
        <w:rPr>
          <w:highlight w:val="none"/>
        </w:rPr>
      </w:pPr>
      <w:bookmarkStart w:id="203" w:name="_Hlt26955039"/>
      <w:bookmarkEnd w:id="203"/>
      <w:bookmarkStart w:id="204" w:name="_Hlt26671244"/>
      <w:bookmarkEnd w:id="204"/>
      <w:bookmarkStart w:id="205" w:name="_Toc26554094"/>
      <w:bookmarkEnd w:id="205"/>
      <w:bookmarkStart w:id="206" w:name="_Toc49090576"/>
      <w:bookmarkStart w:id="207" w:name="_Toc120614282"/>
      <w:r>
        <w:rPr>
          <w:rFonts w:hint="eastAsia" w:ascii="宋体" w:hAnsi="宋体" w:eastAsia="宋体" w:cs="宋体"/>
          <w:b/>
          <w:color w:val="000000"/>
          <w:sz w:val="72"/>
          <w:szCs w:val="72"/>
          <w:highlight w:val="none"/>
        </w:rPr>
        <w:t>投  标  文  件</w:t>
      </w:r>
    </w:p>
    <w:p w14:paraId="5ABCEBC9">
      <w:pPr>
        <w:pStyle w:val="34"/>
        <w:spacing w:beforeAutospacing="0" w:afterAutospacing="0"/>
        <w:jc w:val="center"/>
        <w:rPr>
          <w:highlight w:val="none"/>
        </w:rPr>
      </w:pPr>
      <w:r>
        <w:rPr>
          <w:highlight w:val="none"/>
        </w:rPr>
        <w:t> </w:t>
      </w:r>
    </w:p>
    <w:p w14:paraId="4BEA26DE">
      <w:pPr>
        <w:pStyle w:val="34"/>
        <w:spacing w:beforeAutospacing="0" w:afterAutospacing="0"/>
        <w:jc w:val="center"/>
        <w:rPr>
          <w:highlight w:val="none"/>
        </w:rPr>
      </w:pPr>
      <w:r>
        <w:rPr>
          <w:highlight w:val="none"/>
        </w:rPr>
        <w:t> </w:t>
      </w:r>
    </w:p>
    <w:p w14:paraId="0734106E">
      <w:pPr>
        <w:pStyle w:val="34"/>
        <w:spacing w:beforeAutospacing="0" w:afterAutospacing="0"/>
        <w:jc w:val="center"/>
        <w:rPr>
          <w:highlight w:val="none"/>
        </w:rPr>
      </w:pPr>
    </w:p>
    <w:p w14:paraId="13FAD9DE">
      <w:pPr>
        <w:pStyle w:val="34"/>
        <w:spacing w:beforeAutospacing="0" w:afterAutospacing="0"/>
        <w:jc w:val="center"/>
        <w:rPr>
          <w:highlight w:val="none"/>
        </w:rPr>
      </w:pPr>
    </w:p>
    <w:p w14:paraId="720E8673">
      <w:pPr>
        <w:pStyle w:val="34"/>
        <w:spacing w:beforeAutospacing="0" w:afterAutospacing="0"/>
        <w:jc w:val="center"/>
        <w:rPr>
          <w:highlight w:val="none"/>
        </w:rPr>
      </w:pPr>
    </w:p>
    <w:p w14:paraId="59742EB3">
      <w:pPr>
        <w:pStyle w:val="34"/>
        <w:spacing w:beforeAutospacing="0" w:afterAutospacing="0"/>
        <w:jc w:val="center"/>
        <w:rPr>
          <w:highlight w:val="none"/>
        </w:rPr>
      </w:pPr>
    </w:p>
    <w:p w14:paraId="08DE9AAB">
      <w:pPr>
        <w:pStyle w:val="34"/>
        <w:spacing w:beforeAutospacing="0" w:afterAutospacing="0"/>
        <w:jc w:val="center"/>
        <w:rPr>
          <w:highlight w:val="none"/>
        </w:rPr>
      </w:pPr>
    </w:p>
    <w:p w14:paraId="48CAC1CA">
      <w:pPr>
        <w:pStyle w:val="34"/>
        <w:spacing w:beforeAutospacing="0" w:afterAutospacing="0"/>
        <w:jc w:val="center"/>
        <w:rPr>
          <w:highlight w:val="none"/>
        </w:rPr>
      </w:pPr>
    </w:p>
    <w:p w14:paraId="26EAC848">
      <w:pPr>
        <w:pStyle w:val="34"/>
        <w:spacing w:beforeAutospacing="0" w:afterAutospacing="0"/>
        <w:jc w:val="center"/>
        <w:rPr>
          <w:highlight w:val="none"/>
        </w:rPr>
      </w:pPr>
    </w:p>
    <w:p w14:paraId="1B4315BB">
      <w:pPr>
        <w:pStyle w:val="34"/>
        <w:spacing w:beforeAutospacing="0" w:afterAutospacing="0"/>
        <w:jc w:val="center"/>
        <w:rPr>
          <w:highlight w:val="none"/>
        </w:rPr>
      </w:pPr>
    </w:p>
    <w:p w14:paraId="17D28E3E">
      <w:pPr>
        <w:pStyle w:val="34"/>
        <w:spacing w:beforeAutospacing="0" w:afterAutospacing="0"/>
        <w:jc w:val="center"/>
        <w:rPr>
          <w:highlight w:val="none"/>
        </w:rPr>
      </w:pPr>
    </w:p>
    <w:p w14:paraId="2E7544C0">
      <w:pPr>
        <w:pStyle w:val="34"/>
        <w:spacing w:beforeAutospacing="0" w:afterAutospacing="0"/>
        <w:jc w:val="center"/>
        <w:rPr>
          <w:highlight w:val="none"/>
        </w:rPr>
      </w:pPr>
    </w:p>
    <w:p w14:paraId="194F2C62">
      <w:pPr>
        <w:pStyle w:val="34"/>
        <w:spacing w:beforeAutospacing="0" w:afterAutospacing="0"/>
        <w:jc w:val="center"/>
        <w:rPr>
          <w:highlight w:val="none"/>
        </w:rPr>
      </w:pPr>
      <w:r>
        <w:rPr>
          <w:highlight w:val="none"/>
        </w:rPr>
        <w:t> </w:t>
      </w:r>
    </w:p>
    <w:p w14:paraId="7BEEF137">
      <w:pPr>
        <w:pStyle w:val="34"/>
        <w:spacing w:beforeAutospacing="0" w:afterAutospacing="0"/>
        <w:jc w:val="center"/>
        <w:rPr>
          <w:highlight w:val="none"/>
        </w:rPr>
      </w:pPr>
      <w:r>
        <w:rPr>
          <w:highlight w:val="none"/>
        </w:rPr>
        <w:t> </w:t>
      </w:r>
    </w:p>
    <w:p w14:paraId="20606D30">
      <w:pPr>
        <w:pStyle w:val="34"/>
        <w:spacing w:beforeAutospacing="0" w:afterAutospacing="0"/>
        <w:jc w:val="center"/>
        <w:rPr>
          <w:highlight w:val="none"/>
        </w:rPr>
      </w:pPr>
      <w:r>
        <w:rPr>
          <w:highlight w:val="none"/>
        </w:rPr>
        <w:t> </w:t>
      </w:r>
    </w:p>
    <w:p w14:paraId="2C03E256">
      <w:pPr>
        <w:pStyle w:val="34"/>
        <w:spacing w:beforeAutospacing="0" w:afterAutospacing="0"/>
        <w:ind w:firstLine="1084"/>
        <w:jc w:val="both"/>
        <w:rPr>
          <w:highlight w:val="none"/>
        </w:rPr>
      </w:pPr>
      <w:r>
        <w:rPr>
          <w:rFonts w:hint="eastAsia" w:ascii="宋体" w:hAnsi="宋体" w:eastAsia="宋体" w:cs="宋体"/>
          <w:b/>
          <w:color w:val="000000"/>
          <w:sz w:val="36"/>
          <w:szCs w:val="36"/>
          <w:highlight w:val="none"/>
        </w:rPr>
        <w:t>项目 名 称：</w:t>
      </w:r>
      <w:r>
        <w:rPr>
          <w:rFonts w:hint="eastAsia" w:ascii="宋体" w:hAnsi="宋体" w:eastAsia="宋体" w:cs="宋体"/>
          <w:b/>
          <w:color w:val="000000"/>
          <w:sz w:val="36"/>
          <w:szCs w:val="36"/>
          <w:highlight w:val="none"/>
          <w:u w:val="single"/>
        </w:rPr>
        <w:t xml:space="preserve">               </w:t>
      </w:r>
    </w:p>
    <w:p w14:paraId="3930D351">
      <w:pPr>
        <w:pStyle w:val="34"/>
        <w:spacing w:beforeAutospacing="0" w:afterAutospacing="0"/>
        <w:ind w:firstLine="1084"/>
        <w:jc w:val="both"/>
        <w:rPr>
          <w:highlight w:val="none"/>
        </w:rPr>
      </w:pPr>
      <w:r>
        <w:rPr>
          <w:rFonts w:hint="eastAsia" w:ascii="宋体" w:hAnsi="宋体" w:eastAsia="宋体" w:cs="宋体"/>
          <w:b/>
          <w:color w:val="000000"/>
          <w:sz w:val="36"/>
          <w:szCs w:val="36"/>
          <w:highlight w:val="none"/>
        </w:rPr>
        <w:t>项目 编 号：</w:t>
      </w:r>
      <w:r>
        <w:rPr>
          <w:rFonts w:hint="eastAsia" w:ascii="宋体" w:hAnsi="宋体" w:eastAsia="宋体" w:cs="宋体"/>
          <w:b/>
          <w:color w:val="000000"/>
          <w:sz w:val="36"/>
          <w:szCs w:val="36"/>
          <w:highlight w:val="none"/>
          <w:u w:val="single"/>
        </w:rPr>
        <w:t>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p>
    <w:p w14:paraId="7A65986C">
      <w:pPr>
        <w:pStyle w:val="34"/>
        <w:spacing w:beforeAutospacing="0" w:afterAutospacing="0"/>
        <w:jc w:val="both"/>
        <w:rPr>
          <w:rFonts w:hint="default" w:eastAsia="宋体"/>
          <w:highlight w:val="none"/>
          <w:lang w:val="en-US" w:eastAsia="zh-CN"/>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（加盖CA电子公章）</w:t>
      </w:r>
      <w:r>
        <w:rPr>
          <w:rFonts w:hint="eastAsia" w:ascii="宋体" w:hAnsi="宋体" w:eastAsia="宋体" w:cs="宋体"/>
          <w:b/>
          <w:color w:val="000000"/>
          <w:sz w:val="36"/>
          <w:szCs w:val="36"/>
          <w:highlight w:val="none"/>
          <w:u w:val="single"/>
          <w:lang w:val="en-US" w:eastAsia="zh-CN"/>
        </w:rPr>
        <w:t xml:space="preserve">      </w:t>
      </w:r>
    </w:p>
    <w:p w14:paraId="3D4068BF">
      <w:pPr>
        <w:pStyle w:val="34"/>
        <w:spacing w:beforeAutospacing="0" w:afterAutospacing="0"/>
        <w:jc w:val="both"/>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w:t>
      </w:r>
    </w:p>
    <w:p w14:paraId="6FC7699B">
      <w:pPr>
        <w:pStyle w:val="34"/>
        <w:spacing w:beforeAutospacing="0" w:afterAutospacing="0" w:line="0" w:lineRule="atLeast"/>
        <w:jc w:val="center"/>
        <w:rPr>
          <w:highlight w:val="none"/>
        </w:rPr>
      </w:pPr>
      <w:r>
        <w:rPr>
          <w:highlight w:val="none"/>
        </w:rPr>
        <w:t> </w:t>
      </w:r>
    </w:p>
    <w:p w14:paraId="3A312F74">
      <w:pPr>
        <w:pStyle w:val="34"/>
        <w:spacing w:beforeAutospacing="0" w:afterAutospacing="0" w:line="0" w:lineRule="atLeast"/>
        <w:jc w:val="both"/>
        <w:rPr>
          <w:highlight w:val="none"/>
        </w:rPr>
      </w:pPr>
      <w:r>
        <w:rPr>
          <w:highlight w:val="none"/>
        </w:rPr>
        <w:t> </w:t>
      </w:r>
    </w:p>
    <w:p w14:paraId="4D55EC71">
      <w:pPr>
        <w:pStyle w:val="34"/>
        <w:spacing w:beforeAutospacing="0" w:afterAutospacing="0" w:line="0" w:lineRule="atLeast"/>
        <w:jc w:val="center"/>
        <w:rPr>
          <w:rFonts w:ascii="宋体" w:hAnsi="宋体" w:eastAsia="宋体" w:cs="宋体"/>
          <w:b/>
          <w:color w:val="000000"/>
          <w:sz w:val="36"/>
          <w:szCs w:val="36"/>
          <w:highlight w:val="none"/>
          <w:u w:val="single"/>
        </w:rPr>
      </w:pPr>
    </w:p>
    <w:p w14:paraId="68089C4D">
      <w:pPr>
        <w:pStyle w:val="34"/>
        <w:spacing w:beforeAutospacing="0" w:afterAutospacing="0" w:line="0" w:lineRule="atLeast"/>
        <w:jc w:val="center"/>
        <w:rPr>
          <w:rFonts w:ascii="宋体" w:hAnsi="宋体" w:eastAsia="宋体" w:cs="宋体"/>
          <w:b/>
          <w:color w:val="000000"/>
          <w:sz w:val="36"/>
          <w:szCs w:val="36"/>
          <w:highlight w:val="none"/>
          <w:u w:val="single"/>
        </w:rPr>
      </w:pPr>
    </w:p>
    <w:p w14:paraId="0240F701">
      <w:pPr>
        <w:pStyle w:val="34"/>
        <w:spacing w:beforeAutospacing="0" w:afterAutospacing="0" w:line="0" w:lineRule="atLeast"/>
        <w:jc w:val="center"/>
        <w:rPr>
          <w:rFonts w:ascii="宋体" w:hAnsi="宋体" w:eastAsia="宋体" w:cs="宋体"/>
          <w:b/>
          <w:bCs/>
          <w:color w:val="000000"/>
          <w:sz w:val="36"/>
          <w:szCs w:val="36"/>
          <w:highlight w:val="none"/>
          <w:u w:val="single"/>
        </w:rPr>
      </w:pPr>
    </w:p>
    <w:p w14:paraId="52BB6ABF">
      <w:pPr>
        <w:pStyle w:val="34"/>
        <w:spacing w:beforeAutospacing="0" w:afterAutospacing="0" w:line="0" w:lineRule="atLeast"/>
        <w:jc w:val="center"/>
        <w:rPr>
          <w:rFonts w:ascii="宋体" w:hAnsi="宋体" w:eastAsia="宋体" w:cs="宋体"/>
          <w:b/>
          <w:bCs/>
          <w:color w:val="000000"/>
          <w:sz w:val="36"/>
          <w:szCs w:val="36"/>
          <w:highlight w:val="none"/>
          <w:u w:val="single"/>
        </w:rPr>
      </w:pPr>
    </w:p>
    <w:p w14:paraId="7E1F200C">
      <w:pPr>
        <w:pStyle w:val="34"/>
        <w:spacing w:beforeAutospacing="0" w:afterAutospacing="0" w:line="0" w:lineRule="atLeast"/>
        <w:jc w:val="center"/>
        <w:rPr>
          <w:rFonts w:ascii="宋体" w:hAnsi="宋体" w:eastAsia="宋体" w:cs="宋体"/>
          <w:b/>
          <w:bCs/>
          <w:color w:val="000000"/>
          <w:sz w:val="36"/>
          <w:szCs w:val="36"/>
          <w:highlight w:val="none"/>
          <w:u w:val="single"/>
        </w:rPr>
      </w:pPr>
    </w:p>
    <w:p w14:paraId="1E86C764">
      <w:pPr>
        <w:pStyle w:val="34"/>
        <w:spacing w:beforeAutospacing="0" w:afterAutospacing="0" w:line="0" w:lineRule="atLeast"/>
        <w:jc w:val="center"/>
        <w:rPr>
          <w:rFonts w:ascii="宋体" w:hAnsi="宋体" w:eastAsia="宋体" w:cs="宋体"/>
          <w:b/>
          <w:bCs/>
          <w:color w:val="000000"/>
          <w:sz w:val="36"/>
          <w:szCs w:val="36"/>
          <w:highlight w:val="none"/>
          <w:u w:val="single"/>
        </w:rPr>
      </w:pPr>
    </w:p>
    <w:p w14:paraId="6A7D6D0C">
      <w:pPr>
        <w:pStyle w:val="34"/>
        <w:spacing w:beforeAutospacing="0" w:afterAutospacing="0" w:line="0" w:lineRule="atLeast"/>
        <w:jc w:val="center"/>
        <w:rPr>
          <w:rFonts w:ascii="宋体" w:hAnsi="宋体" w:eastAsia="宋体" w:cs="宋体"/>
          <w:b/>
          <w:color w:val="000000"/>
          <w:sz w:val="36"/>
          <w:szCs w:val="36"/>
          <w:highlight w:val="none"/>
          <w:u w:val="single"/>
        </w:rPr>
      </w:pPr>
    </w:p>
    <w:p w14:paraId="356B58F4">
      <w:pPr>
        <w:pStyle w:val="34"/>
        <w:spacing w:beforeAutospacing="0" w:afterAutospacing="0" w:line="0" w:lineRule="atLeast"/>
        <w:jc w:val="center"/>
        <w:rPr>
          <w:highlight w:val="none"/>
        </w:rPr>
      </w:pPr>
      <w:r>
        <w:rPr>
          <w:rFonts w:hint="eastAsia" w:ascii="宋体" w:hAnsi="宋体" w:eastAsia="宋体" w:cs="宋体"/>
          <w:b/>
          <w:color w:val="000000"/>
          <w:sz w:val="32"/>
          <w:szCs w:val="32"/>
          <w:highlight w:val="none"/>
        </w:rPr>
        <w:t>投标文件目录</w:t>
      </w:r>
    </w:p>
    <w:p w14:paraId="79436F0D">
      <w:pPr>
        <w:pStyle w:val="34"/>
        <w:spacing w:beforeAutospacing="0" w:afterAutospacing="0" w:line="0" w:lineRule="atLeast"/>
        <w:jc w:val="center"/>
        <w:rPr>
          <w:highlight w:val="none"/>
        </w:rPr>
      </w:pPr>
      <w:r>
        <w:rPr>
          <w:highlight w:val="none"/>
        </w:rPr>
        <w:t> </w:t>
      </w:r>
    </w:p>
    <w:p w14:paraId="0D38D906">
      <w:pPr>
        <w:pStyle w:val="34"/>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一、法人或者其他组织的营业执照等证明文件，自然人的身份证明</w:t>
      </w:r>
    </w:p>
    <w:p w14:paraId="367ADC87">
      <w:pPr>
        <w:tabs>
          <w:tab w:val="left" w:pos="1331"/>
        </w:tabs>
        <w:ind w:firstLine="480"/>
        <w:jc w:val="left"/>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二、上一年度的财务状况报告（至少提供资产负债表、利润表、现金流量表，投标人成立不满一年无需提供）</w:t>
      </w:r>
    </w:p>
    <w:p w14:paraId="75A36E4A">
      <w:pPr>
        <w:pStyle w:val="34"/>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、具备履行合同所必需的设备和专业技术能力的书面声明</w:t>
      </w:r>
    </w:p>
    <w:p w14:paraId="7A39F13C">
      <w:pPr>
        <w:pStyle w:val="34"/>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4F7FDEC">
      <w:pPr>
        <w:pStyle w:val="34"/>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五、参加政府采购活动前 3 年内在经营活动中没有重大违法记录的书面声明</w:t>
      </w:r>
    </w:p>
    <w:p w14:paraId="25F06457">
      <w:pPr>
        <w:pStyle w:val="34"/>
        <w:spacing w:beforeAutospacing="0" w:afterAutospacing="0"/>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六、特定资格要求的证明文件：（如果本项目设置特定资格要求，则需要提供）</w:t>
      </w:r>
    </w:p>
    <w:p w14:paraId="0C069B2C">
      <w:pPr>
        <w:pStyle w:val="34"/>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七、法定代表人身份证明书及法人授权书</w:t>
      </w:r>
    </w:p>
    <w:p w14:paraId="768AA8BE">
      <w:pPr>
        <w:pStyle w:val="34"/>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八、投标函</w:t>
      </w:r>
    </w:p>
    <w:p w14:paraId="4CEF21B1">
      <w:pPr>
        <w:pStyle w:val="34"/>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1C34AD64">
      <w:pPr>
        <w:pStyle w:val="34"/>
        <w:spacing w:beforeAutospacing="0" w:afterAutospacing="0" w:line="0" w:lineRule="atLeast"/>
        <w:ind w:firstLine="480"/>
        <w:jc w:val="both"/>
        <w:rPr>
          <w:rFonts w:hint="eastAsia" w:ascii="宋体" w:hAnsi="宋体" w:eastAsia="宋体" w:cs="宋体"/>
          <w:i w:val="0"/>
          <w:iCs/>
          <w:color w:val="auto"/>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auto"/>
          <w:highlight w:val="none"/>
          <w:u w:val="none"/>
        </w:rPr>
        <w:t>残疾人福利性单位声明函</w:t>
      </w:r>
    </w:p>
    <w:p w14:paraId="53850F7C">
      <w:pPr>
        <w:pStyle w:val="34"/>
        <w:spacing w:beforeAutospacing="0" w:afterAutospacing="0" w:line="0" w:lineRule="atLeast"/>
        <w:ind w:firstLine="480"/>
        <w:jc w:val="both"/>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lang w:val="en-US" w:eastAsia="zh-CN"/>
        </w:rPr>
        <w:t>十一、</w:t>
      </w:r>
      <w:r>
        <w:rPr>
          <w:rFonts w:hint="eastAsia" w:ascii="宋体" w:hAnsi="宋体" w:eastAsia="宋体" w:cs="宋体"/>
          <w:i w:val="0"/>
          <w:iCs/>
          <w:color w:val="auto"/>
          <w:highlight w:val="none"/>
          <w:u w:val="none"/>
        </w:rPr>
        <w:t>关于符合本国产品标准的声明函</w:t>
      </w:r>
      <w:r>
        <w:rPr>
          <w:rFonts w:hint="eastAsia" w:ascii="宋体" w:hAnsi="宋体" w:eastAsia="宋体" w:cs="宋体"/>
          <w:i w:val="0"/>
          <w:iCs/>
          <w:color w:val="auto"/>
          <w:highlight w:val="none"/>
          <w:u w:val="none"/>
          <w:lang w:eastAsia="zh-CN"/>
        </w:rPr>
        <w:t>（</w:t>
      </w:r>
      <w:r>
        <w:rPr>
          <w:rFonts w:hint="eastAsia" w:ascii="宋体" w:hAnsi="宋体" w:eastAsia="宋体" w:cs="宋体"/>
          <w:i w:val="0"/>
          <w:iCs/>
          <w:color w:val="auto"/>
          <w:highlight w:val="none"/>
          <w:u w:val="none"/>
          <w:lang w:val="en-US" w:eastAsia="zh-CN"/>
        </w:rPr>
        <w:t>如有</w:t>
      </w:r>
      <w:r>
        <w:rPr>
          <w:rFonts w:hint="eastAsia" w:ascii="宋体" w:hAnsi="宋体" w:eastAsia="宋体" w:cs="宋体"/>
          <w:i w:val="0"/>
          <w:iCs/>
          <w:color w:val="auto"/>
          <w:highlight w:val="none"/>
          <w:u w:val="none"/>
          <w:lang w:eastAsia="zh-CN"/>
        </w:rPr>
        <w:t>）</w:t>
      </w:r>
    </w:p>
    <w:p w14:paraId="1497FC73">
      <w:pPr>
        <w:pStyle w:val="34"/>
        <w:spacing w:beforeAutospacing="0" w:afterAutospacing="0" w:line="0" w:lineRule="atLeast"/>
        <w:ind w:firstLine="480"/>
        <w:jc w:val="both"/>
        <w:rPr>
          <w:rFonts w:hint="eastAsia" w:ascii="宋体" w:hAnsi="宋体" w:eastAsia="宋体" w:cs="宋体"/>
          <w:i w:val="0"/>
          <w:iCs/>
          <w:color w:val="auto"/>
          <w:highlight w:val="none"/>
          <w:u w:val="none"/>
          <w:lang w:eastAsia="zh-CN"/>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二</w:t>
      </w:r>
      <w:r>
        <w:rPr>
          <w:rFonts w:hint="eastAsia" w:ascii="宋体" w:hAnsi="宋体" w:eastAsia="宋体" w:cs="宋体"/>
          <w:i w:val="0"/>
          <w:iCs/>
          <w:color w:val="auto"/>
          <w:highlight w:val="none"/>
          <w:u w:val="none"/>
        </w:rPr>
        <w:t>、联合体协议</w:t>
      </w:r>
      <w:r>
        <w:rPr>
          <w:rFonts w:hint="eastAsia" w:ascii="宋体" w:hAnsi="宋体" w:eastAsia="宋体" w:cs="宋体"/>
          <w:i w:val="0"/>
          <w:iCs/>
          <w:color w:val="auto"/>
          <w:highlight w:val="none"/>
          <w:u w:val="none"/>
          <w:lang w:eastAsia="zh-CN"/>
        </w:rPr>
        <w:t>（</w:t>
      </w:r>
      <w:r>
        <w:rPr>
          <w:rFonts w:hint="eastAsia" w:ascii="宋体" w:hAnsi="宋体" w:eastAsia="宋体" w:cs="宋体"/>
          <w:i w:val="0"/>
          <w:iCs/>
          <w:color w:val="auto"/>
          <w:highlight w:val="none"/>
          <w:u w:val="none"/>
          <w:lang w:val="en-US" w:eastAsia="zh-CN"/>
        </w:rPr>
        <w:t>如有</w:t>
      </w:r>
      <w:r>
        <w:rPr>
          <w:rFonts w:hint="eastAsia" w:ascii="宋体" w:hAnsi="宋体" w:eastAsia="宋体" w:cs="宋体"/>
          <w:i w:val="0"/>
          <w:iCs/>
          <w:color w:val="auto"/>
          <w:highlight w:val="none"/>
          <w:u w:val="none"/>
          <w:lang w:eastAsia="zh-CN"/>
        </w:rPr>
        <w:t>）</w:t>
      </w:r>
    </w:p>
    <w:p w14:paraId="2DEEA294">
      <w:pPr>
        <w:pStyle w:val="34"/>
        <w:spacing w:beforeAutospacing="0" w:afterAutospacing="0" w:line="0" w:lineRule="atLeast"/>
        <w:ind w:firstLine="480"/>
        <w:jc w:val="both"/>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十三、投标报价表</w:t>
      </w:r>
    </w:p>
    <w:p w14:paraId="6A8078E4">
      <w:pPr>
        <w:pStyle w:val="34"/>
        <w:spacing w:beforeAutospacing="0" w:afterAutospacing="0" w:line="0" w:lineRule="atLeast"/>
        <w:ind w:firstLine="480"/>
        <w:jc w:val="both"/>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十四、技术要求响应及偏离表</w:t>
      </w:r>
    </w:p>
    <w:p w14:paraId="5A00553C">
      <w:pPr>
        <w:pStyle w:val="34"/>
        <w:spacing w:beforeAutospacing="0" w:afterAutospacing="0"/>
        <w:ind w:left="480"/>
        <w:jc w:val="both"/>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十五、商务要求响应及偏离表</w:t>
      </w:r>
    </w:p>
    <w:p w14:paraId="019661A1">
      <w:pPr>
        <w:pStyle w:val="34"/>
        <w:spacing w:beforeAutospacing="0" w:afterAutospacing="0"/>
        <w:ind w:left="480"/>
        <w:jc w:val="both"/>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十六、开标一览表</w:t>
      </w:r>
    </w:p>
    <w:p w14:paraId="2B3E6433">
      <w:pPr>
        <w:pStyle w:val="34"/>
        <w:spacing w:beforeAutospacing="0" w:afterAutospacing="0"/>
        <w:ind w:left="480"/>
        <w:jc w:val="both"/>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十七、技术方案、服务承诺、培训承诺等</w:t>
      </w:r>
    </w:p>
    <w:p w14:paraId="636DBE06">
      <w:pPr>
        <w:pStyle w:val="34"/>
        <w:spacing w:beforeAutospacing="0" w:afterAutospacing="0"/>
        <w:ind w:left="480"/>
        <w:jc w:val="both"/>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十八、盐城市政府采购事前信用承诺书</w:t>
      </w:r>
    </w:p>
    <w:p w14:paraId="2A0ECF7D">
      <w:pPr>
        <w:pStyle w:val="34"/>
        <w:spacing w:beforeAutospacing="0" w:afterAutospacing="0" w:line="0" w:lineRule="atLeast"/>
        <w:ind w:firstLine="480"/>
        <w:jc w:val="both"/>
        <w:rPr>
          <w:rFonts w:ascii="宋体" w:hAnsi="宋体" w:eastAsia="宋体" w:cs="宋体"/>
          <w:color w:val="000000"/>
          <w:highlight w:val="none"/>
        </w:rPr>
      </w:pPr>
    </w:p>
    <w:p w14:paraId="686DFD65">
      <w:pPr>
        <w:pStyle w:val="34"/>
        <w:spacing w:beforeAutospacing="0" w:afterAutospacing="0" w:line="0" w:lineRule="atLeast"/>
        <w:ind w:firstLine="480"/>
        <w:jc w:val="both"/>
        <w:rPr>
          <w:rFonts w:ascii="宋体" w:hAnsi="宋体" w:eastAsia="宋体" w:cs="宋体"/>
          <w:color w:val="000000"/>
          <w:highlight w:val="none"/>
        </w:rPr>
      </w:pPr>
    </w:p>
    <w:p w14:paraId="01F82A1B">
      <w:pPr>
        <w:pStyle w:val="34"/>
        <w:spacing w:beforeAutospacing="0" w:afterAutospacing="0" w:line="0" w:lineRule="atLeast"/>
        <w:ind w:firstLine="480"/>
        <w:jc w:val="both"/>
        <w:rPr>
          <w:highlight w:val="none"/>
        </w:rPr>
      </w:pPr>
      <w:r>
        <w:rPr>
          <w:highlight w:val="none"/>
        </w:rPr>
        <w:t> </w:t>
      </w:r>
    </w:p>
    <w:p w14:paraId="779203D1">
      <w:pPr>
        <w:pStyle w:val="34"/>
        <w:spacing w:beforeAutospacing="0" w:afterAutospacing="0" w:line="0" w:lineRule="atLeast"/>
        <w:ind w:firstLine="480"/>
        <w:jc w:val="both"/>
        <w:rPr>
          <w:highlight w:val="none"/>
        </w:rPr>
      </w:pPr>
      <w:r>
        <w:rPr>
          <w:highlight w:val="none"/>
        </w:rPr>
        <w:t> </w:t>
      </w:r>
    </w:p>
    <w:p w14:paraId="42446611">
      <w:pPr>
        <w:pStyle w:val="34"/>
        <w:spacing w:beforeAutospacing="0" w:afterAutospacing="0" w:line="0" w:lineRule="atLeast"/>
        <w:ind w:firstLine="480"/>
        <w:jc w:val="both"/>
        <w:rPr>
          <w:highlight w:val="none"/>
        </w:rPr>
      </w:pPr>
      <w:r>
        <w:rPr>
          <w:highlight w:val="none"/>
        </w:rPr>
        <w:t> </w:t>
      </w:r>
    </w:p>
    <w:p w14:paraId="0781898E">
      <w:pPr>
        <w:pStyle w:val="34"/>
        <w:spacing w:beforeAutospacing="0" w:afterAutospacing="0" w:line="0" w:lineRule="atLeast"/>
        <w:ind w:firstLine="480"/>
        <w:jc w:val="both"/>
        <w:rPr>
          <w:highlight w:val="none"/>
        </w:rPr>
      </w:pPr>
      <w:r>
        <w:rPr>
          <w:highlight w:val="none"/>
        </w:rPr>
        <w:t> </w:t>
      </w:r>
    </w:p>
    <w:p w14:paraId="09AC8334">
      <w:pPr>
        <w:pStyle w:val="34"/>
        <w:spacing w:beforeAutospacing="0" w:afterAutospacing="0" w:line="0" w:lineRule="atLeast"/>
        <w:ind w:firstLine="480"/>
        <w:jc w:val="both"/>
        <w:rPr>
          <w:highlight w:val="none"/>
        </w:rPr>
      </w:pPr>
    </w:p>
    <w:p w14:paraId="54D618F5">
      <w:pPr>
        <w:pStyle w:val="34"/>
        <w:spacing w:beforeAutospacing="0" w:afterAutospacing="0" w:line="0" w:lineRule="atLeast"/>
        <w:ind w:firstLine="480"/>
        <w:jc w:val="both"/>
        <w:rPr>
          <w:highlight w:val="none"/>
        </w:rPr>
      </w:pPr>
    </w:p>
    <w:p w14:paraId="63D270CF">
      <w:pPr>
        <w:pStyle w:val="34"/>
        <w:spacing w:beforeAutospacing="0" w:afterAutospacing="0" w:line="0" w:lineRule="atLeast"/>
        <w:ind w:firstLine="480"/>
        <w:jc w:val="both"/>
        <w:rPr>
          <w:highlight w:val="none"/>
        </w:rPr>
      </w:pPr>
    </w:p>
    <w:p w14:paraId="5B56567E">
      <w:pPr>
        <w:pStyle w:val="34"/>
        <w:spacing w:beforeAutospacing="0" w:afterAutospacing="0" w:line="0" w:lineRule="atLeast"/>
        <w:ind w:firstLine="480"/>
        <w:jc w:val="both"/>
        <w:rPr>
          <w:highlight w:val="none"/>
        </w:rPr>
      </w:pPr>
    </w:p>
    <w:p w14:paraId="7C85940D">
      <w:pPr>
        <w:pStyle w:val="34"/>
        <w:spacing w:beforeAutospacing="0" w:afterAutospacing="0" w:line="0" w:lineRule="atLeast"/>
        <w:ind w:firstLine="480"/>
        <w:jc w:val="both"/>
        <w:rPr>
          <w:highlight w:val="none"/>
        </w:rPr>
      </w:pPr>
    </w:p>
    <w:p w14:paraId="1B4B36F5">
      <w:pPr>
        <w:pStyle w:val="34"/>
        <w:spacing w:beforeAutospacing="0" w:afterAutospacing="0" w:line="0" w:lineRule="atLeast"/>
        <w:ind w:firstLine="480"/>
        <w:jc w:val="both"/>
        <w:rPr>
          <w:highlight w:val="none"/>
        </w:rPr>
      </w:pPr>
    </w:p>
    <w:p w14:paraId="0DBA6C29">
      <w:pPr>
        <w:pStyle w:val="34"/>
        <w:spacing w:beforeAutospacing="0" w:afterAutospacing="0" w:line="0" w:lineRule="atLeast"/>
        <w:ind w:firstLine="480"/>
        <w:jc w:val="both"/>
        <w:rPr>
          <w:highlight w:val="none"/>
        </w:rPr>
      </w:pPr>
    </w:p>
    <w:p w14:paraId="4A585FD0">
      <w:pPr>
        <w:pStyle w:val="34"/>
        <w:spacing w:beforeAutospacing="0" w:afterAutospacing="0" w:line="0" w:lineRule="atLeast"/>
        <w:ind w:firstLine="480"/>
        <w:jc w:val="both"/>
        <w:rPr>
          <w:highlight w:val="none"/>
        </w:rPr>
      </w:pPr>
    </w:p>
    <w:p w14:paraId="0D313C2A">
      <w:pPr>
        <w:pStyle w:val="34"/>
        <w:spacing w:beforeAutospacing="0" w:afterAutospacing="0" w:line="0" w:lineRule="atLeast"/>
        <w:ind w:firstLine="480"/>
        <w:jc w:val="both"/>
        <w:rPr>
          <w:highlight w:val="none"/>
        </w:rPr>
      </w:pPr>
    </w:p>
    <w:p w14:paraId="29F95718">
      <w:pPr>
        <w:pStyle w:val="34"/>
        <w:spacing w:beforeAutospacing="0" w:afterAutospacing="0" w:line="0" w:lineRule="atLeast"/>
        <w:ind w:firstLine="480"/>
        <w:jc w:val="both"/>
        <w:rPr>
          <w:highlight w:val="none"/>
        </w:rPr>
      </w:pPr>
    </w:p>
    <w:p w14:paraId="1BBAC959">
      <w:pPr>
        <w:pStyle w:val="34"/>
        <w:spacing w:beforeAutospacing="0" w:afterAutospacing="0" w:line="0" w:lineRule="atLeast"/>
        <w:ind w:firstLine="480"/>
        <w:jc w:val="both"/>
        <w:rPr>
          <w:highlight w:val="none"/>
        </w:rPr>
      </w:pPr>
    </w:p>
    <w:p w14:paraId="0BC7C568">
      <w:pPr>
        <w:pStyle w:val="34"/>
        <w:spacing w:beforeAutospacing="0" w:afterAutospacing="0" w:line="0" w:lineRule="atLeast"/>
        <w:ind w:firstLine="480"/>
        <w:jc w:val="both"/>
        <w:rPr>
          <w:highlight w:val="none"/>
        </w:rPr>
      </w:pPr>
    </w:p>
    <w:p w14:paraId="57A283A4">
      <w:pPr>
        <w:pStyle w:val="34"/>
        <w:spacing w:beforeAutospacing="0" w:afterAutospacing="0" w:line="0" w:lineRule="atLeast"/>
        <w:ind w:firstLine="480"/>
        <w:jc w:val="both"/>
        <w:rPr>
          <w:highlight w:val="none"/>
        </w:rPr>
      </w:pPr>
    </w:p>
    <w:p w14:paraId="276E5BEA">
      <w:pPr>
        <w:pStyle w:val="34"/>
        <w:spacing w:beforeAutospacing="0" w:afterAutospacing="0" w:line="0" w:lineRule="atLeast"/>
        <w:ind w:firstLine="480"/>
        <w:jc w:val="both"/>
        <w:rPr>
          <w:highlight w:val="none"/>
        </w:rPr>
      </w:pPr>
    </w:p>
    <w:p w14:paraId="78CF0900">
      <w:pPr>
        <w:pStyle w:val="34"/>
        <w:spacing w:beforeAutospacing="0" w:afterAutospacing="0"/>
        <w:jc w:val="both"/>
        <w:rPr>
          <w:i w:val="0"/>
          <w:iCs/>
          <w:highlight w:val="none"/>
        </w:rPr>
      </w:pPr>
      <w:r>
        <w:rPr>
          <w:rFonts w:hint="eastAsia" w:ascii="黑体" w:hAnsi="宋体" w:eastAsia="黑体" w:cs="黑体"/>
          <w:i w:val="0"/>
          <w:iCs/>
          <w:color w:val="000000"/>
          <w:sz w:val="32"/>
          <w:szCs w:val="32"/>
          <w:highlight w:val="none"/>
          <w:u w:val="single"/>
        </w:rPr>
        <w:t>一、法人或者其他组织的营业执照等证明文件，自然人的身份证明</w:t>
      </w:r>
    </w:p>
    <w:p w14:paraId="351986DF">
      <w:pPr>
        <w:pStyle w:val="34"/>
        <w:spacing w:beforeAutospacing="0" w:afterAutospacing="0" w:line="0" w:lineRule="atLeast"/>
        <w:ind w:firstLine="480"/>
        <w:jc w:val="both"/>
        <w:rPr>
          <w:highlight w:val="none"/>
        </w:rPr>
      </w:pPr>
      <w:r>
        <w:rPr>
          <w:highlight w:val="none"/>
        </w:rPr>
        <w:t> </w:t>
      </w:r>
    </w:p>
    <w:p w14:paraId="1A46C8FC">
      <w:pPr>
        <w:pStyle w:val="34"/>
        <w:spacing w:beforeAutospacing="0" w:afterAutospacing="0"/>
        <w:jc w:val="both"/>
        <w:rPr>
          <w:rFonts w:hint="eastAsia" w:eastAsia="黑体"/>
          <w:i w:val="0"/>
          <w:iCs/>
          <w:highlight w:val="none"/>
          <w:lang w:val="en-US" w:eastAsia="zh-CN"/>
        </w:rPr>
      </w:pPr>
      <w:r>
        <w:rPr>
          <w:rFonts w:hint="eastAsia" w:ascii="黑体" w:hAnsi="宋体" w:eastAsia="黑体" w:cs="黑体"/>
          <w:i w:val="0"/>
          <w:iCs/>
          <w:color w:val="000000"/>
          <w:sz w:val="32"/>
          <w:szCs w:val="32"/>
          <w:highlight w:val="none"/>
          <w:u w:val="single"/>
        </w:rPr>
        <w:t>二、上一年度的财务状况报</w:t>
      </w:r>
      <w:r>
        <w:rPr>
          <w:rFonts w:hint="eastAsia" w:ascii="黑体" w:hAnsi="宋体" w:eastAsia="黑体" w:cs="黑体"/>
          <w:i w:val="0"/>
          <w:iCs/>
          <w:color w:val="000000"/>
          <w:sz w:val="32"/>
          <w:szCs w:val="32"/>
          <w:highlight w:val="none"/>
          <w:u w:val="single"/>
          <w:lang w:val="en-US" w:eastAsia="zh-CN"/>
        </w:rPr>
        <w:t>告</w:t>
      </w:r>
    </w:p>
    <w:p w14:paraId="69158C7A">
      <w:pPr>
        <w:tabs>
          <w:tab w:val="left" w:pos="1331"/>
        </w:tabs>
        <w:jc w:val="left"/>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（至少提供资产负债表、利润表、现金流量表，投标人成立不满一年无需提供）</w:t>
      </w:r>
    </w:p>
    <w:p w14:paraId="4FA66C3D">
      <w:pPr>
        <w:pStyle w:val="34"/>
        <w:spacing w:beforeAutospacing="0" w:afterAutospacing="0" w:line="0" w:lineRule="atLeast"/>
        <w:ind w:firstLine="480"/>
        <w:jc w:val="both"/>
        <w:rPr>
          <w:highlight w:val="none"/>
        </w:rPr>
      </w:pPr>
    </w:p>
    <w:p w14:paraId="76D3E97E">
      <w:pPr>
        <w:pStyle w:val="34"/>
        <w:spacing w:beforeAutospacing="0" w:afterAutospacing="0"/>
        <w:jc w:val="both"/>
        <w:rPr>
          <w:highlight w:val="none"/>
        </w:rPr>
      </w:pPr>
      <w:r>
        <w:rPr>
          <w:highlight w:val="none"/>
        </w:rPr>
        <w:t> </w:t>
      </w:r>
    </w:p>
    <w:p w14:paraId="43232BB4">
      <w:pPr>
        <w:pStyle w:val="34"/>
        <w:spacing w:beforeAutospacing="0" w:afterAutospacing="0"/>
        <w:jc w:val="both"/>
        <w:rPr>
          <w:highlight w:val="none"/>
        </w:rPr>
      </w:pPr>
      <w:r>
        <w:rPr>
          <w:highlight w:val="none"/>
        </w:rPr>
        <w:t> </w:t>
      </w:r>
    </w:p>
    <w:p w14:paraId="2D49A9EE">
      <w:pPr>
        <w:pStyle w:val="34"/>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2B582BFD">
      <w:pPr>
        <w:pStyle w:val="34"/>
        <w:spacing w:beforeAutospacing="0" w:afterAutospacing="0" w:line="0" w:lineRule="atLeast"/>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505272A4">
      <w:pPr>
        <w:pStyle w:val="34"/>
        <w:spacing w:beforeAutospacing="0" w:afterAutospacing="0" w:line="0" w:lineRule="atLeast"/>
        <w:ind w:firstLine="492"/>
        <w:jc w:val="both"/>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294760DB">
      <w:pPr>
        <w:pStyle w:val="34"/>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3501796B">
      <w:pPr>
        <w:pStyle w:val="34"/>
        <w:spacing w:beforeAutospacing="0" w:afterAutospacing="0"/>
        <w:jc w:val="both"/>
        <w:rPr>
          <w:rFonts w:hint="eastAsia" w:ascii="宋体" w:hAnsi="宋体" w:eastAsia="宋体" w:cs="宋体"/>
          <w:color w:val="000000"/>
          <w:highlight w:val="none"/>
        </w:rPr>
      </w:pPr>
    </w:p>
    <w:p w14:paraId="0D089C23">
      <w:pPr>
        <w:pStyle w:val="34"/>
        <w:spacing w:beforeAutospacing="0" w:afterAutospacing="0"/>
        <w:jc w:val="both"/>
        <w:rPr>
          <w:rFonts w:hint="eastAsia" w:ascii="宋体" w:hAnsi="宋体" w:eastAsia="宋体" w:cs="宋体"/>
          <w:color w:val="000000"/>
          <w:highlight w:val="none"/>
        </w:rPr>
      </w:pPr>
    </w:p>
    <w:p w14:paraId="29639CCC">
      <w:pPr>
        <w:pStyle w:val="34"/>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法定代表人或被授权人（签字或盖章）：</w:t>
      </w:r>
    </w:p>
    <w:p w14:paraId="5135CEFB">
      <w:pPr>
        <w:pStyle w:val="34"/>
        <w:spacing w:beforeAutospacing="0" w:afterAutospacing="0"/>
        <w:jc w:val="both"/>
        <w:rPr>
          <w:rFonts w:hint="eastAsia" w:ascii="宋体" w:hAnsi="宋体" w:eastAsia="宋体" w:cs="宋体"/>
          <w:color w:val="000000"/>
          <w:highlight w:val="none"/>
        </w:rPr>
      </w:pPr>
    </w:p>
    <w:p w14:paraId="3DC903A1">
      <w:pPr>
        <w:pStyle w:val="34"/>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企业名称（加盖CA电子公章）：</w:t>
      </w:r>
    </w:p>
    <w:p w14:paraId="4B4F7248">
      <w:pPr>
        <w:pStyle w:val="34"/>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p>
    <w:p w14:paraId="50CE8E85">
      <w:pPr>
        <w:pStyle w:val="34"/>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 xml:space="preserve">         年    月    日</w:t>
      </w:r>
    </w:p>
    <w:p w14:paraId="7636B637">
      <w:pPr>
        <w:pStyle w:val="34"/>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6D7B4F2F">
      <w:pPr>
        <w:pStyle w:val="34"/>
        <w:spacing w:beforeAutospacing="0" w:afterAutospacing="0"/>
        <w:ind w:firstLine="480"/>
        <w:jc w:val="both"/>
        <w:rPr>
          <w:highlight w:val="none"/>
        </w:rPr>
      </w:pPr>
      <w:bookmarkStart w:id="208" w:name="_Toc120614284"/>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bookmarkEnd w:id="208"/>
    </w:p>
    <w:p w14:paraId="2C0A78FC">
      <w:pPr>
        <w:pStyle w:val="34"/>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489B6C44">
      <w:pPr>
        <w:pStyle w:val="34"/>
        <w:spacing w:beforeAutospacing="0" w:afterAutospacing="0" w:line="0" w:lineRule="atLeast"/>
        <w:jc w:val="both"/>
        <w:rPr>
          <w:highlight w:val="none"/>
        </w:rPr>
      </w:pPr>
      <w:r>
        <w:rPr>
          <w:rFonts w:hint="eastAsia" w:ascii="宋体" w:hAnsi="宋体" w:eastAsia="宋体" w:cs="宋体"/>
          <w:b/>
          <w:color w:val="000000"/>
          <w:sz w:val="44"/>
          <w:szCs w:val="44"/>
          <w:highlight w:val="none"/>
        </w:rPr>
        <w:t>       声  明</w:t>
      </w:r>
    </w:p>
    <w:p w14:paraId="6282A4D7">
      <w:pPr>
        <w:pStyle w:val="34"/>
        <w:spacing w:beforeAutospacing="0" w:afterAutospacing="0" w:line="0" w:lineRule="atLeast"/>
        <w:ind w:firstLine="843"/>
        <w:jc w:val="both"/>
        <w:rPr>
          <w:rFonts w:hint="eastAsia" w:ascii="宋体" w:hAnsi="宋体" w:eastAsia="宋体" w:cs="宋体"/>
          <w:color w:val="000000"/>
          <w:highlight w:val="none"/>
        </w:rPr>
      </w:pP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4407B6B4">
      <w:pPr>
        <w:pStyle w:val="34"/>
        <w:spacing w:beforeAutospacing="0" w:afterAutospacing="0" w:line="0" w:lineRule="atLeast"/>
        <w:ind w:firstLine="843"/>
        <w:jc w:val="both"/>
        <w:rPr>
          <w:rFonts w:hint="eastAsia" w:ascii="宋体" w:hAnsi="宋体" w:eastAsia="宋体" w:cs="宋体"/>
          <w:color w:val="000000"/>
          <w:highlight w:val="none"/>
        </w:rPr>
      </w:pPr>
    </w:p>
    <w:p w14:paraId="57CAE5B4">
      <w:pPr>
        <w:pStyle w:val="34"/>
        <w:spacing w:beforeAutospacing="0" w:afterAutospacing="0" w:line="0" w:lineRule="atLeast"/>
        <w:jc w:val="both"/>
        <w:rPr>
          <w:rFonts w:hint="eastAsia" w:ascii="宋体" w:hAnsi="宋体" w:eastAsia="宋体" w:cs="宋体"/>
          <w:color w:val="000000"/>
          <w:highlight w:val="none"/>
        </w:rPr>
      </w:pPr>
      <w:r>
        <w:rPr>
          <w:rFonts w:hint="eastAsia" w:ascii="宋体" w:hAnsi="宋体" w:eastAsia="宋体" w:cs="宋体"/>
          <w:color w:val="000000"/>
          <w:highlight w:val="none"/>
        </w:rPr>
        <w:t>法定代表人或被授权人（签字或盖章）：</w:t>
      </w:r>
    </w:p>
    <w:p w14:paraId="7911BBFC">
      <w:pPr>
        <w:pStyle w:val="34"/>
        <w:spacing w:beforeAutospacing="0" w:afterAutospacing="0" w:line="0" w:lineRule="atLeast"/>
        <w:jc w:val="both"/>
        <w:rPr>
          <w:rFonts w:hint="eastAsia" w:ascii="宋体" w:hAnsi="宋体" w:eastAsia="宋体" w:cs="宋体"/>
          <w:color w:val="000000"/>
          <w:highlight w:val="none"/>
        </w:rPr>
      </w:pPr>
    </w:p>
    <w:p w14:paraId="223BC45A">
      <w:pPr>
        <w:pStyle w:val="34"/>
        <w:spacing w:beforeAutospacing="0" w:afterAutospacing="0" w:line="0" w:lineRule="atLeast"/>
        <w:jc w:val="both"/>
        <w:rPr>
          <w:rFonts w:hint="eastAsia" w:ascii="宋体" w:hAnsi="宋体" w:eastAsia="宋体" w:cs="宋体"/>
          <w:color w:val="000000"/>
          <w:highlight w:val="none"/>
        </w:rPr>
      </w:pPr>
      <w:r>
        <w:rPr>
          <w:rFonts w:hint="eastAsia" w:ascii="宋体" w:hAnsi="宋体" w:eastAsia="宋体" w:cs="宋体"/>
          <w:color w:val="000000"/>
          <w:highlight w:val="none"/>
        </w:rPr>
        <w:t>企业名称（加盖CA电子公章）：</w:t>
      </w:r>
    </w:p>
    <w:p w14:paraId="506056CB">
      <w:pPr>
        <w:pStyle w:val="34"/>
        <w:spacing w:beforeAutospacing="0" w:afterAutospacing="0" w:line="0" w:lineRule="atLeast"/>
        <w:jc w:val="both"/>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p>
    <w:p w14:paraId="5D535CF7">
      <w:pPr>
        <w:pStyle w:val="34"/>
        <w:spacing w:beforeAutospacing="0" w:afterAutospacing="0" w:line="0" w:lineRule="atLeast"/>
        <w:jc w:val="both"/>
        <w:rPr>
          <w:rFonts w:hint="eastAsia" w:ascii="宋体" w:hAnsi="宋体" w:eastAsia="宋体" w:cs="宋体"/>
          <w:color w:val="000000"/>
          <w:highlight w:val="none"/>
        </w:rPr>
      </w:pPr>
      <w:r>
        <w:rPr>
          <w:rFonts w:hint="eastAsia" w:ascii="宋体" w:hAnsi="宋体" w:eastAsia="宋体" w:cs="宋体"/>
          <w:color w:val="000000"/>
          <w:highlight w:val="none"/>
        </w:rPr>
        <w:t xml:space="preserve">         年    月    日</w:t>
      </w:r>
    </w:p>
    <w:p w14:paraId="0DF8CB70">
      <w:pPr>
        <w:pStyle w:val="34"/>
        <w:spacing w:beforeAutospacing="0" w:afterAutospacing="0"/>
        <w:jc w:val="both"/>
        <w:rPr>
          <w:highlight w:val="none"/>
        </w:rPr>
      </w:pPr>
      <w:r>
        <w:rPr>
          <w:highlight w:val="none"/>
        </w:rPr>
        <w:t> </w:t>
      </w:r>
    </w:p>
    <w:p w14:paraId="15647987">
      <w:pPr>
        <w:pStyle w:val="34"/>
        <w:spacing w:beforeAutospacing="0" w:afterAutospacing="0" w:line="0" w:lineRule="atLeast"/>
        <w:jc w:val="both"/>
        <w:rPr>
          <w:rFonts w:hint="eastAsia" w:ascii="黑体" w:hAnsi="宋体" w:eastAsia="黑体" w:cs="黑体"/>
          <w:i w:val="0"/>
          <w:iCs/>
          <w:color w:val="000000"/>
          <w:sz w:val="32"/>
          <w:szCs w:val="32"/>
          <w:highlight w:val="none"/>
          <w:u w:val="single"/>
        </w:rPr>
      </w:pPr>
    </w:p>
    <w:p w14:paraId="58FFD7C4">
      <w:pPr>
        <w:pStyle w:val="34"/>
        <w:spacing w:beforeAutospacing="0" w:afterAutospacing="0" w:line="0" w:lineRule="atLeast"/>
        <w:jc w:val="both"/>
        <w:rPr>
          <w:rFonts w:hint="eastAsia" w:ascii="黑体" w:hAnsi="宋体" w:eastAsia="黑体" w:cs="黑体"/>
          <w:i w:val="0"/>
          <w:iCs/>
          <w:color w:val="000000"/>
          <w:sz w:val="32"/>
          <w:szCs w:val="32"/>
          <w:highlight w:val="none"/>
          <w:u w:val="single"/>
        </w:rPr>
      </w:pPr>
    </w:p>
    <w:p w14:paraId="5B19B4E9">
      <w:pPr>
        <w:pStyle w:val="34"/>
        <w:spacing w:beforeAutospacing="0" w:afterAutospacing="0" w:line="0" w:lineRule="atLeast"/>
        <w:jc w:val="both"/>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t>六、特定资格要求的证明文件</w:t>
      </w:r>
    </w:p>
    <w:p w14:paraId="04F27F0B">
      <w:pPr>
        <w:pStyle w:val="34"/>
        <w:spacing w:beforeAutospacing="0" w:afterAutospacing="0" w:line="0" w:lineRule="atLeast"/>
        <w:jc w:val="both"/>
        <w:rPr>
          <w:rFonts w:hint="eastAsia" w:ascii="黑体" w:hAnsi="宋体" w:eastAsia="黑体" w:cs="黑体"/>
          <w:i w:val="0"/>
          <w:iCs/>
          <w:color w:val="000000"/>
          <w:sz w:val="32"/>
          <w:szCs w:val="32"/>
          <w:highlight w:val="none"/>
          <w:u w:val="single"/>
        </w:rPr>
      </w:pPr>
      <w:r>
        <w:rPr>
          <w:rFonts w:hint="eastAsia" w:ascii="黑体" w:hAnsi="宋体" w:eastAsia="黑体" w:cs="黑体"/>
          <w:i w:val="0"/>
          <w:iCs/>
          <w:color w:val="000000"/>
          <w:sz w:val="32"/>
          <w:szCs w:val="32"/>
          <w:highlight w:val="none"/>
          <w:u w:val="single"/>
        </w:rPr>
        <w:t>如果本项目申请人的特定资格要求中要求提供的，必须提供。</w:t>
      </w:r>
    </w:p>
    <w:p w14:paraId="65E116F4">
      <w:pPr>
        <w:pStyle w:val="34"/>
        <w:spacing w:beforeAutospacing="0" w:afterAutospacing="0" w:line="0" w:lineRule="atLeast"/>
        <w:jc w:val="both"/>
        <w:rPr>
          <w:rFonts w:hint="eastAsia" w:ascii="黑体" w:hAnsi="宋体" w:eastAsia="黑体" w:cs="黑体"/>
          <w:i w:val="0"/>
          <w:iCs/>
          <w:color w:val="000000"/>
          <w:sz w:val="32"/>
          <w:szCs w:val="32"/>
          <w:highlight w:val="none"/>
          <w:u w:val="single"/>
          <w:lang w:val="en-US" w:eastAsia="zh-CN"/>
        </w:rPr>
      </w:pPr>
      <w:r>
        <w:rPr>
          <w:rFonts w:hint="eastAsia" w:ascii="黑体" w:hAnsi="宋体" w:eastAsia="黑体" w:cs="黑体"/>
          <w:i w:val="0"/>
          <w:iCs/>
          <w:color w:val="000000"/>
          <w:sz w:val="32"/>
          <w:szCs w:val="32"/>
          <w:highlight w:val="none"/>
          <w:u w:val="single"/>
          <w:lang w:val="en-US" w:eastAsia="zh-CN"/>
        </w:rPr>
        <w:t>1.投标人如委托被授权人参与，则被授权人须为本单位正式职工并提供供应商为被授权人缴纳的社会养老保险证明。</w:t>
      </w:r>
    </w:p>
    <w:p w14:paraId="496F4F7E">
      <w:pPr>
        <w:pStyle w:val="34"/>
        <w:spacing w:beforeAutospacing="0" w:afterAutospacing="0"/>
        <w:jc w:val="center"/>
        <w:rPr>
          <w:rFonts w:ascii="黑体" w:hAnsi="宋体" w:eastAsia="黑体" w:cs="黑体"/>
          <w:i/>
          <w:color w:val="000000"/>
          <w:sz w:val="32"/>
          <w:szCs w:val="32"/>
          <w:highlight w:val="none"/>
          <w:u w:val="single"/>
        </w:rPr>
      </w:pPr>
    </w:p>
    <w:p w14:paraId="3A5BD439">
      <w:pPr>
        <w:pStyle w:val="34"/>
        <w:spacing w:beforeAutospacing="0" w:afterAutospacing="0"/>
        <w:jc w:val="center"/>
        <w:rPr>
          <w:rFonts w:ascii="黑体" w:hAnsi="宋体" w:eastAsia="黑体" w:cs="黑体"/>
          <w:i/>
          <w:color w:val="000000"/>
          <w:sz w:val="32"/>
          <w:szCs w:val="32"/>
          <w:highlight w:val="none"/>
          <w:u w:val="single"/>
        </w:rPr>
      </w:pPr>
    </w:p>
    <w:p w14:paraId="30D374D9">
      <w:pPr>
        <w:pStyle w:val="34"/>
        <w:spacing w:beforeAutospacing="0" w:afterAutospacing="0"/>
        <w:jc w:val="center"/>
        <w:rPr>
          <w:rFonts w:ascii="黑体" w:hAnsi="宋体" w:eastAsia="黑体" w:cs="黑体"/>
          <w:i/>
          <w:color w:val="000000"/>
          <w:sz w:val="32"/>
          <w:szCs w:val="32"/>
          <w:highlight w:val="none"/>
          <w:u w:val="single"/>
        </w:rPr>
      </w:pPr>
    </w:p>
    <w:p w14:paraId="33DDE78A">
      <w:pPr>
        <w:spacing w:line="600" w:lineRule="exact"/>
        <w:jc w:val="center"/>
        <w:outlineLvl w:val="1"/>
        <w:rPr>
          <w:rFonts w:hint="eastAsia" w:ascii="宋体" w:hAnsi="宋体" w:eastAsia="宋体" w:cs="宋体"/>
          <w:b/>
          <w:bCs/>
          <w:color w:val="auto"/>
          <w:sz w:val="32"/>
          <w:szCs w:val="32"/>
          <w:highlight w:val="none"/>
        </w:rPr>
      </w:pPr>
      <w:bookmarkStart w:id="209" w:name="_Hlt26671380"/>
      <w:bookmarkStart w:id="210" w:name="_Hlt26955070"/>
      <w:bookmarkStart w:id="211" w:name="_格式3__银行出具的资信证明"/>
    </w:p>
    <w:p w14:paraId="27E46535">
      <w:pPr>
        <w:pStyle w:val="2"/>
        <w:rPr>
          <w:rFonts w:hint="eastAsia" w:ascii="宋体" w:hAnsi="宋体" w:eastAsia="宋体" w:cs="宋体"/>
          <w:b/>
          <w:bCs/>
          <w:color w:val="auto"/>
          <w:sz w:val="32"/>
          <w:szCs w:val="32"/>
          <w:highlight w:val="none"/>
        </w:rPr>
      </w:pPr>
    </w:p>
    <w:p w14:paraId="309C5B06">
      <w:pPr>
        <w:pStyle w:val="2"/>
        <w:rPr>
          <w:rFonts w:hint="eastAsia" w:ascii="宋体" w:hAnsi="宋体" w:eastAsia="宋体" w:cs="宋体"/>
          <w:b/>
          <w:bCs/>
          <w:color w:val="auto"/>
          <w:sz w:val="32"/>
          <w:szCs w:val="32"/>
          <w:highlight w:val="none"/>
        </w:rPr>
      </w:pPr>
    </w:p>
    <w:p w14:paraId="78BE49F5">
      <w:pPr>
        <w:pStyle w:val="2"/>
        <w:rPr>
          <w:rFonts w:hint="eastAsia" w:ascii="宋体" w:hAnsi="宋体" w:eastAsia="宋体" w:cs="宋体"/>
          <w:b/>
          <w:bCs/>
          <w:color w:val="auto"/>
          <w:sz w:val="32"/>
          <w:szCs w:val="32"/>
          <w:highlight w:val="none"/>
        </w:rPr>
      </w:pPr>
    </w:p>
    <w:p w14:paraId="2FB7FBE5">
      <w:pPr>
        <w:pStyle w:val="2"/>
        <w:rPr>
          <w:rFonts w:hint="eastAsia" w:ascii="宋体" w:hAnsi="宋体" w:eastAsia="宋体" w:cs="宋体"/>
          <w:b/>
          <w:bCs/>
          <w:color w:val="auto"/>
          <w:sz w:val="32"/>
          <w:szCs w:val="32"/>
          <w:highlight w:val="none"/>
        </w:rPr>
      </w:pPr>
    </w:p>
    <w:p w14:paraId="40579376">
      <w:pPr>
        <w:pStyle w:val="2"/>
        <w:rPr>
          <w:rFonts w:hint="eastAsia" w:ascii="宋体" w:hAnsi="宋体" w:eastAsia="宋体" w:cs="宋体"/>
          <w:b/>
          <w:bCs/>
          <w:color w:val="auto"/>
          <w:sz w:val="32"/>
          <w:szCs w:val="32"/>
          <w:highlight w:val="none"/>
        </w:rPr>
      </w:pPr>
    </w:p>
    <w:p w14:paraId="67511A5F">
      <w:pPr>
        <w:pStyle w:val="2"/>
        <w:rPr>
          <w:rFonts w:hint="eastAsia" w:ascii="宋体" w:hAnsi="宋体" w:eastAsia="宋体" w:cs="宋体"/>
          <w:b/>
          <w:bCs/>
          <w:color w:val="auto"/>
          <w:sz w:val="32"/>
          <w:szCs w:val="32"/>
          <w:highlight w:val="none"/>
        </w:rPr>
      </w:pPr>
    </w:p>
    <w:p w14:paraId="66BFC6B1">
      <w:pPr>
        <w:pStyle w:val="2"/>
        <w:rPr>
          <w:rFonts w:hint="eastAsia" w:ascii="宋体" w:hAnsi="宋体" w:eastAsia="宋体" w:cs="宋体"/>
          <w:b/>
          <w:bCs/>
          <w:color w:val="auto"/>
          <w:sz w:val="32"/>
          <w:szCs w:val="32"/>
          <w:highlight w:val="none"/>
        </w:rPr>
      </w:pPr>
    </w:p>
    <w:p w14:paraId="3E0D3AA3">
      <w:pPr>
        <w:pStyle w:val="2"/>
        <w:rPr>
          <w:rFonts w:hint="eastAsia" w:ascii="宋体" w:hAnsi="宋体" w:eastAsia="宋体" w:cs="宋体"/>
          <w:b/>
          <w:bCs/>
          <w:color w:val="auto"/>
          <w:sz w:val="32"/>
          <w:szCs w:val="32"/>
          <w:highlight w:val="none"/>
        </w:rPr>
      </w:pPr>
    </w:p>
    <w:p w14:paraId="0BFE2B3F">
      <w:pPr>
        <w:pStyle w:val="2"/>
        <w:rPr>
          <w:rFonts w:hint="eastAsia" w:ascii="宋体" w:hAnsi="宋体" w:eastAsia="宋体" w:cs="宋体"/>
          <w:b/>
          <w:bCs/>
          <w:color w:val="auto"/>
          <w:sz w:val="32"/>
          <w:szCs w:val="32"/>
          <w:highlight w:val="none"/>
        </w:rPr>
      </w:pPr>
    </w:p>
    <w:p w14:paraId="039A8501">
      <w:pPr>
        <w:pStyle w:val="2"/>
        <w:rPr>
          <w:rFonts w:hint="eastAsia" w:ascii="宋体" w:hAnsi="宋体" w:eastAsia="宋体" w:cs="宋体"/>
          <w:b/>
          <w:bCs/>
          <w:color w:val="auto"/>
          <w:sz w:val="32"/>
          <w:szCs w:val="32"/>
          <w:highlight w:val="none"/>
        </w:rPr>
      </w:pPr>
    </w:p>
    <w:p w14:paraId="7E4BE296">
      <w:pPr>
        <w:pStyle w:val="2"/>
        <w:rPr>
          <w:rFonts w:hint="eastAsia" w:ascii="宋体" w:hAnsi="宋体" w:eastAsia="宋体" w:cs="宋体"/>
          <w:b/>
          <w:bCs/>
          <w:color w:val="auto"/>
          <w:sz w:val="32"/>
          <w:szCs w:val="32"/>
          <w:highlight w:val="none"/>
        </w:rPr>
      </w:pPr>
    </w:p>
    <w:p w14:paraId="555675F3">
      <w:pPr>
        <w:pStyle w:val="2"/>
        <w:rPr>
          <w:rFonts w:hint="eastAsia" w:ascii="宋体" w:hAnsi="宋体" w:eastAsia="宋体" w:cs="宋体"/>
          <w:b/>
          <w:bCs/>
          <w:color w:val="auto"/>
          <w:sz w:val="32"/>
          <w:szCs w:val="32"/>
          <w:highlight w:val="none"/>
        </w:rPr>
      </w:pPr>
    </w:p>
    <w:p w14:paraId="71C110CA">
      <w:pPr>
        <w:pStyle w:val="2"/>
        <w:rPr>
          <w:rFonts w:hint="eastAsia" w:ascii="宋体" w:hAnsi="宋体" w:eastAsia="宋体" w:cs="宋体"/>
          <w:b/>
          <w:bCs/>
          <w:color w:val="auto"/>
          <w:sz w:val="32"/>
          <w:szCs w:val="32"/>
          <w:highlight w:val="none"/>
        </w:rPr>
      </w:pPr>
    </w:p>
    <w:p w14:paraId="69114E0A">
      <w:pPr>
        <w:pStyle w:val="2"/>
        <w:rPr>
          <w:rFonts w:hint="eastAsia" w:ascii="宋体" w:hAnsi="宋体" w:eastAsia="宋体" w:cs="宋体"/>
          <w:b/>
          <w:bCs/>
          <w:color w:val="auto"/>
          <w:sz w:val="32"/>
          <w:szCs w:val="32"/>
          <w:highlight w:val="none"/>
        </w:rPr>
      </w:pPr>
    </w:p>
    <w:p w14:paraId="1AF1365D">
      <w:pPr>
        <w:pStyle w:val="2"/>
        <w:rPr>
          <w:rFonts w:hint="eastAsia" w:ascii="宋体" w:hAnsi="宋体" w:eastAsia="宋体" w:cs="宋体"/>
          <w:b/>
          <w:bCs/>
          <w:color w:val="auto"/>
          <w:sz w:val="32"/>
          <w:szCs w:val="32"/>
          <w:highlight w:val="none"/>
        </w:rPr>
      </w:pPr>
    </w:p>
    <w:p w14:paraId="00AB9328">
      <w:pPr>
        <w:pStyle w:val="2"/>
        <w:rPr>
          <w:rFonts w:hint="eastAsia" w:ascii="宋体" w:hAnsi="宋体" w:eastAsia="宋体" w:cs="宋体"/>
          <w:b/>
          <w:bCs/>
          <w:color w:val="auto"/>
          <w:sz w:val="32"/>
          <w:szCs w:val="32"/>
          <w:highlight w:val="none"/>
        </w:rPr>
      </w:pPr>
    </w:p>
    <w:p w14:paraId="1118B7C3">
      <w:pPr>
        <w:pStyle w:val="2"/>
        <w:rPr>
          <w:rFonts w:hint="eastAsia" w:ascii="宋体" w:hAnsi="宋体" w:eastAsia="宋体" w:cs="宋体"/>
          <w:b/>
          <w:bCs/>
          <w:color w:val="auto"/>
          <w:sz w:val="32"/>
          <w:szCs w:val="32"/>
          <w:highlight w:val="none"/>
        </w:rPr>
      </w:pPr>
    </w:p>
    <w:p w14:paraId="315F65B0">
      <w:pPr>
        <w:pStyle w:val="2"/>
        <w:rPr>
          <w:rFonts w:hint="eastAsia" w:ascii="宋体" w:hAnsi="宋体" w:eastAsia="宋体" w:cs="宋体"/>
          <w:b/>
          <w:bCs/>
          <w:color w:val="auto"/>
          <w:sz w:val="32"/>
          <w:szCs w:val="32"/>
          <w:highlight w:val="none"/>
        </w:rPr>
      </w:pPr>
    </w:p>
    <w:p w14:paraId="5AA6734B">
      <w:pPr>
        <w:pStyle w:val="2"/>
        <w:rPr>
          <w:rFonts w:hint="eastAsia" w:ascii="宋体" w:hAnsi="宋体" w:eastAsia="宋体" w:cs="宋体"/>
          <w:b/>
          <w:bCs/>
          <w:color w:val="auto"/>
          <w:sz w:val="32"/>
          <w:szCs w:val="32"/>
          <w:highlight w:val="none"/>
        </w:rPr>
      </w:pPr>
    </w:p>
    <w:p w14:paraId="6888746A">
      <w:pPr>
        <w:pStyle w:val="2"/>
        <w:rPr>
          <w:rFonts w:hint="eastAsia" w:ascii="宋体" w:hAnsi="宋体" w:eastAsia="宋体" w:cs="宋体"/>
          <w:b/>
          <w:bCs/>
          <w:color w:val="auto"/>
          <w:sz w:val="32"/>
          <w:szCs w:val="32"/>
          <w:highlight w:val="none"/>
        </w:rPr>
      </w:pPr>
    </w:p>
    <w:p w14:paraId="133A6209">
      <w:pPr>
        <w:pStyle w:val="2"/>
        <w:rPr>
          <w:rFonts w:hint="eastAsia" w:ascii="宋体" w:hAnsi="宋体" w:eastAsia="宋体" w:cs="宋体"/>
          <w:b/>
          <w:bCs/>
          <w:color w:val="auto"/>
          <w:sz w:val="32"/>
          <w:szCs w:val="32"/>
          <w:highlight w:val="none"/>
        </w:rPr>
      </w:pPr>
    </w:p>
    <w:p w14:paraId="7EAB400D">
      <w:pPr>
        <w:pStyle w:val="2"/>
        <w:rPr>
          <w:rFonts w:hint="eastAsia" w:ascii="宋体" w:hAnsi="宋体" w:eastAsia="宋体" w:cs="宋体"/>
          <w:b/>
          <w:bCs/>
          <w:color w:val="auto"/>
          <w:sz w:val="32"/>
          <w:szCs w:val="32"/>
          <w:highlight w:val="none"/>
        </w:rPr>
      </w:pPr>
    </w:p>
    <w:p w14:paraId="7431CC57">
      <w:pPr>
        <w:pStyle w:val="2"/>
        <w:rPr>
          <w:rFonts w:hint="eastAsia" w:ascii="宋体" w:hAnsi="宋体" w:eastAsia="宋体" w:cs="宋体"/>
          <w:b/>
          <w:bCs/>
          <w:color w:val="auto"/>
          <w:sz w:val="32"/>
          <w:szCs w:val="32"/>
          <w:highlight w:val="none"/>
        </w:rPr>
      </w:pPr>
    </w:p>
    <w:p w14:paraId="20B7686B">
      <w:pPr>
        <w:pStyle w:val="2"/>
        <w:rPr>
          <w:rFonts w:hint="eastAsia" w:ascii="宋体" w:hAnsi="宋体" w:eastAsia="宋体" w:cs="宋体"/>
          <w:b/>
          <w:bCs/>
          <w:color w:val="auto"/>
          <w:sz w:val="32"/>
          <w:szCs w:val="32"/>
          <w:highlight w:val="none"/>
        </w:rPr>
      </w:pPr>
    </w:p>
    <w:p w14:paraId="129CC57D">
      <w:pPr>
        <w:spacing w:line="600" w:lineRule="exact"/>
        <w:jc w:val="left"/>
        <w:outlineLvl w:val="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七、法定代表人身份证明书及法人授权书</w:t>
      </w:r>
    </w:p>
    <w:p w14:paraId="32D6202D">
      <w:pPr>
        <w:spacing w:line="600" w:lineRule="exact"/>
        <w:jc w:val="center"/>
        <w:outlineLvl w:val="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法定代表人身份证明书</w:t>
      </w:r>
    </w:p>
    <w:p w14:paraId="5970D606">
      <w:pPr>
        <w:spacing w:line="600" w:lineRule="exact"/>
        <w:jc w:val="center"/>
        <w:rPr>
          <w:rFonts w:hint="eastAsia" w:ascii="宋体" w:hAnsi="宋体" w:eastAsia="宋体" w:cs="宋体"/>
          <w:b/>
          <w:color w:val="auto"/>
          <w:sz w:val="28"/>
          <w:highlight w:val="none"/>
        </w:rPr>
      </w:pPr>
    </w:p>
    <w:p w14:paraId="308D6EAA">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：（采购人名称）</w:t>
      </w:r>
    </w:p>
    <w:p w14:paraId="3B55ED70">
      <w:pPr>
        <w:spacing w:line="6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投标人名称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（职务名称）</w:t>
      </w:r>
      <w:r>
        <w:rPr>
          <w:rFonts w:hint="eastAsia" w:ascii="宋体" w:hAnsi="宋体" w:eastAsia="宋体" w:cs="宋体"/>
          <w:color w:val="auto"/>
          <w:sz w:val="24"/>
          <w:highlight w:val="none"/>
        </w:rPr>
        <w:t>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投标人名称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的法定代表人，联系电话（手机号码）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2D8643E4">
      <w:pPr>
        <w:spacing w:line="600" w:lineRule="exact"/>
        <w:rPr>
          <w:rFonts w:hint="eastAsia" w:ascii="宋体" w:hAnsi="宋体" w:eastAsia="宋体" w:cs="宋体"/>
          <w:color w:val="auto"/>
          <w:sz w:val="24"/>
          <w:highlight w:val="none"/>
        </w:rPr>
      </w:pPr>
    </w:p>
    <w:p w14:paraId="57211CEF">
      <w:pPr>
        <w:spacing w:line="6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6B7C2C14">
      <w:pPr>
        <w:spacing w:line="600" w:lineRule="exact"/>
        <w:ind w:firstLine="456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highlight w:val="none"/>
        </w:rPr>
        <w:t xml:space="preserve">（盖单位公章）      </w:t>
      </w:r>
    </w:p>
    <w:p w14:paraId="15C4EC8D">
      <w:pPr>
        <w:spacing w:line="600" w:lineRule="exact"/>
        <w:ind w:firstLine="1200"/>
        <w:rPr>
          <w:rFonts w:hint="eastAsia" w:ascii="宋体" w:hAnsi="宋体" w:eastAsia="宋体" w:cs="宋体"/>
          <w:color w:val="auto"/>
          <w:sz w:val="24"/>
          <w:highlight w:val="none"/>
        </w:rPr>
      </w:pPr>
    </w:p>
    <w:p w14:paraId="5656DB49">
      <w:pPr>
        <w:spacing w:line="600" w:lineRule="exact"/>
        <w:ind w:firstLine="2126"/>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p>
    <w:p w14:paraId="7971E32C">
      <w:pPr>
        <w:spacing w:line="600" w:lineRule="exact"/>
        <w:jc w:val="left"/>
        <w:rPr>
          <w:rFonts w:hint="eastAsia" w:ascii="宋体" w:hAnsi="宋体" w:eastAsia="宋体" w:cs="宋体"/>
          <w:b/>
          <w:bCs/>
          <w:color w:val="auto"/>
          <w:sz w:val="24"/>
          <w:highlight w:val="none"/>
        </w:rPr>
      </w:pPr>
    </w:p>
    <w:p w14:paraId="55E85AFC">
      <w:pPr>
        <w:spacing w:line="6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（附：法定代表人身份证正反面复印件）</w:t>
      </w:r>
    </w:p>
    <w:p w14:paraId="21F53DD3">
      <w:pPr>
        <w:jc w:val="left"/>
        <w:rPr>
          <w:rFonts w:hint="eastAsia" w:ascii="宋体" w:hAnsi="宋体" w:eastAsia="宋体" w:cs="宋体"/>
          <w:color w:val="auto"/>
          <w:sz w:val="24"/>
          <w:highlight w:val="none"/>
        </w:rPr>
      </w:pPr>
    </w:p>
    <w:p w14:paraId="09D59F88">
      <w:pPr>
        <w:pStyle w:val="199"/>
        <w:rPr>
          <w:sz w:val="36"/>
          <w:szCs w:val="44"/>
        </w:rPr>
      </w:pPr>
      <w:r>
        <w:rPr>
          <w:rFonts w:hint="eastAsia" w:ascii="宋体" w:hAnsi="宋体" w:eastAsia="宋体" w:cs="宋体"/>
          <w:color w:val="auto"/>
          <w:sz w:val="24"/>
          <w:highlight w:val="none"/>
        </w:rPr>
        <w:br w:type="page" w:clear="all"/>
      </w:r>
      <w:bookmarkStart w:id="212" w:name="_Toc174368681"/>
      <w:r>
        <w:rPr>
          <w:rFonts w:hint="eastAsia"/>
          <w:sz w:val="36"/>
          <w:szCs w:val="44"/>
        </w:rPr>
        <w:t>法人授权书</w:t>
      </w:r>
      <w:bookmarkEnd w:id="212"/>
    </w:p>
    <w:p w14:paraId="7B87773F">
      <w:pPr>
        <w:ind w:firstLine="560"/>
        <w:rPr>
          <w:sz w:val="28"/>
          <w:szCs w:val="36"/>
        </w:rPr>
      </w:pPr>
      <w:r>
        <w:rPr>
          <w:rFonts w:ascii="Times New Roman" w:hAnsi="Times New Roman"/>
          <w:color w:val="000000"/>
          <w:sz w:val="28"/>
          <w:szCs w:val="36"/>
        </w:rPr>
        <w:t>本授权书声明：____________（投标人名称）授权________________（被授权人的姓名）为我方就JSZC-</w:t>
      </w:r>
      <w:r>
        <w:rPr>
          <w:rFonts w:ascii="Times New Roman" w:hAnsi="Times New Roman"/>
          <w:color w:val="000000"/>
          <w:sz w:val="28"/>
          <w:szCs w:val="36"/>
          <w:u w:val="single"/>
        </w:rPr>
        <w:t xml:space="preserve">            </w:t>
      </w:r>
      <w:r>
        <w:rPr>
          <w:rFonts w:ascii="Times New Roman" w:hAnsi="Times New Roman"/>
          <w:color w:val="000000"/>
          <w:sz w:val="28"/>
          <w:szCs w:val="36"/>
        </w:rPr>
        <w:t>号项目采购活动的合法代理人，以本单位名义全权处理一切与该项目采购有关的事务。</w:t>
      </w:r>
    </w:p>
    <w:p w14:paraId="31E7D0CC">
      <w:pPr>
        <w:ind w:firstLine="560"/>
        <w:rPr>
          <w:sz w:val="28"/>
          <w:szCs w:val="36"/>
        </w:rPr>
      </w:pPr>
      <w:r>
        <w:rPr>
          <w:rFonts w:ascii="Times New Roman" w:hAnsi="Times New Roman"/>
          <w:color w:val="000000"/>
          <w:sz w:val="28"/>
          <w:szCs w:val="36"/>
        </w:rPr>
        <w:t>本授权书于______年____月____日起生效，特此声明。</w:t>
      </w:r>
    </w:p>
    <w:p w14:paraId="2926C8EE">
      <w:pPr>
        <w:ind w:firstLine="560"/>
        <w:rPr>
          <w:sz w:val="28"/>
          <w:szCs w:val="36"/>
        </w:rPr>
      </w:pPr>
      <w:r>
        <w:rPr>
          <w:rFonts w:ascii="Times New Roman" w:hAnsi="Times New Roman"/>
          <w:color w:val="000000"/>
          <w:sz w:val="28"/>
          <w:szCs w:val="36"/>
        </w:rPr>
        <w:t>          被授权人身份证号码：</w:t>
      </w:r>
      <w:r>
        <w:rPr>
          <w:rFonts w:ascii="Times New Roman" w:hAnsi="Times New Roman"/>
          <w:color w:val="000000"/>
          <w:sz w:val="28"/>
          <w:szCs w:val="36"/>
          <w:u w:val="single"/>
        </w:rPr>
        <w:t xml:space="preserve">                              </w:t>
      </w:r>
    </w:p>
    <w:p w14:paraId="1E14EDD3">
      <w:pPr>
        <w:ind w:firstLine="560"/>
        <w:rPr>
          <w:sz w:val="28"/>
          <w:szCs w:val="36"/>
        </w:rPr>
      </w:pPr>
      <w:r>
        <w:rPr>
          <w:rFonts w:ascii="Times New Roman" w:hAnsi="Times New Roman"/>
          <w:color w:val="000000"/>
          <w:sz w:val="28"/>
          <w:szCs w:val="36"/>
        </w:rPr>
        <w:t>          被授权人联系电话：（手机）</w:t>
      </w:r>
      <w:r>
        <w:rPr>
          <w:rFonts w:ascii="Times New Roman" w:hAnsi="Times New Roman"/>
          <w:color w:val="000000"/>
          <w:sz w:val="28"/>
          <w:szCs w:val="36"/>
          <w:u w:val="single"/>
        </w:rPr>
        <w:t xml:space="preserve">                          </w:t>
      </w:r>
    </w:p>
    <w:p w14:paraId="7EC65895">
      <w:pPr>
        <w:ind w:firstLine="1386"/>
        <w:rPr>
          <w:rFonts w:ascii="Times New Roman" w:hAnsi="Times New Roman"/>
          <w:color w:val="000000"/>
          <w:sz w:val="28"/>
          <w:szCs w:val="36"/>
          <w:u w:val="single"/>
        </w:rPr>
      </w:pPr>
      <w:r>
        <w:rPr>
          <w:rFonts w:hint="eastAsia" w:ascii="Times New Roman" w:hAnsi="Times New Roman"/>
          <w:color w:val="000000"/>
          <w:sz w:val="28"/>
          <w:szCs w:val="36"/>
        </w:rPr>
        <w:t>法定代表人或被授权人（签字或盖章）：</w:t>
      </w:r>
      <w:r>
        <w:rPr>
          <w:rFonts w:hint="eastAsia" w:ascii="Times New Roman" w:hAnsi="Times New Roman"/>
          <w:color w:val="000000"/>
          <w:sz w:val="28"/>
          <w:szCs w:val="36"/>
          <w:u w:val="single"/>
        </w:rPr>
        <w:t xml:space="preserve"> </w:t>
      </w:r>
      <w:r>
        <w:rPr>
          <w:rFonts w:ascii="Times New Roman" w:hAnsi="Times New Roman"/>
          <w:color w:val="000000"/>
          <w:sz w:val="28"/>
          <w:szCs w:val="36"/>
          <w:u w:val="single"/>
        </w:rPr>
        <w:t xml:space="preserve">                </w:t>
      </w:r>
    </w:p>
    <w:p w14:paraId="24B965C9">
      <w:pPr>
        <w:ind w:firstLine="1386"/>
        <w:rPr>
          <w:sz w:val="28"/>
          <w:szCs w:val="36"/>
        </w:rPr>
      </w:pPr>
      <w:r>
        <w:rPr>
          <w:rFonts w:ascii="Times New Roman" w:hAnsi="Times New Roman"/>
          <w:color w:val="000000"/>
          <w:sz w:val="28"/>
          <w:szCs w:val="36"/>
        </w:rPr>
        <w:t>授权单位名称：</w:t>
      </w:r>
      <w:r>
        <w:rPr>
          <w:rFonts w:ascii="Times New Roman" w:hAnsi="Times New Roman"/>
          <w:color w:val="000000"/>
          <w:sz w:val="28"/>
          <w:szCs w:val="36"/>
          <w:u w:val="single"/>
        </w:rPr>
        <w:t>（加盖CA电子公章）</w:t>
      </w:r>
    </w:p>
    <w:p w14:paraId="7153431C">
      <w:pPr>
        <w:ind w:firstLine="1386"/>
        <w:rPr>
          <w:sz w:val="28"/>
          <w:szCs w:val="36"/>
        </w:rPr>
      </w:pPr>
      <w:r>
        <w:rPr>
          <w:rFonts w:ascii="Times New Roman" w:hAnsi="Times New Roman"/>
          <w:color w:val="000000"/>
          <w:sz w:val="28"/>
          <w:szCs w:val="36"/>
        </w:rPr>
        <w:t>单位地址：</w:t>
      </w:r>
      <w:r>
        <w:rPr>
          <w:rFonts w:ascii="Times New Roman" w:hAnsi="Times New Roman"/>
          <w:color w:val="000000"/>
          <w:sz w:val="28"/>
          <w:szCs w:val="36"/>
          <w:u w:val="single"/>
        </w:rPr>
        <w:t xml:space="preserve">                                         </w:t>
      </w:r>
    </w:p>
    <w:p w14:paraId="345D474F">
      <w:pPr>
        <w:ind w:firstLine="1386"/>
        <w:rPr>
          <w:sz w:val="28"/>
          <w:szCs w:val="36"/>
        </w:rPr>
      </w:pPr>
      <w:r>
        <w:rPr>
          <w:rFonts w:ascii="Times New Roman" w:hAnsi="Times New Roman"/>
          <w:color w:val="000000"/>
          <w:sz w:val="28"/>
          <w:szCs w:val="36"/>
        </w:rPr>
        <w:t>日期：</w:t>
      </w:r>
      <w:r>
        <w:rPr>
          <w:rFonts w:ascii="Times New Roman" w:hAnsi="Times New Roman"/>
          <w:color w:val="000000"/>
          <w:sz w:val="28"/>
          <w:szCs w:val="36"/>
          <w:u w:val="single"/>
        </w:rPr>
        <w:t xml:space="preserve">                                         </w:t>
      </w:r>
    </w:p>
    <w:p w14:paraId="188C53EC">
      <w:pPr>
        <w:ind w:firstLine="560"/>
        <w:rPr>
          <w:sz w:val="28"/>
          <w:szCs w:val="36"/>
        </w:rPr>
      </w:pPr>
      <w:r>
        <w:rPr>
          <w:rFonts w:hint="eastAsia"/>
          <w:sz w:val="28"/>
          <w:szCs w:val="36"/>
        </w:rPr>
        <w:t>（附：被授权人身份证正反面复印件）</w:t>
      </w:r>
    </w:p>
    <w:p w14:paraId="119077E1">
      <w:pPr>
        <w:ind w:firstLine="560"/>
        <w:rPr>
          <w:sz w:val="28"/>
          <w:szCs w:val="36"/>
        </w:rPr>
      </w:pPr>
    </w:p>
    <w:p w14:paraId="6BDCF3E0">
      <w:pPr>
        <w:ind w:firstLine="560"/>
        <w:rPr>
          <w:sz w:val="28"/>
          <w:szCs w:val="36"/>
        </w:rPr>
      </w:pPr>
    </w:p>
    <w:p w14:paraId="7518ECD0">
      <w:pPr>
        <w:ind w:firstLine="560"/>
        <w:rPr>
          <w:sz w:val="28"/>
          <w:szCs w:val="36"/>
        </w:rPr>
      </w:pPr>
      <w:r>
        <w:rPr>
          <w:rFonts w:hint="eastAsia"/>
          <w:sz w:val="28"/>
          <w:szCs w:val="36"/>
        </w:rPr>
        <w:t>注：1、授权人须为本单位正式职工并提供投标人为被授权人缴纳的社会养老保险证明。</w:t>
      </w:r>
    </w:p>
    <w:p w14:paraId="087F5A9B">
      <w:pPr>
        <w:ind w:firstLine="1134"/>
        <w:rPr>
          <w:sz w:val="28"/>
          <w:szCs w:val="36"/>
        </w:rPr>
      </w:pPr>
      <w:r>
        <w:rPr>
          <w:sz w:val="28"/>
          <w:szCs w:val="36"/>
        </w:rPr>
        <w:t>2、</w:t>
      </w:r>
      <w:r>
        <w:rPr>
          <w:rFonts w:hint="eastAsia"/>
          <w:sz w:val="28"/>
          <w:szCs w:val="36"/>
        </w:rPr>
        <w:t>法定</w:t>
      </w:r>
      <w:r>
        <w:rPr>
          <w:sz w:val="28"/>
          <w:szCs w:val="36"/>
        </w:rPr>
        <w:t>表人亲自参加时无需提供授权书及保险证明</w:t>
      </w:r>
    </w:p>
    <w:p w14:paraId="671693B0">
      <w:pPr>
        <w:spacing w:line="400" w:lineRule="exact"/>
        <w:jc w:val="left"/>
        <w:rPr>
          <w:rFonts w:hint="eastAsia" w:ascii="宋体" w:hAnsi="宋体" w:eastAsia="宋体" w:cs="宋体"/>
          <w:b/>
          <w:bCs/>
          <w:color w:val="auto"/>
          <w:sz w:val="24"/>
          <w:highlight w:val="none"/>
        </w:rPr>
      </w:pPr>
    </w:p>
    <w:p w14:paraId="18C9E0BD">
      <w:pPr>
        <w:rPr>
          <w:rFonts w:hint="eastAsia"/>
        </w:rPr>
      </w:pPr>
    </w:p>
    <w:p w14:paraId="0EDF3539">
      <w:pPr>
        <w:rPr>
          <w:rFonts w:hint="eastAsia" w:ascii="宋体" w:hAnsi="宋体" w:eastAsia="宋体" w:cs="宋体"/>
          <w:b/>
          <w:color w:val="000000"/>
          <w:highlight w:val="none"/>
        </w:rPr>
      </w:pPr>
    </w:p>
    <w:p w14:paraId="30133DCB">
      <w:pPr>
        <w:rPr>
          <w:rFonts w:hint="eastAsia" w:ascii="宋体" w:hAnsi="宋体" w:eastAsia="宋体" w:cs="宋体"/>
          <w:b/>
          <w:color w:val="000000"/>
          <w:highlight w:val="none"/>
        </w:rPr>
      </w:pPr>
    </w:p>
    <w:p w14:paraId="05CBFDDE">
      <w:pPr>
        <w:rPr>
          <w:rFonts w:hint="eastAsia" w:ascii="宋体" w:hAnsi="宋体" w:eastAsia="宋体" w:cs="宋体"/>
          <w:b/>
          <w:color w:val="000000"/>
          <w:highlight w:val="none"/>
        </w:rPr>
      </w:pPr>
    </w:p>
    <w:p w14:paraId="7BD6BFF9">
      <w:pPr>
        <w:rPr>
          <w:rFonts w:hint="eastAsia" w:ascii="宋体" w:hAnsi="宋体" w:eastAsia="宋体" w:cs="宋体"/>
          <w:b/>
          <w:color w:val="000000"/>
          <w:highlight w:val="none"/>
        </w:rPr>
      </w:pPr>
    </w:p>
    <w:p w14:paraId="5E38064F">
      <w:pPr>
        <w:rPr>
          <w:rFonts w:hint="eastAsia" w:ascii="宋体" w:hAnsi="宋体" w:eastAsia="宋体" w:cs="宋体"/>
          <w:b/>
          <w:color w:val="000000"/>
          <w:highlight w:val="none"/>
        </w:rPr>
      </w:pPr>
    </w:p>
    <w:p w14:paraId="35185EB7">
      <w:pPr>
        <w:rPr>
          <w:rFonts w:hint="eastAsia" w:ascii="宋体" w:hAnsi="宋体" w:eastAsia="宋体" w:cs="宋体"/>
          <w:b/>
          <w:color w:val="000000"/>
          <w:highlight w:val="none"/>
        </w:rPr>
      </w:pPr>
    </w:p>
    <w:p w14:paraId="4C0EDDA9">
      <w:pPr>
        <w:rPr>
          <w:rFonts w:hint="eastAsia" w:ascii="宋体" w:hAnsi="宋体" w:eastAsia="宋体" w:cs="宋体"/>
          <w:b/>
          <w:color w:val="000000"/>
          <w:highlight w:val="none"/>
        </w:rPr>
      </w:pPr>
    </w:p>
    <w:p w14:paraId="18903F6A">
      <w:pPr>
        <w:rPr>
          <w:rFonts w:hint="eastAsia" w:ascii="宋体" w:hAnsi="宋体" w:eastAsia="宋体" w:cs="宋体"/>
          <w:b/>
          <w:color w:val="000000"/>
          <w:highlight w:val="none"/>
        </w:rPr>
      </w:pPr>
    </w:p>
    <w:p w14:paraId="570581F8">
      <w:pPr>
        <w:rPr>
          <w:rFonts w:hint="eastAsia" w:ascii="宋体" w:hAnsi="宋体" w:eastAsia="宋体" w:cs="宋体"/>
          <w:b/>
          <w:color w:val="000000"/>
          <w:highlight w:val="none"/>
        </w:rPr>
      </w:pPr>
    </w:p>
    <w:p w14:paraId="0E4EA553">
      <w:pPr>
        <w:rPr>
          <w:rFonts w:hint="eastAsia" w:ascii="宋体" w:hAnsi="宋体" w:eastAsia="宋体" w:cs="宋体"/>
          <w:b/>
          <w:color w:val="000000"/>
          <w:highlight w:val="none"/>
        </w:rPr>
      </w:pPr>
    </w:p>
    <w:p w14:paraId="033841FD">
      <w:pPr>
        <w:rPr>
          <w:rFonts w:hint="eastAsia" w:ascii="宋体" w:hAnsi="宋体" w:eastAsia="宋体" w:cs="宋体"/>
          <w:b/>
          <w:color w:val="000000"/>
          <w:highlight w:val="none"/>
        </w:rPr>
      </w:pPr>
    </w:p>
    <w:p w14:paraId="19B7530C">
      <w:pPr>
        <w:rPr>
          <w:rFonts w:hint="eastAsia" w:ascii="宋体" w:hAnsi="宋体" w:eastAsia="宋体" w:cs="宋体"/>
          <w:b/>
          <w:color w:val="000000"/>
          <w:highlight w:val="none"/>
        </w:rPr>
      </w:pPr>
    </w:p>
    <w:p w14:paraId="2671EE11">
      <w:pPr>
        <w:rPr>
          <w:rFonts w:hint="eastAsia" w:ascii="宋体" w:hAnsi="宋体" w:eastAsia="宋体" w:cs="宋体"/>
          <w:b/>
          <w:color w:val="000000"/>
          <w:highlight w:val="none"/>
        </w:rPr>
      </w:pPr>
    </w:p>
    <w:p w14:paraId="73A980BF">
      <w:pPr>
        <w:rPr>
          <w:rFonts w:hint="eastAsia" w:ascii="宋体" w:hAnsi="宋体" w:eastAsia="宋体" w:cs="宋体"/>
          <w:b/>
          <w:color w:val="000000"/>
          <w:highlight w:val="none"/>
        </w:rPr>
      </w:pPr>
    </w:p>
    <w:p w14:paraId="2F704E32">
      <w:pPr>
        <w:rPr>
          <w:rFonts w:hint="eastAsia" w:ascii="宋体" w:hAnsi="宋体" w:eastAsia="宋体" w:cs="宋体"/>
          <w:b/>
          <w:color w:val="000000"/>
          <w:highlight w:val="none"/>
        </w:rPr>
      </w:pPr>
    </w:p>
    <w:p w14:paraId="5F393A73">
      <w:pPr>
        <w:rPr>
          <w:rFonts w:hint="eastAsia" w:ascii="宋体" w:hAnsi="宋体" w:eastAsia="宋体" w:cs="宋体"/>
          <w:b/>
          <w:color w:val="000000"/>
          <w:highlight w:val="none"/>
        </w:rPr>
      </w:pPr>
    </w:p>
    <w:p w14:paraId="485BA81B">
      <w:pPr>
        <w:rPr>
          <w:rFonts w:hint="eastAsia" w:ascii="宋体" w:hAnsi="宋体" w:eastAsia="宋体" w:cs="宋体"/>
          <w:b/>
          <w:color w:val="000000"/>
          <w:highlight w:val="none"/>
        </w:rPr>
      </w:pPr>
    </w:p>
    <w:p w14:paraId="0A618132">
      <w:pPr>
        <w:rPr>
          <w:rFonts w:hint="eastAsia" w:ascii="宋体" w:hAnsi="宋体" w:eastAsia="宋体" w:cs="宋体"/>
          <w:b/>
          <w:color w:val="000000"/>
          <w:highlight w:val="none"/>
        </w:rPr>
      </w:pPr>
    </w:p>
    <w:p w14:paraId="7A468F94">
      <w:pPr>
        <w:rPr>
          <w:rFonts w:hint="eastAsia" w:ascii="宋体" w:hAnsi="宋体" w:eastAsia="宋体" w:cs="宋体"/>
          <w:b/>
          <w:color w:val="000000"/>
          <w:highlight w:val="none"/>
        </w:rPr>
      </w:pPr>
    </w:p>
    <w:p w14:paraId="7646C72C">
      <w:pPr>
        <w:rPr>
          <w:rFonts w:hint="eastAsia" w:ascii="宋体" w:hAnsi="宋体" w:eastAsia="宋体" w:cs="宋体"/>
          <w:b/>
          <w:color w:val="000000"/>
          <w:highlight w:val="none"/>
        </w:rPr>
      </w:pPr>
    </w:p>
    <w:p w14:paraId="6F551985">
      <w:pPr>
        <w:rPr>
          <w:rFonts w:hint="eastAsia" w:ascii="宋体" w:hAnsi="宋体" w:eastAsia="宋体" w:cs="宋体"/>
          <w:b/>
          <w:color w:val="000000"/>
          <w:highlight w:val="none"/>
        </w:rPr>
      </w:pPr>
    </w:p>
    <w:p w14:paraId="1C9C53F6">
      <w:pPr>
        <w:rPr>
          <w:rFonts w:hint="eastAsia" w:ascii="宋体" w:hAnsi="宋体" w:eastAsia="宋体" w:cs="宋体"/>
          <w:b/>
          <w:color w:val="000000"/>
          <w:highlight w:val="none"/>
        </w:rPr>
      </w:pPr>
    </w:p>
    <w:p w14:paraId="23534A42">
      <w:pPr>
        <w:rPr>
          <w:rFonts w:hint="eastAsia" w:ascii="宋体" w:hAnsi="宋体" w:eastAsia="宋体" w:cs="宋体"/>
          <w:b/>
          <w:color w:val="000000"/>
          <w:highlight w:val="none"/>
        </w:rPr>
      </w:pPr>
    </w:p>
    <w:p w14:paraId="77C3FF1B">
      <w:pPr>
        <w:rPr>
          <w:rFonts w:hint="eastAsia" w:ascii="宋体" w:hAnsi="宋体" w:eastAsia="宋体" w:cs="宋体"/>
          <w:b/>
          <w:color w:val="000000"/>
          <w:highlight w:val="none"/>
        </w:rPr>
      </w:pPr>
    </w:p>
    <w:p w14:paraId="075AFA30">
      <w:pPr>
        <w:jc w:val="center"/>
        <w:rPr>
          <w:rFonts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八、投标函</w:t>
      </w:r>
    </w:p>
    <w:p w14:paraId="10597B2C">
      <w:pPr>
        <w:pStyle w:val="34"/>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致：</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rPr>
        <w:t>（采购人）</w:t>
      </w:r>
    </w:p>
    <w:p w14:paraId="79F047E9">
      <w:pPr>
        <w:pStyle w:val="34"/>
        <w:spacing w:beforeAutospacing="0" w:afterAutospacing="0" w:line="0" w:lineRule="atLeast"/>
        <w:ind w:firstLine="480"/>
        <w:rPr>
          <w:highlight w:val="none"/>
        </w:rPr>
      </w:pPr>
      <w:r>
        <w:rPr>
          <w:rFonts w:hint="eastAsia" w:ascii="宋体" w:hAnsi="宋体" w:eastAsia="宋体" w:cs="宋体"/>
          <w:color w:val="000000"/>
          <w:highlight w:val="none"/>
        </w:rPr>
        <w:t>根据贵方的JSZC-</w:t>
      </w:r>
      <w:r>
        <w:rPr>
          <w:rFonts w:hint="eastAsia" w:ascii="宋体" w:hAnsi="宋体" w:eastAsia="宋体" w:cs="宋体"/>
          <w:color w:val="000000"/>
          <w:highlight w:val="none"/>
          <w:lang w:val="en-US" w:eastAsia="zh-CN"/>
        </w:rPr>
        <w:t>***</w:t>
      </w:r>
      <w:r>
        <w:rPr>
          <w:rFonts w:hint="eastAsia" w:ascii="宋体" w:hAnsi="宋体" w:eastAsia="宋体" w:cs="宋体"/>
          <w:b/>
          <w:color w:val="000000"/>
          <w:sz w:val="36"/>
          <w:szCs w:val="36"/>
          <w:u w:val="single"/>
        </w:rPr>
        <w:t>       </w:t>
      </w:r>
      <w:r>
        <w:rPr>
          <w:rFonts w:hint="eastAsia"/>
          <w:u w:val="single"/>
        </w:rPr>
        <w:t>（项目编号）</w:t>
      </w:r>
      <w:r>
        <w:rPr>
          <w:rFonts w:hint="eastAsia" w:ascii="宋体" w:hAnsi="宋体" w:eastAsia="宋体" w:cs="宋体"/>
          <w:b/>
          <w:color w:val="000000"/>
          <w:sz w:val="36"/>
          <w:szCs w:val="36"/>
          <w:u w:val="single"/>
        </w:rPr>
        <w:t xml:space="preserve"> </w:t>
      </w:r>
      <w:r>
        <w:rPr>
          <w:rFonts w:hint="eastAsia" w:ascii="宋体" w:hAnsi="宋体" w:eastAsia="宋体" w:cs="宋体"/>
          <w:color w:val="000000"/>
          <w:highlight w:val="none"/>
          <w:lang w:val="en-US" w:eastAsia="zh-CN"/>
        </w:rPr>
        <w:t>号</w:t>
      </w:r>
      <w:r>
        <w:rPr>
          <w:rFonts w:hint="eastAsia" w:ascii="宋体" w:hAnsi="宋体" w:eastAsia="宋体" w:cs="宋体"/>
          <w:color w:val="000000"/>
          <w:highlight w:val="none"/>
        </w:rPr>
        <w:t>招标文件，正式授权下述签字人______(姓名)代表我方______________（投标人的名称），全权处理本次项目投标的有关事宜。</w:t>
      </w:r>
    </w:p>
    <w:p w14:paraId="2C9FD354">
      <w:pPr>
        <w:pStyle w:val="34"/>
        <w:spacing w:beforeAutospacing="0" w:afterAutospacing="0" w:line="0" w:lineRule="atLeast"/>
        <w:ind w:firstLine="480"/>
        <w:rPr>
          <w:highlight w:val="none"/>
        </w:rPr>
      </w:pPr>
      <w:r>
        <w:rPr>
          <w:rFonts w:hint="eastAsia" w:ascii="宋体" w:hAnsi="宋体" w:eastAsia="宋体" w:cs="宋体"/>
          <w:color w:val="000000"/>
          <w:highlight w:val="none"/>
        </w:rPr>
        <w:t>据此函，__________签字人兹宣布同意如下：</w:t>
      </w:r>
    </w:p>
    <w:p w14:paraId="52940F1E">
      <w:pPr>
        <w:pStyle w:val="34"/>
        <w:spacing w:beforeAutospacing="0" w:afterAutospacing="0" w:line="0" w:lineRule="atLeast"/>
        <w:ind w:firstLine="480"/>
        <w:rPr>
          <w:highlight w:val="none"/>
        </w:rPr>
      </w:pPr>
      <w:r>
        <w:rPr>
          <w:rFonts w:hint="eastAsia" w:ascii="宋体" w:hAnsi="宋体" w:eastAsia="宋体" w:cs="宋体"/>
          <w:color w:val="000000"/>
          <w:highlight w:val="none"/>
        </w:rPr>
        <w:t>1.按招标文件规定的各项要求，向买方提供所需服务（包含与服务相关的货物）。</w:t>
      </w:r>
    </w:p>
    <w:p w14:paraId="3B646DF4">
      <w:pPr>
        <w:pStyle w:val="34"/>
        <w:spacing w:beforeAutospacing="0" w:afterAutospacing="0" w:line="0" w:lineRule="atLeast"/>
        <w:ind w:firstLine="480"/>
        <w:rPr>
          <w:highlight w:val="none"/>
        </w:rPr>
      </w:pPr>
      <w:r>
        <w:rPr>
          <w:rFonts w:hint="eastAsia" w:ascii="宋体" w:hAnsi="宋体" w:eastAsia="宋体" w:cs="宋体"/>
          <w:color w:val="000000"/>
          <w:highlight w:val="none"/>
        </w:rPr>
        <w:t>2.我们完全理解贵方不一定将合同授予最低报价的投标人。</w:t>
      </w:r>
    </w:p>
    <w:p w14:paraId="4F567765">
      <w:pPr>
        <w:pStyle w:val="34"/>
        <w:spacing w:beforeAutospacing="0" w:afterAutospacing="0" w:line="0" w:lineRule="atLeast"/>
        <w:ind w:firstLine="480"/>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1B5BEA65">
      <w:pPr>
        <w:pStyle w:val="34"/>
        <w:spacing w:beforeAutospacing="0" w:afterAutospacing="0" w:line="0" w:lineRule="atLeast"/>
        <w:ind w:firstLine="480"/>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4B77898E">
      <w:pPr>
        <w:pStyle w:val="34"/>
        <w:spacing w:beforeAutospacing="0" w:afterAutospacing="0" w:line="0" w:lineRule="atLeast"/>
        <w:ind w:firstLine="480"/>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289AB3D1">
      <w:pPr>
        <w:pStyle w:val="34"/>
        <w:spacing w:beforeAutospacing="0" w:afterAutospacing="0" w:line="0" w:lineRule="atLeast"/>
        <w:ind w:firstLine="480"/>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551A2A3C">
      <w:pPr>
        <w:pStyle w:val="34"/>
        <w:spacing w:beforeAutospacing="0" w:afterAutospacing="0" w:line="0" w:lineRule="atLeast"/>
        <w:ind w:firstLine="480"/>
        <w:rPr>
          <w:highlight w:val="none"/>
        </w:rPr>
      </w:pPr>
      <w:r>
        <w:rPr>
          <w:rFonts w:hint="eastAsia" w:ascii="宋体" w:hAnsi="宋体" w:eastAsia="宋体" w:cs="宋体"/>
          <w:color w:val="000000"/>
          <w:highlight w:val="none"/>
        </w:rPr>
        <w:t>7.与本投标有关的正式通讯地址为：</w:t>
      </w:r>
    </w:p>
    <w:p w14:paraId="3553EB66">
      <w:pPr>
        <w:pStyle w:val="34"/>
        <w:spacing w:beforeAutospacing="0" w:afterAutospacing="0" w:line="0" w:lineRule="atLeast"/>
        <w:ind w:left="420" w:firstLine="480"/>
        <w:rPr>
          <w:rFonts w:hint="eastAsia" w:ascii="宋体" w:hAnsi="宋体" w:eastAsia="宋体" w:cs="宋体"/>
          <w:color w:val="000000"/>
          <w:highlight w:val="none"/>
        </w:rPr>
      </w:pPr>
    </w:p>
    <w:p w14:paraId="1CAB4A04">
      <w:pPr>
        <w:pStyle w:val="34"/>
        <w:spacing w:beforeAutospacing="0" w:afterAutospacing="0" w:line="0" w:lineRule="atLeast"/>
        <w:ind w:left="420" w:firstLine="480"/>
        <w:rPr>
          <w:highlight w:val="none"/>
        </w:rPr>
      </w:pPr>
      <w:r>
        <w:rPr>
          <w:rFonts w:hint="eastAsia" w:ascii="宋体" w:hAnsi="宋体" w:eastAsia="宋体" w:cs="宋体"/>
          <w:color w:val="000000"/>
          <w:highlight w:val="none"/>
        </w:rPr>
        <w:t>地          址：</w:t>
      </w:r>
    </w:p>
    <w:p w14:paraId="61D48569">
      <w:pPr>
        <w:pStyle w:val="34"/>
        <w:spacing w:beforeAutospacing="0" w:afterAutospacing="0" w:line="0" w:lineRule="atLeast"/>
        <w:ind w:left="420" w:firstLine="480"/>
        <w:rPr>
          <w:highlight w:val="none"/>
        </w:rPr>
      </w:pPr>
      <w:r>
        <w:rPr>
          <w:rFonts w:hint="eastAsia" w:ascii="宋体" w:hAnsi="宋体" w:eastAsia="宋体" w:cs="宋体"/>
          <w:color w:val="000000"/>
          <w:highlight w:val="none"/>
        </w:rPr>
        <w:t>邮          编：</w:t>
      </w:r>
    </w:p>
    <w:p w14:paraId="07A7BB69">
      <w:pPr>
        <w:pStyle w:val="34"/>
        <w:spacing w:beforeAutospacing="0" w:afterAutospacing="0" w:line="0" w:lineRule="atLeast"/>
        <w:ind w:left="420" w:firstLine="480"/>
        <w:rPr>
          <w:highlight w:val="none"/>
        </w:rPr>
      </w:pPr>
      <w:r>
        <w:rPr>
          <w:rFonts w:hint="eastAsia" w:ascii="宋体" w:hAnsi="宋体" w:eastAsia="宋体" w:cs="宋体"/>
          <w:color w:val="000000"/>
          <w:highlight w:val="none"/>
        </w:rPr>
        <w:t>电          话：</w:t>
      </w:r>
    </w:p>
    <w:p w14:paraId="022FE6E4">
      <w:pPr>
        <w:pStyle w:val="34"/>
        <w:spacing w:beforeAutospacing="0" w:afterAutospacing="0" w:line="0" w:lineRule="atLeast"/>
        <w:ind w:left="420" w:firstLine="480"/>
        <w:rPr>
          <w:highlight w:val="none"/>
        </w:rPr>
      </w:pPr>
      <w:r>
        <w:rPr>
          <w:rFonts w:hint="eastAsia" w:ascii="宋体" w:hAnsi="宋体" w:eastAsia="宋体" w:cs="宋体"/>
          <w:color w:val="000000"/>
          <w:highlight w:val="none"/>
        </w:rPr>
        <w:t>传          真：</w:t>
      </w:r>
    </w:p>
    <w:p w14:paraId="6E8751D3">
      <w:pPr>
        <w:pStyle w:val="34"/>
        <w:spacing w:beforeAutospacing="0" w:afterAutospacing="0" w:line="0" w:lineRule="atLeast"/>
        <w:ind w:left="420" w:firstLine="480"/>
        <w:rPr>
          <w:highlight w:val="none"/>
        </w:rPr>
      </w:pPr>
      <w:r>
        <w:rPr>
          <w:rFonts w:hint="eastAsia" w:ascii="宋体" w:hAnsi="宋体" w:eastAsia="宋体" w:cs="宋体"/>
          <w:color w:val="000000"/>
          <w:highlight w:val="none"/>
        </w:rPr>
        <w:t>投标人开户行：</w:t>
      </w:r>
    </w:p>
    <w:p w14:paraId="420CF748">
      <w:pPr>
        <w:pStyle w:val="34"/>
        <w:spacing w:beforeAutospacing="0" w:afterAutospacing="0" w:line="0" w:lineRule="atLeast"/>
        <w:ind w:left="420" w:firstLine="480"/>
        <w:rPr>
          <w:highlight w:val="none"/>
        </w:rPr>
      </w:pPr>
      <w:r>
        <w:rPr>
          <w:rFonts w:hint="eastAsia" w:ascii="宋体" w:hAnsi="宋体" w:eastAsia="宋体" w:cs="宋体"/>
          <w:color w:val="000000"/>
          <w:highlight w:val="none"/>
        </w:rPr>
        <w:t xml:space="preserve">账          号： </w:t>
      </w:r>
    </w:p>
    <w:p w14:paraId="60B82BB9">
      <w:pPr>
        <w:pStyle w:val="34"/>
        <w:spacing w:beforeAutospacing="0" w:afterAutospacing="0" w:line="0" w:lineRule="atLeast"/>
        <w:ind w:left="420" w:firstLine="480"/>
        <w:rPr>
          <w:highlight w:val="none"/>
        </w:rPr>
      </w:pPr>
      <w:r>
        <w:rPr>
          <w:rFonts w:hint="eastAsia" w:ascii="宋体" w:hAnsi="宋体" w:eastAsia="宋体" w:cs="宋体"/>
          <w:color w:val="000000"/>
          <w:highlight w:val="none"/>
        </w:rPr>
        <w:t>日          期：____年____月____日</w:t>
      </w:r>
    </w:p>
    <w:p w14:paraId="0F791B89">
      <w:pPr>
        <w:pStyle w:val="34"/>
        <w:spacing w:beforeAutospacing="0" w:afterAutospacing="0" w:line="0" w:lineRule="atLeast"/>
        <w:ind w:firstLine="240"/>
        <w:jc w:val="center"/>
        <w:rPr>
          <w:highlight w:val="none"/>
        </w:rPr>
      </w:pPr>
      <w:r>
        <w:rPr>
          <w:highlight w:val="none"/>
        </w:rPr>
        <w:t> </w:t>
      </w:r>
    </w:p>
    <w:p w14:paraId="205FAE12">
      <w:pPr>
        <w:pStyle w:val="34"/>
        <w:spacing w:beforeAutospacing="0" w:afterAutospacing="0" w:line="0" w:lineRule="atLeast"/>
        <w:ind w:firstLine="240"/>
        <w:jc w:val="center"/>
        <w:rPr>
          <w:highlight w:val="none"/>
        </w:rPr>
      </w:pPr>
    </w:p>
    <w:p w14:paraId="315704D8">
      <w:pPr>
        <w:pStyle w:val="34"/>
        <w:spacing w:beforeAutospacing="0" w:afterAutospacing="0" w:line="0" w:lineRule="atLeast"/>
        <w:ind w:firstLine="240"/>
        <w:jc w:val="center"/>
        <w:rPr>
          <w:highlight w:val="none"/>
        </w:rPr>
      </w:pPr>
    </w:p>
    <w:p w14:paraId="7FF8BE89">
      <w:pPr>
        <w:pStyle w:val="34"/>
        <w:spacing w:beforeAutospacing="0" w:afterAutospacing="0" w:line="0" w:lineRule="atLeast"/>
        <w:ind w:firstLine="240"/>
        <w:jc w:val="center"/>
        <w:rPr>
          <w:rFonts w:hint="eastAsia"/>
          <w:highlight w:val="none"/>
        </w:rPr>
      </w:pPr>
      <w:r>
        <w:rPr>
          <w:highlight w:val="none"/>
        </w:rPr>
        <w:t> </w:t>
      </w:r>
      <w:r>
        <w:rPr>
          <w:rFonts w:hint="eastAsia"/>
          <w:highlight w:val="none"/>
        </w:rPr>
        <w:t>法定代表人或被授权人（签字或盖章）：</w:t>
      </w:r>
    </w:p>
    <w:p w14:paraId="0B4F73F5">
      <w:pPr>
        <w:pStyle w:val="34"/>
        <w:spacing w:beforeAutospacing="0" w:afterAutospacing="0" w:line="0" w:lineRule="atLeast"/>
        <w:ind w:firstLine="240"/>
        <w:jc w:val="center"/>
        <w:rPr>
          <w:rFonts w:hint="eastAsia"/>
          <w:highlight w:val="none"/>
        </w:rPr>
      </w:pPr>
    </w:p>
    <w:p w14:paraId="4728C91F">
      <w:pPr>
        <w:pStyle w:val="34"/>
        <w:spacing w:beforeAutospacing="0" w:afterAutospacing="0" w:line="0" w:lineRule="atLeast"/>
        <w:ind w:firstLine="240"/>
        <w:jc w:val="center"/>
        <w:rPr>
          <w:rFonts w:hint="eastAsia"/>
          <w:highlight w:val="none"/>
        </w:rPr>
      </w:pPr>
      <w:r>
        <w:rPr>
          <w:rFonts w:hint="eastAsia"/>
          <w:highlight w:val="none"/>
        </w:rPr>
        <w:t>企业名称（加盖CA电子公章）：</w:t>
      </w:r>
    </w:p>
    <w:p w14:paraId="62AC7135">
      <w:pPr>
        <w:pStyle w:val="34"/>
        <w:spacing w:beforeAutospacing="0" w:afterAutospacing="0" w:line="0" w:lineRule="atLeast"/>
        <w:ind w:firstLine="240"/>
        <w:jc w:val="center"/>
        <w:rPr>
          <w:rFonts w:hint="eastAsia"/>
          <w:highlight w:val="none"/>
        </w:rPr>
      </w:pPr>
      <w:r>
        <w:rPr>
          <w:rFonts w:hint="eastAsia"/>
          <w:highlight w:val="none"/>
        </w:rPr>
        <w:t xml:space="preserve"> </w:t>
      </w:r>
    </w:p>
    <w:p w14:paraId="4AEB734E">
      <w:pPr>
        <w:pStyle w:val="34"/>
        <w:spacing w:beforeAutospacing="0" w:afterAutospacing="0" w:line="0" w:lineRule="atLeast"/>
        <w:ind w:firstLine="240"/>
        <w:jc w:val="center"/>
        <w:rPr>
          <w:highlight w:val="none"/>
        </w:rPr>
      </w:pPr>
      <w:r>
        <w:rPr>
          <w:rFonts w:hint="eastAsia"/>
          <w:highlight w:val="none"/>
        </w:rPr>
        <w:t xml:space="preserve">         年    月    日</w:t>
      </w:r>
    </w:p>
    <w:p w14:paraId="7F31BE90">
      <w:pPr>
        <w:pStyle w:val="34"/>
        <w:spacing w:beforeAutospacing="0" w:afterAutospacing="0" w:line="0" w:lineRule="atLeast"/>
        <w:ind w:firstLine="240"/>
        <w:jc w:val="center"/>
        <w:rPr>
          <w:highlight w:val="none"/>
        </w:rPr>
      </w:pPr>
      <w:r>
        <w:rPr>
          <w:highlight w:val="none"/>
        </w:rPr>
        <w:t> </w:t>
      </w:r>
    </w:p>
    <w:p w14:paraId="349619A9">
      <w:pPr>
        <w:pStyle w:val="34"/>
        <w:spacing w:beforeAutospacing="0" w:afterAutospacing="0" w:line="0" w:lineRule="atLeast"/>
        <w:ind w:firstLine="240"/>
        <w:jc w:val="center"/>
        <w:rPr>
          <w:highlight w:val="none"/>
        </w:rPr>
      </w:pPr>
      <w:r>
        <w:rPr>
          <w:highlight w:val="none"/>
        </w:rPr>
        <w:t> </w:t>
      </w:r>
    </w:p>
    <w:p w14:paraId="3F446322">
      <w:pPr>
        <w:pStyle w:val="34"/>
        <w:spacing w:beforeAutospacing="0" w:afterAutospacing="0" w:line="0" w:lineRule="atLeast"/>
        <w:ind w:firstLine="240"/>
        <w:jc w:val="center"/>
        <w:rPr>
          <w:highlight w:val="none"/>
        </w:rPr>
      </w:pPr>
      <w:r>
        <w:rPr>
          <w:highlight w:val="none"/>
        </w:rPr>
        <w:t> </w:t>
      </w:r>
    </w:p>
    <w:p w14:paraId="065ABB8B">
      <w:pPr>
        <w:pStyle w:val="34"/>
        <w:spacing w:beforeAutospacing="0" w:afterAutospacing="0" w:line="0" w:lineRule="atLeast"/>
        <w:ind w:firstLine="240"/>
        <w:jc w:val="center"/>
        <w:rPr>
          <w:highlight w:val="none"/>
        </w:rPr>
      </w:pPr>
    </w:p>
    <w:p w14:paraId="59E08074">
      <w:pPr>
        <w:pStyle w:val="34"/>
        <w:spacing w:beforeAutospacing="0" w:afterAutospacing="0" w:line="0" w:lineRule="atLeast"/>
        <w:ind w:firstLine="240"/>
        <w:jc w:val="center"/>
        <w:rPr>
          <w:highlight w:val="none"/>
        </w:rPr>
      </w:pPr>
    </w:p>
    <w:p w14:paraId="38B86204">
      <w:pPr>
        <w:pStyle w:val="34"/>
        <w:spacing w:beforeAutospacing="0" w:afterAutospacing="0" w:line="0" w:lineRule="atLeast"/>
        <w:ind w:firstLine="240"/>
        <w:jc w:val="center"/>
        <w:rPr>
          <w:highlight w:val="none"/>
        </w:rPr>
      </w:pPr>
    </w:p>
    <w:p w14:paraId="18E65DDE">
      <w:pPr>
        <w:pStyle w:val="34"/>
        <w:spacing w:beforeAutospacing="0" w:afterAutospacing="0" w:line="0" w:lineRule="atLeast"/>
        <w:ind w:firstLine="240"/>
        <w:jc w:val="center"/>
        <w:rPr>
          <w:highlight w:val="none"/>
        </w:rPr>
      </w:pPr>
    </w:p>
    <w:p w14:paraId="310BDEFD">
      <w:pPr>
        <w:pStyle w:val="34"/>
        <w:spacing w:beforeAutospacing="0" w:afterAutospacing="0" w:line="0" w:lineRule="atLeast"/>
        <w:ind w:firstLine="240"/>
        <w:jc w:val="center"/>
        <w:rPr>
          <w:highlight w:val="none"/>
        </w:rPr>
      </w:pPr>
    </w:p>
    <w:p w14:paraId="7B2ED3CE">
      <w:pPr>
        <w:pStyle w:val="34"/>
        <w:spacing w:beforeAutospacing="0" w:afterAutospacing="0" w:line="0" w:lineRule="atLeast"/>
        <w:ind w:firstLine="240"/>
        <w:jc w:val="center"/>
        <w:rPr>
          <w:highlight w:val="none"/>
        </w:rPr>
      </w:pPr>
    </w:p>
    <w:p w14:paraId="7ED44958">
      <w:pPr>
        <w:pStyle w:val="34"/>
        <w:spacing w:beforeAutospacing="0" w:afterAutospacing="0" w:line="0" w:lineRule="atLeast"/>
        <w:ind w:firstLine="240"/>
        <w:jc w:val="center"/>
        <w:rPr>
          <w:highlight w:val="none"/>
        </w:rPr>
      </w:pPr>
    </w:p>
    <w:p w14:paraId="01CF81C3">
      <w:pPr>
        <w:pStyle w:val="34"/>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val="en-US" w:eastAsia="zh-CN"/>
        </w:rPr>
        <w:t>货物</w:t>
      </w:r>
      <w:r>
        <w:rPr>
          <w:rFonts w:hint="eastAsia" w:ascii="黑体" w:hAnsi="宋体" w:eastAsia="黑体" w:cs="黑体"/>
          <w:b/>
          <w:color w:val="auto"/>
          <w:sz w:val="32"/>
          <w:szCs w:val="32"/>
          <w:highlight w:val="none"/>
        </w:rPr>
        <w:t>）</w:t>
      </w:r>
    </w:p>
    <w:p w14:paraId="76946B65">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olor w:val="auto"/>
          <w:sz w:val="24"/>
          <w:highlight w:val="none"/>
          <w:u w:val="single"/>
        </w:rPr>
        <w:t>（</w:t>
      </w:r>
      <w:r>
        <w:rPr>
          <w:rFonts w:hint="eastAsia"/>
          <w:color w:val="auto"/>
          <w:sz w:val="24"/>
          <w:highlight w:val="none"/>
          <w:u w:val="single"/>
          <w:lang w:val="en-US" w:eastAsia="zh-CN"/>
        </w:rPr>
        <w:t>采购</w:t>
      </w:r>
      <w:r>
        <w:rPr>
          <w:rFonts w:hint="eastAsia"/>
          <w:color w:val="auto"/>
          <w:sz w:val="24"/>
          <w:highlight w:val="none"/>
          <w:u w:val="single"/>
        </w:rPr>
        <w:t>单位名称</w:t>
      </w:r>
      <w:r>
        <w:rPr>
          <w:rFonts w:hint="eastAsia"/>
          <w:color w:val="auto"/>
          <w:sz w:val="24"/>
          <w:highlight w:val="none"/>
          <w:u w:val="single"/>
          <w:lang w:eastAsia="zh-CN"/>
        </w:rPr>
        <w:t>）</w:t>
      </w:r>
      <w:r>
        <w:rPr>
          <w:rFonts w:hint="eastAsia"/>
          <w:color w:val="auto"/>
          <w:sz w:val="24"/>
          <w:highlight w:val="none"/>
          <w:u w:val="single"/>
          <w:lang w:val="en-US" w:eastAsia="zh-CN"/>
        </w:rPr>
        <w:t xml:space="preserve"> </w:t>
      </w:r>
      <w:r>
        <w:rPr>
          <w:rFonts w:hint="eastAsia"/>
          <w:color w:val="auto"/>
          <w:sz w:val="24"/>
          <w:highlight w:val="none"/>
        </w:rPr>
        <w:t>组织的采购编号为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w:t>
      </w:r>
      <w:r>
        <w:rPr>
          <w:rFonts w:hint="eastAsia"/>
          <w:color w:val="auto"/>
          <w:sz w:val="24"/>
          <w:highlight w:val="none"/>
          <w:lang w:val="en-US" w:eastAsia="zh-CN"/>
        </w:rPr>
        <w:t>提供的货物全部由符合政策要求的中小企业制造。</w:t>
      </w:r>
      <w:r>
        <w:rPr>
          <w:rFonts w:hint="eastAsia"/>
          <w:color w:val="auto"/>
          <w:sz w:val="24"/>
          <w:highlight w:val="none"/>
        </w:rPr>
        <w:t>相关企业（含联合体中的中小企业、签订分包意向协议的中小企业）的具体情况如下：</w:t>
      </w:r>
    </w:p>
    <w:p w14:paraId="03771D2C">
      <w:pPr>
        <w:numPr>
          <w:ilvl w:val="0"/>
          <w:numId w:val="1"/>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；制造商为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439A249F">
      <w:pPr>
        <w:numPr>
          <w:ilvl w:val="0"/>
          <w:numId w:val="1"/>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；制造商为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53AC7CC4">
      <w:pPr>
        <w:numPr>
          <w:ilvl w:val="0"/>
          <w:numId w:val="0"/>
        </w:numPr>
        <w:spacing w:line="500" w:lineRule="exact"/>
        <w:ind w:firstLine="480"/>
        <w:jc w:val="both"/>
        <w:rPr>
          <w:rFonts w:hint="eastAsia"/>
          <w:color w:val="auto"/>
          <w:sz w:val="24"/>
          <w:highlight w:val="none"/>
        </w:rPr>
      </w:pPr>
      <w:r>
        <w:rPr>
          <w:rFonts w:hint="eastAsia"/>
          <w:color w:val="auto"/>
          <w:sz w:val="24"/>
          <w:highlight w:val="none"/>
        </w:rPr>
        <w:t>……</w:t>
      </w:r>
    </w:p>
    <w:p w14:paraId="02370463">
      <w:pPr>
        <w:numPr>
          <w:ilvl w:val="0"/>
          <w:numId w:val="0"/>
        </w:numPr>
        <w:spacing w:line="500" w:lineRule="exact"/>
        <w:ind w:firstLine="48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0AC26F8">
      <w:pPr>
        <w:numPr>
          <w:ilvl w:val="0"/>
          <w:numId w:val="0"/>
        </w:numPr>
        <w:spacing w:line="500" w:lineRule="exact"/>
        <w:ind w:firstLine="48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3D9D22DD">
      <w:pPr>
        <w:pStyle w:val="34"/>
        <w:spacing w:beforeAutospacing="0" w:afterAutospacing="0" w:line="0" w:lineRule="atLeast"/>
        <w:ind w:right="720"/>
        <w:jc w:val="both"/>
        <w:rPr>
          <w:color w:val="auto"/>
          <w:highlight w:val="none"/>
        </w:rPr>
      </w:pPr>
      <w:r>
        <w:rPr>
          <w:color w:val="auto"/>
          <w:highlight w:val="none"/>
        </w:rPr>
        <w:t> </w:t>
      </w:r>
    </w:p>
    <w:p w14:paraId="4722B44C">
      <w:pPr>
        <w:pStyle w:val="34"/>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0BC5AC9E">
      <w:pPr>
        <w:pStyle w:val="34"/>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3CEFA03D">
      <w:pPr>
        <w:pStyle w:val="34"/>
        <w:spacing w:beforeAutospacing="0" w:afterAutospacing="0" w:line="0" w:lineRule="atLeast"/>
        <w:ind w:firstLine="240"/>
        <w:jc w:val="both"/>
        <w:rPr>
          <w:color w:val="auto"/>
          <w:highlight w:val="none"/>
        </w:rPr>
      </w:pPr>
      <w:r>
        <w:rPr>
          <w:color w:val="auto"/>
          <w:highlight w:val="none"/>
        </w:rPr>
        <w:t> </w:t>
      </w:r>
    </w:p>
    <w:p w14:paraId="3135AD65">
      <w:pPr>
        <w:pStyle w:val="34"/>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0CB60473">
      <w:pPr>
        <w:pStyle w:val="34"/>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53D656E6">
      <w:pPr>
        <w:pStyle w:val="34"/>
        <w:spacing w:beforeAutospacing="0" w:afterAutospacing="0" w:line="0" w:lineRule="atLeast"/>
        <w:jc w:val="center"/>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十、残疾人福利性单位声明函</w:t>
      </w:r>
    </w:p>
    <w:p w14:paraId="19670EB8">
      <w:pPr>
        <w:pStyle w:val="34"/>
        <w:spacing w:beforeAutospacing="0" w:afterAutospacing="0" w:line="0" w:lineRule="atLeast"/>
        <w:ind w:firstLine="480"/>
        <w:jc w:val="both"/>
        <w:rPr>
          <w:rFonts w:hint="eastAsia" w:ascii="宋体" w:hAnsi="宋体" w:eastAsia="宋体" w:cs="宋体"/>
          <w:color w:val="000000"/>
          <w:highlight w:val="none"/>
        </w:rPr>
      </w:pPr>
    </w:p>
    <w:p w14:paraId="3AD82D77">
      <w:pPr>
        <w:pStyle w:val="34"/>
        <w:keepNext w:val="0"/>
        <w:keepLines w:val="0"/>
        <w:pageBreakBefore w:val="0"/>
        <w:widowControl w:val="0"/>
        <w:spacing w:beforeAutospacing="0" w:afterAutospacing="0" w:line="440" w:lineRule="exact"/>
        <w:ind w:firstLine="482"/>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项目（分包号：**）采购活动由本单位提供服务。</w:t>
      </w:r>
    </w:p>
    <w:p w14:paraId="1127EC9E">
      <w:pPr>
        <w:pStyle w:val="34"/>
        <w:keepNext w:val="0"/>
        <w:keepLines w:val="0"/>
        <w:pageBreakBefore w:val="0"/>
        <w:widowControl w:val="0"/>
        <w:spacing w:beforeAutospacing="0" w:afterAutospacing="0" w:line="440" w:lineRule="exact"/>
        <w:ind w:firstLine="482"/>
        <w:jc w:val="both"/>
        <w:rPr>
          <w:highlight w:val="none"/>
        </w:rPr>
      </w:pPr>
      <w:r>
        <w:rPr>
          <w:rFonts w:hint="eastAsia" w:ascii="宋体" w:hAnsi="宋体" w:eastAsia="宋体" w:cs="宋体"/>
          <w:color w:val="000000"/>
          <w:highlight w:val="none"/>
        </w:rPr>
        <w:t>本单位对上述声明的真实性负责。如有虚假，将依法承担相应责任。</w:t>
      </w:r>
    </w:p>
    <w:p w14:paraId="58E7D72F">
      <w:pPr>
        <w:pStyle w:val="34"/>
        <w:keepNext w:val="0"/>
        <w:keepLines w:val="0"/>
        <w:pageBreakBefore w:val="0"/>
        <w:widowControl w:val="0"/>
        <w:spacing w:beforeAutospacing="0" w:afterAutospacing="0" w:line="440" w:lineRule="exact"/>
        <w:ind w:firstLine="482"/>
        <w:jc w:val="both"/>
        <w:rPr>
          <w:highlight w:val="none"/>
        </w:rPr>
      </w:pPr>
      <w:r>
        <w:rPr>
          <w:highlight w:val="none"/>
        </w:rPr>
        <w:t> </w:t>
      </w:r>
    </w:p>
    <w:p w14:paraId="74DDA33E">
      <w:pPr>
        <w:pStyle w:val="34"/>
        <w:keepNext w:val="0"/>
        <w:keepLines w:val="0"/>
        <w:pageBreakBefore w:val="0"/>
        <w:widowControl w:val="0"/>
        <w:spacing w:beforeAutospacing="0" w:afterAutospacing="0" w:line="440" w:lineRule="exact"/>
        <w:ind w:firstLine="482"/>
        <w:jc w:val="both"/>
        <w:rPr>
          <w:rFonts w:hint="eastAsia" w:eastAsia="宋体"/>
          <w:highlight w:val="none"/>
          <w:lang w:eastAsia="zh-CN"/>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p>
    <w:p w14:paraId="10B67754">
      <w:pPr>
        <w:pStyle w:val="34"/>
        <w:keepNext w:val="0"/>
        <w:keepLines w:val="0"/>
        <w:pageBreakBefore w:val="0"/>
        <w:widowControl w:val="0"/>
        <w:spacing w:beforeAutospacing="0" w:afterAutospacing="0" w:line="440" w:lineRule="exact"/>
        <w:ind w:firstLine="482"/>
        <w:jc w:val="both"/>
        <w:rPr>
          <w:highlight w:val="none"/>
        </w:rPr>
      </w:pPr>
      <w:r>
        <w:rPr>
          <w:rFonts w:hint="eastAsia" w:ascii="宋体" w:hAnsi="宋体" w:eastAsia="宋体" w:cs="宋体"/>
          <w:color w:val="000000"/>
          <w:highlight w:val="none"/>
        </w:rPr>
        <w:t>2、中标人为残疾人福利单位的，此声明函将随中标结果同时公告，接受社会监督</w:t>
      </w:r>
    </w:p>
    <w:p w14:paraId="1B771271">
      <w:pPr>
        <w:pStyle w:val="34"/>
        <w:spacing w:beforeAutospacing="0" w:afterAutospacing="0" w:line="0" w:lineRule="atLeast"/>
        <w:ind w:firstLine="624"/>
        <w:jc w:val="both"/>
        <w:rPr>
          <w:highlight w:val="none"/>
        </w:rPr>
      </w:pPr>
      <w:r>
        <w:rPr>
          <w:highlight w:val="none"/>
        </w:rPr>
        <w:t> </w:t>
      </w:r>
    </w:p>
    <w:p w14:paraId="4C970A75">
      <w:pPr>
        <w:pStyle w:val="34"/>
        <w:tabs>
          <w:tab w:val="left" w:pos="4864"/>
        </w:tabs>
        <w:spacing w:beforeAutospacing="0" w:afterAutospacing="0" w:line="0" w:lineRule="atLeast"/>
        <w:ind w:right="156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40DA3CBA">
      <w:pPr>
        <w:pStyle w:val="34"/>
        <w:tabs>
          <w:tab w:val="left" w:pos="4864"/>
        </w:tabs>
        <w:spacing w:beforeAutospacing="0" w:afterAutospacing="0" w:line="0" w:lineRule="atLeast"/>
        <w:ind w:right="1560" w:firstLine="48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p>
    <w:p w14:paraId="26734926">
      <w:pPr>
        <w:pStyle w:val="34"/>
        <w:tabs>
          <w:tab w:val="left" w:pos="4864"/>
        </w:tabs>
        <w:spacing w:beforeAutospacing="0" w:afterAutospacing="0" w:line="0" w:lineRule="atLeast"/>
        <w:ind w:right="1560" w:firstLine="480"/>
        <w:jc w:val="center"/>
        <w:rPr>
          <w:highlight w:val="non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日  期：</w:t>
      </w:r>
    </w:p>
    <w:p w14:paraId="0CBDD1E0">
      <w:pPr>
        <w:pStyle w:val="34"/>
        <w:spacing w:beforeAutospacing="0" w:afterAutospacing="0" w:line="0" w:lineRule="atLeast"/>
        <w:jc w:val="center"/>
        <w:rPr>
          <w:highlight w:val="none"/>
        </w:rPr>
      </w:pPr>
      <w:r>
        <w:rPr>
          <w:highlight w:val="none"/>
        </w:rPr>
        <w:t> </w:t>
      </w:r>
    </w:p>
    <w:p w14:paraId="6FDBEA03">
      <w:pPr>
        <w:pStyle w:val="34"/>
        <w:spacing w:beforeAutospacing="0" w:afterAutospacing="0" w:line="0" w:lineRule="atLeast"/>
        <w:jc w:val="center"/>
        <w:rPr>
          <w:highlight w:val="none"/>
        </w:rPr>
      </w:pPr>
      <w:r>
        <w:rPr>
          <w:highlight w:val="none"/>
        </w:rPr>
        <w:t> </w:t>
      </w:r>
    </w:p>
    <w:p w14:paraId="4CBC8438">
      <w:pPr>
        <w:pStyle w:val="34"/>
        <w:spacing w:beforeAutospacing="0" w:afterAutospacing="0" w:line="0" w:lineRule="atLeast"/>
        <w:jc w:val="center"/>
        <w:rPr>
          <w:highlight w:val="none"/>
        </w:rPr>
      </w:pPr>
      <w:r>
        <w:rPr>
          <w:highlight w:val="none"/>
        </w:rPr>
        <w:t> </w:t>
      </w:r>
    </w:p>
    <w:p w14:paraId="47F99958">
      <w:pPr>
        <w:pStyle w:val="34"/>
        <w:spacing w:beforeAutospacing="0" w:afterAutospacing="0" w:line="0" w:lineRule="atLeast"/>
        <w:jc w:val="center"/>
        <w:rPr>
          <w:highlight w:val="none"/>
        </w:rPr>
      </w:pPr>
      <w:r>
        <w:rPr>
          <w:highlight w:val="none"/>
        </w:rPr>
        <w:t> </w:t>
      </w:r>
    </w:p>
    <w:p w14:paraId="160FF3FA">
      <w:pPr>
        <w:pStyle w:val="34"/>
        <w:spacing w:beforeAutospacing="0" w:afterAutospacing="0" w:line="0" w:lineRule="atLeast"/>
        <w:jc w:val="center"/>
        <w:rPr>
          <w:highlight w:val="none"/>
        </w:rPr>
      </w:pPr>
      <w:r>
        <w:rPr>
          <w:highlight w:val="none"/>
        </w:rPr>
        <w:t> </w:t>
      </w:r>
    </w:p>
    <w:p w14:paraId="38E80265">
      <w:pPr>
        <w:pStyle w:val="34"/>
        <w:spacing w:beforeAutospacing="0" w:afterAutospacing="0" w:line="0" w:lineRule="atLeast"/>
        <w:jc w:val="center"/>
        <w:rPr>
          <w:highlight w:val="none"/>
        </w:rPr>
      </w:pPr>
      <w:r>
        <w:rPr>
          <w:highlight w:val="none"/>
        </w:rPr>
        <w:t> </w:t>
      </w:r>
    </w:p>
    <w:p w14:paraId="6B6820AE">
      <w:pPr>
        <w:pStyle w:val="34"/>
        <w:spacing w:beforeAutospacing="0" w:afterAutospacing="0" w:line="0" w:lineRule="atLeast"/>
        <w:jc w:val="center"/>
        <w:rPr>
          <w:highlight w:val="none"/>
        </w:rPr>
      </w:pPr>
      <w:r>
        <w:rPr>
          <w:highlight w:val="none"/>
        </w:rPr>
        <w:t> </w:t>
      </w:r>
    </w:p>
    <w:p w14:paraId="07173D32">
      <w:pPr>
        <w:pStyle w:val="34"/>
        <w:spacing w:beforeAutospacing="0" w:afterAutospacing="0" w:line="0" w:lineRule="atLeast"/>
        <w:jc w:val="center"/>
        <w:rPr>
          <w:highlight w:val="none"/>
        </w:rPr>
      </w:pPr>
      <w:r>
        <w:rPr>
          <w:highlight w:val="none"/>
        </w:rPr>
        <w:t> </w:t>
      </w:r>
    </w:p>
    <w:p w14:paraId="0440C463">
      <w:pPr>
        <w:pStyle w:val="34"/>
        <w:spacing w:beforeAutospacing="0" w:afterAutospacing="0" w:line="0" w:lineRule="atLeast"/>
        <w:jc w:val="center"/>
        <w:rPr>
          <w:highlight w:val="none"/>
        </w:rPr>
      </w:pPr>
    </w:p>
    <w:p w14:paraId="78937CB7">
      <w:pPr>
        <w:pStyle w:val="34"/>
        <w:spacing w:beforeAutospacing="0" w:afterAutospacing="0" w:line="0" w:lineRule="atLeast"/>
        <w:jc w:val="center"/>
        <w:rPr>
          <w:highlight w:val="none"/>
        </w:rPr>
      </w:pPr>
    </w:p>
    <w:p w14:paraId="4D1404F2">
      <w:pPr>
        <w:pStyle w:val="34"/>
        <w:spacing w:beforeAutospacing="0" w:afterAutospacing="0" w:line="0" w:lineRule="atLeast"/>
        <w:jc w:val="center"/>
        <w:rPr>
          <w:highlight w:val="none"/>
        </w:rPr>
      </w:pPr>
    </w:p>
    <w:p w14:paraId="4EAD31F8">
      <w:pPr>
        <w:pStyle w:val="34"/>
        <w:spacing w:beforeAutospacing="0" w:afterAutospacing="0" w:line="0" w:lineRule="atLeast"/>
        <w:jc w:val="center"/>
        <w:rPr>
          <w:highlight w:val="none"/>
        </w:rPr>
      </w:pPr>
    </w:p>
    <w:p w14:paraId="57029503">
      <w:pPr>
        <w:pStyle w:val="34"/>
        <w:spacing w:beforeAutospacing="0" w:afterAutospacing="0" w:line="0" w:lineRule="atLeast"/>
        <w:jc w:val="center"/>
        <w:rPr>
          <w:highlight w:val="none"/>
        </w:rPr>
      </w:pPr>
    </w:p>
    <w:p w14:paraId="6BACD5D6">
      <w:pPr>
        <w:pStyle w:val="34"/>
        <w:spacing w:beforeAutospacing="0" w:afterAutospacing="0" w:line="0" w:lineRule="atLeast"/>
        <w:jc w:val="center"/>
        <w:rPr>
          <w:highlight w:val="none"/>
        </w:rPr>
      </w:pPr>
    </w:p>
    <w:p w14:paraId="453C4686">
      <w:pPr>
        <w:pStyle w:val="34"/>
        <w:spacing w:beforeAutospacing="0" w:afterAutospacing="0" w:line="0" w:lineRule="atLeast"/>
        <w:jc w:val="center"/>
        <w:rPr>
          <w:highlight w:val="none"/>
        </w:rPr>
      </w:pPr>
    </w:p>
    <w:p w14:paraId="704925BD">
      <w:pPr>
        <w:pStyle w:val="34"/>
        <w:spacing w:beforeAutospacing="0" w:afterAutospacing="0" w:line="0" w:lineRule="atLeast"/>
        <w:jc w:val="center"/>
        <w:rPr>
          <w:highlight w:val="none"/>
        </w:rPr>
      </w:pPr>
    </w:p>
    <w:p w14:paraId="012FF3FA">
      <w:pPr>
        <w:pStyle w:val="34"/>
        <w:spacing w:beforeAutospacing="0" w:afterAutospacing="0" w:line="0" w:lineRule="atLeast"/>
        <w:jc w:val="center"/>
        <w:rPr>
          <w:highlight w:val="none"/>
        </w:rPr>
      </w:pPr>
    </w:p>
    <w:p w14:paraId="7DD177EE">
      <w:pPr>
        <w:pStyle w:val="34"/>
        <w:spacing w:beforeAutospacing="0" w:afterAutospacing="0" w:line="0" w:lineRule="atLeast"/>
        <w:jc w:val="center"/>
        <w:rPr>
          <w:highlight w:val="none"/>
        </w:rPr>
      </w:pPr>
    </w:p>
    <w:p w14:paraId="7D742ABD">
      <w:pPr>
        <w:pStyle w:val="34"/>
        <w:spacing w:beforeAutospacing="0" w:afterAutospacing="0" w:line="0" w:lineRule="atLeast"/>
        <w:jc w:val="center"/>
        <w:rPr>
          <w:highlight w:val="none"/>
        </w:rPr>
      </w:pPr>
    </w:p>
    <w:p w14:paraId="592D9005">
      <w:pPr>
        <w:pStyle w:val="34"/>
        <w:spacing w:beforeAutospacing="0" w:afterAutospacing="0" w:line="0" w:lineRule="atLeast"/>
        <w:jc w:val="center"/>
        <w:rPr>
          <w:highlight w:val="none"/>
        </w:rPr>
      </w:pPr>
    </w:p>
    <w:p w14:paraId="14C385A4">
      <w:pPr>
        <w:pStyle w:val="34"/>
        <w:spacing w:beforeAutospacing="0" w:afterAutospacing="0" w:line="0" w:lineRule="atLeast"/>
        <w:jc w:val="center"/>
        <w:rPr>
          <w:highlight w:val="none"/>
        </w:rPr>
      </w:pPr>
    </w:p>
    <w:p w14:paraId="75A5141A">
      <w:pPr>
        <w:pStyle w:val="34"/>
        <w:spacing w:beforeAutospacing="0" w:afterAutospacing="0" w:line="0" w:lineRule="atLeast"/>
        <w:jc w:val="center"/>
        <w:rPr>
          <w:highlight w:val="none"/>
        </w:rPr>
      </w:pPr>
    </w:p>
    <w:p w14:paraId="7ED49EB3">
      <w:pPr>
        <w:pStyle w:val="34"/>
        <w:spacing w:beforeAutospacing="0" w:afterAutospacing="0" w:line="0" w:lineRule="atLeast"/>
        <w:jc w:val="center"/>
        <w:rPr>
          <w:highlight w:val="none"/>
        </w:rPr>
      </w:pPr>
    </w:p>
    <w:p w14:paraId="19CD8BCB">
      <w:pPr>
        <w:pStyle w:val="34"/>
        <w:spacing w:beforeAutospacing="0" w:afterAutospacing="0" w:line="0" w:lineRule="atLeast"/>
        <w:jc w:val="center"/>
        <w:rPr>
          <w:highlight w:val="none"/>
        </w:rPr>
      </w:pPr>
    </w:p>
    <w:p w14:paraId="5F87B139">
      <w:pPr>
        <w:pStyle w:val="34"/>
        <w:spacing w:beforeAutospacing="0" w:afterAutospacing="0" w:line="0" w:lineRule="atLeast"/>
        <w:jc w:val="center"/>
        <w:rPr>
          <w:highlight w:val="none"/>
        </w:rPr>
      </w:pPr>
    </w:p>
    <w:p w14:paraId="180936FD">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color w:val="4472C4" w:themeColor="accent5"/>
          <w:highlight w:val="yellow"/>
          <w14:textFill>
            <w14:solidFill>
              <w14:schemeClr w14:val="accent5"/>
            </w14:solidFill>
          </w14:textFill>
        </w:rPr>
      </w:pPr>
      <w:r>
        <w:rPr>
          <w:rFonts w:ascii="黑体" w:hAnsi="宋体" w:eastAsia="黑体" w:cs="黑体"/>
          <w:b/>
          <w:bCs/>
          <w:color w:val="4472C4" w:themeColor="accent5"/>
          <w:sz w:val="32"/>
          <w:szCs w:val="32"/>
          <w:highlight w:val="yellow"/>
          <w14:textFill>
            <w14:solidFill>
              <w14:schemeClr w14:val="accent5"/>
            </w14:solidFill>
          </w14:textFill>
        </w:rPr>
        <w:t>十一、关于符合本国产品标准的声明函</w:t>
      </w:r>
    </w:p>
    <w:p w14:paraId="2212D099">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4472C4" w:themeColor="accent5"/>
          <w14:textFill>
            <w14:solidFill>
              <w14:schemeClr w14:val="accent5"/>
            </w14:solidFill>
          </w14:textFill>
        </w:rPr>
      </w:pPr>
      <w:r>
        <w:rPr>
          <w:rFonts w:ascii="Arial" w:hAnsi="Arial" w:cs="Arial"/>
          <w:color w:val="4472C4" w:themeColor="accent5"/>
          <w:sz w:val="24"/>
          <w:szCs w:val="24"/>
          <w14:textFill>
            <w14:solidFill>
              <w14:schemeClr w14:val="accent5"/>
            </w14:solidFill>
          </w14:textFill>
        </w:rPr>
        <w:t> </w:t>
      </w:r>
    </w:p>
    <w:p w14:paraId="58C0C5BC">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Autospacing="0" w:afterAutospacing="0" w:line="440" w:lineRule="exact"/>
        <w:ind w:left="0" w:firstLine="697"/>
        <w:jc w:val="both"/>
        <w:rPr>
          <w:b/>
          <w:bCs/>
          <w:color w:val="4472C4" w:themeColor="accent5"/>
          <w14:textFill>
            <w14:solidFill>
              <w14:schemeClr w14:val="accent5"/>
            </w14:solidFill>
          </w14:textFill>
        </w:rPr>
      </w:pPr>
      <w:r>
        <w:rPr>
          <w:rFonts w:ascii="宋体" w:hAnsi="宋体" w:eastAsia="宋体" w:cs="宋体"/>
          <w:b/>
          <w:bCs/>
          <w:color w:val="4472C4" w:themeColor="accent5"/>
          <w:sz w:val="24"/>
          <w:szCs w:val="24"/>
          <w14:textFill>
            <w14:solidFill>
              <w14:schemeClr w14:val="accent5"/>
            </w14:solidFill>
          </w14:textFill>
        </w:rPr>
        <w:t>本公司（单位）郑重声明，根据《国务院办公厅关于在政府采购中实施本国产品标准及相关政策的通知》（国办发〔2025〕34号）的规定，本公司（单位）提供的以下产品属于本国产品。具体情况如下：</w:t>
      </w:r>
    </w:p>
    <w:p w14:paraId="1AFC08EB">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Autospacing="0" w:afterAutospacing="0" w:line="440" w:lineRule="exact"/>
        <w:ind w:left="0" w:firstLine="697"/>
        <w:jc w:val="both"/>
        <w:rPr>
          <w:b/>
          <w:bCs/>
          <w:color w:val="4472C4" w:themeColor="accent5"/>
          <w14:textFill>
            <w14:solidFill>
              <w14:schemeClr w14:val="accent5"/>
            </w14:solidFill>
          </w14:textFill>
        </w:rPr>
      </w:pPr>
      <w:r>
        <w:rPr>
          <w:rFonts w:ascii="宋体" w:hAnsi="宋体" w:eastAsia="宋体" w:cs="宋体"/>
          <w:b/>
          <w:bCs/>
          <w:color w:val="4472C4" w:themeColor="accent5"/>
          <w:sz w:val="24"/>
          <w:szCs w:val="24"/>
          <w:shd w:val="clear" w:color="auto" w:fill="FFFFFF"/>
          <w14:textFill>
            <w14:solidFill>
              <w14:schemeClr w14:val="accent5"/>
            </w14:solidFill>
          </w14:textFill>
        </w:rPr>
        <w:t>1.</w:t>
      </w:r>
      <w:r>
        <w:rPr>
          <w:rFonts w:ascii="宋体" w:hAnsi="宋体" w:eastAsia="宋体" w:cs="宋体"/>
          <w:b/>
          <w:bCs/>
          <w:color w:val="4472C4" w:themeColor="accent5"/>
          <w:sz w:val="24"/>
          <w:szCs w:val="24"/>
          <w:u w:val="single"/>
          <w:shd w:val="clear" w:color="auto" w:fill="FFFFFF"/>
          <w14:textFill>
            <w14:solidFill>
              <w14:schemeClr w14:val="accent5"/>
            </w14:solidFill>
          </w14:textFill>
        </w:rPr>
        <w:t>（产品名称1）</w:t>
      </w:r>
      <w:r>
        <w:rPr>
          <w:rFonts w:ascii="宋体" w:hAnsi="宋体" w:eastAsia="宋体" w:cs="宋体"/>
          <w:b/>
          <w:bCs/>
          <w:color w:val="4472C4" w:themeColor="accent5"/>
          <w:sz w:val="24"/>
          <w:szCs w:val="24"/>
          <w:shd w:val="clear" w:color="auto" w:fill="FFFFFF"/>
          <w:vertAlign w:val="superscript"/>
          <w14:textFill>
            <w14:solidFill>
              <w14:schemeClr w14:val="accent5"/>
            </w14:solidFill>
          </w14:textFill>
        </w:rPr>
        <w:t>1</w:t>
      </w:r>
      <w:r>
        <w:rPr>
          <w:rFonts w:ascii="宋体" w:hAnsi="宋体" w:eastAsia="宋体" w:cs="宋体"/>
          <w:b/>
          <w:bCs/>
          <w:color w:val="4472C4" w:themeColor="accent5"/>
          <w:sz w:val="24"/>
          <w:szCs w:val="24"/>
          <w:shd w:val="clear" w:color="auto" w:fill="FFFFFF"/>
          <w14:textFill>
            <w14:solidFill>
              <w14:schemeClr w14:val="accent5"/>
            </w14:solidFill>
          </w14:textFill>
        </w:rPr>
        <w:t>，生产厂为</w:t>
      </w:r>
      <w:r>
        <w:rPr>
          <w:rFonts w:ascii="宋体" w:hAnsi="宋体" w:eastAsia="宋体" w:cs="宋体"/>
          <w:b/>
          <w:bCs/>
          <w:color w:val="4472C4" w:themeColor="accent5"/>
          <w:sz w:val="24"/>
          <w:szCs w:val="24"/>
          <w:u w:val="single"/>
          <w:shd w:val="clear" w:color="auto" w:fill="FFFFFF"/>
          <w14:textFill>
            <w14:solidFill>
              <w14:schemeClr w14:val="accent5"/>
            </w14:solidFill>
          </w14:textFill>
        </w:rPr>
        <w:t>（厂名）</w:t>
      </w:r>
      <w:r>
        <w:rPr>
          <w:rFonts w:ascii="宋体" w:hAnsi="宋体" w:eastAsia="宋体" w:cs="宋体"/>
          <w:b/>
          <w:bCs/>
          <w:color w:val="4472C4" w:themeColor="accent5"/>
          <w:sz w:val="24"/>
          <w:szCs w:val="24"/>
          <w:shd w:val="clear" w:color="auto" w:fill="FFFFFF"/>
          <w:vertAlign w:val="superscript"/>
          <w14:textFill>
            <w14:solidFill>
              <w14:schemeClr w14:val="accent5"/>
            </w14:solidFill>
          </w14:textFill>
        </w:rPr>
        <w:t>2</w:t>
      </w:r>
      <w:r>
        <w:rPr>
          <w:rFonts w:ascii="宋体" w:hAnsi="宋体" w:eastAsia="宋体" w:cs="宋体"/>
          <w:b/>
          <w:bCs/>
          <w:color w:val="4472C4" w:themeColor="accent5"/>
          <w:sz w:val="24"/>
          <w:szCs w:val="24"/>
          <w:shd w:val="clear" w:color="auto" w:fill="FFFFFF"/>
          <w14:textFill>
            <w14:solidFill>
              <w14:schemeClr w14:val="accent5"/>
            </w14:solidFill>
          </w14:textFill>
        </w:rPr>
        <w:t>，厂址为</w:t>
      </w:r>
      <w:r>
        <w:rPr>
          <w:rFonts w:ascii="宋体" w:hAnsi="宋体" w:eastAsia="宋体" w:cs="宋体"/>
          <w:b/>
          <w:bCs/>
          <w:color w:val="4472C4" w:themeColor="accent5"/>
          <w:sz w:val="24"/>
          <w:szCs w:val="24"/>
          <w:u w:val="single"/>
          <w:shd w:val="clear" w:color="auto" w:fill="FFFFFF"/>
          <w14:textFill>
            <w14:solidFill>
              <w14:schemeClr w14:val="accent5"/>
            </w14:solidFill>
          </w14:textFill>
        </w:rPr>
        <w:t>（生产厂址）</w:t>
      </w:r>
      <w:r>
        <w:rPr>
          <w:rFonts w:ascii="宋体" w:hAnsi="宋体" w:eastAsia="宋体" w:cs="宋体"/>
          <w:b/>
          <w:bCs/>
          <w:color w:val="4472C4" w:themeColor="accent5"/>
          <w:sz w:val="24"/>
          <w:szCs w:val="24"/>
          <w:shd w:val="clear" w:color="auto" w:fill="FFFFFF"/>
          <w14:textFill>
            <w14:solidFill>
              <w14:schemeClr w14:val="accent5"/>
            </w14:solidFill>
          </w14:textFill>
        </w:rPr>
        <w:t>。</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 （产品名称1）</w:t>
      </w:r>
      <w:r>
        <w:rPr>
          <w:rFonts w:ascii="宋体" w:hAnsi="宋体" w:eastAsia="宋体" w:cs="宋体"/>
          <w:b/>
          <w:bCs/>
          <w:color w:val="4472C4" w:themeColor="accent5"/>
          <w:sz w:val="24"/>
          <w:szCs w:val="24"/>
          <w:u w:val="single"/>
          <w:shd w:val="clear" w:color="auto" w:fill="FFFFFF"/>
          <w14:textFill>
            <w14:solidFill>
              <w14:schemeClr w14:val="accent5"/>
            </w14:solidFill>
          </w14:textFill>
        </w:rPr>
        <w:t> </w:t>
      </w:r>
      <w:r>
        <w:rPr>
          <w:rFonts w:ascii="宋体" w:hAnsi="宋体" w:eastAsia="宋体" w:cs="宋体"/>
          <w:b/>
          <w:bCs/>
          <w:color w:val="4472C4" w:themeColor="accent5"/>
          <w:sz w:val="24"/>
          <w:szCs w:val="24"/>
          <w:shd w:val="clear" w:color="auto" w:fill="FFFFFF"/>
          <w14:textFill>
            <w14:solidFill>
              <w14:schemeClr w14:val="accent5"/>
            </w14:solidFill>
          </w14:textFill>
        </w:rPr>
        <w:t>的中国境内生产的组件成本占比≥</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（规定比例）</w:t>
      </w:r>
      <w:r>
        <w:rPr>
          <w:rFonts w:ascii="宋体" w:hAnsi="宋体" w:eastAsia="宋体" w:cs="宋体"/>
          <w:b/>
          <w:bCs/>
          <w:strike/>
          <w:color w:val="4472C4" w:themeColor="accent5"/>
          <w:sz w:val="24"/>
          <w:szCs w:val="24"/>
          <w:shd w:val="clear" w:color="auto" w:fill="FFFFFF"/>
          <w:vertAlign w:val="superscript"/>
          <w14:textFill>
            <w14:solidFill>
              <w14:schemeClr w14:val="accent5"/>
            </w14:solidFill>
          </w14:textFill>
        </w:rPr>
        <w:t>3</w:t>
      </w:r>
      <w:r>
        <w:rPr>
          <w:rFonts w:ascii="宋体" w:hAnsi="宋体" w:eastAsia="宋体" w:cs="宋体"/>
          <w:b/>
          <w:bCs/>
          <w:color w:val="4472C4" w:themeColor="accent5"/>
          <w:sz w:val="24"/>
          <w:szCs w:val="24"/>
          <w:shd w:val="clear" w:color="auto" w:fill="FFFFFF"/>
          <w14:textFill>
            <w14:solidFill>
              <w14:schemeClr w14:val="accent5"/>
            </w14:solidFill>
          </w14:textFill>
        </w:rPr>
        <w:t>。</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（产品名称1）</w:t>
      </w:r>
      <w:r>
        <w:rPr>
          <w:rFonts w:ascii="宋体" w:hAnsi="宋体" w:eastAsia="宋体" w:cs="宋体"/>
          <w:b/>
          <w:bCs/>
          <w:color w:val="4472C4" w:themeColor="accent5"/>
          <w:sz w:val="24"/>
          <w:szCs w:val="24"/>
          <w:shd w:val="clear" w:color="auto" w:fill="FFFFFF"/>
          <w14:textFill>
            <w14:solidFill>
              <w14:schemeClr w14:val="accent5"/>
            </w14:solidFill>
          </w14:textFill>
        </w:rPr>
        <w:t>的</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（关键组件）</w:t>
      </w:r>
      <w:r>
        <w:rPr>
          <w:rFonts w:ascii="宋体" w:hAnsi="宋体" w:eastAsia="宋体" w:cs="宋体"/>
          <w:b/>
          <w:bCs/>
          <w:strike/>
          <w:color w:val="4472C4" w:themeColor="accent5"/>
          <w:sz w:val="24"/>
          <w:szCs w:val="24"/>
          <w:shd w:val="clear" w:color="auto" w:fill="FFFFFF"/>
          <w:vertAlign w:val="superscript"/>
          <w14:textFill>
            <w14:solidFill>
              <w14:schemeClr w14:val="accent5"/>
            </w14:solidFill>
          </w14:textFill>
        </w:rPr>
        <w:t>4</w:t>
      </w:r>
      <w:r>
        <w:rPr>
          <w:rFonts w:ascii="宋体" w:hAnsi="宋体" w:eastAsia="宋体" w:cs="宋体"/>
          <w:b/>
          <w:bCs/>
          <w:color w:val="4472C4" w:themeColor="accent5"/>
          <w:sz w:val="24"/>
          <w:szCs w:val="24"/>
          <w:shd w:val="clear" w:color="auto" w:fill="FFFFFF"/>
          <w14:textFill>
            <w14:solidFill>
              <w14:schemeClr w14:val="accent5"/>
            </w14:solidFill>
          </w14:textFill>
        </w:rPr>
        <w:t>在中国境内生产。</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（产品名称1）</w:t>
      </w:r>
      <w:r>
        <w:rPr>
          <w:rFonts w:ascii="宋体" w:hAnsi="宋体" w:eastAsia="宋体" w:cs="宋体"/>
          <w:b/>
          <w:bCs/>
          <w:color w:val="4472C4" w:themeColor="accent5"/>
          <w:sz w:val="24"/>
          <w:szCs w:val="24"/>
          <w:shd w:val="clear" w:color="auto" w:fill="FFFFFF"/>
          <w14:textFill>
            <w14:solidFill>
              <w14:schemeClr w14:val="accent5"/>
            </w14:solidFill>
          </w14:textFill>
        </w:rPr>
        <w:t>的</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（关键工序）</w:t>
      </w:r>
      <w:r>
        <w:rPr>
          <w:rFonts w:ascii="宋体" w:hAnsi="宋体" w:eastAsia="宋体" w:cs="宋体"/>
          <w:b/>
          <w:bCs/>
          <w:strike/>
          <w:color w:val="4472C4" w:themeColor="accent5"/>
          <w:sz w:val="24"/>
          <w:szCs w:val="24"/>
          <w:shd w:val="clear" w:color="auto" w:fill="FFFFFF"/>
          <w:vertAlign w:val="superscript"/>
          <w14:textFill>
            <w14:solidFill>
              <w14:schemeClr w14:val="accent5"/>
            </w14:solidFill>
          </w14:textFill>
        </w:rPr>
        <w:t>5</w:t>
      </w:r>
      <w:r>
        <w:rPr>
          <w:rFonts w:ascii="宋体" w:hAnsi="宋体" w:eastAsia="宋体" w:cs="宋体"/>
          <w:b/>
          <w:bCs/>
          <w:color w:val="4472C4" w:themeColor="accent5"/>
          <w:sz w:val="24"/>
          <w:szCs w:val="24"/>
          <w:shd w:val="clear" w:color="auto" w:fill="FFFFFF"/>
          <w14:textFill>
            <w14:solidFill>
              <w14:schemeClr w14:val="accent5"/>
            </w14:solidFill>
          </w14:textFill>
        </w:rPr>
        <w:t>在中国境内完成。</w:t>
      </w:r>
    </w:p>
    <w:p w14:paraId="7979C552">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Autospacing="0" w:afterAutospacing="0" w:line="440" w:lineRule="exact"/>
        <w:ind w:left="0" w:firstLine="697"/>
        <w:jc w:val="both"/>
        <w:rPr>
          <w:b/>
          <w:bCs/>
          <w:color w:val="4472C4" w:themeColor="accent5"/>
          <w14:textFill>
            <w14:solidFill>
              <w14:schemeClr w14:val="accent5"/>
            </w14:solidFill>
          </w14:textFill>
        </w:rPr>
      </w:pPr>
      <w:r>
        <w:rPr>
          <w:rFonts w:ascii="宋体" w:hAnsi="宋体" w:eastAsia="宋体" w:cs="宋体"/>
          <w:b/>
          <w:bCs/>
          <w:color w:val="4472C4" w:themeColor="accent5"/>
          <w:sz w:val="24"/>
          <w:szCs w:val="24"/>
          <w:shd w:val="clear" w:color="auto" w:fill="FFFFFF"/>
          <w14:textFill>
            <w14:solidFill>
              <w14:schemeClr w14:val="accent5"/>
            </w14:solidFill>
          </w14:textFill>
        </w:rPr>
        <w:t>2.</w:t>
      </w:r>
      <w:r>
        <w:rPr>
          <w:rFonts w:ascii="宋体" w:hAnsi="宋体" w:eastAsia="宋体" w:cs="宋体"/>
          <w:b/>
          <w:bCs/>
          <w:color w:val="4472C4" w:themeColor="accent5"/>
          <w:sz w:val="24"/>
          <w:szCs w:val="24"/>
          <w:u w:val="single"/>
          <w:shd w:val="clear" w:color="auto" w:fill="FFFFFF"/>
          <w14:textFill>
            <w14:solidFill>
              <w14:schemeClr w14:val="accent5"/>
            </w14:solidFill>
          </w14:textFill>
        </w:rPr>
        <w:t>（产品名称2）</w:t>
      </w:r>
      <w:r>
        <w:rPr>
          <w:rFonts w:ascii="宋体" w:hAnsi="宋体" w:eastAsia="宋体" w:cs="宋体"/>
          <w:b/>
          <w:bCs/>
          <w:color w:val="4472C4" w:themeColor="accent5"/>
          <w:sz w:val="24"/>
          <w:szCs w:val="24"/>
          <w:shd w:val="clear" w:color="auto" w:fill="FFFFFF"/>
          <w14:textFill>
            <w14:solidFill>
              <w14:schemeClr w14:val="accent5"/>
            </w14:solidFill>
          </w14:textFill>
        </w:rPr>
        <w:t>，生产厂为</w:t>
      </w:r>
      <w:r>
        <w:rPr>
          <w:rFonts w:ascii="宋体" w:hAnsi="宋体" w:eastAsia="宋体" w:cs="宋体"/>
          <w:b/>
          <w:bCs/>
          <w:color w:val="4472C4" w:themeColor="accent5"/>
          <w:sz w:val="24"/>
          <w:szCs w:val="24"/>
          <w:u w:val="single"/>
          <w:shd w:val="clear" w:color="auto" w:fill="FFFFFF"/>
          <w14:textFill>
            <w14:solidFill>
              <w14:schemeClr w14:val="accent5"/>
            </w14:solidFill>
          </w14:textFill>
        </w:rPr>
        <w:t>（厂名）</w:t>
      </w:r>
      <w:r>
        <w:rPr>
          <w:rFonts w:ascii="宋体" w:hAnsi="宋体" w:eastAsia="宋体" w:cs="宋体"/>
          <w:b/>
          <w:bCs/>
          <w:color w:val="4472C4" w:themeColor="accent5"/>
          <w:sz w:val="24"/>
          <w:szCs w:val="24"/>
          <w:shd w:val="clear" w:color="auto" w:fill="FFFFFF"/>
          <w14:textFill>
            <w14:solidFill>
              <w14:schemeClr w14:val="accent5"/>
            </w14:solidFill>
          </w14:textFill>
        </w:rPr>
        <w:t>，厂址为</w:t>
      </w:r>
      <w:r>
        <w:rPr>
          <w:rFonts w:ascii="宋体" w:hAnsi="宋体" w:eastAsia="宋体" w:cs="宋体"/>
          <w:b/>
          <w:bCs/>
          <w:color w:val="4472C4" w:themeColor="accent5"/>
          <w:sz w:val="24"/>
          <w:szCs w:val="24"/>
          <w:u w:val="single"/>
          <w:shd w:val="clear" w:color="auto" w:fill="FFFFFF"/>
          <w14:textFill>
            <w14:solidFill>
              <w14:schemeClr w14:val="accent5"/>
            </w14:solidFill>
          </w14:textFill>
        </w:rPr>
        <w:t>（生产厂址）</w:t>
      </w:r>
      <w:r>
        <w:rPr>
          <w:rFonts w:ascii="宋体" w:hAnsi="宋体" w:eastAsia="宋体" w:cs="宋体"/>
          <w:b/>
          <w:bCs/>
          <w:color w:val="4472C4" w:themeColor="accent5"/>
          <w:sz w:val="24"/>
          <w:szCs w:val="24"/>
          <w:shd w:val="clear" w:color="auto" w:fill="FFFFFF"/>
          <w14:textFill>
            <w14:solidFill>
              <w14:schemeClr w14:val="accent5"/>
            </w14:solidFill>
          </w14:textFill>
        </w:rPr>
        <w:t>。</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（产品名称2）</w:t>
      </w:r>
      <w:r>
        <w:rPr>
          <w:rFonts w:ascii="宋体" w:hAnsi="宋体" w:eastAsia="宋体" w:cs="宋体"/>
          <w:b/>
          <w:bCs/>
          <w:color w:val="4472C4" w:themeColor="accent5"/>
          <w:sz w:val="24"/>
          <w:szCs w:val="24"/>
          <w:shd w:val="clear" w:color="auto" w:fill="FFFFFF"/>
          <w14:textFill>
            <w14:solidFill>
              <w14:schemeClr w14:val="accent5"/>
            </w14:solidFill>
          </w14:textFill>
        </w:rPr>
        <w:t>的中国境内生产的组件成本占比≥</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（规定比例）</w:t>
      </w:r>
      <w:r>
        <w:rPr>
          <w:rFonts w:ascii="宋体" w:hAnsi="宋体" w:eastAsia="宋体" w:cs="宋体"/>
          <w:b/>
          <w:bCs/>
          <w:color w:val="4472C4" w:themeColor="accent5"/>
          <w:sz w:val="24"/>
          <w:szCs w:val="24"/>
          <w:shd w:val="clear" w:color="auto" w:fill="FFFFFF"/>
          <w14:textFill>
            <w14:solidFill>
              <w14:schemeClr w14:val="accent5"/>
            </w14:solidFill>
          </w14:textFill>
        </w:rPr>
        <w:t>。</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（产品名称2）</w:t>
      </w:r>
      <w:r>
        <w:rPr>
          <w:rFonts w:ascii="宋体" w:hAnsi="宋体" w:eastAsia="宋体" w:cs="宋体"/>
          <w:b/>
          <w:bCs/>
          <w:color w:val="4472C4" w:themeColor="accent5"/>
          <w:sz w:val="24"/>
          <w:szCs w:val="24"/>
          <w:shd w:val="clear" w:color="auto" w:fill="FFFFFF"/>
          <w14:textFill>
            <w14:solidFill>
              <w14:schemeClr w14:val="accent5"/>
            </w14:solidFill>
          </w14:textFill>
        </w:rPr>
        <w:t>的</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（关键组件）</w:t>
      </w:r>
      <w:r>
        <w:rPr>
          <w:rFonts w:ascii="宋体" w:hAnsi="宋体" w:eastAsia="宋体" w:cs="宋体"/>
          <w:b/>
          <w:bCs/>
          <w:color w:val="4472C4" w:themeColor="accent5"/>
          <w:sz w:val="24"/>
          <w:szCs w:val="24"/>
          <w:shd w:val="clear" w:color="auto" w:fill="FFFFFF"/>
          <w14:textFill>
            <w14:solidFill>
              <w14:schemeClr w14:val="accent5"/>
            </w14:solidFill>
          </w14:textFill>
        </w:rPr>
        <w:t>在中国境内生产。</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（产品名称1）</w:t>
      </w:r>
      <w:r>
        <w:rPr>
          <w:rFonts w:ascii="宋体" w:hAnsi="宋体" w:eastAsia="宋体" w:cs="宋体"/>
          <w:b/>
          <w:bCs/>
          <w:color w:val="4472C4" w:themeColor="accent5"/>
          <w:sz w:val="24"/>
          <w:szCs w:val="24"/>
          <w:shd w:val="clear" w:color="auto" w:fill="FFFFFF"/>
          <w14:textFill>
            <w14:solidFill>
              <w14:schemeClr w14:val="accent5"/>
            </w14:solidFill>
          </w14:textFill>
        </w:rPr>
        <w:t>的</w:t>
      </w:r>
      <w:r>
        <w:rPr>
          <w:rFonts w:ascii="宋体" w:hAnsi="宋体" w:eastAsia="宋体" w:cs="宋体"/>
          <w:b/>
          <w:bCs/>
          <w:strike/>
          <w:color w:val="4472C4" w:themeColor="accent5"/>
          <w:sz w:val="24"/>
          <w:szCs w:val="24"/>
          <w:u w:val="single"/>
          <w:shd w:val="clear" w:color="auto" w:fill="FFFFFF"/>
          <w14:textFill>
            <w14:solidFill>
              <w14:schemeClr w14:val="accent5"/>
            </w14:solidFill>
          </w14:textFill>
        </w:rPr>
        <w:t>（关键工序）</w:t>
      </w:r>
      <w:r>
        <w:rPr>
          <w:rFonts w:ascii="宋体" w:hAnsi="宋体" w:eastAsia="宋体" w:cs="宋体"/>
          <w:b/>
          <w:bCs/>
          <w:color w:val="4472C4" w:themeColor="accent5"/>
          <w:sz w:val="24"/>
          <w:szCs w:val="24"/>
          <w:shd w:val="clear" w:color="auto" w:fill="FFFFFF"/>
          <w14:textFill>
            <w14:solidFill>
              <w14:schemeClr w14:val="accent5"/>
            </w14:solidFill>
          </w14:textFill>
        </w:rPr>
        <w:t>在中国境内完成。</w:t>
      </w:r>
    </w:p>
    <w:p w14:paraId="76E08080">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Autospacing="0" w:afterAutospacing="0" w:line="440" w:lineRule="exact"/>
        <w:ind w:left="0" w:firstLine="697"/>
        <w:jc w:val="both"/>
        <w:rPr>
          <w:b/>
          <w:bCs/>
          <w:color w:val="4472C4" w:themeColor="accent5"/>
          <w14:textFill>
            <w14:solidFill>
              <w14:schemeClr w14:val="accent5"/>
            </w14:solidFill>
          </w14:textFill>
        </w:rPr>
      </w:pPr>
      <w:r>
        <w:rPr>
          <w:rFonts w:ascii="宋体" w:hAnsi="宋体" w:eastAsia="宋体" w:cs="宋体"/>
          <w:b/>
          <w:bCs/>
          <w:color w:val="4472C4" w:themeColor="accent5"/>
          <w:sz w:val="24"/>
          <w:szCs w:val="24"/>
          <w:shd w:val="clear" w:color="auto" w:fill="FFFFFF"/>
          <w14:textFill>
            <w14:solidFill>
              <w14:schemeClr w14:val="accent5"/>
            </w14:solidFill>
          </w14:textFill>
        </w:rPr>
        <w:t>……</w:t>
      </w:r>
    </w:p>
    <w:p w14:paraId="4BA84C0D">
      <w:pPr>
        <w:pStyle w:val="3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Autospacing="0" w:afterAutospacing="0" w:line="440" w:lineRule="exact"/>
        <w:ind w:left="0" w:firstLine="697"/>
        <w:jc w:val="both"/>
        <w:rPr>
          <w:b/>
          <w:bCs/>
          <w:color w:val="4472C4" w:themeColor="accent5"/>
          <w14:textFill>
            <w14:solidFill>
              <w14:schemeClr w14:val="accent5"/>
            </w14:solidFill>
          </w14:textFill>
        </w:rPr>
      </w:pPr>
      <w:r>
        <w:rPr>
          <w:rFonts w:ascii="宋体" w:hAnsi="宋体" w:eastAsia="宋体" w:cs="宋体"/>
          <w:b/>
          <w:bCs/>
          <w:color w:val="4472C4" w:themeColor="accent5"/>
          <w:sz w:val="24"/>
          <w:szCs w:val="24"/>
          <w:shd w:val="clear" w:color="auto" w:fill="FFFFFF"/>
          <w14:textFill>
            <w14:solidFill>
              <w14:schemeClr w14:val="accent5"/>
            </w14:solidFill>
          </w14:textFill>
        </w:rPr>
        <w:t>本公司（单位）对上述声明内容的真实性负责。如有虚假，愿承担相应法律责任。</w:t>
      </w:r>
    </w:p>
    <w:p w14:paraId="0708D88E">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4472C4" w:themeColor="accent5"/>
          <w14:textFill>
            <w14:solidFill>
              <w14:schemeClr w14:val="accent5"/>
            </w14:solidFill>
          </w14:textFill>
        </w:rPr>
      </w:pPr>
      <w:r>
        <w:rPr>
          <w:rFonts w:ascii="宋体" w:hAnsi="宋体" w:eastAsia="宋体" w:cs="宋体"/>
          <w:b/>
          <w:bCs/>
          <w:color w:val="4472C4" w:themeColor="accent5"/>
          <w:sz w:val="24"/>
          <w:szCs w:val="24"/>
          <w14:textFill>
            <w14:solidFill>
              <w14:schemeClr w14:val="accent5"/>
            </w14:solidFill>
          </w14:textFill>
        </w:rPr>
        <w:t> </w:t>
      </w:r>
    </w:p>
    <w:p w14:paraId="6A8F154F">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b/>
          <w:bCs/>
          <w:color w:val="4472C4" w:themeColor="accent5"/>
          <w14:textFill>
            <w14:solidFill>
              <w14:schemeClr w14:val="accent5"/>
            </w14:solidFill>
          </w14:textFill>
        </w:rPr>
      </w:pPr>
      <w:r>
        <w:rPr>
          <w:rFonts w:ascii="宋体" w:hAnsi="宋体" w:eastAsia="宋体" w:cs="宋体"/>
          <w:b/>
          <w:bCs/>
          <w:color w:val="4472C4" w:themeColor="accent5"/>
          <w:sz w:val="24"/>
          <w:szCs w:val="24"/>
          <w:shd w:val="clear" w:color="auto" w:fill="FFFFFF"/>
          <w14:textFill>
            <w14:solidFill>
              <w14:schemeClr w14:val="accent5"/>
            </w14:solidFill>
          </w14:textFill>
        </w:rPr>
        <w:t>公司（单位）名称（盖章）：　</w:t>
      </w:r>
    </w:p>
    <w:p w14:paraId="099C2862">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b/>
          <w:bCs/>
          <w:color w:val="4472C4" w:themeColor="accent5"/>
          <w14:textFill>
            <w14:solidFill>
              <w14:schemeClr w14:val="accent5"/>
            </w14:solidFill>
          </w14:textFill>
        </w:rPr>
      </w:pPr>
      <w:r>
        <w:rPr>
          <w:rFonts w:ascii="宋体" w:hAnsi="宋体" w:eastAsia="宋体" w:cs="宋体"/>
          <w:b/>
          <w:bCs/>
          <w:color w:val="4472C4" w:themeColor="accent5"/>
          <w:sz w:val="24"/>
          <w:szCs w:val="24"/>
          <w:shd w:val="clear" w:color="auto" w:fill="FFFFFF"/>
          <w14:textFill>
            <w14:solidFill>
              <w14:schemeClr w14:val="accent5"/>
            </w14:solidFill>
          </w14:textFill>
        </w:rPr>
        <w:t>             日期：　   年　  月　  日         </w:t>
      </w:r>
    </w:p>
    <w:p w14:paraId="0E5C2CAA">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4472C4" w:themeColor="accent5"/>
          <w14:textFill>
            <w14:solidFill>
              <w14:schemeClr w14:val="accent5"/>
            </w14:solidFill>
          </w14:textFill>
        </w:rPr>
      </w:pPr>
    </w:p>
    <w:p w14:paraId="1110FF7C">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4472C4" w:themeColor="accent5"/>
          <w14:textFill>
            <w14:solidFill>
              <w14:schemeClr w14:val="accent5"/>
            </w14:solidFill>
          </w14:textFill>
        </w:rPr>
      </w:pPr>
      <w:r>
        <w:rPr>
          <w:rFonts w:ascii="宋体" w:hAnsi="宋体" w:eastAsia="宋体" w:cs="宋体"/>
          <w:b/>
          <w:bCs/>
          <w:color w:val="4472C4" w:themeColor="accent5"/>
          <w:sz w:val="24"/>
          <w:szCs w:val="24"/>
          <w:shd w:val="clear" w:color="auto" w:fill="FFFFFF"/>
          <w14:textFill>
            <w14:solidFill>
              <w14:schemeClr w14:val="accent5"/>
            </w14:solidFill>
          </w14:textFill>
        </w:rPr>
        <w:t>1.产品如有型号，请在“产品名称”栏一并填写。</w:t>
      </w:r>
    </w:p>
    <w:p w14:paraId="0C4869E6">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4472C4" w:themeColor="accent5"/>
          <w14:textFill>
            <w14:solidFill>
              <w14:schemeClr w14:val="accent5"/>
            </w14:solidFill>
          </w14:textFill>
        </w:rPr>
      </w:pPr>
      <w:r>
        <w:rPr>
          <w:rFonts w:ascii="宋体" w:hAnsi="宋体" w:eastAsia="宋体" w:cs="宋体"/>
          <w:b/>
          <w:bCs/>
          <w:color w:val="4472C4" w:themeColor="accent5"/>
          <w:sz w:val="24"/>
          <w:szCs w:val="24"/>
          <w:shd w:val="clear" w:color="auto" w:fill="FFFFFF"/>
          <w14:textFill>
            <w14:solidFill>
              <w14:schemeClr w14:val="accent5"/>
            </w14:solidFill>
          </w14:textFill>
        </w:rPr>
        <w:t>2.生产厂名与厂址应与生产厂营业执照载明的相关信息保持一致。</w:t>
      </w:r>
    </w:p>
    <w:p w14:paraId="7869E9D0">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4472C4" w:themeColor="accent5"/>
          <w14:textFill>
            <w14:solidFill>
              <w14:schemeClr w14:val="accent5"/>
            </w14:solidFill>
          </w14:textFill>
        </w:rPr>
      </w:pPr>
      <w:r>
        <w:rPr>
          <w:rFonts w:ascii="宋体" w:hAnsi="宋体" w:eastAsia="宋体" w:cs="宋体"/>
          <w:b/>
          <w:bCs/>
          <w:color w:val="4472C4" w:themeColor="accent5"/>
          <w:sz w:val="24"/>
          <w:szCs w:val="24"/>
          <w:shd w:val="clear" w:color="auto" w:fill="FFFFFF"/>
          <w14:textFill>
            <w14:solidFill>
              <w14:schemeClr w14:val="accent5"/>
            </w14:solidFill>
          </w14:textFill>
        </w:rPr>
        <w:t>3.该产品的中国境内生产的组件成本占比相关要求实施前，“规定比例”栏可不填，下同。</w:t>
      </w:r>
    </w:p>
    <w:p w14:paraId="085759A5">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color w:val="4472C4" w:themeColor="accent5"/>
          <w14:textFill>
            <w14:solidFill>
              <w14:schemeClr w14:val="accent5"/>
            </w14:solidFill>
          </w14:textFill>
        </w:rPr>
      </w:pPr>
      <w:r>
        <w:rPr>
          <w:rFonts w:ascii="宋体" w:hAnsi="宋体" w:eastAsia="宋体" w:cs="宋体"/>
          <w:b/>
          <w:bCs/>
          <w:color w:val="4472C4" w:themeColor="accent5"/>
          <w:sz w:val="24"/>
          <w:szCs w:val="24"/>
          <w:shd w:val="clear" w:color="auto" w:fill="FFFFFF"/>
          <w14:textFill>
            <w14:solidFill>
              <w14:schemeClr w14:val="accent5"/>
            </w14:solidFill>
          </w14:textFill>
        </w:rPr>
        <w:t>4.该产品的关键组件要求实施前，“关键组件”栏可不填，下同。</w:t>
      </w:r>
    </w:p>
    <w:p w14:paraId="391DCD28">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4472C4" w:themeColor="accent5"/>
          <w:sz w:val="24"/>
          <w:szCs w:val="24"/>
          <w:shd w:val="clear" w:color="auto" w:fill="FFFFFF"/>
          <w14:textFill>
            <w14:solidFill>
              <w14:schemeClr w14:val="accent5"/>
            </w14:solidFill>
          </w14:textFill>
        </w:rPr>
      </w:pPr>
      <w:r>
        <w:rPr>
          <w:rFonts w:ascii="宋体" w:hAnsi="宋体" w:eastAsia="宋体" w:cs="宋体"/>
          <w:b/>
          <w:bCs/>
          <w:color w:val="4472C4" w:themeColor="accent5"/>
          <w:sz w:val="24"/>
          <w:szCs w:val="24"/>
          <w:shd w:val="clear" w:color="auto" w:fill="FFFFFF"/>
          <w14:textFill>
            <w14:solidFill>
              <w14:schemeClr w14:val="accent5"/>
            </w14:solidFill>
          </w14:textFill>
        </w:rPr>
        <w:t>5.该产品的关键工序要求实施前，“关键工序”栏可不填，下同。</w:t>
      </w:r>
    </w:p>
    <w:p w14:paraId="24EAD4A4">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4472C4" w:themeColor="accent5"/>
          <w:sz w:val="24"/>
          <w:szCs w:val="24"/>
          <w:shd w:val="clear" w:color="auto" w:fill="FFFFFF"/>
          <w14:textFill>
            <w14:solidFill>
              <w14:schemeClr w14:val="accent5"/>
            </w14:solidFill>
          </w14:textFill>
        </w:rPr>
      </w:pPr>
      <w:r>
        <w:rPr>
          <w:rFonts w:ascii="宋体" w:hAnsi="宋体" w:eastAsia="宋体" w:cs="宋体"/>
          <w:b/>
          <w:bCs/>
          <w:color w:val="4472C4" w:themeColor="accent5"/>
          <w:sz w:val="24"/>
          <w:szCs w:val="24"/>
          <w:shd w:val="clear" w:color="auto" w:fill="FFFFFF"/>
          <w14:textFill>
            <w14:solidFill>
              <w14:schemeClr w14:val="accent5"/>
            </w14:solidFill>
          </w14:textFill>
        </w:rPr>
        <w:t>6.用</w:t>
      </w:r>
      <w:r>
        <w:rPr>
          <w:rFonts w:hint="eastAsia" w:ascii="宋体" w:hAnsi="宋体" w:eastAsia="宋体" w:cs="宋体"/>
          <w:b/>
          <w:bCs/>
          <w:color w:val="4472C4" w:themeColor="accent5"/>
          <w:sz w:val="24"/>
          <w:szCs w:val="24"/>
          <w:shd w:val="clear" w:color="auto" w:fill="FFFFFF"/>
          <w:lang w:val="en-US" w:eastAsia="zh-CN"/>
          <w14:textFill>
            <w14:solidFill>
              <w14:schemeClr w14:val="accent5"/>
            </w14:solidFill>
          </w14:textFill>
        </w:rPr>
        <w:t>横</w:t>
      </w:r>
      <w:r>
        <w:rPr>
          <w:rFonts w:ascii="宋体" w:hAnsi="宋体" w:eastAsia="宋体" w:cs="宋体"/>
          <w:b/>
          <w:bCs/>
          <w:color w:val="4472C4" w:themeColor="accent5"/>
          <w:sz w:val="24"/>
          <w:szCs w:val="24"/>
          <w:shd w:val="clear" w:color="auto" w:fill="FFFFFF"/>
          <w14:textFill>
            <w14:solidFill>
              <w14:schemeClr w14:val="accent5"/>
            </w14:solidFill>
          </w14:textFill>
        </w:rPr>
        <w:t>线划除的地方无需填写。</w:t>
      </w:r>
    </w:p>
    <w:p w14:paraId="515C2FAD">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pPr>
      <w:r>
        <w:rPr>
          <w:rFonts w:hint="eastAsia" w:ascii="宋体" w:hAnsi="宋体" w:eastAsia="宋体" w:cs="宋体"/>
          <w:b/>
          <w:bCs/>
          <w:color w:val="4472C4" w:themeColor="accent5"/>
          <w:sz w:val="24"/>
          <w:szCs w:val="24"/>
          <w:highlight w:val="none"/>
          <w:lang w:val="en-US" w:eastAsia="zh-CN" w:bidi="ar-SA"/>
          <w14:textFill>
            <w14:solidFill>
              <w14:schemeClr w14:val="accent5"/>
            </w14:solidFill>
          </w14:textFill>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4472C4" w:themeColor="accent5"/>
          <w:sz w:val="24"/>
          <w:szCs w:val="24"/>
          <w:highlight w:val="none"/>
          <w:u w:val="single"/>
          <w:lang w:val="en-US" w:eastAsia="zh-CN" w:bidi="ar-SA"/>
          <w14:textFill>
            <w14:solidFill>
              <w14:schemeClr w14:val="accent5"/>
            </w14:solidFill>
          </w14:textFill>
        </w:rPr>
        <w:t>故，如供应商所提供产品为本国产品的，应当对其提供的产品出具《关于符合本国产品标准的声明函》（以下简称《声明函》），不出具《声明函》的，不享受政府采购对本国产品的支持政策。</w:t>
      </w:r>
    </w:p>
    <w:p w14:paraId="6B72B975">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FF0000"/>
          <w:sz w:val="24"/>
          <w:szCs w:val="24"/>
          <w:shd w:val="clear" w:color="auto" w:fill="FFFFFF"/>
        </w:rPr>
      </w:pPr>
    </w:p>
    <w:p w14:paraId="2795441F">
      <w:pPr>
        <w:jc w:val="center"/>
        <w:rPr>
          <w:rFonts w:hint="eastAsia" w:asciiTheme="minorEastAsia" w:hAnsiTheme="minorEastAsia" w:eastAsiaTheme="minorEastAsia" w:cstheme="minorEastAsia"/>
          <w:b/>
          <w:bCs/>
          <w:color w:val="000000"/>
          <w:sz w:val="24"/>
          <w:szCs w:val="24"/>
        </w:rPr>
      </w:pPr>
    </w:p>
    <w:p w14:paraId="317176E6">
      <w:pPr>
        <w:spacing w:line="241" w:lineRule="auto"/>
        <w:rPr>
          <w:rFonts w:ascii="Arial"/>
          <w:b/>
          <w:bCs/>
          <w:sz w:val="21"/>
        </w:rPr>
      </w:pPr>
    </w:p>
    <w:p w14:paraId="08B3A2FD">
      <w:pPr>
        <w:spacing w:line="241" w:lineRule="auto"/>
        <w:rPr>
          <w:rFonts w:ascii="Arial"/>
          <w:b/>
          <w:bCs/>
          <w:sz w:val="21"/>
        </w:rPr>
      </w:pPr>
    </w:p>
    <w:p w14:paraId="4C4194EC">
      <w:pPr>
        <w:pStyle w:val="34"/>
        <w:spacing w:beforeAutospacing="0" w:afterAutospacing="0" w:line="0" w:lineRule="atLeast"/>
        <w:jc w:val="center"/>
        <w:rPr>
          <w:b/>
          <w:bCs/>
          <w:highlight w:val="none"/>
        </w:rPr>
      </w:pPr>
      <w:r>
        <w:rPr>
          <w:b/>
          <w:bCs/>
          <w:highlight w:val="none"/>
        </w:rPr>
        <w:t> </w:t>
      </w:r>
    </w:p>
    <w:p w14:paraId="0E04730F">
      <w:pPr>
        <w:jc w:val="center"/>
        <w:rPr>
          <w:highlight w:val="none"/>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二</w:t>
      </w:r>
      <w:r>
        <w:rPr>
          <w:rFonts w:hint="eastAsia" w:ascii="黑体" w:hAnsi="宋体" w:eastAsia="黑体" w:cs="黑体"/>
          <w:b/>
          <w:color w:val="000000"/>
          <w:sz w:val="32"/>
          <w:szCs w:val="32"/>
          <w:highlight w:val="none"/>
        </w:rPr>
        <w:t>、联合体协议（参考格式）</w:t>
      </w:r>
    </w:p>
    <w:p w14:paraId="592BBB3F">
      <w:pPr>
        <w:pStyle w:val="34"/>
        <w:spacing w:beforeAutospacing="0" w:afterAutospacing="0" w:line="0" w:lineRule="atLeast"/>
        <w:ind w:firstLine="480"/>
        <w:jc w:val="both"/>
        <w:rPr>
          <w:highlight w:val="none"/>
        </w:rPr>
      </w:pPr>
      <w:r>
        <w:rPr>
          <w:rFonts w:hint="eastAsia" w:ascii="宋体" w:hAnsi="宋体" w:eastAsia="宋体" w:cs="宋体"/>
          <w:color w:val="000000"/>
          <w:highlight w:val="none"/>
        </w:rPr>
        <w:t>（联合体中各供应商全称）在此达成以下协议：</w:t>
      </w:r>
    </w:p>
    <w:p w14:paraId="6E83A849">
      <w:pPr>
        <w:pStyle w:val="34"/>
        <w:spacing w:beforeAutospacing="0" w:afterAutospacing="0" w:line="0" w:lineRule="atLeast"/>
        <w:ind w:firstLine="645"/>
        <w:jc w:val="both"/>
        <w:rPr>
          <w:highlight w:val="none"/>
        </w:rPr>
      </w:pPr>
      <w:r>
        <w:rPr>
          <w:rFonts w:hint="eastAsia" w:ascii="宋体" w:hAnsi="宋体" w:eastAsia="宋体" w:cs="宋体"/>
          <w:color w:val="000000"/>
          <w:highlight w:val="none"/>
        </w:rPr>
        <w:t>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自愿组成联合体，</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采购人名称</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组织的采购编号为</w:t>
      </w:r>
      <w:r>
        <w:rPr>
          <w:rFonts w:hint="eastAsia" w:ascii="宋体" w:hAnsi="宋体" w:eastAsia="宋体" w:cs="宋体"/>
          <w:color w:val="000000"/>
          <w:highlight w:val="none"/>
          <w:u w:val="single"/>
        </w:rPr>
        <w:t>（编号全称），（项目全称）</w:t>
      </w:r>
      <w:r>
        <w:rPr>
          <w:rFonts w:hint="eastAsia" w:ascii="宋体" w:hAnsi="宋体" w:eastAsia="宋体" w:cs="宋体"/>
          <w:color w:val="000000"/>
          <w:highlight w:val="none"/>
        </w:rPr>
        <w:t>项目（分包号：**）的政府采购活动，我联合体指定</w:t>
      </w:r>
      <w:r>
        <w:rPr>
          <w:rFonts w:hint="eastAsia" w:ascii="宋体" w:hAnsi="宋体" w:eastAsia="宋体" w:cs="宋体"/>
          <w:color w:val="000000"/>
          <w:highlight w:val="none"/>
          <w:u w:val="single"/>
        </w:rPr>
        <w:t>（供应商*）</w:t>
      </w:r>
      <w:r>
        <w:rPr>
          <w:rFonts w:hint="eastAsia" w:ascii="宋体" w:hAnsi="宋体" w:eastAsia="宋体" w:cs="宋体"/>
          <w:color w:val="000000"/>
          <w:highlight w:val="none"/>
        </w:rPr>
        <w:t>为牵头单位（牵头单位必须为联合体成员）。</w:t>
      </w:r>
    </w:p>
    <w:p w14:paraId="5321450E">
      <w:pPr>
        <w:pStyle w:val="34"/>
        <w:spacing w:beforeAutospacing="0" w:afterAutospacing="0" w:line="0" w:lineRule="atLeast"/>
        <w:ind w:firstLine="645"/>
        <w:jc w:val="both"/>
        <w:rPr>
          <w:highlight w:val="none"/>
        </w:rPr>
      </w:pPr>
      <w:r>
        <w:rPr>
          <w:rFonts w:hint="eastAsia" w:ascii="宋体" w:hAnsi="宋体" w:eastAsia="宋体" w:cs="宋体"/>
          <w:color w:val="000000"/>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2E6E44D9">
      <w:pPr>
        <w:pStyle w:val="34"/>
        <w:spacing w:beforeAutospacing="0" w:afterAutospacing="0" w:line="0" w:lineRule="atLeast"/>
        <w:ind w:firstLine="645"/>
        <w:jc w:val="both"/>
        <w:rPr>
          <w:highlight w:val="none"/>
        </w:rPr>
      </w:pPr>
      <w:r>
        <w:rPr>
          <w:rFonts w:hint="eastAsia" w:ascii="宋体" w:hAnsi="宋体" w:eastAsia="宋体" w:cs="宋体"/>
          <w:color w:val="000000"/>
          <w:highlight w:val="none"/>
        </w:rPr>
        <w:t>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12A97114">
      <w:pPr>
        <w:pStyle w:val="34"/>
        <w:spacing w:beforeAutospacing="0" w:afterAutospacing="0" w:line="0" w:lineRule="atLeast"/>
        <w:ind w:firstLine="645"/>
        <w:jc w:val="both"/>
        <w:rPr>
          <w:highlight w:val="none"/>
        </w:rPr>
      </w:pPr>
      <w:r>
        <w:rPr>
          <w:highlight w:val="none"/>
        </w:rPr>
        <w:t> </w:t>
      </w:r>
    </w:p>
    <w:p w14:paraId="0B80C515">
      <w:pPr>
        <w:pStyle w:val="34"/>
        <w:spacing w:beforeAutospacing="0" w:afterAutospacing="0" w:line="0" w:lineRule="atLeast"/>
        <w:ind w:firstLine="645"/>
        <w:jc w:val="both"/>
        <w:rPr>
          <w:highlight w:val="none"/>
        </w:rPr>
      </w:pPr>
      <w:r>
        <w:rPr>
          <w:rFonts w:hint="eastAsia" w:ascii="宋体" w:hAnsi="宋体" w:eastAsia="宋体" w:cs="宋体"/>
          <w:color w:val="000000"/>
          <w:highlight w:val="none"/>
        </w:rPr>
        <w:t>备注：本招标文件中要求加盖CA电子签章的地方，仅需加盖牵头单位的CA电子签章。</w:t>
      </w:r>
    </w:p>
    <w:p w14:paraId="330E19E1">
      <w:pPr>
        <w:pStyle w:val="34"/>
        <w:spacing w:beforeAutospacing="0" w:afterAutospacing="0" w:line="0" w:lineRule="atLeast"/>
        <w:ind w:firstLine="645"/>
        <w:jc w:val="both"/>
        <w:rPr>
          <w:highlight w:val="none"/>
        </w:rPr>
      </w:pPr>
      <w:r>
        <w:rPr>
          <w:rFonts w:hint="eastAsia" w:ascii="宋体" w:hAnsi="宋体" w:eastAsia="宋体" w:cs="宋体"/>
          <w:color w:val="000000"/>
          <w:highlight w:val="none"/>
        </w:rPr>
        <w:t>                               </w:t>
      </w:r>
    </w:p>
    <w:p w14:paraId="685B0167">
      <w:pPr>
        <w:pStyle w:val="34"/>
        <w:spacing w:beforeAutospacing="0" w:afterAutospacing="0" w:line="0" w:lineRule="atLeast"/>
        <w:ind w:firstLine="645"/>
        <w:jc w:val="right"/>
        <w:rPr>
          <w:highlight w:val="none"/>
        </w:rPr>
      </w:pPr>
      <w:r>
        <w:rPr>
          <w:rFonts w:hint="eastAsia" w:ascii="宋体" w:hAnsi="宋体" w:eastAsia="宋体" w:cs="宋体"/>
          <w:color w:val="000000"/>
          <w:highlight w:val="none"/>
        </w:rPr>
        <w:t xml:space="preserve">联合体中各供应商全称（公章）：     </w:t>
      </w:r>
    </w:p>
    <w:p w14:paraId="65D3C519">
      <w:pPr>
        <w:pStyle w:val="34"/>
        <w:spacing w:beforeAutospacing="0" w:afterAutospacing="0" w:line="0" w:lineRule="atLeast"/>
        <w:ind w:firstLine="645"/>
        <w:jc w:val="both"/>
        <w:rPr>
          <w:highlight w:val="none"/>
        </w:rPr>
      </w:pPr>
      <w:r>
        <w:rPr>
          <w:rFonts w:hint="eastAsia" w:ascii="宋体" w:hAnsi="宋体" w:eastAsia="宋体" w:cs="宋体"/>
          <w:color w:val="000000"/>
          <w:highlight w:val="none"/>
        </w:rPr>
        <w:t>                                                          日期：</w:t>
      </w:r>
    </w:p>
    <w:p w14:paraId="6A6ECD85">
      <w:pPr>
        <w:pStyle w:val="34"/>
        <w:spacing w:beforeAutospacing="0" w:afterAutospacing="0" w:line="0" w:lineRule="atLeast"/>
        <w:ind w:firstLine="645"/>
        <w:jc w:val="both"/>
        <w:rPr>
          <w:highlight w:val="none"/>
        </w:rPr>
      </w:pPr>
      <w:r>
        <w:rPr>
          <w:highlight w:val="none"/>
        </w:rPr>
        <w:t> </w:t>
      </w:r>
    </w:p>
    <w:p w14:paraId="24CDBDC6">
      <w:pPr>
        <w:pStyle w:val="34"/>
        <w:spacing w:beforeAutospacing="0" w:afterAutospacing="0" w:line="0" w:lineRule="atLeast"/>
        <w:jc w:val="both"/>
        <w:rPr>
          <w:highlight w:val="none"/>
        </w:rPr>
      </w:pPr>
      <w:r>
        <w:rPr>
          <w:highlight w:val="none"/>
        </w:rPr>
        <w:t> </w:t>
      </w:r>
    </w:p>
    <w:p w14:paraId="4F7C8873">
      <w:pPr>
        <w:pStyle w:val="34"/>
        <w:spacing w:beforeAutospacing="0" w:afterAutospacing="0" w:line="0" w:lineRule="atLeast"/>
        <w:jc w:val="both"/>
        <w:rPr>
          <w:highlight w:val="none"/>
        </w:rPr>
      </w:pPr>
      <w:r>
        <w:rPr>
          <w:highlight w:val="none"/>
        </w:rPr>
        <w:t> </w:t>
      </w:r>
    </w:p>
    <w:p w14:paraId="13B7A390">
      <w:pPr>
        <w:pStyle w:val="34"/>
        <w:spacing w:beforeAutospacing="0" w:afterAutospacing="0" w:line="0" w:lineRule="atLeast"/>
        <w:jc w:val="both"/>
        <w:rPr>
          <w:highlight w:val="none"/>
        </w:rPr>
      </w:pPr>
      <w:r>
        <w:rPr>
          <w:highlight w:val="none"/>
        </w:rPr>
        <w:t> </w:t>
      </w:r>
    </w:p>
    <w:p w14:paraId="6697DDBD">
      <w:pPr>
        <w:pStyle w:val="34"/>
        <w:spacing w:beforeAutospacing="0" w:afterAutospacing="0" w:line="0" w:lineRule="atLeast"/>
        <w:jc w:val="both"/>
        <w:rPr>
          <w:highlight w:val="none"/>
        </w:rPr>
      </w:pPr>
      <w:r>
        <w:rPr>
          <w:highlight w:val="none"/>
        </w:rPr>
        <w:t> </w:t>
      </w:r>
    </w:p>
    <w:p w14:paraId="54ADC081">
      <w:pPr>
        <w:pStyle w:val="34"/>
        <w:spacing w:beforeAutospacing="0" w:afterAutospacing="0" w:line="0" w:lineRule="atLeast"/>
        <w:jc w:val="both"/>
        <w:rPr>
          <w:highlight w:val="none"/>
        </w:rPr>
      </w:pPr>
      <w:r>
        <w:rPr>
          <w:highlight w:val="none"/>
        </w:rPr>
        <w:t> </w:t>
      </w:r>
    </w:p>
    <w:p w14:paraId="394DFD2C">
      <w:pPr>
        <w:pStyle w:val="34"/>
        <w:spacing w:beforeAutospacing="0" w:afterAutospacing="0" w:line="0" w:lineRule="atLeast"/>
        <w:jc w:val="both"/>
        <w:rPr>
          <w:highlight w:val="none"/>
        </w:rPr>
      </w:pPr>
    </w:p>
    <w:p w14:paraId="4EB10BA2">
      <w:pPr>
        <w:pStyle w:val="34"/>
        <w:spacing w:beforeAutospacing="0" w:afterAutospacing="0" w:line="0" w:lineRule="atLeast"/>
        <w:jc w:val="both"/>
        <w:rPr>
          <w:highlight w:val="none"/>
        </w:rPr>
      </w:pPr>
    </w:p>
    <w:p w14:paraId="141D3B36">
      <w:pPr>
        <w:pStyle w:val="34"/>
        <w:spacing w:beforeAutospacing="0" w:afterAutospacing="0" w:line="0" w:lineRule="atLeast"/>
        <w:jc w:val="both"/>
        <w:rPr>
          <w:highlight w:val="none"/>
        </w:rPr>
      </w:pPr>
    </w:p>
    <w:p w14:paraId="16B11C38">
      <w:pPr>
        <w:pStyle w:val="34"/>
        <w:spacing w:beforeAutospacing="0" w:afterAutospacing="0" w:line="0" w:lineRule="atLeast"/>
        <w:jc w:val="both"/>
        <w:rPr>
          <w:highlight w:val="none"/>
        </w:rPr>
      </w:pPr>
    </w:p>
    <w:p w14:paraId="600B404A">
      <w:pPr>
        <w:pStyle w:val="34"/>
        <w:spacing w:beforeAutospacing="0" w:afterAutospacing="0" w:line="0" w:lineRule="atLeast"/>
        <w:jc w:val="both"/>
        <w:rPr>
          <w:highlight w:val="none"/>
        </w:rPr>
      </w:pPr>
    </w:p>
    <w:p w14:paraId="3699B032">
      <w:pPr>
        <w:pStyle w:val="34"/>
        <w:spacing w:beforeAutospacing="0" w:afterAutospacing="0" w:line="0" w:lineRule="atLeast"/>
        <w:jc w:val="both"/>
        <w:rPr>
          <w:highlight w:val="none"/>
        </w:rPr>
      </w:pPr>
    </w:p>
    <w:p w14:paraId="56786DC0">
      <w:pPr>
        <w:pStyle w:val="34"/>
        <w:spacing w:beforeAutospacing="0" w:afterAutospacing="0" w:line="0" w:lineRule="atLeast"/>
        <w:jc w:val="both"/>
        <w:rPr>
          <w:highlight w:val="none"/>
        </w:rPr>
      </w:pPr>
    </w:p>
    <w:p w14:paraId="1173AB8F">
      <w:pPr>
        <w:pStyle w:val="34"/>
        <w:spacing w:beforeAutospacing="0" w:afterAutospacing="0" w:line="0" w:lineRule="atLeast"/>
        <w:jc w:val="both"/>
        <w:rPr>
          <w:highlight w:val="none"/>
        </w:rPr>
      </w:pPr>
    </w:p>
    <w:p w14:paraId="571FBC37">
      <w:pPr>
        <w:pStyle w:val="34"/>
        <w:spacing w:beforeAutospacing="0" w:afterAutospacing="0" w:line="0" w:lineRule="atLeast"/>
        <w:jc w:val="both"/>
        <w:rPr>
          <w:highlight w:val="none"/>
        </w:rPr>
      </w:pPr>
    </w:p>
    <w:p w14:paraId="0B397DD2">
      <w:pPr>
        <w:pStyle w:val="34"/>
        <w:spacing w:beforeAutospacing="0" w:afterAutospacing="0" w:line="0" w:lineRule="atLeast"/>
        <w:jc w:val="both"/>
        <w:rPr>
          <w:highlight w:val="none"/>
        </w:rPr>
      </w:pPr>
    </w:p>
    <w:p w14:paraId="3049B39B">
      <w:pPr>
        <w:pStyle w:val="34"/>
        <w:spacing w:beforeAutospacing="0" w:afterAutospacing="0" w:line="0" w:lineRule="atLeast"/>
        <w:jc w:val="both"/>
        <w:rPr>
          <w:highlight w:val="none"/>
        </w:rPr>
      </w:pPr>
    </w:p>
    <w:p w14:paraId="0BA14C9D">
      <w:pPr>
        <w:pStyle w:val="34"/>
        <w:spacing w:beforeAutospacing="0" w:afterAutospacing="0" w:line="0" w:lineRule="atLeast"/>
        <w:jc w:val="both"/>
        <w:rPr>
          <w:highlight w:val="none"/>
        </w:rPr>
      </w:pPr>
    </w:p>
    <w:p w14:paraId="4847D211">
      <w:pPr>
        <w:pStyle w:val="34"/>
        <w:spacing w:beforeAutospacing="0" w:afterAutospacing="0" w:line="0" w:lineRule="atLeast"/>
        <w:jc w:val="both"/>
        <w:rPr>
          <w:highlight w:val="none"/>
        </w:rPr>
      </w:pPr>
    </w:p>
    <w:p w14:paraId="3CB04E33">
      <w:pPr>
        <w:pStyle w:val="34"/>
        <w:spacing w:beforeAutospacing="0" w:afterAutospacing="0" w:line="0" w:lineRule="atLeast"/>
        <w:jc w:val="both"/>
        <w:rPr>
          <w:highlight w:val="none"/>
        </w:rPr>
      </w:pPr>
    </w:p>
    <w:p w14:paraId="178DE42D">
      <w:pPr>
        <w:pStyle w:val="34"/>
        <w:spacing w:beforeAutospacing="0" w:afterAutospacing="0" w:line="0" w:lineRule="atLeast"/>
        <w:jc w:val="both"/>
        <w:rPr>
          <w:highlight w:val="none"/>
        </w:rPr>
      </w:pPr>
    </w:p>
    <w:p w14:paraId="55F123CA">
      <w:pPr>
        <w:pStyle w:val="34"/>
        <w:spacing w:beforeAutospacing="0" w:afterAutospacing="0" w:line="0" w:lineRule="atLeast"/>
        <w:jc w:val="both"/>
        <w:rPr>
          <w:highlight w:val="none"/>
        </w:rPr>
      </w:pPr>
    </w:p>
    <w:p w14:paraId="313DC7DC">
      <w:pPr>
        <w:pStyle w:val="34"/>
        <w:spacing w:beforeAutospacing="0" w:afterAutospacing="0" w:line="0" w:lineRule="atLeast"/>
        <w:jc w:val="both"/>
        <w:rPr>
          <w:highlight w:val="none"/>
        </w:rPr>
      </w:pPr>
    </w:p>
    <w:p w14:paraId="7B8DF057">
      <w:pPr>
        <w:pStyle w:val="34"/>
        <w:spacing w:beforeAutospacing="0" w:afterAutospacing="0" w:line="0" w:lineRule="atLeast"/>
        <w:jc w:val="both"/>
        <w:rPr>
          <w:highlight w:val="none"/>
        </w:rPr>
      </w:pPr>
      <w:r>
        <w:rPr>
          <w:highlight w:val="none"/>
        </w:rPr>
        <w:t> </w:t>
      </w:r>
    </w:p>
    <w:p w14:paraId="5BCED16E">
      <w:pPr>
        <w:pStyle w:val="34"/>
        <w:spacing w:beforeAutospacing="0" w:afterAutospacing="0"/>
        <w:jc w:val="both"/>
        <w:rPr>
          <w:highlight w:val="none"/>
        </w:rPr>
      </w:pPr>
      <w:r>
        <w:rPr>
          <w:highlight w:val="none"/>
        </w:rPr>
        <w:t> </w:t>
      </w:r>
    </w:p>
    <w:p w14:paraId="234CF51F">
      <w:pPr>
        <w:pStyle w:val="34"/>
        <w:spacing w:beforeAutospacing="0" w:afterAutospacing="0" w:line="0" w:lineRule="atLeast"/>
        <w:jc w:val="center"/>
        <w:rPr>
          <w:rFonts w:hint="eastAsia" w:ascii="宋体" w:hAnsi="宋体" w:eastAsia="宋体" w:cs="宋体"/>
          <w:color w:val="000000"/>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三</w:t>
      </w:r>
      <w:r>
        <w:rPr>
          <w:rFonts w:hint="eastAsia" w:ascii="黑体" w:hAnsi="宋体" w:eastAsia="黑体" w:cs="黑体"/>
          <w:b/>
          <w:color w:val="000000"/>
          <w:sz w:val="32"/>
          <w:szCs w:val="32"/>
          <w:highlight w:val="none"/>
        </w:rPr>
        <w:t>、投标</w:t>
      </w:r>
      <w:r>
        <w:rPr>
          <w:rFonts w:hint="eastAsia" w:ascii="黑体" w:hAnsi="宋体" w:eastAsia="黑体" w:cs="黑体"/>
          <w:b/>
          <w:color w:val="000000"/>
          <w:sz w:val="32"/>
          <w:szCs w:val="32"/>
          <w:highlight w:val="none"/>
          <w:lang w:val="en-US" w:eastAsia="zh-CN"/>
        </w:rPr>
        <w:t>分项</w:t>
      </w:r>
      <w:r>
        <w:rPr>
          <w:rFonts w:hint="eastAsia" w:ascii="黑体" w:hAnsi="宋体" w:eastAsia="黑体" w:cs="黑体"/>
          <w:b/>
          <w:color w:val="000000"/>
          <w:sz w:val="32"/>
          <w:szCs w:val="32"/>
          <w:highlight w:val="none"/>
        </w:rPr>
        <w:t>报价表</w:t>
      </w:r>
    </w:p>
    <w:tbl>
      <w:tblPr>
        <w:tblStyle w:val="36"/>
        <w:tblW w:w="5265"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837"/>
        <w:gridCol w:w="953"/>
        <w:gridCol w:w="1371"/>
        <w:gridCol w:w="786"/>
        <w:gridCol w:w="968"/>
        <w:gridCol w:w="736"/>
        <w:gridCol w:w="1329"/>
        <w:gridCol w:w="1225"/>
      </w:tblGrid>
      <w:tr w14:paraId="520A1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blCellSpacing w:w="0" w:type="dxa"/>
        </w:trPr>
        <w:tc>
          <w:tcPr>
            <w:tcW w:w="439" w:type="pct"/>
            <w:noWrap w:val="0"/>
            <w:vAlign w:val="center"/>
          </w:tcPr>
          <w:p w14:paraId="66C59078">
            <w:pPr>
              <w:pStyle w:val="34"/>
              <w:spacing w:beforeAutospacing="0" w:afterAutospacing="0" w:line="240" w:lineRule="auto"/>
              <w:ind w:firstLine="0"/>
              <w:jc w:val="center"/>
              <w:rPr>
                <w:b/>
                <w:bCs/>
              </w:rPr>
            </w:pPr>
            <w:r>
              <w:rPr>
                <w:rFonts w:hint="eastAsia" w:ascii="宋体" w:hAnsi="宋体" w:eastAsia="宋体" w:cs="宋体"/>
                <w:b/>
                <w:bCs/>
                <w:color w:val="000000"/>
              </w:rPr>
              <w:t>序号</w:t>
            </w:r>
          </w:p>
        </w:tc>
        <w:tc>
          <w:tcPr>
            <w:tcW w:w="837" w:type="dxa"/>
            <w:noWrap w:val="0"/>
            <w:vAlign w:val="center"/>
          </w:tcPr>
          <w:p w14:paraId="1F9E202D">
            <w:pPr>
              <w:pStyle w:val="34"/>
              <w:spacing w:beforeAutospacing="0" w:afterAutospacing="0" w:line="240" w:lineRule="auto"/>
              <w:ind w:firstLine="0"/>
              <w:jc w:val="center"/>
              <w:rPr>
                <w:b/>
                <w:bCs/>
              </w:rPr>
            </w:pPr>
            <w:r>
              <w:rPr>
                <w:rFonts w:hint="eastAsia" w:ascii="宋体" w:hAnsi="宋体" w:eastAsia="宋体" w:cs="宋体"/>
                <w:b/>
                <w:bCs/>
                <w:color w:val="000000"/>
              </w:rPr>
              <w:t>产品</w:t>
            </w:r>
          </w:p>
          <w:p w14:paraId="71EB9331">
            <w:pPr>
              <w:pStyle w:val="34"/>
              <w:spacing w:beforeAutospacing="0" w:afterAutospacing="0" w:line="240" w:lineRule="auto"/>
              <w:ind w:firstLine="0" w:firstLineChars="0"/>
              <w:jc w:val="center"/>
              <w:rPr>
                <w:b/>
                <w:bCs/>
              </w:rPr>
            </w:pPr>
            <w:r>
              <w:rPr>
                <w:rFonts w:hint="eastAsia" w:ascii="宋体" w:hAnsi="宋体" w:eastAsia="宋体" w:cs="宋体"/>
                <w:b/>
                <w:bCs/>
                <w:color w:val="000000"/>
              </w:rPr>
              <w:t>名称</w:t>
            </w:r>
          </w:p>
        </w:tc>
        <w:tc>
          <w:tcPr>
            <w:tcW w:w="953" w:type="dxa"/>
            <w:noWrap w:val="0"/>
            <w:vAlign w:val="center"/>
          </w:tcPr>
          <w:p w14:paraId="1C5A9153">
            <w:pPr>
              <w:pStyle w:val="34"/>
              <w:spacing w:beforeAutospacing="0" w:afterAutospacing="0" w:line="240" w:lineRule="auto"/>
              <w:ind w:firstLine="0" w:firstLineChars="0"/>
              <w:jc w:val="center"/>
              <w:rPr>
                <w:b/>
                <w:bCs/>
              </w:rPr>
            </w:pPr>
            <w:r>
              <w:rPr>
                <w:rFonts w:hint="eastAsia" w:ascii="宋体" w:hAnsi="宋体" w:eastAsia="宋体" w:cs="宋体"/>
                <w:b/>
                <w:bCs/>
                <w:color w:val="000000"/>
              </w:rPr>
              <w:t>品牌</w:t>
            </w:r>
          </w:p>
        </w:tc>
        <w:tc>
          <w:tcPr>
            <w:tcW w:w="1371" w:type="dxa"/>
            <w:noWrap w:val="0"/>
            <w:vAlign w:val="center"/>
          </w:tcPr>
          <w:p w14:paraId="226D8547">
            <w:pPr>
              <w:pStyle w:val="34"/>
              <w:spacing w:beforeAutospacing="0" w:afterAutospacing="0" w:line="240" w:lineRule="auto"/>
              <w:ind w:firstLine="0" w:firstLineChars="0"/>
              <w:jc w:val="center"/>
              <w:rPr>
                <w:b/>
                <w:bCs/>
              </w:rPr>
            </w:pPr>
            <w:r>
              <w:rPr>
                <w:rFonts w:hint="eastAsia" w:ascii="宋体" w:hAnsi="宋体" w:eastAsia="宋体" w:cs="宋体"/>
                <w:b/>
                <w:bCs/>
                <w:color w:val="000000"/>
              </w:rPr>
              <w:t>规格型号</w:t>
            </w:r>
          </w:p>
        </w:tc>
        <w:tc>
          <w:tcPr>
            <w:tcW w:w="786" w:type="dxa"/>
            <w:noWrap w:val="0"/>
            <w:vAlign w:val="center"/>
          </w:tcPr>
          <w:p w14:paraId="164BFE15">
            <w:pPr>
              <w:pStyle w:val="34"/>
              <w:spacing w:beforeAutospacing="0" w:afterAutospacing="0" w:line="240" w:lineRule="auto"/>
              <w:ind w:firstLine="0" w:firstLineChars="0"/>
              <w:jc w:val="center"/>
              <w:rPr>
                <w:b/>
                <w:bCs/>
              </w:rPr>
            </w:pPr>
            <w:r>
              <w:rPr>
                <w:rFonts w:hint="eastAsia" w:ascii="宋体" w:hAnsi="宋体" w:eastAsia="宋体" w:cs="宋体"/>
                <w:b/>
                <w:bCs/>
                <w:color w:val="000000"/>
              </w:rPr>
              <w:t>产地</w:t>
            </w:r>
          </w:p>
        </w:tc>
        <w:tc>
          <w:tcPr>
            <w:tcW w:w="968" w:type="dxa"/>
            <w:noWrap w:val="0"/>
            <w:vAlign w:val="center"/>
          </w:tcPr>
          <w:p w14:paraId="110C9F3F">
            <w:pPr>
              <w:pStyle w:val="34"/>
              <w:spacing w:beforeAutospacing="0" w:afterAutospacing="0" w:line="240" w:lineRule="auto"/>
              <w:ind w:firstLine="0" w:firstLineChars="0"/>
              <w:jc w:val="center"/>
              <w:rPr>
                <w:b/>
                <w:bCs/>
              </w:rPr>
            </w:pPr>
            <w:r>
              <w:rPr>
                <w:rFonts w:hint="eastAsia" w:ascii="宋体" w:hAnsi="宋体" w:eastAsia="宋体" w:cs="宋体"/>
                <w:b/>
                <w:bCs/>
                <w:color w:val="000000"/>
              </w:rPr>
              <w:t>单位</w:t>
            </w:r>
          </w:p>
        </w:tc>
        <w:tc>
          <w:tcPr>
            <w:tcW w:w="736" w:type="dxa"/>
            <w:noWrap w:val="0"/>
            <w:vAlign w:val="center"/>
          </w:tcPr>
          <w:p w14:paraId="3E309036">
            <w:pPr>
              <w:pStyle w:val="34"/>
              <w:spacing w:beforeAutospacing="0" w:afterAutospacing="0" w:line="240" w:lineRule="auto"/>
              <w:ind w:firstLine="0" w:firstLineChars="0"/>
              <w:jc w:val="center"/>
              <w:rPr>
                <w:b/>
                <w:bCs/>
              </w:rPr>
            </w:pPr>
            <w:r>
              <w:rPr>
                <w:rFonts w:hint="eastAsia" w:ascii="宋体" w:hAnsi="宋体" w:eastAsia="宋体" w:cs="宋体"/>
                <w:b/>
                <w:bCs/>
                <w:color w:val="000000"/>
              </w:rPr>
              <w:t>数量</w:t>
            </w:r>
          </w:p>
        </w:tc>
        <w:tc>
          <w:tcPr>
            <w:tcW w:w="1329" w:type="dxa"/>
            <w:noWrap w:val="0"/>
            <w:vAlign w:val="center"/>
          </w:tcPr>
          <w:p w14:paraId="07F19F62">
            <w:pPr>
              <w:pStyle w:val="34"/>
              <w:spacing w:beforeAutospacing="0" w:afterAutospacing="0" w:line="240" w:lineRule="auto"/>
              <w:ind w:firstLine="0" w:firstLineChars="0"/>
              <w:jc w:val="center"/>
              <w:rPr>
                <w:b/>
                <w:bCs/>
              </w:rPr>
            </w:pPr>
            <w:r>
              <w:rPr>
                <w:rFonts w:hint="eastAsia" w:ascii="宋体" w:hAnsi="宋体" w:eastAsia="宋体" w:cs="宋体"/>
                <w:b/>
                <w:bCs/>
                <w:color w:val="000000"/>
              </w:rPr>
              <w:t>分项单价</w:t>
            </w:r>
          </w:p>
        </w:tc>
        <w:tc>
          <w:tcPr>
            <w:tcW w:w="1225" w:type="dxa"/>
            <w:noWrap w:val="0"/>
            <w:vAlign w:val="center"/>
          </w:tcPr>
          <w:p w14:paraId="4974A371">
            <w:pPr>
              <w:pStyle w:val="34"/>
              <w:spacing w:beforeAutospacing="0" w:afterAutospacing="0" w:line="240" w:lineRule="auto"/>
              <w:ind w:firstLine="0" w:firstLineChars="0"/>
              <w:jc w:val="center"/>
              <w:rPr>
                <w:b/>
                <w:bCs/>
              </w:rPr>
            </w:pPr>
            <w:r>
              <w:rPr>
                <w:rFonts w:hint="eastAsia" w:ascii="宋体" w:hAnsi="宋体" w:eastAsia="宋体" w:cs="宋体"/>
                <w:b/>
                <w:bCs/>
                <w:color w:val="000000"/>
              </w:rPr>
              <w:t>分项总价</w:t>
            </w:r>
          </w:p>
        </w:tc>
      </w:tr>
      <w:tr w14:paraId="2AA2B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blCellSpacing w:w="0" w:type="dxa"/>
        </w:trPr>
        <w:tc>
          <w:tcPr>
            <w:tcW w:w="439" w:type="pct"/>
            <w:noWrap w:val="0"/>
            <w:vAlign w:val="center"/>
          </w:tcPr>
          <w:p w14:paraId="1D901007">
            <w:pPr>
              <w:pStyle w:val="34"/>
              <w:spacing w:beforeAutospacing="0" w:afterAutospacing="0" w:line="240" w:lineRule="auto"/>
              <w:ind w:firstLine="0"/>
              <w:jc w:val="center"/>
              <w:rPr>
                <w:b/>
                <w:bCs/>
              </w:rPr>
            </w:pPr>
            <w:r>
              <w:rPr>
                <w:rFonts w:hint="eastAsia" w:ascii="宋体" w:hAnsi="宋体" w:eastAsia="宋体" w:cs="宋体"/>
                <w:b/>
                <w:bCs/>
                <w:color w:val="000000"/>
              </w:rPr>
              <w:t>1</w:t>
            </w:r>
          </w:p>
        </w:tc>
        <w:tc>
          <w:tcPr>
            <w:tcW w:w="465" w:type="pct"/>
            <w:noWrap w:val="0"/>
            <w:vAlign w:val="center"/>
          </w:tcPr>
          <w:p w14:paraId="74D5C2BE">
            <w:pPr>
              <w:pStyle w:val="34"/>
              <w:spacing w:beforeAutospacing="0" w:afterAutospacing="0" w:line="240" w:lineRule="auto"/>
              <w:ind w:firstLine="0"/>
              <w:jc w:val="center"/>
              <w:rPr>
                <w:b/>
                <w:bCs/>
              </w:rPr>
            </w:pPr>
          </w:p>
        </w:tc>
        <w:tc>
          <w:tcPr>
            <w:tcW w:w="530" w:type="pct"/>
            <w:noWrap w:val="0"/>
            <w:vAlign w:val="center"/>
          </w:tcPr>
          <w:p w14:paraId="257ACFA6">
            <w:pPr>
              <w:pStyle w:val="34"/>
              <w:spacing w:beforeAutospacing="0" w:afterAutospacing="0" w:line="240" w:lineRule="auto"/>
              <w:ind w:firstLine="0"/>
              <w:jc w:val="center"/>
              <w:rPr>
                <w:b/>
                <w:bCs/>
              </w:rPr>
            </w:pPr>
          </w:p>
        </w:tc>
        <w:tc>
          <w:tcPr>
            <w:tcW w:w="762" w:type="pct"/>
            <w:noWrap w:val="0"/>
            <w:vAlign w:val="center"/>
          </w:tcPr>
          <w:p w14:paraId="78B57011">
            <w:pPr>
              <w:pStyle w:val="34"/>
              <w:spacing w:beforeAutospacing="0" w:afterAutospacing="0" w:line="240" w:lineRule="auto"/>
              <w:ind w:firstLine="0"/>
              <w:jc w:val="center"/>
              <w:rPr>
                <w:b/>
                <w:bCs/>
              </w:rPr>
            </w:pPr>
          </w:p>
        </w:tc>
        <w:tc>
          <w:tcPr>
            <w:tcW w:w="437" w:type="pct"/>
            <w:noWrap w:val="0"/>
            <w:vAlign w:val="center"/>
          </w:tcPr>
          <w:p w14:paraId="6FF72341">
            <w:pPr>
              <w:pStyle w:val="34"/>
              <w:spacing w:beforeAutospacing="0" w:afterAutospacing="0" w:line="240" w:lineRule="auto"/>
              <w:ind w:firstLine="0"/>
              <w:jc w:val="center"/>
              <w:rPr>
                <w:b/>
                <w:bCs/>
              </w:rPr>
            </w:pPr>
          </w:p>
        </w:tc>
        <w:tc>
          <w:tcPr>
            <w:tcW w:w="538" w:type="pct"/>
            <w:noWrap w:val="0"/>
            <w:vAlign w:val="center"/>
          </w:tcPr>
          <w:p w14:paraId="0461D180">
            <w:pPr>
              <w:pStyle w:val="34"/>
              <w:spacing w:beforeAutospacing="0" w:afterAutospacing="0" w:line="240" w:lineRule="auto"/>
              <w:ind w:firstLine="0"/>
              <w:jc w:val="center"/>
              <w:rPr>
                <w:b/>
                <w:bCs/>
              </w:rPr>
            </w:pPr>
          </w:p>
        </w:tc>
        <w:tc>
          <w:tcPr>
            <w:tcW w:w="409" w:type="pct"/>
            <w:noWrap w:val="0"/>
            <w:vAlign w:val="center"/>
          </w:tcPr>
          <w:p w14:paraId="098853FE">
            <w:pPr>
              <w:pStyle w:val="34"/>
              <w:spacing w:beforeAutospacing="0" w:afterAutospacing="0" w:line="240" w:lineRule="auto"/>
              <w:ind w:firstLine="0"/>
              <w:jc w:val="center"/>
              <w:rPr>
                <w:b/>
                <w:bCs/>
              </w:rPr>
            </w:pPr>
          </w:p>
        </w:tc>
        <w:tc>
          <w:tcPr>
            <w:tcW w:w="739" w:type="pct"/>
            <w:noWrap w:val="0"/>
            <w:vAlign w:val="center"/>
          </w:tcPr>
          <w:p w14:paraId="52294114">
            <w:pPr>
              <w:pStyle w:val="34"/>
              <w:spacing w:beforeAutospacing="0" w:afterAutospacing="0" w:line="240" w:lineRule="auto"/>
              <w:ind w:firstLine="0"/>
              <w:jc w:val="center"/>
              <w:rPr>
                <w:b/>
                <w:bCs/>
              </w:rPr>
            </w:pPr>
          </w:p>
        </w:tc>
        <w:tc>
          <w:tcPr>
            <w:tcW w:w="678" w:type="pct"/>
            <w:noWrap w:val="0"/>
            <w:vAlign w:val="center"/>
          </w:tcPr>
          <w:p w14:paraId="201AEDB1">
            <w:pPr>
              <w:pStyle w:val="34"/>
              <w:spacing w:beforeAutospacing="0" w:afterAutospacing="0" w:line="240" w:lineRule="auto"/>
              <w:ind w:firstLine="0"/>
              <w:jc w:val="center"/>
              <w:rPr>
                <w:b/>
                <w:bCs/>
              </w:rPr>
            </w:pPr>
          </w:p>
        </w:tc>
      </w:tr>
      <w:tr w14:paraId="7FAAA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blCellSpacing w:w="0" w:type="dxa"/>
        </w:trPr>
        <w:tc>
          <w:tcPr>
            <w:tcW w:w="439" w:type="pct"/>
            <w:noWrap w:val="0"/>
            <w:vAlign w:val="center"/>
          </w:tcPr>
          <w:p w14:paraId="7BAE037A">
            <w:pPr>
              <w:pStyle w:val="34"/>
              <w:spacing w:beforeAutospacing="0" w:afterAutospacing="0" w:line="240" w:lineRule="auto"/>
              <w:ind w:firstLine="0"/>
              <w:jc w:val="center"/>
            </w:pPr>
            <w:r>
              <w:rPr>
                <w:rFonts w:hint="eastAsia" w:ascii="宋体" w:hAnsi="宋体" w:eastAsia="宋体" w:cs="宋体"/>
                <w:color w:val="000000"/>
              </w:rPr>
              <w:t>2</w:t>
            </w:r>
          </w:p>
        </w:tc>
        <w:tc>
          <w:tcPr>
            <w:tcW w:w="465" w:type="pct"/>
            <w:noWrap w:val="0"/>
            <w:vAlign w:val="center"/>
          </w:tcPr>
          <w:p w14:paraId="7A2FEDA4">
            <w:pPr>
              <w:pStyle w:val="34"/>
              <w:spacing w:beforeAutospacing="0" w:afterAutospacing="0" w:line="240" w:lineRule="auto"/>
              <w:ind w:firstLine="0"/>
              <w:jc w:val="both"/>
            </w:pPr>
            <w:r>
              <w:t> </w:t>
            </w:r>
          </w:p>
        </w:tc>
        <w:tc>
          <w:tcPr>
            <w:tcW w:w="530" w:type="pct"/>
            <w:noWrap w:val="0"/>
            <w:vAlign w:val="center"/>
          </w:tcPr>
          <w:p w14:paraId="264415F1">
            <w:pPr>
              <w:pStyle w:val="34"/>
              <w:spacing w:beforeAutospacing="0" w:afterAutospacing="0" w:line="240" w:lineRule="auto"/>
              <w:ind w:firstLine="0"/>
              <w:jc w:val="both"/>
            </w:pPr>
            <w:r>
              <w:t> </w:t>
            </w:r>
          </w:p>
        </w:tc>
        <w:tc>
          <w:tcPr>
            <w:tcW w:w="762" w:type="pct"/>
            <w:noWrap w:val="0"/>
            <w:vAlign w:val="center"/>
          </w:tcPr>
          <w:p w14:paraId="6490103F">
            <w:pPr>
              <w:pStyle w:val="34"/>
              <w:spacing w:beforeAutospacing="0" w:afterAutospacing="0" w:line="240" w:lineRule="auto"/>
              <w:ind w:firstLine="0"/>
              <w:jc w:val="both"/>
            </w:pPr>
            <w:r>
              <w:t> </w:t>
            </w:r>
          </w:p>
        </w:tc>
        <w:tc>
          <w:tcPr>
            <w:tcW w:w="437" w:type="pct"/>
            <w:noWrap w:val="0"/>
            <w:vAlign w:val="center"/>
          </w:tcPr>
          <w:p w14:paraId="65F56786">
            <w:pPr>
              <w:pStyle w:val="34"/>
              <w:spacing w:beforeAutospacing="0" w:afterAutospacing="0" w:line="240" w:lineRule="auto"/>
              <w:ind w:firstLine="0"/>
              <w:jc w:val="both"/>
            </w:pPr>
            <w:r>
              <w:t> </w:t>
            </w:r>
          </w:p>
        </w:tc>
        <w:tc>
          <w:tcPr>
            <w:tcW w:w="538" w:type="pct"/>
            <w:noWrap w:val="0"/>
            <w:vAlign w:val="center"/>
          </w:tcPr>
          <w:p w14:paraId="00F67822">
            <w:pPr>
              <w:pStyle w:val="34"/>
              <w:spacing w:beforeAutospacing="0" w:afterAutospacing="0" w:line="240" w:lineRule="auto"/>
              <w:ind w:firstLine="0"/>
              <w:jc w:val="both"/>
            </w:pPr>
            <w:r>
              <w:t> </w:t>
            </w:r>
          </w:p>
        </w:tc>
        <w:tc>
          <w:tcPr>
            <w:tcW w:w="409" w:type="pct"/>
            <w:noWrap w:val="0"/>
            <w:vAlign w:val="center"/>
          </w:tcPr>
          <w:p w14:paraId="7F423580">
            <w:pPr>
              <w:pStyle w:val="34"/>
              <w:spacing w:beforeAutospacing="0" w:afterAutospacing="0" w:line="240" w:lineRule="auto"/>
              <w:ind w:firstLine="0"/>
              <w:jc w:val="both"/>
            </w:pPr>
            <w:r>
              <w:t> </w:t>
            </w:r>
          </w:p>
        </w:tc>
        <w:tc>
          <w:tcPr>
            <w:tcW w:w="739" w:type="pct"/>
            <w:noWrap w:val="0"/>
            <w:vAlign w:val="center"/>
          </w:tcPr>
          <w:p w14:paraId="3358AB1E">
            <w:pPr>
              <w:pStyle w:val="34"/>
              <w:spacing w:beforeAutospacing="0" w:afterAutospacing="0" w:line="240" w:lineRule="auto"/>
              <w:ind w:firstLine="0"/>
              <w:jc w:val="both"/>
            </w:pPr>
            <w:r>
              <w:t> </w:t>
            </w:r>
          </w:p>
        </w:tc>
        <w:tc>
          <w:tcPr>
            <w:tcW w:w="678" w:type="pct"/>
            <w:noWrap w:val="0"/>
            <w:vAlign w:val="center"/>
          </w:tcPr>
          <w:p w14:paraId="6D306BD9">
            <w:pPr>
              <w:pStyle w:val="34"/>
              <w:spacing w:beforeAutospacing="0" w:afterAutospacing="0" w:line="240" w:lineRule="auto"/>
              <w:ind w:firstLine="0"/>
              <w:jc w:val="both"/>
            </w:pPr>
            <w:r>
              <w:t> </w:t>
            </w:r>
          </w:p>
        </w:tc>
      </w:tr>
      <w:tr w14:paraId="51292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blCellSpacing w:w="0" w:type="dxa"/>
        </w:trPr>
        <w:tc>
          <w:tcPr>
            <w:tcW w:w="439" w:type="pct"/>
            <w:noWrap w:val="0"/>
            <w:vAlign w:val="center"/>
          </w:tcPr>
          <w:p w14:paraId="4FEBD809">
            <w:pPr>
              <w:pStyle w:val="34"/>
              <w:spacing w:beforeAutospacing="0" w:afterAutospacing="0" w:line="240" w:lineRule="auto"/>
              <w:ind w:firstLine="0"/>
              <w:jc w:val="center"/>
            </w:pPr>
            <w:r>
              <w:rPr>
                <w:rFonts w:hint="eastAsia" w:ascii="宋体" w:hAnsi="宋体" w:eastAsia="宋体" w:cs="宋体"/>
                <w:color w:val="000000"/>
              </w:rPr>
              <w:t>3</w:t>
            </w:r>
          </w:p>
        </w:tc>
        <w:tc>
          <w:tcPr>
            <w:tcW w:w="465" w:type="pct"/>
            <w:noWrap w:val="0"/>
            <w:vAlign w:val="center"/>
          </w:tcPr>
          <w:p w14:paraId="2E02DAE1">
            <w:pPr>
              <w:pStyle w:val="34"/>
              <w:spacing w:beforeAutospacing="0" w:afterAutospacing="0" w:line="240" w:lineRule="auto"/>
              <w:ind w:firstLine="0"/>
              <w:jc w:val="both"/>
            </w:pPr>
            <w:r>
              <w:t> </w:t>
            </w:r>
          </w:p>
        </w:tc>
        <w:tc>
          <w:tcPr>
            <w:tcW w:w="530" w:type="pct"/>
            <w:noWrap w:val="0"/>
            <w:vAlign w:val="center"/>
          </w:tcPr>
          <w:p w14:paraId="27886EBE">
            <w:pPr>
              <w:pStyle w:val="34"/>
              <w:spacing w:beforeAutospacing="0" w:afterAutospacing="0" w:line="240" w:lineRule="auto"/>
              <w:ind w:firstLine="0"/>
              <w:jc w:val="both"/>
            </w:pPr>
            <w:r>
              <w:t> </w:t>
            </w:r>
          </w:p>
        </w:tc>
        <w:tc>
          <w:tcPr>
            <w:tcW w:w="762" w:type="pct"/>
            <w:noWrap w:val="0"/>
            <w:vAlign w:val="center"/>
          </w:tcPr>
          <w:p w14:paraId="5E9E3FF4">
            <w:pPr>
              <w:pStyle w:val="34"/>
              <w:spacing w:beforeAutospacing="0" w:afterAutospacing="0" w:line="240" w:lineRule="auto"/>
              <w:ind w:firstLine="0"/>
              <w:jc w:val="both"/>
            </w:pPr>
            <w:r>
              <w:t> </w:t>
            </w:r>
          </w:p>
        </w:tc>
        <w:tc>
          <w:tcPr>
            <w:tcW w:w="437" w:type="pct"/>
            <w:noWrap w:val="0"/>
            <w:vAlign w:val="center"/>
          </w:tcPr>
          <w:p w14:paraId="6356068D">
            <w:pPr>
              <w:pStyle w:val="34"/>
              <w:spacing w:beforeAutospacing="0" w:afterAutospacing="0" w:line="240" w:lineRule="auto"/>
              <w:ind w:firstLine="0"/>
              <w:jc w:val="both"/>
            </w:pPr>
            <w:r>
              <w:t> </w:t>
            </w:r>
          </w:p>
        </w:tc>
        <w:tc>
          <w:tcPr>
            <w:tcW w:w="538" w:type="pct"/>
            <w:noWrap w:val="0"/>
            <w:vAlign w:val="center"/>
          </w:tcPr>
          <w:p w14:paraId="34881E27">
            <w:pPr>
              <w:pStyle w:val="34"/>
              <w:spacing w:beforeAutospacing="0" w:afterAutospacing="0" w:line="240" w:lineRule="auto"/>
              <w:ind w:firstLine="0"/>
              <w:jc w:val="both"/>
            </w:pPr>
            <w:r>
              <w:t> </w:t>
            </w:r>
          </w:p>
        </w:tc>
        <w:tc>
          <w:tcPr>
            <w:tcW w:w="409" w:type="pct"/>
            <w:noWrap w:val="0"/>
            <w:vAlign w:val="center"/>
          </w:tcPr>
          <w:p w14:paraId="3D7388AA">
            <w:pPr>
              <w:pStyle w:val="34"/>
              <w:spacing w:beforeAutospacing="0" w:afterAutospacing="0" w:line="240" w:lineRule="auto"/>
              <w:ind w:firstLine="0"/>
              <w:jc w:val="both"/>
            </w:pPr>
            <w:r>
              <w:t> </w:t>
            </w:r>
          </w:p>
        </w:tc>
        <w:tc>
          <w:tcPr>
            <w:tcW w:w="739" w:type="pct"/>
            <w:noWrap w:val="0"/>
            <w:vAlign w:val="center"/>
          </w:tcPr>
          <w:p w14:paraId="2BFA5D35">
            <w:pPr>
              <w:pStyle w:val="34"/>
              <w:spacing w:beforeAutospacing="0" w:afterAutospacing="0" w:line="240" w:lineRule="auto"/>
              <w:ind w:firstLine="0"/>
              <w:jc w:val="both"/>
            </w:pPr>
            <w:r>
              <w:t> </w:t>
            </w:r>
          </w:p>
        </w:tc>
        <w:tc>
          <w:tcPr>
            <w:tcW w:w="678" w:type="pct"/>
            <w:noWrap w:val="0"/>
            <w:vAlign w:val="center"/>
          </w:tcPr>
          <w:p w14:paraId="6BD203CE">
            <w:pPr>
              <w:pStyle w:val="34"/>
              <w:spacing w:beforeAutospacing="0" w:afterAutospacing="0" w:line="240" w:lineRule="auto"/>
              <w:ind w:firstLine="0"/>
              <w:jc w:val="both"/>
            </w:pPr>
            <w:r>
              <w:t> </w:t>
            </w:r>
          </w:p>
        </w:tc>
      </w:tr>
      <w:tr w14:paraId="6B254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blCellSpacing w:w="0" w:type="dxa"/>
        </w:trPr>
        <w:tc>
          <w:tcPr>
            <w:tcW w:w="439" w:type="pct"/>
            <w:noWrap w:val="0"/>
            <w:vAlign w:val="center"/>
          </w:tcPr>
          <w:p w14:paraId="6000800A">
            <w:pPr>
              <w:pStyle w:val="34"/>
              <w:spacing w:beforeAutospacing="0" w:afterAutospacing="0" w:line="240" w:lineRule="auto"/>
              <w:ind w:firstLine="0"/>
              <w:jc w:val="center"/>
            </w:pPr>
            <w:r>
              <w:rPr>
                <w:rFonts w:hint="eastAsia" w:ascii="宋体" w:hAnsi="宋体" w:eastAsia="宋体" w:cs="宋体"/>
                <w:color w:val="000000"/>
              </w:rPr>
              <w:t>4</w:t>
            </w:r>
          </w:p>
        </w:tc>
        <w:tc>
          <w:tcPr>
            <w:tcW w:w="465" w:type="pct"/>
            <w:noWrap w:val="0"/>
            <w:vAlign w:val="center"/>
          </w:tcPr>
          <w:p w14:paraId="60CEB7AF">
            <w:pPr>
              <w:pStyle w:val="34"/>
              <w:spacing w:beforeAutospacing="0" w:afterAutospacing="0" w:line="240" w:lineRule="auto"/>
              <w:ind w:firstLine="0"/>
              <w:jc w:val="both"/>
            </w:pPr>
            <w:r>
              <w:t> </w:t>
            </w:r>
          </w:p>
        </w:tc>
        <w:tc>
          <w:tcPr>
            <w:tcW w:w="530" w:type="pct"/>
            <w:noWrap w:val="0"/>
            <w:vAlign w:val="center"/>
          </w:tcPr>
          <w:p w14:paraId="5C387165">
            <w:pPr>
              <w:pStyle w:val="34"/>
              <w:spacing w:beforeAutospacing="0" w:afterAutospacing="0" w:line="240" w:lineRule="auto"/>
              <w:ind w:firstLine="0"/>
              <w:jc w:val="both"/>
            </w:pPr>
            <w:r>
              <w:t> </w:t>
            </w:r>
          </w:p>
        </w:tc>
        <w:tc>
          <w:tcPr>
            <w:tcW w:w="762" w:type="pct"/>
            <w:noWrap w:val="0"/>
            <w:vAlign w:val="center"/>
          </w:tcPr>
          <w:p w14:paraId="39AB41B0">
            <w:pPr>
              <w:pStyle w:val="34"/>
              <w:spacing w:beforeAutospacing="0" w:afterAutospacing="0" w:line="240" w:lineRule="auto"/>
              <w:ind w:firstLine="0"/>
              <w:jc w:val="both"/>
            </w:pPr>
            <w:r>
              <w:t> </w:t>
            </w:r>
          </w:p>
        </w:tc>
        <w:tc>
          <w:tcPr>
            <w:tcW w:w="437" w:type="pct"/>
            <w:noWrap w:val="0"/>
            <w:vAlign w:val="center"/>
          </w:tcPr>
          <w:p w14:paraId="696DB614">
            <w:pPr>
              <w:pStyle w:val="34"/>
              <w:spacing w:beforeAutospacing="0" w:afterAutospacing="0" w:line="240" w:lineRule="auto"/>
              <w:ind w:firstLine="0"/>
              <w:jc w:val="both"/>
            </w:pPr>
            <w:r>
              <w:t> </w:t>
            </w:r>
          </w:p>
        </w:tc>
        <w:tc>
          <w:tcPr>
            <w:tcW w:w="538" w:type="pct"/>
            <w:noWrap w:val="0"/>
            <w:vAlign w:val="center"/>
          </w:tcPr>
          <w:p w14:paraId="2B701FCC">
            <w:pPr>
              <w:pStyle w:val="34"/>
              <w:spacing w:beforeAutospacing="0" w:afterAutospacing="0" w:line="240" w:lineRule="auto"/>
              <w:ind w:firstLine="0"/>
              <w:jc w:val="both"/>
            </w:pPr>
            <w:r>
              <w:t> </w:t>
            </w:r>
          </w:p>
        </w:tc>
        <w:tc>
          <w:tcPr>
            <w:tcW w:w="409" w:type="pct"/>
            <w:noWrap w:val="0"/>
            <w:vAlign w:val="center"/>
          </w:tcPr>
          <w:p w14:paraId="26FD5FBD">
            <w:pPr>
              <w:pStyle w:val="34"/>
              <w:spacing w:beforeAutospacing="0" w:afterAutospacing="0" w:line="240" w:lineRule="auto"/>
              <w:ind w:firstLine="0"/>
              <w:jc w:val="both"/>
            </w:pPr>
            <w:r>
              <w:t> </w:t>
            </w:r>
          </w:p>
        </w:tc>
        <w:tc>
          <w:tcPr>
            <w:tcW w:w="739" w:type="pct"/>
            <w:noWrap w:val="0"/>
            <w:vAlign w:val="center"/>
          </w:tcPr>
          <w:p w14:paraId="2BEA7661">
            <w:pPr>
              <w:pStyle w:val="34"/>
              <w:spacing w:beforeAutospacing="0" w:afterAutospacing="0" w:line="240" w:lineRule="auto"/>
              <w:ind w:firstLine="0"/>
              <w:jc w:val="both"/>
            </w:pPr>
            <w:r>
              <w:t> </w:t>
            </w:r>
          </w:p>
        </w:tc>
        <w:tc>
          <w:tcPr>
            <w:tcW w:w="678" w:type="pct"/>
            <w:noWrap w:val="0"/>
            <w:vAlign w:val="center"/>
          </w:tcPr>
          <w:p w14:paraId="6B79875B">
            <w:pPr>
              <w:pStyle w:val="34"/>
              <w:spacing w:beforeAutospacing="0" w:afterAutospacing="0" w:line="240" w:lineRule="auto"/>
              <w:ind w:firstLine="0"/>
              <w:jc w:val="both"/>
            </w:pPr>
            <w:r>
              <w:t> </w:t>
            </w:r>
          </w:p>
        </w:tc>
      </w:tr>
      <w:tr w14:paraId="7244A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blCellSpacing w:w="0" w:type="dxa"/>
        </w:trPr>
        <w:tc>
          <w:tcPr>
            <w:tcW w:w="439" w:type="pct"/>
            <w:noWrap w:val="0"/>
            <w:vAlign w:val="center"/>
          </w:tcPr>
          <w:p w14:paraId="64936C05">
            <w:pPr>
              <w:pStyle w:val="34"/>
              <w:spacing w:beforeAutospacing="0" w:afterAutospacing="0" w:line="240" w:lineRule="auto"/>
              <w:ind w:firstLine="0"/>
              <w:jc w:val="center"/>
            </w:pPr>
            <w:r>
              <w:rPr>
                <w:rFonts w:hint="eastAsia" w:ascii="宋体" w:hAnsi="宋体" w:eastAsia="宋体" w:cs="宋体"/>
                <w:color w:val="000000"/>
              </w:rPr>
              <w:t>…</w:t>
            </w:r>
          </w:p>
        </w:tc>
        <w:tc>
          <w:tcPr>
            <w:tcW w:w="465" w:type="pct"/>
            <w:noWrap w:val="0"/>
            <w:vAlign w:val="center"/>
          </w:tcPr>
          <w:p w14:paraId="700B835B">
            <w:pPr>
              <w:pStyle w:val="34"/>
              <w:spacing w:beforeAutospacing="0" w:afterAutospacing="0" w:line="240" w:lineRule="auto"/>
              <w:ind w:firstLine="0"/>
              <w:jc w:val="both"/>
            </w:pPr>
            <w:r>
              <w:rPr>
                <w:rFonts w:hint="eastAsia" w:ascii="宋体" w:hAnsi="宋体" w:eastAsia="宋体" w:cs="宋体"/>
                <w:color w:val="000000"/>
              </w:rPr>
              <w:t>……</w:t>
            </w:r>
          </w:p>
        </w:tc>
        <w:tc>
          <w:tcPr>
            <w:tcW w:w="530" w:type="pct"/>
            <w:noWrap w:val="0"/>
            <w:vAlign w:val="center"/>
          </w:tcPr>
          <w:p w14:paraId="131BAF7B">
            <w:pPr>
              <w:pStyle w:val="34"/>
              <w:spacing w:beforeAutospacing="0" w:afterAutospacing="0" w:line="240" w:lineRule="auto"/>
              <w:ind w:firstLine="0"/>
              <w:jc w:val="both"/>
            </w:pPr>
            <w:r>
              <w:t> </w:t>
            </w:r>
          </w:p>
        </w:tc>
        <w:tc>
          <w:tcPr>
            <w:tcW w:w="762" w:type="pct"/>
            <w:noWrap w:val="0"/>
            <w:vAlign w:val="center"/>
          </w:tcPr>
          <w:p w14:paraId="129C4323">
            <w:pPr>
              <w:pStyle w:val="34"/>
              <w:spacing w:beforeAutospacing="0" w:afterAutospacing="0" w:line="240" w:lineRule="auto"/>
              <w:ind w:firstLine="0"/>
              <w:jc w:val="both"/>
            </w:pPr>
            <w:r>
              <w:t> </w:t>
            </w:r>
          </w:p>
        </w:tc>
        <w:tc>
          <w:tcPr>
            <w:tcW w:w="437" w:type="pct"/>
            <w:noWrap w:val="0"/>
            <w:vAlign w:val="center"/>
          </w:tcPr>
          <w:p w14:paraId="1282B9CC">
            <w:pPr>
              <w:pStyle w:val="34"/>
              <w:spacing w:beforeAutospacing="0" w:afterAutospacing="0" w:line="240" w:lineRule="auto"/>
              <w:ind w:firstLine="0"/>
              <w:jc w:val="both"/>
            </w:pPr>
            <w:r>
              <w:t> </w:t>
            </w:r>
          </w:p>
        </w:tc>
        <w:tc>
          <w:tcPr>
            <w:tcW w:w="538" w:type="pct"/>
            <w:noWrap w:val="0"/>
            <w:vAlign w:val="center"/>
          </w:tcPr>
          <w:p w14:paraId="368DDA5B">
            <w:pPr>
              <w:pStyle w:val="34"/>
              <w:spacing w:beforeAutospacing="0" w:afterAutospacing="0" w:line="240" w:lineRule="auto"/>
              <w:ind w:firstLine="0"/>
              <w:jc w:val="both"/>
            </w:pPr>
            <w:r>
              <w:t> </w:t>
            </w:r>
          </w:p>
        </w:tc>
        <w:tc>
          <w:tcPr>
            <w:tcW w:w="409" w:type="pct"/>
            <w:noWrap w:val="0"/>
            <w:vAlign w:val="center"/>
          </w:tcPr>
          <w:p w14:paraId="4C621270">
            <w:pPr>
              <w:pStyle w:val="34"/>
              <w:spacing w:beforeAutospacing="0" w:afterAutospacing="0" w:line="240" w:lineRule="auto"/>
              <w:ind w:firstLine="0"/>
              <w:jc w:val="both"/>
            </w:pPr>
            <w:r>
              <w:t> </w:t>
            </w:r>
          </w:p>
        </w:tc>
        <w:tc>
          <w:tcPr>
            <w:tcW w:w="739" w:type="pct"/>
            <w:noWrap w:val="0"/>
            <w:vAlign w:val="center"/>
          </w:tcPr>
          <w:p w14:paraId="3B42FDCC">
            <w:pPr>
              <w:pStyle w:val="34"/>
              <w:spacing w:beforeAutospacing="0" w:afterAutospacing="0" w:line="240" w:lineRule="auto"/>
              <w:ind w:firstLine="0"/>
              <w:jc w:val="both"/>
            </w:pPr>
            <w:r>
              <w:t> </w:t>
            </w:r>
          </w:p>
        </w:tc>
        <w:tc>
          <w:tcPr>
            <w:tcW w:w="678" w:type="pct"/>
            <w:noWrap w:val="0"/>
            <w:vAlign w:val="center"/>
          </w:tcPr>
          <w:p w14:paraId="11AA7CD8">
            <w:pPr>
              <w:pStyle w:val="34"/>
              <w:spacing w:beforeAutospacing="0" w:afterAutospacing="0" w:line="240" w:lineRule="auto"/>
              <w:ind w:firstLine="0"/>
              <w:jc w:val="both"/>
            </w:pPr>
            <w:r>
              <w:t> </w:t>
            </w:r>
          </w:p>
        </w:tc>
      </w:tr>
      <w:tr w14:paraId="14E45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blCellSpacing w:w="0" w:type="dxa"/>
        </w:trPr>
        <w:tc>
          <w:tcPr>
            <w:tcW w:w="5000" w:type="pct"/>
            <w:gridSpan w:val="9"/>
            <w:noWrap w:val="0"/>
            <w:vAlign w:val="center"/>
          </w:tcPr>
          <w:p w14:paraId="14200406">
            <w:pPr>
              <w:pStyle w:val="34"/>
              <w:spacing w:beforeAutospacing="0" w:afterAutospacing="0" w:line="240" w:lineRule="auto"/>
              <w:ind w:firstLine="0"/>
              <w:rPr>
                <w:b/>
                <w:bCs/>
              </w:rPr>
            </w:pPr>
            <w:r>
              <w:rPr>
                <w:rFonts w:hint="eastAsia" w:ascii="宋体" w:hAnsi="宋体" w:eastAsia="宋体" w:cs="宋体"/>
                <w:b/>
                <w:bCs/>
                <w:color w:val="000000"/>
              </w:rPr>
              <w:t>投标总报价（人民币大写：</w:t>
            </w:r>
            <w:r>
              <w:rPr>
                <w:rFonts w:hint="eastAsia" w:ascii="宋体" w:hAnsi="宋体" w:eastAsia="宋体" w:cs="宋体"/>
                <w:b/>
                <w:bCs/>
                <w:color w:val="000000"/>
                <w:u w:val="single"/>
              </w:rPr>
              <w:t xml:space="preserve">        小写：     </w:t>
            </w:r>
            <w:r>
              <w:rPr>
                <w:rFonts w:hint="eastAsia" w:ascii="宋体" w:hAnsi="宋体" w:eastAsia="宋体" w:cs="宋体"/>
                <w:b/>
                <w:bCs/>
                <w:color w:val="000000"/>
              </w:rPr>
              <w:t>元）</w:t>
            </w:r>
          </w:p>
        </w:tc>
      </w:tr>
      <w:tr w14:paraId="7A390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blCellSpacing w:w="0" w:type="dxa"/>
        </w:trPr>
        <w:tc>
          <w:tcPr>
            <w:tcW w:w="5000" w:type="pct"/>
            <w:gridSpan w:val="9"/>
            <w:noWrap w:val="0"/>
            <w:vAlign w:val="center"/>
          </w:tcPr>
          <w:p w14:paraId="4027B4CF">
            <w:pPr>
              <w:pStyle w:val="34"/>
              <w:spacing w:beforeAutospacing="0" w:afterAutospacing="0" w:line="240" w:lineRule="auto"/>
              <w:ind w:firstLine="0"/>
              <w:jc w:val="both"/>
              <w:rPr>
                <w:b/>
                <w:bCs/>
              </w:rPr>
            </w:pPr>
            <w:r>
              <w:rPr>
                <w:rFonts w:hint="eastAsia" w:asciiTheme="minorEastAsia" w:hAnsiTheme="minorEastAsia" w:cstheme="minorEastAsia"/>
                <w:b/>
                <w:bCs/>
                <w:color w:val="FF0000"/>
              </w:rPr>
              <w:t>本采购包中提供的符合本国产品标准的产品成本之和占该采购包提供的全部产品成本之和的比例为</w:t>
            </w:r>
            <w:r>
              <w:rPr>
                <w:rFonts w:hint="eastAsia" w:asciiTheme="minorEastAsia" w:hAnsiTheme="minorEastAsia" w:cstheme="minorEastAsia"/>
                <w:b/>
                <w:bCs/>
                <w:color w:val="FF0000"/>
                <w:u w:val="single"/>
              </w:rPr>
              <w:t xml:space="preserve">        </w:t>
            </w:r>
            <w:r>
              <w:rPr>
                <w:rFonts w:hint="eastAsia" w:asciiTheme="minorEastAsia" w:hAnsiTheme="minorEastAsia" w:cstheme="minorEastAsia"/>
                <w:b/>
                <w:bCs/>
                <w:color w:val="FF0000"/>
              </w:rPr>
              <w:t>%。</w:t>
            </w:r>
          </w:p>
        </w:tc>
      </w:tr>
    </w:tbl>
    <w:p w14:paraId="7ED02A4A">
      <w:pPr>
        <w:pStyle w:val="34"/>
        <w:spacing w:beforeAutospacing="0" w:afterAutospacing="0" w:line="0" w:lineRule="atLeast"/>
        <w:ind w:firstLine="480"/>
        <w:jc w:val="both"/>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备注：</w:t>
      </w:r>
    </w:p>
    <w:p w14:paraId="0FBC8420">
      <w:pPr>
        <w:pStyle w:val="34"/>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投标人须对覆盖区域进行全面的现场勘测，结合现场情况综合报价，中标后不得因踏勘不全增加任何费用。投标报价除标的物的价款外还应包装、运输、验收、售后服务、货物（含附配件）的价格、安装调试、包装费、运输费、装卸费、保险费、验收费、与各类系统对接、设备接入兼容所需的费用、技术服务费、检测费、售后服务费、保险、规费、税费等全部费用。投标报价应包括招标文件所确定的招标范围内所必须的全部费用，招标人不再另行支付其他费用。 </w:t>
      </w:r>
    </w:p>
    <w:p w14:paraId="6E228FC4">
      <w:pPr>
        <w:pStyle w:val="34"/>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 “投标分项报价表”中“投标总报价”数额应当与“开标一览表”中“投标总报价”数额一致。</w:t>
      </w:r>
    </w:p>
    <w:p w14:paraId="42FDE2FF">
      <w:pPr>
        <w:pStyle w:val="34"/>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0A1F9D5">
      <w:pPr>
        <w:pStyle w:val="34"/>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4.如供应商所提供产品为本国产品的，应当对其提供的产品出具《关于符合本国产品标准的声明函》（以下简称《声明函》），不出具《声明函》的，不享受政府采购对本国产品的支持政策。</w:t>
      </w:r>
    </w:p>
    <w:p w14:paraId="68B96EE9">
      <w:pPr>
        <w:pStyle w:val="34"/>
        <w:spacing w:beforeAutospacing="0" w:afterAutospacing="0"/>
        <w:jc w:val="center"/>
        <w:rPr>
          <w:highlight w:val="none"/>
        </w:rPr>
      </w:pPr>
      <w:r>
        <w:rPr>
          <w:highlight w:val="none"/>
        </w:rPr>
        <w:t> </w:t>
      </w:r>
    </w:p>
    <w:p w14:paraId="6423D19C">
      <w:pPr>
        <w:pStyle w:val="198"/>
        <w:jc w:val="right"/>
        <w:rPr>
          <w:szCs w:val="21"/>
        </w:rPr>
      </w:pPr>
      <w:r>
        <w:rPr>
          <w:highlight w:val="none"/>
        </w:rPr>
        <w:t> </w:t>
      </w:r>
      <w:r>
        <w:rPr>
          <w:rFonts w:hint="eastAsia"/>
        </w:rPr>
        <w:t>企业名称（加盖CA电子公章）</w:t>
      </w:r>
      <w:r>
        <w:rPr>
          <w:rFonts w:hint="eastAsia"/>
          <w:szCs w:val="21"/>
        </w:rPr>
        <w:t xml:space="preserve">： </w:t>
      </w:r>
    </w:p>
    <w:p w14:paraId="57770191">
      <w:pPr>
        <w:pStyle w:val="198"/>
        <w:ind w:firstLine="3542"/>
        <w:rPr>
          <w:szCs w:val="21"/>
        </w:rPr>
      </w:pPr>
    </w:p>
    <w:p w14:paraId="43863D65">
      <w:pPr>
        <w:pStyle w:val="198"/>
        <w:ind w:firstLine="3542"/>
      </w:pPr>
      <w:r>
        <w:rPr>
          <w:rFonts w:hint="eastAsia"/>
        </w:rPr>
        <w:t xml:space="preserve">       </w:t>
      </w:r>
      <w:r>
        <w:rPr>
          <w:rFonts w:hint="eastAsia"/>
          <w:lang w:val="en-US" w:eastAsia="zh-CN"/>
        </w:rPr>
        <w:t xml:space="preserve">     </w:t>
      </w:r>
      <w:r>
        <w:rPr>
          <w:rFonts w:hint="eastAsia"/>
        </w:rPr>
        <w:t xml:space="preserve">  年    月    日</w:t>
      </w:r>
    </w:p>
    <w:p w14:paraId="6C4F8043">
      <w:pPr>
        <w:pStyle w:val="34"/>
        <w:spacing w:beforeAutospacing="0" w:afterAutospacing="0"/>
        <w:jc w:val="center"/>
        <w:rPr>
          <w:highlight w:val="none"/>
        </w:rPr>
      </w:pPr>
    </w:p>
    <w:p w14:paraId="57B4B6B0">
      <w:pPr>
        <w:pStyle w:val="34"/>
        <w:spacing w:beforeAutospacing="0" w:afterAutospacing="0"/>
        <w:jc w:val="center"/>
        <w:rPr>
          <w:highlight w:val="none"/>
        </w:rPr>
      </w:pPr>
    </w:p>
    <w:p w14:paraId="7111C374">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p>
    <w:p w14:paraId="1620A941">
      <w:pPr>
        <w:pStyle w:val="34"/>
        <w:spacing w:beforeAutospacing="0" w:afterAutospacing="0"/>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四</w:t>
      </w:r>
      <w:r>
        <w:rPr>
          <w:rFonts w:hint="eastAsia" w:ascii="黑体" w:hAnsi="宋体" w:eastAsia="黑体" w:cs="黑体"/>
          <w:b/>
          <w:color w:val="000000"/>
          <w:sz w:val="32"/>
          <w:szCs w:val="32"/>
          <w:highlight w:val="none"/>
        </w:rPr>
        <w:t>、技术要求响应及偏离表</w:t>
      </w:r>
    </w:p>
    <w:tbl>
      <w:tblPr>
        <w:tblStyle w:val="36"/>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5D7F1A73">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3B1ABF">
            <w:pPr>
              <w:pStyle w:val="34"/>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59B0B4">
            <w:pPr>
              <w:pStyle w:val="34"/>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9E4DCA">
            <w:pPr>
              <w:pStyle w:val="34"/>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28A59F">
            <w:pPr>
              <w:pStyle w:val="34"/>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C7C9E4">
            <w:pPr>
              <w:pStyle w:val="34"/>
              <w:spacing w:beforeAutospacing="0" w:afterAutospacing="0"/>
              <w:jc w:val="center"/>
              <w:rPr>
                <w:highlight w:val="none"/>
              </w:rPr>
            </w:pPr>
            <w:r>
              <w:rPr>
                <w:rFonts w:hint="eastAsia" w:ascii="宋体" w:hAnsi="宋体" w:eastAsia="宋体" w:cs="宋体"/>
                <w:color w:val="000000"/>
                <w:highlight w:val="none"/>
              </w:rPr>
              <w:t>证明</w:t>
            </w:r>
          </w:p>
          <w:p w14:paraId="12380932">
            <w:pPr>
              <w:pStyle w:val="34"/>
              <w:spacing w:beforeAutospacing="0" w:afterAutospacing="0"/>
              <w:jc w:val="center"/>
              <w:rPr>
                <w:highlight w:val="none"/>
              </w:rPr>
            </w:pPr>
            <w:r>
              <w:rPr>
                <w:rFonts w:hint="eastAsia" w:ascii="宋体" w:hAnsi="宋体" w:eastAsia="宋体" w:cs="宋体"/>
                <w:color w:val="000000"/>
                <w:highlight w:val="none"/>
              </w:rPr>
              <w:t>材料</w:t>
            </w:r>
          </w:p>
        </w:tc>
      </w:tr>
      <w:tr w14:paraId="1C4E317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1C98E4">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5B6C66">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3D9C83">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E20364">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15836B">
            <w:pPr>
              <w:pStyle w:val="34"/>
              <w:spacing w:beforeAutospacing="0" w:afterAutospacing="0"/>
              <w:jc w:val="center"/>
              <w:rPr>
                <w:highlight w:val="none"/>
              </w:rPr>
            </w:pPr>
            <w:r>
              <w:rPr>
                <w:highlight w:val="none"/>
              </w:rPr>
              <w:t> </w:t>
            </w:r>
          </w:p>
        </w:tc>
      </w:tr>
      <w:tr w14:paraId="7CC9DD9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7E5C0F">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1A1B6A">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890C98">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B32124">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6ACDD8">
            <w:pPr>
              <w:pStyle w:val="34"/>
              <w:spacing w:beforeAutospacing="0" w:afterAutospacing="0"/>
              <w:jc w:val="center"/>
              <w:rPr>
                <w:highlight w:val="none"/>
              </w:rPr>
            </w:pPr>
            <w:r>
              <w:rPr>
                <w:highlight w:val="none"/>
              </w:rPr>
              <w:t> </w:t>
            </w:r>
          </w:p>
        </w:tc>
      </w:tr>
      <w:tr w14:paraId="386778D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D4F147">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A38099">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FF4EBD">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9B0349">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39FFDA">
            <w:pPr>
              <w:pStyle w:val="34"/>
              <w:spacing w:beforeAutospacing="0" w:afterAutospacing="0"/>
              <w:jc w:val="center"/>
              <w:rPr>
                <w:highlight w:val="none"/>
              </w:rPr>
            </w:pPr>
            <w:r>
              <w:rPr>
                <w:highlight w:val="none"/>
              </w:rPr>
              <w:t> </w:t>
            </w:r>
          </w:p>
        </w:tc>
      </w:tr>
      <w:tr w14:paraId="6187C30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C655ED">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04512E">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664580">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735630">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B7ACF0">
            <w:pPr>
              <w:pStyle w:val="34"/>
              <w:spacing w:beforeAutospacing="0" w:afterAutospacing="0"/>
              <w:jc w:val="center"/>
              <w:rPr>
                <w:highlight w:val="none"/>
              </w:rPr>
            </w:pPr>
            <w:r>
              <w:rPr>
                <w:highlight w:val="none"/>
              </w:rPr>
              <w:t> </w:t>
            </w:r>
          </w:p>
        </w:tc>
      </w:tr>
      <w:tr w14:paraId="03920F3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9D704A">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DBFD96">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8C5D40">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6B3A8A">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B895AC">
            <w:pPr>
              <w:pStyle w:val="34"/>
              <w:spacing w:beforeAutospacing="0" w:afterAutospacing="0"/>
              <w:jc w:val="center"/>
              <w:rPr>
                <w:highlight w:val="none"/>
              </w:rPr>
            </w:pPr>
            <w:r>
              <w:rPr>
                <w:highlight w:val="none"/>
              </w:rPr>
              <w:t> </w:t>
            </w:r>
          </w:p>
        </w:tc>
      </w:tr>
      <w:tr w14:paraId="4CB4D02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E84A8C">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AA5E62">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0B8B81">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A46CB1">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204380">
            <w:pPr>
              <w:pStyle w:val="34"/>
              <w:spacing w:beforeAutospacing="0" w:afterAutospacing="0"/>
              <w:jc w:val="center"/>
              <w:rPr>
                <w:highlight w:val="none"/>
              </w:rPr>
            </w:pPr>
            <w:r>
              <w:rPr>
                <w:highlight w:val="none"/>
              </w:rPr>
              <w:t> </w:t>
            </w:r>
          </w:p>
        </w:tc>
      </w:tr>
      <w:tr w14:paraId="090B3BA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A1D9BB">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159A6A">
            <w:pPr>
              <w:pStyle w:val="34"/>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5694B1">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03865F">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ED851B">
            <w:pPr>
              <w:pStyle w:val="34"/>
              <w:spacing w:beforeAutospacing="0" w:afterAutospacing="0"/>
              <w:jc w:val="center"/>
              <w:rPr>
                <w:highlight w:val="none"/>
              </w:rPr>
            </w:pPr>
            <w:r>
              <w:rPr>
                <w:highlight w:val="none"/>
              </w:rPr>
              <w:t> </w:t>
            </w:r>
          </w:p>
        </w:tc>
      </w:tr>
      <w:tr w14:paraId="73649C2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A18FD7">
            <w:pPr>
              <w:pStyle w:val="34"/>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1E512A">
            <w:pPr>
              <w:pStyle w:val="34"/>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77147F">
            <w:pPr>
              <w:pStyle w:val="34"/>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B3DC7B">
            <w:pPr>
              <w:pStyle w:val="34"/>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C2DE1D">
            <w:pPr>
              <w:pStyle w:val="34"/>
              <w:spacing w:beforeAutospacing="0" w:afterAutospacing="0"/>
              <w:jc w:val="center"/>
              <w:rPr>
                <w:highlight w:val="none"/>
              </w:rPr>
            </w:pPr>
            <w:r>
              <w:rPr>
                <w:highlight w:val="none"/>
              </w:rPr>
              <w:t> </w:t>
            </w:r>
          </w:p>
        </w:tc>
      </w:tr>
    </w:tbl>
    <w:p w14:paraId="40B0B216">
      <w:pPr>
        <w:pStyle w:val="34"/>
        <w:spacing w:beforeAutospacing="0" w:afterAutospacing="0"/>
        <w:jc w:val="both"/>
        <w:rPr>
          <w:highlight w:val="none"/>
        </w:rPr>
      </w:pPr>
      <w:r>
        <w:rPr>
          <w:rFonts w:hint="eastAsia" w:ascii="宋体" w:hAnsi="宋体" w:eastAsia="宋体" w:cs="宋体"/>
          <w:color w:val="000000"/>
          <w:highlight w:val="none"/>
        </w:rPr>
        <w:t>注： 行数不够，可自行添加。</w:t>
      </w:r>
    </w:p>
    <w:p w14:paraId="159AD505">
      <w:pPr>
        <w:pStyle w:val="34"/>
        <w:spacing w:beforeAutospacing="0" w:afterAutospacing="0"/>
        <w:jc w:val="center"/>
        <w:rPr>
          <w:highlight w:val="none"/>
        </w:rPr>
      </w:pPr>
      <w:r>
        <w:rPr>
          <w:highlight w:val="none"/>
        </w:rPr>
        <w:t> </w:t>
      </w:r>
    </w:p>
    <w:p w14:paraId="46EAFD93">
      <w:pPr>
        <w:pStyle w:val="34"/>
        <w:spacing w:beforeAutospacing="0" w:afterAutospacing="0"/>
        <w:jc w:val="center"/>
        <w:rPr>
          <w:highlight w:val="none"/>
        </w:rPr>
      </w:pPr>
      <w:r>
        <w:rPr>
          <w:highlight w:val="none"/>
        </w:rPr>
        <w:t> </w:t>
      </w:r>
    </w:p>
    <w:p w14:paraId="463D0053">
      <w:pPr>
        <w:pStyle w:val="34"/>
        <w:spacing w:beforeAutospacing="0" w:afterAutospacing="0"/>
        <w:jc w:val="center"/>
        <w:rPr>
          <w:rFonts w:hint="eastAsia"/>
          <w:highlight w:val="none"/>
        </w:rPr>
      </w:pPr>
      <w:r>
        <w:rPr>
          <w:rFonts w:hint="eastAsia"/>
          <w:highlight w:val="none"/>
        </w:rPr>
        <w:t> 法定代表人或被授权人（签字或盖章）：</w:t>
      </w:r>
    </w:p>
    <w:p w14:paraId="6D9DD307">
      <w:pPr>
        <w:pStyle w:val="34"/>
        <w:spacing w:beforeAutospacing="0" w:afterAutospacing="0"/>
        <w:jc w:val="center"/>
        <w:rPr>
          <w:rFonts w:hint="eastAsia"/>
          <w:highlight w:val="none"/>
        </w:rPr>
      </w:pPr>
    </w:p>
    <w:p w14:paraId="3881DC54">
      <w:pPr>
        <w:pStyle w:val="34"/>
        <w:spacing w:beforeAutospacing="0" w:afterAutospacing="0"/>
        <w:jc w:val="center"/>
        <w:rPr>
          <w:highlight w:val="none"/>
        </w:rPr>
      </w:pPr>
      <w:r>
        <w:rPr>
          <w:rFonts w:hint="eastAsia"/>
          <w:highlight w:val="none"/>
        </w:rPr>
        <w:t>企业名称（加盖CA电子公章）：</w:t>
      </w:r>
      <w:r>
        <w:rPr>
          <w:highlight w:val="none"/>
        </w:rPr>
        <w:t> </w:t>
      </w:r>
    </w:p>
    <w:p w14:paraId="5A53F188">
      <w:pPr>
        <w:pStyle w:val="34"/>
        <w:spacing w:beforeAutospacing="0" w:afterAutospacing="0"/>
        <w:jc w:val="center"/>
        <w:rPr>
          <w:highlight w:val="none"/>
        </w:rPr>
      </w:pPr>
      <w:r>
        <w:rPr>
          <w:highlight w:val="none"/>
        </w:rPr>
        <w:t> </w:t>
      </w:r>
    </w:p>
    <w:p w14:paraId="6C494AD8">
      <w:pPr>
        <w:pStyle w:val="34"/>
        <w:spacing w:beforeAutospacing="0" w:afterAutospacing="0"/>
        <w:jc w:val="both"/>
        <w:rPr>
          <w:highlight w:val="none"/>
        </w:rPr>
      </w:pPr>
      <w:r>
        <w:rPr>
          <w:highlight w:val="none"/>
        </w:rPr>
        <w:t> </w:t>
      </w:r>
    </w:p>
    <w:p w14:paraId="1BB0BB94">
      <w:pPr>
        <w:pStyle w:val="34"/>
        <w:spacing w:beforeAutospacing="0" w:afterAutospacing="0"/>
        <w:jc w:val="both"/>
        <w:rPr>
          <w:highlight w:val="none"/>
        </w:rPr>
      </w:pPr>
      <w:r>
        <w:rPr>
          <w:highlight w:val="none"/>
        </w:rPr>
        <w:t> </w:t>
      </w:r>
    </w:p>
    <w:p w14:paraId="4D9F7B8E">
      <w:pPr>
        <w:pStyle w:val="34"/>
        <w:spacing w:beforeAutospacing="0" w:afterAutospacing="0"/>
        <w:jc w:val="both"/>
        <w:rPr>
          <w:highlight w:val="none"/>
        </w:rPr>
      </w:pPr>
      <w:r>
        <w:rPr>
          <w:highlight w:val="none"/>
        </w:rPr>
        <w:t> </w:t>
      </w:r>
    </w:p>
    <w:p w14:paraId="57A3BB77">
      <w:pPr>
        <w:pStyle w:val="34"/>
        <w:spacing w:beforeAutospacing="0" w:afterAutospacing="0"/>
        <w:jc w:val="both"/>
        <w:rPr>
          <w:highlight w:val="none"/>
        </w:rPr>
      </w:pPr>
      <w:r>
        <w:rPr>
          <w:highlight w:val="none"/>
        </w:rPr>
        <w:t> </w:t>
      </w:r>
    </w:p>
    <w:p w14:paraId="2E55C48A">
      <w:pPr>
        <w:pStyle w:val="34"/>
        <w:spacing w:beforeAutospacing="0" w:afterAutospacing="0"/>
        <w:jc w:val="both"/>
        <w:rPr>
          <w:highlight w:val="none"/>
        </w:rPr>
      </w:pPr>
    </w:p>
    <w:p w14:paraId="34C58E2C">
      <w:pPr>
        <w:pStyle w:val="34"/>
        <w:spacing w:beforeAutospacing="0" w:afterAutospacing="0"/>
        <w:jc w:val="both"/>
        <w:rPr>
          <w:highlight w:val="none"/>
        </w:rPr>
      </w:pPr>
    </w:p>
    <w:p w14:paraId="27207ABF">
      <w:pPr>
        <w:pStyle w:val="34"/>
        <w:spacing w:beforeAutospacing="0" w:afterAutospacing="0"/>
        <w:jc w:val="both"/>
        <w:rPr>
          <w:highlight w:val="none"/>
        </w:rPr>
      </w:pPr>
    </w:p>
    <w:p w14:paraId="38180C0B">
      <w:pPr>
        <w:pStyle w:val="34"/>
        <w:spacing w:beforeAutospacing="0" w:afterAutospacing="0"/>
        <w:jc w:val="both"/>
        <w:rPr>
          <w:highlight w:val="none"/>
        </w:rPr>
      </w:pPr>
    </w:p>
    <w:p w14:paraId="1E54EB22">
      <w:pPr>
        <w:pStyle w:val="34"/>
        <w:spacing w:beforeAutospacing="0" w:afterAutospacing="0"/>
        <w:jc w:val="both"/>
        <w:rPr>
          <w:highlight w:val="none"/>
        </w:rPr>
      </w:pPr>
    </w:p>
    <w:p w14:paraId="330A1F83">
      <w:pPr>
        <w:pStyle w:val="34"/>
        <w:spacing w:beforeAutospacing="0" w:afterAutospacing="0"/>
        <w:jc w:val="both"/>
        <w:rPr>
          <w:highlight w:val="none"/>
        </w:rPr>
      </w:pPr>
    </w:p>
    <w:p w14:paraId="12DFD34F">
      <w:pPr>
        <w:pStyle w:val="34"/>
        <w:spacing w:beforeAutospacing="0" w:afterAutospacing="0"/>
        <w:jc w:val="both"/>
        <w:rPr>
          <w:highlight w:val="none"/>
        </w:rPr>
      </w:pPr>
    </w:p>
    <w:p w14:paraId="63CAE912">
      <w:pPr>
        <w:pStyle w:val="34"/>
        <w:spacing w:beforeAutospacing="0" w:afterAutospacing="0"/>
        <w:jc w:val="both"/>
        <w:rPr>
          <w:highlight w:val="none"/>
        </w:rPr>
      </w:pPr>
    </w:p>
    <w:p w14:paraId="4DA82B9A">
      <w:pPr>
        <w:pStyle w:val="34"/>
        <w:spacing w:beforeAutospacing="0" w:afterAutospacing="0"/>
        <w:jc w:val="both"/>
        <w:rPr>
          <w:highlight w:val="none"/>
        </w:rPr>
      </w:pPr>
    </w:p>
    <w:p w14:paraId="62A39A25">
      <w:pPr>
        <w:pStyle w:val="34"/>
        <w:spacing w:beforeAutospacing="0" w:afterAutospacing="0"/>
        <w:jc w:val="both"/>
        <w:rPr>
          <w:highlight w:val="none"/>
        </w:rPr>
      </w:pPr>
    </w:p>
    <w:p w14:paraId="190A1BD1">
      <w:pPr>
        <w:pStyle w:val="34"/>
        <w:spacing w:beforeAutospacing="0" w:afterAutospacing="0"/>
        <w:jc w:val="both"/>
        <w:rPr>
          <w:highlight w:val="none"/>
        </w:rPr>
      </w:pPr>
    </w:p>
    <w:p w14:paraId="58E27EFB">
      <w:pPr>
        <w:pStyle w:val="34"/>
        <w:spacing w:beforeAutospacing="0" w:afterAutospacing="0"/>
        <w:jc w:val="both"/>
        <w:rPr>
          <w:highlight w:val="none"/>
        </w:rPr>
      </w:pPr>
    </w:p>
    <w:p w14:paraId="17FBF80A">
      <w:pPr>
        <w:pStyle w:val="34"/>
        <w:spacing w:beforeAutospacing="0" w:afterAutospacing="0"/>
        <w:jc w:val="both"/>
        <w:rPr>
          <w:highlight w:val="none"/>
        </w:rPr>
      </w:pPr>
    </w:p>
    <w:p w14:paraId="34D7C64E">
      <w:pPr>
        <w:pStyle w:val="34"/>
        <w:spacing w:beforeAutospacing="0" w:afterAutospacing="0"/>
        <w:jc w:val="both"/>
        <w:rPr>
          <w:highlight w:val="none"/>
        </w:rPr>
      </w:pPr>
    </w:p>
    <w:p w14:paraId="4CC1AE86">
      <w:pPr>
        <w:pStyle w:val="34"/>
        <w:spacing w:beforeAutospacing="0" w:afterAutospacing="0"/>
        <w:jc w:val="center"/>
        <w:rPr>
          <w:highlight w:val="none"/>
        </w:rPr>
      </w:pPr>
      <w:bookmarkStart w:id="213" w:name="_Hlt26955054"/>
      <w:r>
        <w:rPr>
          <w:rFonts w:hint="eastAsia" w:ascii="黑体" w:hAnsi="宋体" w:eastAsia="黑体" w:cs="黑体"/>
          <w:b/>
          <w:color w:val="000000"/>
          <w:sz w:val="32"/>
          <w:szCs w:val="32"/>
          <w:highlight w:val="none"/>
          <w:lang w:val="en-US" w:eastAsia="zh-CN"/>
        </w:rPr>
        <w:t>十五</w:t>
      </w:r>
      <w:r>
        <w:rPr>
          <w:rFonts w:hint="eastAsia" w:ascii="黑体" w:hAnsi="宋体" w:eastAsia="黑体" w:cs="黑体"/>
          <w:b/>
          <w:color w:val="000000"/>
          <w:sz w:val="32"/>
          <w:szCs w:val="32"/>
          <w:highlight w:val="none"/>
        </w:rPr>
        <w:t>、商务要求响应及偏离表</w:t>
      </w:r>
    </w:p>
    <w:tbl>
      <w:tblPr>
        <w:tblStyle w:val="36"/>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21F54370">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5B9896">
            <w:pPr>
              <w:pStyle w:val="34"/>
              <w:spacing w:beforeAutospacing="0" w:afterAutospacing="0"/>
              <w:jc w:val="center"/>
              <w:rPr>
                <w:highlight w:val="none"/>
              </w:rPr>
            </w:pPr>
            <w:bookmarkStart w:id="214" w:name="_Hlt26782999"/>
            <w:bookmarkStart w:id="215" w:name="_Hlt26955056"/>
            <w:bookmarkStart w:id="216" w:name="_Hlt26671343"/>
            <w:bookmarkStart w:id="217" w:name="_Hlt26609391"/>
            <w:bookmarkStart w:id="218" w:name="_Hlt24879081"/>
            <w:bookmarkStart w:id="219" w:name="_Hlt26955064"/>
            <w:bookmarkStart w:id="220" w:name="_Hlt26580838"/>
            <w:bookmarkStart w:id="221" w:name="_Hlt26671372"/>
            <w:r>
              <w:rPr>
                <w:rFonts w:hint="eastAsia" w:ascii="宋体" w:hAnsi="宋体" w:eastAsia="宋体" w:cs="宋体"/>
                <w:color w:val="000000"/>
                <w:highlight w:val="none"/>
              </w:rPr>
              <w:t>序号</w:t>
            </w:r>
            <w:bookmarkEnd w:id="214"/>
            <w:bookmarkEnd w:id="215"/>
            <w:bookmarkEnd w:id="216"/>
            <w:bookmarkEnd w:id="217"/>
            <w:bookmarkEnd w:id="218"/>
            <w:bookmarkEnd w:id="219"/>
            <w:bookmarkEnd w:id="220"/>
            <w:bookmarkEnd w:id="221"/>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6B4C6C">
            <w:pPr>
              <w:pStyle w:val="34"/>
              <w:spacing w:beforeAutospacing="0" w:afterAutospacing="0"/>
              <w:jc w:val="center"/>
              <w:rPr>
                <w:highlight w:val="none"/>
              </w:rPr>
            </w:pPr>
            <w:r>
              <w:rPr>
                <w:rFonts w:hint="eastAsia" w:ascii="宋体" w:hAnsi="宋体" w:eastAsia="宋体" w:cs="宋体"/>
                <w:color w:val="000000"/>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9B5D1C">
            <w:pPr>
              <w:pStyle w:val="34"/>
              <w:spacing w:beforeAutospacing="0" w:afterAutospacing="0"/>
              <w:jc w:val="center"/>
              <w:rPr>
                <w:highlight w:val="none"/>
              </w:rPr>
            </w:pPr>
            <w:r>
              <w:rPr>
                <w:rFonts w:hint="eastAsia" w:ascii="宋体" w:hAnsi="宋体" w:eastAsia="宋体" w:cs="宋体"/>
                <w:color w:val="000000"/>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6E0089">
            <w:pPr>
              <w:pStyle w:val="34"/>
              <w:spacing w:beforeAutospacing="0" w:afterAutospacing="0"/>
              <w:jc w:val="center"/>
              <w:rPr>
                <w:highlight w:val="none"/>
              </w:rPr>
            </w:pPr>
            <w:r>
              <w:rPr>
                <w:rFonts w:hint="eastAsia" w:ascii="宋体" w:hAnsi="宋体" w:eastAsia="宋体" w:cs="宋体"/>
                <w:color w:val="000000"/>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D2F908">
            <w:pPr>
              <w:pStyle w:val="34"/>
              <w:spacing w:beforeAutospacing="0" w:afterAutospacing="0"/>
              <w:jc w:val="center"/>
              <w:rPr>
                <w:highlight w:val="none"/>
              </w:rPr>
            </w:pPr>
            <w:r>
              <w:rPr>
                <w:rFonts w:hint="eastAsia" w:ascii="宋体" w:hAnsi="宋体" w:eastAsia="宋体" w:cs="宋体"/>
                <w:color w:val="000000"/>
                <w:highlight w:val="none"/>
              </w:rPr>
              <w:t>证明</w:t>
            </w:r>
          </w:p>
          <w:p w14:paraId="7C3A8C6D">
            <w:pPr>
              <w:pStyle w:val="34"/>
              <w:spacing w:beforeAutospacing="0" w:afterAutospacing="0"/>
              <w:jc w:val="center"/>
              <w:rPr>
                <w:highlight w:val="none"/>
              </w:rPr>
            </w:pPr>
            <w:r>
              <w:rPr>
                <w:rFonts w:hint="eastAsia" w:ascii="宋体" w:hAnsi="宋体" w:eastAsia="宋体" w:cs="宋体"/>
                <w:color w:val="000000"/>
                <w:highlight w:val="none"/>
              </w:rPr>
              <w:t>材料</w:t>
            </w:r>
          </w:p>
        </w:tc>
      </w:tr>
      <w:tr w14:paraId="3FC9DE1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716FD5">
            <w:pPr>
              <w:pStyle w:val="3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96FC28">
            <w:pPr>
              <w:pStyle w:val="3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EAF25A">
            <w:pPr>
              <w:pStyle w:val="3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74C8C9">
            <w:pPr>
              <w:pStyle w:val="3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5EE100">
            <w:pPr>
              <w:pStyle w:val="34"/>
              <w:spacing w:beforeAutospacing="0" w:afterAutospacing="0"/>
              <w:jc w:val="center"/>
              <w:rPr>
                <w:highlight w:val="none"/>
              </w:rPr>
            </w:pPr>
            <w:r>
              <w:rPr>
                <w:highlight w:val="none"/>
              </w:rPr>
              <w:t> </w:t>
            </w:r>
          </w:p>
        </w:tc>
      </w:tr>
      <w:tr w14:paraId="411A3D2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0E5423">
            <w:pPr>
              <w:pStyle w:val="3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975F10">
            <w:pPr>
              <w:pStyle w:val="3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36B16D">
            <w:pPr>
              <w:pStyle w:val="3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6F1F9E">
            <w:pPr>
              <w:pStyle w:val="3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376CD5">
            <w:pPr>
              <w:pStyle w:val="34"/>
              <w:spacing w:beforeAutospacing="0" w:afterAutospacing="0"/>
              <w:jc w:val="center"/>
              <w:rPr>
                <w:highlight w:val="none"/>
              </w:rPr>
            </w:pPr>
            <w:r>
              <w:rPr>
                <w:highlight w:val="none"/>
              </w:rPr>
              <w:t> </w:t>
            </w:r>
          </w:p>
        </w:tc>
      </w:tr>
      <w:tr w14:paraId="3051E1F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72AA0E">
            <w:pPr>
              <w:pStyle w:val="3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F47038">
            <w:pPr>
              <w:pStyle w:val="3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DE3885">
            <w:pPr>
              <w:pStyle w:val="3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9CD4CA">
            <w:pPr>
              <w:pStyle w:val="3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FF5E23">
            <w:pPr>
              <w:pStyle w:val="34"/>
              <w:spacing w:beforeAutospacing="0" w:afterAutospacing="0"/>
              <w:jc w:val="center"/>
              <w:rPr>
                <w:highlight w:val="none"/>
              </w:rPr>
            </w:pPr>
            <w:r>
              <w:rPr>
                <w:highlight w:val="none"/>
              </w:rPr>
              <w:t> </w:t>
            </w:r>
          </w:p>
        </w:tc>
      </w:tr>
      <w:tr w14:paraId="14E3D77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3B9EFE">
            <w:pPr>
              <w:pStyle w:val="3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E2A8FB">
            <w:pPr>
              <w:pStyle w:val="3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CC7CE6">
            <w:pPr>
              <w:pStyle w:val="3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754991">
            <w:pPr>
              <w:pStyle w:val="3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0F1F29">
            <w:pPr>
              <w:pStyle w:val="34"/>
              <w:spacing w:beforeAutospacing="0" w:afterAutospacing="0"/>
              <w:jc w:val="center"/>
              <w:rPr>
                <w:highlight w:val="none"/>
              </w:rPr>
            </w:pPr>
            <w:r>
              <w:rPr>
                <w:highlight w:val="none"/>
              </w:rPr>
              <w:t> </w:t>
            </w:r>
          </w:p>
        </w:tc>
      </w:tr>
      <w:tr w14:paraId="0F251F2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165F51">
            <w:pPr>
              <w:pStyle w:val="3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F7CB22">
            <w:pPr>
              <w:pStyle w:val="3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4910E9">
            <w:pPr>
              <w:pStyle w:val="3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AD3345">
            <w:pPr>
              <w:pStyle w:val="3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FA0129">
            <w:pPr>
              <w:pStyle w:val="34"/>
              <w:spacing w:beforeAutospacing="0" w:afterAutospacing="0"/>
              <w:jc w:val="center"/>
              <w:rPr>
                <w:highlight w:val="none"/>
              </w:rPr>
            </w:pPr>
            <w:r>
              <w:rPr>
                <w:highlight w:val="none"/>
              </w:rPr>
              <w:t> </w:t>
            </w:r>
          </w:p>
        </w:tc>
      </w:tr>
      <w:tr w14:paraId="01FDE34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7C35F5">
            <w:pPr>
              <w:pStyle w:val="3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BAB69D">
            <w:pPr>
              <w:pStyle w:val="3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F69DC8">
            <w:pPr>
              <w:pStyle w:val="3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A7F87A">
            <w:pPr>
              <w:pStyle w:val="3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58923E">
            <w:pPr>
              <w:pStyle w:val="34"/>
              <w:spacing w:beforeAutospacing="0" w:afterAutospacing="0"/>
              <w:jc w:val="center"/>
              <w:rPr>
                <w:highlight w:val="none"/>
              </w:rPr>
            </w:pPr>
            <w:r>
              <w:rPr>
                <w:highlight w:val="none"/>
              </w:rPr>
              <w:t> </w:t>
            </w:r>
          </w:p>
        </w:tc>
      </w:tr>
      <w:tr w14:paraId="09E84F2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52352B">
            <w:pPr>
              <w:pStyle w:val="3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E13ED9">
            <w:pPr>
              <w:pStyle w:val="3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B4310A">
            <w:pPr>
              <w:pStyle w:val="3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F2DF0F">
            <w:pPr>
              <w:pStyle w:val="3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8CD960">
            <w:pPr>
              <w:pStyle w:val="34"/>
              <w:spacing w:beforeAutospacing="0" w:afterAutospacing="0"/>
              <w:jc w:val="center"/>
              <w:rPr>
                <w:highlight w:val="none"/>
              </w:rPr>
            </w:pPr>
            <w:r>
              <w:rPr>
                <w:highlight w:val="none"/>
              </w:rPr>
              <w:t> </w:t>
            </w:r>
          </w:p>
        </w:tc>
      </w:tr>
      <w:tr w14:paraId="5992EA0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BE2DF4">
            <w:pPr>
              <w:pStyle w:val="34"/>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D7693F">
            <w:pPr>
              <w:pStyle w:val="34"/>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502C4E">
            <w:pPr>
              <w:pStyle w:val="34"/>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BAA8DE">
            <w:pPr>
              <w:pStyle w:val="34"/>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68DD3B">
            <w:pPr>
              <w:pStyle w:val="34"/>
              <w:spacing w:beforeAutospacing="0" w:afterAutospacing="0"/>
              <w:jc w:val="center"/>
              <w:rPr>
                <w:highlight w:val="none"/>
              </w:rPr>
            </w:pPr>
            <w:r>
              <w:rPr>
                <w:highlight w:val="none"/>
              </w:rPr>
              <w:t> </w:t>
            </w:r>
          </w:p>
        </w:tc>
      </w:tr>
    </w:tbl>
    <w:p w14:paraId="089644F3">
      <w:pPr>
        <w:pStyle w:val="34"/>
        <w:spacing w:beforeAutospacing="0" w:afterAutospacing="0"/>
        <w:jc w:val="both"/>
        <w:rPr>
          <w:highlight w:val="none"/>
        </w:rPr>
      </w:pPr>
      <w:r>
        <w:rPr>
          <w:rFonts w:hint="eastAsia" w:ascii="宋体" w:hAnsi="宋体" w:eastAsia="宋体" w:cs="宋体"/>
          <w:color w:val="000000"/>
          <w:highlight w:val="none"/>
        </w:rPr>
        <w:t>注： 行数不够，可自行添加。</w:t>
      </w:r>
    </w:p>
    <w:p w14:paraId="5EF12490">
      <w:pPr>
        <w:pStyle w:val="34"/>
        <w:spacing w:beforeAutospacing="0" w:afterAutospacing="0" w:line="480" w:lineRule="auto"/>
        <w:jc w:val="both"/>
        <w:rPr>
          <w:highlight w:val="none"/>
        </w:rPr>
      </w:pPr>
      <w:r>
        <w:rPr>
          <w:highlight w:val="none"/>
        </w:rPr>
        <w:t> </w:t>
      </w:r>
    </w:p>
    <w:p w14:paraId="790B741F">
      <w:pPr>
        <w:pStyle w:val="34"/>
        <w:spacing w:beforeAutospacing="0" w:afterAutospacing="0" w:line="480" w:lineRule="auto"/>
        <w:jc w:val="both"/>
        <w:rPr>
          <w:rFonts w:hint="eastAsia"/>
          <w:highlight w:val="none"/>
        </w:rPr>
      </w:pPr>
      <w:r>
        <w:rPr>
          <w:highlight w:val="none"/>
        </w:rPr>
        <w:t> </w:t>
      </w:r>
      <w:r>
        <w:rPr>
          <w:rFonts w:hint="eastAsia"/>
          <w:highlight w:val="none"/>
        </w:rPr>
        <w:t> 法定代表人或被授权人（签字或盖章）：</w:t>
      </w:r>
    </w:p>
    <w:p w14:paraId="37624AE0">
      <w:pPr>
        <w:pStyle w:val="34"/>
        <w:spacing w:beforeAutospacing="0" w:afterAutospacing="0" w:line="480" w:lineRule="auto"/>
        <w:jc w:val="both"/>
        <w:rPr>
          <w:rFonts w:hint="eastAsia"/>
          <w:highlight w:val="none"/>
        </w:rPr>
      </w:pPr>
    </w:p>
    <w:p w14:paraId="70277973">
      <w:pPr>
        <w:pStyle w:val="34"/>
        <w:spacing w:beforeAutospacing="0" w:afterAutospacing="0" w:line="480" w:lineRule="auto"/>
        <w:ind w:firstLine="240"/>
        <w:jc w:val="both"/>
        <w:rPr>
          <w:highlight w:val="none"/>
        </w:rPr>
      </w:pPr>
      <w:r>
        <w:rPr>
          <w:rFonts w:hint="eastAsia"/>
          <w:highlight w:val="none"/>
        </w:rPr>
        <w:t>企业名称（加盖CA电子公章）：</w:t>
      </w:r>
    </w:p>
    <w:p w14:paraId="6A66374C">
      <w:pPr>
        <w:pStyle w:val="34"/>
        <w:spacing w:beforeAutospacing="0" w:afterAutospacing="0"/>
        <w:jc w:val="center"/>
        <w:rPr>
          <w:highlight w:val="none"/>
        </w:rPr>
      </w:pPr>
      <w:bookmarkStart w:id="222" w:name="_Toc462564146"/>
      <w:bookmarkStart w:id="223" w:name="_格式2__法定代表人授权书"/>
      <w:bookmarkStart w:id="224" w:name="_Hlt26955066"/>
      <w:bookmarkStart w:id="225" w:name="_Hlt26671374"/>
      <w:bookmarkStart w:id="226" w:name="_Hlt26609389"/>
      <w:r>
        <w:rPr>
          <w:highlight w:val="none"/>
        </w:rPr>
        <w:t> </w:t>
      </w:r>
    </w:p>
    <w:p w14:paraId="08CC8B17">
      <w:pPr>
        <w:pStyle w:val="34"/>
        <w:spacing w:beforeAutospacing="0" w:afterAutospacing="0"/>
        <w:jc w:val="both"/>
        <w:rPr>
          <w:highlight w:val="none"/>
        </w:rPr>
      </w:pPr>
      <w:r>
        <w:rPr>
          <w:highlight w:val="none"/>
        </w:rPr>
        <w:t> </w:t>
      </w:r>
    </w:p>
    <w:p w14:paraId="3C14FFA5">
      <w:pPr>
        <w:pStyle w:val="34"/>
        <w:spacing w:beforeAutospacing="0" w:afterAutospacing="0"/>
        <w:jc w:val="both"/>
        <w:rPr>
          <w:highlight w:val="none"/>
        </w:rPr>
      </w:pPr>
      <w:r>
        <w:rPr>
          <w:highlight w:val="none"/>
        </w:rPr>
        <w:t> </w:t>
      </w:r>
    </w:p>
    <w:p w14:paraId="665A5ADD">
      <w:pPr>
        <w:pStyle w:val="34"/>
        <w:spacing w:beforeAutospacing="0" w:afterAutospacing="0"/>
        <w:jc w:val="both"/>
        <w:rPr>
          <w:highlight w:val="none"/>
        </w:rPr>
      </w:pPr>
    </w:p>
    <w:p w14:paraId="0A3DB4D6">
      <w:pPr>
        <w:pStyle w:val="34"/>
        <w:spacing w:beforeAutospacing="0" w:afterAutospacing="0"/>
        <w:jc w:val="both"/>
        <w:rPr>
          <w:highlight w:val="none"/>
        </w:rPr>
      </w:pPr>
    </w:p>
    <w:p w14:paraId="0A9E3F8C">
      <w:pPr>
        <w:pStyle w:val="34"/>
        <w:spacing w:beforeAutospacing="0" w:afterAutospacing="0"/>
        <w:jc w:val="both"/>
        <w:rPr>
          <w:highlight w:val="none"/>
        </w:rPr>
      </w:pPr>
    </w:p>
    <w:p w14:paraId="0362DBDC">
      <w:pPr>
        <w:pStyle w:val="34"/>
        <w:spacing w:beforeAutospacing="0" w:afterAutospacing="0"/>
        <w:jc w:val="both"/>
        <w:rPr>
          <w:highlight w:val="none"/>
        </w:rPr>
      </w:pPr>
    </w:p>
    <w:p w14:paraId="45F5745E">
      <w:pPr>
        <w:pStyle w:val="34"/>
        <w:spacing w:beforeAutospacing="0" w:afterAutospacing="0"/>
        <w:jc w:val="both"/>
        <w:rPr>
          <w:highlight w:val="none"/>
        </w:rPr>
      </w:pPr>
    </w:p>
    <w:p w14:paraId="1A4AB978">
      <w:pPr>
        <w:pStyle w:val="34"/>
        <w:spacing w:beforeAutospacing="0" w:afterAutospacing="0"/>
        <w:jc w:val="both"/>
        <w:rPr>
          <w:highlight w:val="none"/>
        </w:rPr>
      </w:pPr>
    </w:p>
    <w:p w14:paraId="634F934D">
      <w:pPr>
        <w:pStyle w:val="34"/>
        <w:spacing w:beforeAutospacing="0" w:afterAutospacing="0"/>
        <w:jc w:val="both"/>
        <w:rPr>
          <w:highlight w:val="none"/>
        </w:rPr>
      </w:pPr>
    </w:p>
    <w:p w14:paraId="39AB2C13">
      <w:pPr>
        <w:pStyle w:val="34"/>
        <w:spacing w:beforeAutospacing="0" w:afterAutospacing="0"/>
        <w:jc w:val="both"/>
        <w:rPr>
          <w:highlight w:val="none"/>
        </w:rPr>
      </w:pPr>
    </w:p>
    <w:p w14:paraId="0594BFF1">
      <w:pPr>
        <w:pStyle w:val="34"/>
        <w:spacing w:beforeAutospacing="0" w:afterAutospacing="0"/>
        <w:jc w:val="both"/>
        <w:rPr>
          <w:highlight w:val="none"/>
        </w:rPr>
      </w:pPr>
    </w:p>
    <w:p w14:paraId="6DBAE321">
      <w:pPr>
        <w:pStyle w:val="34"/>
        <w:spacing w:beforeAutospacing="0" w:afterAutospacing="0"/>
        <w:jc w:val="both"/>
        <w:rPr>
          <w:highlight w:val="none"/>
        </w:rPr>
      </w:pPr>
    </w:p>
    <w:p w14:paraId="572C4DE0">
      <w:pPr>
        <w:pStyle w:val="34"/>
        <w:spacing w:beforeAutospacing="0" w:afterAutospacing="0"/>
        <w:jc w:val="both"/>
        <w:rPr>
          <w:highlight w:val="none"/>
        </w:rPr>
      </w:pPr>
    </w:p>
    <w:p w14:paraId="5D0FB7CD">
      <w:pPr>
        <w:pStyle w:val="34"/>
        <w:spacing w:beforeAutospacing="0" w:afterAutospacing="0"/>
        <w:jc w:val="both"/>
        <w:rPr>
          <w:highlight w:val="none"/>
        </w:rPr>
      </w:pPr>
    </w:p>
    <w:p w14:paraId="075DF23A">
      <w:pPr>
        <w:pStyle w:val="34"/>
        <w:spacing w:beforeAutospacing="0" w:afterAutospacing="0"/>
        <w:jc w:val="both"/>
        <w:rPr>
          <w:highlight w:val="none"/>
        </w:rPr>
      </w:pPr>
    </w:p>
    <w:p w14:paraId="6F49D1C4">
      <w:pPr>
        <w:pStyle w:val="34"/>
        <w:spacing w:beforeAutospacing="0" w:afterAutospacing="0"/>
        <w:jc w:val="both"/>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六</w:t>
      </w:r>
      <w:r>
        <w:rPr>
          <w:rFonts w:hint="eastAsia" w:ascii="黑体" w:hAnsi="宋体" w:eastAsia="黑体" w:cs="黑体"/>
          <w:b/>
          <w:i/>
          <w:color w:val="auto"/>
          <w:sz w:val="32"/>
          <w:szCs w:val="32"/>
          <w:highlight w:val="none"/>
          <w:u w:val="single"/>
        </w:rPr>
        <w:t>、开标一览表</w:t>
      </w:r>
    </w:p>
    <w:p w14:paraId="5D142017">
      <w:pPr>
        <w:pStyle w:val="34"/>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618F0C10">
      <w:pPr>
        <w:pStyle w:val="34"/>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1E1753D7">
      <w:pPr>
        <w:pStyle w:val="34"/>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4A6C0C98">
      <w:pPr>
        <w:pStyle w:val="34"/>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36"/>
        <w:tblW w:w="8206" w:type="dxa"/>
        <w:tblCellSpacing w:w="0" w:type="dxa"/>
        <w:tblInd w:w="118" w:type="dxa"/>
        <w:tblLayout w:type="fixed"/>
        <w:tblCellMar>
          <w:top w:w="0" w:type="dxa"/>
          <w:left w:w="108" w:type="dxa"/>
          <w:bottom w:w="0" w:type="dxa"/>
          <w:right w:w="108" w:type="dxa"/>
        </w:tblCellMar>
      </w:tblPr>
      <w:tblGrid>
        <w:gridCol w:w="8206"/>
      </w:tblGrid>
      <w:tr w14:paraId="560A8BFF">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04CA1B">
            <w:pPr>
              <w:pStyle w:val="34"/>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1CD05DF3">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929DD2">
            <w:pPr>
              <w:pStyle w:val="34"/>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1BDF9CF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CD6440">
            <w:pPr>
              <w:pStyle w:val="34"/>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r w14:paraId="22AC6F0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52CEF6">
            <w:pPr>
              <w:pStyle w:val="34"/>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核心产品品牌：</w:t>
            </w:r>
          </w:p>
        </w:tc>
      </w:tr>
    </w:tbl>
    <w:p w14:paraId="6F6F521A">
      <w:pPr>
        <w:pStyle w:val="34"/>
        <w:spacing w:beforeAutospacing="0" w:afterAutospacing="0"/>
        <w:jc w:val="both"/>
        <w:rPr>
          <w:color w:val="auto"/>
          <w:highlight w:val="none"/>
        </w:rPr>
      </w:pPr>
      <w:r>
        <w:rPr>
          <w:color w:val="auto"/>
          <w:highlight w:val="none"/>
        </w:rPr>
        <w:t> </w:t>
      </w:r>
    </w:p>
    <w:p w14:paraId="5C81ACCA">
      <w:pPr>
        <w:pStyle w:val="34"/>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33DB34B2">
      <w:pPr>
        <w:pStyle w:val="34"/>
        <w:spacing w:beforeAutospacing="0" w:afterAutospacing="0"/>
        <w:ind w:firstLine="480"/>
        <w:jc w:val="both"/>
        <w:rPr>
          <w:highlight w:val="none"/>
        </w:rPr>
      </w:pPr>
      <w:r>
        <w:rPr>
          <w:highlight w:val="none"/>
        </w:rPr>
        <w:t> </w:t>
      </w:r>
    </w:p>
    <w:p w14:paraId="240D694C">
      <w:pPr>
        <w:pStyle w:val="34"/>
        <w:spacing w:beforeAutospacing="0" w:afterAutospacing="0"/>
        <w:ind w:firstLine="480"/>
        <w:jc w:val="both"/>
        <w:rPr>
          <w:rFonts w:hint="eastAsia" w:ascii="宋体" w:hAnsi="宋体" w:eastAsia="宋体" w:cs="宋体"/>
          <w:color w:val="auto"/>
          <w:highlight w:val="none"/>
          <w:lang w:val="en-US" w:eastAsia="zh-CN"/>
        </w:rPr>
      </w:pPr>
    </w:p>
    <w:p w14:paraId="38F84AB5">
      <w:pPr>
        <w:pStyle w:val="34"/>
        <w:spacing w:beforeAutospacing="0" w:afterAutospacing="0"/>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填写说明：</w:t>
      </w:r>
    </w:p>
    <w:p w14:paraId="444B4442">
      <w:pPr>
        <w:pStyle w:val="34"/>
        <w:spacing w:beforeAutospacing="0" w:afterAutospacing="0"/>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开标一览表按软件系统给定格式填写签章，不得填报选择性报价，否则将作为无效投标。</w:t>
      </w:r>
    </w:p>
    <w:p w14:paraId="33F2A565">
      <w:pPr>
        <w:pStyle w:val="34"/>
        <w:spacing w:beforeAutospacing="0" w:afterAutospacing="0"/>
        <w:ind w:firstLine="480"/>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投标报价保留两位小数。</w:t>
      </w:r>
    </w:p>
    <w:p w14:paraId="6836E6F5">
      <w:pPr>
        <w:pStyle w:val="34"/>
        <w:spacing w:beforeAutospacing="0" w:afterAutospacing="0" w:line="0" w:lineRule="atLeast"/>
        <w:ind w:firstLine="480"/>
        <w:jc w:val="both"/>
        <w:rPr>
          <w:rFonts w:hint="eastAsia" w:ascii="宋体" w:hAnsi="宋体" w:eastAsia="宋体" w:cs="宋体"/>
          <w:color w:val="000000"/>
          <w:highlight w:val="none"/>
          <w:lang w:val="en-US" w:eastAsia="zh-CN"/>
        </w:rPr>
      </w:pPr>
    </w:p>
    <w:p w14:paraId="0282C705">
      <w:pPr>
        <w:pStyle w:val="34"/>
        <w:spacing w:beforeAutospacing="0" w:afterAutospacing="0" w:line="0" w:lineRule="atLeast"/>
        <w:ind w:firstLine="480"/>
        <w:jc w:val="both"/>
        <w:rPr>
          <w:rFonts w:hint="eastAsia" w:ascii="宋体" w:hAnsi="宋体" w:eastAsia="宋体" w:cs="宋体"/>
          <w:color w:val="000000"/>
          <w:highlight w:val="none"/>
          <w:lang w:val="en-US" w:eastAsia="zh-CN"/>
        </w:rPr>
      </w:pPr>
    </w:p>
    <w:p w14:paraId="3EECE40F">
      <w:pPr>
        <w:pStyle w:val="34"/>
        <w:spacing w:beforeAutospacing="0" w:afterAutospacing="0" w:line="0" w:lineRule="atLeast"/>
        <w:ind w:firstLine="480"/>
        <w:jc w:val="both"/>
        <w:rPr>
          <w:rFonts w:hint="eastAsia" w:ascii="宋体" w:hAnsi="宋体" w:eastAsia="宋体" w:cs="宋体"/>
          <w:color w:val="000000"/>
          <w:highlight w:val="none"/>
          <w:lang w:val="en-US" w:eastAsia="zh-CN"/>
        </w:rPr>
      </w:pPr>
    </w:p>
    <w:p w14:paraId="2F53D27B">
      <w:pPr>
        <w:pStyle w:val="34"/>
        <w:spacing w:beforeAutospacing="0" w:afterAutospacing="0" w:line="0" w:lineRule="atLeast"/>
        <w:ind w:firstLine="480"/>
        <w:jc w:val="both"/>
        <w:rPr>
          <w:rFonts w:hint="eastAsia" w:ascii="宋体" w:hAnsi="宋体" w:eastAsia="宋体" w:cs="宋体"/>
          <w:color w:val="000000"/>
          <w:highlight w:val="none"/>
          <w:lang w:val="en-US" w:eastAsia="zh-CN"/>
        </w:rPr>
      </w:pPr>
    </w:p>
    <w:p w14:paraId="57903696">
      <w:pPr>
        <w:pStyle w:val="34"/>
        <w:spacing w:beforeAutospacing="0" w:afterAutospacing="0" w:line="0" w:lineRule="atLeast"/>
        <w:ind w:firstLine="480"/>
        <w:jc w:val="both"/>
        <w:rPr>
          <w:rFonts w:hint="eastAsia" w:ascii="宋体" w:hAnsi="宋体" w:eastAsia="宋体" w:cs="宋体"/>
          <w:color w:val="000000"/>
          <w:highlight w:val="none"/>
          <w:lang w:val="en-US" w:eastAsia="zh-CN"/>
        </w:rPr>
      </w:pPr>
    </w:p>
    <w:p w14:paraId="5CE6793E">
      <w:pPr>
        <w:pStyle w:val="34"/>
        <w:spacing w:beforeAutospacing="0" w:afterAutospacing="0" w:line="0" w:lineRule="atLeast"/>
        <w:ind w:firstLine="480"/>
        <w:jc w:val="both"/>
        <w:rPr>
          <w:rFonts w:hint="eastAsia" w:ascii="宋体" w:hAnsi="宋体" w:eastAsia="宋体" w:cs="宋体"/>
          <w:color w:val="000000"/>
          <w:highlight w:val="none"/>
          <w:lang w:val="en-US" w:eastAsia="zh-CN"/>
        </w:rPr>
      </w:pPr>
    </w:p>
    <w:p w14:paraId="453BA4EF">
      <w:pPr>
        <w:pStyle w:val="34"/>
        <w:spacing w:beforeAutospacing="0" w:afterAutospacing="0" w:line="0" w:lineRule="atLeast"/>
        <w:ind w:firstLine="480"/>
        <w:jc w:val="both"/>
        <w:rPr>
          <w:rFonts w:hint="eastAsia" w:ascii="宋体" w:hAnsi="宋体" w:eastAsia="宋体" w:cs="宋体"/>
          <w:color w:val="000000"/>
          <w:highlight w:val="none"/>
          <w:lang w:val="en-US" w:eastAsia="zh-CN"/>
        </w:rPr>
      </w:pPr>
    </w:p>
    <w:p w14:paraId="317097A5">
      <w:pPr>
        <w:pStyle w:val="34"/>
        <w:spacing w:beforeAutospacing="0" w:afterAutospacing="0" w:line="0" w:lineRule="atLeast"/>
        <w:ind w:firstLine="480"/>
        <w:jc w:val="both"/>
        <w:rPr>
          <w:rFonts w:hint="eastAsia" w:ascii="宋体" w:hAnsi="宋体" w:eastAsia="宋体" w:cs="宋体"/>
          <w:color w:val="000000"/>
          <w:highlight w:val="none"/>
          <w:lang w:val="en-US" w:eastAsia="zh-CN"/>
        </w:rPr>
      </w:pPr>
    </w:p>
    <w:p w14:paraId="5B5FE614">
      <w:pPr>
        <w:pStyle w:val="34"/>
        <w:spacing w:beforeAutospacing="0" w:afterAutospacing="0" w:line="0" w:lineRule="atLeast"/>
        <w:ind w:firstLine="480"/>
        <w:jc w:val="both"/>
        <w:rPr>
          <w:rFonts w:hint="eastAsia" w:ascii="宋体" w:hAnsi="宋体" w:eastAsia="宋体" w:cs="宋体"/>
          <w:color w:val="000000"/>
          <w:highlight w:val="none"/>
          <w:lang w:val="en-US" w:eastAsia="zh-CN"/>
        </w:rPr>
      </w:pPr>
    </w:p>
    <w:p w14:paraId="0667AC98">
      <w:pPr>
        <w:pStyle w:val="34"/>
        <w:spacing w:beforeAutospacing="0" w:afterAutospacing="0" w:line="0" w:lineRule="atLeast"/>
        <w:ind w:firstLine="480"/>
        <w:jc w:val="both"/>
        <w:rPr>
          <w:rFonts w:hint="eastAsia" w:ascii="宋体" w:hAnsi="宋体" w:eastAsia="宋体" w:cs="宋体"/>
          <w:color w:val="000000"/>
          <w:highlight w:val="none"/>
          <w:lang w:val="en-US" w:eastAsia="zh-CN"/>
        </w:rPr>
      </w:pPr>
    </w:p>
    <w:p w14:paraId="5062772D">
      <w:pPr>
        <w:pStyle w:val="34"/>
        <w:spacing w:beforeAutospacing="0" w:afterAutospacing="0" w:line="0" w:lineRule="atLeast"/>
        <w:ind w:firstLine="480"/>
        <w:jc w:val="both"/>
        <w:rPr>
          <w:rFonts w:hint="eastAsia" w:ascii="宋体" w:hAnsi="宋体" w:eastAsia="宋体" w:cs="宋体"/>
          <w:color w:val="000000"/>
          <w:highlight w:val="none"/>
          <w:lang w:val="en-US" w:eastAsia="zh-CN"/>
        </w:rPr>
      </w:pPr>
    </w:p>
    <w:p w14:paraId="1E50739D">
      <w:pPr>
        <w:pStyle w:val="34"/>
        <w:spacing w:beforeAutospacing="0" w:afterAutospacing="0" w:line="0" w:lineRule="atLeast"/>
        <w:ind w:firstLine="480"/>
        <w:jc w:val="both"/>
        <w:rPr>
          <w:rFonts w:hint="eastAsia" w:ascii="宋体" w:hAnsi="宋体" w:eastAsia="宋体" w:cs="宋体"/>
          <w:color w:val="000000"/>
          <w:highlight w:val="none"/>
          <w:lang w:val="en-US" w:eastAsia="zh-CN"/>
        </w:rPr>
      </w:pPr>
    </w:p>
    <w:p w14:paraId="5A743F82">
      <w:pPr>
        <w:pStyle w:val="34"/>
        <w:spacing w:beforeAutospacing="0" w:afterAutospacing="0" w:line="0" w:lineRule="atLeast"/>
        <w:ind w:firstLine="480"/>
        <w:jc w:val="both"/>
        <w:rPr>
          <w:rFonts w:hint="eastAsia" w:ascii="宋体" w:hAnsi="宋体" w:eastAsia="宋体" w:cs="宋体"/>
          <w:color w:val="000000"/>
          <w:highlight w:val="none"/>
          <w:lang w:val="en-US" w:eastAsia="zh-CN"/>
        </w:rPr>
      </w:pPr>
    </w:p>
    <w:p w14:paraId="1EB15AF2">
      <w:pPr>
        <w:widowControl/>
        <w:spacing w:before="50" w:after="50"/>
        <w:jc w:val="center"/>
        <w:rPr>
          <w:highlight w:val="none"/>
        </w:rPr>
      </w:pPr>
      <w:r>
        <w:rPr>
          <w:highlight w:val="none"/>
        </w:rPr>
        <w:tab/>
      </w:r>
    </w:p>
    <w:p w14:paraId="6CDA6CD7">
      <w:pPr>
        <w:widowControl/>
        <w:spacing w:before="50" w:after="50"/>
        <w:jc w:val="center"/>
        <w:rPr>
          <w:highlight w:val="none"/>
        </w:rPr>
      </w:pPr>
    </w:p>
    <w:p w14:paraId="6E0E11A4">
      <w:pPr>
        <w:widowControl/>
        <w:spacing w:before="50" w:after="50"/>
        <w:jc w:val="center"/>
        <w:rPr>
          <w:highlight w:val="none"/>
        </w:rPr>
      </w:pPr>
    </w:p>
    <w:p w14:paraId="6D7C3686">
      <w:pPr>
        <w:widowControl/>
        <w:spacing w:before="50" w:after="50"/>
        <w:jc w:val="center"/>
        <w:rPr>
          <w:highlight w:val="none"/>
        </w:rPr>
      </w:pPr>
    </w:p>
    <w:p w14:paraId="4A15EB10">
      <w:pPr>
        <w:widowControl/>
        <w:spacing w:before="50" w:after="50"/>
        <w:jc w:val="center"/>
        <w:rPr>
          <w:highlight w:val="none"/>
        </w:rPr>
      </w:pPr>
    </w:p>
    <w:p w14:paraId="17D31960">
      <w:pPr>
        <w:pStyle w:val="2"/>
        <w:rPr>
          <w:highlight w:val="none"/>
        </w:rPr>
      </w:pPr>
    </w:p>
    <w:p w14:paraId="096A3423">
      <w:pPr>
        <w:pStyle w:val="2"/>
        <w:rPr>
          <w:highlight w:val="none"/>
        </w:rPr>
      </w:pPr>
    </w:p>
    <w:p w14:paraId="0BFBF512">
      <w:pPr>
        <w:pStyle w:val="2"/>
        <w:rPr>
          <w:highlight w:val="none"/>
        </w:rPr>
      </w:pPr>
    </w:p>
    <w:p w14:paraId="174E20C0">
      <w:pPr>
        <w:widowControl/>
        <w:spacing w:before="50" w:after="50"/>
        <w:jc w:val="center"/>
        <w:rPr>
          <w:highlight w:val="none"/>
        </w:rPr>
      </w:pPr>
    </w:p>
    <w:p w14:paraId="76E3F468">
      <w:pPr>
        <w:widowControl/>
        <w:spacing w:before="50" w:after="50"/>
        <w:jc w:val="center"/>
        <w:rPr>
          <w:rFonts w:ascii="宋体" w:hAnsi="宋体" w:eastAsia="宋体" w:cs="宋体"/>
          <w:b/>
          <w:bCs/>
          <w:sz w:val="24"/>
          <w:highlight w:val="none"/>
        </w:rPr>
      </w:pPr>
      <w:r>
        <w:rPr>
          <w:rFonts w:hint="eastAsia" w:ascii="宋体" w:hAnsi="宋体" w:eastAsia="宋体" w:cs="宋体"/>
          <w:b/>
          <w:bCs/>
          <w:color w:val="000000"/>
          <w:sz w:val="32"/>
          <w:szCs w:val="32"/>
          <w:highlight w:val="none"/>
        </w:rPr>
        <w:t>十</w:t>
      </w:r>
      <w:r>
        <w:rPr>
          <w:rFonts w:hint="eastAsia" w:ascii="宋体" w:hAnsi="宋体" w:eastAsia="宋体" w:cs="宋体"/>
          <w:b/>
          <w:bCs/>
          <w:color w:val="000000"/>
          <w:sz w:val="32"/>
          <w:szCs w:val="32"/>
          <w:highlight w:val="none"/>
          <w:lang w:val="en-US" w:eastAsia="zh-CN"/>
        </w:rPr>
        <w:t>七</w:t>
      </w:r>
      <w:r>
        <w:rPr>
          <w:rFonts w:hint="eastAsia" w:ascii="宋体" w:hAnsi="宋体" w:eastAsia="宋体" w:cs="宋体"/>
          <w:b/>
          <w:bCs/>
          <w:color w:val="000000"/>
          <w:sz w:val="32"/>
          <w:szCs w:val="32"/>
          <w:highlight w:val="none"/>
        </w:rPr>
        <w:t>、技术方案、服务承诺、培训承诺等</w:t>
      </w:r>
    </w:p>
    <w:p w14:paraId="4973CEE6">
      <w:pPr>
        <w:pStyle w:val="34"/>
        <w:tabs>
          <w:tab w:val="left" w:pos="2160"/>
        </w:tabs>
        <w:spacing w:beforeAutospacing="0" w:afterAutospacing="0"/>
        <w:jc w:val="both"/>
        <w:rPr>
          <w:highlight w:val="none"/>
        </w:rPr>
      </w:pPr>
    </w:p>
    <w:p w14:paraId="0D65B2BD">
      <w:pPr>
        <w:widowControl/>
        <w:spacing w:line="499" w:lineRule="atLeast"/>
        <w:ind w:firstLine="1600"/>
        <w:rPr>
          <w:rFonts w:ascii="宋体" w:hAnsi="宋体" w:eastAsia="宋体" w:cs="宋体"/>
          <w:color w:val="000000"/>
          <w:sz w:val="32"/>
          <w:szCs w:val="32"/>
          <w:highlight w:val="none"/>
        </w:rPr>
      </w:pPr>
    </w:p>
    <w:p w14:paraId="732E602A">
      <w:pPr>
        <w:widowControl/>
        <w:spacing w:line="499" w:lineRule="atLeast"/>
        <w:ind w:firstLine="1600"/>
        <w:rPr>
          <w:rFonts w:ascii="宋体" w:hAnsi="宋体" w:eastAsia="宋体" w:cs="宋体"/>
          <w:color w:val="000000"/>
          <w:sz w:val="32"/>
          <w:szCs w:val="32"/>
          <w:highlight w:val="none"/>
        </w:rPr>
      </w:pPr>
    </w:p>
    <w:p w14:paraId="02EA7197">
      <w:pPr>
        <w:widowControl/>
        <w:spacing w:line="499" w:lineRule="atLeast"/>
        <w:ind w:firstLine="1600"/>
        <w:rPr>
          <w:rFonts w:ascii="宋体" w:hAnsi="宋体" w:eastAsia="宋体" w:cs="宋体"/>
          <w:color w:val="000000"/>
          <w:sz w:val="32"/>
          <w:szCs w:val="32"/>
          <w:highlight w:val="none"/>
        </w:rPr>
      </w:pPr>
    </w:p>
    <w:p w14:paraId="36D73540">
      <w:pPr>
        <w:widowControl/>
        <w:spacing w:line="499" w:lineRule="atLeast"/>
        <w:ind w:firstLine="1600"/>
        <w:rPr>
          <w:rFonts w:ascii="宋体" w:hAnsi="宋体" w:eastAsia="宋体" w:cs="宋体"/>
          <w:color w:val="000000"/>
          <w:sz w:val="32"/>
          <w:szCs w:val="32"/>
          <w:highlight w:val="none"/>
        </w:rPr>
      </w:pPr>
    </w:p>
    <w:p w14:paraId="379E7D28">
      <w:pPr>
        <w:widowControl/>
        <w:spacing w:line="499" w:lineRule="atLeast"/>
        <w:ind w:firstLine="1600"/>
        <w:rPr>
          <w:rFonts w:ascii="宋体" w:hAnsi="宋体" w:eastAsia="宋体" w:cs="宋体"/>
          <w:color w:val="000000"/>
          <w:sz w:val="32"/>
          <w:szCs w:val="32"/>
          <w:highlight w:val="none"/>
        </w:rPr>
      </w:pPr>
    </w:p>
    <w:p w14:paraId="2844DDB7">
      <w:pPr>
        <w:widowControl/>
        <w:spacing w:line="499" w:lineRule="atLeast"/>
        <w:ind w:firstLine="1600"/>
        <w:rPr>
          <w:rFonts w:ascii="宋体" w:hAnsi="宋体" w:eastAsia="宋体" w:cs="宋体"/>
          <w:color w:val="000000"/>
          <w:sz w:val="32"/>
          <w:szCs w:val="32"/>
          <w:highlight w:val="none"/>
        </w:rPr>
      </w:pPr>
    </w:p>
    <w:p w14:paraId="01AE026A">
      <w:pPr>
        <w:widowControl/>
        <w:spacing w:line="499" w:lineRule="atLeast"/>
        <w:ind w:firstLine="1600"/>
        <w:rPr>
          <w:rFonts w:ascii="宋体" w:hAnsi="宋体" w:eastAsia="宋体" w:cs="宋体"/>
          <w:color w:val="000000"/>
          <w:sz w:val="32"/>
          <w:szCs w:val="32"/>
          <w:highlight w:val="none"/>
        </w:rPr>
      </w:pPr>
    </w:p>
    <w:p w14:paraId="55913953">
      <w:pPr>
        <w:widowControl/>
        <w:spacing w:line="499" w:lineRule="atLeast"/>
        <w:ind w:firstLine="1600"/>
        <w:rPr>
          <w:rFonts w:ascii="宋体" w:hAnsi="宋体" w:eastAsia="宋体" w:cs="宋体"/>
          <w:color w:val="000000"/>
          <w:sz w:val="32"/>
          <w:szCs w:val="32"/>
          <w:highlight w:val="none"/>
        </w:rPr>
      </w:pPr>
    </w:p>
    <w:p w14:paraId="3C86B821">
      <w:pPr>
        <w:widowControl/>
        <w:spacing w:line="499" w:lineRule="atLeast"/>
        <w:ind w:firstLine="1600"/>
        <w:rPr>
          <w:rFonts w:ascii="宋体" w:hAnsi="宋体" w:eastAsia="宋体" w:cs="宋体"/>
          <w:color w:val="000000"/>
          <w:sz w:val="32"/>
          <w:szCs w:val="32"/>
          <w:highlight w:val="none"/>
        </w:rPr>
      </w:pPr>
    </w:p>
    <w:p w14:paraId="28014BD4">
      <w:pPr>
        <w:widowControl/>
        <w:spacing w:line="499" w:lineRule="atLeast"/>
        <w:ind w:firstLine="1600"/>
        <w:rPr>
          <w:rFonts w:ascii="宋体" w:hAnsi="宋体" w:eastAsia="宋体" w:cs="宋体"/>
          <w:color w:val="000000"/>
          <w:sz w:val="32"/>
          <w:szCs w:val="32"/>
          <w:highlight w:val="none"/>
        </w:rPr>
      </w:pPr>
    </w:p>
    <w:p w14:paraId="4E0A79B3">
      <w:pPr>
        <w:widowControl/>
        <w:spacing w:line="499" w:lineRule="atLeast"/>
        <w:ind w:firstLine="1600"/>
        <w:rPr>
          <w:rFonts w:ascii="宋体" w:hAnsi="宋体" w:eastAsia="宋体" w:cs="宋体"/>
          <w:color w:val="000000"/>
          <w:sz w:val="32"/>
          <w:szCs w:val="32"/>
          <w:highlight w:val="none"/>
        </w:rPr>
      </w:pPr>
    </w:p>
    <w:p w14:paraId="3107EDD7">
      <w:pPr>
        <w:widowControl/>
        <w:spacing w:line="499" w:lineRule="atLeast"/>
        <w:ind w:firstLine="1600"/>
        <w:rPr>
          <w:rFonts w:ascii="宋体" w:hAnsi="宋体" w:eastAsia="宋体" w:cs="宋体"/>
          <w:color w:val="000000"/>
          <w:sz w:val="32"/>
          <w:szCs w:val="32"/>
          <w:highlight w:val="none"/>
        </w:rPr>
      </w:pPr>
    </w:p>
    <w:p w14:paraId="14A7E57F">
      <w:pPr>
        <w:widowControl/>
        <w:spacing w:line="499" w:lineRule="atLeast"/>
        <w:ind w:firstLine="1600"/>
        <w:rPr>
          <w:rFonts w:ascii="宋体" w:hAnsi="宋体" w:eastAsia="宋体" w:cs="宋体"/>
          <w:color w:val="000000"/>
          <w:sz w:val="32"/>
          <w:szCs w:val="32"/>
          <w:highlight w:val="none"/>
        </w:rPr>
      </w:pPr>
    </w:p>
    <w:p w14:paraId="01020DEC">
      <w:pPr>
        <w:widowControl/>
        <w:spacing w:line="499" w:lineRule="atLeast"/>
        <w:ind w:firstLine="1600"/>
        <w:rPr>
          <w:rFonts w:ascii="宋体" w:hAnsi="宋体" w:eastAsia="宋体" w:cs="宋体"/>
          <w:color w:val="000000"/>
          <w:sz w:val="32"/>
          <w:szCs w:val="32"/>
          <w:highlight w:val="none"/>
        </w:rPr>
      </w:pPr>
    </w:p>
    <w:p w14:paraId="6C6BC689">
      <w:pPr>
        <w:widowControl/>
        <w:spacing w:line="499" w:lineRule="atLeast"/>
        <w:ind w:firstLine="1600"/>
        <w:rPr>
          <w:rFonts w:ascii="宋体" w:hAnsi="宋体" w:eastAsia="宋体" w:cs="宋体"/>
          <w:color w:val="000000"/>
          <w:sz w:val="32"/>
          <w:szCs w:val="32"/>
          <w:highlight w:val="none"/>
        </w:rPr>
      </w:pPr>
    </w:p>
    <w:p w14:paraId="451CBBC6">
      <w:pPr>
        <w:widowControl/>
        <w:spacing w:line="499" w:lineRule="atLeast"/>
        <w:ind w:firstLine="1600"/>
        <w:rPr>
          <w:rFonts w:ascii="宋体" w:hAnsi="宋体" w:eastAsia="宋体" w:cs="宋体"/>
          <w:color w:val="000000"/>
          <w:sz w:val="32"/>
          <w:szCs w:val="32"/>
          <w:highlight w:val="none"/>
        </w:rPr>
      </w:pPr>
    </w:p>
    <w:p w14:paraId="02483581">
      <w:pPr>
        <w:widowControl/>
        <w:spacing w:line="499" w:lineRule="atLeast"/>
        <w:ind w:firstLine="1600"/>
        <w:rPr>
          <w:rFonts w:ascii="宋体" w:hAnsi="宋体" w:eastAsia="宋体" w:cs="宋体"/>
          <w:color w:val="000000"/>
          <w:sz w:val="32"/>
          <w:szCs w:val="32"/>
          <w:highlight w:val="none"/>
        </w:rPr>
      </w:pPr>
    </w:p>
    <w:p w14:paraId="1723A208">
      <w:pPr>
        <w:widowControl/>
        <w:spacing w:line="499" w:lineRule="atLeast"/>
        <w:ind w:firstLine="1600"/>
        <w:rPr>
          <w:rFonts w:ascii="宋体" w:hAnsi="宋体" w:eastAsia="宋体" w:cs="宋体"/>
          <w:color w:val="000000"/>
          <w:sz w:val="32"/>
          <w:szCs w:val="32"/>
          <w:highlight w:val="none"/>
        </w:rPr>
      </w:pPr>
    </w:p>
    <w:p w14:paraId="062BE85E">
      <w:pPr>
        <w:widowControl/>
        <w:spacing w:line="499" w:lineRule="atLeast"/>
        <w:ind w:firstLine="1600"/>
        <w:rPr>
          <w:rFonts w:ascii="宋体" w:hAnsi="宋体" w:eastAsia="宋体" w:cs="宋体"/>
          <w:color w:val="000000"/>
          <w:sz w:val="32"/>
          <w:szCs w:val="32"/>
          <w:highlight w:val="none"/>
        </w:rPr>
      </w:pPr>
    </w:p>
    <w:p w14:paraId="635B1504">
      <w:pPr>
        <w:widowControl/>
        <w:spacing w:line="499" w:lineRule="atLeast"/>
        <w:ind w:firstLine="1600"/>
        <w:rPr>
          <w:rFonts w:ascii="宋体" w:hAnsi="宋体" w:eastAsia="宋体" w:cs="宋体"/>
          <w:color w:val="000000"/>
          <w:sz w:val="32"/>
          <w:szCs w:val="32"/>
          <w:highlight w:val="none"/>
        </w:rPr>
      </w:pPr>
    </w:p>
    <w:p w14:paraId="1D2592F3">
      <w:pPr>
        <w:widowControl/>
        <w:spacing w:line="499" w:lineRule="atLeast"/>
        <w:ind w:firstLine="1600"/>
        <w:rPr>
          <w:rFonts w:ascii="宋体" w:hAnsi="宋体" w:eastAsia="宋体" w:cs="宋体"/>
          <w:color w:val="000000"/>
          <w:sz w:val="32"/>
          <w:szCs w:val="32"/>
          <w:highlight w:val="none"/>
        </w:rPr>
      </w:pPr>
    </w:p>
    <w:p w14:paraId="2ED519C6">
      <w:pPr>
        <w:widowControl/>
        <w:spacing w:line="499" w:lineRule="atLeast"/>
        <w:ind w:firstLine="1600"/>
        <w:rPr>
          <w:rFonts w:ascii="宋体" w:hAnsi="宋体" w:eastAsia="宋体" w:cs="宋体"/>
          <w:color w:val="000000"/>
          <w:sz w:val="32"/>
          <w:szCs w:val="32"/>
          <w:highlight w:val="none"/>
        </w:rPr>
      </w:pPr>
    </w:p>
    <w:p w14:paraId="4A4C6669">
      <w:pPr>
        <w:widowControl/>
        <w:spacing w:line="499" w:lineRule="atLeast"/>
        <w:ind w:firstLine="1600"/>
        <w:rPr>
          <w:rFonts w:ascii="宋体" w:hAnsi="宋体" w:eastAsia="宋体" w:cs="宋体"/>
          <w:color w:val="000000"/>
          <w:sz w:val="32"/>
          <w:szCs w:val="32"/>
          <w:highlight w:val="none"/>
        </w:rPr>
      </w:pPr>
    </w:p>
    <w:p w14:paraId="08CC4A31">
      <w:pPr>
        <w:widowControl/>
        <w:spacing w:line="499" w:lineRule="atLeast"/>
        <w:ind w:firstLine="1600"/>
        <w:rPr>
          <w:rFonts w:ascii="宋体" w:hAnsi="宋体" w:eastAsia="宋体" w:cs="宋体"/>
          <w:color w:val="000000"/>
          <w:sz w:val="32"/>
          <w:szCs w:val="32"/>
          <w:highlight w:val="none"/>
        </w:rPr>
      </w:pPr>
    </w:p>
    <w:p w14:paraId="0235292D">
      <w:pPr>
        <w:widowControl/>
        <w:spacing w:line="499" w:lineRule="atLeast"/>
        <w:ind w:firstLine="1600"/>
        <w:rPr>
          <w:rFonts w:ascii="宋体" w:hAnsi="宋体" w:eastAsia="宋体" w:cs="宋体"/>
          <w:color w:val="000000"/>
          <w:sz w:val="32"/>
          <w:szCs w:val="32"/>
          <w:highlight w:val="none"/>
        </w:rPr>
      </w:pPr>
    </w:p>
    <w:p w14:paraId="1EF00EBD">
      <w:pPr>
        <w:widowControl/>
        <w:spacing w:line="499" w:lineRule="atLeast"/>
        <w:ind w:firstLine="1600"/>
        <w:rPr>
          <w:rFonts w:ascii="宋体" w:hAnsi="宋体" w:eastAsia="宋体" w:cs="宋体"/>
          <w:b/>
          <w:bCs/>
          <w:sz w:val="24"/>
          <w:highlight w:val="none"/>
        </w:rPr>
      </w:pPr>
      <w:r>
        <w:rPr>
          <w:rFonts w:hint="eastAsia" w:ascii="宋体" w:hAnsi="宋体" w:eastAsia="宋体" w:cs="宋体"/>
          <w:b/>
          <w:bCs/>
          <w:color w:val="000000"/>
          <w:sz w:val="32"/>
          <w:szCs w:val="32"/>
          <w:highlight w:val="none"/>
        </w:rPr>
        <w:t>十</w:t>
      </w:r>
      <w:r>
        <w:rPr>
          <w:rFonts w:hint="eastAsia" w:ascii="宋体" w:hAnsi="宋体" w:eastAsia="宋体" w:cs="宋体"/>
          <w:b/>
          <w:bCs/>
          <w:color w:val="000000"/>
          <w:sz w:val="32"/>
          <w:szCs w:val="32"/>
          <w:highlight w:val="none"/>
          <w:lang w:val="en-US" w:eastAsia="zh-CN"/>
        </w:rPr>
        <w:t>八</w:t>
      </w:r>
      <w:r>
        <w:rPr>
          <w:rFonts w:hint="eastAsia" w:ascii="宋体" w:hAnsi="宋体" w:eastAsia="宋体" w:cs="宋体"/>
          <w:b/>
          <w:bCs/>
          <w:color w:val="000000"/>
          <w:sz w:val="32"/>
          <w:szCs w:val="32"/>
          <w:highlight w:val="none"/>
        </w:rPr>
        <w:t>、盐城市政府采购事前信用承诺书</w:t>
      </w:r>
    </w:p>
    <w:p w14:paraId="13C5D096">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737477C0">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109D6DF9">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DDA9222">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37F6C6C4">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w:t>
      </w:r>
      <w:r>
        <w:rPr>
          <w:rFonts w:hint="eastAsia" w:ascii="宋体" w:hAnsi="宋体" w:eastAsia="宋体" w:cs="宋体"/>
          <w:color w:val="000000"/>
          <w:sz w:val="24"/>
          <w:highlight w:val="none"/>
          <w:lang w:eastAsia="zh-CN"/>
        </w:rPr>
        <w:t>维护和更新</w:t>
      </w:r>
      <w:r>
        <w:rPr>
          <w:rFonts w:hint="eastAsia" w:ascii="宋体" w:hAnsi="宋体" w:eastAsia="宋体" w:cs="宋体"/>
          <w:color w:val="000000"/>
          <w:sz w:val="24"/>
          <w:highlight w:val="none"/>
        </w:rPr>
        <w:t>盐城市政府采购网中与本单位相关的信息；</w:t>
      </w:r>
    </w:p>
    <w:p w14:paraId="3A41E63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154ED3E6">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251B4280">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F6F9E2B">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0A2FC930">
      <w:pPr>
        <w:widowControl/>
        <w:spacing w:line="499" w:lineRule="atLeast"/>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w:t>
      </w:r>
      <w:r>
        <w:rPr>
          <w:rFonts w:hint="eastAsia" w:ascii="宋体" w:hAnsi="宋体" w:eastAsia="宋体" w:cs="宋体"/>
          <w:color w:val="000000"/>
          <w:sz w:val="24"/>
          <w:highlight w:val="none"/>
          <w:lang w:val="en-US" w:eastAsia="zh-CN"/>
        </w:rPr>
        <w:t xml:space="preserve">       </w:t>
      </w:r>
    </w:p>
    <w:p w14:paraId="39745D29">
      <w:pPr>
        <w:pStyle w:val="34"/>
        <w:spacing w:beforeAutospacing="0" w:afterAutospacing="0"/>
        <w:jc w:val="center"/>
        <w:rPr>
          <w:rFonts w:hint="eastAsia"/>
          <w:highlight w:val="none"/>
        </w:rPr>
      </w:pPr>
      <w:r>
        <w:rPr>
          <w:rFonts w:hint="eastAsia"/>
          <w:highlight w:val="none"/>
        </w:rPr>
        <w:t>企业名称（加盖CA电子公章）：</w:t>
      </w:r>
    </w:p>
    <w:p w14:paraId="1115770B">
      <w:pPr>
        <w:pStyle w:val="34"/>
        <w:spacing w:beforeAutospacing="0" w:afterAutospacing="0"/>
        <w:jc w:val="center"/>
        <w:rPr>
          <w:rFonts w:hint="eastAsia"/>
          <w:highlight w:val="none"/>
        </w:rPr>
      </w:pPr>
      <w:r>
        <w:rPr>
          <w:rFonts w:hint="eastAsia"/>
          <w:highlight w:val="none"/>
        </w:rPr>
        <w:t xml:space="preserve">                         </w:t>
      </w:r>
    </w:p>
    <w:p w14:paraId="57DB74F9">
      <w:pPr>
        <w:pStyle w:val="34"/>
        <w:spacing w:beforeAutospacing="0" w:afterAutospacing="0"/>
        <w:jc w:val="center"/>
        <w:rPr>
          <w:highlight w:val="none"/>
        </w:rPr>
      </w:pPr>
      <w:r>
        <w:rPr>
          <w:rFonts w:hint="eastAsia"/>
          <w:highlight w:val="none"/>
        </w:rPr>
        <w:t>年   月    日</w:t>
      </w:r>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77"/>
      <w:bookmarkEnd w:id="196"/>
      <w:bookmarkEnd w:id="206"/>
      <w:bookmarkEnd w:id="207"/>
      <w:bookmarkEnd w:id="209"/>
      <w:bookmarkEnd w:id="210"/>
      <w:bookmarkEnd w:id="211"/>
      <w:bookmarkEnd w:id="213"/>
      <w:bookmarkEnd w:id="222"/>
      <w:bookmarkEnd w:id="223"/>
      <w:bookmarkEnd w:id="224"/>
      <w:bookmarkEnd w:id="225"/>
      <w:bookmarkEnd w:id="226"/>
    </w:p>
    <w:p w14:paraId="70501E1C">
      <w:pPr>
        <w:rPr>
          <w:highlight w:val="none"/>
        </w:rPr>
      </w:pPr>
    </w:p>
    <w:p w14:paraId="40D4B1E1">
      <w:pPr>
        <w:pStyle w:val="34"/>
        <w:spacing w:beforeAutospacing="0" w:afterAutospacing="0"/>
        <w:jc w:val="center"/>
        <w:rPr>
          <w:rFonts w:hint="eastAsia" w:ascii="宋体" w:hAnsi="宋体" w:eastAsia="宋体" w:cs="宋体"/>
          <w:b/>
          <w:color w:val="000000"/>
          <w:sz w:val="32"/>
          <w:szCs w:val="32"/>
          <w:highlight w:val="none"/>
        </w:rPr>
      </w:pPr>
    </w:p>
    <w:p w14:paraId="28F3A4EA">
      <w:pPr>
        <w:pStyle w:val="34"/>
        <w:spacing w:beforeAutospacing="0" w:afterAutospacing="0"/>
        <w:jc w:val="center"/>
        <w:rPr>
          <w:rFonts w:hint="eastAsia" w:ascii="宋体" w:hAnsi="宋体" w:eastAsia="宋体" w:cs="宋体"/>
          <w:b/>
          <w:color w:val="000000"/>
          <w:sz w:val="32"/>
          <w:szCs w:val="32"/>
          <w:highlight w:val="none"/>
        </w:rPr>
      </w:pPr>
    </w:p>
    <w:p w14:paraId="19C894A0">
      <w:pPr>
        <w:pStyle w:val="34"/>
        <w:spacing w:beforeAutospacing="0" w:afterAutospacing="0"/>
        <w:jc w:val="center"/>
        <w:rPr>
          <w:rFonts w:hint="eastAsia" w:ascii="宋体" w:hAnsi="宋体" w:eastAsia="宋体" w:cs="宋体"/>
          <w:b/>
          <w:color w:val="000000"/>
          <w:sz w:val="32"/>
          <w:szCs w:val="32"/>
          <w:highlight w:val="none"/>
        </w:rPr>
      </w:pPr>
    </w:p>
    <w:p w14:paraId="05A14A91">
      <w:pPr>
        <w:pStyle w:val="34"/>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4D4527A2">
      <w:pPr>
        <w:pStyle w:val="34"/>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12ABF7CF">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745EA593">
      <w:pPr>
        <w:pStyle w:val="34"/>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483C07A3">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1AC66E2F">
      <w:pPr>
        <w:pStyle w:val="34"/>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755FD73F">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563D8CEB">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7AB8474E">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51A67E3F">
      <w:pPr>
        <w:pStyle w:val="34"/>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1DA510F">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6D1A8A69">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70F78367">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5BF15557">
      <w:pPr>
        <w:pStyle w:val="34"/>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76AE6330">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29F0519">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5C40C48B">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42DDB619">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398CCBEB">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2513B54C">
      <w:pPr>
        <w:pStyle w:val="34"/>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522E747C">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70763B70">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37F91B62">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6F37F508">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4BCE0E0F">
      <w:pPr>
        <w:pStyle w:val="34"/>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68DFE8FC">
      <w:pPr>
        <w:pStyle w:val="34"/>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529FFAE0">
      <w:pPr>
        <w:pStyle w:val="34"/>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3FAA9C82">
      <w:pPr>
        <w:pStyle w:val="34"/>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52724670">
      <w:pPr>
        <w:pStyle w:val="34"/>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949D5BD">
      <w:pPr>
        <w:pStyle w:val="34"/>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4984AB51">
      <w:pPr>
        <w:pStyle w:val="34"/>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33A15CCC">
      <w:pPr>
        <w:pStyle w:val="34"/>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02B121F0">
      <w:pPr>
        <w:pStyle w:val="34"/>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3A988B5B">
      <w:pPr>
        <w:pStyle w:val="34"/>
        <w:spacing w:beforeAutospacing="0" w:afterAutospacing="0"/>
        <w:ind w:firstLine="420"/>
        <w:jc w:val="both"/>
        <w:rPr>
          <w:rFonts w:ascii="宋体" w:hAnsi="宋体" w:eastAsia="宋体" w:cs="宋体"/>
          <w:highlight w:val="none"/>
        </w:rPr>
      </w:pPr>
      <w:r>
        <w:rPr>
          <w:rFonts w:hint="eastAsia" w:ascii="宋体" w:hAnsi="宋体" w:eastAsia="宋体" w:cs="宋体"/>
          <w:highlight w:val="none"/>
        </w:rPr>
        <w:t> </w:t>
      </w:r>
    </w:p>
    <w:p w14:paraId="64FD5A76">
      <w:pPr>
        <w:rPr>
          <w:highlight w:val="none"/>
        </w:rPr>
      </w:pPr>
    </w:p>
    <w:sectPr>
      <w:footerReference r:id="rId3"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8CACBEB-D685-4FE1-B6B1-19323AD4154B}"/>
  </w:font>
  <w:font w:name="Arial">
    <w:panose1 w:val="020B0604020202020204"/>
    <w:charset w:val="01"/>
    <w:family w:val="swiss"/>
    <w:pitch w:val="default"/>
    <w:sig w:usb0="E0002EFF" w:usb1="C000785B" w:usb2="00000009" w:usb3="00000000" w:csb0="400001FF" w:csb1="FFFF0000"/>
    <w:embedRegular r:id="rId2" w:fontKey="{180CC0A3-2976-467A-8D60-C8D76FF5E5C0}"/>
  </w:font>
  <w:font w:name="黑体">
    <w:panose1 w:val="02010609060101010101"/>
    <w:charset w:val="86"/>
    <w:family w:val="auto"/>
    <w:pitch w:val="default"/>
    <w:sig w:usb0="800002BF" w:usb1="38CF7CFA" w:usb2="00000016" w:usb3="00000000" w:csb0="00040001" w:csb1="00000000"/>
    <w:embedRegular r:id="rId3" w:fontKey="{E94E951C-478D-4C66-B031-FC6F101CDC2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4" w:fontKey="{F934AC2D-B870-454E-BE4C-A592D8560E49}"/>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A00002BF" w:usb1="78CF7CFB" w:usb2="00000016" w:usb3="00000000" w:csb0="6006009F" w:csb1="DFD70000"/>
    <w:embedRegular r:id="rId5" w:fontKey="{7BCADA57-9270-4056-AACC-F4C493EB5931}"/>
  </w:font>
  <w:font w:name="华文中宋">
    <w:panose1 w:val="02010600040101010101"/>
    <w:charset w:val="86"/>
    <w:family w:val="auto"/>
    <w:pitch w:val="default"/>
    <w:sig w:usb0="00000287" w:usb1="080F0000" w:usb2="00000000" w:usb3="00000000" w:csb0="0004009F" w:csb1="DFD70000"/>
    <w:embedRegular r:id="rId6" w:fontKey="{E11C3B7A-B63E-47CB-9057-9253FA6B75C0}"/>
  </w:font>
  <w:font w:name="仿宋_GB2312">
    <w:altName w:val="仿宋"/>
    <w:panose1 w:val="02010609060101010101"/>
    <w:charset w:val="00"/>
    <w:family w:val="auto"/>
    <w:pitch w:val="default"/>
    <w:sig w:usb0="00000000" w:usb1="00000000" w:usb2="00000000" w:usb3="00000000" w:csb0="00000000" w:csb1="00000000"/>
    <w:embedRegular r:id="rId7" w:fontKey="{4C405086-8609-450D-BA5C-B592BA182B7D}"/>
  </w:font>
  <w:font w:name="Arial">
    <w:panose1 w:val="020B0604020202020204"/>
    <w:charset w:val="00"/>
    <w:family w:val="auto"/>
    <w:pitch w:val="default"/>
    <w:sig w:usb0="E0002EFF" w:usb1="C000785B" w:usb2="00000009" w:usb3="00000000" w:csb0="400001FF" w:csb1="FFFF0000"/>
    <w:embedRegular r:id="rId8" w:fontKey="{8ED8E946-0864-45C8-97BB-AE0CB3332FE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46509">
    <w:pPr>
      <w:pStyle w:val="2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806338">
                          <w:pPr>
                            <w:pStyle w:val="2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43806338">
                    <w:pPr>
                      <w:pStyle w:val="23"/>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6BC116"/>
    <w:multiLevelType w:val="singleLevel"/>
    <w:tmpl w:val="BF6BC116"/>
    <w:lvl w:ilvl="0" w:tentative="0">
      <w:start w:val="16"/>
      <w:numFmt w:val="decimal"/>
      <w:suff w:val="space"/>
      <w:lvlText w:val="%1."/>
      <w:lvlJc w:val="left"/>
      <w:pPr>
        <w:ind w:left="0" w:firstLine="0"/>
      </w:pPr>
    </w:lvl>
  </w:abstractNum>
  <w:abstractNum w:abstractNumId="2">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5B14649"/>
    <w:multiLevelType w:val="singleLevel"/>
    <w:tmpl w:val="D5B14649"/>
    <w:lvl w:ilvl="0" w:tentative="0">
      <w:start w:val="4"/>
      <w:numFmt w:val="decimal"/>
      <w:suff w:val="nothing"/>
      <w:lvlText w:val="（%1）"/>
      <w:lvlJc w:val="left"/>
    </w:lvl>
  </w:abstractNum>
  <w:abstractNum w:abstractNumId="4">
    <w:nsid w:val="DDECD3BC"/>
    <w:multiLevelType w:val="singleLevel"/>
    <w:tmpl w:val="DDECD3BC"/>
    <w:lvl w:ilvl="0" w:tentative="0">
      <w:start w:val="6"/>
      <w:numFmt w:val="decimal"/>
      <w:suff w:val="space"/>
      <w:lvlText w:val="%1."/>
      <w:lvlJc w:val="left"/>
      <w:pPr>
        <w:ind w:left="0" w:firstLine="0"/>
      </w:pPr>
    </w:lvl>
  </w:abstractNum>
  <w:abstractNum w:abstractNumId="5">
    <w:nsid w:val="DE759F4B"/>
    <w:multiLevelType w:val="singleLevel"/>
    <w:tmpl w:val="DE759F4B"/>
    <w:lvl w:ilvl="0" w:tentative="0">
      <w:start w:val="2"/>
      <w:numFmt w:val="decimal"/>
      <w:suff w:val="space"/>
      <w:lvlText w:val="%1."/>
      <w:lvlJc w:val="left"/>
      <w:pPr>
        <w:ind w:left="0" w:firstLine="0"/>
      </w:pPr>
    </w:lvl>
  </w:abstractNum>
  <w:abstractNum w:abstractNumId="6">
    <w:nsid w:val="DEABE1DB"/>
    <w:multiLevelType w:val="singleLevel"/>
    <w:tmpl w:val="DEABE1DB"/>
    <w:lvl w:ilvl="0" w:tentative="0">
      <w:start w:val="23"/>
      <w:numFmt w:val="decimal"/>
      <w:suff w:val="space"/>
      <w:lvlText w:val="%1."/>
      <w:lvlJc w:val="left"/>
      <w:pPr>
        <w:ind w:left="0" w:firstLine="0"/>
      </w:pPr>
    </w:lvl>
  </w:abstractNum>
  <w:abstractNum w:abstractNumId="7">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3"/>
  </w:num>
  <w:num w:numId="4">
    <w:abstractNumId w:val="8"/>
  </w:num>
  <w:num w:numId="5">
    <w:abstractNumId w:val="5"/>
    <w:lvlOverride w:ilvl="0">
      <w:startOverride w:val="2"/>
    </w:lvlOverride>
  </w:num>
  <w:num w:numId="6">
    <w:abstractNumId w:val="4"/>
    <w:lvlOverride w:ilvl="0">
      <w:startOverride w:val="6"/>
    </w:lvlOverride>
  </w:num>
  <w:num w:numId="7">
    <w:abstractNumId w:val="1"/>
    <w:lvlOverride w:ilvl="0">
      <w:startOverride w:val="16"/>
    </w:lvlOverride>
  </w:num>
  <w:num w:numId="8">
    <w:abstractNumId w:val="6"/>
    <w:lvlOverride w:ilvl="0">
      <w:startOverride w:val="23"/>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95020E"/>
    <w:rsid w:val="02704AC1"/>
    <w:rsid w:val="03C70711"/>
    <w:rsid w:val="07406765"/>
    <w:rsid w:val="078C226D"/>
    <w:rsid w:val="084E1401"/>
    <w:rsid w:val="09771A48"/>
    <w:rsid w:val="09F43853"/>
    <w:rsid w:val="0B4765DB"/>
    <w:rsid w:val="0C886EAB"/>
    <w:rsid w:val="11B50B27"/>
    <w:rsid w:val="1494463F"/>
    <w:rsid w:val="15080B89"/>
    <w:rsid w:val="16551BAC"/>
    <w:rsid w:val="19F416DC"/>
    <w:rsid w:val="1A6632C0"/>
    <w:rsid w:val="1B6805D3"/>
    <w:rsid w:val="1F095C2A"/>
    <w:rsid w:val="210C37AF"/>
    <w:rsid w:val="22487203"/>
    <w:rsid w:val="224F429B"/>
    <w:rsid w:val="22943A5C"/>
    <w:rsid w:val="2533755C"/>
    <w:rsid w:val="292F2731"/>
    <w:rsid w:val="29791BFE"/>
    <w:rsid w:val="29E4351B"/>
    <w:rsid w:val="2B2D4A4E"/>
    <w:rsid w:val="2B6C5576"/>
    <w:rsid w:val="2BD51BDA"/>
    <w:rsid w:val="2CBE44F7"/>
    <w:rsid w:val="2CC567B5"/>
    <w:rsid w:val="30A752A2"/>
    <w:rsid w:val="30F027A5"/>
    <w:rsid w:val="3128504F"/>
    <w:rsid w:val="34A51AF9"/>
    <w:rsid w:val="36BD312A"/>
    <w:rsid w:val="37217B5C"/>
    <w:rsid w:val="39E3734B"/>
    <w:rsid w:val="3D28112B"/>
    <w:rsid w:val="3DFD29A6"/>
    <w:rsid w:val="3ED173A2"/>
    <w:rsid w:val="3ED951C1"/>
    <w:rsid w:val="3FE71217"/>
    <w:rsid w:val="41FA7928"/>
    <w:rsid w:val="4352109E"/>
    <w:rsid w:val="45455B27"/>
    <w:rsid w:val="45F230EE"/>
    <w:rsid w:val="46E768C5"/>
    <w:rsid w:val="472C5723"/>
    <w:rsid w:val="47794E4B"/>
    <w:rsid w:val="47C016D8"/>
    <w:rsid w:val="47D14C87"/>
    <w:rsid w:val="4A0E2A17"/>
    <w:rsid w:val="4C8C0750"/>
    <w:rsid w:val="4C9149E5"/>
    <w:rsid w:val="51121E6C"/>
    <w:rsid w:val="51A727CC"/>
    <w:rsid w:val="527D7845"/>
    <w:rsid w:val="543A3BB4"/>
    <w:rsid w:val="55D911AB"/>
    <w:rsid w:val="56275F3C"/>
    <w:rsid w:val="56CD0851"/>
    <w:rsid w:val="58C6010C"/>
    <w:rsid w:val="5AA91A93"/>
    <w:rsid w:val="5D3E4715"/>
    <w:rsid w:val="5E1611EE"/>
    <w:rsid w:val="5EB50A07"/>
    <w:rsid w:val="60FF065F"/>
    <w:rsid w:val="628F5A13"/>
    <w:rsid w:val="63043D0B"/>
    <w:rsid w:val="6408494F"/>
    <w:rsid w:val="6491119F"/>
    <w:rsid w:val="652E1C73"/>
    <w:rsid w:val="65533C99"/>
    <w:rsid w:val="68BA4E6C"/>
    <w:rsid w:val="6B1656C9"/>
    <w:rsid w:val="6DE72699"/>
    <w:rsid w:val="715916C6"/>
    <w:rsid w:val="725F0F5E"/>
    <w:rsid w:val="72BF19FC"/>
    <w:rsid w:val="744E128A"/>
    <w:rsid w:val="749F7D37"/>
    <w:rsid w:val="76124539"/>
    <w:rsid w:val="765406EB"/>
    <w:rsid w:val="76874F74"/>
    <w:rsid w:val="76E33984"/>
    <w:rsid w:val="7D496A92"/>
    <w:rsid w:val="7DBA79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sz w:val="48"/>
      <w:szCs w:val="48"/>
      <w:lang w:val="en-US" w:eastAsia="zh-CN" w:bidi="ar"/>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5">
    <w:name w:val="heading 3"/>
    <w:basedOn w:val="1"/>
    <w:next w:val="1"/>
    <w:semiHidden/>
    <w:unhideWhenUsed/>
    <w:qFormat/>
    <w:uiPriority w:val="0"/>
    <w:pPr>
      <w:spacing w:before="0" w:beforeAutospacing="1" w:after="0" w:afterAutospacing="1"/>
      <w:jc w:val="left"/>
    </w:pPr>
    <w:rPr>
      <w:rFonts w:hint="eastAsia" w:ascii="宋体" w:hAnsi="宋体" w:eastAsia="宋体" w:cs="宋体"/>
      <w:b/>
      <w:bCs/>
      <w:sz w:val="27"/>
      <w:szCs w:val="27"/>
      <w:lang w:val="en-US" w:eastAsia="zh-CN" w:bidi="ar"/>
    </w:rPr>
  </w:style>
  <w:style w:type="paragraph" w:styleId="6">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1"/>
    <w:semiHidden/>
    <w:qFormat/>
    <w:uiPriority w:val="0"/>
    <w:pPr>
      <w:jc w:val="left"/>
    </w:pPr>
    <w:rPr>
      <w:rFonts w:ascii="宋体" w:hAnsi="Calibri" w:cs="宋体"/>
      <w:color w:val="000000"/>
      <w:sz w:val="24"/>
    </w:r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semiHidden/>
    <w:qFormat/>
    <w:uiPriority w:val="0"/>
    <w:rPr>
      <w:rFonts w:ascii="仿宋" w:hAnsi="仿宋" w:eastAsia="仿宋" w:cs="仿宋"/>
      <w:sz w:val="31"/>
      <w:szCs w:val="31"/>
      <w:lang w:val="en-US" w:eastAsia="en-US" w:bidi="ar-SA"/>
    </w:rPr>
  </w:style>
  <w:style w:type="paragraph" w:styleId="17">
    <w:name w:val="Block Text"/>
    <w:basedOn w:val="1"/>
    <w:unhideWhenUsed/>
    <w:qFormat/>
    <w:uiPriority w:val="99"/>
    <w:pPr>
      <w:spacing w:after="120"/>
      <w:ind w:left="1440" w:leftChars="700" w:right="1440" w:rightChars="700"/>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unhideWhenUsed/>
    <w:qFormat/>
    <w:uiPriority w:val="0"/>
    <w:rPr>
      <w:rFonts w:ascii="宋体" w:hAnsi="Courier New" w:cs="Courier New"/>
      <w:kern w:val="2"/>
      <w:szCs w:val="21"/>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90"/>
    <w:semiHidden/>
    <w:unhideWhenUsed/>
    <w:qFormat/>
    <w:uiPriority w:val="99"/>
    <w:pPr>
      <w:spacing w:after="0" w:line="240" w:lineRule="auto"/>
    </w:pPr>
    <w:rPr>
      <w:sz w:val="20"/>
    </w:rPr>
  </w:style>
  <w:style w:type="paragraph" w:styleId="23">
    <w:name w:val="footer"/>
    <w:basedOn w:val="1"/>
    <w:link w:val="193"/>
    <w:qFormat/>
    <w:uiPriority w:val="0"/>
    <w:pPr>
      <w:tabs>
        <w:tab w:val="center" w:pos="4153"/>
        <w:tab w:val="right" w:pos="8306"/>
      </w:tabs>
      <w:jc w:val="left"/>
    </w:pPr>
    <w:rPr>
      <w:sz w:val="18"/>
      <w:szCs w:val="18"/>
    </w:rPr>
  </w:style>
  <w:style w:type="paragraph" w:styleId="24">
    <w:name w:val="header"/>
    <w:basedOn w:val="1"/>
    <w:link w:val="192"/>
    <w:qFormat/>
    <w:uiPriority w:val="0"/>
    <w:pPr>
      <w:pBdr>
        <w:bottom w:val="single" w:color="auto" w:sz="6" w:space="1"/>
      </w:pBdr>
      <w:tabs>
        <w:tab w:val="center" w:pos="4153"/>
        <w:tab w:val="right" w:pos="8306"/>
      </w:tabs>
      <w:jc w:val="center"/>
    </w:pPr>
    <w:rPr>
      <w:sz w:val="18"/>
      <w:szCs w:val="18"/>
    </w:r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qFormat/>
    <w:uiPriority w:val="11"/>
    <w:pPr>
      <w:spacing w:before="240" w:after="60" w:line="312" w:lineRule="auto"/>
      <w:outlineLvl w:val="1"/>
    </w:pPr>
    <w:rPr>
      <w:b/>
      <w:bCs/>
      <w:sz w:val="32"/>
      <w:szCs w:val="32"/>
    </w:rPr>
  </w:style>
  <w:style w:type="paragraph" w:styleId="28">
    <w:name w:val="footnote text"/>
    <w:basedOn w:val="1"/>
    <w:link w:val="189"/>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index 9"/>
    <w:basedOn w:val="1"/>
    <w:next w:val="1"/>
    <w:qFormat/>
    <w:uiPriority w:val="0"/>
    <w:pPr>
      <w:spacing w:line="240" w:lineRule="auto"/>
      <w:ind w:left="1600" w:firstLine="0"/>
      <w:jc w:val="both"/>
    </w:pPr>
    <w:rPr>
      <w:rFonts w:ascii="Times New Roman" w:hAnsi="Times New Roman" w:eastAsia="宋体" w:cs="Times New Roman"/>
      <w:sz w:val="21"/>
    </w:r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0"/>
    <w:pPr>
      <w:spacing w:beforeAutospacing="1" w:afterAutospacing="1"/>
      <w:jc w:val="left"/>
    </w:pPr>
    <w:rPr>
      <w:rFonts w:cs="Times New Roman"/>
      <w:sz w:val="24"/>
    </w:rPr>
  </w:style>
  <w:style w:type="paragraph" w:styleId="35">
    <w:name w:val="Title"/>
    <w:basedOn w:val="1"/>
    <w:next w:val="1"/>
    <w:link w:val="55"/>
    <w:qFormat/>
    <w:uiPriority w:val="10"/>
    <w:pPr>
      <w:spacing w:before="300" w:after="200"/>
      <w:contextualSpacing/>
    </w:pPr>
    <w:rPr>
      <w:sz w:val="48"/>
      <w:szCs w:val="48"/>
    </w:rPr>
  </w:style>
  <w:style w:type="table" w:styleId="37">
    <w:name w:val="Table Grid"/>
    <w:basedOn w:val="3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Strong"/>
    <w:basedOn w:val="38"/>
    <w:qFormat/>
    <w:uiPriority w:val="0"/>
    <w:rPr>
      <w:b/>
    </w:rPr>
  </w:style>
  <w:style w:type="character" w:styleId="40">
    <w:name w:val="endnote reference"/>
    <w:basedOn w:val="38"/>
    <w:semiHidden/>
    <w:unhideWhenUsed/>
    <w:qFormat/>
    <w:uiPriority w:val="99"/>
    <w:rPr>
      <w:vertAlign w:val="superscript"/>
    </w:rPr>
  </w:style>
  <w:style w:type="character" w:styleId="41">
    <w:name w:val="Emphasis"/>
    <w:qFormat/>
    <w:uiPriority w:val="0"/>
    <w:rPr>
      <w:i/>
    </w:rPr>
  </w:style>
  <w:style w:type="character" w:styleId="42">
    <w:name w:val="Hyperlink"/>
    <w:unhideWhenUsed/>
    <w:qFormat/>
    <w:uiPriority w:val="99"/>
    <w:rPr>
      <w:color w:val="0563C1" w:themeColor="hyperlink"/>
      <w:u w:val="single"/>
      <w14:textFill>
        <w14:solidFill>
          <w14:schemeClr w14:val="hlink"/>
        </w14:solidFill>
      </w14:textFill>
    </w:rPr>
  </w:style>
  <w:style w:type="character" w:styleId="43">
    <w:name w:val="footnote reference"/>
    <w:basedOn w:val="38"/>
    <w:unhideWhenUsed/>
    <w:qFormat/>
    <w:uiPriority w:val="99"/>
    <w:rPr>
      <w:vertAlign w:val="superscript"/>
    </w:rPr>
  </w:style>
  <w:style w:type="character" w:customStyle="1" w:styleId="44">
    <w:name w:val="Heading 1 Char"/>
    <w:basedOn w:val="38"/>
    <w:qFormat/>
    <w:uiPriority w:val="9"/>
    <w:rPr>
      <w:rFonts w:ascii="Arial" w:hAnsi="Arial" w:eastAsia="Arial" w:cs="Arial"/>
      <w:sz w:val="40"/>
      <w:szCs w:val="40"/>
    </w:rPr>
  </w:style>
  <w:style w:type="character" w:customStyle="1" w:styleId="45">
    <w:name w:val="Heading 2 Char"/>
    <w:basedOn w:val="38"/>
    <w:qFormat/>
    <w:uiPriority w:val="9"/>
    <w:rPr>
      <w:rFonts w:ascii="Arial" w:hAnsi="Arial" w:eastAsia="Arial" w:cs="Arial"/>
      <w:sz w:val="34"/>
    </w:rPr>
  </w:style>
  <w:style w:type="character" w:customStyle="1" w:styleId="46">
    <w:name w:val="Heading 3 Char"/>
    <w:basedOn w:val="38"/>
    <w:qFormat/>
    <w:uiPriority w:val="9"/>
    <w:rPr>
      <w:rFonts w:ascii="Arial" w:hAnsi="Arial" w:eastAsia="Arial" w:cs="Arial"/>
      <w:sz w:val="30"/>
      <w:szCs w:val="30"/>
    </w:rPr>
  </w:style>
  <w:style w:type="character" w:customStyle="1" w:styleId="47">
    <w:name w:val="Heading 4 Char"/>
    <w:basedOn w:val="38"/>
    <w:link w:val="6"/>
    <w:qFormat/>
    <w:uiPriority w:val="9"/>
    <w:rPr>
      <w:rFonts w:ascii="Arial" w:hAnsi="Arial" w:eastAsia="Arial" w:cs="Arial"/>
      <w:b/>
      <w:bCs/>
      <w:sz w:val="26"/>
      <w:szCs w:val="26"/>
    </w:rPr>
  </w:style>
  <w:style w:type="character" w:customStyle="1" w:styleId="48">
    <w:name w:val="Heading 5 Char"/>
    <w:basedOn w:val="38"/>
    <w:link w:val="7"/>
    <w:qFormat/>
    <w:uiPriority w:val="9"/>
    <w:rPr>
      <w:rFonts w:ascii="Arial" w:hAnsi="Arial" w:eastAsia="Arial" w:cs="Arial"/>
      <w:b/>
      <w:bCs/>
      <w:sz w:val="24"/>
      <w:szCs w:val="24"/>
    </w:rPr>
  </w:style>
  <w:style w:type="character" w:customStyle="1" w:styleId="49">
    <w:name w:val="Heading 6 Char"/>
    <w:basedOn w:val="38"/>
    <w:link w:val="8"/>
    <w:qFormat/>
    <w:uiPriority w:val="9"/>
    <w:rPr>
      <w:rFonts w:ascii="Arial" w:hAnsi="Arial" w:eastAsia="Arial" w:cs="Arial"/>
      <w:b/>
      <w:bCs/>
      <w:sz w:val="22"/>
      <w:szCs w:val="22"/>
    </w:rPr>
  </w:style>
  <w:style w:type="character" w:customStyle="1" w:styleId="50">
    <w:name w:val="Heading 7 Char"/>
    <w:basedOn w:val="38"/>
    <w:link w:val="9"/>
    <w:qFormat/>
    <w:uiPriority w:val="9"/>
    <w:rPr>
      <w:rFonts w:ascii="Arial" w:hAnsi="Arial" w:eastAsia="Arial" w:cs="Arial"/>
      <w:b/>
      <w:bCs/>
      <w:i/>
      <w:iCs/>
      <w:sz w:val="22"/>
      <w:szCs w:val="22"/>
    </w:rPr>
  </w:style>
  <w:style w:type="character" w:customStyle="1" w:styleId="51">
    <w:name w:val="Heading 8 Char"/>
    <w:basedOn w:val="38"/>
    <w:link w:val="10"/>
    <w:qFormat/>
    <w:uiPriority w:val="9"/>
    <w:rPr>
      <w:rFonts w:ascii="Arial" w:hAnsi="Arial" w:eastAsia="Arial" w:cs="Arial"/>
      <w:i/>
      <w:iCs/>
      <w:sz w:val="22"/>
      <w:szCs w:val="22"/>
    </w:rPr>
  </w:style>
  <w:style w:type="character" w:customStyle="1" w:styleId="52">
    <w:name w:val="Heading 9 Char"/>
    <w:basedOn w:val="38"/>
    <w:link w:val="11"/>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pPr>
      <w:spacing w:before="0" w:after="0" w:line="240" w:lineRule="auto"/>
    </w:pPr>
    <w:rPr>
      <w:rFonts w:hint="default" w:ascii="Times New Roman" w:hAnsi="Times New Roman" w:eastAsia="宋体" w:cs="Times New Roman"/>
    </w:rPr>
  </w:style>
  <w:style w:type="character" w:customStyle="1" w:styleId="55">
    <w:name w:val="Title Char"/>
    <w:basedOn w:val="38"/>
    <w:link w:val="35"/>
    <w:qFormat/>
    <w:uiPriority w:val="10"/>
    <w:rPr>
      <w:sz w:val="48"/>
      <w:szCs w:val="48"/>
    </w:rPr>
  </w:style>
  <w:style w:type="character" w:customStyle="1" w:styleId="56">
    <w:name w:val="Subtitle Char"/>
    <w:basedOn w:val="38"/>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basedOn w:val="38"/>
    <w:qFormat/>
    <w:uiPriority w:val="99"/>
  </w:style>
  <w:style w:type="character" w:customStyle="1" w:styleId="62">
    <w:name w:val="Footer Char"/>
    <w:basedOn w:val="38"/>
    <w:qFormat/>
    <w:uiPriority w:val="99"/>
  </w:style>
  <w:style w:type="character" w:customStyle="1" w:styleId="63">
    <w:name w:val="Caption Char"/>
    <w:qFormat/>
    <w:uiPriority w:val="99"/>
  </w:style>
  <w:style w:type="table" w:customStyle="1" w:styleId="64">
    <w:name w:val="Table Grid Light"/>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basedOn w:val="3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2">
    <w:name w:val="Grid Table 1 Light - Accent 2"/>
    <w:basedOn w:val="3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3">
    <w:name w:val="Grid Table 1 Light - Accent 3"/>
    <w:basedOn w:val="3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4">
    <w:name w:val="Grid Table 1 Light - Accent 4"/>
    <w:basedOn w:val="3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5">
    <w:name w:val="Grid Table 1 Light - Accent 5"/>
    <w:basedOn w:val="3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6">
    <w:name w:val="Grid Table 1 Light - Accent 6"/>
    <w:basedOn w:val="3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7">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basedOn w:val="3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9">
    <w:name w:val="Grid Table 2 - Accent 2"/>
    <w:basedOn w:val="3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0">
    <w:name w:val="Grid Table 2 - Accent 3"/>
    <w:basedOn w:val="3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1">
    <w:name w:val="Grid Table 2 - Accent 4"/>
    <w:basedOn w:val="3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2">
    <w:name w:val="Grid Table 2 - Accent 5"/>
    <w:basedOn w:val="3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3">
    <w:name w:val="Grid Table 2 - Accent 6"/>
    <w:basedOn w:val="3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4">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basedOn w:val="3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6">
    <w:name w:val="Grid Table 3 - Accent 2"/>
    <w:basedOn w:val="3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7">
    <w:name w:val="Grid Table 3 - Accent 3"/>
    <w:basedOn w:val="3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8">
    <w:name w:val="Grid Table 3 - Accent 4"/>
    <w:basedOn w:val="3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9">
    <w:name w:val="Grid Table 3 - Accent 5"/>
    <w:basedOn w:val="3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0">
    <w:name w:val="Grid Table 3 - Accent 6"/>
    <w:basedOn w:val="3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1">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basedOn w:val="36"/>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3">
    <w:name w:val="Grid Table 4 - Accent 2"/>
    <w:basedOn w:val="36"/>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4">
    <w:name w:val="Grid Table 4 - Accent 3"/>
    <w:basedOn w:val="36"/>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5">
    <w:name w:val="Grid Table 4 - Accent 4"/>
    <w:basedOn w:val="36"/>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6">
    <w:name w:val="Grid Table 4 - Accent 5"/>
    <w:basedOn w:val="36"/>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7">
    <w:name w:val="Grid Table 4 - Accent 6"/>
    <w:basedOn w:val="36"/>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8">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0">
    <w:name w:val="Grid Table 5 Dark - Accent 2"/>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1">
    <w:name w:val="Grid Table 5 Dark - Accent 3"/>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2">
    <w:name w:val="Grid Table 5 Dark- Accent 4"/>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3">
    <w:name w:val="Grid Table 5 Dark - Accent 5"/>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4">
    <w:name w:val="Grid Table 5 Dark - Accent 6"/>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5">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basedOn w:val="36"/>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basedOn w:val="3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basedOn w:val="36"/>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basedOn w:val="3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basedOn w:val="36"/>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1">
    <w:name w:val="Grid Table 6 Colorful - Accent 6"/>
    <w:basedOn w:val="36"/>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2">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basedOn w:val="36"/>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basedOn w:val="36"/>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basedOn w:val="36"/>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basedOn w:val="36"/>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basedOn w:val="36"/>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8">
    <w:name w:val="Grid Table 7 Colorful - Accent 6"/>
    <w:basedOn w:val="36"/>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9">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basedOn w:val="36"/>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1">
    <w:name w:val="List Table 1 Light - Accent 2"/>
    <w:basedOn w:val="36"/>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2">
    <w:name w:val="List Table 1 Light - Accent 3"/>
    <w:basedOn w:val="36"/>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3">
    <w:name w:val="List Table 1 Light - Accent 4"/>
    <w:basedOn w:val="36"/>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4">
    <w:name w:val="List Table 1 Light - Accent 5"/>
    <w:basedOn w:val="36"/>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5">
    <w:name w:val="List Table 1 Light - Accent 6"/>
    <w:basedOn w:val="36"/>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6">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basedOn w:val="36"/>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8">
    <w:name w:val="List Table 2 - Accent 2"/>
    <w:basedOn w:val="36"/>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9">
    <w:name w:val="List Table 2 - Accent 3"/>
    <w:basedOn w:val="36"/>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0">
    <w:name w:val="List Table 2 - Accent 4"/>
    <w:basedOn w:val="36"/>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1">
    <w:name w:val="List Table 2 - Accent 5"/>
    <w:basedOn w:val="36"/>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2">
    <w:name w:val="List Table 2 - Accent 6"/>
    <w:basedOn w:val="36"/>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3">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basedOn w:val="36"/>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5">
    <w:name w:val="List Table 3 - Accent 2"/>
    <w:basedOn w:val="3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6">
    <w:name w:val="List Table 3 - Accent 3"/>
    <w:basedOn w:val="36"/>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7">
    <w:name w:val="List Table 3 - Accent 4"/>
    <w:basedOn w:val="3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8">
    <w:name w:val="List Table 3 - Accent 5"/>
    <w:basedOn w:val="36"/>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9">
    <w:name w:val="List Table 3 - Accent 6"/>
    <w:basedOn w:val="36"/>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0">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basedOn w:val="36"/>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2">
    <w:name w:val="List Table 4 - Accent 2"/>
    <w:basedOn w:val="36"/>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3">
    <w:name w:val="List Table 4 - Accent 3"/>
    <w:basedOn w:val="36"/>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4">
    <w:name w:val="List Table 4 - Accent 4"/>
    <w:basedOn w:val="36"/>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5">
    <w:name w:val="List Table 4 - Accent 5"/>
    <w:basedOn w:val="36"/>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6">
    <w:name w:val="List Table 4 - Accent 6"/>
    <w:basedOn w:val="36"/>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7">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basedOn w:val="36"/>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9">
    <w:name w:val="List Table 5 Dark - Accent 2"/>
    <w:basedOn w:val="36"/>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0">
    <w:name w:val="List Table 5 Dark - Accent 3"/>
    <w:basedOn w:val="36"/>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1">
    <w:name w:val="List Table 5 Dark - Accent 4"/>
    <w:basedOn w:val="36"/>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2">
    <w:name w:val="List Table 5 Dark - Accent 5"/>
    <w:basedOn w:val="36"/>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3">
    <w:name w:val="List Table 5 Dark - Accent 6"/>
    <w:basedOn w:val="36"/>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4">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basedOn w:val="36"/>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6">
    <w:name w:val="List Table 6 Colorful - Accent 2"/>
    <w:basedOn w:val="36"/>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basedOn w:val="36"/>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basedOn w:val="36"/>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basedOn w:val="36"/>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basedOn w:val="36"/>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1">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basedOn w:val="36"/>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3">
    <w:name w:val="List Table 7 Colorful - Accent 2"/>
    <w:basedOn w:val="36"/>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basedOn w:val="36"/>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basedOn w:val="36"/>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basedOn w:val="36"/>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basedOn w:val="36"/>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8">
    <w:name w:val="Lined - Accent"/>
    <w:basedOn w:val="3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basedOn w:val="36"/>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0">
    <w:name w:val="Lined - Accent 2"/>
    <w:basedOn w:val="36"/>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1">
    <w:name w:val="Lined - Accent 3"/>
    <w:basedOn w:val="36"/>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2">
    <w:name w:val="Lined - Accent 4"/>
    <w:basedOn w:val="36"/>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3">
    <w:name w:val="Lined - Accent 5"/>
    <w:basedOn w:val="36"/>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4">
    <w:name w:val="Lined - Accent 6"/>
    <w:basedOn w:val="36"/>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5">
    <w:name w:val="Bordered &amp; Lined - Accent"/>
    <w:basedOn w:val="3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basedOn w:val="36"/>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7">
    <w:name w:val="Bordered &amp; Lined - Accent 2"/>
    <w:basedOn w:val="36"/>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8">
    <w:name w:val="Bordered &amp; Lined - Accent 3"/>
    <w:basedOn w:val="36"/>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9">
    <w:name w:val="Bordered &amp; Lined - Accent 4"/>
    <w:basedOn w:val="36"/>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0">
    <w:name w:val="Bordered &amp; Lined - Accent 5"/>
    <w:basedOn w:val="36"/>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1">
    <w:name w:val="Bordered &amp; Lined - Accent 6"/>
    <w:basedOn w:val="36"/>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2">
    <w:name w:val="Bordered"/>
    <w:basedOn w:val="3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basedOn w:val="3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4">
    <w:name w:val="Bordered - Accent 2"/>
    <w:basedOn w:val="3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5">
    <w:name w:val="Bordered - Accent 3"/>
    <w:basedOn w:val="3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6">
    <w:name w:val="Bordered - Accent 4"/>
    <w:basedOn w:val="3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7">
    <w:name w:val="Bordered - Accent 5"/>
    <w:basedOn w:val="3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8">
    <w:name w:val="Bordered - Accent 6"/>
    <w:basedOn w:val="3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9">
    <w:name w:val="Footnote Text Char"/>
    <w:link w:val="28"/>
    <w:qFormat/>
    <w:uiPriority w:val="99"/>
    <w:rPr>
      <w:sz w:val="18"/>
    </w:rPr>
  </w:style>
  <w:style w:type="character" w:customStyle="1" w:styleId="190">
    <w:name w:val="Endnote Text Char"/>
    <w:link w:val="22"/>
    <w:qFormat/>
    <w:uiPriority w:val="99"/>
    <w:rPr>
      <w:sz w:val="20"/>
    </w:rPr>
  </w:style>
  <w:style w:type="paragraph" w:customStyle="1" w:styleId="191">
    <w:name w:val="TOC Heading"/>
    <w:unhideWhenUsed/>
    <w:qFormat/>
    <w:uiPriority w:val="39"/>
    <w:rPr>
      <w:rFonts w:hint="default" w:ascii="Times New Roman" w:hAnsi="Times New Roman" w:eastAsia="宋体" w:cs="Times New Roman"/>
    </w:rPr>
  </w:style>
  <w:style w:type="character" w:customStyle="1" w:styleId="192">
    <w:name w:val="页眉 Char"/>
    <w:basedOn w:val="38"/>
    <w:link w:val="24"/>
    <w:qFormat/>
    <w:uiPriority w:val="0"/>
    <w:rPr>
      <w:rFonts w:asciiTheme="minorHAnsi" w:hAnsiTheme="minorHAnsi" w:eastAsiaTheme="minorEastAsia" w:cstheme="minorBidi"/>
      <w:sz w:val="18"/>
      <w:szCs w:val="18"/>
    </w:rPr>
  </w:style>
  <w:style w:type="character" w:customStyle="1" w:styleId="193">
    <w:name w:val="页脚 Char"/>
    <w:basedOn w:val="38"/>
    <w:link w:val="23"/>
    <w:qFormat/>
    <w:uiPriority w:val="0"/>
    <w:rPr>
      <w:rFonts w:asciiTheme="minorHAnsi" w:hAnsiTheme="minorHAnsi" w:eastAsiaTheme="minorEastAsia" w:cstheme="minorBidi"/>
      <w:sz w:val="18"/>
      <w:szCs w:val="18"/>
    </w:rPr>
  </w:style>
  <w:style w:type="paragraph" w:customStyle="1" w:styleId="194">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195">
    <w:name w:val="正文首行缩进 21"/>
    <w:basedOn w:val="196"/>
    <w:qFormat/>
    <w:uiPriority w:val="0"/>
    <w:pPr>
      <w:ind w:firstLine="420"/>
    </w:pPr>
  </w:style>
  <w:style w:type="paragraph" w:customStyle="1" w:styleId="196">
    <w:name w:val="正文文本缩进1"/>
    <w:basedOn w:val="1"/>
    <w:qFormat/>
    <w:uiPriority w:val="0"/>
    <w:pPr>
      <w:spacing w:after="120"/>
      <w:ind w:left="420"/>
    </w:pPr>
  </w:style>
  <w:style w:type="paragraph" w:customStyle="1" w:styleId="197">
    <w:name w:val="普通(网站)1"/>
    <w:basedOn w:val="1"/>
    <w:qFormat/>
    <w:uiPriority w:val="0"/>
    <w:pPr>
      <w:spacing w:beforeAutospacing="1" w:afterAutospacing="1"/>
      <w:jc w:val="left"/>
    </w:pPr>
    <w:rPr>
      <w:rFonts w:cs="Times New Roman"/>
      <w:sz w:val="24"/>
    </w:rPr>
  </w:style>
  <w:style w:type="paragraph" w:customStyle="1" w:styleId="198">
    <w:name w:val="222"/>
    <w:basedOn w:val="1"/>
    <w:qFormat/>
    <w:uiPriority w:val="0"/>
    <w:pPr>
      <w:ind w:firstLine="480"/>
    </w:pPr>
    <w:rPr>
      <w:rFonts w:ascii="宋体" w:hAnsi="宋体" w:eastAsia="宋体" w:cs="宋体"/>
      <w:sz w:val="24"/>
    </w:rPr>
  </w:style>
  <w:style w:type="paragraph" w:customStyle="1" w:styleId="199">
    <w:name w:val="正文-大居中"/>
    <w:basedOn w:val="1"/>
    <w:qFormat/>
    <w:uiPriority w:val="0"/>
    <w:pPr>
      <w:ind w:firstLine="0"/>
      <w:jc w:val="center"/>
    </w:pPr>
    <w:rPr>
      <w:rFonts w:eastAsia="宋体" w:cs="仿宋" w:asciiTheme="minorEastAsia" w:hAnsiTheme="minorEastAsia"/>
      <w:b/>
    </w:rPr>
  </w:style>
  <w:style w:type="paragraph" w:customStyle="1" w:styleId="200">
    <w:name w:val="正文（缩进）"/>
    <w:basedOn w:val="1"/>
    <w:qFormat/>
    <w:uiPriority w:val="0"/>
    <w:pPr>
      <w:spacing w:before="156" w:beforeLines="50" w:after="156" w:afterLines="50" w:line="360" w:lineRule="auto"/>
      <w:ind w:firstLine="480" w:firstLineChars="200"/>
    </w:pPr>
    <w:rPr>
      <w:rFonts w:hint="eastAsia"/>
      <w:sz w:val="24"/>
      <w:szCs w:val="20"/>
    </w:rPr>
  </w:style>
  <w:style w:type="paragraph" w:customStyle="1" w:styleId="201">
    <w:name w:val="表格"/>
    <w:basedOn w:val="1"/>
    <w:qFormat/>
    <w:uiPriority w:val="0"/>
    <w:pPr>
      <w:spacing w:line="240" w:lineRule="auto"/>
      <w:ind w:firstLine="0"/>
      <w:jc w:val="center"/>
    </w:pPr>
    <w:rPr>
      <w:sz w:val="24"/>
    </w:rPr>
  </w:style>
  <w:style w:type="paragraph" w:customStyle="1" w:styleId="202">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03">
    <w:name w:val="页脚1"/>
    <w:basedOn w:val="1"/>
    <w:autoRedefine/>
    <w:unhideWhenUsed/>
    <w:qFormat/>
    <w:uiPriority w:val="99"/>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82</Pages>
  <Words>14096</Words>
  <Characters>15084</Characters>
  <TotalTime>26</TotalTime>
  <ScaleCrop>false</ScaleCrop>
  <LinksUpToDate>false</LinksUpToDate>
  <CharactersWithSpaces>15393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奋斗@赵兴胜</cp:lastModifiedBy>
  <dcterms:modified xsi:type="dcterms:W3CDTF">2026-06-18T07:33:00Z</dcterms:modified>
  <cp:revision>274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65759699444F44BBBFCCC89CEABA8F49_13</vt:lpwstr>
  </property>
  <property fmtid="{D5CDD505-2E9C-101B-9397-08002B2CF9AE}" pid="4" name="KSOTemplateDocerSaveRecord">
    <vt:lpwstr>eyJoZGlkIjoiY2I2NjZiOTRjODI2NGMxNjkzMzU0ZDhmZjAzYmYwM2YiLCJ1c2VySWQiOiIxMDE1NTA1MzU1In0=</vt:lpwstr>
  </property>
</Properties>
</file>