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spacing w:before="120" w:beforeAutospacing="0" w:after="120" w:afterAutospacing="0" w:line="360" w:lineRule="auto"/>
        <w:rPr>
          <w:rFonts w:hint="eastAsia" w:ascii="宋体" w:hAnsi="宋体" w:eastAsia="宋体" w:cs="宋体"/>
          <w:color w:val="auto"/>
          <w:highlight w:val="none"/>
        </w:rPr>
      </w:pPr>
      <w:r>
        <w:rPr>
          <w:color w:val="auto"/>
          <w:highlight w:val="none"/>
        </w:rPr>
        <w:t xml:space="preserve"> </w:t>
      </w:r>
      <w:r/>
    </w:p>
    <w:p>
      <w:pPr>
        <w:jc w:val="center"/>
        <w:spacing w:before="156" w:after="156" w:line="1320" w:lineRule="exact"/>
        <w:rPr>
          <w:rFonts w:hint="eastAsia" w:ascii="宋体" w:hAnsi="宋体" w:eastAsia="宋体" w:cs="宋体"/>
          <w:b/>
          <w:color w:val="auto"/>
          <w:sz w:val="96"/>
          <w:szCs w:val="96"/>
          <w:highlight w:val="none"/>
        </w:rPr>
        <w:outlineLvl w:val="0"/>
      </w:pPr>
      <w:r>
        <w:rPr>
          <w:rFonts w:hint="eastAsia" w:ascii="宋体" w:hAnsi="宋体" w:eastAsia="宋体" w:cs="宋体"/>
          <w:b/>
          <w:color w:val="auto"/>
          <w:sz w:val="60"/>
          <w:szCs w:val="112"/>
          <w:highlight w:val="none"/>
        </w:rPr>
        <w:t xml:space="preserve">2026年东台市不动产登记补充地籍调查项目</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rPr>
        <w:t xml:space="preserve">招 标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rPr>
      </w:pPr>
      <w:r>
        <w:rPr>
          <w:rFonts w:hint="eastAsia" w:ascii="宋体" w:hAnsi="宋体" w:eastAsia="宋体" w:cs="宋体"/>
          <w:b/>
          <w:bCs/>
          <w:color w:val="auto"/>
          <w:sz w:val="32"/>
          <w:szCs w:val="32"/>
          <w:highlight w:val="none"/>
        </w:rPr>
        <w:t xml:space="preserve">编号：JSZC-320981-XHZB-G2026-0007 </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660"/>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东台市不动产登记中心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spacing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采购代理机构：</w:t>
      </w:r>
      <w:r>
        <w:rPr>
          <w:rFonts w:hint="eastAsia" w:ascii="宋体" w:hAnsi="宋体" w:eastAsia="宋体" w:cs="宋体"/>
          <w:b/>
          <w:color w:val="auto"/>
          <w:sz w:val="31"/>
          <w:highlight w:val="none"/>
          <w:u w:val="single"/>
        </w:rPr>
        <w:t xml:space="preserve">  东台市兴华招标代理有限公司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661"/>
        <w:jc w:val="center"/>
        <w:spacing w:before="0" w:after="0" w:line="453"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53"/>
        <w:ind w:firstLine="622"/>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2026 </w:t>
      </w:r>
      <w:r>
        <w:rPr>
          <w:rFonts w:hint="eastAsia" w:ascii="宋体" w:hAnsi="宋体" w:eastAsia="宋体" w:cs="宋体"/>
          <w:b/>
          <w:color w:val="auto"/>
          <w:sz w:val="31"/>
          <w:highlight w:val="none"/>
        </w:rPr>
        <w:t xml:space="preserve">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4</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15</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日</w:t>
      </w:r>
      <w:r/>
    </w:p>
    <w:p>
      <w:pPr>
        <w:pStyle w:val="653"/>
        <w:ind w:firstLine="622"/>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rPr>
      </w:r>
      <w:r/>
    </w:p>
    <w:p>
      <w:pPr>
        <w:pStyle w:val="653"/>
        <w:ind w:firstLine="420"/>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53"/>
        <w:ind w:firstLine="883"/>
        <w:jc w:val="center"/>
        <w:spacing w:beforeAutospacing="0" w:afterAutospacing="0" w:line="480" w:lineRule="auto"/>
        <w:rPr>
          <w:color w:val="auto"/>
          <w:highlight w:val="none"/>
        </w:rPr>
      </w:pPr>
      <w:r/>
      <w:bookmarkStart w:id="0" w:name="_Toc479757206"/>
      <w:r/>
      <w:bookmarkStart w:id="1" w:name="_Toc16938516"/>
      <w:r/>
      <w:bookmarkStart w:id="2" w:name="_Toc120614210"/>
      <w:r/>
      <w:bookmarkStart w:id="3" w:name="_Toc20823272"/>
      <w:r/>
      <w:bookmarkStart w:id="4" w:name="_Toc513029200"/>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3"/>
        <w:jc w:val="both"/>
        <w:spacing w:beforeAutospacing="0" w:afterAutospacing="0" w:line="480" w:lineRule="auto"/>
        <w:rPr>
          <w:color w:val="auto"/>
          <w:highlight w:val="none"/>
        </w:rPr>
      </w:pPr>
      <w:r>
        <w:rPr>
          <w:color w:val="auto"/>
          <w:highlight w:val="none"/>
        </w:rPr>
        <w:t xml:space="preserve"> </w:t>
      </w:r>
      <w:r/>
    </w:p>
    <w:p>
      <w:pPr>
        <w:pStyle w:val="653"/>
        <w:ind w:firstLine="720"/>
        <w:jc w:val="center"/>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w:t>
      </w:r>
      <w:r/>
    </w:p>
    <w:p>
      <w:pPr>
        <w:pStyle w:val="653"/>
        <w:ind w:firstLine="720"/>
        <w:jc w:val="center"/>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p>
    <w:p>
      <w:pPr>
        <w:pStyle w:val="653"/>
        <w:ind w:firstLine="720"/>
        <w:jc w:val="center"/>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53"/>
        <w:ind w:firstLine="720"/>
        <w:jc w:val="center"/>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53"/>
        <w:ind w:firstLine="720"/>
        <w:jc w:val="center"/>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53"/>
        <w:ind w:firstLine="720"/>
        <w:jc w:val="center"/>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ind w:firstLine="880"/>
        <w:jc w:val="center"/>
        <w:keepNext/>
        <w:spacing w:beforeAutospacing="0" w:afterAutospacing="0"/>
        <w:rPr>
          <w:rFonts w:eastAsia="黑体"/>
          <w:color w:val="auto"/>
          <w:highlight w:val="none"/>
        </w:rPr>
      </w:pPr>
      <w:r>
        <w:rPr>
          <w:rFonts w:hint="eastAsia" w:ascii="黑体" w:hAnsi="宋体" w:eastAsia="黑体" w:cs="黑体"/>
          <w:color w:val="auto"/>
          <w:sz w:val="44"/>
          <w:szCs w:val="44"/>
          <w:highlight w:val="none"/>
        </w:rPr>
        <w:t xml:space="preserve">第一章 招标公告</w:t>
      </w:r>
      <w:r/>
    </w:p>
    <w:p>
      <w:pPr>
        <w:pStyle w:val="653"/>
        <w:ind w:firstLine="480"/>
        <w:jc w:val="both"/>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653"/>
        <w:ind w:firstLine="480"/>
        <w:jc w:val="both"/>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rPr>
        <w:t xml:space="preserve">2026年东台市不动产登记补充地籍调查项目</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8</w:t>
      </w:r>
      <w:r>
        <w:rPr>
          <w:rFonts w:hint="eastAsia" w:ascii="宋体" w:hAnsi="宋体" w:eastAsia="宋体" w:cs="宋体"/>
          <w:color w:val="auto"/>
          <w:highlight w:val="none"/>
        </w:rPr>
        <w:t xml:space="preserve">日</w:t>
      </w:r>
      <w:r>
        <w:rPr>
          <w:rFonts w:hint="eastAsia" w:ascii="宋体" w:hAnsi="宋体" w:eastAsia="宋体" w:cs="宋体"/>
          <w:color w:val="auto"/>
          <w:highlight w:val="none"/>
          <w:u w:val="single"/>
          <w:lang w:val="en-US" w:eastAsia="zh-CN"/>
        </w:rPr>
        <w:t xml:space="preserve">14</w:t>
      </w:r>
      <w:r>
        <w:rPr>
          <w:rFonts w:hint="eastAsia" w:ascii="宋体" w:hAnsi="宋体" w:eastAsia="宋体" w:cs="宋体"/>
          <w:color w:val="auto"/>
          <w:highlight w:val="none"/>
        </w:rPr>
        <w:t xml:space="preserve">点</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0</w:t>
      </w:r>
      <w:r>
        <w:rPr>
          <w:rFonts w:hint="eastAsia" w:ascii="宋体" w:hAnsi="宋体" w:eastAsia="宋体" w:cs="宋体"/>
          <w:color w:val="auto"/>
          <w:highlight w:val="none"/>
        </w:rPr>
        <w:t xml:space="preserve">分（北京时间）前递交投标文件。</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6" w:name="_Toc28359079"/>
      <w:r/>
      <w:bookmarkStart w:id="7" w:name="_Toc35393790"/>
      <w:r/>
      <w:bookmarkStart w:id="8" w:name="_Toc38985263"/>
      <w:r/>
      <w:bookmarkStart w:id="9" w:name="_Hlk24379207"/>
      <w:r/>
      <w:bookmarkStart w:id="10" w:name="_Toc28359002"/>
      <w:r/>
      <w:bookmarkStart w:id="11" w:name="_Toc35393621"/>
      <w:r>
        <w:rPr>
          <w:rFonts w:hint="eastAsia" w:ascii="宋体" w:hAnsi="宋体" w:eastAsia="宋体" w:cs="宋体"/>
          <w:b/>
          <w:color w:val="auto"/>
          <w:highlight w:val="none"/>
        </w:rPr>
        <w:t xml:space="preserve">一、项目基本情况</w:t>
      </w:r>
      <w:bookmarkEnd w:id="6"/>
      <w:r/>
      <w:bookmarkEnd w:id="7"/>
      <w:r/>
      <w:bookmarkEnd w:id="8"/>
      <w:r/>
      <w:bookmarkEnd w:id="9"/>
      <w:r/>
      <w:bookmarkEnd w:id="10"/>
      <w:r/>
      <w:bookmarkEnd w:id="11"/>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1.项目编号：JSZC-320981-XHZB-G2026-0007</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2.项目名称：2026年东台市不动产登记补充地籍调查项目</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4.预算金额：120万元</w:t>
      </w:r>
      <w:r>
        <w:rPr>
          <w:rFonts w:hint="eastAsia" w:ascii="宋体" w:hAnsi="宋体" w:eastAsia="宋体" w:cs="宋体"/>
          <w:color w:val="auto"/>
          <w:highlight w:val="none"/>
        </w:rPr>
        <w:t xml:space="preserve">（其中一标段约40万；二标段约40万元；三标段约40万元，在总预算金额内可根据各标段的实际工作量进行微调）</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5.最高限价：</w:t>
      </w:r>
      <w:r/>
    </w:p>
    <w:tbl>
      <w:tblPr>
        <w:tblStyle w:val="645"/>
        <w:tblW w:w="8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1884"/>
        <w:gridCol w:w="1499"/>
        <w:gridCol w:w="2781"/>
      </w:tblGrid>
      <w:tr>
        <w:trPr>
          <w:jc w:val="center"/>
          <w:trHeight w:val="398"/>
        </w:trPr>
        <w:tc>
          <w:tcPr>
            <w:gridSpan w:val="2"/>
            <w:tcW w:w="427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类型</w:t>
            </w:r>
            <w:r/>
          </w:p>
        </w:tc>
        <w:tc>
          <w:tcPr>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计量单位</w:t>
            </w:r>
            <w:r/>
          </w:p>
        </w:tc>
        <w:tc>
          <w:tcPr>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p>
        </w:tc>
      </w:tr>
      <w:tr>
        <w:trPr>
          <w:jc w:val="center"/>
          <w:trHeight w:val="398"/>
        </w:trPr>
        <w:tc>
          <w:tcPr>
            <w:tcW w:w="2395" w:type="dxa"/>
            <w:vAlign w:val="center"/>
            <w:vMerge w:val="restart"/>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房产测绘</w:t>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工业厂房</w:t>
            </w:r>
            <w:r/>
          </w:p>
        </w:tc>
        <w:tc>
          <w:tcPr>
            <w:tcW w:w="1499" w:type="dxa"/>
            <w:vAlign w:val="center"/>
            <w:vMerge w:val="restart"/>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m²</w:t>
            </w:r>
            <w:r/>
          </w:p>
        </w:tc>
        <w:tc>
          <w:tcPr>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0.6元/m²</w:t>
            </w:r>
            <w:r/>
          </w:p>
        </w:tc>
      </w:tr>
      <w:tr>
        <w:trPr>
          <w:jc w:val="center"/>
          <w:trHeight w:val="386"/>
        </w:trPr>
        <w:tc>
          <w:tcPr>
            <w:tcW w:w="2395" w:type="dxa"/>
            <w:vAlign w:val="center"/>
            <w:vMerge w:val="continue"/>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非工业厂房</w:t>
            </w:r>
            <w:r/>
          </w:p>
        </w:tc>
        <w:tc>
          <w:tcPr>
            <w:tcW w:w="1499" w:type="dxa"/>
            <w:vAlign w:val="center"/>
            <w:vMerge w:val="continue"/>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1元/m²</w:t>
            </w:r>
            <w:r/>
          </w:p>
        </w:tc>
      </w:tr>
      <w:tr>
        <w:trPr>
          <w:jc w:val="center"/>
          <w:trHeight w:val="398"/>
        </w:trPr>
        <w:tc>
          <w:tcPr>
            <w:tcW w:w="2395" w:type="dxa"/>
            <w:vAlign w:val="center"/>
            <w:vMerge w:val="restart"/>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地籍测绘</w:t>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个人住宅</w:t>
            </w:r>
            <w:r/>
          </w:p>
        </w:tc>
        <w:tc>
          <w:tcPr>
            <w:tcBorders>
              <w:bottom w:val="single" w:color="auto" w:sz="4" w:space="0"/>
            </w:tcBorders>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宗</w:t>
            </w:r>
            <w:r/>
          </w:p>
        </w:tc>
        <w:tc>
          <w:tcPr>
            <w:tcBorders>
              <w:bottom w:val="single" w:color="auto" w:sz="4" w:space="0"/>
            </w:tcBorders>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500元/宗</w:t>
            </w:r>
            <w:r/>
          </w:p>
        </w:tc>
      </w:tr>
      <w:tr>
        <w:trPr>
          <w:jc w:val="center"/>
          <w:trHeight w:val="415"/>
        </w:trPr>
        <w:tc>
          <w:tcPr>
            <w:tcW w:w="2395" w:type="dxa"/>
            <w:vAlign w:val="center"/>
            <w:vMerge w:val="continue"/>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非个人住宅</w:t>
            </w:r>
            <w:r/>
          </w:p>
        </w:tc>
        <w:tc>
          <w:tcPr>
            <w:tcBorders>
              <w:top w:val="single" w:color="auto" w:sz="4" w:space="0"/>
              <w:bottom w:val="single" w:color="auto" w:sz="4" w:space="0"/>
            </w:tcBorders>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m²</w:t>
            </w:r>
            <w:r/>
          </w:p>
        </w:tc>
        <w:tc>
          <w:tcPr>
            <w:tcBorders>
              <w:top w:val="single" w:color="auto" w:sz="4" w:space="0"/>
              <w:bottom w:val="single" w:color="auto" w:sz="4" w:space="0"/>
            </w:tcBorders>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800元/宗+0.22元/m²</w:t>
            </w:r>
            <w:r/>
          </w:p>
        </w:tc>
      </w:tr>
      <w:tr>
        <w:trPr>
          <w:jc w:val="center"/>
          <w:trHeight w:val="410"/>
        </w:trPr>
        <w:tc>
          <w:tcPr>
            <w:tcW w:w="2395"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林权测绘</w:t>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林地及林木</w:t>
            </w:r>
            <w:r/>
          </w:p>
        </w:tc>
        <w:tc>
          <w:tcPr>
            <w:tcBorders>
              <w:top w:val="single" w:color="auto" w:sz="4" w:space="0"/>
              <w:bottom w:val="single" w:color="auto" w:sz="4" w:space="0"/>
            </w:tcBorders>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宗</w:t>
            </w:r>
            <w:r/>
          </w:p>
        </w:tc>
        <w:tc>
          <w:tcPr>
            <w:tcBorders>
              <w:top w:val="single" w:color="auto" w:sz="4" w:space="0"/>
              <w:bottom w:val="single" w:color="auto" w:sz="4" w:space="0"/>
            </w:tcBorders>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800元/宗</w:t>
            </w:r>
            <w:r/>
          </w:p>
        </w:tc>
      </w:tr>
      <w:tr>
        <w:trPr>
          <w:jc w:val="center"/>
          <w:trHeight w:val="410"/>
        </w:trPr>
        <w:tc>
          <w:tcPr>
            <w:tcW w:w="2395"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土地承包经营权测绘</w:t>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土地</w:t>
            </w:r>
            <w:r/>
          </w:p>
        </w:tc>
        <w:tc>
          <w:tcPr>
            <w:tcBorders>
              <w:top w:val="single" w:color="auto" w:sz="4" w:space="0"/>
            </w:tcBorders>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w:t>
            </w:r>
            <w:r/>
          </w:p>
        </w:tc>
        <w:tc>
          <w:tcPr>
            <w:tcBorders>
              <w:top w:val="single" w:color="auto" w:sz="4" w:space="0"/>
            </w:tcBorders>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00元/户</w:t>
            </w:r>
            <w:r/>
          </w:p>
        </w:tc>
      </w:tr>
    </w:tbl>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注：本项目按</w:t>
      </w: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rPr>
        <w:t xml:space="preserve">进行报价，结算时按上表价格为基础根据成交</w:t>
      </w: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rPr>
        <w:t xml:space="preserve">结算，计算公式为最高限价单价×</w:t>
      </w: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rPr>
        <w:t xml:space="preserve">×实际完成的数量。</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6.采购需求：应由政府组织获取的各类不动产权利类型的地籍调查。（详细内容见本采购文件第四章）</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分为3个标段，其中一标段：弶港镇、沿海区、新街镇、唐洋镇、许河镇、三仓镇；二标段：东台镇、高新区、开发区、西溪景区、头灶镇、南沈灶镇；三标段：梁垛镇、五烈镇、溱东镇、时堰镇、安丰镇、富安镇。潜在供应商可以参加任意标段的投标，中标后其投标文件不计入后续所有标段的评审，如某标段不足3家供应商，则该标段流标。评审顺序为一标段、二标段、三标段。</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7.合同履行期限：自合同签订之日起至</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日。在服务期内，中标测绘单位须在接到招标人通知后立即组织专业技术人员对不动产登记地籍数据进行补测，7个日历天内向招标人提供地籍调查成果。</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8.本项目不接受联合体。</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12" w:name="_Toc28359080"/>
      <w:r/>
      <w:bookmarkStart w:id="13" w:name="_Toc35393622"/>
      <w:r/>
      <w:bookmarkStart w:id="14" w:name="_Toc35393791"/>
      <w:r/>
      <w:bookmarkStart w:id="15" w:name="_Toc28359003"/>
      <w:r/>
      <w:bookmarkStart w:id="16" w:name="_Toc38985264"/>
      <w:r>
        <w:rPr>
          <w:rFonts w:hint="eastAsia" w:ascii="宋体" w:hAnsi="宋体" w:eastAsia="宋体" w:cs="宋体"/>
          <w:b/>
          <w:color w:val="auto"/>
          <w:highlight w:val="none"/>
        </w:rPr>
        <w:t xml:space="preserve">二、申请人的资格要求：</w:t>
      </w:r>
      <w:bookmarkEnd w:id="12"/>
      <w:r/>
      <w:bookmarkEnd w:id="13"/>
      <w:r/>
      <w:bookmarkEnd w:id="14"/>
      <w:r/>
      <w:bookmarkEnd w:id="15"/>
      <w:r/>
      <w:bookmarkEnd w:id="16"/>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1.2上一年度或上上年度的财务状况报表（成立不满一年无需提供）；</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本项目为专门面向中小微企业采购的项目，供应商必须为中小微企业、监狱企业、残疾人福利性单位，不接受非中小微企业参与本项目投标。投标文件中需提供《中小企业声明函》，否则按无效响应处理。具体中小企业划分标准详见《关于印发中小企业划型标准规定的通知》工信部联企业〔2011〕300号文件。因本项目专门面向中小微企业（残疾人福利性单位、监狱企业）采购，故不再执行价格评审优惠的扶持政策。</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监狱企业、残疾人福利性单位视同小微企业。</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3.1供应商如委托被授权人参与，则被授权人须为本单位正式职工并提供供应商为被授权人缴纳的社会养老保险证明。</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 供应商须具有省级及以上测绘地理信息行政主管部门颁发的不动产测量乙级及以上资质。</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ind w:firstLine="480"/>
        <w:jc w:val="left"/>
        <w:spacing w:line="480" w:lineRule="exact"/>
        <w:widowControl/>
        <w:rPr>
          <w:rFonts w:hint="eastAsia" w:ascii="宋体" w:hAnsi="宋体" w:eastAsia="宋体" w:cs="宋体"/>
          <w:color w:val="auto"/>
          <w:sz w:val="24"/>
          <w:highlight w:val="none"/>
        </w:rPr>
      </w:pPr>
      <w:r/>
      <w:bookmarkStart w:id="17" w:name="_Toc28359082"/>
      <w:r/>
      <w:bookmarkStart w:id="18" w:name="_Toc35393793"/>
      <w:r/>
      <w:bookmarkStart w:id="19" w:name="_Toc38985266"/>
      <w:r/>
      <w:bookmarkStart w:id="20" w:name="_Toc35393624"/>
      <w:r/>
      <w:bookmarkStart w:id="21" w:name="_Toc28359005"/>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rPr>
        <w:t xml:space="preserve">：</w:t>
      </w:r>
      <w:bookmarkEnd w:id="17"/>
      <w:r/>
      <w:bookmarkEnd w:id="18"/>
      <w:r/>
      <w:bookmarkEnd w:id="19"/>
      <w:r/>
      <w:bookmarkEnd w:id="20"/>
      <w:r/>
      <w:bookmarkEnd w:id="21"/>
      <w:r>
        <w:rPr>
          <w:rFonts w:hint="eastAsia" w:ascii="宋体" w:hAnsi="宋体" w:eastAsia="宋体" w:cs="宋体"/>
          <w:color w:val="auto"/>
          <w:sz w:val="24"/>
          <w:highlight w:val="none"/>
        </w:rPr>
        <w:t xml:space="preserve">自招标文件公告发布之日起5个工作日。</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2026</w:t>
      </w:r>
      <w:r>
        <w:rPr>
          <w:rFonts w:hint="eastAsia" w:ascii="宋体" w:hAnsi="宋体" w:eastAsia="宋体" w:cs="宋体"/>
          <w:color w:val="auto"/>
          <w:sz w:val="24"/>
          <w:highlight w:val="none"/>
        </w:rPr>
        <w:t xml:space="preserve">年</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eastAsia="宋体" w:cs="宋体"/>
          <w:color w:val="auto"/>
          <w:highlight w:val="none"/>
          <w:u w:val="single"/>
          <w:lang w:val="en-US" w:eastAsia="zh-CN"/>
        </w:rPr>
        <w:t xml:space="preserve">8</w:t>
      </w:r>
      <w:r>
        <w:rPr>
          <w:rFonts w:hint="eastAsia" w:ascii="宋体" w:hAnsi="宋体" w:eastAsia="宋体" w:cs="宋体"/>
          <w:color w:val="auto"/>
          <w:sz w:val="24"/>
          <w:highlight w:val="none"/>
        </w:rPr>
        <w:t xml:space="preserve">日</w:t>
      </w:r>
      <w:r>
        <w:rPr>
          <w:rFonts w:hint="eastAsia" w:ascii="宋体" w:hAnsi="宋体" w:eastAsia="宋体" w:cs="宋体"/>
          <w:color w:val="auto"/>
          <w:highlight w:val="none"/>
          <w:u w:val="single"/>
          <w:lang w:val="en-US" w:eastAsia="zh-CN"/>
        </w:rPr>
        <w:t xml:space="preserve">14</w:t>
      </w:r>
      <w:r>
        <w:rPr>
          <w:rFonts w:hint="eastAsia" w:ascii="宋体" w:hAnsi="宋体" w:eastAsia="宋体" w:cs="宋体"/>
          <w:color w:val="auto"/>
          <w:sz w:val="24"/>
          <w:highlight w:val="none"/>
        </w:rPr>
        <w:t xml:space="preserve">点</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rPr>
        <w:t xml:space="preserve">（北京时间）</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2.地点：“苏采云”政府采购交易系统网上开标大厅。</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22" w:name="_Toc35393794"/>
      <w:r/>
      <w:bookmarkStart w:id="23" w:name="_Toc28359007"/>
      <w:r/>
      <w:bookmarkStart w:id="24" w:name="_Toc38985267"/>
      <w:r/>
      <w:bookmarkStart w:id="25" w:name="_Toc35393625"/>
      <w:r/>
      <w:bookmarkStart w:id="26" w:name="_Toc28359084"/>
      <w:r>
        <w:rPr>
          <w:rFonts w:hint="eastAsia" w:ascii="宋体" w:hAnsi="宋体" w:eastAsia="宋体" w:cs="宋体"/>
          <w:b/>
          <w:color w:val="auto"/>
          <w:highlight w:val="none"/>
        </w:rPr>
        <w:t xml:space="preserve">五、公告期限</w:t>
      </w:r>
      <w:bookmarkEnd w:id="22"/>
      <w:r/>
      <w:bookmarkEnd w:id="23"/>
      <w:r/>
      <w:bookmarkEnd w:id="24"/>
      <w:r/>
      <w:bookmarkEnd w:id="25"/>
      <w:r/>
      <w:bookmarkEnd w:id="26"/>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bookmarkStart w:id="27" w:name="_Toc35393795"/>
      <w:r/>
      <w:bookmarkStart w:id="28" w:name="_Toc38985268"/>
      <w:r/>
      <w:bookmarkStart w:id="29" w:name="_Toc35393626"/>
      <w:r>
        <w:rPr>
          <w:rFonts w:hint="eastAsia" w:ascii="宋体" w:hAnsi="宋体" w:eastAsia="宋体" w:cs="宋体"/>
          <w:color w:val="auto"/>
          <w:highlight w:val="none"/>
          <w:shd w:val="clear" w:color="auto" w:fill="ffffff"/>
        </w:rPr>
        <w:t xml:space="preserve">自本公告发布之日起5个工作日。</w:t>
      </w:r>
      <w:bookmarkEnd w:id="27"/>
      <w:r/>
      <w:bookmarkEnd w:id="28"/>
      <w:r/>
      <w:bookmarkEnd w:id="29"/>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bookmarkStart w:id="30" w:name="_Toc28359018"/>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3.有关本次招标的事项若存在变动或修改，敬请及时关注盐城市政府采购中心在“中国政府采购网”“江苏政府采购网”“盐城市政府采购网”发布的更正公告。</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643"/>
        <w:ind w:firstLine="480"/>
        <w:jc w:val="both"/>
        <w:spacing w:beforeAutospacing="0" w:afterAutospacing="0" w:line="480" w:lineRule="exact"/>
        <w:shd w:val="clear" w:color="auto" w:fill="ffffff"/>
        <w:widowControl/>
        <w:rPr>
          <w:rFonts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0"/>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bookmarkStart w:id="31" w:name="_Toc28359009"/>
      <w:r>
        <w:rPr>
          <w:rFonts w:hint="eastAsia" w:ascii="宋体" w:hAnsi="宋体" w:eastAsia="宋体" w:cs="宋体"/>
          <w:color w:val="auto"/>
          <w:highlight w:val="none"/>
          <w:shd w:val="clear" w:color="auto" w:fill="ffffff"/>
        </w:rPr>
        <w:t xml:space="preserve">1.采购人信息</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称：东台市不动产登记中心  </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    址：东台市金海东路25号  </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联系方式：何女士 0515-68000698                 </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2.采购代理机构信息</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称：东台市兴华招标代理有限公司</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    址：东台市东达翰林缘小区商铺12-104号</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联系方式：刘先生 13921850520                   </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3.项目联系方式</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项目联系人：何女士、刘先生</w:t>
      </w:r>
      <w:r/>
    </w:p>
    <w:p>
      <w:pPr>
        <w:pStyle w:val="653"/>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电　 　 话：0515-68000698、13921850520</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653"/>
        <w:ind w:right="840"/>
        <w:jc w:val="center"/>
        <w:spacing w:beforeAutospacing="0" w:afterAutospacing="0"/>
        <w:rPr>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20823274"/>
      <w:r/>
      <w:bookmarkStart w:id="34" w:name="_Toc120614213"/>
      <w:r/>
      <w:bookmarkStart w:id="35" w:name="_Toc16938518"/>
      <w:r/>
      <w:bookmarkStart w:id="36" w:name="_Toc513029202"/>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37" w:name="_Toc513029203"/>
      <w:r/>
      <w:bookmarkStart w:id="38" w:name="_Toc120614214"/>
      <w:r/>
      <w:bookmarkStart w:id="39" w:name="_Toc16938519"/>
      <w:r/>
      <w:bookmarkStart w:id="40" w:name="_Toc20823275"/>
      <w:r>
        <w:rPr>
          <w:rFonts w:hint="eastAsia" w:ascii="宋体" w:hAnsi="宋体" w:eastAsia="宋体" w:cs="宋体"/>
          <w:b/>
          <w:color w:val="auto"/>
          <w:highlight w:val="none"/>
        </w:rPr>
        <w:t xml:space="preserve">一、总则</w:t>
      </w:r>
      <w:bookmarkEnd w:id="37"/>
      <w:r/>
      <w:bookmarkEnd w:id="38"/>
      <w:r/>
      <w:bookmarkEnd w:id="39"/>
      <w:r/>
      <w:bookmarkEnd w:id="40"/>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41" w:name="_Toc16938520"/>
      <w:r/>
      <w:bookmarkStart w:id="42" w:name="_Toc20823276"/>
      <w:r/>
      <w:bookmarkStart w:id="43" w:name="_Toc513029204"/>
      <w:r/>
      <w:bookmarkStart w:id="44" w:name="_Toc458694821"/>
      <w:r/>
      <w:bookmarkStart w:id="45" w:name="_Hlt16619475"/>
      <w:r>
        <w:rPr>
          <w:rFonts w:hint="eastAsia" w:ascii="宋体" w:hAnsi="宋体" w:eastAsia="宋体" w:cs="宋体"/>
          <w:color w:val="auto"/>
          <w:highlight w:val="none"/>
        </w:rPr>
        <w:t xml:space="preserve">1.</w:t>
      </w:r>
      <w:bookmarkEnd w:id="41"/>
      <w:r>
        <w:rPr>
          <w:rFonts w:hint="eastAsia" w:ascii="宋体" w:hAnsi="宋体" w:eastAsia="宋体" w:cs="宋体"/>
          <w:color w:val="auto"/>
          <w:highlight w:val="none"/>
        </w:rPr>
        <w:t xml:space="preserve">招标方式</w:t>
      </w:r>
      <w:bookmarkEnd w:id="42"/>
      <w:r/>
      <w:bookmarkEnd w:id="43"/>
      <w:r/>
      <w:bookmarkEnd w:id="44"/>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46" w:name="_Toc513029205"/>
      <w:r/>
      <w:bookmarkStart w:id="47" w:name="_Toc20823277"/>
      <w:r/>
      <w:bookmarkStart w:id="48" w:name="_Toc16938521"/>
      <w:r>
        <w:rPr>
          <w:rFonts w:hint="eastAsia" w:ascii="宋体" w:hAnsi="宋体" w:eastAsia="宋体" w:cs="宋体"/>
          <w:color w:val="auto"/>
          <w:highlight w:val="none"/>
        </w:rPr>
        <w:t xml:space="preserve">2.合格的投标人</w:t>
      </w:r>
      <w:bookmarkEnd w:id="46"/>
      <w:r/>
      <w:bookmarkEnd w:id="47"/>
      <w:r/>
      <w:bookmarkEnd w:id="48"/>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2.1满足招标公告中对供应商的资格要求规定。</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2.2满足本文件对实质性要求和条件的规定。</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49" w:name="_Toc513029206"/>
      <w:r/>
      <w:bookmarkStart w:id="50" w:name="_Toc16938522"/>
      <w:r/>
      <w:bookmarkStart w:id="51" w:name="_Toc20823278"/>
      <w:r>
        <w:rPr>
          <w:rFonts w:hint="eastAsia" w:ascii="宋体" w:hAnsi="宋体" w:eastAsia="宋体" w:cs="宋体"/>
          <w:color w:val="auto"/>
          <w:highlight w:val="none"/>
        </w:rPr>
        <w:t xml:space="preserve">3.适用法律</w:t>
      </w:r>
      <w:bookmarkEnd w:id="49"/>
      <w:r/>
      <w:bookmarkEnd w:id="50"/>
      <w:r/>
      <w:bookmarkEnd w:id="51"/>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3.1本次招标及由此产生的合同受中华人民共和国有关法律法规的制约和保护。</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52" w:name="_Toc462564067"/>
      <w:r/>
      <w:bookmarkStart w:id="53" w:name="_Toc20823279"/>
      <w:r/>
      <w:bookmarkStart w:id="54" w:name="_Toc513029207"/>
      <w:r/>
      <w:bookmarkStart w:id="55" w:name="_Toc16938523"/>
      <w:r>
        <w:rPr>
          <w:rFonts w:hint="eastAsia" w:ascii="宋体" w:hAnsi="宋体" w:eastAsia="宋体" w:cs="宋体"/>
          <w:color w:val="auto"/>
          <w:highlight w:val="none"/>
        </w:rPr>
        <w:t xml:space="preserve">4.投标费用</w:t>
      </w:r>
      <w:bookmarkEnd w:id="52"/>
      <w:r/>
      <w:bookmarkEnd w:id="53"/>
      <w:r/>
      <w:bookmarkEnd w:id="54"/>
      <w:r/>
      <w:bookmarkEnd w:id="55"/>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4.1投标人应自行承担所有与参加投标有关的费用，无论投标过程中的做法和结果如何，采购人及代理机构在任何情况下均无义务和责任承担这些费用。</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4.2本次招标采购人及代理机构不收取标书工本费与中标服务费。</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5.</w:t>
      </w:r>
      <w:r>
        <w:rPr>
          <w:rFonts w:hint="eastAsia" w:ascii="宋体" w:hAnsi="宋体" w:eastAsia="宋体" w:cs="宋体"/>
          <w:color w:val="auto"/>
          <w:highlight w:val="none"/>
        </w:rPr>
        <w:t xml:space="preserve">招标文件的约束力</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56" w:name="_Toc120614215"/>
      <w:r/>
      <w:bookmarkStart w:id="57" w:name="_Toc16938525"/>
      <w:r/>
      <w:bookmarkStart w:id="58" w:name="_Toc513029209"/>
      <w:r/>
      <w:bookmarkStart w:id="59" w:name="_Toc20823281"/>
      <w:r>
        <w:rPr>
          <w:rFonts w:hint="eastAsia" w:ascii="宋体" w:hAnsi="宋体" w:eastAsia="宋体" w:cs="宋体"/>
          <w:b/>
          <w:color w:val="auto"/>
          <w:highlight w:val="none"/>
        </w:rPr>
        <w:t xml:space="preserve">二、招标文件</w:t>
      </w:r>
      <w:bookmarkEnd w:id="56"/>
      <w:r/>
      <w:bookmarkEnd w:id="57"/>
      <w:r/>
      <w:bookmarkEnd w:id="58"/>
      <w:r/>
      <w:bookmarkEnd w:id="59"/>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60" w:name="_Toc16938526"/>
      <w:r/>
      <w:bookmarkStart w:id="61" w:name="_Toc20823282"/>
      <w:r/>
      <w:bookmarkStart w:id="62" w:name="_Toc513029210"/>
      <w:r>
        <w:rPr>
          <w:rFonts w:hint="eastAsia" w:ascii="宋体" w:hAnsi="宋体" w:eastAsia="宋体" w:cs="宋体"/>
          <w:color w:val="auto"/>
          <w:highlight w:val="none"/>
        </w:rPr>
        <w:t xml:space="preserve">6.招标文件构成</w:t>
      </w:r>
      <w:bookmarkEnd w:id="60"/>
      <w:r/>
      <w:bookmarkEnd w:id="61"/>
      <w:r/>
      <w:bookmarkEnd w:id="62"/>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请仔细检查招标文件是否齐全，如有缺漏请立即与采购人或代理机构联系解决。</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63" w:name="_Toc462564070"/>
      <w:r/>
      <w:bookmarkStart w:id="64" w:name="_Toc16938527"/>
      <w:r/>
      <w:bookmarkStart w:id="65" w:name="_Toc20823283"/>
      <w:r/>
      <w:bookmarkStart w:id="66" w:name="_Toc513029211"/>
      <w:r>
        <w:rPr>
          <w:rFonts w:hint="eastAsia" w:ascii="宋体" w:hAnsi="宋体" w:eastAsia="宋体" w:cs="宋体"/>
          <w:color w:val="auto"/>
          <w:highlight w:val="none"/>
        </w:rPr>
        <w:t xml:space="preserve">7.招标文件的澄清</w:t>
      </w:r>
      <w:bookmarkEnd w:id="63"/>
      <w:r/>
      <w:bookmarkEnd w:id="64"/>
      <w:r/>
      <w:bookmarkEnd w:id="65"/>
      <w:r/>
      <w:bookmarkEnd w:id="66"/>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前按招标公告中的通讯地址，以书面形式通知采购人。</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67" w:name="_Toc20823284"/>
      <w:r/>
      <w:bookmarkStart w:id="68" w:name="_Toc513029212"/>
      <w:r/>
      <w:bookmarkStart w:id="69" w:name="_Toc16938528"/>
      <w:r/>
      <w:bookmarkStart w:id="70" w:name="_Toc462564071"/>
      <w:r>
        <w:rPr>
          <w:rFonts w:hint="eastAsia" w:ascii="宋体" w:hAnsi="宋体" w:eastAsia="宋体" w:cs="宋体"/>
          <w:color w:val="auto"/>
          <w:highlight w:val="none"/>
        </w:rPr>
        <w:t xml:space="preserve">8.招标文件的修改</w:t>
      </w:r>
      <w:bookmarkEnd w:id="67"/>
      <w:r/>
      <w:bookmarkEnd w:id="68"/>
      <w:r/>
      <w:bookmarkEnd w:id="69"/>
      <w:r/>
      <w:bookmarkEnd w:id="70"/>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8.1在投标截止时间之前，采购人可以对招标文件进行修改。</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8.2采购人有权按照法定的要求推迟投标截止日期和开标日期。</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71" w:name="_Toc513029213"/>
      <w:r/>
      <w:bookmarkStart w:id="72" w:name="_Toc20823285"/>
      <w:r/>
      <w:bookmarkStart w:id="73" w:name="_Toc462564072"/>
      <w:r/>
      <w:bookmarkStart w:id="74" w:name="_Toc120614216"/>
      <w:r/>
      <w:bookmarkStart w:id="75" w:name="_Toc16938529"/>
      <w:r>
        <w:rPr>
          <w:rFonts w:hint="eastAsia" w:ascii="宋体" w:hAnsi="宋体" w:eastAsia="宋体" w:cs="宋体"/>
          <w:b/>
          <w:color w:val="auto"/>
          <w:highlight w:val="none"/>
        </w:rPr>
        <w:t xml:space="preserve">三、投标文件的编制</w:t>
      </w:r>
      <w:bookmarkEnd w:id="71"/>
      <w:r/>
      <w:bookmarkEnd w:id="72"/>
      <w:r/>
      <w:bookmarkEnd w:id="73"/>
      <w:r/>
      <w:bookmarkEnd w:id="74"/>
      <w:r/>
      <w:bookmarkEnd w:id="75"/>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76" w:name="_Toc462564073"/>
      <w:r/>
      <w:bookmarkStart w:id="77" w:name="_Toc16938530"/>
      <w:r/>
      <w:bookmarkStart w:id="78" w:name="_Toc20823286"/>
      <w:r/>
      <w:bookmarkStart w:id="79" w:name="_Toc513029214"/>
      <w:r>
        <w:rPr>
          <w:rFonts w:hint="eastAsia" w:ascii="宋体" w:hAnsi="宋体" w:eastAsia="宋体" w:cs="宋体"/>
          <w:color w:val="auto"/>
          <w:highlight w:val="none"/>
        </w:rPr>
        <w:t xml:space="preserve">9.投标文件的语言及度量衡单位</w:t>
      </w:r>
      <w:bookmarkEnd w:id="76"/>
      <w:r/>
      <w:bookmarkEnd w:id="77"/>
      <w:r/>
      <w:bookmarkEnd w:id="78"/>
      <w:r/>
      <w:bookmarkEnd w:id="79"/>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9.1投标人提交的投标文件以及投标人与采购人就有关投标的所有来往通知、函件和文件均应使用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80" w:name="_Toc16938531"/>
      <w:r/>
      <w:bookmarkStart w:id="81" w:name="_Toc462564074"/>
      <w:r/>
      <w:bookmarkStart w:id="82" w:name="_Toc20823287"/>
      <w:r/>
      <w:bookmarkStart w:id="83" w:name="_Toc513029215"/>
      <w:r>
        <w:rPr>
          <w:rFonts w:hint="eastAsia" w:ascii="宋体" w:hAnsi="宋体" w:eastAsia="宋体" w:cs="宋体"/>
          <w:color w:val="auto"/>
          <w:highlight w:val="none"/>
        </w:rPr>
        <w:t xml:space="preserve">10.投标文件构成</w:t>
      </w:r>
      <w:bookmarkEnd w:id="80"/>
      <w:r/>
      <w:bookmarkEnd w:id="81"/>
      <w:r/>
      <w:bookmarkEnd w:id="82"/>
      <w:r/>
      <w:bookmarkEnd w:id="83"/>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中国政府采购网”“江苏政府采购网”“盐城市政府采购网”发布的招标文件不一致，请以</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中国政府采购网”“江苏政府采购网”“盐城市政府采购网”发布的招标文件为准。</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84" w:name="_Toc513029219"/>
      <w:r/>
      <w:bookmarkStart w:id="85" w:name="_Toc513029216"/>
      <w:r/>
      <w:bookmarkStart w:id="86" w:name="_Toc49090509"/>
      <w:r/>
      <w:bookmarkStart w:id="87" w:name="_Toc14577354"/>
      <w:r/>
      <w:bookmarkStart w:id="88" w:name="_Toc49090507"/>
      <w:r/>
      <w:bookmarkStart w:id="89" w:name="_Toc14577357"/>
      <w:r/>
      <w:bookmarkStart w:id="90" w:name="_Hlt26954838"/>
      <w:r/>
      <w:bookmarkStart w:id="91" w:name="_Hlt26668975"/>
      <w:r/>
      <w:bookmarkStart w:id="92" w:name="_Hlt26670360"/>
      <w:r>
        <w:rPr>
          <w:rFonts w:hint="eastAsia" w:ascii="宋体" w:hAnsi="宋体" w:eastAsia="宋体" w:cs="宋体"/>
          <w:color w:val="auto"/>
          <w:highlight w:val="none"/>
        </w:rPr>
        <w:t xml:space="preserve">11.证明投标人及投标标的符合招标文件规定的文件</w:t>
      </w:r>
      <w:bookmarkEnd w:id="84"/>
      <w:r/>
      <w:bookmarkEnd w:id="85"/>
      <w:r/>
      <w:bookmarkEnd w:id="86"/>
      <w:r/>
      <w:bookmarkEnd w:id="87"/>
      <w:r/>
      <w:bookmarkEnd w:id="88"/>
      <w:r/>
      <w:bookmarkEnd w:id="89"/>
      <w:r/>
      <w:r/>
    </w:p>
    <w:p>
      <w:pPr>
        <w:pStyle w:val="653"/>
        <w:ind w:firstLine="480"/>
        <w:jc w:val="both"/>
        <w:spacing w:beforeAutospacing="0" w:afterAutospacing="0" w:line="480" w:lineRule="exact"/>
        <w:rPr>
          <w:rFonts w:hint="eastAsia" w:ascii="宋体" w:hAnsi="宋体" w:eastAsia="宋体" w:cs="宋体"/>
          <w:color w:val="auto"/>
          <w:highlight w:val="none"/>
        </w:rPr>
      </w:pPr>
      <w:r/>
      <w:bookmarkStart w:id="93" w:name="_Toc49090508"/>
      <w:r/>
      <w:bookmarkStart w:id="94" w:name="_Toc14577355"/>
      <w:r>
        <w:rPr>
          <w:rFonts w:hint="eastAsia" w:ascii="宋体" w:hAnsi="宋体" w:eastAsia="宋体" w:cs="宋体"/>
          <w:color w:val="auto"/>
          <w:highlight w:val="none"/>
        </w:rPr>
        <w:t xml:space="preserve">11.1投标人应按照法律法规、规章和规范性文件以及招标文件要求提交证明文件，证明其及投标标的符合招标文件的规定。</w:t>
      </w:r>
      <w:bookmarkEnd w:id="93"/>
      <w:r/>
      <w:bookmarkEnd w:id="94"/>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w:t>
      </w:r>
      <w:bookmarkStart w:id="95" w:name="_Hlt26670373"/>
      <w:r>
        <w:rPr>
          <w:rFonts w:hint="eastAsia" w:ascii="宋体" w:hAnsi="宋体" w:eastAsia="宋体" w:cs="宋体"/>
          <w:color w:val="auto"/>
          <w:highlight w:val="none"/>
        </w:rPr>
        <w:t xml:space="preserve">表</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12.1投</w:t>
      </w:r>
      <w:bookmarkStart w:id="96" w:name="_Hlt26954840"/>
      <w:r>
        <w:rPr>
          <w:rFonts w:hint="eastAsia" w:ascii="宋体" w:hAnsi="宋体" w:eastAsia="宋体" w:cs="宋体"/>
          <w:color w:val="auto"/>
          <w:highlight w:val="none"/>
        </w:rPr>
        <w:t xml:space="preserve">标人应按照招标文件规定格式填报投标分项报价表</w:t>
      </w:r>
      <w:bookmarkStart w:id="97" w:name="_Hlt26670399"/>
      <w:r>
        <w:rPr>
          <w:rFonts w:hint="eastAsia" w:ascii="宋体" w:hAnsi="宋体" w:eastAsia="宋体" w:cs="宋体"/>
          <w:color w:val="auto"/>
          <w:highlight w:val="none"/>
        </w:rPr>
        <w:t xml:space="preserve">。</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98" w:name="_Hlt26954848"/>
      <w:r/>
      <w:bookmarkStart w:id="99" w:name="_Hlt26668983"/>
      <w:r/>
      <w:bookmarkStart w:id="100" w:name="_Hlt26670403"/>
      <w:r/>
      <w:bookmarkStart w:id="101" w:name="_Hlt26954842"/>
      <w:r/>
      <w:bookmarkStart w:id="102" w:name="_Hlt26670486"/>
      <w:r/>
      <w:bookmarkStart w:id="103" w:name="_Hlt26954846"/>
      <w:r/>
      <w:bookmarkStart w:id="104" w:name="_Hlt26954731"/>
      <w:r/>
      <w:bookmarkStart w:id="105" w:name="_Hlt26954844"/>
      <w:r/>
      <w:bookmarkStart w:id="106" w:name="_Hlt26670425"/>
      <w:r/>
      <w:bookmarkStart w:id="107" w:name="_Hlt26670482"/>
      <w:r>
        <w:rPr>
          <w:rFonts w:hint="eastAsia" w:ascii="宋体" w:hAnsi="宋体" w:eastAsia="宋体" w:cs="宋体"/>
          <w:color w:val="auto"/>
          <w:highlight w:val="none"/>
        </w:rPr>
        <w:t xml:space="preserve">13.技术要求响应及偏离表、商务要求响应及偏离表</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653"/>
        <w:ind w:firstLine="480"/>
        <w:jc w:val="both"/>
        <w:spacing w:beforeAutospacing="0" w:afterAutospacing="0" w:line="480" w:lineRule="exact"/>
        <w:tabs>
          <w:tab w:val="left" w:pos="103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08" w:name="_Toc14577359"/>
      <w:r/>
      <w:bookmarkStart w:id="109" w:name="_Toc49090510"/>
      <w:r>
        <w:rPr>
          <w:rFonts w:hint="eastAsia" w:ascii="宋体" w:hAnsi="宋体" w:eastAsia="宋体" w:cs="宋体"/>
          <w:color w:val="auto"/>
          <w:highlight w:val="none"/>
        </w:rPr>
        <w:t xml:space="preserve">14.投标函和开标一览表</w:t>
      </w:r>
      <w:bookmarkEnd w:id="108"/>
      <w:r/>
      <w:bookmarkEnd w:id="109"/>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 xml:space="preserve">。</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10" w:name="_Toc49090511"/>
      <w:r/>
      <w:bookmarkStart w:id="111" w:name="_Toc14577360"/>
      <w:r/>
      <w:bookmarkStart w:id="112" w:name="_Hlt26670489"/>
      <w:r/>
      <w:bookmarkStart w:id="113" w:name="_Hlt26954734"/>
      <w:r/>
      <w:bookmarkStart w:id="114" w:name="_Hlt26954850"/>
      <w:r>
        <w:rPr>
          <w:rFonts w:hint="eastAsia" w:ascii="宋体" w:hAnsi="宋体" w:eastAsia="宋体" w:cs="宋体"/>
          <w:color w:val="auto"/>
          <w:highlight w:val="none"/>
        </w:rPr>
        <w:t xml:space="preserve">15.投标有效期</w:t>
      </w:r>
      <w:bookmarkEnd w:id="110"/>
      <w:r/>
      <w:bookmarkEnd w:id="111"/>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15.1投标有效期为采购人规定的开标之日后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115" w:name="_Toc513029224"/>
      <w:r/>
      <w:bookmarkStart w:id="116" w:name="_Toc120614217"/>
      <w:r/>
      <w:bookmarkStart w:id="117" w:name="_Toc16938540"/>
      <w:r/>
      <w:bookmarkStart w:id="118" w:name="_Toc20823296"/>
      <w:r/>
      <w:bookmarkStart w:id="119" w:name="_Hlt26954852"/>
      <w:r/>
      <w:bookmarkStart w:id="120" w:name="_Hlt26954739"/>
      <w:r>
        <w:rPr>
          <w:rFonts w:hint="eastAsia" w:ascii="宋体" w:hAnsi="宋体" w:eastAsia="宋体" w:cs="宋体"/>
          <w:b/>
          <w:color w:val="auto"/>
          <w:highlight w:val="none"/>
        </w:rPr>
        <w:t xml:space="preserve">四、投标文件的递交</w:t>
      </w:r>
      <w:bookmarkEnd w:id="115"/>
      <w:r/>
      <w:bookmarkEnd w:id="116"/>
      <w:r/>
      <w:bookmarkEnd w:id="117"/>
      <w:r/>
      <w:bookmarkEnd w:id="118"/>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21" w:name="_Toc20823297"/>
      <w:r/>
      <w:bookmarkStart w:id="122" w:name="_Toc462564084"/>
      <w:r/>
      <w:bookmarkStart w:id="123" w:name="_Toc16938541"/>
      <w:r/>
      <w:bookmarkStart w:id="124" w:name="_Toc513029225"/>
      <w:r>
        <w:rPr>
          <w:rFonts w:hint="eastAsia" w:ascii="宋体" w:hAnsi="宋体" w:eastAsia="宋体" w:cs="宋体"/>
          <w:color w:val="auto"/>
          <w:highlight w:val="none"/>
        </w:rPr>
        <w:t xml:space="preserve">17.投标文件</w:t>
      </w:r>
      <w:bookmarkEnd w:id="121"/>
      <w:r/>
      <w:bookmarkEnd w:id="122"/>
      <w:r/>
      <w:bookmarkEnd w:id="123"/>
      <w:r/>
      <w:bookmarkEnd w:id="124"/>
      <w:r>
        <w:rPr>
          <w:rFonts w:hint="eastAsia" w:ascii="宋体" w:hAnsi="宋体" w:eastAsia="宋体" w:cs="宋体"/>
          <w:color w:val="auto"/>
          <w:highlight w:val="none"/>
        </w:rPr>
        <w:t xml:space="preserve">的递交</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18.1投标人上传电子投标文件的时间不得迟于招标公告中规定的投标截止时间。</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投标人应充分考虑网络环境、网络带宽等风险因素，如因投标人自身原因造成的电子投标文件上传不成功地按照本招标文件第二章第26.1.2条 规定做无效投标处理。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28" w:name="_Toc16938543"/>
      <w:r/>
      <w:bookmarkStart w:id="129" w:name="_Toc513029227"/>
      <w:r/>
      <w:bookmarkStart w:id="130" w:name="_Toc20823299"/>
      <w:r>
        <w:rPr>
          <w:rFonts w:hint="eastAsia" w:ascii="宋体" w:hAnsi="宋体" w:eastAsia="宋体" w:cs="宋体"/>
          <w:color w:val="auto"/>
          <w:highlight w:val="none"/>
        </w:rPr>
        <w:t xml:space="preserve">19.投标文件</w:t>
      </w:r>
      <w:bookmarkEnd w:id="128"/>
      <w:r/>
      <w:bookmarkEnd w:id="129"/>
      <w:r/>
      <w:bookmarkEnd w:id="130"/>
      <w:r>
        <w:rPr>
          <w:rFonts w:hint="eastAsia" w:ascii="宋体" w:hAnsi="宋体" w:eastAsia="宋体" w:cs="宋体"/>
          <w:color w:val="auto"/>
          <w:highlight w:val="none"/>
        </w:rPr>
        <w:t xml:space="preserve">的拒收</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19.1采购人拒绝接收在其规定的投标截止时间后上传的任何投标文件。</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31" w:name="_Toc20823300"/>
      <w:r/>
      <w:bookmarkStart w:id="132" w:name="_Toc513029228"/>
      <w:r/>
      <w:bookmarkStart w:id="133" w:name="_Toc16938544"/>
      <w:r>
        <w:rPr>
          <w:rFonts w:hint="eastAsia" w:ascii="宋体" w:hAnsi="宋体" w:eastAsia="宋体" w:cs="宋体"/>
          <w:color w:val="auto"/>
          <w:highlight w:val="none"/>
        </w:rPr>
        <w:t xml:space="preserve">20.投标文件的撤回和修改</w:t>
      </w:r>
      <w:bookmarkEnd w:id="131"/>
      <w:r/>
      <w:bookmarkEnd w:id="132"/>
      <w:r/>
      <w:bookmarkEnd w:id="133"/>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134" w:name="_Toc16938545"/>
      <w:r/>
      <w:bookmarkStart w:id="135" w:name="_Toc513029229"/>
      <w:r/>
      <w:bookmarkStart w:id="136" w:name="_Toc120614218"/>
      <w:r/>
      <w:bookmarkStart w:id="137" w:name="_Toc20823301"/>
      <w:r>
        <w:rPr>
          <w:rFonts w:hint="eastAsia" w:ascii="宋体" w:hAnsi="宋体" w:eastAsia="宋体" w:cs="宋体"/>
          <w:b/>
          <w:color w:val="auto"/>
          <w:highlight w:val="none"/>
        </w:rPr>
        <w:t xml:space="preserve">五、开标与评标</w:t>
      </w:r>
      <w:bookmarkEnd w:id="134"/>
      <w:r/>
      <w:bookmarkEnd w:id="135"/>
      <w:r/>
      <w:bookmarkEnd w:id="136"/>
      <w:r/>
      <w:bookmarkEnd w:id="137"/>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38" w:name="_Toc16938546"/>
      <w:r/>
      <w:bookmarkStart w:id="139" w:name="_Toc513029230"/>
      <w:r/>
      <w:bookmarkStart w:id="140" w:name="_Toc20823302"/>
      <w:r>
        <w:rPr>
          <w:rFonts w:hint="eastAsia" w:ascii="宋体" w:hAnsi="宋体" w:eastAsia="宋体" w:cs="宋体"/>
          <w:color w:val="auto"/>
          <w:highlight w:val="none"/>
        </w:rPr>
        <w:t xml:space="preserve">21.开标</w:t>
      </w:r>
      <w:bookmarkEnd w:id="138"/>
      <w:r/>
      <w:bookmarkEnd w:id="139"/>
      <w:r/>
      <w:bookmarkEnd w:id="140"/>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21.1采购人将在招标公告中规定的时间和地点组织公开开标。投标人应当按照《操作手册》规定，参加开标活动和在苏采云系统规定的时间内对投标文件进行解密。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21.2开标仪式由采购人或代理机构组织。苏采云系统将自动对项目进行开标，并宣布各投标人名称和投标价格。</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21.3投标人在开标过程中涉及的投标文件解密、开标结果确认等工作，应按照《操作手册》规定执行。</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41" w:name="_Toc16938547"/>
      <w:r/>
      <w:bookmarkStart w:id="142" w:name="_Toc20823303"/>
      <w:r/>
      <w:bookmarkStart w:id="143" w:name="_Toc513029231"/>
      <w:r>
        <w:rPr>
          <w:rFonts w:hint="eastAsia" w:ascii="宋体" w:hAnsi="宋体" w:eastAsia="宋体" w:cs="宋体"/>
          <w:color w:val="auto"/>
          <w:highlight w:val="none"/>
        </w:rPr>
        <w:t xml:space="preserve">22.评标委员会</w:t>
      </w:r>
      <w:bookmarkEnd w:id="141"/>
      <w:r/>
      <w:bookmarkEnd w:id="142"/>
      <w:r/>
      <w:bookmarkEnd w:id="143"/>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22.1开标后，采购人将立即组织评标委员会（以下简称评委会）进行评标。</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23.1凡是与审查、澄清、评价和比较投标的有关资料以及授标建议等，采购人、评委、代理机构均不得向投标人或与评标无关的其他人员透露。</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23.3采购人、代理机构和评标委员会不向未中标的投标人解释未中标原因，也不公布评标过程中的相关细节。</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44" w:name="_Toc513029232"/>
      <w:r/>
      <w:bookmarkStart w:id="145" w:name="_Toc20823304"/>
      <w:r/>
      <w:bookmarkStart w:id="146" w:name="_Toc16938548"/>
      <w:r>
        <w:rPr>
          <w:rFonts w:hint="eastAsia" w:ascii="宋体" w:hAnsi="宋体" w:eastAsia="宋体" w:cs="宋体"/>
          <w:color w:val="auto"/>
          <w:highlight w:val="none"/>
        </w:rPr>
        <w:t xml:space="preserve">24.投标文件的澄清</w:t>
      </w:r>
      <w:bookmarkEnd w:id="144"/>
      <w:r/>
      <w:bookmarkEnd w:id="145"/>
      <w:r/>
      <w:bookmarkEnd w:id="146"/>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 ，有权要求投标人作出必要的澄清、说明或者补正。</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24.3接到评委会澄清、说明和补正要求的投标人如未按规定作出澄清、说明和补正，其风险由投标人自行承担。</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47" w:name="_Toc513029233"/>
      <w:r/>
      <w:bookmarkStart w:id="148" w:name="_Toc20823305"/>
      <w:r/>
      <w:bookmarkStart w:id="149" w:name="_Toc16938549"/>
      <w:r>
        <w:rPr>
          <w:rFonts w:hint="eastAsia" w:ascii="宋体" w:hAnsi="宋体" w:eastAsia="宋体" w:cs="宋体"/>
          <w:color w:val="auto"/>
          <w:highlight w:val="none"/>
        </w:rPr>
        <w:t xml:space="preserve">25.对投标文件的初审</w:t>
      </w:r>
      <w:bookmarkEnd w:id="147"/>
      <w:r/>
      <w:bookmarkEnd w:id="148"/>
      <w:r/>
      <w:bookmarkEnd w:id="149"/>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25.3如果投标文件实质上没有响应招标文件的要求，评委会将予以拒绝，投标人不得通过修改或撤销不符合要求的偏离或保留而使其投标成为实质性响应的投标。</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3"/>
        <w:ind w:firstLine="480"/>
        <w:jc w:val="both"/>
        <w:spacing w:beforeAutospacing="0" w:afterAutospacing="0" w:line="480" w:lineRule="exact"/>
        <w:rPr>
          <w:rFonts w:hint="eastAsia" w:ascii="宋体" w:hAnsi="宋体" w:eastAsia="宋体" w:cs="宋体"/>
          <w:color w:val="auto"/>
          <w:highlight w:val="none"/>
        </w:rPr>
      </w:pPr>
      <w:r/>
      <w:bookmarkStart w:id="150" w:name="_Toc513029234"/>
      <w:r/>
      <w:bookmarkStart w:id="151" w:name="_Toc20823306"/>
      <w:r/>
      <w:bookmarkStart w:id="152" w:name="_Toc16938550"/>
      <w:r>
        <w:rPr>
          <w:rFonts w:hint="eastAsia" w:ascii="宋体" w:hAnsi="宋体" w:eastAsia="宋体" w:cs="宋体"/>
          <w:color w:val="auto"/>
          <w:highlight w:val="none"/>
        </w:rPr>
        <w:t xml:space="preserve">25.6投标人在开、评标全过程中应保持通信畅通，及时登录苏采云系统查阅、答复相关信息，并安排专人与采购人及评标委员会联系。</w:t>
      </w:r>
      <w:bookmarkEnd w:id="150"/>
      <w:r/>
      <w:bookmarkEnd w:id="151"/>
      <w:r/>
      <w:bookmarkEnd w:id="152"/>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653"/>
        <w:ind w:firstLine="480"/>
        <w:jc w:val="both"/>
        <w:spacing w:beforeAutospacing="0" w:afterAutospacing="0" w:line="480" w:lineRule="exact"/>
        <w:rPr>
          <w:rFonts w:hint="eastAsia" w:ascii="宋体" w:hAnsi="宋体" w:eastAsia="宋体" w:cs="宋体"/>
          <w:color w:val="auto"/>
          <w:highlight w:val="none"/>
        </w:rPr>
      </w:pPr>
      <w:r/>
      <w:bookmarkStart w:id="153" w:name="_Toc513029235"/>
      <w:r/>
      <w:bookmarkStart w:id="154" w:name="_Toc16938551"/>
      <w:r/>
      <w:bookmarkStart w:id="155" w:name="_Toc20823307"/>
      <w:r>
        <w:rPr>
          <w:rFonts w:hint="eastAsia" w:ascii="宋体" w:hAnsi="宋体" w:eastAsia="宋体" w:cs="宋体"/>
          <w:color w:val="auto"/>
          <w:highlight w:val="none"/>
        </w:rPr>
        <w:t xml:space="preserve">26.1无效投标条款</w:t>
      </w:r>
      <w:bookmarkEnd w:id="153"/>
      <w:r/>
      <w:bookmarkEnd w:id="154"/>
      <w:r/>
      <w:bookmarkEnd w:id="155"/>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26.1.10投标人不能证明其报价合理性的，评标委员会应当将其作为无效投标处理。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（一）评审过程中出现下列情形之一的，评标委员会应当启动异常低价投标审查程序：</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投标报价低于全部通过符合性审查供应商投标报价平均值50%的，即投标报价&lt;全部通过符合性审查供应商投标报价平均值×50%； </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投标报价低于通过符合性审查的次低报价供应商投标报价50%的，即投标报价&lt;通过符合性审查的次低报价供应商投标报价×50%； </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投标报价低于采购项目最高限价45%的，即投标报价&lt;采购项目最高限价×45%； </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评审委员会基于专业判断，认为供应商报价过低，有可能影响产品质量或者不能诚信履约的其他情形。</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26.1.12其他法律法规及本招标文件规定的属于无效投标的情形。</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26.2.1符合专业条件的供应商或者对招标文件做实质响应的供应商不足三家的。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26.2.2出现影响采购公正的违法、违规行为的。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26.2.5因苏采云系统故障原因造成开标不成功的。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 投标截止时间结束后参加投标的供应商不足三家的处理：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156" w:name="_Toc120614219"/>
      <w:r>
        <w:rPr>
          <w:rFonts w:hint="eastAsia" w:ascii="宋体" w:hAnsi="宋体" w:eastAsia="宋体" w:cs="宋体"/>
          <w:b/>
          <w:color w:val="auto"/>
          <w:highlight w:val="none"/>
        </w:rPr>
        <w:t xml:space="preserve">六、定标</w:t>
      </w:r>
      <w:bookmarkEnd w:id="156"/>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57" w:name="_Toc20823310"/>
      <w:r/>
      <w:bookmarkStart w:id="158" w:name="_Toc16938554"/>
      <w:r/>
      <w:bookmarkStart w:id="159" w:name="_Toc513029238"/>
      <w:r>
        <w:rPr>
          <w:rFonts w:hint="eastAsia" w:ascii="宋体" w:hAnsi="宋体" w:eastAsia="宋体" w:cs="宋体"/>
          <w:color w:val="auto"/>
          <w:highlight w:val="none"/>
        </w:rPr>
        <w:t xml:space="preserve">27.</w:t>
      </w:r>
      <w:bookmarkEnd w:id="157"/>
      <w:r>
        <w:rPr>
          <w:rFonts w:hint="eastAsia" w:ascii="宋体" w:hAnsi="宋体" w:eastAsia="宋体" w:cs="宋体"/>
          <w:color w:val="auto"/>
          <w:highlight w:val="none"/>
        </w:rPr>
        <w:t xml:space="preserve">确定</w:t>
      </w:r>
      <w:bookmarkEnd w:id="158"/>
      <w:r/>
      <w:bookmarkEnd w:id="159"/>
      <w:r>
        <w:rPr>
          <w:rFonts w:hint="eastAsia" w:ascii="宋体" w:hAnsi="宋体" w:eastAsia="宋体" w:cs="宋体"/>
          <w:color w:val="auto"/>
          <w:highlight w:val="none"/>
        </w:rPr>
        <w:t xml:space="preserve">中标单位</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27.3采购人将在“中国政府采购网”“江苏政府采购网”“盐城市政府采购网”发布中标公告，公告期限为1个工作日。</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27.4.2向采购人、代理机构行贿或者提供其他不正当利益的。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653"/>
        <w:ind w:firstLine="480"/>
        <w:jc w:val="both"/>
        <w:spacing w:beforeAutospacing="0" w:afterAutospacing="0" w:line="480" w:lineRule="exact"/>
        <w:rPr>
          <w:rFonts w:hint="eastAsia" w:ascii="宋体" w:hAnsi="宋体" w:eastAsia="宋体" w:cs="宋体"/>
          <w:color w:val="auto"/>
          <w:highlight w:val="none"/>
        </w:rPr>
      </w:pPr>
      <w:r/>
      <w:bookmarkStart w:id="160" w:name="_Toc200451960"/>
      <w:r>
        <w:rPr>
          <w:rFonts w:hint="eastAsia" w:ascii="宋体" w:hAnsi="宋体" w:eastAsia="宋体" w:cs="宋体"/>
          <w:color w:val="auto"/>
          <w:highlight w:val="none"/>
        </w:rPr>
        <w:t xml:space="preserve">27.5 有下列情形之一的，视为投标人串通投标，投标无效：</w:t>
      </w:r>
      <w:bookmarkEnd w:id="160"/>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80"/>
        <w:jc w:val="left"/>
        <w:spacing w:line="480" w:lineRule="exact"/>
        <w:tabs>
          <w:tab w:val="left" w:pos="133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采购人只接收以纸质原件形式送达的质疑，采购人不接受未填写快递运单的快件。</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53"/>
        <w:ind w:firstLine="482"/>
        <w:jc w:val="both"/>
        <w:keepLines/>
        <w:keepNext/>
        <w:spacing w:beforeAutospacing="0" w:afterAutospacing="0" w:line="480" w:lineRule="exact"/>
        <w:rPr>
          <w:rFonts w:hint="eastAsia" w:ascii="宋体" w:hAnsi="宋体" w:eastAsia="宋体" w:cs="宋体"/>
          <w:color w:val="auto"/>
          <w:highlight w:val="none"/>
        </w:rPr>
      </w:pPr>
      <w:r/>
      <w:bookmarkStart w:id="161" w:name="_Toc20823308"/>
      <w:r/>
      <w:bookmarkStart w:id="162" w:name="_Toc513029236"/>
      <w:r/>
      <w:bookmarkStart w:id="163" w:name="_Toc120614220"/>
      <w:r/>
      <w:bookmarkStart w:id="164" w:name="_Toc16938552"/>
      <w:r>
        <w:rPr>
          <w:rFonts w:hint="eastAsia" w:ascii="宋体" w:hAnsi="宋体" w:eastAsia="宋体" w:cs="宋体"/>
          <w:b/>
          <w:color w:val="auto"/>
          <w:highlight w:val="none"/>
        </w:rPr>
        <w:t xml:space="preserve">七、授予合同</w:t>
      </w:r>
      <w:bookmarkEnd w:id="161"/>
      <w:r/>
      <w:bookmarkEnd w:id="162"/>
      <w:r/>
      <w:bookmarkEnd w:id="163"/>
      <w:r/>
      <w:bookmarkEnd w:id="164"/>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bookmarkStart w:id="165" w:name="_Toc513029237"/>
      <w:r/>
      <w:bookmarkStart w:id="166" w:name="_Toc20823309"/>
      <w:r/>
      <w:bookmarkStart w:id="167" w:name="_Toc16938553"/>
      <w:r>
        <w:rPr>
          <w:rFonts w:hint="eastAsia" w:ascii="宋体" w:hAnsi="宋体" w:eastAsia="宋体" w:cs="宋体"/>
          <w:color w:val="auto"/>
          <w:highlight w:val="none"/>
        </w:rPr>
        <w:t xml:space="preserve">30.签订合同</w:t>
      </w:r>
      <w:bookmarkEnd w:id="165"/>
      <w:r/>
      <w:bookmarkEnd w:id="166"/>
      <w:r/>
      <w:bookmarkEnd w:id="167"/>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操作手册。 </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32.3.1中小企业定义：</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w:t>
      </w:r>
      <w:r>
        <w:rPr>
          <w:rFonts w:hint="eastAsia" w:ascii="宋体" w:hAnsi="宋体" w:eastAsia="宋体" w:cs="宋体"/>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pStyle w:val="653"/>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32.4政府采购节能产品、环境标志产品</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32.4.1严格执行政府采购关于支持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32.5绿色包装</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32.6政府采购创新产品</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采购人优先采购各级政府部门公开发布的有效期内的创新产品、创新服务、首台套、首购首用等《目录》中的创新产品。</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 </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本文件中若涉及数据中心采购，采购人应依据《绿色数据中心政府采购需求标准（试行）》（财办库〔2023〕7号）文件精神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32.8实施本国产品标准及相关政策</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32.8.1</w:t>
      </w:r>
      <w:r>
        <w:rPr>
          <w:rFonts w:hint="eastAsia" w:ascii="宋体" w:hAnsi="宋体" w:eastAsia="宋体" w:cs="宋体"/>
          <w:color w:val="auto"/>
          <w:sz w:val="24"/>
          <w:highlight w:val="none"/>
        </w:rPr>
        <w:t xml:space="preserve">本项目对采购本国产品给予政策支持，具体内容见招标文件“第五章 评标方法与评标标准”。</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32.8.2</w:t>
      </w: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32.8.3</w:t>
      </w: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32.8.4</w:t>
      </w:r>
      <w:r>
        <w:rPr>
          <w:rFonts w:hint="eastAsia" w:ascii="宋体" w:hAnsi="宋体" w:eastAsia="宋体" w:cs="宋体"/>
          <w:color w:val="auto"/>
          <w:sz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32.9</w:t>
      </w:r>
      <w:r>
        <w:rPr>
          <w:rFonts w:hint="eastAsia" w:ascii="宋体" w:hAnsi="宋体" w:eastAsia="宋体" w:cs="宋体"/>
          <w:color w:val="auto"/>
          <w:sz w:val="24"/>
          <w:highlight w:val="none"/>
        </w:rPr>
        <w:t xml:space="preserve">履约保证金政策</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如以履约保函（保险）形式缴纳履约保证金，供应商可通过政府采购电子履约保函（保险）平台（www.jsdzbh.com）在线申请履约保函（保险）。</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33.预付款制度</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本项目落实预付款制度，预付款比例为</w:t>
      </w:r>
      <w:r>
        <w:rPr>
          <w:rFonts w:hint="eastAsia" w:ascii="宋体" w:hAnsi="宋体" w:eastAsia="宋体" w:cs="宋体"/>
          <w:color w:val="auto"/>
          <w:highlight w:val="none"/>
          <w:u w:val="single"/>
        </w:rPr>
        <w:t xml:space="preserve">30%</w:t>
      </w:r>
      <w:r>
        <w:rPr>
          <w:rFonts w:hint="eastAsia" w:ascii="宋体" w:hAnsi="宋体" w:eastAsia="宋体" w:cs="宋体"/>
          <w:color w:val="auto"/>
          <w:highlight w:val="none"/>
        </w:rPr>
        <w:t xml:space="preserve">。在签订合同时，中标、成交供应商明确书面表示无需预付款或者主动要求降低预付款比例的，采购人可就预付款比例做相应调整。</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34.代理服务费</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代理服务费由招标人支付。</w:t>
      </w:r>
      <w:r/>
    </w:p>
    <w:p>
      <w:pPr>
        <w:jc w:val="center"/>
        <w:spacing w:line="500" w:lineRule="exact"/>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bCs/>
          <w:color w:val="auto"/>
          <w:sz w:val="44"/>
          <w:szCs w:val="44"/>
          <w:highlight w:val="none"/>
        </w:rPr>
      </w:pPr>
      <w:r>
        <w:rPr>
          <w:rFonts w:hint="eastAsia" w:ascii="黑体" w:hAnsi="宋体" w:eastAsia="黑体" w:cs="黑体"/>
          <w:b/>
          <w:color w:val="auto"/>
          <w:sz w:val="44"/>
          <w:szCs w:val="44"/>
          <w:highlight w:val="none"/>
        </w:rPr>
      </w:r>
      <w:r>
        <w:rPr>
          <w:rFonts w:hint="eastAsia" w:ascii="黑体" w:hAnsi="宋体" w:eastAsia="黑体" w:cs="黑体"/>
          <w:b/>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bCs/>
          <w:color w:val="auto"/>
          <w:sz w:val="44"/>
          <w:szCs w:val="44"/>
          <w:highlight w:val="none"/>
        </w:rPr>
      </w:r>
      <w:r>
        <w:rPr>
          <w:rFonts w:hint="eastAsia" w:ascii="黑体" w:hAnsi="宋体" w:eastAsia="黑体" w:cs="黑体"/>
          <w:b/>
          <w:bCs/>
          <w:color w:val="auto"/>
          <w:sz w:val="44"/>
          <w:szCs w:val="44"/>
          <w:highlight w:val="none"/>
        </w:rPr>
      </w:r>
    </w:p>
    <w:p>
      <w:pPr>
        <w:pStyle w:val="646"/>
        <w:rPr>
          <w:rFonts w:hint="eastAsia" w:ascii="黑体" w:hAnsi="宋体" w:eastAsia="黑体" w:cs="黑体"/>
          <w:b/>
          <w:bCs/>
          <w:color w:val="auto"/>
          <w:sz w:val="44"/>
          <w:szCs w:val="44"/>
          <w:highlight w:val="none"/>
        </w:rPr>
      </w:pPr>
      <w:r>
        <w:rPr>
          <w:rFonts w:hint="eastAsia" w:ascii="黑体" w:hAnsi="宋体" w:eastAsia="黑体" w:cs="黑体"/>
          <w:b/>
          <w:color w:val="auto"/>
          <w:sz w:val="44"/>
          <w:szCs w:val="44"/>
          <w:highlight w:val="none"/>
        </w:rPr>
      </w:r>
      <w:r/>
    </w:p>
    <w:p>
      <w:pPr>
        <w:pStyle w:val="646"/>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jc w:val="center"/>
        <w:spacing w:line="500" w:lineRule="exact"/>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 xml:space="preserve">第三章  合同文本</w:t>
      </w:r>
      <w:r/>
    </w:p>
    <w:p>
      <w:pPr>
        <w:pStyle w:val="653"/>
        <w:ind w:firstLine="480"/>
        <w:jc w:val="both"/>
        <w:spacing w:beforeAutospacing="0" w:afterAutospacing="0" w:line="500" w:lineRule="exact"/>
        <w:rPr>
          <w:color w:val="auto"/>
          <w:highlight w:val="none"/>
        </w:rPr>
      </w:pPr>
      <w:r/>
      <w:bookmarkStart w:id="168" w:name="_Toc16938559"/>
      <w:r/>
      <w:bookmarkStart w:id="169" w:name="_Toc20823315"/>
      <w:r/>
      <w:bookmarkStart w:id="170" w:name="_Toc513029243"/>
      <w:r>
        <w:rPr>
          <w:rFonts w:hint="eastAsia" w:ascii="宋体" w:hAnsi="宋体" w:eastAsia="宋体" w:cs="宋体"/>
          <w:color w:val="auto"/>
          <w:highlight w:val="none"/>
        </w:rPr>
        <w:t xml:space="preserve">以下为中标后签订本项目合同的通用条款，中标人不得提出实质性的修改。</w:t>
      </w:r>
      <w:bookmarkEnd w:id="168"/>
      <w:r/>
      <w:bookmarkEnd w:id="169"/>
      <w:r/>
      <w:bookmarkEnd w:id="170"/>
      <w:r/>
      <w:r/>
    </w:p>
    <w:p>
      <w:pPr>
        <w:pStyle w:val="653"/>
        <w:jc w:val="center"/>
        <w:spacing w:before="145" w:beforeAutospacing="0" w:after="145" w:afterAutospacing="0" w:line="500" w:lineRule="exact"/>
        <w:rPr>
          <w:color w:val="auto"/>
          <w:highlight w:val="none"/>
        </w:rPr>
      </w:pPr>
      <w:r>
        <w:rPr>
          <w:color w:val="auto"/>
          <w:highlight w:val="none"/>
        </w:rPr>
        <w:t xml:space="preserve"> </w:t>
      </w:r>
      <w:r/>
    </w:p>
    <w:p>
      <w:pPr>
        <w:pStyle w:val="653"/>
        <w:ind w:firstLine="482"/>
        <w:jc w:val="center"/>
        <w:spacing w:before="145" w:beforeAutospacing="0" w:after="145" w:afterAutospacing="0" w:line="500" w:lineRule="exact"/>
        <w:rPr>
          <w:color w:val="auto"/>
          <w:highlight w:val="none"/>
        </w:rPr>
      </w:pPr>
      <w:r>
        <w:rPr>
          <w:rFonts w:hint="eastAsia" w:ascii="宋体" w:hAnsi="宋体" w:eastAsia="宋体" w:cs="宋体"/>
          <w:b/>
          <w:color w:val="auto"/>
          <w:highlight w:val="none"/>
        </w:rPr>
        <w:t xml:space="preserve">盐城市政府采购合同（服务）（合同编号）</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项目编号：</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甲方：（买方）_________</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乙方：（卖方）_________</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2026年东台市不动产登记补充地籍调查项目</w:t>
      </w:r>
      <w:r>
        <w:rPr>
          <w:rFonts w:hint="eastAsia" w:ascii="宋体" w:hAnsi="宋体" w:eastAsia="宋体" w:cs="宋体"/>
          <w:color w:val="auto"/>
          <w:highlight w:val="none"/>
        </w:rPr>
        <w:t xml:space="preserve">公开招标的结果，签署本合同。</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一、合同内容</w:t>
      </w:r>
      <w:r/>
    </w:p>
    <w:p>
      <w:pPr>
        <w:pStyle w:val="653"/>
        <w:ind w:firstLine="480"/>
        <w:jc w:val="both"/>
        <w:spacing w:beforeAutospacing="0" w:afterAutospacing="0" w:line="440" w:lineRule="exact"/>
        <w:rPr>
          <w:rFonts w:eastAsia="宋体"/>
          <w:color w:val="auto"/>
          <w:highlight w:val="none"/>
        </w:rPr>
      </w:pPr>
      <w:r>
        <w:rPr>
          <w:rFonts w:hint="eastAsia" w:ascii="宋体" w:hAnsi="宋体" w:eastAsia="宋体" w:cs="宋体"/>
          <w:color w:val="auto"/>
          <w:highlight w:val="none"/>
        </w:rPr>
        <w:t xml:space="preserve">1.1 标的名称：2026年东台市不动产登记补充地籍调查项目</w:t>
      </w:r>
      <w:r/>
    </w:p>
    <w:p>
      <w:pPr>
        <w:pStyle w:val="653"/>
        <w:ind w:firstLine="480"/>
        <w:jc w:val="both"/>
        <w:spacing w:beforeAutospacing="0" w:afterAutospacing="0" w:line="440" w:lineRule="exact"/>
        <w:rPr>
          <w:rFonts w:eastAsia="宋体"/>
          <w:color w:val="auto"/>
          <w:highlight w:val="none"/>
        </w:rPr>
      </w:pPr>
      <w:r>
        <w:rPr>
          <w:rFonts w:hint="eastAsia" w:ascii="宋体" w:hAnsi="宋体" w:eastAsia="宋体" w:cs="宋体"/>
          <w:color w:val="auto"/>
          <w:highlight w:val="none"/>
        </w:rPr>
        <w:t xml:space="preserve">1.2标的质量：合格，符合中华人民共和国有关部门最新颁布的标准及规范要求。</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1.3 履行时间（期限）：合同签订之日起至</w:t>
      </w:r>
      <w:r>
        <w:rPr>
          <w:rFonts w:hint="eastAsia" w:ascii="宋体" w:hAnsi="宋体" w:eastAsia="宋体" w:cs="宋体"/>
          <w:color w:val="auto"/>
          <w:highlight w:val="none"/>
          <w:u w:val="single"/>
          <w:lang w:val="en-US" w:eastAsia="zh-CN"/>
        </w:rPr>
        <w:t xml:space="preserve">2026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11</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rPr>
        <w:t xml:space="preserve">日。</w:t>
      </w:r>
      <w:r/>
    </w:p>
    <w:p>
      <w:pPr>
        <w:pStyle w:val="653"/>
        <w:ind w:firstLine="480"/>
        <w:jc w:val="both"/>
        <w:spacing w:beforeAutospacing="0" w:afterAutospacing="0" w:line="440" w:lineRule="exact"/>
        <w:rPr>
          <w:rFonts w:eastAsia="宋体"/>
          <w:color w:val="auto"/>
          <w:highlight w:val="none"/>
        </w:rPr>
      </w:pPr>
      <w:r>
        <w:rPr>
          <w:rFonts w:hint="eastAsia" w:ascii="宋体" w:hAnsi="宋体" w:eastAsia="宋体" w:cs="宋体"/>
          <w:color w:val="auto"/>
          <w:highlight w:val="none"/>
        </w:rPr>
        <w:t xml:space="preserve">1.4 履行地点：东台市</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 成果报告：</w:t>
      </w:r>
      <w:r>
        <w:rPr>
          <w:rFonts w:hint="eastAsia" w:ascii="宋体" w:hAnsi="宋体" w:eastAsia="宋体" w:cs="宋体"/>
          <w:color w:val="auto"/>
          <w:highlight w:val="none"/>
        </w:rPr>
        <w:t xml:space="preserve">地籍调查</w:t>
      </w:r>
      <w:r>
        <w:rPr>
          <w:rFonts w:hint="eastAsia" w:ascii="宋体" w:hAnsi="宋体" w:eastAsia="宋体" w:cs="宋体"/>
          <w:color w:val="auto"/>
          <w:highlight w:val="none"/>
        </w:rPr>
        <w:t xml:space="preserve">成果</w:t>
      </w:r>
      <w:r>
        <w:rPr>
          <w:rFonts w:hint="eastAsia" w:ascii="宋体" w:hAnsi="宋体" w:eastAsia="宋体" w:cs="宋体"/>
          <w:color w:val="auto"/>
          <w:highlight w:val="none"/>
        </w:rPr>
        <w:t xml:space="preserve">纸质档1份和电子档1份</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二、合同金额</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2.1本合同</w:t>
      </w: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rPr>
        <w:t xml:space="preserve">为：__________%。</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三、技术资料</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3.1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四、知识产权</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五、产权担保</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5.1乙方保证所交付的服务（包含与服务相关的货物）的所有权完全属于乙方且无任何抵押、查封等产权瑕疵。（不相关，可删除）</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六、履约保证金</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6.1乙方交纳人民币</w:t>
      </w:r>
      <w:r>
        <w:rPr>
          <w:rFonts w:hint="eastAsia" w:ascii="宋体" w:hAnsi="宋体" w:eastAsia="宋体" w:cs="宋体"/>
          <w:color w:val="auto"/>
          <w:highlight w:val="none"/>
          <w:u w:val="single"/>
        </w:rPr>
        <w:t xml:space="preserve">  10000.00  </w:t>
      </w:r>
      <w:r>
        <w:rPr>
          <w:rFonts w:hint="eastAsia" w:ascii="宋体" w:hAnsi="宋体" w:eastAsia="宋体" w:cs="宋体"/>
          <w:color w:val="auto"/>
          <w:highlight w:val="none"/>
        </w:rPr>
        <w:t xml:space="preserve">元作为本合同的履约保证金。</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6.2乙方如信用评价等级为AA评级及以上（需在签订采购合同前提供信用管理部门备案的第三方信用报告，且信用报告通过“信用盐城网”可查实）的，则免收履约保证金。</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6.3确需收取履约保证金的，履约保证金的缴纳形式：</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6.3.1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6.3.2 如以履约保函（保险）形式缴纳履约保证金，供应商可通过政府采购电子履约保函（保险）平台（www.jsdzbh.com）在线申请履约保函（保险）。</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6.4合同履行结束后，甲方应及时退还交纳的履约保证金。</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6.5履约保证金的退还：</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6.5.1方式：退还至投标人缴纳履约保证金的账户。如为保函，在到期时自行失效。</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6.5.2时间：验收合格且采购人收到发票后30日内。</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6.5.3条件：按合同要求全部履约完成并经采购人验收合格，且采购人收到中标人出具的发票。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6.5.4不予退还情形：</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（4）中标人采取欺骗、弄虚作假方式投标的或与其他投标人串通投标的；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6.5.5逾期退还的违约责任：采购人逾期无故未退还履约保证金的，按中国人民银行同期贷款基准利率上浮20%后的利率支付超期资金占用费，但因供应商自身原因导致无法及时退还的除外。</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七、合同转包或分包</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7.1乙方不得将合同标的转包给他人履行。</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八、合同款项支付</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8.1合同款项的支付方式及进度安排</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8.1.1 合同签订后，甲方收到相应金额的有效发票后，原则上在10个工作日内支付预算金额30%的预付款。</w:t>
      </w:r>
      <w:r/>
    </w:p>
    <w:p>
      <w:pPr>
        <w:pStyle w:val="653"/>
        <w:ind w:firstLine="480"/>
        <w:jc w:val="both"/>
        <w:spacing w:beforeAutospacing="0" w:afterAutospacing="0" w:line="440" w:lineRule="exact"/>
        <w:rPr>
          <w:rFonts w:ascii="楷体_GB2312" w:eastAsia="楷体_GB2312"/>
          <w:color w:val="auto"/>
          <w:highlight w:val="none"/>
        </w:rPr>
      </w:pPr>
      <w:r>
        <w:rPr>
          <w:rFonts w:hint="eastAsia" w:ascii="宋体" w:hAnsi="宋体" w:eastAsia="宋体" w:cs="宋体"/>
          <w:color w:val="auto"/>
          <w:highlight w:val="none"/>
        </w:rPr>
        <w:t xml:space="preserve">8.1.2 按季结算，</w:t>
      </w:r>
      <w:r>
        <w:rPr>
          <w:rFonts w:hint="eastAsia" w:ascii="宋体" w:hAnsi="宋体" w:eastAsia="宋体" w:cs="宋体"/>
          <w:color w:val="auto"/>
          <w:highlight w:val="none"/>
        </w:rPr>
        <w:t xml:space="preserve">工作量</w:t>
      </w:r>
      <w:r>
        <w:rPr>
          <w:rFonts w:hint="eastAsia" w:ascii="宋体" w:hAnsi="宋体" w:eastAsia="宋体" w:cs="宋体"/>
          <w:color w:val="auto"/>
          <w:highlight w:val="none"/>
          <w:lang w:val="en-US" w:eastAsia="zh-CN"/>
        </w:rPr>
        <w:t xml:space="preserve">应付金额超出预付款后，</w:t>
      </w:r>
      <w:r>
        <w:rPr>
          <w:rFonts w:hint="eastAsia" w:ascii="宋体" w:hAnsi="宋体" w:eastAsia="宋体" w:cs="宋体"/>
          <w:color w:val="auto"/>
          <w:highlight w:val="none"/>
        </w:rPr>
        <w:t xml:space="preserve">经双方核定认可后，乙方出具有效票据。</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8.2 在签订合同时，乙方明确表示无需预付款或者主动要求降低预付款比例的，甲方可不适用上述关于预付款的规定。</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九、税费</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653"/>
        <w:ind w:firstLine="482"/>
        <w:jc w:val="both"/>
        <w:spacing w:beforeAutospacing="0" w:afterAutospacing="0"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十、甲方职责及义务</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10.1无偿向乙方提供测区有关历史成果及资料、并向乙方提出技术要求。</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10.2自接到乙方编制的成果报告之日起3个日历天内完成报告的审定工作。</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10.3保证乙方的测绘人员能够顺利进入现场工作，并对乙方进场人员的工作提供必要的条件。</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10.4按本合同规定按时向乙方支付合同价款。</w:t>
      </w:r>
      <w:r/>
    </w:p>
    <w:p>
      <w:pPr>
        <w:pStyle w:val="653"/>
        <w:ind w:firstLine="482"/>
        <w:jc w:val="both"/>
        <w:spacing w:beforeAutospacing="0" w:afterAutospacing="0"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十一、乙方职责及义务</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11.1在收到甲方任务派遣后7个日历天内向甲方提供地籍调查成果。</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11.2接收甲方的技术指导、质量监督，及时向甲方移交已完成的成果资料。</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11.3测绘成果质量必须符合国家现行规范和强制性标准要求。</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11.4乙方应积极配合甲方工作，并及时根据审查或验收意见完善测绘成果或修改、补充、变更工作，其修改、补充、变更等工作不得另行增加费用。</w:t>
      </w:r>
      <w:r/>
    </w:p>
    <w:p>
      <w:pPr>
        <w:pStyle w:val="653"/>
        <w:ind w:firstLine="482"/>
        <w:jc w:val="both"/>
        <w:spacing w:beforeAutospacing="0" w:afterAutospacing="0"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十二、甲方权利</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12.1对乙方派出的人员进行审核，并对其工作进行检查和监督，对不称职的人员有权要求更换；</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12.2有权对乙方的作业方法、进度、质量进行审查；</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12.3因乙方原因造成进度、工作质量不符合要求时，有权要求补充修改或延迟付款期限。</w:t>
      </w:r>
      <w:r/>
    </w:p>
    <w:p>
      <w:pPr>
        <w:pStyle w:val="653"/>
        <w:ind w:firstLine="482"/>
        <w:jc w:val="both"/>
        <w:spacing w:beforeAutospacing="0" w:afterAutospacing="0"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十三、乙方权利</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13.1有权查询与本项目有关的文件、技术资料，参与本项目的有关业务会议；</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13.2有权按照合同规定获得甲方的帮助和配合。</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十四、违约责任</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14.1若甲方未能及时验收，且无法提供合理的拒绝理由，视为验收合格。但若甲方能证明拒收是由于乙方服务成果不符合合同约定标准或存在重大缺陷，甲方有权拒收而不承担此违约责任。</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14.3如乙方提供的成果质量不合格，应及时采取补救措施，无偿补充完善成果使其达到质量合格，完善成果的时间不得超过3个工作日；若乙方无力补充完善合格成果，需另委托其他单位时，所需各项费用由乙方承担；因所提供的成果质量造成项目重大经济损失或事故时，乙方除应负法律责任和免收直接受损失部分的服务费外，按照损失程度计扣服务费的30%—100%，并根据损失程度向甲方支付赔偿金，赔偿金为实际损失的100%。同时甲方有权单方终止合同。</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14.4由于乙方出具的成果报告，致使在实施过程中发生重大质量事故的，以及测绘成果弄虚作假或发生重大偏差和错误的，不得参加东台市自然资源和规划局下一年度的招标，并在网站进行公布。 </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14.5乙方逾期交付服务成果或服务成果质量不合格，且未能在规定时间内补充完善的，甲方将予以书面警告；逾期交付服务成果或服务成果质量不合格且未能在规定时间内补充完善超过3次的，甲方可解除本合同。甲方依法依约解除合同的，乙方应向甲方支付合同金额5%的违约金，同时退还预付款（如有）。如造成甲方损失超过违约金的，超出部分由乙方继续承担赔偿责任。</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14.6若乙方违反知识产权、保密条款，除支付违约金外，还应立即停止侵权行为，消除影响，并赔偿甲方因此遭受的损失。 </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十五、项目验收</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15.1乙方提交成果报告后，由甲方组织有关人员进行初步审查，测绘成果整体误差率≤5%（轻微误差）。单个项目如乙方测绘成果存在误差或错误的，须在3个工作日内无偿补充完善成果，整改后重新提交审查，审查合格后办理移交，不计扣违约金；若整改后仍存在轻微误差，按该测绘项目价款的5%计扣违约金。</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15.2履约结束后，甲方根据采购合同的约定及时向乙方支付合同款项并退还履约保证金。采购合同的履行、违约责任和解决争议的方式等适用《中华人民共和国民法典》。乙方在履约过程中有政府采购法律法规规定的违法违规情形的，甲方将及时报告本级财政部门。</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十六、不可抗力事件处理</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16.1在合同有效期内，任何一方因不可抗力事件导致不能履行合同，则合同履行期可延长，其延长期与不可抗力影响期相同。</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16.2不可抗力事件发生后，应立即通知对方，并寄送有关权威机构出具的证明。</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16.3不可抗力事件延续120天以上，双方应通过友好协商，确定是否继续履行合同。</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十七、解决争议的方法</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17.1双方在签订、履行合同中所发生的一切争议，应通过友好协商解决。如协商不成，由甲方住所地人民法院管辖。</w:t>
      </w:r>
      <w:r/>
    </w:p>
    <w:p>
      <w:pPr>
        <w:pStyle w:val="653"/>
        <w:ind w:firstLine="482"/>
        <w:jc w:val="both"/>
        <w:spacing w:beforeAutospacing="0" w:afterAutospacing="0" w:line="440" w:lineRule="exact"/>
        <w:rPr>
          <w:color w:val="auto"/>
          <w:highlight w:val="none"/>
        </w:rPr>
      </w:pPr>
      <w:r>
        <w:rPr>
          <w:rFonts w:hint="eastAsia" w:ascii="宋体" w:hAnsi="宋体" w:eastAsia="宋体" w:cs="宋体"/>
          <w:b/>
          <w:color w:val="auto"/>
          <w:highlight w:val="none"/>
        </w:rPr>
        <w:t xml:space="preserve">十八、合同生效及其他</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18.1合同经双方法定代表人或授权委托代表人签字并加盖单位公章后生效。</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18.2本合同未尽事宜，遵照《中华人民共和国民法典》《中华人民共和国政府采购法》等有关条文执行。</w:t>
      </w:r>
      <w:r/>
    </w:p>
    <w:p>
      <w:pPr>
        <w:pStyle w:val="653"/>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18.3 本合同正本一式六份，具有同等法律效力，甲方、乙方各执三份。</w:t>
      </w:r>
      <w:r/>
    </w:p>
    <w:p>
      <w:pPr>
        <w:pStyle w:val="653"/>
        <w:jc w:val="both"/>
        <w:spacing w:before="120" w:beforeAutospacing="0" w:after="12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96" w:name="_GoBack"/>
      <w:r/>
      <w:bookmarkEnd w:id="196"/>
      <w:r/>
      <w:r/>
    </w:p>
    <w:p>
      <w:pPr>
        <w:pStyle w:val="653"/>
        <w:ind w:firstLine="480"/>
        <w:jc w:val="both"/>
        <w:spacing w:before="120" w:beforeAutospacing="0" w:after="120" w:afterAutospacing="0" w:line="500" w:lineRule="exact"/>
        <w:rPr>
          <w:color w:val="auto"/>
          <w:highlight w:val="none"/>
        </w:rPr>
      </w:pPr>
      <w:r>
        <w:rPr>
          <w:rFonts w:hint="eastAsia" w:ascii="宋体" w:hAnsi="宋体" w:eastAsia="宋体" w:cs="宋体"/>
          <w:color w:val="auto"/>
          <w:highlight w:val="none"/>
        </w:rPr>
        <w:t xml:space="preserve">甲方：                       乙方： </w:t>
      </w:r>
      <w:r/>
    </w:p>
    <w:p>
      <w:pPr>
        <w:pStyle w:val="653"/>
        <w:ind w:firstLine="480"/>
        <w:jc w:val="both"/>
        <w:spacing w:before="120" w:beforeAutospacing="0" w:after="120" w:afterAutospacing="0" w:line="500" w:lineRule="exact"/>
        <w:rPr>
          <w:color w:val="auto"/>
          <w:highlight w:val="none"/>
        </w:rPr>
      </w:pPr>
      <w:r>
        <w:rPr>
          <w:rFonts w:hint="eastAsia" w:ascii="宋体" w:hAnsi="宋体" w:eastAsia="宋体" w:cs="宋体"/>
          <w:color w:val="auto"/>
          <w:highlight w:val="none"/>
        </w:rPr>
        <w:t xml:space="preserve">地址：                       地址： </w:t>
      </w:r>
      <w:r/>
    </w:p>
    <w:p>
      <w:pPr>
        <w:pStyle w:val="653"/>
        <w:ind w:firstLine="480"/>
        <w:jc w:val="both"/>
        <w:spacing w:before="120" w:beforeAutospacing="0" w:after="120" w:afterAutospacing="0" w:line="500" w:lineRule="exact"/>
        <w:rPr>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653"/>
        <w:ind w:firstLine="480"/>
        <w:jc w:val="both"/>
        <w:spacing w:before="120" w:beforeAutospacing="0" w:after="120" w:afterAutospacing="0" w:line="500" w:lineRule="exact"/>
        <w:rPr>
          <w:color w:val="auto"/>
          <w:highlight w:val="none"/>
        </w:rPr>
      </w:pPr>
      <w:r>
        <w:rPr>
          <w:rFonts w:hint="eastAsia" w:ascii="宋体" w:hAnsi="宋体" w:eastAsia="宋体" w:cs="宋体"/>
          <w:color w:val="auto"/>
          <w:highlight w:val="none"/>
        </w:rPr>
        <w:t xml:space="preserve">联系电话：                   联系电话：          </w:t>
      </w:r>
      <w:r/>
    </w:p>
    <w:p>
      <w:pPr>
        <w:pStyle w:val="653"/>
        <w:jc w:val="center"/>
        <w:spacing w:before="120" w:beforeAutospacing="0" w:after="12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color w:val="auto"/>
          <w:highlight w:val="none"/>
        </w:rPr>
      </w:r>
    </w:p>
    <w:p>
      <w:pPr>
        <w:pStyle w:val="653"/>
        <w:jc w:val="center"/>
        <w:spacing w:before="120" w:beforeAutospacing="0" w:after="120" w:afterAutospacing="0" w:line="500" w:lineRule="exact"/>
        <w:rPr>
          <w:color w:val="auto"/>
          <w:highlight w:val="none"/>
        </w:rPr>
      </w:pPr>
      <w:r>
        <w:rPr>
          <w:rFonts w:hint="eastAsia" w:ascii="宋体" w:hAnsi="宋体" w:eastAsia="宋体" w:cs="宋体"/>
          <w:color w:val="auto"/>
          <w:highlight w:val="none"/>
        </w:rPr>
        <w:t xml:space="preserve">    签订日期：      年    月   日</w:t>
      </w:r>
      <w:bookmarkStart w:id="171" w:name="_Toc479757211"/>
      <w:r/>
      <w:bookmarkStart w:id="172" w:name="_Toc16938590"/>
      <w:r/>
      <w:bookmarkStart w:id="173" w:name="_Hlt16619350"/>
      <w:r/>
      <w:bookmarkStart w:id="174" w:name="_Toc120614244"/>
      <w:r/>
      <w:bookmarkStart w:id="175" w:name="_Toc20823346"/>
      <w:r/>
      <w:bookmarkStart w:id="176" w:name="_Toc462564139"/>
      <w:r/>
      <w:bookmarkStart w:id="177" w:name="_Hlt16619369"/>
      <w:r>
        <w:rPr>
          <w:rFonts w:hint="eastAsia" w:ascii="黑体" w:hAnsi="宋体" w:eastAsia="黑体" w:cs="黑体"/>
          <w:color w:val="auto"/>
          <w:highlight w:val="none"/>
        </w:rPr>
        <w:br w:type="page" w:clear="all"/>
      </w:r>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653"/>
        <w:ind w:firstLine="480"/>
        <w:jc w:val="both"/>
        <w:spacing w:beforeAutospacing="0" w:afterAutospacing="0" w:line="0" w:lineRule="atLeast"/>
        <w:rPr>
          <w:rFonts w:hint="eastAsia" w:ascii="宋体" w:hAnsi="宋体" w:eastAsia="宋体" w:cs="宋体"/>
          <w:color w:val="auto"/>
          <w:highlight w:val="none"/>
        </w:rPr>
      </w:pPr>
      <w:r/>
      <w:bookmarkStart w:id="178" w:name="_Toc49090575"/>
      <w:r/>
      <w:bookmarkStart w:id="179" w:name="_Toc26554093"/>
      <w:r>
        <w:rPr>
          <w:rFonts w:hint="eastAsia" w:ascii="宋体" w:hAnsi="宋体" w:eastAsia="宋体" w:cs="宋体"/>
          <w:color w:val="auto"/>
          <w:highlight w:val="none"/>
        </w:rPr>
        <w:t xml:space="preserve">项目属性：服务类项目。</w:t>
      </w:r>
      <w:bookmarkEnd w:id="178"/>
      <w:r/>
      <w:bookmarkEnd w:id="179"/>
      <w:r/>
      <w:r/>
    </w:p>
    <w:p>
      <w:pPr>
        <w:pStyle w:val="65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3"/>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一、采购内容</w:t>
      </w:r>
      <w:r/>
    </w:p>
    <w:tbl>
      <w:tblPr>
        <w:tblStyle w:val="645"/>
        <w:tblW w:w="85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1884"/>
        <w:gridCol w:w="1499"/>
        <w:gridCol w:w="2781"/>
      </w:tblGrid>
      <w:tr>
        <w:trPr>
          <w:trHeight w:val="398"/>
        </w:trPr>
        <w:tc>
          <w:tcPr>
            <w:gridSpan w:val="2"/>
            <w:tcW w:w="427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类型</w:t>
            </w:r>
            <w:r/>
          </w:p>
        </w:tc>
        <w:tc>
          <w:tcPr>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计量单位</w:t>
            </w:r>
            <w:r/>
          </w:p>
        </w:tc>
        <w:tc>
          <w:tcPr>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p>
        </w:tc>
      </w:tr>
      <w:tr>
        <w:trPr>
          <w:trHeight w:val="398"/>
        </w:trPr>
        <w:tc>
          <w:tcPr>
            <w:tcW w:w="2395" w:type="dxa"/>
            <w:vAlign w:val="center"/>
            <w:vMerge w:val="restart"/>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房产测绘</w:t>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工业厂房</w:t>
            </w:r>
            <w:r/>
          </w:p>
        </w:tc>
        <w:tc>
          <w:tcPr>
            <w:tcW w:w="1499" w:type="dxa"/>
            <w:vAlign w:val="center"/>
            <w:vMerge w:val="restart"/>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m²</w:t>
            </w:r>
            <w:r/>
          </w:p>
        </w:tc>
        <w:tc>
          <w:tcPr>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0.6元/m²</w:t>
            </w:r>
            <w:r/>
          </w:p>
        </w:tc>
      </w:tr>
      <w:tr>
        <w:trPr>
          <w:trHeight w:val="386"/>
        </w:trPr>
        <w:tc>
          <w:tcPr>
            <w:tcW w:w="2395" w:type="dxa"/>
            <w:vAlign w:val="center"/>
            <w:vMerge w:val="continue"/>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非工业厂房</w:t>
            </w:r>
            <w:r/>
          </w:p>
        </w:tc>
        <w:tc>
          <w:tcPr>
            <w:tcW w:w="1499" w:type="dxa"/>
            <w:vAlign w:val="center"/>
            <w:vMerge w:val="continue"/>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1元m²</w:t>
            </w:r>
            <w:r/>
          </w:p>
        </w:tc>
      </w:tr>
      <w:tr>
        <w:trPr>
          <w:trHeight w:val="398"/>
        </w:trPr>
        <w:tc>
          <w:tcPr>
            <w:tcW w:w="2395" w:type="dxa"/>
            <w:vAlign w:val="center"/>
            <w:vMerge w:val="restart"/>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地籍测绘</w:t>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个人住宅</w:t>
            </w:r>
            <w:r/>
          </w:p>
        </w:tc>
        <w:tc>
          <w:tcPr>
            <w:tcBorders>
              <w:bottom w:val="single" w:color="auto" w:sz="4" w:space="0"/>
            </w:tcBorders>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宗</w:t>
            </w:r>
            <w:r/>
          </w:p>
        </w:tc>
        <w:tc>
          <w:tcPr>
            <w:tcBorders>
              <w:bottom w:val="single" w:color="auto" w:sz="4" w:space="0"/>
            </w:tcBorders>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500元/宗</w:t>
            </w:r>
            <w:r/>
          </w:p>
        </w:tc>
      </w:tr>
      <w:tr>
        <w:trPr>
          <w:trHeight w:val="410"/>
        </w:trPr>
        <w:tc>
          <w:tcPr>
            <w:tcW w:w="2395" w:type="dxa"/>
            <w:vAlign w:val="center"/>
            <w:vMerge w:val="continue"/>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非个人住宅</w:t>
            </w:r>
            <w:r/>
          </w:p>
        </w:tc>
        <w:tc>
          <w:tcPr>
            <w:tcBorders>
              <w:top w:val="single" w:color="auto" w:sz="4" w:space="0"/>
              <w:bottom w:val="single" w:color="auto" w:sz="4" w:space="0"/>
            </w:tcBorders>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m²</w:t>
            </w:r>
            <w:r/>
          </w:p>
        </w:tc>
        <w:tc>
          <w:tcPr>
            <w:tcBorders>
              <w:top w:val="single" w:color="auto" w:sz="4" w:space="0"/>
              <w:bottom w:val="single" w:color="auto" w:sz="4" w:space="0"/>
            </w:tcBorders>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800元/宗+0.22元/m²</w:t>
            </w:r>
            <w:r/>
          </w:p>
        </w:tc>
      </w:tr>
      <w:tr>
        <w:trPr>
          <w:trHeight w:val="410"/>
        </w:trPr>
        <w:tc>
          <w:tcPr>
            <w:tcW w:w="2395"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林权测绘</w:t>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林地及林木</w:t>
            </w:r>
            <w:r/>
          </w:p>
        </w:tc>
        <w:tc>
          <w:tcPr>
            <w:tcBorders>
              <w:top w:val="single" w:color="auto" w:sz="4" w:space="0"/>
              <w:bottom w:val="single" w:color="auto" w:sz="4" w:space="0"/>
            </w:tcBorders>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宗</w:t>
            </w:r>
            <w:r/>
          </w:p>
        </w:tc>
        <w:tc>
          <w:tcPr>
            <w:tcBorders>
              <w:top w:val="single" w:color="auto" w:sz="4" w:space="0"/>
              <w:bottom w:val="single" w:color="auto" w:sz="4" w:space="0"/>
            </w:tcBorders>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800元/宗</w:t>
            </w:r>
            <w:r/>
          </w:p>
        </w:tc>
      </w:tr>
      <w:tr>
        <w:trPr>
          <w:trHeight w:val="410"/>
        </w:trPr>
        <w:tc>
          <w:tcPr>
            <w:tcW w:w="2395"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土地承包经营权测绘</w:t>
            </w:r>
            <w:r/>
          </w:p>
        </w:tc>
        <w:tc>
          <w:tcPr>
            <w:tcW w:w="1884"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土地</w:t>
            </w:r>
            <w:r/>
          </w:p>
        </w:tc>
        <w:tc>
          <w:tcPr>
            <w:tcBorders>
              <w:top w:val="single" w:color="auto" w:sz="4" w:space="0"/>
            </w:tcBorders>
            <w:tcW w:w="1499"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w:t>
            </w:r>
            <w:r/>
          </w:p>
        </w:tc>
        <w:tc>
          <w:tcPr>
            <w:tcBorders>
              <w:top w:val="single" w:color="auto" w:sz="4" w:space="0"/>
            </w:tcBorders>
            <w:tcW w:w="2781" w:type="dxa"/>
            <w:vAlign w:val="center"/>
            <w:textDirection w:val="lrTb"/>
            <w:noWrap/>
          </w:tcPr>
          <w:p>
            <w:pPr>
              <w:jc w:val="center"/>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600</w:t>
            </w:r>
            <w:r>
              <w:rPr>
                <w:rFonts w:hint="eastAsia" w:ascii="宋体" w:hAnsi="宋体" w:eastAsia="宋体" w:cs="宋体"/>
                <w:color w:val="auto"/>
                <w:sz w:val="24"/>
                <w:highlight w:val="none"/>
              </w:rPr>
              <w:t xml:space="preserve">元/户</w:t>
            </w:r>
            <w:r/>
          </w:p>
        </w:tc>
      </w:tr>
    </w:tbl>
    <w:p>
      <w:pPr>
        <w:pStyle w:val="653"/>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w:t>
      </w:r>
      <w:r>
        <w:rPr>
          <w:rFonts w:hint="eastAsia" w:ascii="宋体" w:hAnsi="宋体" w:eastAsia="宋体" w:cs="宋体"/>
          <w:b/>
          <w:bCs/>
          <w:color w:val="auto"/>
          <w:szCs w:val="22"/>
          <w:highlight w:val="none"/>
        </w:rPr>
        <w:t xml:space="preserve">质量要求和依据</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（1）《土地利用现状分类》（GB/T21010-2007）；</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（2）《国土空间调查、规划、用途管制用地用海分类指南》（自然资发〔2023〕234号）</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（3）《海域使用分类》（HY/T123-2009）</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（4）《地籍调查规程》（GB/T 42547-2023）；</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（5）《不动产地籍调查技术方案》（试行）；</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（6）《不动产单元设定与代119.85+9.2119.85码编制规则》（GB/T37346-2019）；</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（7）《农村地籍和房屋调查技术方案》（试行）；</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（8）《土地利用数据库标准》（TD/T1016-2007）；</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（9）《房产测量规范》（GB/T17986.1-2000）；</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（10）《房屋面积测算技术规程》DGJ32/TJ131-2011；</w:t>
      </w:r>
      <w:r/>
    </w:p>
    <w:p>
      <w:pPr>
        <w:pStyle w:val="653"/>
        <w:ind w:firstLine="480"/>
        <w:jc w:val="both"/>
        <w:spacing w:beforeAutospacing="0" w:afterAutospacing="0" w:line="440" w:lineRule="exact"/>
        <w:rPr>
          <w:rFonts w:cs="宋体"/>
          <w:bCs/>
          <w:color w:val="auto"/>
          <w:highlight w:val="none"/>
        </w:rPr>
      </w:pPr>
      <w:r>
        <w:rPr>
          <w:rFonts w:hint="eastAsia" w:cs="宋体"/>
          <w:bCs/>
          <w:color w:val="auto"/>
          <w:highlight w:val="none"/>
        </w:rPr>
        <w:t xml:space="preserve">（11）《城市测量规范》CJJ/T8-2011；</w:t>
      </w:r>
      <w:r/>
    </w:p>
    <w:p>
      <w:pPr>
        <w:pStyle w:val="653"/>
        <w:ind w:firstLine="480"/>
        <w:jc w:val="both"/>
        <w:spacing w:beforeAutospacing="0" w:afterAutospacing="0" w:line="440" w:lineRule="exact"/>
        <w:rPr>
          <w:rFonts w:hint="eastAsia" w:ascii="宋体" w:hAnsi="宋体" w:eastAsia="宋体" w:cs="宋体"/>
          <w:b/>
          <w:bCs/>
          <w:color w:val="auto"/>
          <w:highlight w:val="none"/>
        </w:rPr>
      </w:pPr>
      <w:r>
        <w:rPr>
          <w:rFonts w:hint="eastAsia" w:cs="宋体"/>
          <w:bCs/>
          <w:color w:val="auto"/>
          <w:highlight w:val="none"/>
        </w:rPr>
        <w:t xml:space="preserve">（12）《全球定位系统实时动态测量（RTK）技术规范》CH/T2009-2010。</w:t>
      </w:r>
      <w:r/>
    </w:p>
    <w:p>
      <w:pPr>
        <w:pStyle w:val="653"/>
        <w:ind w:firstLine="482"/>
        <w:jc w:val="both"/>
        <w:spacing w:beforeAutospacing="0" w:afterAutospacing="0"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三、服务期限</w:t>
      </w:r>
      <w:r/>
    </w:p>
    <w:p>
      <w:pPr>
        <w:pStyle w:val="653"/>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合同签订之日起至</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日。在服务期内，中标测绘单位须在接到招标人通知后立即组织专业技术人员对不动产登记地籍数据进行补测，7个日历天内向招标人提供地籍调查成果。</w:t>
      </w:r>
      <w:r/>
    </w:p>
    <w:p>
      <w:pPr>
        <w:pStyle w:val="646"/>
        <w:ind w:firstLine="480"/>
        <w:spacing w:line="440" w:lineRule="exact"/>
        <w:rPr>
          <w:rFonts w:hint="eastAsia" w:hAnsi="宋体" w:eastAsia="宋体"/>
          <w:b/>
          <w:bCs/>
          <w:color w:val="auto"/>
          <w:szCs w:val="22"/>
          <w:highlight w:val="none"/>
        </w:rPr>
        <w:outlineLvl w:val="1"/>
      </w:pPr>
      <w:r>
        <w:rPr>
          <w:rFonts w:hint="eastAsia" w:hAnsi="宋体" w:eastAsia="宋体"/>
          <w:b/>
          <w:bCs/>
          <w:color w:val="auto"/>
          <w:highlight w:val="none"/>
        </w:rPr>
        <w:t xml:space="preserve">四、</w:t>
      </w:r>
      <w:r>
        <w:rPr>
          <w:rFonts w:hint="eastAsia" w:hAnsi="宋体" w:eastAsia="宋体"/>
          <w:b/>
          <w:bCs/>
          <w:color w:val="auto"/>
          <w:szCs w:val="22"/>
          <w:highlight w:val="none"/>
        </w:rPr>
        <w:t xml:space="preserve">履约地点</w:t>
      </w:r>
      <w:r/>
    </w:p>
    <w:p>
      <w:pPr>
        <w:pStyle w:val="646"/>
        <w:ind w:firstLine="480"/>
        <w:spacing w:line="440" w:lineRule="exact"/>
        <w:rPr>
          <w:rFonts w:hint="eastAsia" w:hAnsi="宋体" w:eastAsia="宋体"/>
          <w:color w:val="auto"/>
          <w:highlight w:val="none"/>
        </w:rPr>
        <w:outlineLvl w:val="1"/>
      </w:pPr>
      <w:r>
        <w:rPr>
          <w:rFonts w:hint="eastAsia" w:hAnsi="宋体" w:eastAsia="宋体"/>
          <w:color w:val="auto"/>
          <w:highlight w:val="none"/>
        </w:rPr>
        <w:t xml:space="preserve">东台市。</w:t>
      </w:r>
      <w:r/>
    </w:p>
    <w:p>
      <w:pPr>
        <w:pStyle w:val="646"/>
        <w:ind w:firstLine="482"/>
        <w:spacing w:line="440" w:lineRule="exact"/>
        <w:rPr>
          <w:rFonts w:hint="eastAsia" w:hAnsi="宋体" w:eastAsia="宋体"/>
          <w:color w:val="auto"/>
          <w:szCs w:val="22"/>
          <w:highlight w:val="none"/>
        </w:rPr>
        <w:outlineLvl w:val="1"/>
      </w:pPr>
      <w:r>
        <w:rPr>
          <w:rFonts w:hint="eastAsia" w:hAnsi="宋体" w:eastAsia="宋体"/>
          <w:b/>
          <w:bCs/>
          <w:color w:val="auto"/>
          <w:szCs w:val="22"/>
          <w:highlight w:val="none"/>
        </w:rPr>
        <w:t xml:space="preserve">五、其他要求</w:t>
      </w:r>
      <w:r/>
    </w:p>
    <w:p>
      <w:pPr>
        <w:pStyle w:val="646"/>
        <w:ind w:firstLine="482"/>
        <w:spacing w:line="440" w:lineRule="exact"/>
        <w:rPr>
          <w:rFonts w:hint="eastAsia" w:hAnsi="宋体" w:eastAsia="宋体"/>
          <w:color w:val="auto"/>
          <w:szCs w:val="22"/>
          <w:highlight w:val="none"/>
        </w:rPr>
        <w:outlineLvl w:val="1"/>
      </w:pPr>
      <w:r>
        <w:rPr>
          <w:rFonts w:hint="eastAsia" w:hAnsi="宋体" w:eastAsia="宋体"/>
          <w:color w:val="auto"/>
          <w:szCs w:val="22"/>
          <w:highlight w:val="none"/>
        </w:rPr>
        <w:t xml:space="preserve">（1）中标供应商须无条件响应采购人制定的项目服务任务，拒不接受的，将取消其中标资格，并没收其履约保证金。</w:t>
      </w:r>
      <w:r/>
    </w:p>
    <w:p>
      <w:pPr>
        <w:pStyle w:val="646"/>
        <w:ind w:firstLine="482"/>
        <w:spacing w:line="440" w:lineRule="exact"/>
        <w:rPr>
          <w:rFonts w:hint="eastAsia" w:hAnsi="宋体" w:eastAsia="宋体"/>
          <w:color w:val="auto"/>
          <w:szCs w:val="22"/>
          <w:highlight w:val="none"/>
        </w:rPr>
        <w:outlineLvl w:val="1"/>
      </w:pPr>
      <w:r>
        <w:rPr>
          <w:rFonts w:hint="eastAsia" w:hAnsi="宋体" w:eastAsia="宋体"/>
          <w:color w:val="auto"/>
          <w:szCs w:val="22"/>
          <w:highlight w:val="none"/>
        </w:rPr>
        <w:t xml:space="preserve">（2）采购人向中标供应商提供的有关本项目的数据和资料，中标供应商不得以任何理由泄露给第三方。</w:t>
      </w:r>
      <w:r/>
    </w:p>
    <w:p>
      <w:pPr>
        <w:pStyle w:val="646"/>
        <w:ind w:firstLine="482"/>
        <w:spacing w:line="440" w:lineRule="exact"/>
        <w:rPr>
          <w:rFonts w:hint="eastAsia" w:hAnsi="宋体" w:eastAsia="宋体"/>
          <w:color w:val="auto"/>
          <w:szCs w:val="22"/>
          <w:highlight w:val="none"/>
        </w:rPr>
        <w:outlineLvl w:val="1"/>
      </w:pPr>
      <w:r>
        <w:rPr>
          <w:rFonts w:hint="eastAsia" w:hAnsi="宋体" w:eastAsia="宋体"/>
          <w:color w:val="auto"/>
          <w:szCs w:val="22"/>
          <w:highlight w:val="none"/>
        </w:rPr>
        <w:t xml:space="preserve">（3）本项目以上要求均为实质性要求，供应商须完全响应。</w:t>
      </w:r>
      <w:r/>
    </w:p>
    <w:p>
      <w:pPr>
        <w:pStyle w:val="653"/>
        <w:ind w:firstLine="482"/>
        <w:jc w:val="both"/>
        <w:spacing w:beforeAutospacing="0" w:afterAutospacing="0" w:line="480" w:lineRule="exact"/>
        <w:rPr>
          <w:rFonts w:hint="eastAsia" w:ascii="宋体" w:hAnsi="宋体" w:eastAsia="宋体" w:cs="宋体"/>
          <w:color w:val="auto"/>
          <w:highlight w:val="none"/>
        </w:rPr>
      </w:pPr>
      <w:r>
        <w:rPr>
          <w:rFonts w:hint="eastAsia" w:cs="宋体"/>
          <w:b/>
          <w:bCs/>
          <w:color w:val="auto"/>
          <w:highlight w:val="none"/>
        </w:rPr>
        <w:t xml:space="preserve">六</w:t>
      </w:r>
      <w:r>
        <w:rPr>
          <w:rFonts w:hint="eastAsia" w:ascii="宋体" w:hAnsi="宋体" w:eastAsia="宋体" w:cs="宋体"/>
          <w:b/>
          <w:bCs/>
          <w:color w:val="auto"/>
          <w:highlight w:val="none"/>
        </w:rPr>
        <w:t xml:space="preserve">、采购标的对应的中小企业划分标准所属行业一览表</w:t>
      </w:r>
      <w:r/>
    </w:p>
    <w:tbl>
      <w:tblPr>
        <w:tblStyle w:val="645"/>
        <w:tblW w:w="817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398"/>
        <w:gridCol w:w="3776"/>
      </w:tblGrid>
      <w:tr>
        <w:trPr>
          <w:jc w:val="center"/>
          <w:tblCellSpacing w:w="0" w:type="dxa"/>
          <w:trHeight w:val="616"/>
        </w:trPr>
        <w:tc>
          <w:tcPr>
            <w:tcBorders>
              <w:top w:val="single" w:color="auto" w:sz="4" w:space="0"/>
              <w:left w:val="single" w:color="auto" w:sz="4" w:space="0"/>
              <w:bottom w:val="single" w:color="auto" w:sz="4" w:space="0"/>
              <w:right w:val="single" w:color="auto" w:sz="4" w:space="0"/>
            </w:tcBorders>
            <w:tcW w:w="4398" w:type="dxa"/>
            <w:vAlign w:val="center"/>
            <w:textDirection w:val="lrTb"/>
            <w:noWrap/>
          </w:tcPr>
          <w:p>
            <w:pPr>
              <w:pStyle w:val="65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tcBorders>
              <w:top w:val="single" w:color="auto" w:sz="4" w:space="0"/>
              <w:left w:val="single" w:color="auto" w:sz="4" w:space="0"/>
              <w:bottom w:val="single" w:color="auto" w:sz="4" w:space="0"/>
              <w:right w:val="single" w:color="auto" w:sz="4" w:space="0"/>
            </w:tcBorders>
            <w:tcW w:w="3776" w:type="dxa"/>
            <w:vAlign w:val="center"/>
            <w:textDirection w:val="lrTb"/>
            <w:noWrap/>
          </w:tcPr>
          <w:p>
            <w:pPr>
              <w:pStyle w:val="65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616"/>
        </w:trPr>
        <w:tc>
          <w:tcPr>
            <w:tcBorders>
              <w:top w:val="single" w:color="auto" w:sz="4" w:space="0"/>
              <w:left w:val="single" w:color="auto" w:sz="4" w:space="0"/>
              <w:bottom w:val="single" w:color="auto" w:sz="4" w:space="0"/>
              <w:right w:val="single" w:color="auto" w:sz="4" w:space="0"/>
            </w:tcBorders>
            <w:tcW w:w="4398" w:type="dxa"/>
            <w:vAlign w:val="center"/>
            <w:textDirection w:val="lrTb"/>
            <w:noWrap/>
          </w:tcPr>
          <w:p>
            <w:pPr>
              <w:pStyle w:val="65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2026年东台市不动产登记补充地籍调查项目</w:t>
            </w:r>
            <w:r/>
          </w:p>
        </w:tc>
        <w:tc>
          <w:tcPr>
            <w:tcBorders>
              <w:top w:val="single" w:color="auto" w:sz="4" w:space="0"/>
              <w:left w:val="single" w:color="auto" w:sz="4" w:space="0"/>
              <w:bottom w:val="single" w:color="auto" w:sz="4" w:space="0"/>
              <w:right w:val="single" w:color="auto" w:sz="4" w:space="0"/>
            </w:tcBorders>
            <w:tcW w:w="3776" w:type="dxa"/>
            <w:vAlign w:val="center"/>
            <w:textDirection w:val="lrTb"/>
            <w:noWrap/>
          </w:tcPr>
          <w:p>
            <w:pPr>
              <w:pStyle w:val="65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其他未列明行业</w:t>
            </w:r>
            <w:r/>
          </w:p>
        </w:tc>
      </w:tr>
    </w:tbl>
    <w:p>
      <w:pPr>
        <w:pStyle w:val="65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3"/>
        <w:jc w:val="both"/>
        <w:spacing w:beforeAutospacing="0" w:afterAutospacing="0"/>
        <w:tabs>
          <w:tab w:val="left" w:pos="620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3"/>
        <w:jc w:val="center"/>
        <w:keepNext/>
        <w:spacing w:beforeAutospacing="0" w:afterAutospacing="0"/>
        <w:rPr>
          <w:rFonts w:hint="eastAsia" w:ascii="宋体" w:hAnsi="宋体" w:eastAsia="宋体" w:cs="宋体"/>
          <w:color w:val="auto"/>
          <w:highlight w:val="none"/>
        </w:rPr>
      </w:pPr>
      <w:r/>
      <w:bookmarkStart w:id="180" w:name="_Toc120614281"/>
      <w:r>
        <w:rPr>
          <w:rFonts w:hint="eastAsia" w:ascii="宋体" w:hAnsi="宋体" w:eastAsia="宋体" w:cs="宋体"/>
          <w:color w:val="auto"/>
          <w:highlight w:val="none"/>
        </w:rPr>
        <w:t xml:space="preserve"> </w:t>
      </w:r>
      <w:r/>
    </w:p>
    <w:p>
      <w:pPr>
        <w:pStyle w:val="6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ind w:firstLine="88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53"/>
        <w:jc w:val="both"/>
        <w:spacing w:beforeAutospacing="0" w:afterAutospacing="0"/>
        <w:rPr>
          <w:color w:val="auto"/>
          <w:highlight w:val="none"/>
        </w:rPr>
      </w:pPr>
      <w:r>
        <w:rPr>
          <w:color w:val="auto"/>
          <w:highlight w:val="none"/>
        </w:rPr>
        <w:t xml:space="preserve"> </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53"/>
        <w:ind w:firstLine="482"/>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657"/>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653"/>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20%的价格扣除。</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653"/>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20%的价格扣除。</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53"/>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20%的价格扣除。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w:t>
      </w:r>
      <w:r>
        <w:rPr>
          <w:rFonts w:hint="eastAsia" w:ascii="宋体" w:hAnsi="宋体" w:eastAsia="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3"/>
        <w:ind w:firstLine="482"/>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645"/>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7"/>
        <w:gridCol w:w="876"/>
        <w:gridCol w:w="1085"/>
        <w:gridCol w:w="582"/>
        <w:gridCol w:w="5378"/>
      </w:tblGrid>
      <w:tr>
        <w:trPr>
          <w:jc w:val="center"/>
          <w:trHeight w:val="124"/>
        </w:trPr>
        <w:tc>
          <w:tcPr>
            <w:tcW w:w="557"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序号</w:t>
            </w:r>
            <w:r/>
          </w:p>
        </w:tc>
        <w:tc>
          <w:tcPr>
            <w:tcW w:w="876"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评分项</w:t>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评分因素</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分值</w:t>
            </w:r>
            <w:r/>
          </w:p>
        </w:tc>
        <w:tc>
          <w:tcPr>
            <w:tcW w:w="5378"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评分细则</w:t>
            </w:r>
            <w:r/>
          </w:p>
        </w:tc>
      </w:tr>
      <w:tr>
        <w:trPr>
          <w:jc w:val="center"/>
          <w:trHeight w:val="359"/>
        </w:trPr>
        <w:tc>
          <w:tcPr>
            <w:tcW w:w="557"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一</w:t>
            </w:r>
            <w:r/>
          </w:p>
        </w:tc>
        <w:tc>
          <w:tcPr>
            <w:tcW w:w="876"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报价</w:t>
            </w:r>
            <w:r/>
          </w:p>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（20分）</w:t>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投标报价</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20</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满足招标文件要求且</w:t>
            </w:r>
            <w:r>
              <w:rPr>
                <w:rFonts w:hint="eastAsia" w:ascii="宋体" w:hAnsi="宋体" w:eastAsia="宋体" w:cs="宋体"/>
                <w:color w:val="auto"/>
                <w:szCs w:val="20"/>
                <w:highlight w:val="none"/>
                <w:lang w:val="en-US" w:eastAsia="zh-CN"/>
              </w:rPr>
              <w:t xml:space="preserve">优惠率</w:t>
            </w:r>
            <w:r>
              <w:rPr>
                <w:rFonts w:hint="eastAsia" w:ascii="宋体" w:hAnsi="宋体" w:eastAsia="宋体" w:cs="宋体"/>
                <w:color w:val="auto"/>
                <w:szCs w:val="20"/>
                <w:highlight w:val="none"/>
              </w:rPr>
              <w:t xml:space="preserve">最低的为基准价，其价格分为满分。报价得分=</w:t>
            </w:r>
            <w:r>
              <w:rPr>
                <w:rFonts w:hint="eastAsia" w:ascii="宋体" w:hAnsi="宋体" w:eastAsia="宋体" w:cs="宋体"/>
                <w:color w:val="auto"/>
                <w:szCs w:val="20"/>
                <w:highlight w:val="none"/>
                <w:lang w:val="en-US" w:eastAsia="zh-CN"/>
              </w:rPr>
              <w:t xml:space="preserve">优惠率</w:t>
            </w:r>
            <w:r>
              <w:rPr>
                <w:rFonts w:hint="eastAsia" w:ascii="宋体" w:hAnsi="宋体" w:eastAsia="宋体" w:cs="宋体"/>
                <w:color w:val="auto"/>
                <w:szCs w:val="20"/>
                <w:highlight w:val="none"/>
              </w:rPr>
              <w:t xml:space="preserve">/评标基准价×20。</w:t>
            </w:r>
            <w:r/>
          </w:p>
        </w:tc>
      </w:tr>
      <w:tr>
        <w:trPr>
          <w:jc w:val="center"/>
          <w:trHeight w:val="213"/>
        </w:trPr>
        <w:tc>
          <w:tcPr>
            <w:tcW w:w="557" w:type="dxa"/>
            <w:vAlign w:val="center"/>
            <w:vMerge w:val="restart"/>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二</w:t>
            </w:r>
            <w:r/>
          </w:p>
        </w:tc>
        <w:tc>
          <w:tcPr>
            <w:tcW w:w="876" w:type="dxa"/>
            <w:vAlign w:val="center"/>
            <w:vMerge w:val="restart"/>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技术部分（52分）</w:t>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总体方案</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12</w:t>
            </w:r>
            <w:r/>
          </w:p>
        </w:tc>
        <w:tc>
          <w:tcPr>
            <w:tcW w:w="5378" w:type="dxa"/>
            <w:vAlign w:val="center"/>
            <w:textDirection w:val="lrTb"/>
            <w:noWrap/>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供应商提供的项目总体方案包含但不限于（1）项目概况（2）目标任务与需求（3）实施方案（4）重难点分析等内容。</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满足以上4项要求最多得12分；满足任意一项最多得3分；其余情况不得分。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注：评标委员会根据各供应商的具体响应内容按照以下量化的评审因素指标对各项要求进行满足性判断：</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1.方案完整详尽，专业性、可行性强，考虑周全，思路清晰，符合项目需求该项得3分；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2.对项目总体有一定的认识，方案完整，思路清楚，符合项目基本需求，该项得2；</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3.方案粗糙，存在明显疏漏，与项目需求响应度低，项目理解思路不能满足采购需求该项得1分。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4.不提供或者经评标委员会不认可的不得分。</w:t>
            </w:r>
            <w:r/>
          </w:p>
        </w:tc>
      </w:tr>
      <w:tr>
        <w:trPr>
          <w:jc w:val="center"/>
          <w:trHeight w:val="595"/>
        </w:trPr>
        <w:tc>
          <w:tcPr>
            <w:tcW w:w="557"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876"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服务承诺</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10</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供应商提供的项目服务承诺包含但不限于（1）服务方案（2）服务承诺（3）服务承诺保障措施（4）服务能力等内容。</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满足以上4项要求最多得10分；满足任意一项最多得2.5分；其余情况不得分。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注：评标委员会根据各供应商的具体响应内容按照以下量化的评审因素指标对各项要求进行满足性判断：</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1.方案完整详尽，专业性、可行性强，考虑周全，思路清晰，符合项目需求该项得2.5分；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2.对项目总体有一定的认识，方案完整，思路清楚，符合项目基本需求，该项得2分；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3.方案粗糙，存在明显疏漏，与项目需求响应度低，项目理解思路不能满足采购需求该项得1.5分。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4.不提供或者经评标委员会不认可的不得分。</w:t>
            </w:r>
            <w:r/>
          </w:p>
        </w:tc>
      </w:tr>
      <w:tr>
        <w:trPr>
          <w:jc w:val="center"/>
          <w:trHeight w:val="595"/>
        </w:trPr>
        <w:tc>
          <w:tcPr>
            <w:tcW w:w="557"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876"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保密措施</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12</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供应商提供的项目保密措施方案包含但不限于（1）安全责任制度（2）应急预案（3）数据资料保密制度（4）专职管理人员资料等内容。</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满足以上4项要求最多得12分；满足任意一项最多得3分；其余情况不得分。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注：评标委员会根据各供应商的具体响应内容按照以下量化的评审因素指标对各项要求进行满足性判断：</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1.方案完整详尽，专业性、可行性强，考虑周全，思路清晰，符合项目需求该项得3分；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2.对项目总体有一定的认识，方案完整，思路清楚，符合项目基本需求，该项得2分；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3.方案粗糙，存在明显疏漏，与项目需求响应度低，项目理解思路不能满足采购需求该项得1分。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4.不提供或者经评标委员会不认可的不得分。</w:t>
            </w:r>
            <w:r/>
          </w:p>
        </w:tc>
      </w:tr>
      <w:tr>
        <w:trPr>
          <w:jc w:val="center"/>
          <w:trHeight w:val="832"/>
        </w:trPr>
        <w:tc>
          <w:tcPr>
            <w:tcW w:w="557"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876"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进度措施</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9</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供应商提供的项目进度措施方案包含但不限于（1）项目进度安排（2）工序管理措施（3）工期滞后处理及应急相关措施办法等内容。</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满足以上3项要求最多得9分；满足任意一项最多得3分；其余情况不得分。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注：评标委员会根据各供应商的具体响应内容按照以下量化的评审因素指标对各项要求进行满足性判断：</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1.方案完整详尽，专业性、可行性强，考虑周全，思路清晰，符合项目需求该项得3分；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2.对项目总体有一定的认识，方案完整，思路清楚，符合项目基本需求，该项得2分；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3.方案粗糙，存在明显疏漏，与项目需求响应度低，项目理解思路不能满足采购需求该项得1分。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4.不提供或者经评标委员会不认可的不得分。</w:t>
            </w:r>
            <w:r/>
          </w:p>
        </w:tc>
      </w:tr>
      <w:tr>
        <w:trPr>
          <w:jc w:val="center"/>
          <w:trHeight w:val="3163"/>
        </w:trPr>
        <w:tc>
          <w:tcPr>
            <w:tcW w:w="557"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876"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质保措施</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9</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供应商提供的项目质保措施方案包含但不限于（1）质量管理组织机构（2）服务质量保证措施（3）质量管理关键点分析及应对办法等内容。</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满足以上3项要求最多得9分；满足任意一项最多得3分；其余情况不得分。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注：评标委员会根据各供应商的具体响应内容按照以下量化的评审因素指标对各项要求进行满足性判断：</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1.方案完整详尽，专业性、可行性强，考虑周全，思路清晰，符合项目需求该项得3分；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2.对项目总体有一定的认识，方案完整，思路清楚，符合项目基本需求，该项得2分；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3.方案粗糙，存在明显疏漏，与项目需求响应度低，项目理解思路不能满足采购需求该项得1分。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4.不提供或者经评标委员会不认可的不得分。</w:t>
            </w:r>
            <w:r/>
          </w:p>
        </w:tc>
      </w:tr>
      <w:tr>
        <w:trPr>
          <w:jc w:val="center"/>
          <w:trHeight w:val="546"/>
        </w:trPr>
        <w:tc>
          <w:tcPr>
            <w:tcW w:w="557" w:type="dxa"/>
            <w:vAlign w:val="center"/>
            <w:vMerge w:val="restart"/>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三</w:t>
            </w:r>
            <w:r/>
          </w:p>
        </w:tc>
        <w:tc>
          <w:tcPr>
            <w:tcW w:w="876" w:type="dxa"/>
            <w:vAlign w:val="center"/>
            <w:vMerge w:val="restart"/>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商务部分（28分）</w:t>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人员配备</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13</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1.项目负责人：同时具有测绘及相关专业高级及以上工程师和地理信息安全保密培训证书的得3分。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2.拟投入项目其他人员中具有测绘及相关专业工程师及以上的每有1人的得2分，本项最高得10分。 </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注：以上所有人员均需提供养老保险证明，证明以投标单位当地养老保险管理部门出具的证明原件扫描件为准或者以投标人注册地社会养老保险管理部门的官方网站查询或验证结果打印件为准，提供此打印件的投标人须在投标文件中提供可查询的社保部门官方网址及登录查询信息；事业单位无需提供上述人社资料，但需提供相关行政主管部门出具的该单位及项目组人员事业性质证明原件；如投标项目负责人是返聘人员，需提供退休证明及与本单位签订的返聘合同。</w:t>
            </w:r>
            <w:r/>
          </w:p>
        </w:tc>
      </w:tr>
      <w:tr>
        <w:trPr>
          <w:jc w:val="center"/>
          <w:trHeight w:val="550"/>
        </w:trPr>
        <w:tc>
          <w:tcPr>
            <w:tcW w:w="557"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876"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企业资质</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6</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供应商具有质量管理体系认证证书、环境管理体系认证证书、职业健康安全管理体系认证证书的每一个得2分，本项目最高6分。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注：投标文件中需提供证书原件扫描件，未提供不予计分。</w:t>
            </w:r>
            <w:r/>
          </w:p>
        </w:tc>
      </w:tr>
      <w:tr>
        <w:trPr>
          <w:jc w:val="center"/>
          <w:trHeight w:val="550"/>
        </w:trPr>
        <w:tc>
          <w:tcPr>
            <w:tcW w:w="557"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876"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业绩</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5</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供应商自2019年1月1日以来（以合同签订时间为准）承担过类似项目（如房地一体农村不动产登记发证项目、自然资源确权登记），每有1个得1分，本项最高得5分。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注：投标文件中需提供合同原件扫描件，业绩为转包分包的无效，未提供的不得分。</w:t>
            </w:r>
            <w:r/>
          </w:p>
        </w:tc>
      </w:tr>
      <w:tr>
        <w:trPr>
          <w:jc w:val="center"/>
          <w:trHeight w:val="550"/>
        </w:trPr>
        <w:tc>
          <w:tcPr>
            <w:tcW w:w="557"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876" w:type="dxa"/>
            <w:vAlign w:val="center"/>
            <w:vMerge w:val="continue"/>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tc>
        <w:tc>
          <w:tcPr>
            <w:tcW w:w="1085"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奖项</w:t>
            </w:r>
            <w:r/>
          </w:p>
        </w:tc>
        <w:tc>
          <w:tcPr>
            <w:tcW w:w="582" w:type="dxa"/>
            <w:vAlign w:val="center"/>
            <w:textDirection w:val="lrTb"/>
            <w:noWrap/>
          </w:tcPr>
          <w:p>
            <w:pPr>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4</w:t>
            </w:r>
            <w:r/>
          </w:p>
        </w:tc>
        <w:tc>
          <w:tcPr>
            <w:tcW w:w="5378" w:type="dxa"/>
            <w:vAlign w:val="center"/>
            <w:textDirection w:val="lrTb"/>
            <w:noWrap/>
          </w:tcPr>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供应商获得过市级优秀测绘地理信息工程奖的每有1个得1分，获得省级及以上优秀测绘地理信息工程奖的每有1个得2分，本项最高得4分。</w:t>
            </w:r>
            <w:r/>
          </w:p>
          <w:p>
            <w:pPr>
              <w:ind w:firstLine="420"/>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注：投标文件中需提供证书原件扫描件，未提供不予计分。</w:t>
            </w:r>
            <w:r/>
          </w:p>
        </w:tc>
      </w:tr>
    </w:tbl>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注：1、每部分的得分保留小数点后两位，合计得分保留小数点后两位。</w:t>
      </w:r>
      <w:r/>
    </w:p>
    <w:p>
      <w:pPr>
        <w:pStyle w:val="65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2.所有提供的材料复印件应清晰。若证明材料复印件因模糊等原因，导致评标专家无法判定，最终造成得分不予计取的后果由投标供应商自行承担。</w:t>
      </w:r>
      <w:r/>
    </w:p>
    <w:p>
      <w:pPr>
        <w:pStyle w:val="653"/>
        <w:jc w:val="both"/>
        <w:spacing w:beforeAutospacing="0" w:afterAutospacing="0"/>
        <w:rPr>
          <w:color w:val="auto"/>
          <w:highlight w:val="none"/>
        </w:rPr>
      </w:pPr>
      <w:r>
        <w:rPr>
          <w:rFonts w:hint="eastAsia" w:ascii="宋体" w:hAnsi="宋体" w:eastAsia="宋体" w:cs="宋体"/>
          <w:color w:val="auto"/>
          <w:highlight w:val="none"/>
        </w:rPr>
        <w:t xml:space="preserve"> </w:t>
      </w:r>
      <w:r>
        <w:rPr>
          <w:color w:val="auto"/>
          <w:highlight w:val="none"/>
        </w:rPr>
        <w:t xml:space="preserve"> </w:t>
      </w:r>
      <w:r/>
    </w:p>
    <w:p>
      <w:pPr>
        <w:pStyle w:val="653"/>
        <w:jc w:val="both"/>
        <w:spacing w:beforeAutospacing="0" w:afterAutospacing="0"/>
        <w:rPr>
          <w:color w:val="auto"/>
          <w:highlight w:val="none"/>
        </w:rPr>
      </w:pPr>
      <w:r>
        <w:rPr>
          <w:color w:val="auto"/>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r>
      <w:r/>
    </w:p>
    <w:p>
      <w:pPr>
        <w:pStyle w:val="653"/>
        <w:jc w:val="both"/>
        <w:spacing w:beforeAutospacing="0" w:afterAutospacing="0"/>
        <w:rPr>
          <w:color w:val="auto"/>
          <w:highlight w:val="none"/>
        </w:rPr>
      </w:pPr>
      <w:r>
        <w:rPr>
          <w:color w:val="auto"/>
          <w:highlight w:val="none"/>
        </w:rPr>
        <w:t xml:space="preserve"> </w:t>
      </w:r>
      <w:r/>
    </w:p>
    <w:p>
      <w:pPr>
        <w:pStyle w:val="653"/>
        <w:ind w:firstLine="88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53"/>
        <w:ind w:firstLine="1446"/>
        <w:jc w:val="center"/>
        <w:spacing w:beforeAutospacing="0" w:afterAutospacing="0"/>
        <w:rPr>
          <w:rFonts w:hint="eastAsia" w:ascii="宋体" w:hAnsi="宋体" w:eastAsia="宋体" w:cs="宋体"/>
          <w:b/>
          <w:color w:val="auto"/>
          <w:sz w:val="72"/>
          <w:szCs w:val="72"/>
          <w:highlight w:val="none"/>
        </w:rPr>
      </w:pPr>
      <w:r/>
      <w:bookmarkStart w:id="181" w:name="_Hlt26671244"/>
      <w:r/>
      <w:bookmarkEnd w:id="181"/>
      <w:r/>
      <w:bookmarkStart w:id="182" w:name="_Hlt26955039"/>
      <w:r/>
      <w:bookmarkEnd w:id="182"/>
      <w:r/>
      <w:bookmarkStart w:id="183" w:name="_Toc26554094"/>
      <w:r/>
      <w:bookmarkEnd w:id="183"/>
      <w:r/>
      <w:bookmarkStart w:id="184" w:name="_Toc120614282"/>
      <w:r/>
      <w:bookmarkStart w:id="185" w:name="_Toc49090576"/>
      <w:r/>
      <w:r/>
    </w:p>
    <w:p>
      <w:pPr>
        <w:pStyle w:val="653"/>
        <w:ind w:firstLine="1446"/>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53"/>
        <w:jc w:val="center"/>
        <w:spacing w:beforeAutospacing="0" w:afterAutospacing="0"/>
        <w:rPr>
          <w:color w:val="auto"/>
          <w:highlight w:val="none"/>
        </w:rPr>
      </w:pPr>
      <w:r>
        <w:rPr>
          <w:color w:val="auto"/>
          <w:highlight w:val="none"/>
        </w:rPr>
        <w:t xml:space="preserve"> </w:t>
      </w:r>
      <w:r/>
    </w:p>
    <w:p>
      <w:pPr>
        <w:pStyle w:val="653"/>
        <w:jc w:val="center"/>
        <w:spacing w:beforeAutospacing="0" w:afterAutospacing="0"/>
        <w:rPr>
          <w:color w:val="auto"/>
          <w:highlight w:val="none"/>
        </w:rPr>
      </w:pPr>
      <w:r>
        <w:rPr>
          <w:color w:val="auto"/>
          <w:highlight w:val="none"/>
        </w:rPr>
        <w:t xml:space="preserve"> </w:t>
      </w:r>
      <w:r/>
    </w:p>
    <w:p>
      <w:pPr>
        <w:pStyle w:val="653"/>
        <w:jc w:val="center"/>
        <w:spacing w:beforeAutospacing="0" w:afterAutospacing="0"/>
        <w:rPr>
          <w:color w:val="auto"/>
          <w:highlight w:val="none"/>
        </w:rPr>
      </w:pPr>
      <w:r>
        <w:rPr>
          <w:color w:val="auto"/>
          <w:highlight w:val="none"/>
        </w:rPr>
        <w:t xml:space="preserve"> </w:t>
      </w:r>
      <w:r/>
    </w:p>
    <w:p>
      <w:pPr>
        <w:pStyle w:val="653"/>
        <w:jc w:val="center"/>
        <w:spacing w:beforeAutospacing="0" w:afterAutospacing="0"/>
        <w:rPr>
          <w:color w:val="auto"/>
          <w:highlight w:val="none"/>
        </w:rPr>
      </w:pPr>
      <w:r>
        <w:rPr>
          <w:color w:val="auto"/>
          <w:highlight w:val="none"/>
        </w:rPr>
        <w:t xml:space="preserve"> </w:t>
      </w:r>
      <w:r/>
    </w:p>
    <w:p>
      <w:pPr>
        <w:pStyle w:val="653"/>
        <w:jc w:val="center"/>
        <w:spacing w:beforeAutospacing="0" w:afterAutospacing="0"/>
        <w:rPr>
          <w:color w:val="auto"/>
          <w:highlight w:val="none"/>
        </w:rPr>
      </w:pPr>
      <w:r>
        <w:rPr>
          <w:color w:val="auto"/>
          <w:highlight w:val="none"/>
        </w:rPr>
        <w:t xml:space="preserve"> </w:t>
      </w:r>
      <w:r/>
    </w:p>
    <w:p>
      <w:pPr>
        <w:pStyle w:val="653"/>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53"/>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53"/>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w:t>
      </w:r>
      <w:r>
        <w:rPr>
          <w:rFonts w:hint="eastAsia" w:ascii="宋体" w:hAnsi="宋体" w:eastAsia="宋体" w:cs="宋体"/>
          <w:b/>
          <w:color w:val="auto"/>
          <w:sz w:val="36"/>
          <w:szCs w:val="36"/>
          <w:highlight w:val="none"/>
          <w:u w:val="single"/>
        </w:rPr>
        <w:t xml:space="preserve">（加盖CA电子公章）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53"/>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both"/>
        <w:spacing w:beforeAutospacing="0" w:afterAutospacing="0" w:line="0" w:lineRule="atLeast"/>
        <w:rPr>
          <w:color w:val="auto"/>
          <w:highlight w:val="none"/>
        </w:rPr>
      </w:pPr>
      <w:r>
        <w:rPr>
          <w:color w:val="auto"/>
          <w:highlight w:val="none"/>
        </w:rPr>
        <w:t xml:space="preserve"> </w:t>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723"/>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3"/>
        <w:ind w:firstLine="64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ind w:firstLine="480"/>
        <w:jc w:val="left"/>
        <w:spacing w:line="480" w:lineRule="exact"/>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二、上一年度或上上年度的财务状况报表（至少提供资产负债表、利润表、现金流量表，投标人成立不满一年无需提供）</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六、供应商法定代表人身份证明和投标文件签署授权委托书（另附法定代表人和被授权人的身份证复印件）</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七、供应商为被授权人缴纳的社会养老保险证明</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八、资质证书</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九、投标函</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十、中小企业声明函</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十一、残疾人福利性单位声明函</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十二、投标报价表</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十三、盐城市政府采购事前信用承诺书</w:t>
      </w:r>
      <w:r/>
    </w:p>
    <w:p>
      <w:pPr>
        <w:pStyle w:val="653"/>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十四、与评审有关的其他资料</w:t>
      </w:r>
      <w:r/>
    </w:p>
    <w:p>
      <w:pPr>
        <w:pStyle w:val="65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3"/>
        <w:ind w:firstLine="480"/>
        <w:jc w:val="both"/>
        <w:spacing w:beforeAutospacing="0" w:afterAutospacing="0" w:line="0" w:lineRule="atLeast"/>
        <w:rPr>
          <w:color w:val="auto"/>
          <w:highlight w:val="none"/>
        </w:rPr>
      </w:pPr>
      <w:r>
        <w:rPr>
          <w:color w:val="auto"/>
          <w:highlight w:val="none"/>
        </w:rPr>
        <w:t xml:space="preserve"> </w:t>
      </w:r>
      <w:r/>
    </w:p>
    <w:p>
      <w:pPr>
        <w:pStyle w:val="653"/>
        <w:ind w:firstLine="480"/>
        <w:jc w:val="both"/>
        <w:spacing w:beforeAutospacing="0" w:afterAutospacing="0" w:line="0" w:lineRule="atLeast"/>
        <w:rPr>
          <w:color w:val="auto"/>
          <w:highlight w:val="none"/>
        </w:rPr>
      </w:pPr>
      <w:r>
        <w:rPr>
          <w:color w:val="auto"/>
          <w:highlight w:val="none"/>
        </w:rPr>
        <w:t xml:space="preserve"> </w:t>
      </w:r>
      <w:r/>
    </w:p>
    <w:p>
      <w:pPr>
        <w:pStyle w:val="653"/>
        <w:ind w:firstLine="480"/>
        <w:jc w:val="both"/>
        <w:spacing w:beforeAutospacing="0" w:afterAutospacing="0" w:line="0" w:lineRule="atLeast"/>
        <w:rPr>
          <w:color w:val="auto"/>
          <w:highlight w:val="none"/>
        </w:rPr>
      </w:pPr>
      <w:r>
        <w:rPr>
          <w:color w:val="auto"/>
          <w:highlight w:val="none"/>
        </w:rPr>
        <w:t xml:space="preserve"> </w:t>
      </w:r>
      <w:r/>
    </w:p>
    <w:p>
      <w:pPr>
        <w:pStyle w:val="653"/>
        <w:ind w:firstLine="480"/>
        <w:jc w:val="both"/>
        <w:spacing w:beforeAutospacing="0" w:afterAutospacing="0" w:line="0" w:lineRule="atLeast"/>
        <w:rPr>
          <w:color w:val="auto"/>
          <w:highlight w:val="none"/>
        </w:rPr>
      </w:pPr>
      <w:r>
        <w:rPr>
          <w:color w:val="auto"/>
          <w:highlight w:val="none"/>
        </w:rPr>
        <w:t xml:space="preserve"> </w:t>
      </w:r>
      <w:r/>
    </w:p>
    <w:p>
      <w:pPr>
        <w:pStyle w:val="653"/>
        <w:ind w:firstLine="480"/>
        <w:jc w:val="both"/>
        <w:spacing w:beforeAutospacing="0" w:afterAutospacing="0" w:line="0" w:lineRule="atLeast"/>
        <w:rPr>
          <w:color w:val="auto"/>
          <w:highlight w:val="none"/>
        </w:rPr>
      </w:pPr>
      <w:r>
        <w:rPr>
          <w:color w:val="auto"/>
          <w:highlight w:val="none"/>
        </w:rPr>
      </w:r>
      <w:r>
        <w:rPr>
          <w:color w:val="auto"/>
          <w:highlight w:val="none"/>
        </w:rPr>
      </w:r>
    </w:p>
    <w:p>
      <w:pPr>
        <w:pStyle w:val="653"/>
        <w:ind w:firstLine="480"/>
        <w:jc w:val="both"/>
        <w:spacing w:beforeAutospacing="0" w:afterAutospacing="0" w:line="0" w:lineRule="atLeast"/>
        <w:rPr>
          <w:color w:val="auto"/>
          <w:highlight w:val="none"/>
        </w:rPr>
      </w:pPr>
      <w:r>
        <w:rPr>
          <w:color w:val="auto"/>
          <w:highlight w:val="none"/>
        </w:rPr>
      </w:r>
      <w:r>
        <w:rPr>
          <w:color w:val="auto"/>
          <w:highlight w:val="none"/>
        </w:rPr>
      </w:r>
    </w:p>
    <w:p>
      <w:pPr>
        <w:pStyle w:val="653"/>
        <w:ind w:firstLine="480"/>
        <w:jc w:val="both"/>
        <w:spacing w:beforeAutospacing="0" w:afterAutospacing="0" w:line="0" w:lineRule="atLeast"/>
        <w:rPr>
          <w:color w:val="auto"/>
          <w:highlight w:val="none"/>
        </w:rPr>
      </w:pPr>
      <w:r>
        <w:rPr>
          <w:color w:val="auto"/>
          <w:highlight w:val="none"/>
        </w:rPr>
      </w:r>
      <w:r>
        <w:rPr>
          <w:color w:val="auto"/>
          <w:highlight w:val="none"/>
        </w:rPr>
      </w:r>
    </w:p>
    <w:p>
      <w:pPr>
        <w:pStyle w:val="653"/>
        <w:ind w:firstLine="480"/>
        <w:jc w:val="both"/>
        <w:spacing w:beforeAutospacing="0" w:afterAutospacing="0" w:line="0" w:lineRule="atLeast"/>
        <w:rPr>
          <w:color w:val="auto"/>
          <w:highlight w:val="none"/>
        </w:rPr>
      </w:pPr>
      <w:r>
        <w:rPr>
          <w:color w:val="auto"/>
          <w:highlight w:val="none"/>
        </w:rPr>
      </w:r>
      <w:r/>
    </w:p>
    <w:p>
      <w:pPr>
        <w:pStyle w:val="653"/>
        <w:ind w:firstLine="480"/>
        <w:jc w:val="both"/>
        <w:spacing w:beforeAutospacing="0" w:afterAutospacing="0" w:line="0" w:lineRule="atLeast"/>
        <w:rPr>
          <w:color w:val="auto"/>
          <w:highlight w:val="none"/>
        </w:rPr>
      </w:pPr>
      <w:r>
        <w:rPr>
          <w:color w:val="auto"/>
          <w:highlight w:val="none"/>
        </w:rPr>
      </w:r>
      <w:r/>
    </w:p>
    <w:p>
      <w:pPr>
        <w:pStyle w:val="653"/>
        <w:ind w:firstLine="480"/>
        <w:jc w:val="both"/>
        <w:spacing w:beforeAutospacing="0" w:afterAutospacing="0" w:line="0" w:lineRule="atLeast"/>
        <w:rPr>
          <w:color w:val="auto"/>
          <w:highlight w:val="none"/>
        </w:rPr>
      </w:pPr>
      <w:r>
        <w:rPr>
          <w:color w:val="auto"/>
          <w:highlight w:val="none"/>
        </w:rPr>
      </w:r>
      <w:r/>
    </w:p>
    <w:p>
      <w:pPr>
        <w:pStyle w:val="653"/>
        <w:ind w:firstLine="480"/>
        <w:jc w:val="both"/>
        <w:spacing w:beforeAutospacing="0" w:afterAutospacing="0" w:line="0" w:lineRule="atLeast"/>
        <w:rPr>
          <w:color w:val="auto"/>
          <w:highlight w:val="none"/>
        </w:rPr>
      </w:pPr>
      <w:r>
        <w:rPr>
          <w:color w:val="auto"/>
          <w:highlight w:val="none"/>
        </w:rPr>
      </w:r>
      <w:r/>
    </w:p>
    <w:p>
      <w:pPr>
        <w:pStyle w:val="653"/>
        <w:ind w:firstLine="64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53"/>
        <w:ind w:firstLine="480"/>
        <w:jc w:val="both"/>
        <w:spacing w:beforeAutospacing="0" w:afterAutospacing="0" w:line="0" w:lineRule="atLeast"/>
        <w:rPr>
          <w:color w:val="auto"/>
          <w:highlight w:val="none"/>
        </w:rPr>
      </w:pPr>
      <w:r>
        <w:rPr>
          <w:color w:val="auto"/>
          <w:highlight w:val="none"/>
        </w:rPr>
        <w:t xml:space="preserve"> </w:t>
      </w:r>
      <w:r/>
    </w:p>
    <w:p>
      <w:pPr>
        <w:pStyle w:val="653"/>
        <w:ind w:firstLine="640"/>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65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653"/>
        <w:jc w:val="both"/>
        <w:spacing w:beforeAutospacing="0" w:afterAutospacing="0"/>
        <w:rPr>
          <w:color w:val="auto"/>
          <w:highlight w:val="none"/>
        </w:rPr>
      </w:pPr>
      <w:r>
        <w:rPr>
          <w:color w:val="auto"/>
          <w:highlight w:val="none"/>
        </w:rPr>
        <w:t xml:space="preserve"> </w:t>
      </w:r>
      <w:r/>
    </w:p>
    <w:p>
      <w:pPr>
        <w:pStyle w:val="653"/>
        <w:jc w:val="both"/>
        <w:spacing w:beforeAutospacing="0" w:afterAutospacing="0"/>
        <w:rPr>
          <w:color w:val="auto"/>
          <w:highlight w:val="none"/>
        </w:rPr>
      </w:pPr>
      <w:r>
        <w:rPr>
          <w:color w:val="auto"/>
          <w:highlight w:val="none"/>
        </w:rPr>
        <w:t xml:space="preserve"> </w:t>
      </w:r>
      <w:r/>
    </w:p>
    <w:p>
      <w:pPr>
        <w:pStyle w:val="653"/>
        <w:ind w:firstLine="64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65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3"/>
        <w:ind w:firstLine="64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653"/>
        <w:ind w:firstLine="480"/>
        <w:jc w:val="both"/>
        <w:spacing w:beforeAutospacing="0" w:afterAutospacing="0"/>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53"/>
        <w:ind w:firstLine="64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53"/>
        <w:ind w:firstLine="883"/>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53"/>
        <w:ind w:firstLine="482"/>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3"/>
        <w:jc w:val="both"/>
        <w:spacing w:beforeAutospacing="0" w:afterAutospacing="0"/>
        <w:rPr>
          <w:color w:val="auto"/>
          <w:highlight w:val="none"/>
        </w:rPr>
      </w:pPr>
      <w:r>
        <w:rPr>
          <w:color w:val="auto"/>
          <w:highlight w:val="none"/>
        </w:rPr>
        <w:t xml:space="preserve"> </w:t>
      </w:r>
      <w:r/>
    </w:p>
    <w:p>
      <w:pPr>
        <w:pStyle w:val="653"/>
        <w:ind w:firstLine="64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3"/>
        <w:ind w:firstLine="64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3"/>
        <w:ind w:firstLine="64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3"/>
        <w:ind w:firstLine="64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3"/>
        <w:ind w:firstLine="64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p>
    <w:p>
      <w:pPr>
        <w:pStyle w:val="653"/>
        <w:ind w:firstLine="64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3"/>
        <w:ind w:firstLine="64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3"/>
        <w:ind w:firstLine="64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3"/>
        <w:ind w:firstLine="64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3"/>
        <w:ind w:firstLine="64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3"/>
        <w:ind w:firstLine="640"/>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3"/>
        <w:ind w:firstLine="64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3"/>
        <w:ind w:firstLine="640"/>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3"/>
        <w:ind w:firstLine="640"/>
        <w:jc w:val="both"/>
        <w:spacing w:beforeAutospacing="0" w:afterAutospacing="0"/>
        <w:rPr>
          <w:rFonts w:hint="eastAsia" w:ascii="宋体" w:hAnsi="宋体" w:eastAsia="宋体" w:cs="宋体"/>
          <w:color w:val="auto"/>
          <w:highlight w:val="none"/>
        </w:rPr>
      </w:pPr>
      <w:r/>
      <w:bookmarkStart w:id="187" w:name="_格式3__银行出具的资信证明"/>
      <w:r/>
      <w:bookmarkStart w:id="188" w:name="_Hlt26671380"/>
      <w:r/>
      <w:bookmarkStart w:id="189" w:name="_Hlt26955070"/>
      <w:r>
        <w:rPr>
          <w:rFonts w:hint="eastAsia" w:ascii="宋体" w:hAnsi="宋体" w:eastAsia="宋体" w:cs="宋体"/>
          <w:i/>
          <w:color w:val="auto"/>
          <w:sz w:val="32"/>
          <w:szCs w:val="32"/>
          <w:highlight w:val="none"/>
          <w:u w:val="single"/>
        </w:rPr>
        <w:t xml:space="preserve">六、供应商法定代表人身份证明和投标文件签署授权委托书（另附法定代表人和被授权人的身份证复印件）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 xml:space="preserve">投标文件签署授权委托书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为我公司签署本项目的投标文件的法定代表人授权委托代理人，我承认被授权人全权代表我所签署的本项目的投标文件的内容。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646"/>
        <w:rPr>
          <w:rFonts w:hint="eastAsia" w:hAnsi="宋体" w:eastAsia="宋体"/>
          <w:color w:val="auto"/>
          <w:highlight w:val="none"/>
        </w:rPr>
      </w:pPr>
      <w:r>
        <w:rPr>
          <w:rFonts w:hint="eastAsia" w:hAnsi="宋体" w:eastAsia="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rPr>
          <w:rFonts w:hint="eastAsia" w:ascii="宋体" w:hAnsi="宋体" w:eastAsia="宋体" w:cs="宋体"/>
          <w:color w:val="auto"/>
          <w:sz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46"/>
        <w:rPr>
          <w:rFonts w:hint="eastAsia" w:hAnsi="宋体" w:eastAsia="宋体"/>
          <w:color w:val="auto"/>
          <w:highlight w:val="none"/>
        </w:rPr>
      </w:pPr>
      <w:r>
        <w:rPr>
          <w:rFonts w:hint="eastAsia" w:hAnsi="宋体" w:eastAsia="宋体"/>
          <w:color w:val="auto"/>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53"/>
        <w:ind w:firstLine="643"/>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八、资质证书</w:t>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九、投标函</w:t>
      </w:r>
      <w:r/>
    </w:p>
    <w:p>
      <w:pPr>
        <w:pStyle w:val="653"/>
        <w:spacing w:beforeAutospacing="0" w:afterAutospacing="0" w:line="480" w:lineRule="exact"/>
        <w:rPr>
          <w:rFonts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（采购人名称）   </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项目的招标文件，正式授权下述签字人______（姓名）代表我方______________（投标人的名称），全权处理本次项目投标的有关事宜。</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据此函，__________签字人兹宣布同意如下：</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6.一旦我方中标，我方将根据招标文件的规定，严格履行合同的责任和义务，并保证在招标文件规定的时间内完成项目，交付买方验收、使用。</w:t>
      </w:r>
      <w:r/>
    </w:p>
    <w:p>
      <w:pPr>
        <w:pStyle w:val="653"/>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7.与本投标有关的正式通讯地址为：</w:t>
      </w:r>
      <w:r/>
    </w:p>
    <w:p>
      <w:pPr>
        <w:pStyle w:val="653"/>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地          址：</w:t>
      </w:r>
      <w:r/>
    </w:p>
    <w:p>
      <w:pPr>
        <w:pStyle w:val="653"/>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邮          编：</w:t>
      </w:r>
      <w:r/>
    </w:p>
    <w:p>
      <w:pPr>
        <w:pStyle w:val="653"/>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电          话：</w:t>
      </w:r>
      <w:r/>
    </w:p>
    <w:p>
      <w:pPr>
        <w:pStyle w:val="653"/>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传          真：</w:t>
      </w:r>
      <w:r/>
    </w:p>
    <w:p>
      <w:pPr>
        <w:pStyle w:val="653"/>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投标人开户行：</w:t>
      </w:r>
      <w:r/>
    </w:p>
    <w:p>
      <w:pPr>
        <w:pStyle w:val="653"/>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账          号： </w:t>
      </w:r>
      <w:r/>
    </w:p>
    <w:p>
      <w:pPr>
        <w:pStyle w:val="653"/>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日           期：________年____月____日</w:t>
      </w:r>
      <w:r/>
    </w:p>
    <w:p>
      <w:pPr>
        <w:pStyle w:val="653"/>
        <w:ind w:firstLine="480"/>
        <w:jc w:val="center"/>
        <w:spacing w:beforeAutospacing="0" w:afterAutospacing="0" w:line="0" w:lineRule="atLeast"/>
        <w:rPr>
          <w:color w:val="auto"/>
          <w:highlight w:val="none"/>
        </w:rPr>
      </w:pPr>
      <w:r>
        <w:rPr>
          <w:color w:val="auto"/>
          <w:highlight w:val="none"/>
        </w:rPr>
        <w:t xml:space="preserve"> </w:t>
      </w:r>
      <w:r/>
    </w:p>
    <w:p>
      <w:pPr>
        <w:pStyle w:val="653"/>
        <w:ind w:firstLine="480"/>
        <w:jc w:val="center"/>
        <w:spacing w:beforeAutospacing="0" w:afterAutospacing="0" w:line="0" w:lineRule="atLeast"/>
        <w:rPr>
          <w:color w:val="auto"/>
          <w:highlight w:val="none"/>
        </w:rPr>
      </w:pPr>
      <w:r>
        <w:rPr>
          <w:color w:val="auto"/>
          <w:highlight w:val="none"/>
        </w:rPr>
        <w:t xml:space="preserve"> </w:t>
      </w:r>
      <w:r/>
    </w:p>
    <w:p>
      <w:pPr>
        <w:pStyle w:val="653"/>
        <w:ind w:firstLine="480"/>
        <w:jc w:val="center"/>
        <w:spacing w:beforeAutospacing="0" w:afterAutospacing="0" w:line="0" w:lineRule="atLeast"/>
        <w:rPr>
          <w:color w:val="auto"/>
          <w:highlight w:val="none"/>
        </w:rPr>
      </w:pPr>
      <w:r>
        <w:rPr>
          <w:color w:val="auto"/>
          <w:highlight w:val="none"/>
        </w:rPr>
        <w:t xml:space="preserve"> </w:t>
      </w:r>
      <w:r/>
    </w:p>
    <w:p>
      <w:pPr>
        <w:pStyle w:val="653"/>
        <w:ind w:firstLine="480"/>
        <w:jc w:val="center"/>
        <w:spacing w:beforeAutospacing="0" w:afterAutospacing="0" w:line="0" w:lineRule="atLeast"/>
        <w:rPr>
          <w:color w:val="auto"/>
          <w:highlight w:val="none"/>
        </w:rPr>
      </w:pPr>
      <w:r>
        <w:rPr>
          <w:color w:val="auto"/>
          <w:highlight w:val="none"/>
        </w:rPr>
        <w:t xml:space="preserve"> </w:t>
      </w:r>
      <w:r/>
    </w:p>
    <w:p>
      <w:pPr>
        <w:pStyle w:val="653"/>
        <w:ind w:firstLine="480"/>
        <w:jc w:val="center"/>
        <w:spacing w:beforeAutospacing="0" w:afterAutospacing="0" w:line="0" w:lineRule="atLeast"/>
        <w:rPr>
          <w:color w:val="auto"/>
          <w:highlight w:val="none"/>
        </w:rPr>
      </w:pPr>
      <w:r>
        <w:rPr>
          <w:color w:val="auto"/>
          <w:highlight w:val="none"/>
        </w:rPr>
        <w:t xml:space="preserve"> </w:t>
      </w:r>
      <w:r/>
    </w:p>
    <w:p>
      <w:pPr>
        <w:pStyle w:val="653"/>
        <w:ind w:firstLine="480"/>
        <w:jc w:val="center"/>
        <w:spacing w:beforeAutospacing="0" w:afterAutospacing="0" w:line="0" w:lineRule="atLeast"/>
        <w:rPr>
          <w:color w:val="auto"/>
          <w:highlight w:val="none"/>
        </w:rPr>
      </w:pPr>
      <w:r>
        <w:rPr>
          <w:color w:val="auto"/>
          <w:highlight w:val="none"/>
        </w:rPr>
      </w:r>
      <w:r/>
    </w:p>
    <w:p>
      <w:pPr>
        <w:pStyle w:val="653"/>
        <w:ind w:firstLine="64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十、中小企业声明函（服务）</w:t>
      </w:r>
      <w:r/>
    </w:p>
    <w:p>
      <w:pPr>
        <w:ind w:firstLine="480"/>
        <w:spacing w:line="48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rPr>
        <w:t xml:space="preserve"> （采购人名称） </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48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firstLine="480"/>
        <w:spacing w:line="48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3"/>
        <w:ind w:right="720"/>
        <w:jc w:val="both"/>
        <w:spacing w:beforeAutospacing="0" w:afterAutospacing="0" w:line="480" w:lineRule="exact"/>
        <w:rPr>
          <w:color w:val="auto"/>
          <w:highlight w:val="none"/>
        </w:rPr>
      </w:pPr>
      <w:r>
        <w:rPr>
          <w:color w:val="auto"/>
          <w:highlight w:val="none"/>
        </w:rPr>
        <w:t xml:space="preserve"> </w:t>
      </w:r>
      <w:r/>
    </w:p>
    <w:p>
      <w:pPr>
        <w:pStyle w:val="653"/>
        <w:ind w:right="180" w:firstLine="480"/>
        <w:jc w:val="right"/>
        <w:spacing w:beforeAutospacing="0" w:afterAutospacing="0" w:line="480" w:lineRule="exact"/>
        <w:rPr>
          <w:color w:val="auto"/>
          <w:highlight w:val="none"/>
        </w:rPr>
      </w:pPr>
      <w:r>
        <w:rPr>
          <w:rFonts w:hint="eastAsia" w:ascii="宋体" w:hAnsi="宋体" w:eastAsia="宋体" w:cs="宋体"/>
          <w:color w:val="auto"/>
          <w:highlight w:val="none"/>
        </w:rPr>
        <w:t xml:space="preserve">企业名称（加盖CA电子公章）：</w:t>
      </w:r>
      <w:r/>
    </w:p>
    <w:p>
      <w:pPr>
        <w:pStyle w:val="653"/>
        <w:ind w:right="480"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日  期：</w:t>
      </w:r>
      <w:r/>
    </w:p>
    <w:p>
      <w:pPr>
        <w:pStyle w:val="653"/>
        <w:ind w:firstLine="480"/>
        <w:jc w:val="both"/>
        <w:spacing w:beforeAutospacing="0" w:afterAutospacing="0" w:line="480" w:lineRule="exact"/>
        <w:rPr>
          <w:color w:val="auto"/>
          <w:highlight w:val="none"/>
        </w:rPr>
      </w:pPr>
      <w:r>
        <w:rPr>
          <w:color w:val="auto"/>
          <w:highlight w:val="none"/>
        </w:rPr>
        <w:t xml:space="preserve"> </w:t>
      </w:r>
      <w:r/>
    </w:p>
    <w:p>
      <w:pPr>
        <w:pStyle w:val="653"/>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3"/>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653"/>
        <w:ind w:firstLine="64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十一、残疾人福利性单位声明函（分包号：**）</w:t>
      </w:r>
      <w:r/>
    </w:p>
    <w:p>
      <w:pPr>
        <w:pStyle w:val="65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3"/>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53"/>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3"/>
        <w:ind w:firstLine="480"/>
        <w:jc w:val="both"/>
        <w:spacing w:beforeAutospacing="0" w:afterAutospacing="0" w:line="480" w:lineRule="exact"/>
        <w:rPr>
          <w:color w:val="auto"/>
          <w:highlight w:val="none"/>
        </w:rPr>
      </w:pPr>
      <w:r>
        <w:rPr>
          <w:color w:val="auto"/>
          <w:highlight w:val="none"/>
        </w:rPr>
        <w:t xml:space="preserve"> </w:t>
      </w:r>
      <w:r/>
    </w:p>
    <w:p>
      <w:pPr>
        <w:pStyle w:val="653"/>
        <w:ind w:firstLine="480"/>
        <w:jc w:val="both"/>
        <w:spacing w:beforeAutospacing="0" w:afterAutospacing="0" w:line="480" w:lineRule="exact"/>
        <w:rPr>
          <w:rFonts w:eastAsia="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w:t>
      </w:r>
      <w:r/>
    </w:p>
    <w:p>
      <w:pPr>
        <w:pStyle w:val="653"/>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653"/>
        <w:ind w:firstLine="480"/>
        <w:jc w:val="both"/>
        <w:spacing w:beforeAutospacing="0" w:afterAutospacing="0" w:line="480" w:lineRule="exact"/>
        <w:rPr>
          <w:color w:val="auto"/>
          <w:highlight w:val="none"/>
        </w:rPr>
      </w:pPr>
      <w:r>
        <w:rPr>
          <w:color w:val="auto"/>
          <w:highlight w:val="none"/>
        </w:rPr>
        <w:t xml:space="preserve"> </w:t>
      </w:r>
      <w:r/>
    </w:p>
    <w:p>
      <w:pPr>
        <w:pStyle w:val="653"/>
        <w:ind w:right="1560" w:firstLine="600"/>
        <w:jc w:val="center"/>
        <w:spacing w:beforeAutospacing="0" w:afterAutospacing="0" w:line="48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53"/>
        <w:ind w:right="1560" w:firstLine="480"/>
        <w:jc w:val="center"/>
        <w:spacing w:beforeAutospacing="0" w:afterAutospacing="0" w:line="48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3"/>
        <w:ind w:right="1560" w:firstLine="480"/>
        <w:jc w:val="center"/>
        <w:spacing w:beforeAutospacing="0" w:afterAutospacing="0" w:line="480" w:lineRule="exac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center"/>
        <w:spacing w:beforeAutospacing="0" w:afterAutospacing="0" w:line="0" w:lineRule="atLeast"/>
        <w:rPr>
          <w:color w:val="auto"/>
          <w:highlight w:val="none"/>
        </w:rPr>
      </w:pPr>
      <w:r>
        <w:rPr>
          <w:color w:val="auto"/>
          <w:highlight w:val="none"/>
        </w:rPr>
        <w:t xml:space="preserve"> </w:t>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jc w:val="center"/>
        <w:spacing w:beforeAutospacing="0" w:afterAutospacing="0" w:line="0" w:lineRule="atLeast"/>
        <w:rPr>
          <w:color w:val="auto"/>
          <w:highlight w:val="none"/>
        </w:rPr>
      </w:pPr>
      <w:r>
        <w:rPr>
          <w:color w:val="auto"/>
          <w:highlight w:val="none"/>
        </w:rPr>
      </w:r>
      <w:r/>
    </w:p>
    <w:p>
      <w:pPr>
        <w:pStyle w:val="653"/>
        <w:ind w:firstLine="64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十二、</w:t>
      </w:r>
      <w:bookmarkStart w:id="190" w:name="_Toc462564146"/>
      <w:r/>
      <w:bookmarkStart w:id="191" w:name="_Hlt26955066"/>
      <w:r/>
      <w:bookmarkStart w:id="192" w:name="_格式2__法定代表人授权书"/>
      <w:r/>
      <w:bookmarkStart w:id="193" w:name="_Hlt26671374"/>
      <w:r/>
      <w:bookmarkStart w:id="194" w:name="_Hlt26609389"/>
      <w:r/>
      <w:bookmarkStart w:id="195" w:name="_Hlt26955054"/>
      <w:r>
        <w:rPr>
          <w:rFonts w:hint="eastAsia" w:ascii="黑体" w:hAnsi="宋体" w:eastAsia="黑体" w:cs="黑体"/>
          <w:b/>
          <w:color w:val="auto"/>
          <w:sz w:val="32"/>
          <w:szCs w:val="32"/>
          <w:highlight w:val="none"/>
        </w:rPr>
        <w:t xml:space="preserve">投标报价表</w:t>
      </w:r>
      <w:r/>
    </w:p>
    <w:p>
      <w:pPr>
        <w:pStyle w:val="653"/>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投标人全称（加盖CA电子签章）：</w:t>
      </w:r>
      <w:r/>
    </w:p>
    <w:p>
      <w:pPr>
        <w:pStyle w:val="653"/>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项目名称：</w:t>
      </w:r>
      <w:r/>
    </w:p>
    <w:p>
      <w:pPr>
        <w:pStyle w:val="653"/>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653"/>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分包号：</w:t>
      </w:r>
      <w:r/>
    </w:p>
    <w:tbl>
      <w:tblPr>
        <w:tblStyle w:val="64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3"/>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tc>
      </w:tr>
    </w:tbl>
    <w:p>
      <w:pPr>
        <w:pStyle w:val="653"/>
        <w:jc w:val="both"/>
        <w:spacing w:beforeAutospacing="0" w:afterAutospacing="0"/>
        <w:rPr>
          <w:color w:val="auto"/>
          <w:highlight w:val="none"/>
        </w:rPr>
      </w:pPr>
      <w:r>
        <w:rPr>
          <w:color w:val="auto"/>
          <w:highlight w:val="none"/>
        </w:rPr>
        <w:t xml:space="preserve"> </w:t>
      </w:r>
      <w:r/>
    </w:p>
    <w:p>
      <w:pPr>
        <w:pStyle w:val="65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color w:val="auto"/>
          <w:highlight w:val="none"/>
        </w:rPr>
      </w:r>
    </w:p>
    <w:p>
      <w:pPr>
        <w:pStyle w:val="653"/>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
    </w:p>
    <w:p>
      <w:pPr>
        <w:pStyle w:val="653"/>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46"/>
        <w:rPr>
          <w:color w:val="auto"/>
          <w:highlight w:val="none"/>
        </w:rPr>
      </w:pPr>
      <w:r>
        <w:rPr>
          <w:color w:val="auto"/>
          <w:highlight w:val="none"/>
        </w:rPr>
      </w:r>
      <w:r/>
    </w:p>
    <w:p>
      <w:pPr>
        <w:pStyle w:val="646"/>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46"/>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rPr>
          <w:color w:val="auto"/>
          <w:highlight w:val="none"/>
        </w:rPr>
      </w:r>
    </w:p>
    <w:p>
      <w:pPr>
        <w:jc w:val="center"/>
        <w:spacing w:before="50" w:after="50"/>
        <w:widowControl/>
        <w:rPr>
          <w:color w:val="auto"/>
          <w:highlight w:val="none"/>
        </w:rPr>
      </w:pPr>
      <w:r>
        <w:rPr>
          <w:color w:val="auto"/>
          <w:highlight w:val="none"/>
        </w:rPr>
      </w:r>
      <w:r>
        <w:rPr>
          <w:color w:val="auto"/>
          <w:highlight w:val="none"/>
        </w:rPr>
      </w:r>
    </w:p>
    <w:p>
      <w:pPr>
        <w:jc w:val="center"/>
        <w:spacing w:before="50" w:after="50"/>
        <w:widowControl/>
        <w:rPr>
          <w:color w:val="auto"/>
          <w:highlight w:val="none"/>
        </w:rPr>
      </w:pPr>
      <w:r>
        <w:rPr>
          <w:color w:val="auto"/>
          <w:highlight w:val="none"/>
        </w:rPr>
      </w:r>
      <w:r>
        <w:rPr>
          <w:color w:val="auto"/>
          <w:highlight w:val="none"/>
        </w:rPr>
      </w:r>
    </w:p>
    <w:p>
      <w:pPr>
        <w:jc w:val="center"/>
        <w:spacing w:before="50" w:after="50"/>
        <w:widowControl/>
        <w:rPr>
          <w:color w:val="auto"/>
          <w:highlight w:val="none"/>
        </w:rPr>
      </w:pPr>
      <w:r>
        <w:rPr>
          <w:color w:val="auto"/>
          <w:highlight w:val="none"/>
        </w:rPr>
      </w:r>
      <w:r>
        <w:rPr>
          <w:color w:val="auto"/>
          <w:highlight w:val="none"/>
        </w:rPr>
      </w:r>
    </w:p>
    <w:p>
      <w:pPr>
        <w:jc w:val="center"/>
        <w:spacing w:before="50" w:after="50"/>
        <w:widowControl/>
        <w:rPr>
          <w:color w:val="auto"/>
          <w:highlight w:val="none"/>
        </w:rPr>
      </w:pPr>
      <w:r>
        <w:rPr>
          <w:color w:val="auto"/>
          <w:highlight w:val="none"/>
        </w:rPr>
      </w:r>
      <w:r>
        <w:rPr>
          <w:color w:val="auto"/>
          <w:highlight w:val="none"/>
        </w:rP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ind w:firstLine="1600"/>
        <w:spacing w:line="499"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十三、盐城市政府采购事前信用承诺书</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（八）本人已认真阅读了上述承诺，并向本单位员工做了宣传教育。</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w:t>
      </w:r>
      <w:r/>
    </w:p>
    <w:p>
      <w:pPr>
        <w:ind w:firstLine="480"/>
        <w:jc w:val="center"/>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ind w:firstLine="480"/>
        <w:jc w:val="center"/>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653"/>
        <w:jc w:val="center"/>
        <w:spacing w:beforeAutospacing="0" w:afterAutospacing="0"/>
        <w:rPr>
          <w:color w:val="auto"/>
          <w:highlight w:val="none"/>
        </w:rPr>
      </w:pPr>
      <w:r>
        <w:rPr>
          <w:color w:val="auto"/>
          <w:highlight w:val="none"/>
        </w:rPr>
      </w:r>
      <w:bookmarkEnd w:id="184"/>
      <w:bookmarkEnd w:id="185"/>
      <w:bookmarkEnd w:id="187"/>
      <w:bookmarkEnd w:id="188"/>
      <w:bookmarkEnd w:id="189"/>
      <w:bookmarkEnd w:id="190"/>
      <w:bookmarkEnd w:id="191"/>
      <w:bookmarkEnd w:id="192"/>
      <w:bookmarkEnd w:id="193"/>
      <w:bookmarkEnd w:id="194"/>
      <w:bookmarkEnd w:id="195"/>
      <w:r/>
    </w:p>
    <w:p>
      <w:pPr>
        <w:rPr>
          <w:color w:val="auto"/>
          <w:highlight w:val="none"/>
        </w:rPr>
      </w:pPr>
      <w:r>
        <w:rPr>
          <w:color w:val="auto"/>
          <w:highlight w:val="none"/>
        </w:rPr>
      </w: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十四、与评审有关的其他资料</w:t>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3"/>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3"/>
        <w:ind w:firstLine="64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3"/>
        <w:jc w:val="both"/>
        <w:spacing w:before="29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3"/>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3"/>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3"/>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3"/>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3"/>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3"/>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3"/>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3"/>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3"/>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51"/>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1"/>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2"/>
    <w:next w:val="6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4"/>
    <w:link w:val="12"/>
    <w:uiPriority w:val="9"/>
    <w:rPr>
      <w:rFonts w:ascii="Arial" w:hAnsi="Arial" w:eastAsia="Arial" w:cs="Arial"/>
      <w:sz w:val="40"/>
      <w:szCs w:val="40"/>
    </w:rPr>
  </w:style>
  <w:style w:type="character" w:styleId="15">
    <w:name w:val="Heading 2 Char"/>
    <w:basedOn w:val="644"/>
    <w:link w:val="643"/>
    <w:uiPriority w:val="9"/>
    <w:rPr>
      <w:rFonts w:ascii="Arial" w:hAnsi="Arial" w:eastAsia="Arial" w:cs="Arial"/>
      <w:sz w:val="34"/>
    </w:rPr>
  </w:style>
  <w:style w:type="paragraph" w:styleId="16">
    <w:name w:val="Heading 3"/>
    <w:basedOn w:val="642"/>
    <w:next w:val="6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4"/>
    <w:link w:val="16"/>
    <w:uiPriority w:val="9"/>
    <w:rPr>
      <w:rFonts w:ascii="Arial" w:hAnsi="Arial" w:eastAsia="Arial" w:cs="Arial"/>
      <w:sz w:val="30"/>
      <w:szCs w:val="30"/>
    </w:rPr>
  </w:style>
  <w:style w:type="paragraph" w:styleId="18">
    <w:name w:val="Heading 4"/>
    <w:basedOn w:val="642"/>
    <w:next w:val="6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0">
    <w:name w:val="List Paragraph"/>
    <w:basedOn w:val="6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2"/>
    <w:uiPriority w:val="99"/>
  </w:style>
  <w:style w:type="character" w:styleId="44">
    <w:name w:val="Footer Char"/>
    <w:basedOn w:val="644"/>
    <w:link w:val="651"/>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51"/>
    <w:uiPriority w:val="99"/>
  </w:style>
  <w:style w:type="table" w:styleId="47">
    <w:name w:val="Table Grid"/>
    <w:basedOn w:val="64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0">
    <w:name w:val="toc 1"/>
    <w:basedOn w:val="642"/>
    <w:next w:val="642"/>
    <w:uiPriority w:val="39"/>
    <w:unhideWhenUsed/>
    <w:pPr>
      <w:ind w:left="0" w:right="0" w:firstLine="0"/>
      <w:spacing w:after="57"/>
    </w:p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next w:val="64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3">
    <w:name w:val="Heading 2"/>
    <w:basedOn w:val="642"/>
    <w:next w:val="64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customStyle="1">
    <w:name w:val="Default"/>
    <w:basedOn w:val="642"/>
    <w:uiPriority w:val="0"/>
    <w:semiHidden/>
    <w:qFormat/>
    <w:pPr>
      <w:jc w:val="left"/>
    </w:pPr>
    <w:rPr>
      <w:rFonts w:ascii="宋体" w:hAnsi="Calibri" w:cs="宋体"/>
      <w:color w:val="000000"/>
      <w:sz w:val="24"/>
    </w:rPr>
  </w:style>
  <w:style w:type="paragraph" w:styleId="647">
    <w:name w:val="annotation text"/>
    <w:basedOn w:val="642"/>
    <w:uiPriority w:val="0"/>
    <w:qFormat/>
    <w:pPr>
      <w:jc w:val="left"/>
    </w:pPr>
  </w:style>
  <w:style w:type="paragraph" w:styleId="648">
    <w:name w:val="Body Text"/>
    <w:basedOn w:val="642"/>
    <w:uiPriority w:val="0"/>
    <w:qFormat/>
    <w:pPr>
      <w:spacing w:after="120"/>
    </w:pPr>
  </w:style>
  <w:style w:type="paragraph" w:styleId="649">
    <w:name w:val="Body Text Indent"/>
    <w:basedOn w:val="642"/>
    <w:next w:val="650"/>
    <w:uiPriority w:val="0"/>
    <w:qFormat/>
    <w:pPr>
      <w:ind w:firstLine="600"/>
      <w:spacing w:line="360" w:lineRule="auto"/>
    </w:pPr>
    <w:rPr>
      <w:rFonts w:ascii="仿宋_GB2312" w:eastAsia="仿宋_GB2312"/>
      <w:sz w:val="30"/>
    </w:rPr>
  </w:style>
  <w:style w:type="paragraph" w:styleId="650">
    <w:name w:val="envelope return"/>
    <w:basedOn w:val="642"/>
    <w:uiPriority w:val="0"/>
    <w:qFormat/>
    <w:rPr>
      <w:rFonts w:ascii="Arial" w:hAnsi="Arial"/>
    </w:rPr>
  </w:style>
  <w:style w:type="paragraph" w:styleId="651">
    <w:name w:val="Footer"/>
    <w:basedOn w:val="642"/>
    <w:link w:val="656"/>
    <w:uiPriority w:val="0"/>
    <w:qFormat/>
    <w:pPr>
      <w:jc w:val="left"/>
      <w:tabs>
        <w:tab w:val="center" w:pos="4153" w:leader="none"/>
        <w:tab w:val="right" w:pos="8306" w:leader="none"/>
      </w:tabs>
    </w:pPr>
    <w:rPr>
      <w:sz w:val="18"/>
      <w:szCs w:val="18"/>
    </w:rPr>
  </w:style>
  <w:style w:type="paragraph" w:styleId="652">
    <w:name w:val="Header"/>
    <w:basedOn w:val="642"/>
    <w:link w:val="655"/>
    <w:uiPriority w:val="0"/>
    <w:qFormat/>
    <w:pPr>
      <w:jc w:val="center"/>
      <w:tabs>
        <w:tab w:val="center" w:pos="4153" w:leader="none"/>
        <w:tab w:val="right" w:pos="8306" w:leader="none"/>
      </w:tabs>
      <w:pBdr>
        <w:bottom w:val="single" w:color="auto" w:sz="6" w:space="1"/>
      </w:pBdr>
    </w:pPr>
    <w:rPr>
      <w:sz w:val="18"/>
      <w:szCs w:val="18"/>
    </w:rPr>
  </w:style>
  <w:style w:type="paragraph" w:styleId="653">
    <w:name w:val="Normal (Web)"/>
    <w:basedOn w:val="642"/>
    <w:uiPriority w:val="0"/>
    <w:qFormat/>
    <w:pPr>
      <w:jc w:val="left"/>
      <w:spacing w:beforeAutospacing="1" w:afterAutospacing="1"/>
    </w:pPr>
    <w:rPr>
      <w:rFonts w:cs="Times New Roman"/>
      <w:sz w:val="24"/>
    </w:rPr>
  </w:style>
  <w:style w:type="character" w:styleId="654">
    <w:name w:val="Emphasis"/>
    <w:basedOn w:val="644"/>
    <w:uiPriority w:val="0"/>
    <w:qFormat/>
    <w:rPr>
      <w:i/>
    </w:rPr>
  </w:style>
  <w:style w:type="character" w:styleId="655" w:customStyle="1">
    <w:name w:val="页眉 字符"/>
    <w:basedOn w:val="644"/>
    <w:link w:val="652"/>
    <w:uiPriority w:val="0"/>
    <w:qFormat/>
    <w:rPr>
      <w:rFonts w:asciiTheme="minorHAnsi" w:hAnsiTheme="minorHAnsi" w:eastAsiaTheme="minorEastAsia" w:cstheme="minorBidi"/>
      <w:sz w:val="18"/>
      <w:szCs w:val="18"/>
    </w:rPr>
  </w:style>
  <w:style w:type="character" w:styleId="656" w:customStyle="1">
    <w:name w:val="页脚 字符"/>
    <w:basedOn w:val="644"/>
    <w:link w:val="651"/>
    <w:uiPriority w:val="0"/>
    <w:qFormat/>
    <w:rPr>
      <w:rFonts w:asciiTheme="minorHAnsi" w:hAnsiTheme="minorHAnsi" w:eastAsiaTheme="minorEastAsia" w:cstheme="minorBidi"/>
      <w:sz w:val="18"/>
      <w:szCs w:val="18"/>
    </w:rPr>
  </w:style>
  <w:style w:type="paragraph" w:styleId="657" w:customStyle="1">
    <w:name w:val="普通正文"/>
    <w:basedOn w:val="642"/>
    <w:uiPriority w:val="0"/>
    <w:qFormat/>
    <w:pPr>
      <w:ind w:firstLine="480"/>
      <w:jc w:val="left"/>
      <w:spacing w:before="120" w:after="120" w:line="360" w:lineRule="auto"/>
    </w:pPr>
    <w:rPr>
      <w:rFonts w:ascii="Arial" w:hAnsi="Arial" w:eastAsia="等线" w:cs="Arial"/>
      <w:sz w:val="24"/>
    </w:rPr>
  </w:style>
  <w:style w:type="paragraph" w:styleId="658" w:customStyle="1">
    <w:name w:val="正文首行缩进 21"/>
    <w:basedOn w:val="659"/>
    <w:uiPriority w:val="0"/>
    <w:qFormat/>
    <w:pPr>
      <w:ind w:firstLine="420"/>
    </w:pPr>
  </w:style>
  <w:style w:type="paragraph" w:styleId="659" w:customStyle="1">
    <w:name w:val="正文文本缩进1"/>
    <w:basedOn w:val="642"/>
    <w:uiPriority w:val="0"/>
    <w:qFormat/>
    <w:pPr>
      <w:ind w:left="420"/>
      <w:spacing w:after="120"/>
    </w:pPr>
  </w:style>
  <w:style w:type="paragraph" w:styleId="660" w:customStyle="1">
    <w:name w:val="正文首行缩进1"/>
    <w:basedOn w:val="648"/>
    <w:uiPriority w:val="0"/>
    <w:qFormat/>
    <w:pPr>
      <w:ind w:firstLine="200"/>
      <w:spacing w:line="360" w:lineRule="auto"/>
    </w:pPr>
    <w:rPr>
      <w:rFonts w:ascii="仿宋_GB2312" w:hAnsi="仿宋_GB2312" w:eastAsia="仿宋_GB2312"/>
      <w:sz w:val="30"/>
      <w:szCs w:val="30"/>
    </w:rPr>
  </w:style>
  <w:style w:type="paragraph" w:styleId="661" w:customStyle="1">
    <w:name w:val="小节标题"/>
    <w:basedOn w:val="642"/>
    <w:next w:val="642"/>
    <w:uiPriority w:val="0"/>
    <w:qFormat/>
    <w:pPr>
      <w:spacing w:before="175" w:after="102" w:line="351" w:lineRule="atLeast"/>
      <w:widowControl/>
    </w:pPr>
    <w:rPr>
      <w:rFonts w:eastAsia="黑体"/>
      <w:color w:val="000000"/>
    </w:rPr>
  </w:style>
  <w:style w:type="paragraph" w:styleId="662" w:customStyle="1">
    <w:name w:val="正文1"/>
    <w:next w:val="642"/>
    <w:uiPriority w:val="0"/>
    <w:qFormat/>
    <w:pPr>
      <w:jc w:val="both"/>
    </w:pPr>
    <w:rPr>
      <w:rFonts w:ascii="Times New Roman" w:hAnsi="Times New Roman" w:eastAsia="宋体" w:cs="Times New Roman"/>
      <w:sz w:val="21"/>
      <w:szCs w:val="21"/>
      <w:lang w:val="en-US" w:eastAsia="zh-CN" w:bidi="ar-SA"/>
    </w:rPr>
  </w:style>
  <w:style w:type="numbering" w:styleId="65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f945cab1-4b50-49f9-b3a2-607c90c011aa</errorID>
      <errorWord>万</errorWord>
      <group>L1_Word</group>
      <groupName>字词问题</groupName>
      <ability>L2_Typo</ability>
      <abilityName>字词错误</abilityName>
      <candidateList>
        <item>万元</item>
      </candidateList>
      <explain/>
      <paraID>1B456FCC</paraID>
      <start>29</start>
      <end>31</end>
      <status>modified</status>
      <modifiedWord>万元</modifiedWord>
      <trackRevisions>false</trackRevisions>
    </reviewItem>
    <reviewItem>
      <errorID>c78f8d7e-1327-499b-83b1-fd528d678f6c</errorID>
      <errorWord>万</errorWord>
      <group>L1_Word</group>
      <groupName>字词问题</groupName>
      <ability>L2_Typo</ability>
      <abilityName>字词错误</abilityName>
      <candidateList>
        <item>万元</item>
      </candidateList>
      <explain/>
      <paraID>1B456FCC</paraID>
      <start>38</start>
      <end>40</end>
      <status>modified</status>
      <modifiedWord>万元</modifiedWord>
      <trackRevisions>false</trackRevisions>
    </reviewItem>
    <reviewItem>
      <errorID>177f32be-4457-46e5-9f37-33f4deaf215f</errorID>
      <errorWord>m</errorWord>
      <group>L1_AI</group>
      <groupName>深度校对</groupName>
      <ability>L2_AI_Punc</ability>
      <abilityName>标点纠错</abilityName>
      <candidateList>
        <item>/m</item>
      </candidateList>
      <explain/>
      <paraID>60DFB04A</paraID>
      <start>2</start>
      <end>4</end>
      <status>modified</status>
      <modifiedWord>/m</modifiedWord>
      <trackRevisions>false</trackRevisions>
    </reviewItem>
    <reviewItem>
      <errorID>ae82837d-0439-4893-9c1a-d7b25a7ac663</errorID>
      <errorWord>合同</errorWord>
      <group>L1_AI</group>
      <groupName>深度校对</groupName>
      <ability>L2_AI_Word</ability>
      <abilityName>字词纠错</abilityName>
      <candidateList>
        <item>自合同</item>
      </candidateList>
      <explain/>
      <paraID>78E73288</paraID>
      <start>9</start>
      <end>12</end>
      <status>modified</status>
      <modifiedWord>自合同</modifiedWord>
      <trackRevisions>false</trackRevisions>
    </reviewItem>
    <reviewItem>
      <errorID>d13076f5-39b3-4db5-bd75-0f6f19af2efe</errorID>
      <errorWord>、</errorWord>
      <group>L1_AI</group>
      <groupName>深度校对</groupName>
      <ability>L2_AI_Punc</ability>
      <abilityName>标点纠错</abilityName>
      <candidateList>
        <item>；</item>
      </candidateList>
      <explain/>
      <paraID>5884DE60</paraID>
      <start>113</start>
      <end>114</end>
      <status>modified</status>
      <modifiedWord>；</modifiedWord>
      <trackRevisions>false</trackRevisions>
    </reviewItem>
    <reviewItem>
      <errorID>bbc7e832-5cb3-41f7-8e93-a31a2ef0c590</errorID>
      <errorWord>-</errorWord>
      <group>L1_Format</group>
      <groupName>格式问题</groupName>
      <ability>L2_HalfPunc</ability>
      <abilityName>全半角检查</abilityName>
      <candidateList>
        <item>－</item>
      </candidateList>
      <explain>文本全半角错误。</explain>
      <paraID>676F42F3</paraID>
      <start>14</start>
      <end>15</end>
      <status>ignored</status>
      <modifiedWord/>
      <trackRevisions>false</trackRevisions>
    </reviewItem>
    <reviewItem>
      <errorID>022d83ec-3c50-4bc5-b236-098022fad350</errorID>
      <errorWord>-</errorWord>
      <group>L1_Format</group>
      <groupName>格式问题</groupName>
      <ability>L2_HalfPunc</ability>
      <abilityName>全半角检查</abilityName>
      <candidateList>
        <item>－</item>
      </candidateList>
      <explain>文本全半角错误。</explain>
      <paraID>676F42F3</paraID>
      <start>15</start>
      <end>16</end>
      <status>ignored</status>
      <modifiedWord/>
      <trackRevisions>false</trackRevisions>
    </reviewItem>
    <reviewItem>
      <errorID>aff1750b-44de-4716-9417-5b07c9701290</errorID>
      <errorWord>“.</errorWord>
      <group>L1_Punc</group>
      <groupName>标点问题</groupName>
      <ability>L2_Punc</ability>
      <abilityName>标点符号检查</abilityName>
      <candidateList>
        <item>“</item>
      </candidateList>
      <explain/>
      <paraID>676F42F3</paraID>
      <start>57</start>
      <end>59</end>
      <status>ignored</status>
      <modifiedWord/>
      <trackRevisions>false</trackRevisions>
    </reviewItem>
    <reviewItem>
      <errorID>bd5c93bc-81a8-4a52-88fd-517f7b266a04</errorID>
      <errorWord>“.</errorWord>
      <group>L1_Punc</group>
      <groupName>标点问题</groupName>
      <ability>L2_Punc</ability>
      <abilityName>标点符号检查</abilityName>
      <candidateList>
        <item>“</item>
      </candidateList>
      <explain/>
      <paraID>676F42F3</paraID>
      <start>72</start>
      <end>74</end>
      <status>ignored</status>
      <modifiedWord/>
      <trackRevisions>false</trackRevisions>
    </reviewItem>
    <reviewItem>
      <errorID>f027e030-8216-4a17-af5b-5a9ca4a341de</errorID>
      <errorWord>-</errorWord>
      <group>L1_Format</group>
      <groupName>格式问题</groupName>
      <ability>L2_HalfPunc</ability>
      <abilityName>全半角检查</abilityName>
      <candidateList>
        <item>－</item>
      </candidateList>
      <explain>文本全半角错误。</explain>
      <paraID>676F42F3</paraID>
      <start>95</start>
      <end>96</end>
      <status>ignored</status>
      <modifiedWord/>
      <trackRevisions>false</trackRevisions>
    </reviewItem>
    <reviewItem>
      <errorID>a58f6f59-8c60-446e-8934-da39ec0ada48</errorID>
      <errorWord>-</errorWord>
      <group>L1_Format</group>
      <groupName>格式问题</groupName>
      <ability>L2_HalfPunc</ability>
      <abilityName>全半角检查</abilityName>
      <candidateList>
        <item>－</item>
      </candidateList>
      <explain>文本全半角错误。</explain>
      <paraID>676F42F3</paraID>
      <start>96</start>
      <end>97</end>
      <status>ignored</status>
      <modifiedWord/>
      <trackRevisions>false</trackRevisions>
    </reviewItem>
    <reviewItem>
      <errorID>545eb6fe-86c2-4932-b575-7398c69b101e</errorID>
      <errorWord>-</errorWord>
      <group>L1_Format</group>
      <groupName>格式问题</groupName>
      <ability>L2_HalfPunc</ability>
      <abilityName>全半角检查</abilityName>
      <candidateList>
        <item>－</item>
      </candidateList>
      <explain>文本全半角错误。</explain>
      <paraID>676F42F3</paraID>
      <start>103</start>
      <end>104</end>
      <status>ignored</status>
      <modifiedWord/>
      <trackRevisions>false</trackRevisions>
    </reviewItem>
    <reviewItem>
      <errorID>4dd53013-d6bd-4db6-93cb-23b33b336b95</errorID>
      <errorWord>-</errorWord>
      <group>L1_Format</group>
      <groupName>格式问题</groupName>
      <ability>L2_HalfPunc</ability>
      <abilityName>全半角检查</abilityName>
      <candidateList>
        <item>－</item>
      </candidateList>
      <explain>文本全半角错误。</explain>
      <paraID>676F42F3</paraID>
      <start>104</start>
      <end>105</end>
      <status>ignored</status>
      <modifiedWord/>
      <trackRevisions>false</trackRevisions>
    </reviewItem>
    <reviewItem>
      <errorID>d0ca76b4-e23e-4ff8-83ac-f8efc786f464</errorID>
      <errorWord>-</errorWord>
      <group>L1_Format</group>
      <groupName>格式问题</groupName>
      <ability>L2_HalfPunc</ability>
      <abilityName>全半角检查</abilityName>
      <candidateList>
        <item>－</item>
      </candidateList>
      <explain>文本全半角错误。</explain>
      <paraID>676F42F3</paraID>
      <start>175</start>
      <end>176</end>
      <status>ignored</status>
      <modifiedWord/>
      <trackRevisions>false</trackRevisions>
    </reviewItem>
    <reviewItem>
      <errorID>e40fd09a-ef66-481c-b88f-5c95ff826eb6</errorID>
      <errorWord>-</errorWord>
      <group>L1_Format</group>
      <groupName>格式问题</groupName>
      <ability>L2_HalfPunc</ability>
      <abilityName>全半角检查</abilityName>
      <candidateList>
        <item>－</item>
      </candidateList>
      <explain>文本全半角错误。</explain>
      <paraID>373E39E6</paraID>
      <start>31</start>
      <end>32</end>
      <status>ignored</status>
      <modifiedWord/>
      <trackRevisions>false</trackRevisions>
    </reviewItem>
    <reviewItem>
      <errorID>ce86e198-1baf-4c37-9000-9f3192a9d567</errorID>
      <errorWord>“.</errorWord>
      <group>L1_Punc</group>
      <groupName>标点问题</groupName>
      <ability>L2_Punc</ability>
      <abilityName>标点符号检查</abilityName>
      <candidateList>
        <item>“</item>
      </candidateList>
      <explain/>
      <paraID>206CF32C</paraID>
      <start>13</start>
      <end>15</end>
      <status>ignored</status>
      <modifiedWord/>
      <trackRevisions>false</trackRevisions>
    </reviewItem>
    <reviewItem>
      <errorID>b05a21b9-9003-41c0-b138-627acbdf71a2</errorID>
      <errorWord>供应商</errorWord>
      <group>L1_AI</group>
      <groupName>深度校对</groupName>
      <ability>L2_AI_Word</ability>
      <abilityName>字词纠错</abilityName>
      <candidateList>
        <item>对供应商</item>
      </candidateList>
      <explain/>
      <paraID> 3BBC83E</paraID>
      <start>10</start>
      <end>14</end>
      <status>modified</status>
      <modifiedWord>对供应商</modifiedWord>
      <trackRevisions>false</trackRevisions>
    </reviewItem>
    <reviewItem>
      <errorID>e4976a36-c51b-4a7b-ac7c-b75c3375f170</errorID>
      <errorWord>要求的</errorWord>
      <group>L1_AI</group>
      <groupName>深度校对</groupName>
      <ability>L2_AI_Word</ability>
      <abilityName>字词纠错</abilityName>
      <candidateList>
        <item>要求</item>
      </candidateList>
      <explain/>
      <paraID> 3BBC83E</paraID>
      <start>17</start>
      <end>19</end>
      <status>modified</status>
      <modifiedWord>要求</modifiedWord>
      <trackRevisions>false</trackRevisions>
    </reviewItem>
    <reviewItem>
      <errorID>011c706b-3127-4d8c-89e6-8bf1afd5ea7f</errorID>
      <errorWord>实质性</errorWord>
      <group>L1_AI</group>
      <groupName>深度校对</groupName>
      <ability>L2_AI_Word</ability>
      <abilityName>字词纠错</abilityName>
      <candidateList>
        <item>对实质性</item>
      </candidateList>
      <explain/>
      <paraID>6C219DCB</paraID>
      <start>8</start>
      <end>12</end>
      <status>modified</status>
      <modifiedWord>对实质性</modifiedWord>
      <trackRevisions>false</trackRevisions>
    </reviewItem>
    <reviewItem>
      <errorID>e244af98-385d-4fba-aa1b-db1d87bc5035</errorID>
      <errorWord>的法律法规</errorWord>
      <group>L1_AI</group>
      <groupName>深度校对</groupName>
      <ability>L2_AI_Word</ability>
      <abilityName>字词纠错</abilityName>
      <candidateList>
        <item>法律法规的</item>
      </candidateList>
      <explain/>
      <paraID>7158B2D2</paraID>
      <start>25</start>
      <end>30</end>
      <status>modified</status>
      <modifiedWord>法律法规的</modifiedWord>
      <trackRevisions>false</trackRevisions>
    </reviewItem>
    <reviewItem>
      <errorID>98a1005e-859c-47f0-b15f-af7b3c3a0242</errorID>
      <errorWord>&lt;</errorWord>
      <group>L1_Format</group>
      <groupName>格式问题</groupName>
      <ability>L2_HalfPunc</ability>
      <abilityName>全半角检查</abilityName>
      <candidateList>
        <item>〈</item>
      </candidateList>
      <explain>文本全半角错误。</explain>
      <paraID>4519EC91</paraID>
      <start>22</start>
      <end>23</end>
      <status>ignored</status>
      <modifiedWord/>
      <trackRevisions>false</trackRevisions>
    </reviewItem>
    <reviewItem>
      <errorID>0a3afb08-1941-4337-b67c-acfd0df4b62e</errorID>
      <errorWord>現</errorWord>
      <group>L1_Word</group>
      <groupName>字词问题</groupName>
      <ability>L2_Fanti</ability>
      <abilityName>繁转简</abilityName>
      <candidateList>
        <item>现</item>
      </candidateList>
      <explain/>
      <paraID>4F39B624</paraID>
      <start>16</start>
      <end>17</end>
      <status>modified</status>
      <modifiedWord>现</modifiedWord>
      <trackRevisions>false</trackRevisions>
    </reviewItem>
    <reviewItem>
      <errorID>96d62b1c-4c80-42b3-b187-d5f8a2531ac8</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19B47040</paraID>
      <start>159</start>
      <end>167</end>
      <status>modified</status>
      <modifiedWord>30%—100%</modifiedWord>
      <trackRevisions>false</trackRevisions>
    </reviewItem>
    <reviewItem>
      <errorID>ed374fc1-a2f9-4caf-b65f-7f98f08c5d90</errorID>
      <errorWord>弄虛</errorWord>
      <group>L1_Word</group>
      <groupName>字词问题</groupName>
      <ability>L2_Fanti</ability>
      <abilityName>繁转简</abilityName>
      <candidateList>
        <item>弄虚</item>
      </candidateList>
      <explain/>
      <paraID>134193BC</paraID>
      <start>40</start>
      <end>42</end>
      <status>modified</status>
      <modifiedWord>弄虚</modifiedWord>
      <trackRevisions>false</trackRevisions>
    </reviewItem>
    <reviewItem>
      <errorID>3cdc1ab8-dbca-41f8-803c-012ede90959e</errorID>
      <errorWord>[2023]234号</errorWord>
      <group>L1_Knowledge</group>
      <groupName>知识性问题</groupName>
      <ability>L2_Knowledge</ability>
      <abilityName>其他知识</abilityName>
      <candidateList>
        <item>〔2023〕234号</item>
      </candidateList>
      <explain>发文字号格式错误。</explain>
      <paraID>4C75EB77</paraID>
      <start>32</start>
      <end>42</end>
      <status>modified</status>
      <modifiedWord>〔2023〕234号</modifiedWord>
      <trackRevisions>false</trackRevisions>
    </reviewItem>
    <reviewItem>
      <errorID>7fef53ad-f133-435d-907e-1c3dbc97f130</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A547EC8-38A9-47B0-81AD-FDEF604807A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5</cp:revision>
  <dcterms:created xsi:type="dcterms:W3CDTF">2026-03-05T06:51:00Z</dcterms:created>
  <dcterms:modified xsi:type="dcterms:W3CDTF">2026-04-15T08:59:32Z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B7FD6DA032524E85B4ABCA29C3A03BDF_13</vt:lpwstr>
  </property>
  <property fmtid="{D5CDD505-2E9C-101B-9397-08002B2CF9AE}" pid="4" name="KSOTemplateDocerSaveRecord">
    <vt:lpwstr>eyJoZGlkIjoiYjA5ZGM2ZWEzZTFmMTNmZjQ5MzY5NzkxNDYyYzFhMTYiLCJ1c2VySWQiOiIxMzA2NDU5MDMyIn0=</vt:lpwstr>
  </property>
</Properties>
</file>