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2"/>
        <w:spacing w:before="120" w:beforeAutospacing="0" w:after="120" w:afterAutospacing="0" w:line="360" w:lineRule="auto"/>
        <w:rPr>
          <w:highlight w:val="none"/>
        </w:rPr>
      </w:pPr>
      <w:r>
        <w:rPr>
          <w:highlight w:val="none"/>
        </w:rPr>
        <w:t xml:space="preserve"> </w:t>
      </w:r>
      <w:r/>
    </w:p>
    <w:p>
      <w:pPr>
        <w:pStyle w:val="872"/>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872"/>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72"/>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72"/>
        <w:spacing w:before="120" w:beforeAutospacing="0" w:after="120" w:afterAutospacing="0" w:line="360" w:lineRule="auto"/>
        <w:rPr>
          <w:highlight w:val="none"/>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rPr>
        <w:t xml:space="preserve">东台市卫健委2026年度数据中心托管、运维项目</w:t>
      </w:r>
      <w:r/>
    </w:p>
    <w:p>
      <w:pPr>
        <w:pStyle w:val="872"/>
        <w:jc w:val="both"/>
        <w:spacing w:beforeAutospacing="0" w:afterAutospacing="0"/>
        <w:rPr>
          <w:highlight w:val="none"/>
        </w:rPr>
      </w:pPr>
      <w:r>
        <w:rPr>
          <w:rFonts w:ascii="Times New Roman" w:hAnsi="Times New Roman"/>
          <w:b/>
          <w:color w:val="000000"/>
          <w:sz w:val="32"/>
          <w:szCs w:val="32"/>
          <w:highlight w:val="none"/>
        </w:rPr>
        <w:t xml:space="preserve">项目编号：</w:t>
      </w:r>
      <w:r>
        <w:rPr>
          <w:rFonts w:hint="eastAsia" w:ascii="Times New Roman" w:hAnsi="Times New Roman"/>
          <w:b/>
          <w:color w:val="000000"/>
          <w:sz w:val="32"/>
          <w:szCs w:val="32"/>
          <w:highlight w:val="none"/>
        </w:rPr>
        <w:t xml:space="preserve">JSZC-320981-RHHH-G2026-0031</w:t>
      </w:r>
      <w:r/>
    </w:p>
    <w:p>
      <w:pPr>
        <w:pStyle w:val="872"/>
        <w:spacing w:beforeAutospacing="0" w:afterAutospacing="0" w:line="360" w:lineRule="auto"/>
        <w:rPr>
          <w:highlight w:val="none"/>
        </w:rPr>
      </w:pPr>
      <w:r>
        <w:rPr>
          <w:highlight w:val="none"/>
        </w:rPr>
        <w:t xml:space="preserve"> </w:t>
      </w:r>
      <w:r/>
    </w:p>
    <w:p>
      <w:pPr>
        <w:pStyle w:val="872"/>
        <w:spacing w:beforeAutospacing="0" w:afterAutospacing="0" w:line="360" w:lineRule="auto"/>
        <w:rPr>
          <w:highlight w:val="none"/>
        </w:rPr>
      </w:pPr>
      <w:r>
        <w:rPr>
          <w:highlight w:val="none"/>
        </w:rPr>
      </w:r>
      <w:r/>
    </w:p>
    <w:p>
      <w:pPr>
        <w:pStyle w:val="872"/>
        <w:spacing w:beforeAutospacing="0" w:afterAutospacing="0" w:line="360" w:lineRule="auto"/>
        <w:rPr>
          <w:highlight w:val="none"/>
        </w:rPr>
      </w:pPr>
      <w:r>
        <w:rPr>
          <w:highlight w:val="none"/>
        </w:rPr>
      </w:r>
      <w:r/>
    </w:p>
    <w:p>
      <w:pPr>
        <w:pStyle w:val="872"/>
        <w:spacing w:beforeAutospacing="0" w:afterAutospacing="0" w:line="360" w:lineRule="auto"/>
        <w:rPr>
          <w:highlight w:val="none"/>
        </w:rPr>
      </w:pPr>
      <w:r>
        <w:rPr>
          <w:highlight w:val="none"/>
        </w:rPr>
      </w:r>
      <w:r/>
    </w:p>
    <w:p>
      <w:pPr>
        <w:pStyle w:val="872"/>
        <w:spacing w:beforeAutospacing="0" w:afterAutospacing="0" w:line="360" w:lineRule="auto"/>
        <w:rPr>
          <w:highlight w:val="none"/>
        </w:rPr>
      </w:pPr>
      <w:r>
        <w:rPr>
          <w:highlight w:val="none"/>
        </w:rPr>
        <w:t xml:space="preserve"> </w:t>
      </w:r>
      <w:r/>
    </w:p>
    <w:p>
      <w:pP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采购人：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     </w:t>
      </w:r>
      <w:r>
        <w:rPr>
          <w:rFonts w:hint="eastAsia" w:ascii="宋体" w:hAnsi="宋体" w:eastAsia="宋体" w:cs="宋体"/>
          <w:b/>
          <w:color w:val="auto"/>
          <w:sz w:val="31"/>
          <w:highlight w:val="none"/>
          <w:u w:val="single"/>
          <w:lang w:eastAsia="zh-CN"/>
        </w:rPr>
        <w:t xml:space="preserve">东台市</w:t>
      </w:r>
      <w:r>
        <w:rPr>
          <w:rFonts w:hint="eastAsia" w:ascii="宋体" w:hAnsi="宋体" w:eastAsia="宋体" w:cs="宋体"/>
          <w:b/>
          <w:color w:val="auto"/>
          <w:sz w:val="31"/>
          <w:highlight w:val="none"/>
          <w:u w:val="single"/>
          <w:lang w:val="en-US" w:eastAsia="zh-CN"/>
        </w:rPr>
        <w:t xml:space="preserve">卫生健康委员会       </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 </w:t>
      </w:r>
      <w:r>
        <w:rPr>
          <w:rFonts w:hint="eastAsia" w:ascii="宋体" w:hAnsi="宋体" w:eastAsia="宋体" w:cs="宋体"/>
          <w:b/>
          <w:color w:val="auto"/>
          <w:sz w:val="31"/>
          <w:highlight w:val="none"/>
        </w:rPr>
        <w:t xml:space="preserve">（盖章）</w:t>
      </w:r>
      <w:r/>
    </w:p>
    <w:p>
      <w:pP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法定代表人或其委托代理人：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（签字或盖章）</w:t>
      </w:r>
      <w:r/>
    </w:p>
    <w:p>
      <w:pPr>
        <w:spacing w:line="480" w:lineRule="auto"/>
        <w:rPr>
          <w:rFonts w:hint="eastAsia" w:ascii="宋体" w:hAnsi="宋体" w:eastAsia="宋体" w:cs="宋体"/>
          <w:b/>
          <w:color w:val="auto"/>
          <w:sz w:val="31"/>
          <w:highlight w:val="none"/>
        </w:rPr>
      </w:pPr>
      <w:r>
        <w:rPr>
          <w:rFonts w:hint="eastAsia" w:ascii="宋体" w:hAnsi="宋体" w:eastAsia="宋体" w:cs="宋体"/>
          <w:b/>
          <w:color w:val="auto"/>
          <w:sz w:val="31"/>
          <w:highlight w:val="none"/>
        </w:rPr>
      </w:r>
      <w:r/>
    </w:p>
    <w:p>
      <w:pPr>
        <w:jc w:val="left"/>
        <w:keepLines w:val="0"/>
        <w:keepNext w:val="0"/>
        <w:pageBreakBefore w:val="0"/>
        <w:spacing w:line="480" w:lineRule="auto"/>
        <w:widowControl w:val="off"/>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采购代理机构：</w:t>
      </w:r>
      <w:r>
        <w:rPr>
          <w:rFonts w:hint="eastAsia" w:ascii="宋体" w:hAnsi="宋体" w:eastAsia="宋体" w:cs="宋体"/>
          <w:b/>
          <w:color w:val="auto"/>
          <w:spacing w:val="-28"/>
          <w:sz w:val="31"/>
          <w:highlight w:val="none"/>
          <w:u w:val="single"/>
          <w:lang w:val="en-US" w:eastAsia="zh-CN"/>
        </w:rPr>
        <w:t xml:space="preserve">江苏仁禾中衡工程咨询房地产估价有限公司</w:t>
      </w:r>
      <w:r>
        <w:rPr>
          <w:rFonts w:hint="eastAsia" w:ascii="宋体" w:hAnsi="宋体" w:eastAsia="宋体" w:cs="宋体"/>
          <w:b/>
          <w:color w:val="auto"/>
          <w:sz w:val="31"/>
          <w:highlight w:val="none"/>
        </w:rPr>
        <w:t xml:space="preserve">（盖章）</w:t>
      </w:r>
      <w:r/>
    </w:p>
    <w:p>
      <w:pPr>
        <w:spacing w:line="480" w:lineRule="auto"/>
        <w:rPr>
          <w:rFonts w:hint="eastAsia" w:ascii="Arial" w:hAnsi="Arial" w:cs="Arial"/>
          <w:b/>
          <w:color w:val="000000"/>
          <w:sz w:val="32"/>
          <w:szCs w:val="32"/>
          <w:highlight w:val="none"/>
          <w:lang w:val="en-US" w:eastAsia="zh-CN"/>
        </w:rPr>
        <w:outlineLvl w:val="0"/>
      </w:pPr>
      <w:r>
        <w:rPr>
          <w:rFonts w:hint="eastAsia" w:ascii="宋体" w:hAnsi="宋体" w:eastAsia="宋体" w:cs="宋体"/>
          <w:b/>
          <w:color w:val="auto"/>
          <w:sz w:val="31"/>
          <w:highlight w:val="none"/>
        </w:rPr>
        <w:t xml:space="preserve">法定代表人或其委托代理人：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（签字或盖章）</w:t>
      </w:r>
      <w:r/>
    </w:p>
    <w:p>
      <w:pPr>
        <w:pStyle w:val="872"/>
        <w:jc w:val="center"/>
        <w:spacing w:before="120" w:beforeAutospacing="0" w:after="120" w:afterAutospacing="0" w:line="360" w:lineRule="auto"/>
        <w:rPr>
          <w:rFonts w:hint="eastAsia" w:ascii="Arial" w:hAnsi="Arial" w:cs="Arial"/>
          <w:b/>
          <w:color w:val="000000"/>
          <w:sz w:val="32"/>
          <w:szCs w:val="32"/>
          <w:highlight w:val="none"/>
          <w:lang w:val="en-US" w:eastAsia="zh-CN"/>
        </w:rPr>
      </w:pPr>
      <w:r>
        <w:rPr>
          <w:rFonts w:hint="eastAsia" w:ascii="Arial" w:hAnsi="Arial" w:cs="Arial"/>
          <w:b/>
          <w:color w:val="000000"/>
          <w:sz w:val="32"/>
          <w:szCs w:val="32"/>
          <w:highlight w:val="none"/>
          <w:lang w:val="en-US" w:eastAsia="zh-CN"/>
        </w:rPr>
      </w:r>
      <w:r/>
    </w:p>
    <w:p>
      <w:pPr>
        <w:pStyle w:val="872"/>
        <w:jc w:val="center"/>
        <w:spacing w:before="120" w:beforeAutospacing="0" w:after="120" w:afterAutospacing="0" w:line="360" w:lineRule="auto"/>
        <w:rPr>
          <w:rFonts w:hint="default" w:eastAsiaTheme="minorEastAsia"/>
          <w:highlight w:val="none"/>
          <w:lang w:val="en-US" w:eastAsia="zh-CN"/>
        </w:rPr>
      </w:pP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5</w:t>
      </w:r>
      <w:r>
        <w:rPr>
          <w:rFonts w:ascii="Arial" w:hAnsi="Arial" w:cs="Arial"/>
          <w:b/>
          <w:color w:val="000000"/>
          <w:sz w:val="32"/>
          <w:szCs w:val="32"/>
          <w:highlight w:val="none"/>
        </w:rPr>
        <w:t xml:space="preserve">月</w:t>
      </w:r>
      <w:r>
        <w:rPr>
          <w:rFonts w:hint="eastAsia" w:ascii="Arial" w:hAnsi="Arial" w:cs="Arial"/>
          <w:b/>
          <w:color w:val="000000"/>
          <w:sz w:val="32"/>
          <w:szCs w:val="32"/>
          <w:highlight w:val="none"/>
          <w:lang w:val="en-US" w:eastAsia="zh-CN"/>
        </w:rPr>
        <w:t xml:space="preserve">15日</w:t>
      </w:r>
      <w:r/>
    </w:p>
    <w:p>
      <w:pPr>
        <w:pStyle w:val="872"/>
        <w:spacing w:before="120" w:beforeAutospacing="0" w:after="120" w:afterAutospacing="0" w:line="360" w:lineRule="auto"/>
        <w:rPr>
          <w:highlight w:val="none"/>
        </w:rPr>
      </w:pPr>
      <w:r>
        <w:rPr>
          <w:rFonts w:ascii="Arial" w:hAnsi="Arial" w:cs="Arial"/>
          <w:color w:val="000000"/>
          <w:highlight w:val="none"/>
        </w:rPr>
        <w:t xml:space="preserve">                        </w:t>
      </w:r>
      <w:r/>
    </w:p>
    <w:p>
      <w:pPr>
        <w:pStyle w:val="872"/>
        <w:jc w:val="center"/>
        <w:spacing w:before="120" w:beforeAutospacing="0" w:after="120" w:afterAutospacing="0" w:line="36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479757206"/>
      <w:r/>
      <w:bookmarkStart w:id="1" w:name="_Toc20823272"/>
      <w:r/>
      <w:bookmarkStart w:id="2" w:name="_Toc16938516"/>
      <w:r/>
      <w:bookmarkStart w:id="3" w:name="_Toc120614210"/>
      <w:r/>
      <w:bookmarkStart w:id="4" w:name="_Toc523127445"/>
      <w:r/>
      <w:bookmarkStart w:id="5" w:name="_Toc513029200"/>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72"/>
        <w:jc w:val="both"/>
        <w:spacing w:beforeAutospacing="0" w:afterAutospacing="0" w:line="480" w:lineRule="auto"/>
        <w:rPr>
          <w:highlight w:val="none"/>
        </w:rPr>
      </w:pPr>
      <w:r>
        <w:rPr>
          <w:highlight w:val="none"/>
        </w:rPr>
        <w:t xml:space="preserve"> </w:t>
      </w:r>
      <w:r/>
    </w:p>
    <w:p>
      <w:pPr>
        <w:pStyle w:val="87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87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87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合同文本……………………………………</w:t>
      </w:r>
      <w:r/>
    </w:p>
    <w:p>
      <w:pPr>
        <w:pStyle w:val="87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87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87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872"/>
        <w:jc w:val="both"/>
        <w:spacing w:beforeAutospacing="0" w:afterAutospacing="0"/>
        <w:rPr>
          <w:highlight w:val="none"/>
        </w:rPr>
      </w:pPr>
      <w:r>
        <w:rPr>
          <w:highlight w:val="none"/>
        </w:rPr>
        <w:t xml:space="preserve"> </w:t>
      </w:r>
      <w:r/>
    </w:p>
    <w:p>
      <w:pPr>
        <w:pStyle w:val="872"/>
        <w:jc w:val="both"/>
        <w:spacing w:beforeAutospacing="0" w:afterAutospacing="0"/>
        <w:rPr>
          <w:highlight w:val="none"/>
        </w:rPr>
      </w:pPr>
      <w:r>
        <w:rPr>
          <w:highlight w:val="none"/>
        </w:rPr>
        <w:t xml:space="preserve"> </w:t>
      </w:r>
      <w:r/>
    </w:p>
    <w:p>
      <w:pPr>
        <w:pStyle w:val="872"/>
        <w:jc w:val="both"/>
        <w:spacing w:beforeAutospacing="0" w:afterAutospacing="0"/>
        <w:rPr>
          <w:highlight w:val="none"/>
        </w:rPr>
      </w:pPr>
      <w:r>
        <w:rPr>
          <w:highlight w:val="none"/>
        </w:rPr>
        <w:t xml:space="preserve"> </w:t>
      </w:r>
      <w:r/>
    </w:p>
    <w:p>
      <w:pPr>
        <w:pStyle w:val="872"/>
        <w:jc w:val="both"/>
        <w:spacing w:beforeAutospacing="0" w:afterAutospacing="0"/>
        <w:rPr>
          <w:highlight w:val="none"/>
        </w:rPr>
      </w:pPr>
      <w:r>
        <w:rPr>
          <w:highlight w:val="none"/>
        </w:rPr>
        <w:t xml:space="preserve"> </w:t>
      </w:r>
      <w:r/>
    </w:p>
    <w:p>
      <w:pPr>
        <w:pStyle w:val="872"/>
        <w:jc w:val="both"/>
        <w:spacing w:beforeAutospacing="0" w:afterAutospacing="0"/>
        <w:rPr>
          <w:highlight w:val="none"/>
        </w:rPr>
      </w:pPr>
      <w:r>
        <w:rPr>
          <w:highlight w:val="none"/>
        </w:rPr>
        <w:t xml:space="preserve"> </w:t>
      </w:r>
      <w:r/>
    </w:p>
    <w:p>
      <w:pPr>
        <w:pStyle w:val="872"/>
        <w:jc w:val="both"/>
        <w:spacing w:beforeAutospacing="0" w:afterAutospacing="0"/>
        <w:rPr>
          <w:highlight w:val="none"/>
        </w:rPr>
      </w:pPr>
      <w:r>
        <w:rPr>
          <w:highlight w:val="none"/>
        </w:rPr>
        <w:t xml:space="preserve"> </w:t>
      </w:r>
      <w:r/>
    </w:p>
    <w:p>
      <w:pPr>
        <w:pStyle w:val="872"/>
        <w:jc w:val="both"/>
        <w:spacing w:beforeAutospacing="0" w:afterAutospacing="0"/>
        <w:rPr>
          <w:highlight w:val="none"/>
        </w:rPr>
      </w:pPr>
      <w:r>
        <w:rPr>
          <w:highlight w:val="none"/>
        </w:rPr>
        <w:t xml:space="preserve"> </w:t>
      </w:r>
      <w:r/>
    </w:p>
    <w:p>
      <w:pPr>
        <w:pStyle w:val="872"/>
        <w:jc w:val="both"/>
        <w:spacing w:beforeAutospacing="0" w:afterAutospacing="0"/>
        <w:rPr>
          <w:highlight w:val="none"/>
        </w:rPr>
      </w:pPr>
      <w:r>
        <w:rPr>
          <w:highlight w:val="none"/>
        </w:rPr>
        <w:t xml:space="preserve"> </w:t>
      </w:r>
      <w:r/>
    </w:p>
    <w:p>
      <w:pPr>
        <w:pStyle w:val="872"/>
        <w:jc w:val="both"/>
        <w:spacing w:beforeAutospacing="0" w:afterAutospacing="0"/>
        <w:rPr>
          <w:highlight w:val="none"/>
        </w:rPr>
      </w:pPr>
      <w:r>
        <w:rPr>
          <w:highlight w:val="none"/>
        </w:rPr>
        <w:t xml:space="preserve"> </w:t>
      </w:r>
      <w:r/>
    </w:p>
    <w:p>
      <w:pPr>
        <w:pStyle w:val="872"/>
        <w:jc w:val="both"/>
        <w:spacing w:beforeAutospacing="0" w:afterAutospacing="0"/>
        <w:rPr>
          <w:highlight w:val="none"/>
        </w:rPr>
      </w:pPr>
      <w:r>
        <w:rPr>
          <w:highlight w:val="none"/>
        </w:rPr>
        <w:t xml:space="preserve"> </w:t>
      </w:r>
      <w:r/>
    </w:p>
    <w:p>
      <w:pPr>
        <w:pStyle w:val="872"/>
        <w:jc w:val="both"/>
        <w:spacing w:beforeAutospacing="0" w:afterAutospacing="0"/>
        <w:rPr>
          <w:highlight w:val="none"/>
        </w:rPr>
      </w:pPr>
      <w:r>
        <w:rPr>
          <w:highlight w:val="none"/>
        </w:rPr>
        <w:t xml:space="preserve"> </w:t>
      </w:r>
      <w:r/>
    </w:p>
    <w:p>
      <w:pPr>
        <w:pStyle w:val="872"/>
        <w:jc w:val="both"/>
        <w:spacing w:beforeAutospacing="0" w:afterAutospacing="0"/>
        <w:rPr>
          <w:highlight w:val="none"/>
        </w:rPr>
      </w:pPr>
      <w:r>
        <w:rPr>
          <w:highlight w:val="none"/>
        </w:rPr>
        <w:t xml:space="preserve"> </w:t>
      </w:r>
      <w:r/>
    </w:p>
    <w:p>
      <w:pPr>
        <w:pStyle w:val="872"/>
        <w:jc w:val="both"/>
        <w:spacing w:beforeAutospacing="0" w:afterAutospacing="0"/>
        <w:rPr>
          <w:highlight w:val="none"/>
        </w:rPr>
      </w:pPr>
      <w:r>
        <w:rPr>
          <w:highlight w:val="none"/>
        </w:rPr>
        <w:t xml:space="preserve"> </w:t>
      </w:r>
      <w:r/>
    </w:p>
    <w:p>
      <w:pPr>
        <w:pStyle w:val="872"/>
        <w:jc w:val="both"/>
        <w:spacing w:beforeAutospacing="0" w:afterAutospacing="0"/>
        <w:rPr>
          <w:highlight w:val="none"/>
        </w:rPr>
      </w:pPr>
      <w:r>
        <w:rPr>
          <w:highlight w:val="none"/>
        </w:rPr>
        <w:t xml:space="preserve"> </w:t>
      </w:r>
      <w:r/>
    </w:p>
    <w:p>
      <w:pPr>
        <w:pStyle w:val="872"/>
        <w:jc w:val="both"/>
        <w:spacing w:beforeAutospacing="0" w:afterAutospacing="0"/>
        <w:rPr>
          <w:highlight w:val="none"/>
        </w:rPr>
      </w:pPr>
      <w:r>
        <w:rPr>
          <w:highlight w:val="none"/>
        </w:rPr>
        <w:t xml:space="preserve"> </w:t>
      </w:r>
      <w:r/>
    </w:p>
    <w:p>
      <w:pPr>
        <w:pStyle w:val="872"/>
        <w:jc w:val="both"/>
        <w:spacing w:beforeAutospacing="0" w:afterAutospacing="0"/>
        <w:rPr>
          <w:highlight w:val="none"/>
        </w:rPr>
      </w:pPr>
      <w:r>
        <w:rPr>
          <w:highlight w:val="none"/>
        </w:rPr>
        <w:t xml:space="preserve"> </w:t>
      </w:r>
      <w:r/>
    </w:p>
    <w:p>
      <w:pPr>
        <w:pStyle w:val="872"/>
        <w:jc w:val="both"/>
        <w:spacing w:beforeAutospacing="0" w:afterAutospacing="0"/>
        <w:rPr>
          <w:highlight w:val="none"/>
        </w:rPr>
      </w:pPr>
      <w:r>
        <w:rPr>
          <w:highlight w:val="none"/>
        </w:rPr>
        <w:t xml:space="preserve"> </w:t>
      </w:r>
      <w:r/>
    </w:p>
    <w:p>
      <w:pPr>
        <w:pStyle w:val="872"/>
        <w:jc w:val="both"/>
        <w:spacing w:beforeAutospacing="0" w:afterAutospacing="0"/>
        <w:rPr>
          <w:highlight w:val="none"/>
        </w:rPr>
      </w:pPr>
      <w:r>
        <w:rPr>
          <w:highlight w:val="none"/>
        </w:rPr>
        <w:t xml:space="preserve"> </w:t>
      </w:r>
      <w:r/>
    </w:p>
    <w:p>
      <w:pPr>
        <w:pStyle w:val="872"/>
        <w:jc w:val="both"/>
        <w:spacing w:beforeAutospacing="0" w:afterAutospacing="0"/>
        <w:rPr>
          <w:highlight w:val="none"/>
        </w:rPr>
      </w:pPr>
      <w:r>
        <w:rPr>
          <w:highlight w:val="none"/>
        </w:rPr>
        <w:t xml:space="preserve"> </w:t>
      </w:r>
      <w:r/>
    </w:p>
    <w:p>
      <w:pPr>
        <w:pStyle w:val="872"/>
        <w:jc w:val="both"/>
        <w:spacing w:beforeAutospacing="0" w:afterAutospacing="0"/>
        <w:rPr>
          <w:highlight w:val="none"/>
        </w:rPr>
      </w:pPr>
      <w:r>
        <w:rPr>
          <w:highlight w:val="none"/>
        </w:rPr>
        <w:t xml:space="preserve"> </w:t>
      </w:r>
      <w:r/>
    </w:p>
    <w:p>
      <w:pPr>
        <w:pStyle w:val="872"/>
        <w:jc w:val="both"/>
        <w:spacing w:beforeAutospacing="0" w:afterAutospacing="0"/>
        <w:rPr>
          <w:highlight w:val="none"/>
        </w:rPr>
      </w:pPr>
      <w:r>
        <w:rPr>
          <w:highlight w:val="none"/>
        </w:rPr>
        <w:t xml:space="preserve"> </w:t>
      </w:r>
      <w:r/>
    </w:p>
    <w:p>
      <w:pPr>
        <w:pStyle w:val="872"/>
        <w:jc w:val="both"/>
        <w:spacing w:beforeAutospacing="0" w:afterAutospacing="0"/>
        <w:rPr>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highlight w:val="none"/>
        </w:rPr>
        <w:t xml:space="preserve"> </w:t>
      </w:r>
      <w:r>
        <w:rPr>
          <w:highlight w:val="none"/>
        </w:rPr>
        <w:t xml:space="preserve"> </w:t>
      </w:r>
      <w:r>
        <w:rPr>
          <w:highlight w:val="none"/>
        </w:rPr>
      </w:r>
      <w:r/>
    </w:p>
    <w:p>
      <w:pPr>
        <w:pStyle w:val="872"/>
        <w:jc w:val="both"/>
        <w:spacing w:beforeAutospacing="0" w:afterAutospacing="0"/>
        <w:rPr>
          <w:highlight w:val="none"/>
        </w:rPr>
      </w:pPr>
      <w:r>
        <w:rPr>
          <w:highlight w:val="none"/>
        </w:rPr>
        <w:t xml:space="preserve"> </w:t>
      </w:r>
      <w:r/>
    </w:p>
    <w:p>
      <w:pPr>
        <w:pStyle w:val="872"/>
        <w:jc w:val="center"/>
        <w:keepNext/>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872"/>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72"/>
        <w:ind w:firstLine="482"/>
        <w:jc w:val="left"/>
        <w:keepLines w:val="0"/>
        <w:keepNext w:val="0"/>
        <w:pageBreakBefore w:val="0"/>
        <w:spacing w:beforeAutospacing="0" w:afterAutospacing="0"/>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东台市卫健委2026年度数据中心托管、运维项目(</w:t>
      </w:r>
      <w:r>
        <w:rPr>
          <w:rFonts w:hint="eastAsia" w:ascii="宋体" w:hAnsi="宋体" w:eastAsia="宋体" w:cs="宋体"/>
          <w:color w:val="auto"/>
          <w:sz w:val="24"/>
          <w:szCs w:val="24"/>
          <w:highlight w:val="none"/>
          <w:u w:val="single"/>
          <w:lang w:val="en-US" w:eastAsia="zh-CN"/>
        </w:rPr>
        <w:t xml:space="preserve">采购标的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 </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 年</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 日</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 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872"/>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6" w:name="_Hlk24379207"/>
      <w:r/>
      <w:bookmarkStart w:id="7" w:name="_Toc35393621"/>
      <w:r/>
      <w:bookmarkStart w:id="8" w:name="_Toc28359002"/>
      <w:r/>
      <w:bookmarkStart w:id="9" w:name="_Toc38985263"/>
      <w:r/>
      <w:bookmarkStart w:id="10" w:name="_Toc28359079"/>
      <w:r/>
      <w:bookmarkStart w:id="11" w:name="_Toc35393790"/>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872"/>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1.项目编号：JSZC-320981-RHHH-G2026-0031</w:t>
      </w:r>
      <w:r/>
    </w:p>
    <w:p>
      <w:pPr>
        <w:pStyle w:val="872"/>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2.项目名称：东台市卫健委2026年度数据中心托管、运维项目</w:t>
      </w:r>
      <w:r/>
    </w:p>
    <w:p>
      <w:pPr>
        <w:pStyle w:val="872"/>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872"/>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143万元</w:t>
      </w:r>
      <w:r/>
    </w:p>
    <w:p>
      <w:pPr>
        <w:pStyle w:val="872"/>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最高限价（如有）：140.53万元 </w:t>
      </w:r>
      <w:r/>
    </w:p>
    <w:p>
      <w:pPr>
        <w:pStyle w:val="872"/>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简介）：（1）机房托管服务及机房搬迁服务，（2）信息技术咨询服务，（3）数据中心运维和卫生专网运维服务，（4）网络安全运维服务，（5）专线租赁服务，（6）统一应用系统运行监测维护服务。（详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p>
    <w:p>
      <w:pPr>
        <w:pStyle w:val="872"/>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.合同履行期限：本项目服务期为2026年7月1日至2027年6月30日。其中机房搬迁、数据中心宽带线路实施建设须在2026年7月1日前完成。 </w:t>
      </w:r>
      <w:r/>
    </w:p>
    <w:p>
      <w:pPr>
        <w:pStyle w:val="872"/>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本项目（是/否）接受联合体投标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w:t>
      </w:r>
      <w:r/>
    </w:p>
    <w:p>
      <w:pPr>
        <w:pStyle w:val="872"/>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2" w:name="_Toc38985264"/>
      <w:r/>
      <w:bookmarkStart w:id="13" w:name="_Toc35393622"/>
      <w:r/>
      <w:bookmarkStart w:id="14" w:name="_Toc28359080"/>
      <w:r/>
      <w:bookmarkStart w:id="15" w:name="_Toc35393791"/>
      <w:r/>
      <w:bookmarkStart w:id="16" w:name="_Toc28359003"/>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rPr>
          <w:rFonts w:ascii="SimSun" w:hAnsi="SimSun" w:eastAsia="SimSun" w:cs="SimSun"/>
          <w:color w:val="000000"/>
          <w:sz w:val="24"/>
        </w:rPr>
        <w:t xml:space="preserve"> </w:t>
      </w:r>
      <w:r>
        <w:rPr>
          <w:sz w:val="24"/>
        </w:rPr>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2.上一年度的财务状况报告（成立不满一年不需提供）。</w:t>
      </w:r>
      <w:r>
        <w:rPr>
          <w:rFonts w:ascii="SimSun" w:hAnsi="SimSun" w:eastAsia="SimSun" w:cs="SimSun"/>
          <w:color w:val="000000"/>
          <w:sz w:val="24"/>
        </w:rPr>
        <w:t xml:space="preserve"> </w:t>
      </w:r>
      <w:r>
        <w:rPr>
          <w:sz w:val="24"/>
        </w:rPr>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sz w:val="24"/>
        </w:rPr>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w:t>
      </w:r>
      <w:r>
        <w:rPr>
          <w:rFonts w:ascii="SimSun" w:hAnsi="SimSun" w:eastAsia="SimSun" w:cs="SimSun"/>
          <w:color w:val="000000"/>
          <w:sz w:val="24"/>
        </w:rPr>
        <w:t xml:space="preserve"> </w:t>
      </w:r>
      <w:r>
        <w:rPr>
          <w:sz w:val="24"/>
        </w:rPr>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rPr>
          <w:sz w:val="24"/>
        </w:rPr>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rPr>
          <w:sz w:val="24"/>
        </w:rPr>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sz w:val="24"/>
        </w:rPr>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8.单位负责人为同一人或者存在直接控股、管理关系的不同供应商，不得参加同一合同项下的政府采购活动。</w:t>
      </w:r>
      <w:r>
        <w:rPr>
          <w:sz w:val="24"/>
        </w:rPr>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9.供应商法定代表人身份证明和投标文件签署授权委托书（另附法定代表人和被授权人的身份证复印件）</w:t>
      </w:r>
      <w:r>
        <w:rPr>
          <w:sz w:val="24"/>
        </w:rPr>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10.供应商为被授权人缴纳的社会养老保险证明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r>
        <w:rPr>
          <w:rFonts w:ascii="SimSun" w:hAnsi="SimSun" w:eastAsia="SimSun" w:cs="SimSun"/>
          <w:color w:val="000000"/>
          <w:sz w:val="24"/>
        </w:rPr>
        <w:t xml:space="preserve">本项目无落实政府采购政策需满足的资格要求</w:t>
      </w:r>
      <w:r/>
      <w:r>
        <w:rPr>
          <w:rFonts w:ascii="SimSun" w:hAnsi="SimSun" w:eastAsia="SimSun" w:cs="SimSun"/>
          <w:color w:val="000000"/>
          <w:sz w:val="24"/>
        </w:rPr>
      </w:r>
      <w:r/>
      <w:r/>
      <w:r>
        <w:rPr>
          <w:sz w:val="24"/>
        </w:rP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highlight w:val="white"/>
          <w:u w:val="single"/>
        </w:rPr>
        <w:t xml:space="preserve">3.1 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highlight w:val="white"/>
          <w:u w:val="single"/>
        </w:rPr>
        <w:t xml:space="preserve">3.2 投标人如委托被授权人参与，则被授权人须为本单位正式职工并提供投标人为被授权人缴纳的社会养老保险证明。</w:t>
      </w:r>
      <w:r>
        <w:rPr>
          <w:sz w:val="21"/>
        </w:rPr>
      </w:r>
      <w:r/>
    </w:p>
    <w:p>
      <w:pPr>
        <w:pStyle w:val="872"/>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bookmarkStart w:id="17" w:name="_Toc38985266"/>
      <w:r/>
      <w:bookmarkStart w:id="18" w:name="_Toc28359082"/>
      <w:r/>
      <w:bookmarkStart w:id="19" w:name="_Toc28359005"/>
      <w:r/>
      <w:bookmarkStart w:id="20" w:name="_Toc35393793"/>
      <w:r/>
      <w:bookmarkStart w:id="21" w:name="_Toc35393624"/>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4.售价：0元</w:t>
      </w:r>
      <w:r/>
    </w:p>
    <w:p>
      <w:pPr>
        <w:pStyle w:val="872"/>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bidi="ar-SA"/>
        </w:rPr>
        <w:t xml:space="preserve">时间：2026年6月5日8 点30分（北京时间）</w:t>
      </w:r>
      <w:r/>
    </w:p>
    <w:p>
      <w:pPr>
        <w:ind w:firstLine="48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2.地点：苏采云“不见面”开标大厅 。</w:t>
      </w:r>
      <w:r/>
    </w:p>
    <w:p>
      <w:pPr>
        <w:pStyle w:val="872"/>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22" w:name="_Toc28359007"/>
      <w:r/>
      <w:bookmarkStart w:id="23" w:name="_Toc35393794"/>
      <w:r/>
      <w:bookmarkStart w:id="24" w:name="_Toc38985267"/>
      <w:r/>
      <w:bookmarkStart w:id="25" w:name="_Toc28359084"/>
      <w:r/>
      <w:bookmarkStart w:id="26" w:name="_Toc35393625"/>
      <w:r>
        <w:rPr>
          <w:rFonts w:hint="eastAsia" w:ascii="宋体" w:hAnsi="宋体" w:eastAsia="宋体" w:cs="宋体"/>
          <w:b/>
          <w:color w:val="auto"/>
          <w:sz w:val="24"/>
          <w:szCs w:val="24"/>
          <w:highlight w:val="none"/>
        </w:rPr>
        <w:t xml:space="preserve">五、公告期限</w:t>
      </w:r>
      <w:bookmarkEnd w:id="22"/>
      <w:r/>
      <w:bookmarkEnd w:id="23"/>
      <w:r/>
      <w:bookmarkEnd w:id="24"/>
      <w:r/>
      <w:bookmarkEnd w:id="25"/>
      <w:r/>
      <w:bookmarkEnd w:id="26"/>
      <w:r/>
      <w:r/>
    </w:p>
    <w:p>
      <w:pPr>
        <w:pStyle w:val="87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795"/>
      <w:r/>
      <w:bookmarkStart w:id="28" w:name="_Toc38985268"/>
      <w:r/>
      <w:bookmarkStart w:id="29" w:name="_Toc3539362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872"/>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87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请至</w:t>
      </w:r>
      <w:r>
        <w:rPr>
          <w:rFonts w:hint="eastAsia" w:ascii="宋体" w:hAnsi="宋体" w:eastAsia="宋体" w:cs="宋体"/>
          <w:i w:val="0"/>
          <w:iCs w:val="0"/>
          <w:caps w:val="0"/>
          <w:color w:val="ff0000"/>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办理</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3.有关本次招标的事项若存在变动或修改，敬请及时关注“中国政府采购网”“江苏政府采购网”“盐城市政府采购网”发布的更正公告。</w:t>
      </w:r>
      <w:r/>
    </w:p>
    <w:p>
      <w:pPr>
        <w:pStyle w:val="87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864"/>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0"/>
      <w:r/>
      <w:r/>
    </w:p>
    <w:p>
      <w:pPr>
        <w:pStyle w:val="87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87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称：东台市卫生健康委员会 </w:t>
      </w:r>
      <w:r/>
    </w:p>
    <w:p>
      <w:pPr>
        <w:pStyle w:val="87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地址：东台市金海东路18号  </w:t>
      </w:r>
      <w:r/>
    </w:p>
    <w:p>
      <w:pPr>
        <w:pStyle w:val="87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联系人：仇女士              </w:t>
      </w:r>
      <w:r/>
    </w:p>
    <w:p>
      <w:pPr>
        <w:pStyle w:val="87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联系方式：19962319585            </w:t>
      </w:r>
      <w:r/>
    </w:p>
    <w:p>
      <w:pPr>
        <w:pStyle w:val="87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872"/>
        <w:ind w:left="0" w:right="0" w:firstLine="560"/>
        <w:jc w:val="both"/>
        <w:keepLines w:val="0"/>
        <w:keepNext w:val="0"/>
        <w:spacing w:before="0" w:beforeAutospacing="0" w:after="0" w:afterAutospacing="0"/>
        <w:shd w:val="clear" w:color="auto" w:fill="ffffff"/>
        <w:widowControl/>
        <w:rPr>
          <w:rFonts w:hint="default"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称：江苏仁禾中衡工程咨询房地产估价有限公司</w:t>
      </w:r>
      <w:r/>
    </w:p>
    <w:p>
      <w:pPr>
        <w:pStyle w:val="872"/>
        <w:ind w:left="0" w:right="0" w:firstLine="560"/>
        <w:jc w:val="both"/>
        <w:keepLines w:val="0"/>
        <w:keepNext w:val="0"/>
        <w:spacing w:before="0" w:beforeAutospacing="0" w:after="0" w:afterAutospacing="0"/>
        <w:shd w:val="clear" w:color="auto" w:fill="ffffff"/>
        <w:widowControl/>
        <w:rPr>
          <w:rFonts w:hint="default"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址：东台市城中花园2号楼2层西侧</w:t>
      </w:r>
      <w:r/>
    </w:p>
    <w:p>
      <w:pPr>
        <w:pStyle w:val="87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联系人：朱女士                    </w:t>
      </w:r>
      <w:r/>
    </w:p>
    <w:p>
      <w:pPr>
        <w:pStyle w:val="87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32" w:name="_Toc28359010"/>
      <w:r/>
      <w:bookmarkStart w:id="33" w:name="_Toc28359087"/>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17551600606       </w:t>
      </w:r>
      <w:bookmarkEnd w:id="32"/>
      <w:r/>
      <w:bookmarkEnd w:id="33"/>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7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87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项目联系人：朱女士</w:t>
      </w:r>
      <w:r/>
    </w:p>
    <w:p>
      <w:pPr>
        <w:pStyle w:val="87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话：17551600606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72"/>
        <w:ind w:right="840"/>
        <w:jc w:val="both"/>
        <w:spacing w:beforeAutospacing="0" w:afterAutospacing="0"/>
        <w:rPr>
          <w:highlight w:val="none"/>
        </w:rPr>
      </w:pPr>
      <w:r>
        <w:rPr>
          <w:rFonts w:hint="eastAsia" w:ascii="宋体" w:hAnsi="宋体" w:eastAsia="宋体" w:cs="宋体"/>
          <w:color w:val="000000"/>
          <w:sz w:val="24"/>
          <w:szCs w:val="24"/>
          <w:highlight w:val="none"/>
        </w:rPr>
        <w:br w:type="page" w:clear="all"/>
      </w:r>
      <w:r/>
    </w:p>
    <w:p>
      <w:pPr>
        <w:pStyle w:val="872"/>
        <w:ind w:firstLine="2429"/>
        <w:jc w:val="both"/>
        <w:keepLines/>
        <w:keepNext/>
        <w:spacing w:before="260" w:beforeAutospacing="0" w:after="260" w:afterAutospacing="0" w:line="415" w:lineRule="auto"/>
        <w:rPr>
          <w:highlight w:val="none"/>
        </w:rPr>
      </w:pPr>
      <w:r/>
      <w:bookmarkStart w:id="35" w:name="_Toc120614211"/>
      <w:r>
        <w:rPr>
          <w:rFonts w:hint="eastAsia" w:ascii="黑体" w:hAnsi="宋体" w:eastAsia="黑体" w:cs="黑体"/>
          <w:b/>
          <w:color w:val="000000"/>
          <w:sz w:val="44"/>
          <w:szCs w:val="44"/>
          <w:highlight w:val="none"/>
        </w:rPr>
        <w:t xml:space="preserve">第二章  </w:t>
      </w:r>
      <w:bookmarkEnd w:id="35"/>
      <w:r/>
      <w:bookmarkStart w:id="36" w:name="_Toc16938518"/>
      <w:r/>
      <w:bookmarkStart w:id="37" w:name="_Toc120614213"/>
      <w:r/>
      <w:bookmarkStart w:id="38" w:name="_Toc20823274"/>
      <w:r/>
      <w:bookmarkStart w:id="39" w:name="_Toc513029202"/>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p>
    <w:p>
      <w:pPr>
        <w:pStyle w:val="87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40" w:name="_Toc16938519"/>
      <w:r/>
      <w:bookmarkStart w:id="41" w:name="_Toc120614214"/>
      <w:r/>
      <w:bookmarkStart w:id="42" w:name="_Toc513029203"/>
      <w:r/>
      <w:bookmarkStart w:id="43" w:name="_Toc20823275"/>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872"/>
        <w:ind w:firstLine="480"/>
        <w:jc w:val="both"/>
        <w:keepLines/>
        <w:keepNext/>
        <w:spacing w:beforeAutospacing="0" w:afterAutospacing="0"/>
        <w:rPr>
          <w:rFonts w:hint="eastAsia" w:ascii="宋体" w:hAnsi="宋体" w:eastAsia="宋体" w:cs="宋体"/>
          <w:sz w:val="24"/>
          <w:szCs w:val="24"/>
          <w:highlight w:val="none"/>
        </w:rPr>
      </w:pPr>
      <w:r/>
      <w:bookmarkStart w:id="44" w:name="_Toc16938520"/>
      <w:r/>
      <w:bookmarkStart w:id="45" w:name="_Toc513029204"/>
      <w:r/>
      <w:bookmarkStart w:id="46" w:name="_Toc458694821"/>
      <w:r/>
      <w:bookmarkStart w:id="47" w:name="_Toc20823276"/>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、招标方式</w:t>
      </w:r>
      <w:bookmarkEnd w:id="45"/>
      <w:r/>
      <w:bookmarkEnd w:id="46"/>
      <w:r/>
      <w:bookmarkEnd w:id="47"/>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872"/>
        <w:ind w:firstLine="480"/>
        <w:jc w:val="both"/>
        <w:keepLines/>
        <w:keepNext/>
        <w:spacing w:beforeAutospacing="0" w:afterAutospacing="0"/>
        <w:rPr>
          <w:rFonts w:hint="eastAsia" w:ascii="宋体" w:hAnsi="宋体" w:eastAsia="宋体" w:cs="宋体"/>
          <w:sz w:val="24"/>
          <w:szCs w:val="24"/>
          <w:highlight w:val="none"/>
        </w:rPr>
      </w:pPr>
      <w:r/>
      <w:bookmarkStart w:id="49" w:name="_Toc20823277"/>
      <w:r/>
      <w:bookmarkStart w:id="50" w:name="_Toc16938521"/>
      <w:r/>
      <w:bookmarkStart w:id="51" w:name="_Toc513029205"/>
      <w:r>
        <w:rPr>
          <w:rFonts w:hint="eastAsia" w:ascii="宋体" w:hAnsi="宋体" w:eastAsia="宋体" w:cs="宋体"/>
          <w:color w:val="000000"/>
          <w:sz w:val="24"/>
          <w:szCs w:val="24"/>
          <w:highlight w:val="none"/>
        </w:rPr>
        <w:t xml:space="preserve">2、合格的投标人</w:t>
      </w:r>
      <w:bookmarkEnd w:id="49"/>
      <w:r/>
      <w:bookmarkEnd w:id="50"/>
      <w:r/>
      <w:bookmarkEnd w:id="51"/>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ind w:firstLine="480"/>
        <w:spacing w:line="400" w:lineRule="exact"/>
        <w:rPr>
          <w:rFonts w:hint="eastAsia" w:ascii="方正魏碑_GBK" w:hAnsi="方正魏碑_GBK" w:eastAsia="方正魏碑_GBK" w:cs="方正魏碑_GBK"/>
          <w:color w:val="auto"/>
          <w:sz w:val="24"/>
          <w:szCs w:val="21"/>
        </w:rPr>
      </w:pPr>
      <w:r/>
      <w:bookmarkStart w:id="52" w:name="_Toc513029206"/>
      <w:r/>
      <w:bookmarkStart w:id="53" w:name="_Toc20823278"/>
      <w:r/>
      <w:bookmarkStart w:id="54" w:name="_Toc16938522"/>
      <w:r/>
      <w:bookmarkStart w:id="55" w:name="_Toc20823279"/>
      <w:r/>
      <w:bookmarkStart w:id="56" w:name="_Toc513029207"/>
      <w:r/>
      <w:bookmarkStart w:id="57" w:name="_Toc462564067"/>
      <w:r/>
      <w:bookmarkStart w:id="58" w:name="_Toc16938523"/>
      <w:r>
        <w:rPr>
          <w:rFonts w:hint="eastAsia" w:ascii="方正魏碑_GBK" w:hAnsi="方正魏碑_GBK" w:eastAsia="方正魏碑_GBK" w:cs="方正魏碑_GBK"/>
          <w:color w:val="auto"/>
          <w:sz w:val="24"/>
          <w:szCs w:val="21"/>
        </w:rPr>
        <w:t xml:space="preserve">3、适用法律</w:t>
      </w:r>
      <w:bookmarkEnd w:id="52"/>
      <w:r/>
      <w:bookmarkEnd w:id="53"/>
      <w:r/>
      <w:bookmarkEnd w:id="54"/>
      <w:r>
        <w:rPr>
          <w:rFonts w:hint="eastAsia" w:ascii="方正魏碑_GBK" w:hAnsi="方正魏碑_GBK" w:eastAsia="方正魏碑_GBK" w:cs="方正魏碑_GBK"/>
          <w:color w:val="auto"/>
          <w:sz w:val="24"/>
          <w:szCs w:val="21"/>
        </w:rPr>
        <w:t xml:space="preserve">和标准</w:t>
      </w:r>
      <w:r/>
    </w:p>
    <w:p>
      <w:pPr>
        <w:pStyle w:val="87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spacing w:line="400" w:lineRule="exact"/>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872"/>
        <w:ind w:firstLine="48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4、投标费用</w:t>
      </w:r>
      <w:bookmarkEnd w:id="55"/>
      <w:r/>
      <w:bookmarkEnd w:id="56"/>
      <w:r/>
      <w:bookmarkEnd w:id="57"/>
      <w:r/>
      <w:bookmarkEnd w:id="58"/>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4.1投标人应自行承担所有与参加投标有关的费用，无论投标过程中的做法和结果如何，采购人及代理机构在任何情况下均无义务和责任承担这些费用。</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4.2本次招标采购人及代理机构不收取标书工本费与中标服务费。</w:t>
      </w:r>
      <w:r/>
    </w:p>
    <w:p>
      <w:pPr>
        <w:pStyle w:val="872"/>
        <w:ind w:firstLine="482"/>
        <w:jc w:val="both"/>
        <w:keepLines/>
        <w:keepNext/>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872"/>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59" w:name="_Toc120614215"/>
      <w:r/>
      <w:bookmarkStart w:id="60" w:name="_Toc513029209"/>
      <w:r/>
      <w:bookmarkStart w:id="61" w:name="_Toc20823281"/>
      <w:r/>
      <w:bookmarkStart w:id="62" w:name="_Toc16938525"/>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872"/>
        <w:ind w:firstLine="480"/>
        <w:jc w:val="both"/>
        <w:keepLines/>
        <w:keepNext/>
        <w:spacing w:beforeAutospacing="0" w:afterAutospacing="0"/>
        <w:rPr>
          <w:rFonts w:hint="eastAsia" w:ascii="宋体" w:hAnsi="宋体" w:eastAsia="宋体" w:cs="宋体"/>
          <w:sz w:val="24"/>
          <w:szCs w:val="24"/>
          <w:highlight w:val="none"/>
        </w:rPr>
      </w:pPr>
      <w:r/>
      <w:bookmarkStart w:id="63" w:name="_Toc513029210"/>
      <w:r/>
      <w:bookmarkStart w:id="64" w:name="_Toc20823282"/>
      <w:r/>
      <w:bookmarkStart w:id="65" w:name="_Toc16938526"/>
      <w:r>
        <w:rPr>
          <w:rFonts w:hint="eastAsia" w:ascii="宋体" w:hAnsi="宋体" w:eastAsia="宋体" w:cs="宋体"/>
          <w:color w:val="000000"/>
          <w:sz w:val="24"/>
          <w:szCs w:val="24"/>
          <w:highlight w:val="none"/>
        </w:rPr>
        <w:t xml:space="preserve">6、招标文件构成</w:t>
      </w:r>
      <w:bookmarkEnd w:id="63"/>
      <w:r/>
      <w:bookmarkEnd w:id="64"/>
      <w:r/>
      <w:bookmarkEnd w:id="65"/>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72"/>
        <w:ind w:firstLine="360"/>
        <w:jc w:val="both"/>
        <w:spacing w:beforeAutospacing="0" w:afterAutospacing="0" w:line="0" w:lineRule="atLeast"/>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72"/>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872"/>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72"/>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72"/>
        <w:ind w:firstLine="36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72"/>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请仔细检查招标文件是否齐全，如有缺漏请立即与采购人或代理机构联系解决。</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2"/>
        <w:ind w:firstLine="480"/>
        <w:jc w:val="both"/>
        <w:keepLines/>
        <w:keepNext/>
        <w:spacing w:beforeAutospacing="0" w:afterAutospacing="0"/>
        <w:rPr>
          <w:rFonts w:hint="eastAsia" w:ascii="宋体" w:hAnsi="宋体" w:eastAsia="宋体" w:cs="宋体"/>
          <w:sz w:val="24"/>
          <w:szCs w:val="24"/>
          <w:highlight w:val="none"/>
        </w:rPr>
      </w:pPr>
      <w:r/>
      <w:bookmarkStart w:id="66" w:name="_Toc513029211"/>
      <w:r/>
      <w:bookmarkStart w:id="67" w:name="_Toc20823283"/>
      <w:r/>
      <w:bookmarkStart w:id="68" w:name="_Toc462564070"/>
      <w:r/>
      <w:bookmarkStart w:id="69" w:name="_Toc16938527"/>
      <w:r>
        <w:rPr>
          <w:rFonts w:hint="eastAsia" w:ascii="宋体" w:hAnsi="宋体" w:eastAsia="宋体" w:cs="宋体"/>
          <w:color w:val="000000"/>
          <w:sz w:val="24"/>
          <w:szCs w:val="24"/>
          <w:highlight w:val="none"/>
        </w:rPr>
        <w:t xml:space="preserve">7、招标文件的澄清</w:t>
      </w:r>
      <w:bookmarkEnd w:id="66"/>
      <w:r/>
      <w:bookmarkEnd w:id="67"/>
      <w:r/>
      <w:bookmarkEnd w:id="68"/>
      <w:r/>
      <w:bookmarkEnd w:id="69"/>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w:t>
      </w:r>
      <w:r/>
    </w:p>
    <w:p>
      <w:pPr>
        <w:pStyle w:val="872"/>
        <w:ind w:firstLine="480"/>
        <w:jc w:val="both"/>
        <w:keepLines/>
        <w:keepNext/>
        <w:spacing w:beforeAutospacing="0" w:afterAutospacing="0"/>
        <w:rPr>
          <w:rFonts w:hint="eastAsia" w:ascii="宋体" w:hAnsi="宋体" w:eastAsia="宋体" w:cs="宋体"/>
          <w:sz w:val="24"/>
          <w:szCs w:val="24"/>
          <w:highlight w:val="none"/>
        </w:rPr>
      </w:pPr>
      <w:r/>
      <w:bookmarkStart w:id="70" w:name="_Toc20823284"/>
      <w:r/>
      <w:bookmarkStart w:id="71" w:name="_Toc462564071"/>
      <w:r/>
      <w:bookmarkStart w:id="72" w:name="_Toc513029212"/>
      <w:r/>
      <w:bookmarkStart w:id="73" w:name="_Toc16938528"/>
      <w:r>
        <w:rPr>
          <w:rFonts w:hint="eastAsia" w:ascii="宋体" w:hAnsi="宋体" w:eastAsia="宋体" w:cs="宋体"/>
          <w:color w:val="000000"/>
          <w:sz w:val="24"/>
          <w:szCs w:val="24"/>
          <w:highlight w:val="none"/>
        </w:rPr>
        <w:t xml:space="preserve">8、招标文件的修改</w:t>
      </w:r>
      <w:bookmarkEnd w:id="70"/>
      <w:r/>
      <w:bookmarkEnd w:id="71"/>
      <w:r/>
      <w:bookmarkEnd w:id="72"/>
      <w:r/>
      <w:bookmarkEnd w:id="73"/>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可以对招标文件进行修改。</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872"/>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4" w:name="_Toc513029213"/>
      <w:r/>
      <w:bookmarkStart w:id="75" w:name="_Toc120614216"/>
      <w:r/>
      <w:bookmarkStart w:id="76" w:name="_Toc16938529"/>
      <w:r/>
      <w:bookmarkStart w:id="77" w:name="_Toc20823285"/>
      <w:r/>
      <w:bookmarkStart w:id="78" w:name="_Toc462564072"/>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pStyle w:val="872"/>
        <w:ind w:firstLine="480"/>
        <w:jc w:val="both"/>
        <w:keepLines/>
        <w:keepNext/>
        <w:spacing w:beforeAutospacing="0" w:afterAutospacing="0"/>
        <w:rPr>
          <w:rFonts w:hint="eastAsia" w:ascii="宋体" w:hAnsi="宋体" w:eastAsia="宋体" w:cs="宋体"/>
          <w:sz w:val="24"/>
          <w:szCs w:val="24"/>
          <w:highlight w:val="none"/>
        </w:rPr>
      </w:pPr>
      <w:r/>
      <w:bookmarkStart w:id="79" w:name="_Toc462564073"/>
      <w:r/>
      <w:bookmarkStart w:id="80" w:name="_Toc20823286"/>
      <w:r/>
      <w:bookmarkStart w:id="81" w:name="_Toc16938530"/>
      <w:r/>
      <w:bookmarkStart w:id="82" w:name="_Toc513029214"/>
      <w:r>
        <w:rPr>
          <w:rFonts w:hint="eastAsia" w:ascii="宋体" w:hAnsi="宋体" w:eastAsia="宋体" w:cs="宋体"/>
          <w:color w:val="000000"/>
          <w:sz w:val="24"/>
          <w:szCs w:val="24"/>
          <w:highlight w:val="none"/>
        </w:rPr>
        <w:t xml:space="preserve">9、投标文件的语言及度量衡单位</w:t>
      </w:r>
      <w:bookmarkEnd w:id="79"/>
      <w:r/>
      <w:bookmarkEnd w:id="80"/>
      <w:r/>
      <w:bookmarkEnd w:id="81"/>
      <w:r/>
      <w:bookmarkEnd w:id="82"/>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872"/>
        <w:ind w:firstLine="480"/>
        <w:jc w:val="both"/>
        <w:keepLines/>
        <w:keepNext/>
        <w:spacing w:beforeAutospacing="0" w:afterAutospacing="0"/>
        <w:rPr>
          <w:rFonts w:hint="eastAsia" w:ascii="宋体" w:hAnsi="宋体" w:eastAsia="宋体" w:cs="宋体"/>
          <w:sz w:val="24"/>
          <w:szCs w:val="24"/>
          <w:highlight w:val="none"/>
        </w:rPr>
      </w:pPr>
      <w:r/>
      <w:bookmarkStart w:id="83" w:name="_Toc513029215"/>
      <w:r/>
      <w:bookmarkStart w:id="84" w:name="_Toc462564074"/>
      <w:r/>
      <w:bookmarkStart w:id="85" w:name="_Toc20823287"/>
      <w:r/>
      <w:bookmarkStart w:id="86" w:name="_Toc16938531"/>
      <w:r>
        <w:rPr>
          <w:rFonts w:hint="eastAsia" w:ascii="宋体" w:hAnsi="宋体" w:eastAsia="宋体" w:cs="宋体"/>
          <w:color w:val="000000"/>
          <w:sz w:val="24"/>
          <w:szCs w:val="24"/>
          <w:highlight w:val="none"/>
        </w:rPr>
        <w:t xml:space="preserve">10、投标文件构成</w:t>
      </w:r>
      <w:bookmarkEnd w:id="83"/>
      <w:r/>
      <w:bookmarkEnd w:id="84"/>
      <w:r/>
      <w:bookmarkEnd w:id="85"/>
      <w:r/>
      <w:bookmarkEnd w:id="86"/>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872"/>
        <w:ind w:firstLine="480"/>
        <w:jc w:val="both"/>
        <w:keepLines/>
        <w:keepNext/>
        <w:spacing w:beforeAutospacing="0" w:afterAutospacing="0"/>
        <w:rPr>
          <w:rFonts w:hint="eastAsia" w:ascii="宋体" w:hAnsi="宋体" w:eastAsia="宋体" w:cs="宋体"/>
          <w:sz w:val="24"/>
          <w:szCs w:val="24"/>
          <w:highlight w:val="none"/>
        </w:rPr>
      </w:pPr>
      <w:r/>
      <w:bookmarkStart w:id="87" w:name="_Toc49090507"/>
      <w:r/>
      <w:bookmarkStart w:id="88" w:name="_Toc14577357"/>
      <w:r/>
      <w:bookmarkStart w:id="89" w:name="_Toc513029219"/>
      <w:r/>
      <w:bookmarkStart w:id="90" w:name="_Toc513029216"/>
      <w:r/>
      <w:bookmarkStart w:id="91" w:name="_Toc14577354"/>
      <w:r/>
      <w:bookmarkStart w:id="92" w:name="_Toc49090509"/>
      <w:r/>
      <w:bookmarkStart w:id="93" w:name="_Hlt26670360"/>
      <w:r/>
      <w:bookmarkStart w:id="94" w:name="_Hlt26668975"/>
      <w:r/>
      <w:bookmarkStart w:id="95" w:name="_Hlt26954838"/>
      <w:r>
        <w:rPr>
          <w:rFonts w:hint="eastAsia" w:ascii="宋体" w:hAnsi="宋体" w:eastAsia="宋体" w:cs="宋体"/>
          <w:color w:val="000000"/>
          <w:sz w:val="24"/>
          <w:szCs w:val="24"/>
          <w:highlight w:val="none"/>
        </w:rPr>
        <w:t xml:space="preserve">11、证明投标人及投标标的符合招标文件规定的文件</w:t>
      </w:r>
      <w:bookmarkEnd w:id="87"/>
      <w:r/>
      <w:bookmarkEnd w:id="88"/>
      <w:r/>
      <w:bookmarkEnd w:id="89"/>
      <w:r/>
      <w:bookmarkEnd w:id="90"/>
      <w:r/>
      <w:bookmarkEnd w:id="91"/>
      <w:r/>
      <w:bookmarkEnd w:id="92"/>
      <w:r/>
      <w:r/>
    </w:p>
    <w:p>
      <w:pPr>
        <w:pStyle w:val="872"/>
        <w:ind w:firstLine="480"/>
        <w:jc w:val="both"/>
        <w:spacing w:beforeAutospacing="0" w:afterAutospacing="0" w:line="0" w:lineRule="atLeast"/>
        <w:rPr>
          <w:rFonts w:hint="eastAsia" w:ascii="宋体" w:hAnsi="宋体" w:eastAsia="宋体" w:cs="宋体"/>
          <w:sz w:val="24"/>
          <w:szCs w:val="24"/>
          <w:highlight w:val="none"/>
        </w:rPr>
      </w:pPr>
      <w:r/>
      <w:bookmarkStart w:id="96" w:name="_Toc49090508"/>
      <w:r/>
      <w:bookmarkStart w:id="97" w:name="_Toc14577355"/>
      <w:r>
        <w:rPr>
          <w:rFonts w:hint="eastAsia" w:ascii="宋体" w:hAnsi="宋体" w:eastAsia="宋体" w:cs="宋体"/>
          <w:color w:val="000000"/>
          <w:sz w:val="24"/>
          <w:szCs w:val="24"/>
          <w:highlight w:val="none"/>
        </w:rPr>
        <w:t xml:space="preserve">11.1投标人应按照法律、法规、规章和规范性文件以及招标文件要求提交证明文件，证明其及投标标的符合招标文件规定。</w:t>
      </w:r>
      <w:bookmarkEnd w:id="96"/>
      <w:r/>
      <w:bookmarkEnd w:id="97"/>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872"/>
        <w:ind w:firstLine="48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bookmarkStart w:id="98" w:name="_Hlt26670373"/>
      <w:r>
        <w:rPr>
          <w:rFonts w:hint="eastAsia" w:ascii="宋体" w:hAnsi="宋体" w:eastAsia="宋体" w:cs="宋体"/>
          <w:color w:val="000000"/>
          <w:sz w:val="24"/>
          <w:szCs w:val="24"/>
          <w:highlight w:val="none"/>
        </w:rPr>
        <w:t xml:space="preserve">表</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99" w:name="_Hlt26954840"/>
      <w:r>
        <w:rPr>
          <w:rFonts w:hint="eastAsia" w:ascii="宋体" w:hAnsi="宋体" w:eastAsia="宋体" w:cs="宋体"/>
          <w:color w:val="000000"/>
          <w:sz w:val="24"/>
          <w:szCs w:val="24"/>
          <w:highlight w:val="none"/>
        </w:rPr>
        <w:t xml:space="preserve">标人应按照招标文件规定格式填报投标分项报价表</w:t>
      </w:r>
      <w:bookmarkStart w:id="100" w:name="_Hlt26670399"/>
      <w:r>
        <w:rPr>
          <w:rFonts w:hint="eastAsia" w:ascii="宋体" w:hAnsi="宋体" w:eastAsia="宋体" w:cs="宋体"/>
          <w:color w:val="000000"/>
          <w:sz w:val="24"/>
          <w:szCs w:val="24"/>
          <w:highlight w:val="none"/>
        </w:rPr>
        <w:t xml:space="preserve">。</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872"/>
        <w:ind w:firstLine="480"/>
        <w:jc w:val="both"/>
        <w:keepLines/>
        <w:keepNext/>
        <w:spacing w:beforeAutospacing="0" w:afterAutospacing="0"/>
        <w:rPr>
          <w:rFonts w:hint="eastAsia" w:ascii="宋体" w:hAnsi="宋体" w:eastAsia="宋体" w:cs="宋体"/>
          <w:sz w:val="24"/>
          <w:szCs w:val="24"/>
          <w:highlight w:val="none"/>
        </w:rPr>
      </w:pPr>
      <w:r/>
      <w:bookmarkStart w:id="101" w:name="_Hlt26670486"/>
      <w:r/>
      <w:bookmarkStart w:id="102" w:name="_Hlt26954844"/>
      <w:r/>
      <w:bookmarkStart w:id="103" w:name="_Hlt26670425"/>
      <w:r/>
      <w:bookmarkStart w:id="104" w:name="_Hlt26954848"/>
      <w:r/>
      <w:bookmarkStart w:id="105" w:name="_Hlt26954842"/>
      <w:r/>
      <w:bookmarkStart w:id="106" w:name="_Hlt26668983"/>
      <w:r/>
      <w:bookmarkStart w:id="107" w:name="_Hlt26670482"/>
      <w:r/>
      <w:bookmarkStart w:id="108" w:name="_Hlt26954846"/>
      <w:r/>
      <w:bookmarkStart w:id="109" w:name="_Hlt26670403"/>
      <w:r/>
      <w:bookmarkStart w:id="110" w:name="_Hlt26954731"/>
      <w:r>
        <w:rPr>
          <w:rFonts w:hint="eastAsia" w:ascii="宋体" w:hAnsi="宋体" w:eastAsia="宋体" w:cs="宋体"/>
          <w:color w:val="000000"/>
          <w:sz w:val="24"/>
          <w:szCs w:val="24"/>
          <w:highlight w:val="none"/>
        </w:rPr>
        <w:t xml:space="preserve">13、技术要求响应及偏离表、商务要求响应及偏离表</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872"/>
        <w:ind w:firstLine="480"/>
        <w:jc w:val="both"/>
        <w:spacing w:beforeAutospacing="0" w:afterAutospacing="0" w:line="0" w:lineRule="atLeast"/>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872"/>
        <w:ind w:firstLine="480"/>
        <w:jc w:val="both"/>
        <w:keepLines/>
        <w:keepNext/>
        <w:spacing w:beforeAutospacing="0" w:afterAutospacing="0"/>
        <w:rPr>
          <w:rFonts w:hint="eastAsia" w:ascii="宋体" w:hAnsi="宋体" w:eastAsia="宋体" w:cs="宋体"/>
          <w:sz w:val="24"/>
          <w:szCs w:val="24"/>
          <w:highlight w:val="none"/>
        </w:rPr>
      </w:pPr>
      <w:r/>
      <w:bookmarkStart w:id="111" w:name="_Toc49090510"/>
      <w:r/>
      <w:bookmarkStart w:id="112" w:name="_Toc14577359"/>
      <w:r>
        <w:rPr>
          <w:rFonts w:hint="eastAsia" w:ascii="宋体" w:hAnsi="宋体" w:eastAsia="宋体" w:cs="宋体"/>
          <w:color w:val="000000"/>
          <w:sz w:val="24"/>
          <w:szCs w:val="24"/>
          <w:highlight w:val="none"/>
        </w:rPr>
        <w:t xml:space="preserve">14、投标函和开标一览表</w:t>
      </w:r>
      <w:bookmarkEnd w:id="111"/>
      <w:r/>
      <w:bookmarkEnd w:id="112"/>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872"/>
        <w:ind w:firstLine="480"/>
        <w:jc w:val="both"/>
        <w:keepLines/>
        <w:keepNext/>
        <w:spacing w:beforeAutospacing="0" w:afterAutospacing="0"/>
        <w:rPr>
          <w:rFonts w:hint="eastAsia" w:ascii="宋体" w:hAnsi="宋体" w:eastAsia="宋体" w:cs="宋体"/>
          <w:sz w:val="24"/>
          <w:szCs w:val="24"/>
          <w:highlight w:val="none"/>
        </w:rPr>
      </w:pPr>
      <w:r/>
      <w:bookmarkStart w:id="113" w:name="_Toc49090511"/>
      <w:r/>
      <w:bookmarkStart w:id="114" w:name="_Toc14577360"/>
      <w:r/>
      <w:bookmarkStart w:id="115" w:name="_Hlt26954734"/>
      <w:r/>
      <w:bookmarkStart w:id="116" w:name="_Hlt26670489"/>
      <w:r/>
      <w:bookmarkStart w:id="117" w:name="_Hlt26954850"/>
      <w:r>
        <w:rPr>
          <w:rFonts w:hint="eastAsia" w:ascii="宋体" w:hAnsi="宋体" w:eastAsia="宋体" w:cs="宋体"/>
          <w:color w:val="000000"/>
          <w:sz w:val="24"/>
          <w:szCs w:val="24"/>
          <w:highlight w:val="none"/>
        </w:rPr>
        <w:t xml:space="preserve">15、投标有效期</w:t>
      </w:r>
      <w:bookmarkEnd w:id="113"/>
      <w:r/>
      <w:bookmarkEnd w:id="114"/>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15.1投标有效期为采购人规定的开标之日后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872"/>
        <w:ind w:firstLine="48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72"/>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18" w:name="_Toc16938540"/>
      <w:r/>
      <w:bookmarkStart w:id="119" w:name="_Toc20823296"/>
      <w:r/>
      <w:bookmarkStart w:id="120" w:name="_Toc513029224"/>
      <w:r/>
      <w:bookmarkStart w:id="121" w:name="_Toc120614217"/>
      <w:r/>
      <w:bookmarkStart w:id="122" w:name="_Hlt26954739"/>
      <w:r/>
      <w:bookmarkStart w:id="123" w:name="_Hlt26954852"/>
      <w:r>
        <w:rPr>
          <w:rFonts w:hint="eastAsia" w:ascii="宋体" w:hAnsi="宋体" w:eastAsia="宋体" w:cs="宋体"/>
          <w:b/>
          <w:color w:val="000000"/>
          <w:sz w:val="24"/>
          <w:szCs w:val="24"/>
          <w:highlight w:val="none"/>
        </w:rPr>
        <w:t xml:space="preserve">四、投标文件的递交</w:t>
      </w:r>
      <w:bookmarkEnd w:id="118"/>
      <w:r/>
      <w:bookmarkEnd w:id="119"/>
      <w:r/>
      <w:bookmarkEnd w:id="120"/>
      <w:r/>
      <w:bookmarkEnd w:id="121"/>
      <w:r/>
      <w:r/>
    </w:p>
    <w:p>
      <w:pPr>
        <w:pStyle w:val="872"/>
        <w:ind w:firstLine="480"/>
        <w:jc w:val="both"/>
        <w:keepLines/>
        <w:keepNext/>
        <w:spacing w:beforeAutospacing="0" w:afterAutospacing="0"/>
        <w:rPr>
          <w:rFonts w:hint="eastAsia" w:ascii="宋体" w:hAnsi="宋体" w:eastAsia="宋体" w:cs="宋体"/>
          <w:sz w:val="24"/>
          <w:szCs w:val="24"/>
          <w:highlight w:val="none"/>
        </w:rPr>
      </w:pPr>
      <w:r/>
      <w:bookmarkStart w:id="124" w:name="_Toc16938541"/>
      <w:r/>
      <w:bookmarkStart w:id="125" w:name="_Toc513029225"/>
      <w:r/>
      <w:bookmarkStart w:id="126" w:name="_Toc20823297"/>
      <w:r/>
      <w:bookmarkStart w:id="127" w:name="_Toc462564084"/>
      <w:r>
        <w:rPr>
          <w:rFonts w:hint="eastAsia" w:ascii="宋体" w:hAnsi="宋体" w:eastAsia="宋体" w:cs="宋体"/>
          <w:color w:val="000000"/>
          <w:sz w:val="24"/>
          <w:szCs w:val="24"/>
          <w:highlight w:val="none"/>
        </w:rPr>
        <w:t xml:space="preserve">17、投标文件</w:t>
      </w:r>
      <w:bookmarkEnd w:id="124"/>
      <w:r/>
      <w:bookmarkEnd w:id="125"/>
      <w:r/>
      <w:bookmarkEnd w:id="126"/>
      <w:r/>
      <w:bookmarkEnd w:id="127"/>
      <w:r>
        <w:rPr>
          <w:rFonts w:hint="eastAsia" w:ascii="宋体" w:hAnsi="宋体" w:eastAsia="宋体" w:cs="宋体"/>
          <w:color w:val="000000"/>
          <w:sz w:val="24"/>
          <w:szCs w:val="24"/>
          <w:highlight w:val="none"/>
        </w:rPr>
        <w:t xml:space="preserve">的递交</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872"/>
        <w:ind w:left="525"/>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pStyle w:val="872"/>
        <w:ind w:firstLine="480"/>
        <w:jc w:val="both"/>
        <w:keepLines/>
        <w:keepNext/>
        <w:spacing w:before="280" w:beforeAutospacing="0" w:after="290" w:afterAutospacing="0" w:line="37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18.2采购人可以按照规定，通过修改招标文件酌情延长投标截止时间，在此情况下，投标人的所有权利和义务以及投标人受制的截止时间均应以延长后新的截止时间为准。</w:t>
      </w:r>
      <w:r/>
    </w:p>
    <w:p>
      <w:pPr>
        <w:pStyle w:val="872"/>
        <w:ind w:firstLine="480"/>
        <w:jc w:val="both"/>
        <w:keepLines/>
        <w:keepNext/>
        <w:spacing w:beforeAutospacing="0" w:afterAutospacing="0"/>
        <w:rPr>
          <w:rFonts w:hint="eastAsia" w:ascii="宋体" w:hAnsi="宋体" w:eastAsia="宋体" w:cs="宋体"/>
          <w:sz w:val="24"/>
          <w:szCs w:val="24"/>
          <w:highlight w:val="none"/>
        </w:rPr>
      </w:pPr>
      <w:r/>
      <w:bookmarkStart w:id="131" w:name="_Toc513029227"/>
      <w:r/>
      <w:bookmarkStart w:id="132" w:name="_Toc16938543"/>
      <w:r/>
      <w:bookmarkStart w:id="133" w:name="_Toc20823299"/>
      <w:r>
        <w:rPr>
          <w:rFonts w:hint="eastAsia" w:ascii="宋体" w:hAnsi="宋体" w:eastAsia="宋体" w:cs="宋体"/>
          <w:color w:val="000000"/>
          <w:sz w:val="24"/>
          <w:szCs w:val="24"/>
          <w:highlight w:val="none"/>
        </w:rPr>
        <w:t xml:space="preserve">19、投标文件</w:t>
      </w:r>
      <w:bookmarkEnd w:id="131"/>
      <w:r/>
      <w:bookmarkEnd w:id="132"/>
      <w:r/>
      <w:bookmarkEnd w:id="133"/>
      <w:r>
        <w:rPr>
          <w:rFonts w:hint="eastAsia" w:ascii="宋体" w:hAnsi="宋体" w:eastAsia="宋体" w:cs="宋体"/>
          <w:color w:val="000000"/>
          <w:sz w:val="24"/>
          <w:szCs w:val="24"/>
          <w:highlight w:val="none"/>
        </w:rPr>
        <w:t xml:space="preserve">的拒收</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19.1采购人拒绝接收在其规定的投标截止时间后上传的任何投标文件。</w:t>
      </w:r>
      <w:r/>
    </w:p>
    <w:p>
      <w:pPr>
        <w:pStyle w:val="872"/>
        <w:ind w:firstLine="480"/>
        <w:jc w:val="both"/>
        <w:keepLines/>
        <w:keepNext/>
        <w:spacing w:beforeAutospacing="0" w:afterAutospacing="0"/>
        <w:rPr>
          <w:rFonts w:hint="eastAsia" w:ascii="宋体" w:hAnsi="宋体" w:eastAsia="宋体" w:cs="宋体"/>
          <w:sz w:val="24"/>
          <w:szCs w:val="24"/>
          <w:highlight w:val="none"/>
        </w:rPr>
      </w:pPr>
      <w:r/>
      <w:bookmarkStart w:id="134" w:name="_Toc16938544"/>
      <w:r/>
      <w:bookmarkStart w:id="135" w:name="_Toc513029228"/>
      <w:r/>
      <w:bookmarkStart w:id="136" w:name="_Toc20823300"/>
      <w:r>
        <w:rPr>
          <w:rFonts w:hint="eastAsia" w:ascii="宋体" w:hAnsi="宋体" w:eastAsia="宋体" w:cs="宋体"/>
          <w:color w:val="000000"/>
          <w:sz w:val="24"/>
          <w:szCs w:val="24"/>
          <w:highlight w:val="none"/>
        </w:rPr>
        <w:t xml:space="preserve">20、投标文件的撤回和修改</w:t>
      </w:r>
      <w:bookmarkEnd w:id="134"/>
      <w:r/>
      <w:bookmarkEnd w:id="135"/>
      <w:r/>
      <w:bookmarkEnd w:id="136"/>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872"/>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37" w:name="_Toc20823301"/>
      <w:r/>
      <w:bookmarkStart w:id="138" w:name="_Toc120614218"/>
      <w:r/>
      <w:bookmarkStart w:id="139" w:name="_Toc513029229"/>
      <w:r/>
      <w:bookmarkStart w:id="140" w:name="_Toc16938545"/>
      <w:r>
        <w:rPr>
          <w:rFonts w:hint="eastAsia" w:ascii="宋体" w:hAnsi="宋体" w:eastAsia="宋体" w:cs="宋体"/>
          <w:b/>
          <w:color w:val="000000"/>
          <w:sz w:val="24"/>
          <w:szCs w:val="24"/>
          <w:highlight w:val="none"/>
        </w:rPr>
        <w:t xml:space="preserve">五、开标与评标</w:t>
      </w:r>
      <w:bookmarkEnd w:id="137"/>
      <w:r/>
      <w:bookmarkEnd w:id="138"/>
      <w:r/>
      <w:bookmarkEnd w:id="139"/>
      <w:r/>
      <w:bookmarkEnd w:id="140"/>
      <w:r/>
      <w:r/>
    </w:p>
    <w:p>
      <w:pPr>
        <w:pStyle w:val="872"/>
        <w:ind w:firstLine="480"/>
        <w:jc w:val="both"/>
        <w:keepLines/>
        <w:keepNext/>
        <w:spacing w:beforeAutospacing="0" w:afterAutospacing="0"/>
        <w:rPr>
          <w:rFonts w:hint="eastAsia" w:ascii="宋体" w:hAnsi="宋体" w:eastAsia="宋体" w:cs="宋体"/>
          <w:color w:val="auto"/>
          <w:sz w:val="24"/>
          <w:szCs w:val="24"/>
          <w:highlight w:val="none"/>
        </w:rPr>
      </w:pPr>
      <w:r/>
      <w:bookmarkStart w:id="141" w:name="_Toc16938546"/>
      <w:r/>
      <w:bookmarkStart w:id="142" w:name="_Toc513029230"/>
      <w:r/>
      <w:bookmarkStart w:id="143" w:name="_Toc20823302"/>
      <w:r>
        <w:rPr>
          <w:rFonts w:hint="eastAsia" w:ascii="宋体" w:hAnsi="宋体" w:eastAsia="宋体" w:cs="宋体"/>
          <w:color w:val="auto"/>
          <w:sz w:val="24"/>
          <w:szCs w:val="24"/>
          <w:highlight w:val="none"/>
        </w:rPr>
        <w:t xml:space="preserve">21、开标</w:t>
      </w:r>
      <w:bookmarkEnd w:id="141"/>
      <w:r/>
      <w:bookmarkEnd w:id="142"/>
      <w:r/>
      <w:bookmarkEnd w:id="143"/>
      <w:r/>
      <w:r/>
    </w:p>
    <w:p>
      <w:pPr>
        <w:pStyle w:val="872"/>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21.1采购人将在招标公告中规定的时间和地点组织公开开标。投标人应当按照《操作手册》规定，参加开标活动和在苏采云系统规定的时间内对投标文件进行解密。</w:t>
      </w:r>
      <w:r/>
    </w:p>
    <w:p>
      <w:pPr>
        <w:pStyle w:val="87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21.2开标仪式由采购人组织。苏采云系统将自动对项目进行开标，并宣布各投标人名称和投标价格。</w:t>
      </w:r>
      <w:r/>
    </w:p>
    <w:p>
      <w:pPr>
        <w:pStyle w:val="87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87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72"/>
        <w:numPr>
          <w:ilvl w:val="0"/>
          <w:numId w:val="1"/>
        </w:numPr>
        <w:ind w:firstLine="480"/>
        <w:jc w:val="both"/>
        <w:keepLines/>
        <w:keepNext/>
        <w:spacing w:beforeAutospacing="0" w:afterAutospacing="0"/>
        <w:rPr>
          <w:rFonts w:hint="eastAsia" w:ascii="宋体" w:hAnsi="宋体" w:eastAsia="宋体" w:cs="宋体"/>
          <w:color w:val="auto"/>
          <w:sz w:val="24"/>
          <w:szCs w:val="24"/>
          <w:highlight w:val="none"/>
        </w:rPr>
      </w:pPr>
      <w:r/>
      <w:bookmarkStart w:id="144" w:name="_Toc513029231"/>
      <w:r/>
      <w:bookmarkStart w:id="145" w:name="_Toc20823303"/>
      <w:r/>
      <w:bookmarkStart w:id="146" w:name="_Toc16938547"/>
      <w:r>
        <w:rPr>
          <w:rFonts w:hint="eastAsia" w:ascii="宋体" w:hAnsi="宋体" w:eastAsia="宋体" w:cs="宋体"/>
          <w:color w:val="auto"/>
          <w:sz w:val="24"/>
          <w:szCs w:val="24"/>
          <w:highlight w:val="none"/>
        </w:rPr>
        <w:t xml:space="preserve">评标委员会</w:t>
      </w:r>
      <w:bookmarkEnd w:id="144"/>
      <w:r/>
      <w:bookmarkEnd w:id="145"/>
      <w:r/>
      <w:bookmarkEnd w:id="146"/>
      <w:r/>
      <w:r/>
    </w:p>
    <w:p>
      <w:pPr>
        <w:pStyle w:val="872"/>
        <w:numPr>
          <w:ilvl w:val="0"/>
          <w:numId w:val="0"/>
        </w:numPr>
        <w:ind w:left="479" w:firstLine="0"/>
        <w:jc w:val="both"/>
        <w:keepLines/>
        <w:keepNext/>
        <w:spacing w:beforeAutospacing="0" w:afterAutospacing="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22.1开标后，采购人将立即组织评标委员会（以下简称评委会）进行评标</w:t>
      </w:r>
      <w:r>
        <w:rPr>
          <w:rFonts w:hint="eastAsia" w:ascii="宋体" w:hAnsi="宋体" w:eastAsia="宋体" w:cs="宋体"/>
          <w:color w:val="000000"/>
          <w:sz w:val="24"/>
          <w:szCs w:val="24"/>
          <w:highlight w:val="none"/>
          <w:lang w:eastAsia="zh-CN"/>
        </w:rPr>
        <w:t xml:space="preserve">。</w:t>
      </w:r>
      <w:r/>
    </w:p>
    <w:p>
      <w:pPr>
        <w:pStyle w:val="872"/>
        <w:numPr>
          <w:ilvl w:val="0"/>
          <w:numId w:val="0"/>
        </w:numPr>
        <w:ind w:firstLine="480"/>
        <w:jc w:val="left"/>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872"/>
        <w:ind w:firstLine="48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均不得向投标人或与评标无关的其他人员透露。</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87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3采购人和评标委员会不向未中标的投标人解释未中标原因，也不公布评标过程中的相关细节。</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投标人可于中标结果公告期限届满之日起通过苏采云系统查看自己的评审得分及排序情况。（提醒：经办人在“江苏政府采购网”查询到中标结果后，再点击推送。招标文件定稿后该提醒删除）</w:t>
      </w:r>
      <w:r/>
    </w:p>
    <w:p>
      <w:pPr>
        <w:pStyle w:val="872"/>
        <w:ind w:firstLine="480"/>
        <w:jc w:val="both"/>
        <w:keepLines/>
        <w:keepNext/>
        <w:spacing w:beforeAutospacing="0" w:afterAutospacing="0"/>
        <w:rPr>
          <w:rFonts w:hint="eastAsia" w:ascii="宋体" w:hAnsi="宋体" w:eastAsia="宋体" w:cs="宋体"/>
          <w:sz w:val="24"/>
          <w:szCs w:val="24"/>
          <w:highlight w:val="none"/>
        </w:rPr>
      </w:pPr>
      <w:r/>
      <w:bookmarkStart w:id="147" w:name="_Toc16938548"/>
      <w:r/>
      <w:bookmarkStart w:id="148" w:name="_Toc20823304"/>
      <w:r/>
      <w:bookmarkStart w:id="149" w:name="_Toc513029232"/>
      <w:r>
        <w:rPr>
          <w:rFonts w:hint="eastAsia" w:ascii="宋体" w:hAnsi="宋体" w:eastAsia="宋体" w:cs="宋体"/>
          <w:color w:val="000000"/>
          <w:sz w:val="24"/>
          <w:szCs w:val="24"/>
          <w:highlight w:val="none"/>
        </w:rPr>
        <w:t xml:space="preserve">24、投标文件的澄清</w:t>
      </w:r>
      <w:bookmarkEnd w:id="147"/>
      <w:r/>
      <w:bookmarkEnd w:id="148"/>
      <w:r/>
      <w:bookmarkEnd w:id="149"/>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87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87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872"/>
        <w:ind w:firstLine="480"/>
        <w:jc w:val="both"/>
        <w:keepLines/>
        <w:keepNext/>
        <w:spacing w:beforeAutospacing="0" w:afterAutospacing="0"/>
        <w:rPr>
          <w:rFonts w:hint="eastAsia" w:ascii="宋体" w:hAnsi="宋体" w:eastAsia="宋体" w:cs="宋体"/>
          <w:sz w:val="24"/>
          <w:szCs w:val="24"/>
          <w:highlight w:val="none"/>
        </w:rPr>
      </w:pPr>
      <w:r/>
      <w:bookmarkStart w:id="150" w:name="_Toc16938549"/>
      <w:r/>
      <w:bookmarkStart w:id="151" w:name="_Toc20823305"/>
      <w:r/>
      <w:bookmarkStart w:id="152" w:name="_Toc513029233"/>
      <w:r>
        <w:rPr>
          <w:rFonts w:hint="eastAsia" w:ascii="宋体" w:hAnsi="宋体" w:eastAsia="宋体" w:cs="宋体"/>
          <w:color w:val="000000"/>
          <w:sz w:val="24"/>
          <w:szCs w:val="24"/>
          <w:highlight w:val="none"/>
        </w:rPr>
        <w:t xml:space="preserve">25、对投标文件的初审</w:t>
      </w:r>
      <w:bookmarkEnd w:id="150"/>
      <w:r/>
      <w:bookmarkEnd w:id="151"/>
      <w:r/>
      <w:bookmarkEnd w:id="152"/>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7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25.1.3未通过资格审查或符合性审查的投标人，采购人将在苏采云系统中告知未通过资格审查或符合性审查的原因，评标结束后，采购人将不再告知</w:t>
      </w:r>
      <w:r>
        <w:rPr>
          <w:rFonts w:hint="eastAsia" w:ascii="宋体" w:hAnsi="宋体" w:eastAsia="宋体" w:cs="宋体"/>
          <w:color w:val="000000"/>
          <w:sz w:val="24"/>
          <w:szCs w:val="24"/>
          <w:highlight w:val="none"/>
        </w:rPr>
        <w:t xml:space="preserve">未通过资格审查和符合性审查的原因。</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87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7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72"/>
        <w:ind w:firstLine="480"/>
        <w:jc w:val="both"/>
        <w:spacing w:beforeAutospacing="0" w:afterAutospacing="0" w:line="0" w:lineRule="atLeast"/>
        <w:rPr>
          <w:rFonts w:hint="eastAsia" w:ascii="宋体" w:hAnsi="宋体" w:eastAsia="宋体" w:cs="宋体"/>
          <w:color w:val="auto"/>
          <w:sz w:val="24"/>
          <w:szCs w:val="24"/>
          <w:highlight w:val="none"/>
        </w:rPr>
      </w:pPr>
      <w:r/>
      <w:bookmarkStart w:id="153" w:name="_Toc513029234"/>
      <w:r/>
      <w:bookmarkStart w:id="154" w:name="_Toc20823306"/>
      <w:r/>
      <w:bookmarkStart w:id="155" w:name="_Toc16938550"/>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及评标委员会联系。</w:t>
      </w:r>
      <w:bookmarkEnd w:id="153"/>
      <w:r/>
      <w:bookmarkEnd w:id="154"/>
      <w:r/>
      <w:bookmarkEnd w:id="155"/>
      <w:r/>
      <w:r/>
    </w:p>
    <w:p>
      <w:pPr>
        <w:pStyle w:val="872"/>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872"/>
        <w:ind w:left="479"/>
        <w:jc w:val="both"/>
        <w:spacing w:beforeAutospacing="0" w:afterAutospacing="0" w:line="0" w:lineRule="atLeast"/>
        <w:rPr>
          <w:rFonts w:hint="eastAsia" w:ascii="宋体" w:hAnsi="宋体" w:eastAsia="宋体" w:cs="宋体"/>
          <w:color w:val="auto"/>
          <w:sz w:val="24"/>
          <w:szCs w:val="24"/>
          <w:highlight w:val="none"/>
        </w:rPr>
      </w:pPr>
      <w:r/>
      <w:bookmarkStart w:id="156" w:name="_Toc513029235"/>
      <w:r/>
      <w:bookmarkStart w:id="157" w:name="_Toc16938551"/>
      <w:r/>
      <w:bookmarkStart w:id="158" w:name="_Toc20823307"/>
      <w:r>
        <w:rPr>
          <w:rFonts w:hint="eastAsia" w:ascii="宋体" w:hAnsi="宋体" w:eastAsia="宋体" w:cs="宋体"/>
          <w:color w:val="auto"/>
          <w:sz w:val="24"/>
          <w:szCs w:val="24"/>
          <w:highlight w:val="none"/>
        </w:rPr>
        <w:t xml:space="preserve">26.1无效投标条款</w:t>
      </w:r>
      <w:bookmarkEnd w:id="156"/>
      <w:r/>
      <w:bookmarkEnd w:id="157"/>
      <w:r/>
      <w:bookmarkEnd w:id="158"/>
      <w:r/>
      <w:r/>
    </w:p>
    <w:p>
      <w:pPr>
        <w:pStyle w:val="87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7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7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7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87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72"/>
        <w:ind w:firstLine="480"/>
        <w:jc w:val="both"/>
        <w:spacing w:beforeAutospacing="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87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7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7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87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87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sz w:val="24"/>
          <w:szCs w:val="24"/>
          <w:highlight w:val="none"/>
          <w:lang w:val="en-US" w:eastAsia="zh-CN" w:bidi="ar-SA"/>
        </w:rPr>
        <w:t xml:space="preserve">。</w:t>
      </w:r>
      <w:r/>
    </w:p>
    <w:p>
      <w:pPr>
        <w:pStyle w:val="87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872"/>
        <w:ind w:right="0" w:firstLine="482"/>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72"/>
        <w:ind w:right="0" w:firstLine="482"/>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2"/>
        <w:ind w:right="0" w:firstLine="482"/>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7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7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87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87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7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87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87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7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7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87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72"/>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59" w:name="_Toc120614219"/>
      <w:r>
        <w:rPr>
          <w:rFonts w:hint="eastAsia" w:ascii="宋体" w:hAnsi="宋体" w:eastAsia="宋体" w:cs="宋体"/>
          <w:b/>
          <w:color w:val="000000"/>
          <w:sz w:val="24"/>
          <w:szCs w:val="24"/>
          <w:highlight w:val="none"/>
        </w:rPr>
        <w:t xml:space="preserve">六、定标</w:t>
      </w:r>
      <w:bookmarkEnd w:id="159"/>
      <w:r/>
      <w:r/>
    </w:p>
    <w:p>
      <w:pPr>
        <w:pStyle w:val="872"/>
        <w:ind w:firstLine="480"/>
        <w:jc w:val="both"/>
        <w:keepLines/>
        <w:keepNext/>
        <w:spacing w:beforeAutospacing="0" w:afterAutospacing="0"/>
        <w:rPr>
          <w:rFonts w:hint="eastAsia" w:ascii="宋体" w:hAnsi="宋体" w:eastAsia="宋体" w:cs="宋体"/>
          <w:sz w:val="24"/>
          <w:szCs w:val="24"/>
          <w:highlight w:val="none"/>
        </w:rPr>
      </w:pPr>
      <w:r/>
      <w:bookmarkStart w:id="160" w:name="_Toc20823310"/>
      <w:r/>
      <w:bookmarkStart w:id="161" w:name="_Toc16938554"/>
      <w:r/>
      <w:bookmarkStart w:id="162" w:name="_Toc513029238"/>
      <w:r>
        <w:rPr>
          <w:rFonts w:hint="eastAsia" w:ascii="宋体" w:hAnsi="宋体" w:eastAsia="宋体" w:cs="宋体"/>
          <w:color w:val="000000"/>
          <w:sz w:val="24"/>
          <w:szCs w:val="24"/>
          <w:highlight w:val="none"/>
        </w:rPr>
        <w:t xml:space="preserve">27、</w:t>
      </w:r>
      <w:bookmarkEnd w:id="160"/>
      <w:r>
        <w:rPr>
          <w:rFonts w:hint="eastAsia" w:ascii="宋体" w:hAnsi="宋体" w:eastAsia="宋体" w:cs="宋体"/>
          <w:color w:val="000000"/>
          <w:sz w:val="24"/>
          <w:szCs w:val="24"/>
          <w:highlight w:val="none"/>
        </w:rPr>
        <w:t xml:space="preserve">确定</w:t>
      </w:r>
      <w:bookmarkEnd w:id="161"/>
      <w:r/>
      <w:bookmarkEnd w:id="162"/>
      <w:r>
        <w:rPr>
          <w:rFonts w:hint="eastAsia" w:ascii="宋体" w:hAnsi="宋体" w:eastAsia="宋体" w:cs="宋体"/>
          <w:color w:val="000000"/>
          <w:sz w:val="24"/>
          <w:szCs w:val="24"/>
          <w:highlight w:val="none"/>
        </w:rPr>
        <w:t xml:space="preserve">中标单位</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27.3采购人将在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行贿或者提供其他不正当利益的。</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872"/>
        <w:ind w:firstLine="480"/>
        <w:jc w:val="both"/>
        <w:spacing w:beforeAutospacing="0" w:afterAutospacing="0" w:line="0" w:lineRule="atLeast"/>
        <w:rPr>
          <w:rFonts w:hint="eastAsia" w:ascii="宋体" w:hAnsi="宋体" w:eastAsia="宋体" w:cs="宋体"/>
          <w:sz w:val="24"/>
          <w:szCs w:val="24"/>
          <w:highlight w:val="none"/>
        </w:rPr>
      </w:pPr>
      <w:r/>
      <w:bookmarkStart w:id="163" w:name="_Toc200451960"/>
      <w:r>
        <w:rPr>
          <w:rFonts w:hint="eastAsia" w:ascii="宋体" w:hAnsi="宋体" w:eastAsia="宋体" w:cs="宋体"/>
          <w:color w:val="000000"/>
          <w:sz w:val="24"/>
          <w:szCs w:val="24"/>
          <w:highlight w:val="none"/>
        </w:rPr>
        <w:t xml:space="preserve">27.5 有下列情形之一的，视为投标人串通投标，投标无效：</w:t>
      </w:r>
      <w:bookmarkEnd w:id="163"/>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872"/>
        <w:ind w:firstLine="48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72"/>
        <w:ind w:firstLine="482"/>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提出，由采购人负责答复。</w:t>
      </w:r>
      <w:r/>
    </w:p>
    <w:p>
      <w:pPr>
        <w:ind w:firstLine="480"/>
        <w:jc w:val="left"/>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采购人只接收以纸质原件形式送达的质疑,采购人不接受未填写快递运单的快件。</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872"/>
        <w:ind w:firstLine="46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72"/>
        <w:ind w:firstLine="48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87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29.l中标结果确定后，采购人将向中标人发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87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4" w:name="_Toc20823308"/>
      <w:r/>
      <w:bookmarkStart w:id="165" w:name="_Toc16938552"/>
      <w:r/>
      <w:bookmarkStart w:id="166" w:name="_Toc120614220"/>
      <w:r/>
      <w:bookmarkStart w:id="167" w:name="_Toc513029236"/>
      <w:r>
        <w:rPr>
          <w:rFonts w:hint="eastAsia" w:ascii="宋体" w:hAnsi="宋体" w:eastAsia="宋体" w:cs="宋体"/>
          <w:b/>
          <w:color w:val="000000"/>
          <w:sz w:val="24"/>
          <w:szCs w:val="24"/>
          <w:highlight w:val="none"/>
        </w:rPr>
        <w:t xml:space="preserve">七、授予合同</w:t>
      </w:r>
      <w:bookmarkEnd w:id="164"/>
      <w:r/>
      <w:bookmarkEnd w:id="165"/>
      <w:r/>
      <w:bookmarkEnd w:id="166"/>
      <w:r/>
      <w:bookmarkEnd w:id="167"/>
      <w:r/>
      <w:r/>
    </w:p>
    <w:p>
      <w:pPr>
        <w:pStyle w:val="872"/>
        <w:ind w:firstLine="480"/>
        <w:jc w:val="both"/>
        <w:keepLines/>
        <w:keepNext/>
        <w:spacing w:beforeAutospacing="0" w:afterAutospacing="0"/>
        <w:rPr>
          <w:rFonts w:hint="eastAsia" w:ascii="宋体" w:hAnsi="宋体" w:eastAsia="宋体" w:cs="宋体"/>
          <w:sz w:val="24"/>
          <w:szCs w:val="24"/>
          <w:highlight w:val="none"/>
        </w:rPr>
      </w:pPr>
      <w:r/>
      <w:bookmarkStart w:id="168" w:name="_Toc20823309"/>
      <w:r/>
      <w:bookmarkStart w:id="169" w:name="_Toc16938553"/>
      <w:r/>
      <w:bookmarkStart w:id="170" w:name="_Toc513029237"/>
      <w:r>
        <w:rPr>
          <w:rFonts w:hint="eastAsia" w:ascii="宋体" w:hAnsi="宋体" w:eastAsia="宋体" w:cs="宋体"/>
          <w:color w:val="000000"/>
          <w:sz w:val="24"/>
          <w:szCs w:val="24"/>
          <w:highlight w:val="none"/>
        </w:rPr>
        <w:t xml:space="preserve">30.签订合同</w:t>
      </w:r>
      <w:bookmarkEnd w:id="168"/>
      <w:r/>
      <w:bookmarkEnd w:id="169"/>
      <w:r/>
      <w:bookmarkEnd w:id="170"/>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70c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w:t>
      </w:r>
      <w:bookmarkStart w:id="199" w:name="_GoBack"/>
      <w:r/>
      <w:bookmarkEnd w:id="199"/>
      <w:r>
        <w:rPr>
          <w:rFonts w:hint="eastAsia" w:ascii="宋体" w:hAnsi="宋体" w:eastAsia="宋体" w:cs="宋体"/>
          <w:color w:val="000000"/>
          <w:sz w:val="24"/>
          <w:szCs w:val="24"/>
          <w:highlight w:val="none"/>
        </w:rPr>
        <w:t xml:space="preserve">分包造成采购人损失的，中标人应承担相应赔偿责任。</w:t>
      </w:r>
      <w:r/>
    </w:p>
    <w:p>
      <w:pPr>
        <w:pStyle w:val="872"/>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（备注：项目经办人在发标前应与采购人商定是否允许中标人分包履行合同，确定后该备注删除）</w:t>
      </w:r>
      <w:r/>
    </w:p>
    <w:p>
      <w:pPr>
        <w:pStyle w:val="872"/>
        <w:ind w:firstLine="48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72"/>
        <w:ind w:firstLine="48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872"/>
        <w:ind w:firstLine="48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872"/>
        <w:ind w:firstLine="48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32.8履约保证金政策</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如以履约保函（保险）形式缴纳履约保证金，供应商可通过政府采购电子履约保函（保险）平台（www.jsdzbh.com）在线申请履约保函（保险）。</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w:t>
      </w:r>
      <w:r>
        <w:rPr>
          <w:rFonts w:hint="eastAsia" w:ascii="宋体" w:hAnsi="宋体" w:eastAsia="宋体" w:cs="宋体"/>
          <w:color w:val="000000"/>
          <w:sz w:val="24"/>
          <w:szCs w:val="24"/>
          <w:highlight w:val="none"/>
          <w:u w:val="single"/>
          <w:lang w:val="en-US" w:eastAsia="zh-CN"/>
        </w:rPr>
        <w:t xml:space="preserve">30 </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lang w:val="en-US" w:eastAsia="zh-CN"/>
        </w:rPr>
      </w:r>
      <w:r/>
    </w:p>
    <w:p>
      <w:pPr>
        <w:pStyle w:val="872"/>
        <w:jc w:val="both"/>
        <w:spacing w:beforeAutospacing="0" w:afterAutospacing="0"/>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t xml:space="preserve">34.代理服务费</w:t>
      </w:r>
      <w:r>
        <w:rPr>
          <w:rFonts w:hint="eastAsia" w:ascii="宋体" w:hAnsi="宋体" w:eastAsia="宋体" w:cs="宋体"/>
          <w:sz w:val="24"/>
          <w:szCs w:val="24"/>
          <w:highlight w:val="none"/>
        </w:rPr>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本项目代理服务费由招标人支付。</w:t>
      </w:r>
      <w:r>
        <w:rPr>
          <w:rFonts w:hint="eastAsia" w:ascii="宋体" w:hAnsi="宋体" w:eastAsia="宋体" w:cs="宋体"/>
          <w:sz w:val="24"/>
          <w:szCs w:val="24"/>
          <w:highlight w:val="none"/>
        </w:rPr>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keepLines w:val="0"/>
        <w:keepNext w:val="0"/>
        <w:pageBreakBefore w:val="0"/>
        <w:spacing w:line="500" w:lineRule="exact"/>
        <w:widowControl w:val="off"/>
        <w:rPr>
          <w:sz w:val="24"/>
          <w:szCs w:val="24"/>
          <w:highlight w:val="none"/>
        </w:rPr>
      </w:pPr>
      <w:r>
        <w:rPr>
          <w:rFonts w:hint="eastAsia" w:ascii="黑体" w:hAnsi="宋体" w:eastAsia="黑体" w:cs="黑体"/>
          <w:color w:val="000000"/>
          <w:sz w:val="24"/>
          <w:szCs w:val="24"/>
          <w:highlight w:val="none"/>
        </w:rPr>
        <w:t xml:space="preserve">第三章  合同文本</w:t>
      </w:r>
      <w:r/>
    </w:p>
    <w:p>
      <w:pPr>
        <w:pStyle w:val="872"/>
        <w:ind w:firstLine="480"/>
        <w:jc w:val="both"/>
        <w:keepLines w:val="0"/>
        <w:keepNext w:val="0"/>
        <w:pageBreakBefore w:val="0"/>
        <w:spacing w:beforeAutospacing="0" w:afterAutospacing="0" w:line="500" w:lineRule="exact"/>
        <w:widowControl w:val="off"/>
        <w:rPr>
          <w:sz w:val="24"/>
          <w:szCs w:val="24"/>
          <w:highlight w:val="none"/>
        </w:rPr>
      </w:pPr>
      <w:r/>
      <w:bookmarkStart w:id="171" w:name="_Toc20823315"/>
      <w:r/>
      <w:bookmarkStart w:id="172" w:name="_Toc513029243"/>
      <w:r/>
      <w:bookmarkStart w:id="173" w:name="_Toc16938559"/>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71"/>
      <w:r/>
      <w:bookmarkEnd w:id="172"/>
      <w:r/>
      <w:bookmarkEnd w:id="173"/>
      <w:r/>
      <w:r/>
    </w:p>
    <w:p>
      <w:pPr>
        <w:pStyle w:val="872"/>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872"/>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pStyle w:val="87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项目编号：</w:t>
      </w:r>
      <w:r/>
    </w:p>
    <w:p>
      <w:pPr>
        <w:pStyle w:val="87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甲方：（买方）_________</w:t>
      </w:r>
      <w:r/>
    </w:p>
    <w:p>
      <w:pPr>
        <w:pStyle w:val="87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乙方：（卖方）_________</w:t>
      </w:r>
      <w:r/>
    </w:p>
    <w:p>
      <w:pPr>
        <w:pStyle w:val="872"/>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项目公开招标的结果，签署本合同。</w:t>
      </w:r>
      <w:r/>
    </w:p>
    <w:p>
      <w:pPr>
        <w:pStyle w:val="872"/>
        <w:ind w:firstLine="48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一、合同内容</w:t>
      </w:r>
      <w:r/>
    </w:p>
    <w:p>
      <w:pPr>
        <w:pStyle w:val="872"/>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000000"/>
          <w:sz w:val="24"/>
          <w:szCs w:val="24"/>
          <w:highlight w:val="none"/>
        </w:rPr>
        <w:t xml:space="preserve">1.1 标的名称</w:t>
      </w:r>
      <w:r>
        <w:rPr>
          <w:rFonts w:hint="eastAsia" w:ascii="宋体" w:hAnsi="宋体" w:eastAsia="宋体" w:cs="宋体"/>
          <w:color w:val="auto"/>
          <w:sz w:val="24"/>
          <w:szCs w:val="24"/>
          <w:highlight w:val="none"/>
        </w:rPr>
        <w:t xml:space="preserve">：东台市卫健委2026年度数据中心托管、运维项目</w:t>
      </w:r>
      <w:r/>
    </w:p>
    <w:p>
      <w:pPr>
        <w:pStyle w:val="872"/>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1.2标的质量：服务质量应符合国家法律法规、相关规范、行业标准要求。</w:t>
      </w:r>
      <w:r/>
    </w:p>
    <w:p>
      <w:pPr>
        <w:pStyle w:val="872"/>
        <w:ind w:firstLine="480"/>
        <w:jc w:val="both"/>
        <w:keepLines w:val="0"/>
        <w:keepNext w:val="0"/>
        <w:pageBreakBefore w:val="0"/>
        <w:spacing w:before="120" w:beforeAutospacing="0" w:after="120" w:afterAutospacing="0" w:line="500" w:lineRule="exact"/>
        <w:widowControl w:val="off"/>
        <w:rPr>
          <w:rFonts w:hint="eastAsia" w:eastAsia="宋体"/>
          <w:color w:val="auto"/>
          <w:sz w:val="24"/>
          <w:szCs w:val="24"/>
          <w:highlight w:val="none"/>
          <w:lang w:val="en-US" w:eastAsia="zh-CN"/>
        </w:rPr>
      </w:pPr>
      <w:r>
        <w:rPr>
          <w:rFonts w:hint="eastAsia" w:ascii="宋体" w:hAnsi="宋体" w:eastAsia="宋体" w:cs="宋体"/>
          <w:color w:val="auto"/>
          <w:sz w:val="24"/>
          <w:szCs w:val="24"/>
          <w:highlight w:val="none"/>
        </w:rPr>
        <w:t xml:space="preserve">1.3 标的数量（规模）：</w:t>
      </w:r>
      <w:r>
        <w:rPr>
          <w:rFonts w:hint="eastAsia" w:ascii="宋体" w:hAnsi="宋体" w:eastAsia="宋体" w:cs="宋体"/>
          <w:color w:val="auto"/>
          <w:sz w:val="24"/>
          <w:szCs w:val="24"/>
          <w:highlight w:val="none"/>
          <w:lang w:val="en-US" w:eastAsia="zh-CN"/>
        </w:rPr>
        <w:t xml:space="preserve">/</w:t>
      </w:r>
      <w:r/>
    </w:p>
    <w:p>
      <w:pPr>
        <w:pStyle w:val="872"/>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1.4 履行时间（期限）：本项目服务期为2026年7月1日至2027年6月30日。其中机房搬迁、数据中心宽带线路实施建设须在2026年7月1日前完成。 </w:t>
      </w:r>
      <w:r/>
    </w:p>
    <w:p>
      <w:pPr>
        <w:pStyle w:val="872"/>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1.5 履行地点：东台市</w:t>
      </w:r>
      <w:r/>
    </w:p>
    <w:p>
      <w:pPr>
        <w:pStyle w:val="872"/>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1.6履行方式：</w:t>
      </w:r>
      <w:r/>
    </w:p>
    <w:p>
      <w:pPr>
        <w:pStyle w:val="872"/>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872"/>
        <w:ind w:left="426" w:firstLine="1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2.1本合同金额为（大写）：____________________________________圆（_______________元）人民币或其他币种。</w:t>
      </w:r>
      <w:r/>
    </w:p>
    <w:tbl>
      <w:tblPr>
        <w:tblStyle w:val="8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1"/>
        <w:gridCol w:w="3134"/>
        <w:gridCol w:w="3002"/>
        <w:gridCol w:w="1119"/>
      </w:tblGrid>
      <w:tr>
        <w:trPr>
          <w:trHeight w:val="57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80" w:type="dxa"/>
            <w:vAlign w:val="center"/>
            <w:textDirection w:val="lrTb"/>
            <w:noWrap w:val="false"/>
          </w:tcPr>
          <w:p>
            <w:pPr>
              <w:jc w:val="center"/>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3548" w:type="dxa"/>
            <w:vAlign w:val="center"/>
            <w:textDirection w:val="lrTb"/>
            <w:noWrap w:val="false"/>
          </w:tcPr>
          <w:p>
            <w:pPr>
              <w:jc w:val="center"/>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rPr>
              <w:t xml:space="preserve">产品名称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3395" w:type="dxa"/>
            <w:vAlign w:val="center"/>
            <w:textDirection w:val="lrTb"/>
            <w:noWrap w:val="false"/>
          </w:tcPr>
          <w:p>
            <w:pPr>
              <w:jc w:val="center"/>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rPr>
              <w:t xml:space="preserve">服务要求</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223" w:type="dxa"/>
            <w:vAlign w:val="center"/>
            <w:textDirection w:val="lrTb"/>
            <w:noWrap w:val="false"/>
          </w:tcPr>
          <w:p>
            <w:pPr>
              <w:jc w:val="center"/>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rPr>
              <w:t xml:space="preserve">价格</w:t>
            </w:r>
            <w:r/>
          </w:p>
        </w:tc>
      </w:tr>
      <w:tr>
        <w:trPr>
          <w:trHeight w:val="8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80" w:type="dxa"/>
            <w:vAlign w:val="center"/>
            <w:textDirection w:val="lrTb"/>
            <w:noWrap w:val="false"/>
          </w:tcPr>
          <w:p>
            <w:pPr>
              <w:jc w:val="center"/>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48" w:type="dxa"/>
            <w:vAlign w:val="center"/>
            <w:textDirection w:val="lrTb"/>
            <w:noWrap w:val="false"/>
          </w:tcPr>
          <w:p>
            <w:pPr>
              <w:jc w:val="center"/>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rPr>
              <w:t xml:space="preserve">机房托管服务及机房搬迁服务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95" w:type="dxa"/>
            <w:vAlign w:val="center"/>
            <w:textDirection w:val="lrTb"/>
            <w:noWrap w:val="false"/>
          </w:tcPr>
          <w:p>
            <w:pPr>
              <w:jc w:val="center"/>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rPr>
              <w:t xml:space="preserve">满足招标文件及投标文件要求</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23" w:type="dxa"/>
            <w:vAlign w:val="center"/>
            <w:textDirection w:val="lrTb"/>
            <w:noWrap w:val="false"/>
          </w:tcPr>
          <w:p>
            <w:pPr>
              <w:ind w:left="-529"/>
              <w:jc w:val="center"/>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rPr>
              <w:t xml:space="preserve"> </w:t>
            </w:r>
            <w:r/>
          </w:p>
        </w:tc>
      </w:tr>
      <w:tr>
        <w:trPr>
          <w:trHeight w:val="8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80" w:type="dxa"/>
            <w:vAlign w:val="center"/>
            <w:textDirection w:val="lrTb"/>
            <w:noWrap w:val="false"/>
          </w:tcPr>
          <w:p>
            <w:pPr>
              <w:jc w:val="center"/>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48" w:type="dxa"/>
            <w:vAlign w:val="center"/>
            <w:textDirection w:val="lrTb"/>
            <w:noWrap w:val="false"/>
          </w:tcPr>
          <w:p>
            <w:pPr>
              <w:jc w:val="center"/>
              <w:spacing w:before="156" w:after="156" w:line="420" w:lineRule="atLeast"/>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rPr>
              <w:t xml:space="preserve">信息技术咨询服务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95" w:type="dxa"/>
            <w:vAlign w:val="center"/>
            <w:textDirection w:val="lrTb"/>
            <w:noWrap w:val="false"/>
          </w:tcPr>
          <w:p>
            <w:pPr>
              <w:jc w:val="center"/>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rPr>
              <w:t xml:space="preserve">满足招标文件及投标文件要求</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23" w:type="dxa"/>
            <w:vAlign w:val="center"/>
            <w:textDirection w:val="lrTb"/>
            <w:noWrap w:val="false"/>
          </w:tcPr>
          <w:p>
            <w:pPr>
              <w:ind w:left="-529"/>
              <w:jc w:val="center"/>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rPr>
              <w:t xml:space="preserve"> </w:t>
            </w:r>
            <w:r/>
          </w:p>
        </w:tc>
      </w:tr>
      <w:tr>
        <w:trPr>
          <w:trHeight w:val="8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80" w:type="dxa"/>
            <w:vAlign w:val="center"/>
            <w:textDirection w:val="lrTb"/>
            <w:noWrap w:val="false"/>
          </w:tcPr>
          <w:p>
            <w:pPr>
              <w:jc w:val="center"/>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48" w:type="dxa"/>
            <w:vAlign w:val="center"/>
            <w:textDirection w:val="lrTb"/>
            <w:noWrap w:val="false"/>
          </w:tcPr>
          <w:p>
            <w:pPr>
              <w:jc w:val="center"/>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rPr>
              <w:t xml:space="preserve">数据中心运维和卫生专网运维服务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95" w:type="dxa"/>
            <w:vAlign w:val="center"/>
            <w:textDirection w:val="lrTb"/>
            <w:noWrap w:val="false"/>
          </w:tcPr>
          <w:p>
            <w:pPr>
              <w:jc w:val="center"/>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rPr>
              <w:t xml:space="preserve">满足招标文件及投标文件要求</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23" w:type="dxa"/>
            <w:vAlign w:val="center"/>
            <w:textDirection w:val="lrTb"/>
            <w:noWrap w:val="false"/>
          </w:tcPr>
          <w:p>
            <w:pPr>
              <w:ind w:left="-529"/>
              <w:jc w:val="center"/>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rPr>
              <w:t xml:space="preserve"> </w:t>
            </w:r>
            <w:r/>
          </w:p>
        </w:tc>
      </w:tr>
      <w:tr>
        <w:trPr>
          <w:trHeight w:val="8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80" w:type="dxa"/>
            <w:vAlign w:val="center"/>
            <w:textDirection w:val="lrTb"/>
            <w:noWrap w:val="false"/>
          </w:tcPr>
          <w:p>
            <w:pPr>
              <w:jc w:val="center"/>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48" w:type="dxa"/>
            <w:vAlign w:val="center"/>
            <w:textDirection w:val="lrTb"/>
            <w:noWrap w:val="false"/>
          </w:tcPr>
          <w:p>
            <w:pPr>
              <w:jc w:val="center"/>
              <w:spacing w:before="156" w:after="156" w:line="420" w:lineRule="atLeast"/>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rPr>
              <w:t xml:space="preserve">网络安全运维服务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95" w:type="dxa"/>
            <w:vAlign w:val="center"/>
            <w:textDirection w:val="lrTb"/>
            <w:noWrap w:val="false"/>
          </w:tcPr>
          <w:p>
            <w:pPr>
              <w:jc w:val="center"/>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rPr>
              <w:t xml:space="preserve">满足招标文件及投标文件要求</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23" w:type="dxa"/>
            <w:vAlign w:val="center"/>
            <w:textDirection w:val="lrTb"/>
            <w:noWrap w:val="false"/>
          </w:tcPr>
          <w:p>
            <w:pPr>
              <w:ind w:left="-529"/>
              <w:jc w:val="center"/>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rPr>
              <w:t xml:space="preserve"> </w:t>
            </w:r>
            <w:r/>
          </w:p>
        </w:tc>
      </w:tr>
      <w:tr>
        <w:trPr>
          <w:trHeight w:val="8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80" w:type="dxa"/>
            <w:vAlign w:val="center"/>
            <w:textDirection w:val="lrTb"/>
            <w:noWrap w:val="false"/>
          </w:tcPr>
          <w:p>
            <w:pPr>
              <w:jc w:val="center"/>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48" w:type="dxa"/>
            <w:vAlign w:val="center"/>
            <w:textDirection w:val="lrTb"/>
            <w:noWrap w:val="false"/>
          </w:tcPr>
          <w:p>
            <w:pPr>
              <w:jc w:val="center"/>
              <w:spacing w:before="156" w:after="156" w:line="420" w:lineRule="atLeast"/>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rPr>
              <w:t xml:space="preserve">专线租赁服务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95" w:type="dxa"/>
            <w:vAlign w:val="center"/>
            <w:textDirection w:val="lrTb"/>
            <w:noWrap w:val="false"/>
          </w:tcPr>
          <w:p>
            <w:pPr>
              <w:jc w:val="center"/>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rPr>
              <w:t xml:space="preserve">满足招标文件及投标文件要求</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23" w:type="dxa"/>
            <w:vAlign w:val="center"/>
            <w:textDirection w:val="lrTb"/>
            <w:noWrap w:val="false"/>
          </w:tcPr>
          <w:p>
            <w:pPr>
              <w:ind w:left="-529"/>
              <w:jc w:val="center"/>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rPr>
              <w:t xml:space="preserve"> </w:t>
            </w:r>
            <w:r/>
          </w:p>
        </w:tc>
      </w:tr>
      <w:tr>
        <w:trPr>
          <w:trHeight w:val="8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80" w:type="dxa"/>
            <w:vAlign w:val="center"/>
            <w:textDirection w:val="lrTb"/>
            <w:noWrap w:val="false"/>
          </w:tcPr>
          <w:p>
            <w:pPr>
              <w:jc w:val="center"/>
              <w:spacing w:before="156" w:after="156" w:line="420" w:lineRule="atLeast"/>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48" w:type="dxa"/>
            <w:vAlign w:val="center"/>
            <w:textDirection w:val="lrTb"/>
            <w:noWrap w:val="false"/>
          </w:tcPr>
          <w:p>
            <w:pPr>
              <w:jc w:val="center"/>
              <w:spacing w:before="156" w:after="156" w:line="420" w:lineRule="atLeast"/>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rPr>
              <w:t xml:space="preserve">统一应用系统运行监测维护服务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95" w:type="dxa"/>
            <w:vAlign w:val="center"/>
            <w:textDirection w:val="lrTb"/>
            <w:noWrap w:val="false"/>
          </w:tcPr>
          <w:p>
            <w:pPr>
              <w:jc w:val="center"/>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rPr>
              <w:t xml:space="preserve">满足招标文件及投标文件要求</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23" w:type="dxa"/>
            <w:vAlign w:val="center"/>
            <w:textDirection w:val="lrTb"/>
            <w:noWrap w:val="false"/>
          </w:tcPr>
          <w:p>
            <w:pPr>
              <w:ind w:left="-529"/>
              <w:jc w:val="center"/>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rPr>
              <w:t xml:space="preserve"> </w:t>
            </w:r>
            <w:r/>
          </w:p>
        </w:tc>
      </w:tr>
      <w:tr>
        <w:trPr>
          <w:trHeight w:val="927"/>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46" w:type="dxa"/>
            <w:vAlign w:val="center"/>
            <w:textDirection w:val="lrTb"/>
            <w:noWrap w:val="false"/>
          </w:tcPr>
          <w:p>
            <w:pPr>
              <w:rPr>
                <w:rFonts w:hint="default" w:ascii="Calibri" w:hAnsi="Calibri" w:eastAsia="宋体" w:cs="Times New Roman"/>
                <w:color w:va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rPr>
              <w:t xml:space="preserve">总价：（大写）              （小写：      元）</w:t>
            </w:r>
            <w:r/>
          </w:p>
        </w:tc>
      </w:tr>
    </w:tbl>
    <w:p>
      <w:pPr>
        <w:pStyle w:val="87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人自行与东台市卫生健康委员会联系踏勘现场，掌握有关可能影响投标报价的因素和情况综合报价，投标人的报价中包括（但不限于）人工、材料、运输、安装、调试、培训、售后服务、税费、利润、风险、机房搬迁验收之日前原机房的托管服务和运维服务等全部项目的费用，服务过程中采购人不再另行支付其他任何费用。</w:t>
      </w:r>
      <w:r/>
    </w:p>
    <w:p>
      <w:pPr>
        <w:pStyle w:val="872"/>
        <w:ind w:left="426" w:firstLine="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三、技术资料</w:t>
      </w:r>
      <w:r/>
    </w:p>
    <w:p>
      <w:pPr>
        <w:pStyle w:val="872"/>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p>
    <w:p>
      <w:pPr>
        <w:pStyle w:val="872"/>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72"/>
        <w:ind w:left="426" w:firstLine="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四、知识产权</w:t>
      </w:r>
      <w:r/>
    </w:p>
    <w:p>
      <w:pPr>
        <w:ind w:firstLine="480"/>
        <w:spacing w:before="120" w:after="120" w:line="47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4.1</w:t>
      </w:r>
      <w:r>
        <w:rPr>
          <w:rFonts w:hint="default" w:ascii="宋体" w:hAnsi="宋体" w:eastAsia="宋体" w:cs="宋体"/>
          <w:color w:val="000000"/>
          <w:sz w:val="24"/>
        </w:rPr>
        <w:t xml:space="preserve">乙方应保证整个项目建设中所提供的软硬件产品免受第三方提出的侵犯其专利权、版权和使用权等知识产权的索赔或诉讼。即保证软硬件设备建设和运维过程采用的第三方软件、中间件、组件、工具、授权等，由乙方保证甲方具有合法使用权和及时更新权，乙方提供相应服务。涉及第三方产品的开发、部署、安全等事务全部由乙方负责。如有任何上述纠纷或指控，乙方应独自承担可能发生的一切法律责任和费用，与采购人无关，因以上纠纷给采购人造成的损失由中标方承担赔偿责任。</w:t>
      </w:r>
      <w:r/>
    </w:p>
    <w:p>
      <w:pPr>
        <w:ind w:firstLine="480"/>
        <w:spacing w:before="120" w:after="120" w:line="47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4.2项目期间所产生的相关文档、系统资料和数据的所有权均归属于甲方，乙方不得私自保存、发布及用于其他途径，如发现违规行为，按相关法律追究责任。</w:t>
      </w:r>
      <w:r/>
    </w:p>
    <w:p>
      <w:pPr>
        <w:pStyle w:val="872"/>
        <w:ind w:firstLine="48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五、产权担保</w:t>
      </w:r>
      <w:r/>
    </w:p>
    <w:p>
      <w:pPr>
        <w:pStyle w:val="872"/>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pStyle w:val="872"/>
        <w:numPr>
          <w:ilvl w:val="0"/>
          <w:numId w:val="2"/>
        </w:numPr>
        <w:ind w:left="410" w:hanging="410"/>
        <w:jc w:val="both"/>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履约保证金</w:t>
      </w:r>
      <w:r/>
    </w:p>
    <w:p>
      <w:pPr>
        <w:pStyle w:val="872"/>
        <w:numPr>
          <w:ilvl w:val="0"/>
          <w:numId w:val="0"/>
        </w:numPr>
        <w:ind w:firstLine="480"/>
        <w:jc w:val="both"/>
        <w:keepLines w:val="0"/>
        <w:keepNext w:val="0"/>
        <w:pageBreakBefore w:val="0"/>
        <w:spacing w:before="120" w:beforeAutospacing="0" w:after="120" w:afterAutospacing="0" w:line="5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6.1乙方交纳人民币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highlight w:val="yellow"/>
          <w:u w:val="single"/>
        </w:rPr>
        <w:t xml:space="preserve">中标价</w:t>
      </w:r>
      <w:r>
        <w:rPr>
          <w:rFonts w:hint="eastAsia" w:ascii="宋体" w:hAnsi="宋体" w:eastAsia="宋体" w:cs="宋体"/>
          <w:highlight w:val="yellow"/>
          <w:u w:val="single"/>
          <w:lang w:eastAsia="zh-CN"/>
        </w:rPr>
        <w:t xml:space="preserve">的</w:t>
      </w:r>
      <w:r>
        <w:rPr>
          <w:rFonts w:hint="eastAsia" w:ascii="宋体" w:hAnsi="宋体" w:eastAsia="宋体" w:cs="宋体"/>
          <w:highlight w:val="yellow"/>
          <w:u w:val="single"/>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元作为本合同的履约保证金。</w:t>
      </w:r>
      <w:r/>
    </w:p>
    <w:p>
      <w:pPr>
        <w:pStyle w:val="872"/>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（备注：不得超过合同金额的10%，采购人应当对AA评级及以上政府采购供应商（需提供信用管理部门备案的第三方信用报告）免收履约保证金或降低履约保证金缴纳比例。）</w:t>
      </w:r>
      <w:r/>
    </w:p>
    <w:p>
      <w:pPr>
        <w:pStyle w:val="872"/>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872"/>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872"/>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872"/>
        <w:ind w:left="428" w:firstLine="14"/>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24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24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ind w:firstLine="24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ind w:firstLine="24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ind w:firstLine="24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ind w:firstLine="24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82"/>
        <w:spacing w:before="120" w:after="120" w:line="479"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七、</w:t>
      </w:r>
      <w:r>
        <w:rPr>
          <w:rFonts w:hint="eastAsia" w:ascii="宋体" w:hAnsi="宋体" w:eastAsia="宋体" w:cs="宋体"/>
          <w:b/>
          <w:color w:val="000000"/>
          <w:sz w:val="24"/>
        </w:rPr>
        <w:t xml:space="preserve">项目验收</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7.1甲方依法组织履约验收工作。</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7.2全部货物（服务）安装调试完毕后30日内，由甲方邀请相关专业人员，按照招标文件的要求和现行技术标准、强制性标准对所供货物的技术性能、技术参数、安装质量等进行验收，并形成验收意见。</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7.3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72"/>
        <w:ind w:firstLine="48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八、合同款项支付</w:t>
      </w:r>
      <w:r/>
    </w:p>
    <w:p>
      <w:pPr>
        <w:pStyle w:val="872"/>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8.1合同款项的支付方式及进度安排</w:t>
      </w:r>
      <w:r/>
    </w:p>
    <w:p>
      <w:pPr>
        <w:pStyle w:val="872"/>
        <w:ind w:firstLine="480"/>
        <w:jc w:val="both"/>
        <w:keepLines w:val="0"/>
        <w:keepNext w:val="0"/>
        <w:pageBreakBefore w:val="0"/>
        <w:spacing w:before="120" w:beforeAutospacing="0" w:after="120" w:afterAutospacing="0" w:line="500" w:lineRule="exact"/>
        <w:widowControl w:val="off"/>
        <w:rPr>
          <w:sz w:val="24"/>
          <w:szCs w:val="24"/>
          <w:highlight w:val="none"/>
          <w:u w:val="none"/>
        </w:rPr>
      </w:pPr>
      <w:r>
        <w:rPr>
          <w:rFonts w:hint="eastAsia" w:ascii="宋体" w:hAnsi="宋体" w:eastAsia="宋体" w:cs="宋体"/>
          <w:color w:val="000000"/>
          <w:sz w:val="24"/>
          <w:szCs w:val="24"/>
          <w:highlight w:val="none"/>
          <w:u w:val="none"/>
        </w:rPr>
        <w:t xml:space="preserve">8.1.1 预付款</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rPr>
        <w:t xml:space="preserve">支付时间：合</w:t>
      </w:r>
      <w:r>
        <w:rPr>
          <w:rFonts w:hint="eastAsia" w:ascii="宋体" w:hAnsi="宋体" w:eastAsia="宋体" w:cs="宋体"/>
          <w:color w:val="000000"/>
          <w:sz w:val="24"/>
          <w:szCs w:val="24"/>
          <w:highlight w:val="none"/>
        </w:rPr>
        <w:t xml:space="preserve">同签订后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采购人收到</w:t>
      </w:r>
      <w:r>
        <w:rPr>
          <w:rFonts w:hint="eastAsia" w:ascii="宋体" w:hAnsi="宋体" w:eastAsia="宋体" w:cs="宋体"/>
          <w:color w:val="000000"/>
          <w:sz w:val="24"/>
          <w:szCs w:val="24"/>
          <w:highlight w:val="none"/>
          <w:lang w:eastAsia="zh-CN"/>
        </w:rPr>
        <w:t xml:space="preserve">预付款</w:t>
      </w:r>
      <w:r>
        <w:rPr>
          <w:rFonts w:hint="eastAsia" w:ascii="宋体" w:hAnsi="宋体" w:eastAsia="宋体" w:cs="宋体"/>
          <w:color w:val="000000"/>
          <w:sz w:val="24"/>
          <w:szCs w:val="24"/>
          <w:highlight w:val="none"/>
        </w:rPr>
        <w:t xml:space="preserve">发票后10个工作日内，</w:t>
      </w:r>
      <w:r>
        <w:rPr>
          <w:rFonts w:hint="eastAsia" w:ascii="宋体" w:hAnsi="宋体" w:eastAsia="宋体" w:cs="宋体"/>
          <w:color w:val="000000"/>
          <w:sz w:val="24"/>
          <w:szCs w:val="24"/>
          <w:highlight w:val="none"/>
          <w:u w:val="none"/>
        </w:rPr>
        <w:t xml:space="preserve">预付款支付比例：</w:t>
      </w:r>
      <w:r>
        <w:rPr>
          <w:rFonts w:hint="eastAsia" w:ascii="宋体" w:hAnsi="宋体" w:eastAsia="宋体" w:cs="宋体"/>
          <w:color w:val="0000ff"/>
          <w:sz w:val="24"/>
          <w:szCs w:val="24"/>
          <w:highlight w:val="none"/>
          <w:u w:val="none"/>
        </w:rPr>
        <w:t xml:space="preserve">合同金额的</w:t>
      </w:r>
      <w:r>
        <w:rPr>
          <w:rFonts w:hint="eastAsia" w:ascii="宋体" w:hAnsi="宋体" w:eastAsia="宋体" w:cs="宋体"/>
          <w:color w:val="0000ff"/>
          <w:sz w:val="24"/>
          <w:szCs w:val="24"/>
          <w:highlight w:val="none"/>
          <w:u w:val="none"/>
          <w:lang w:val="en-US" w:eastAsia="zh-CN"/>
        </w:rPr>
        <w:t xml:space="preserve">30</w:t>
      </w:r>
      <w:r>
        <w:rPr>
          <w:rFonts w:hint="eastAsia" w:ascii="宋体" w:hAnsi="宋体" w:eastAsia="宋体" w:cs="宋体"/>
          <w:color w:val="0000ff"/>
          <w:sz w:val="24"/>
          <w:szCs w:val="24"/>
          <w:highlight w:val="none"/>
          <w:u w:val="none"/>
        </w:rPr>
        <w:t xml:space="preserve">%。</w:t>
      </w:r>
      <w:r/>
    </w:p>
    <w:p>
      <w:pPr>
        <w:pStyle w:val="872"/>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8.1.2 尾款</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rPr>
        <w:t xml:space="preserve">支付时间：</w:t>
      </w:r>
      <w:r>
        <w:rPr>
          <w:rFonts w:hint="eastAsia" w:ascii="宋体" w:hAnsi="宋体" w:eastAsia="宋体" w:cs="宋体"/>
          <w:color w:val="0000ff"/>
          <w:sz w:val="24"/>
          <w:szCs w:val="24"/>
          <w:highlight w:val="none"/>
          <w:u w:val="none"/>
        </w:rPr>
        <w:t xml:space="preserve">完成机房搬迁、数据中心宽带线路实施并经验收合格后付</w:t>
      </w:r>
      <w:r>
        <w:rPr>
          <w:rFonts w:hint="eastAsia" w:ascii="宋体" w:hAnsi="宋体" w:eastAsia="宋体" w:cs="宋体"/>
          <w:color w:val="0000ff"/>
          <w:sz w:val="24"/>
          <w:szCs w:val="24"/>
          <w:highlight w:val="none"/>
          <w:u w:val="none"/>
          <w:lang w:val="en-US" w:eastAsia="zh-CN"/>
        </w:rPr>
        <w:t xml:space="preserve">合同金额的</w:t>
      </w:r>
      <w:r>
        <w:rPr>
          <w:rFonts w:hint="eastAsia" w:ascii="宋体" w:hAnsi="宋体" w:eastAsia="宋体" w:cs="宋体"/>
          <w:color w:val="0000ff"/>
          <w:sz w:val="24"/>
          <w:szCs w:val="24"/>
          <w:highlight w:val="none"/>
          <w:u w:val="none"/>
        </w:rPr>
        <w:t xml:space="preserve">20%,项目服务期满后付清尾款。</w:t>
      </w:r>
      <w:r/>
    </w:p>
    <w:p>
      <w:pPr>
        <w:pStyle w:val="872"/>
        <w:ind w:firstLine="480"/>
        <w:jc w:val="both"/>
        <w:keepLines w:val="0"/>
        <w:keepNext w:val="0"/>
        <w:pageBreakBefore w:val="0"/>
        <w:spacing w:beforeAutospacing="0" w:afterAutospacing="0" w:line="500" w:lineRule="exact"/>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 xml:space="preserve">8.1.3 在签订合同时，供应商明确表示无需预付款或者主动要求降低预付款比例的，甲方可不适用上述关于预付款的规定。</w:t>
      </w:r>
      <w:r/>
    </w:p>
    <w:p>
      <w:pPr>
        <w:pStyle w:val="872"/>
        <w:ind w:firstLine="480"/>
        <w:jc w:val="both"/>
        <w:keepLines w:val="0"/>
        <w:keepNext w:val="0"/>
        <w:pageBreakBefore w:val="0"/>
        <w:spacing w:beforeAutospacing="0" w:afterAutospacing="0" w:line="500" w:lineRule="exact"/>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 xml:space="preserve">8.1.4采购人原则上应当自收到发票后10个工作日内将资金支付到合同约定的供应商账户。</w:t>
      </w:r>
      <w:r/>
    </w:p>
    <w:p>
      <w:pPr>
        <w:pStyle w:val="872"/>
        <w:ind w:firstLine="482"/>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九、税费</w:t>
      </w:r>
      <w:r/>
    </w:p>
    <w:p>
      <w:pPr>
        <w:pStyle w:val="872"/>
        <w:ind w:firstLine="480"/>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ind w:firstLine="482"/>
        <w:spacing w:before="120" w:after="120" w:line="479"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十、违约责任</w:t>
      </w:r>
      <w:r/>
    </w:p>
    <w:p>
      <w:pPr>
        <w:ind w:firstLine="480"/>
        <w:spacing w:before="120" w:after="120" w:line="47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10.1甲方不按合同规定付清货款，将按银行同期存款利率支付逾期付款部分的利息。</w:t>
      </w:r>
      <w:r/>
    </w:p>
    <w:p>
      <w:pPr>
        <w:ind w:firstLine="480"/>
        <w:spacing w:before="120" w:after="120" w:line="47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10.2全部货物安装调试完毕后，甲方不在规定时间内验收，无特殊原因，视同验收合格。</w:t>
      </w:r>
      <w:r/>
    </w:p>
    <w:p>
      <w:pPr>
        <w:ind w:firstLine="480"/>
        <w:spacing w:before="120" w:after="120" w:line="47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10.3如果乙方没有按照合同规定的期限提交货物并安装完毕，甲方可要求乙方支付违约金。违约金按每天应交未交货物合同价的0.5%计收，但违约金的最高限额为应交未交货物合同价的5%，如果达到最高限额，甲方有权解除合同。</w:t>
      </w:r>
      <w:r/>
    </w:p>
    <w:p>
      <w:pPr>
        <w:ind w:firstLine="480"/>
        <w:spacing w:before="120" w:after="120" w:line="47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10.4所供货物经验收不合格的，必须一周内调换到位，一周内不能到位，每超过一天扣合同总价款的1%作为甲方的误期补偿。</w:t>
      </w:r>
      <w:r/>
    </w:p>
    <w:p>
      <w:pPr>
        <w:ind w:firstLine="480"/>
        <w:spacing w:before="120" w:after="120" w:line="47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10.5乙方软件发生安全问题或乙方违法保密协议产生的一切法律责任和不良后果由乙方承担全部责任，并承担由此给甲方造成的全部损失,甲方保留向乙方追责的权利。</w:t>
      </w:r>
      <w:r/>
    </w:p>
    <w:p>
      <w:pPr>
        <w:ind w:firstLine="480"/>
        <w:spacing w:line="47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10.6 合同履行期间无法满足其投标承诺的，采购人有权追究中标人责任。造成业务停机8小时及以上的，采购人有权向中标人提出赔偿。</w:t>
      </w:r>
      <w:r/>
    </w:p>
    <w:p>
      <w:pPr>
        <w:ind w:firstLine="482"/>
        <w:spacing w:before="120" w:after="120" w:line="479"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十一、运维人员要求</w:t>
      </w:r>
      <w:r/>
    </w:p>
    <w:p>
      <w:pPr>
        <w:ind w:firstLine="480"/>
        <w:spacing w:before="120" w:after="120" w:line="47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11.1运维人数要求</w:t>
      </w:r>
      <w:r/>
    </w:p>
    <w:p>
      <w:pPr>
        <w:ind w:firstLine="480"/>
        <w:spacing w:before="120" w:after="120" w:line="47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11.1.1要求组建固定维护工程师的运维团队，其中至少4人集中驻场运维，集中驻场地点按照采购人要求。</w:t>
      </w:r>
      <w:r/>
    </w:p>
    <w:p>
      <w:pPr>
        <w:ind w:firstLine="480"/>
        <w:spacing w:before="120" w:after="120" w:line="47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11.1.2运维服务期间人员名单原则上不得调整，如确需调整，需提前一个月向采购人报告人员变更情况，且调入人员的资历和从业经验不低于调出人员，在确认不影响运维服务并经采购人许可后方可调换。</w:t>
      </w:r>
      <w:r/>
    </w:p>
    <w:p>
      <w:pPr>
        <w:numPr>
          <w:ilvl w:val="0"/>
          <w:numId w:val="0"/>
        </w:numPr>
        <w:ind w:firstLine="480"/>
        <w:jc w:val="both"/>
        <w:keepLines/>
        <w:keepNext/>
        <w:spacing w:line="440" w:lineRule="exact"/>
        <w:widowControl w:val="off"/>
        <w:tabs>
          <w:tab w:val="left" w:pos="0" w:leader="none"/>
          <w:tab w:val="left" w:pos="420" w:leader="none"/>
        </w:tabs>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outlineLvl w:val="4"/>
      </w:pPr>
      <w:r>
        <w:rPr>
          <w:rFonts w:hint="default" w:ascii="宋体" w:hAnsi="宋体" w:eastAsia="宋体" w:cs="宋体"/>
          <w:b w:val="0"/>
          <w:bCs w:val="0"/>
          <w:color w:val="000000"/>
          <w:sz w:val="24"/>
          <w:szCs w:val="24"/>
          <w:lang w:val="en-US" w:eastAsia="zh-CN" w:bidi="ar-SA"/>
        </w:rPr>
        <w:t xml:space="preserve">11.2运维人员工作要求</w:t>
      </w:r>
      <w:r/>
    </w:p>
    <w:p>
      <w:pPr>
        <w:ind w:firstLine="480"/>
        <w:spacing w:line="440" w:lineRule="exac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所有驻场运维人员须严格遵守驻场运维工作纪律，按照采购人指定的刷卡、刷脸等方式进行每日考勤，工作时间不得从事与本项目无关的事情。</w:t>
      </w:r>
      <w:r/>
    </w:p>
    <w:p>
      <w:pPr>
        <w:ind w:firstLine="480"/>
        <w:spacing w:line="440" w:lineRule="exac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11.2.1运行监测和系统运维人员：分别提供7×24驻场服务。</w:t>
      </w:r>
      <w:r/>
    </w:p>
    <w:p>
      <w:pPr>
        <w:ind w:firstLine="480"/>
        <w:spacing w:line="440" w:lineRule="exac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11.2.2 其他运维人员：</w:t>
      </w:r>
      <w:r/>
    </w:p>
    <w:p>
      <w:pPr>
        <w:ind w:firstLine="482"/>
        <w:spacing w:line="440" w:lineRule="exac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（1）工作日：执行采购人作息时间，并保持7×24小时电话畅通。</w:t>
      </w:r>
      <w:r/>
    </w:p>
    <w:p>
      <w:pPr>
        <w:ind w:firstLine="482"/>
        <w:spacing w:line="440" w:lineRule="exac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（2）节假日：8:30至18:00之间至少安排2人驻场值班（其中包括1名安全运维人员，1名网络运维人员，并能够根据项目需要和投标人要求增派驻场值班人员），其他时段保持7×24小时电话畅通。</w:t>
      </w:r>
      <w:r/>
    </w:p>
    <w:p>
      <w:pPr>
        <w:ind w:firstLine="482"/>
        <w:spacing w:line="440" w:lineRule="exac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（3）重大活动期间：提供重大活动期间的现场技术保障服务，做好值班备勤安排和特殊保障计划。</w:t>
      </w:r>
      <w:r/>
    </w:p>
    <w:p>
      <w:pPr>
        <w:ind w:firstLine="482"/>
        <w:spacing w:before="120" w:after="120" w:line="479"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十二、不可抗力事件处理</w:t>
      </w:r>
      <w:r/>
    </w:p>
    <w:p>
      <w:pPr>
        <w:ind w:firstLine="482"/>
        <w:spacing w:before="120" w:after="120" w:line="440" w:lineRule="exac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12.1在合同有效期内，任何一方因不可抗力事件导致不能履行合同，则合同履行期可延长，其延长期与不可抗力影响 期相同。</w:t>
      </w:r>
      <w:r/>
    </w:p>
    <w:p>
      <w:pPr>
        <w:ind w:firstLine="482"/>
        <w:spacing w:before="120" w:after="120" w:line="440" w:lineRule="exac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12.2不可抗力事件发生后，应立即通知对方，并寄送有关权威机构出具的证明。</w:t>
      </w:r>
      <w:r/>
    </w:p>
    <w:p>
      <w:pPr>
        <w:ind w:firstLine="482"/>
        <w:spacing w:before="120" w:after="120" w:line="440" w:lineRule="exac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12.3不可抗力事件延续120天以上，双方应通过友好协商，确定是否继续履行合同。</w:t>
      </w:r>
      <w:r/>
    </w:p>
    <w:p>
      <w:pPr>
        <w:ind w:firstLine="482"/>
        <w:spacing w:before="120" w:after="120" w:line="47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十三、解决争议的方法</w:t>
      </w:r>
      <w:r/>
    </w:p>
    <w:p>
      <w:pPr>
        <w:ind w:firstLine="480"/>
        <w:spacing w:before="120" w:after="120" w:line="47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双方在签订、履行合同中所发生的一切争议，应通过友好协商解决。如协商不成，由甲方住所地人民法院管辖。</w:t>
      </w:r>
      <w:r/>
    </w:p>
    <w:p>
      <w:pPr>
        <w:pStyle w:val="872"/>
        <w:ind w:firstLine="48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十四、合同生效及其</w:t>
      </w:r>
      <w:r>
        <w:rPr>
          <w:rFonts w:hint="eastAsia" w:ascii="宋体" w:hAnsi="宋体" w:eastAsia="宋体" w:cs="宋体"/>
          <w:b/>
          <w:color w:val="000000"/>
          <w:sz w:val="24"/>
          <w:szCs w:val="24"/>
          <w:highlight w:val="none"/>
          <w:lang w:eastAsia="zh-CN"/>
        </w:rPr>
        <w:t xml:space="preserve">他</w:t>
      </w:r>
      <w:r/>
    </w:p>
    <w:p>
      <w:pPr>
        <w:pStyle w:val="872"/>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14.1合同经双方法定代表人或授权委托代表人签字并加盖单位公章后生效。</w:t>
      </w:r>
      <w:r/>
    </w:p>
    <w:p>
      <w:pPr>
        <w:pStyle w:val="872"/>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14.2本合同未尽事宜，遵照</w:t>
      </w:r>
      <w:r>
        <w:rPr>
          <w:rFonts w:hint="eastAsia" w:ascii="宋体" w:hAnsi="宋体" w:eastAsia="宋体" w:cs="宋体"/>
          <w:color w:val="ff0000"/>
          <w:highlight w:val="none"/>
          <w:shd w:val="clear" w:color="auto" w:fill="auto"/>
        </w:rPr>
        <w:t xml:space="preserve">《</w:t>
      </w:r>
      <w:r>
        <w:rPr>
          <w:rFonts w:hint="eastAsia" w:ascii="宋体" w:hAnsi="宋体" w:eastAsia="宋体" w:cs="宋体"/>
          <w:color w:val="ff0000"/>
          <w:highlight w:val="none"/>
          <w:shd w:val="clear" w:color="auto" w:fill="auto"/>
          <w:lang w:val="en-US" w:eastAsia="zh-CN"/>
        </w:rPr>
        <w:t xml:space="preserve">中华人民共和国</w:t>
      </w:r>
      <w:r>
        <w:rPr>
          <w:rFonts w:hint="eastAsia" w:ascii="宋体" w:hAnsi="宋体" w:eastAsia="宋体" w:cs="宋体"/>
          <w:color w:val="000000"/>
          <w:sz w:val="24"/>
          <w:szCs w:val="24"/>
          <w:highlight w:val="none"/>
        </w:rPr>
        <w:t xml:space="preserve">民法典》、</w:t>
      </w:r>
      <w:r>
        <w:rPr>
          <w:rFonts w:hint="eastAsia" w:ascii="宋体" w:hAnsi="宋体" w:eastAsia="宋体" w:cs="宋体"/>
          <w:color w:val="ff0000"/>
          <w:highlight w:val="none"/>
          <w:shd w:val="clear" w:color="auto" w:fill="auto"/>
        </w:rPr>
        <w:t xml:space="preserve">《</w:t>
      </w:r>
      <w:r>
        <w:rPr>
          <w:rFonts w:hint="eastAsia" w:ascii="宋体" w:hAnsi="宋体" w:eastAsia="宋体" w:cs="宋体"/>
          <w:color w:val="ff0000"/>
          <w:highlight w:val="none"/>
          <w:shd w:val="clear" w:color="auto" w:fill="auto"/>
          <w:lang w:val="en-US" w:eastAsia="zh-CN"/>
        </w:rPr>
        <w:t xml:space="preserve">中华人民共和国</w:t>
      </w:r>
      <w:r>
        <w:rPr>
          <w:rFonts w:hint="eastAsia" w:ascii="宋体" w:hAnsi="宋体" w:eastAsia="宋体" w:cs="宋体"/>
          <w:color w:val="000000"/>
          <w:sz w:val="24"/>
          <w:szCs w:val="24"/>
          <w:highlight w:val="none"/>
        </w:rPr>
        <w:t xml:space="preserve">政府采购法》有关条文执行。</w:t>
      </w:r>
      <w:r/>
    </w:p>
    <w:p>
      <w:pPr>
        <w:pStyle w:val="872"/>
        <w:ind w:left="482" w:hanging="64"/>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本合同正本一式</w:t>
      </w:r>
      <w:r>
        <w:rPr>
          <w:rFonts w:hint="eastAsia" w:ascii="宋体" w:hAnsi="宋体" w:eastAsia="宋体" w:cs="宋体"/>
          <w:color w:val="000000"/>
          <w:sz w:val="24"/>
          <w:szCs w:val="24"/>
          <w:highlight w:val="none"/>
          <w:lang w:val="en-US" w:eastAsia="zh-CN"/>
        </w:rPr>
        <w:t xml:space="preserve">肆</w:t>
      </w:r>
      <w:r>
        <w:rPr>
          <w:rFonts w:hint="eastAsia" w:ascii="宋体" w:hAnsi="宋体" w:eastAsia="宋体" w:cs="宋体"/>
          <w:color w:val="000000"/>
          <w:sz w:val="24"/>
          <w:szCs w:val="24"/>
          <w:highlight w:val="none"/>
        </w:rPr>
        <w:t xml:space="preserve">份，甲乙双方各执</w:t>
      </w:r>
      <w:r>
        <w:rPr>
          <w:rFonts w:hint="eastAsia" w:ascii="宋体" w:hAnsi="宋体" w:eastAsia="宋体" w:cs="宋体"/>
          <w:color w:val="000000"/>
          <w:sz w:val="24"/>
          <w:szCs w:val="24"/>
          <w:highlight w:val="none"/>
          <w:lang w:val="en-US" w:eastAsia="zh-CN"/>
        </w:rPr>
        <w:t xml:space="preserve">壹</w:t>
      </w:r>
      <w:r>
        <w:rPr>
          <w:rFonts w:hint="eastAsia" w:ascii="宋体" w:hAnsi="宋体" w:eastAsia="宋体" w:cs="宋体"/>
          <w:color w:val="000000"/>
          <w:sz w:val="24"/>
          <w:szCs w:val="24"/>
          <w:highlight w:val="none"/>
        </w:rPr>
        <w:t xml:space="preserve">份，其余用于相关单位存档。</w:t>
      </w:r>
      <w:r/>
    </w:p>
    <w:p>
      <w:pPr>
        <w:pStyle w:val="872"/>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2"/>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2"/>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甲方：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 </w:t>
      </w:r>
      <w:r/>
    </w:p>
    <w:p>
      <w:pPr>
        <w:pStyle w:val="87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地址：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地址： </w:t>
      </w:r>
      <w:r/>
    </w:p>
    <w:p>
      <w:pPr>
        <w:pStyle w:val="87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法定代表人或授权代表：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法定代表人或授权代表：</w:t>
      </w:r>
      <w:r/>
    </w:p>
    <w:p>
      <w:pPr>
        <w:pStyle w:val="872"/>
        <w:ind w:firstLine="24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联系电话：          </w:t>
      </w:r>
      <w:r/>
    </w:p>
    <w:p>
      <w:pPr>
        <w:pStyle w:val="872"/>
        <w:jc w:val="center"/>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p>
    <w:p>
      <w:pPr>
        <w:pStyle w:val="872"/>
        <w:jc w:val="center"/>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72"/>
        <w:jc w:val="center"/>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72"/>
        <w:jc w:val="center"/>
        <w:keepLines w:val="0"/>
        <w:keepNext w:val="0"/>
        <w:pageBreakBefore w:val="0"/>
        <w:spacing w:before="120" w:beforeAutospacing="0" w:after="120" w:afterAutospacing="0" w:line="500" w:lineRule="exact"/>
        <w:widowControl w:val="off"/>
        <w:rPr>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签订日期：      年    月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日</w:t>
      </w:r>
      <w:bookmarkStart w:id="174" w:name="_Toc479757211"/>
      <w:r/>
      <w:bookmarkStart w:id="175" w:name="_Hlt16619350"/>
      <w:r/>
      <w:bookmarkStart w:id="176" w:name="_Toc462564139"/>
      <w:r/>
      <w:bookmarkStart w:id="177" w:name="_Toc16938590"/>
      <w:r/>
      <w:bookmarkStart w:id="178" w:name="_Toc120614244"/>
      <w:r/>
      <w:bookmarkStart w:id="179" w:name="_Toc20823346"/>
      <w:r/>
      <w:bookmarkStart w:id="180" w:name="_Hlt16619369"/>
      <w:r>
        <w:rPr>
          <w:rFonts w:hint="eastAsia" w:ascii="黑体" w:hAnsi="宋体" w:eastAsia="黑体" w:cs="黑体"/>
          <w:color w:val="000000"/>
          <w:sz w:val="24"/>
          <w:szCs w:val="24"/>
          <w:highlight w:val="none"/>
        </w:rPr>
        <w:br w:type="page" w:clear="all"/>
      </w:r>
      <w:r>
        <w:rPr>
          <w:rFonts w:hint="eastAsia" w:ascii="黑体" w:hAnsi="宋体" w:eastAsia="黑体" w:cs="黑体"/>
          <w:color w:val="000000"/>
          <w:sz w:val="44"/>
          <w:szCs w:val="44"/>
          <w:highlight w:val="none"/>
        </w:rPr>
        <w:t xml:space="preserve"> 第</w:t>
      </w:r>
      <w:bookmarkEnd w:id="174"/>
      <w:r>
        <w:rPr>
          <w:rFonts w:hint="eastAsia" w:ascii="黑体" w:hAnsi="宋体" w:eastAsia="黑体" w:cs="黑体"/>
          <w:color w:val="000000"/>
          <w:sz w:val="44"/>
          <w:szCs w:val="44"/>
          <w:highlight w:val="none"/>
        </w:rPr>
        <w:t xml:space="preserve">四章 采购需求</w:t>
      </w:r>
      <w:bookmarkEnd w:id="175"/>
      <w:r/>
      <w:bookmarkEnd w:id="176"/>
      <w:r/>
      <w:bookmarkEnd w:id="177"/>
      <w:r/>
      <w:bookmarkEnd w:id="178"/>
      <w:r/>
      <w:bookmarkEnd w:id="179"/>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bookmarkStart w:id="181" w:name="_Toc49090575"/>
      <w:r/>
      <w:bookmarkStart w:id="182" w:name="_Toc26554093"/>
      <w:r>
        <w:rPr>
          <w:rFonts w:hint="eastAsia" w:ascii="宋体" w:hAnsi="宋体" w:eastAsia="宋体" w:cs="宋体"/>
          <w:color w:val="000000"/>
          <w:sz w:val="24"/>
          <w:szCs w:val="24"/>
          <w:highlight w:val="none"/>
        </w:rPr>
        <w:t xml:space="preserve">项目属性:服务类项目。</w:t>
      </w:r>
      <w:r>
        <w:rPr>
          <w:rFonts w:hint="eastAsia" w:ascii="宋体" w:hAnsi="宋体" w:eastAsia="宋体" w:cs="宋体"/>
          <w:color w:val="000000"/>
          <w:sz w:val="24"/>
          <w:szCs w:val="24"/>
          <w:highlight w:val="none"/>
          <w:lang w:val="en-US" w:eastAsia="zh-CN"/>
        </w:rPr>
        <w:t xml:space="preserve">（此为固定内容）</w:t>
      </w:r>
      <w:bookmarkEnd w:id="181"/>
      <w:r/>
      <w:bookmarkEnd w:id="182"/>
      <w:r/>
      <w:r/>
    </w:p>
    <w:p>
      <w:pPr>
        <w:ind w:firstLine="482"/>
        <w:spacing w:line="440" w:lineRule="exact"/>
        <w:rPr>
          <w:rFonts w:hint="eastAsia" w:ascii="宋体" w:hAnsi="宋体" w:eastAsia="宋体" w:cs="宋体"/>
          <w:b/>
          <w:bCs/>
          <w:sz w:val="24"/>
        </w:rPr>
      </w:pPr>
      <w:r>
        <w:rPr>
          <w:rFonts w:hint="eastAsia" w:ascii="宋体" w:hAnsi="宋体" w:eastAsia="宋体" w:cs="宋体"/>
          <w:b/>
          <w:bCs/>
          <w:sz w:val="24"/>
        </w:rPr>
        <w:t xml:space="preserve">一、项目背景</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东台市卫健委数据中心于2013年建成投入使用</w:t>
      </w:r>
      <w:r>
        <w:rPr>
          <w:rFonts w:hint="eastAsia" w:ascii="宋体" w:hAnsi="宋体" w:eastAsia="宋体" w:cs="宋体"/>
          <w:sz w:val="24"/>
        </w:rPr>
        <w:t xml:space="preserve">。是紧密型县域医共体的重要组成部分，承载了市、镇、村各级医疗管理类和医疗资源类信息系统的部署和运行工作，是紧密型县域医共体信息化发展的重要基础保障。本次项目遵循全国基层医疗卫生机构信息化建设标准与规范，建立权责清晰、规范标准的一体化运维管理体系，全面加强“十大中心”运行维护管理，统筹做好硬件基础设施、云平台，以及全市统一医疗卫生应用系统平台运维和监测工作，做到问题早发现早解决，最大限度减少因运维管理工作的不及时和不到位，导致的安全隐患及故障。为全市医疗机构和人民群众持续提供优质、便捷、高效的医疗信息化服务。</w:t>
      </w:r>
      <w:r/>
    </w:p>
    <w:p>
      <w:pPr>
        <w:ind w:firstLine="482"/>
        <w:spacing w:line="440" w:lineRule="exact"/>
        <w:rPr>
          <w:rFonts w:hint="eastAsia" w:ascii="宋体" w:hAnsi="宋体" w:eastAsia="宋体" w:cs="宋体"/>
          <w:b/>
          <w:bCs/>
          <w:sz w:val="24"/>
        </w:rPr>
      </w:pPr>
      <w:r>
        <w:rPr>
          <w:rFonts w:hint="eastAsia" w:ascii="宋体" w:hAnsi="宋体" w:eastAsia="宋体" w:cs="宋体"/>
          <w:b/>
          <w:bCs/>
          <w:sz w:val="24"/>
        </w:rPr>
        <w:t xml:space="preserve">二、技术要求</w:t>
      </w:r>
      <w:r/>
    </w:p>
    <w:p>
      <w:pPr>
        <w:ind w:firstLine="482"/>
        <w:spacing w:line="440" w:lineRule="exact"/>
        <w:rPr>
          <w:rFonts w:hint="eastAsia" w:ascii="宋体" w:hAnsi="宋体" w:eastAsia="宋体" w:cs="宋体"/>
          <w:b/>
          <w:bCs/>
          <w:sz w:val="24"/>
        </w:rPr>
      </w:pPr>
      <w:r>
        <w:rPr>
          <w:rFonts w:hint="eastAsia" w:ascii="宋体" w:hAnsi="宋体" w:eastAsia="宋体" w:cs="宋体"/>
          <w:b/>
          <w:bCs/>
          <w:sz w:val="24"/>
        </w:rPr>
        <w:t xml:space="preserve">（一）项目需求</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需求清单如下：</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（1）机房托管服务及机房搬迁服务</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（2）信息技术咨询服务</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（3）数据中心运维和卫生专网运维服务</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（4）网络安全运维服务</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（5）专线租赁服务</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（6）统一应用系统运行监测维护服务</w:t>
      </w:r>
      <w:r/>
    </w:p>
    <w:p>
      <w:pPr>
        <w:ind w:firstLine="482"/>
        <w:spacing w:line="440" w:lineRule="exact"/>
        <w:rPr>
          <w:rFonts w:hint="eastAsia" w:ascii="宋体" w:hAnsi="宋体" w:eastAsia="宋体" w:cs="宋体"/>
          <w:b/>
          <w:bCs/>
          <w:sz w:val="24"/>
        </w:rPr>
      </w:pPr>
      <w:r>
        <w:rPr>
          <w:rFonts w:hint="eastAsia" w:ascii="宋体" w:hAnsi="宋体" w:eastAsia="宋体" w:cs="宋体"/>
          <w:b/>
          <w:bCs/>
          <w:sz w:val="24"/>
        </w:rPr>
        <w:t xml:space="preserve">1.机房托管服务及机房搬迁服务</w:t>
      </w:r>
      <w:r/>
    </w:p>
    <w:p>
      <w:pPr>
        <w:ind w:firstLine="482"/>
        <w:spacing w:line="440" w:lineRule="exact"/>
        <w:rPr>
          <w:rFonts w:hint="eastAsia" w:ascii="宋体" w:hAnsi="宋体" w:eastAsia="宋体" w:cs="宋体"/>
          <w:b/>
          <w:bCs/>
          <w:sz w:val="24"/>
        </w:rPr>
      </w:pPr>
      <w:r>
        <w:rPr>
          <w:rFonts w:hint="eastAsia" w:ascii="宋体" w:hAnsi="宋体" w:eastAsia="宋体" w:cs="宋体"/>
          <w:b/>
          <w:bCs/>
          <w:sz w:val="24"/>
        </w:rPr>
        <w:t xml:space="preserve">1.1机房托管服务</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提供机房托管服务期为202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年7月1日至202</w:t>
      </w:r>
      <w:r>
        <w:rPr>
          <w:rFonts w:hint="eastAsia" w:ascii="宋体" w:hAnsi="宋体" w:eastAsia="宋体" w:cs="宋体"/>
          <w:sz w:val="24"/>
          <w:lang w:val="en-US" w:eastAsia="zh-CN"/>
        </w:rPr>
        <w:t xml:space="preserve">7</w:t>
      </w:r>
      <w:r>
        <w:rPr>
          <w:rFonts w:hint="eastAsia" w:ascii="宋体" w:hAnsi="宋体" w:eastAsia="宋体" w:cs="宋体"/>
          <w:sz w:val="24"/>
        </w:rPr>
        <w:t xml:space="preserve">年6月30日，所投机房须设在江苏省东台市内，至少应包括主、备机房共25个机柜，两处机房不可处于同一供电线路。</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中标人须将采购人原机房内所有服务器、存储和网络设备等全部设备搬迁至中标人机房，搬迁服务的具体需求见以下1.2机房搬迁服务。</w:t>
      </w:r>
      <w:r/>
    </w:p>
    <w:p>
      <w:pPr>
        <w:ind w:firstLine="482"/>
        <w:spacing w:line="440" w:lineRule="exact"/>
        <w:rPr>
          <w:rFonts w:hint="eastAsia" w:ascii="宋体" w:hAnsi="宋体" w:eastAsia="宋体" w:cs="宋体"/>
          <w:b/>
          <w:bCs/>
          <w:sz w:val="24"/>
        </w:rPr>
      </w:pPr>
      <w:r>
        <w:rPr>
          <w:rFonts w:hint="eastAsia" w:ascii="宋体" w:hAnsi="宋体" w:eastAsia="宋体" w:cs="宋体"/>
          <w:b/>
          <w:bCs/>
          <w:sz w:val="24"/>
        </w:rPr>
        <w:t xml:space="preserve">1.2机房搬迁服务</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考虑到系统重要性和影响面，且不同系统的搬迁窗口时间也不同，需进行多次搬迁，在搬迁过程中要区别对待，最大程度减小影响。</w:t>
      </w:r>
      <w:r>
        <w:rPr>
          <w:rFonts w:hint="eastAsia" w:ascii="宋体" w:hAnsi="宋体" w:eastAsia="宋体" w:cs="宋体"/>
          <w:i/>
          <w:iCs/>
          <w:sz w:val="28"/>
          <w:szCs w:val="28"/>
          <w:u w:val="single"/>
        </w:rPr>
        <w:t xml:space="preserve">搬迁前必须做好系统和数据的备份，尤其要防止硬盘故障，确保核心业务系统数据和设备在搬迁过程中不损坏、不崩溃，搬迁窗口时间（20：00-6：00），搬迁次数不超过10次，每次搬迁完成后须保证所有业务正常运行。</w:t>
      </w:r>
      <w:r>
        <w:rPr>
          <w:rFonts w:hint="eastAsia" w:ascii="宋体" w:hAnsi="宋体" w:eastAsia="宋体" w:cs="宋体"/>
          <w:i/>
          <w:iCs/>
          <w:color w:val="ff0000"/>
          <w:sz w:val="28"/>
          <w:szCs w:val="28"/>
          <w:u w:val="single"/>
        </w:rPr>
        <w:t xml:space="preserve">（须提供加盖投标人公章的承诺书，上传至符合性审查节点）</w:t>
      </w:r>
      <w:r>
        <w:rPr>
          <w:rFonts w:hint="eastAsia" w:ascii="宋体" w:hAnsi="宋体" w:eastAsia="宋体" w:cs="宋体"/>
          <w:sz w:val="24"/>
        </w:rPr>
        <w:t xml:space="preserve">整个搬迁过程要考虑到各种可能的风险，并提供相应的预防措施、补救措施，最大程度保证数据和应用系统的安全。</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采购人机房内有现有1套SQL Server数据库双活集群，用于部分医疗机构HIS、PACS、心电、检验、审方等系统使用，期间业务不能中断，须在新机房内提供1套相同或更高配置的SQL Server数据库双活集群进行数据实时同步，从而保证机房搬迁期间业务不中断。</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搬迁设备清单如下：</w:t>
      </w:r>
      <w:r/>
    </w:p>
    <w:tbl>
      <w:tblPr>
        <w:tblStyle w:val="873"/>
        <w:tblW w:w="861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693"/>
        <w:gridCol w:w="2410"/>
        <w:gridCol w:w="851"/>
        <w:gridCol w:w="1842"/>
      </w:tblGrid>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产品描述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托管到期时间</w:t>
            </w:r>
            <w:r/>
          </w:p>
        </w:tc>
      </w:tr>
      <w:tr>
        <w:trPr>
          <w:trHeight w:val="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Dell PowerEdge R750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虚拟化服务器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Dell PowerEdge R750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数据库服务器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Dell UnityXT480扩容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混合存储扩容性能层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Dell EMC UnityXT480F</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纯闪存储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Dell Vplex VS6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纯闪存储网关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默安 刃甲 SSAP-2030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攻击流量行为干扰压制系统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默安 幻阵 HP-8008P</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APT威胁感知系统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6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长亭 雷池下一代Web应用防火墙 SL H20 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WEB应用防护系统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H3C LS-7506E-V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万兆核心交换机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H3C 6520-42QF-EI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端口流量镜像复制器(万兆）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A10 TH930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负载均衡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深信服 VPN-1000-B1030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SSL VPN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奇安信 NSG7000-TX15M-Q</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服务器区域防火墙（万兆）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默安 幻阵 HP-8008P</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动态欺骗防御系统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默安 剑幕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虚拟化微隔离系统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DELL Isilon A200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PACS集群分布式NAS存储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DELL DataDomain 6300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备份消重存储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云信达 CDM云数据管理系统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备份一体机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飞致云 Jumpserver 堡垒机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堡垒机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慧盾 SmartSPG6300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数据安全防勒索网关及软件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H3C S6300-48S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万兆服务器汇聚交换机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HUAWEI 9306万兆板卡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互联网核心交换机板卡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Dell PowerEdge R740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虚拟化服务器（2路2U）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Dell EMC UnityXT 480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虚拟化混合存储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Dell EMC Vplex</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混合存储双活网关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Dell EMC DMS-9148S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存储用光纤交换机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网神NSG7000-TX15M-Q</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内网接入防火墙（万兆）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金电网安FerryWay V2.0-S6000D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万兆网闸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宝锐丰FC-1006-PRO</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NTP服务器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天融信 NG-51228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防火墙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360 P3000-TE-Y3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入侵防御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网御星云 Power V6000-A2310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防病毒网关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天融信 TWF-32106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Web防护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网御星云 LA-300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互联网审计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天融信 TR-71166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网闸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天融信 NG-51228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防火墙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网御星云 Leadsec-5200FM-IPS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入侵防御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网御星云 Power V6000-A2310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防病毒网关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网御星云 TS-SC-E1010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漏洞扫描系统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网御星云 V-DF-LA-AGENT/LA-DMS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数据库审计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360 C6100-H-TF-Y3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堡垒机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360 R2000-T1624-Y3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日志审计系统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360 M5000-SNI-ESM-Y3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安全管理平台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格瑞趋势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数据库负载均衡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博科300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光交换机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DELL R930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数据库服务器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DELL FC830刀片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虚拟化应用服务器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DELL SC4020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双活数据存储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DELL R730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虚拟化应用服务器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华为千兆S5700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天融信TG-41308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防火墙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天融信TI-3304-WAF</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WEB防火墙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网康NF-1000-IP2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入侵防御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网御星云LA-DT-600B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数据库审计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天融信TR-71166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隔离网闸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华为 9306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核心交换机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r>
        <w:trPr>
          <w:trHeight w:val="3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华为9306配件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核心交换机板卡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/6/30</w:t>
            </w:r>
            <w:r/>
          </w:p>
        </w:tc>
      </w:tr>
    </w:tbl>
    <w:p>
      <w:pPr>
        <w:ind w:firstLine="482"/>
        <w:spacing w:line="440" w:lineRule="exact"/>
        <w:rPr>
          <w:rFonts w:hint="eastAsia" w:ascii="宋体" w:hAnsi="宋体" w:eastAsia="宋体" w:cs="宋体"/>
          <w:sz w:val="24"/>
        </w:rPr>
      </w:pPr>
      <w:r>
        <w:rPr>
          <w:rFonts w:hint="eastAsia" w:ascii="宋体" w:hAnsi="宋体" w:eastAsia="宋体" w:cs="宋体"/>
          <w:b/>
          <w:bCs/>
          <w:sz w:val="24"/>
        </w:rPr>
        <w:t xml:space="preserve">1.3中标人须提供下列项目集成服务。各类实施事项和数量最低不得低于以下所列的各项具体要求</w:t>
      </w:r>
      <w:r>
        <w:rPr>
          <w:rFonts w:hint="eastAsia" w:ascii="宋体" w:hAnsi="宋体" w:eastAsia="宋体" w:cs="宋体"/>
          <w:sz w:val="24"/>
        </w:rPr>
        <w:t xml:space="preserve">。</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（1）提供数据中心设备搬迁服务，包括核心存储、服务器、网络安全设备、信息化专用设备等。</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（2）分批实施设备搬迁，根据采购人实际需求，提供多批次的设备搬迁。</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（3）搬迁时间：202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年7月1日前完成。</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（4）对搬迁设备提供新机房的综合布线服务。</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（5）系统集成服务。</w:t>
      </w:r>
      <w:r/>
    </w:p>
    <w:p>
      <w:pPr>
        <w:ind w:firstLine="482"/>
        <w:spacing w:line="440" w:lineRule="exact"/>
        <w:rPr>
          <w:rFonts w:hint="eastAsia" w:ascii="宋体" w:hAnsi="宋体" w:eastAsia="宋体" w:cs="宋体"/>
          <w:b/>
          <w:bCs/>
          <w:sz w:val="24"/>
        </w:rPr>
      </w:pPr>
      <w:r>
        <w:rPr>
          <w:rFonts w:hint="eastAsia" w:ascii="宋体" w:hAnsi="宋体" w:eastAsia="宋体" w:cs="宋体"/>
          <w:b/>
          <w:bCs/>
          <w:sz w:val="24"/>
        </w:rPr>
        <w:t xml:space="preserve">1.4辅材：</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（1）各搬迁设备之间的互联线、心跳线等，跳线长度根据安装时测量的实际长度确定； </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（2）满足采购人机房机柜标准PDU的所有设备的电源转换接头；</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（3）所有设备及联接线缆标签，标签纸应有颜色区分；</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（4）其它项目必须的辅材。</w:t>
      </w:r>
      <w:r/>
    </w:p>
    <w:p>
      <w:pPr>
        <w:ind w:firstLine="482"/>
        <w:spacing w:line="440" w:lineRule="exact"/>
        <w:rPr>
          <w:rFonts w:hint="eastAsia" w:ascii="宋体" w:hAnsi="宋体" w:eastAsia="宋体" w:cs="宋体"/>
          <w:b/>
          <w:bCs/>
          <w:sz w:val="24"/>
        </w:rPr>
      </w:pPr>
      <w:r>
        <w:rPr>
          <w:rFonts w:hint="eastAsia" w:ascii="宋体" w:hAnsi="宋体" w:eastAsia="宋体" w:cs="宋体"/>
          <w:b/>
          <w:bCs/>
          <w:sz w:val="24"/>
        </w:rPr>
        <w:t xml:space="preserve">2.信息技术咨询服务</w:t>
      </w:r>
      <w:r/>
    </w:p>
    <w:p>
      <w:pPr>
        <w:ind w:firstLine="482"/>
        <w:spacing w:line="440" w:lineRule="exact"/>
        <w:rPr>
          <w:rFonts w:hint="eastAsia" w:ascii="宋体" w:hAnsi="宋体" w:eastAsia="宋体" w:cs="宋体"/>
          <w:b/>
          <w:bCs/>
          <w:sz w:val="24"/>
        </w:rPr>
      </w:pPr>
      <w:r>
        <w:rPr>
          <w:rFonts w:hint="eastAsia" w:ascii="宋体" w:hAnsi="宋体" w:eastAsia="宋体" w:cs="宋体"/>
          <w:b/>
          <w:bCs/>
          <w:sz w:val="24"/>
        </w:rPr>
        <w:t xml:space="preserve">2.1.信息化调研与支持</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在采购人组织下开展信息技术咨询工作，结合最新技术，在充分调研采购人实际需求的基础上，提出信息化建设思路和重点内容的目标、原则、内容、实施步骤、总体框架、技术路线、关键技术等。</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具体内容涵盖：</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1.提出总体规划思路。</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重点在完善机制、优化架构、整合资源、深化应用等方面进行探索创新，从指导思想、建设原则、发展目标等方面，提出总体思路。</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2.整体架构设计。</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综合考虑业务能力的框架和要求，以及系统应用支撑、信息基础设施、数据治理等方面的要求和构成，提出信息化的整体架构。</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3.业务应用规划。</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根据采购人需求，深度融合新一代信息化技术，突破传统业务条线垂直运作、单部门循环模式，提出业务系统信息共享、业务协同的整体性解决方案，创新科技主题应用。</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4.安全、标准和运行管理体系规划。</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（1）完善信息化发展综合保障体系，重点围绕运行管理、标准规范、安全保障、产业生态，精准化制定制度体系，为服务应用、公共支撑、基础设施的规划、建设、运营、管理全过程保驾护航。</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根据采购人实际需要，协助组织专家论证工作，并就建设思路、主要内容及重点注意事项，向各相关方进行宣贯和讲解，并做好问题答疑和解释工作，为信息化建设统筹推进、关键项目建设提供信息技术咨询意见。</w:t>
      </w:r>
      <w:r/>
    </w:p>
    <w:p>
      <w:pPr>
        <w:ind w:firstLine="482"/>
        <w:spacing w:line="440" w:lineRule="exact"/>
        <w:rPr>
          <w:rFonts w:hint="eastAsia" w:ascii="宋体" w:hAnsi="宋体" w:eastAsia="宋体" w:cs="宋体"/>
          <w:b/>
          <w:bCs/>
          <w:sz w:val="24"/>
          <w:szCs w:val="32"/>
        </w:rPr>
      </w:pPr>
      <w:r>
        <w:rPr>
          <w:rFonts w:hint="eastAsia" w:ascii="宋体" w:hAnsi="宋体" w:eastAsia="宋体" w:cs="宋体"/>
          <w:b/>
          <w:bCs/>
          <w:sz w:val="24"/>
          <w:szCs w:val="32"/>
        </w:rPr>
        <w:t xml:space="preserve">2.2标准规范咨询服务</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结合项目建设实际，理清设计、建设、监理、测评等分工界面，明确实施方案，配合采购人编制相关建设指导意见、标准规范等文档。</w:t>
      </w:r>
      <w:r/>
    </w:p>
    <w:p>
      <w:pPr>
        <w:ind w:firstLine="482"/>
        <w:spacing w:line="440" w:lineRule="exact"/>
        <w:rPr>
          <w:rFonts w:hint="eastAsia" w:ascii="宋体" w:hAnsi="宋体" w:eastAsia="宋体" w:cs="宋体"/>
          <w:b/>
          <w:bCs/>
          <w:sz w:val="24"/>
          <w:szCs w:val="32"/>
        </w:rPr>
      </w:pPr>
      <w:r>
        <w:rPr>
          <w:rFonts w:hint="eastAsia" w:ascii="宋体" w:hAnsi="宋体" w:eastAsia="宋体" w:cs="宋体"/>
          <w:b/>
          <w:bCs/>
          <w:sz w:val="24"/>
          <w:szCs w:val="32"/>
        </w:rPr>
        <w:t xml:space="preserve">2.3实施过程的技术咨询</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在项目开展过程中，对各类关键技术问题、难点等进行探讨并提出合理化建议。具体包括：</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（1）关键技术探讨，组织项目相关方对项目实施过程中关键技术实现进行探讨，并提供技术建议；</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（2）技术难题解决，深化方案设计过程中针对重点技术难题，组织项目相关方进行讨论，并提出问题解决建议。</w:t>
      </w:r>
      <w:r/>
    </w:p>
    <w:p>
      <w:pPr>
        <w:ind w:firstLine="482"/>
        <w:spacing w:line="440" w:lineRule="exact"/>
        <w:rPr>
          <w:rFonts w:hint="eastAsia" w:ascii="宋体" w:hAnsi="宋体" w:eastAsia="宋体" w:cs="宋体"/>
          <w:b/>
          <w:bCs/>
          <w:sz w:val="24"/>
          <w:szCs w:val="32"/>
        </w:rPr>
      </w:pPr>
      <w:r>
        <w:rPr>
          <w:rFonts w:hint="eastAsia" w:ascii="宋体" w:hAnsi="宋体" w:eastAsia="宋体" w:cs="宋体"/>
          <w:b/>
          <w:bCs/>
          <w:sz w:val="24"/>
          <w:szCs w:val="32"/>
        </w:rPr>
        <w:t xml:space="preserve">3.数据中心运维和卫生专网运维服务</w:t>
      </w:r>
      <w:r/>
    </w:p>
    <w:p>
      <w:pPr>
        <w:ind w:firstLine="482"/>
        <w:spacing w:line="440" w:lineRule="exact"/>
        <w:rPr>
          <w:rFonts w:hint="eastAsia" w:ascii="宋体" w:hAnsi="宋体" w:eastAsia="宋体" w:cs="宋体"/>
          <w:b/>
          <w:bCs/>
          <w:sz w:val="24"/>
          <w:szCs w:val="32"/>
        </w:rPr>
      </w:pPr>
      <w:r>
        <w:rPr>
          <w:rFonts w:hint="eastAsia" w:ascii="宋体" w:hAnsi="宋体" w:eastAsia="宋体" w:cs="宋体"/>
          <w:b/>
          <w:bCs/>
          <w:sz w:val="24"/>
          <w:szCs w:val="32"/>
        </w:rPr>
        <w:t xml:space="preserve">3.1数据中心运维</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1.网络巡检服务：在维护服务期间，每周一次现场巡检服务。</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2.网络环境与设备物理状况巡检：</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（1）环境检查巡检：UPS电源、地线、空调、散热、物理安全性。</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（2）物理状况巡检：包括：设备机体、外观、及风扇、风道及过滤器、状态指示灯、电源、VIP模块、广域网端口、局域网端口等。</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3.硬件部分巡检检查</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（1）设备连接状况检查；</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（2）设备物理安全（电源冗余、机房环境、线缆）；</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（3）设备本身冗余性检查，包括引擎的冗余、电源的冗余；</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（4）设备系统及板卡指示灯状态检查分析；</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（5）端口描述，端口安全性，不使用的端口建议关闭，端口性能检查；</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（6）电源稳定性和线路检查；</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（7）设备有关的软件、硬件和BUG信息收集；</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（8）系统运行状态、性能检查和优化，包括CPU利用率、Mem使用率、Buffer分配、Crash分析；</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（9）设备扩容服务检查分析与支持；</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（10）设备物理检查(包括机体、风扇、风道及过滤器等)与清洁；</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（11）系统硬件运行情况综合分析。</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4.软件部分巡检检查</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（1）网络架构标准化、可扩展性、可用性、可靠性、高性能性、安全性及可管理性等检查；</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（2）系统的使用管理支持及相关升级服务；</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（3）检查系统日志分析报告(show Log) 以及其他的记录文件；</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（4）安全性配置分析；</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（5）管理性配置分析：设备上SNMP、LOGGING设置，NTP配置；</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（6）网络层：路由分发配置、静态路由配置；</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（7）网络系统通讯状态检查；</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（8）路由协议学习管理、质量服务（QOS）；</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（9）检查网络流量、通讯流量控制、网络访问安全、通讯数据类型的转发、VLAN划分等。</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（10）当前系统配置采集及系统更改信息归档；</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（11）将发现有隐患的系统问题及时排除；</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（12）重要事件现场支持服务(例如割接、设备搬迁、现网测试、组网方案等)；</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（13）结合系统软硬件的系统运行状况，进行网络整体拓扑结构化分析。</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5.网络设备维护服务</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（1）在系统维护期间，根据中心网络设备的情况与需求，提供7*24小时技术维护服务，服务内容如下：</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（2）7*24小时远程或现场故障诊断和排除服务；</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（3）系统在线连接信息咨询服务；</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（4）系统微码的使用管理支持服务 ；</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（5）软件补丁升级服务(操作系统)；</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（6）配置文档备份与恢复服务；</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（7）7*24热线服务；</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（8）重要事件现场支持服务(例如割接、设备搬迁、现网测试、组网方案等)；</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（9）定期的预防性维护；</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（10）现场备件更换服务；</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（11）协助网络结构优化方案设计服务；</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（12）协助网络安全设计及优化系统服务；</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（13）配合中心网络地址空间规划与优化设计服务；</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（14）配合网络系统性能优化设计服务等。</w:t>
      </w:r>
      <w:r/>
    </w:p>
    <w:p>
      <w:pPr>
        <w:ind w:firstLine="482"/>
        <w:spacing w:line="440" w:lineRule="exact"/>
        <w:rPr>
          <w:rFonts w:hint="eastAsia" w:ascii="宋体" w:hAnsi="宋体" w:eastAsia="宋体" w:cs="宋体"/>
          <w:b/>
          <w:bCs/>
          <w:sz w:val="24"/>
          <w:szCs w:val="32"/>
        </w:rPr>
      </w:pPr>
      <w:r>
        <w:rPr>
          <w:rFonts w:hint="eastAsia" w:ascii="宋体" w:hAnsi="宋体" w:eastAsia="宋体" w:cs="宋体"/>
          <w:b/>
          <w:bCs/>
          <w:sz w:val="24"/>
          <w:szCs w:val="32"/>
        </w:rPr>
        <w:t xml:space="preserve">3.2服务器运维</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1.提供主动服务模式,做好服务规划,提前发现和解决问题,确保系统7*24运行，具体服务内容包括：</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（1）系统故障定位和排错；</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（2）Windows、Linux、虚拟化软件、集群软件、国产化操作系统安装、升级；</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（3）操作系统补丁的更新；</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（4）服务器微码升级；</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（5）系统备份和系统恢复；</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（6）数据备份和数据恢复；</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（7）替换故障硬盘、RAID重建；</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（8）更换电源、风扇等易损件；</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（9）更换服务器和磁盘阵列中的各类到期电池；</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（10）系统参数的调整优化；</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（11）系统日志的检查和清除 ；</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（12）系统盘的镜像检查 ；</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（13）双机软件的状态检测 ；</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（14）系统目录空间状态使用的监测；</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（15）系统运行状态的监测；</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（16）在国产化操作系统上调试系统配置 。</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2.提供服务器年度运维服务，每周至少进行一次设备巡检，提前发现故障隐患，减少故障造成的宕机时间。提供主动服务模式,做好服务规划,提前发现和解决问题,确保系统7*24运行,具体服务内容包括：    </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（1）对所报告的问题进行定义及完成解决问题所需要的相关信息的收集工作。</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（2）对所报告的问题进行问题根源的分析和诊断。</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（3）对于服务器所安装软件本身的问题，根据需要免费提供相关的修正性软件。</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（4）对服务器有关受支持软件产品的问题，根据需要使用标准系统进行记录和跟踪，并根据实际情形对问题的严重程度和优先级别进行设定和更新。</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（4）在应用软件安装完毕后应进行基本系统测试</w:t>
      </w:r>
      <w:r/>
    </w:p>
    <w:p>
      <w:pPr>
        <w:ind w:firstLine="482"/>
        <w:spacing w:line="440" w:lineRule="exact"/>
        <w:rPr>
          <w:rFonts w:hint="eastAsia" w:ascii="宋体" w:hAnsi="宋体" w:eastAsia="宋体" w:cs="宋体"/>
          <w:b/>
          <w:bCs/>
          <w:sz w:val="24"/>
          <w:szCs w:val="32"/>
        </w:rPr>
      </w:pPr>
      <w:r>
        <w:rPr>
          <w:rFonts w:hint="eastAsia" w:ascii="宋体" w:hAnsi="宋体" w:eastAsia="宋体" w:cs="宋体"/>
          <w:b/>
          <w:bCs/>
          <w:sz w:val="24"/>
          <w:szCs w:val="32"/>
        </w:rPr>
        <w:t xml:space="preserve">3.3存储系统运维</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1.提供主动服务模式,做好服务规划,提前发现和解决问题,确保系统7*24运行，具体服务内容包括：</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（1）设备故障定位和排错 </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（2）设备软件版本升级 </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（3）配置状态检测 </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（4）更换电源、风扇等易损构件 </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（5）系统使用状态检测 </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（6）系统日志分析和监控 </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（7）应急保障方案。综合分析医疗数据中心服务器的软硬件配置、应用情况，在第一次巡检后向采购人提供安全、可靠、切实可行的应急方案。 </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（8）提供存储管理软件配置、备份策略审核等技术支持服务。 </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（9）对存储系统进行性能分析：磁盘读写性能、数据存储备份安全性、I/O性能、解决数据存储性能故障、提高存储系统性能、提升IT系统整体性能。  </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（10）提供存储信息生命周期整体规划，保障用户数据的可靠性和安全性。</w:t>
      </w:r>
      <w:r/>
    </w:p>
    <w:p>
      <w:pPr>
        <w:ind w:firstLine="482"/>
        <w:spacing w:line="440" w:lineRule="exact"/>
        <w:rPr>
          <w:rFonts w:hint="eastAsia" w:ascii="宋体" w:hAnsi="宋体" w:eastAsia="宋体" w:cs="宋体"/>
          <w:b/>
          <w:bCs/>
          <w:sz w:val="24"/>
          <w:szCs w:val="32"/>
        </w:rPr>
      </w:pPr>
      <w:r>
        <w:rPr>
          <w:rFonts w:hint="eastAsia" w:ascii="宋体" w:hAnsi="宋体" w:eastAsia="宋体" w:cs="宋体"/>
          <w:b/>
          <w:bCs/>
          <w:sz w:val="24"/>
          <w:szCs w:val="32"/>
        </w:rPr>
        <w:t xml:space="preserve">3.4虚拟化平台运维</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1.主要的内容如下：</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（1）VMware软件系统基本维护</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（2）VMware系统调优、升级、数据迁移</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（3）虚拟机操作系统的病毒防护、调优与基本维护</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（4）VMware NSX网络虚拟化配置、调优和东西向流量策略维护</w:t>
      </w:r>
      <w:r/>
    </w:p>
    <w:p>
      <w:pPr>
        <w:ind w:firstLine="482"/>
        <w:spacing w:line="440" w:lineRule="exact"/>
        <w:rPr>
          <w:rFonts w:hint="eastAsia" w:ascii="宋体" w:hAnsi="宋体" w:eastAsia="宋体" w:cs="宋体"/>
          <w:b/>
          <w:bCs/>
          <w:sz w:val="24"/>
          <w:szCs w:val="32"/>
        </w:rPr>
      </w:pPr>
      <w:r>
        <w:rPr>
          <w:rFonts w:hint="eastAsia" w:ascii="宋体" w:hAnsi="宋体" w:eastAsia="宋体" w:cs="宋体"/>
          <w:b/>
          <w:bCs/>
          <w:sz w:val="24"/>
          <w:szCs w:val="32"/>
        </w:rPr>
        <w:t xml:space="preserve">3.5卫生专网运维</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1.提供全市公立医疗机构（除东台市人民医院、东台市中医院)的卫生专网运维服务，以专网网关设备为运维边界，对网关及以上的设备、业务每周巡检，故障维修，策略维护，组网方案设计与实施。</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2.每日做好全市公立医疗机构（除东台市人民医院、东台市中医院)刷卡、医保支付、药物配送等场景监控，实时监控分析HIS接口调用情况，保障医疗机构业务平稳有序。</w:t>
      </w:r>
      <w:r/>
    </w:p>
    <w:p>
      <w:pPr>
        <w:ind w:firstLine="482"/>
        <w:spacing w:line="440" w:lineRule="exact"/>
        <w:rPr>
          <w:rFonts w:hint="eastAsia" w:ascii="宋体" w:hAnsi="宋体" w:eastAsia="宋体" w:cs="宋体"/>
          <w:b/>
          <w:bCs/>
          <w:sz w:val="24"/>
          <w:szCs w:val="32"/>
        </w:rPr>
      </w:pPr>
      <w:r>
        <w:rPr>
          <w:rFonts w:hint="eastAsia" w:ascii="宋体" w:hAnsi="宋体" w:eastAsia="宋体" w:cs="宋体"/>
          <w:b/>
          <w:bCs/>
          <w:sz w:val="24"/>
          <w:szCs w:val="32"/>
        </w:rPr>
        <w:t xml:space="preserve">3.6网络安全运维服务</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1.梳理现有信息资产，对资产、脆弱性、威胁进行综合研判，制定安全整改建议。</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2.开展基线核查工作，基础性安全配置是系统安全保障的基础，供应商需在服务期内对主机系统、网络设备、web应用中间件、数据库系统等重要资产根据相关国家技术标准、行业最佳实践等设计安全核查基线，并根据各类资产的安全基线开展基线核查工作，出具安全基线核查报告。</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3.在服务期内建立应急保障团队，派驻应急保障与驻场运维人员，实时监控信息系统安全运行状态，特别是重保期间，及时处置网络安全事件，包括但不仅限于对大规模病毒暴发、网络入侵事件、拒绝攻击、主机或网络异常事件等进行应急响应，规范化检测、抑制、恢复等应急流程。现场处置人员若30分钟内无法解决的，需提供后台专家1小时内到达现场进行支撑。</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4.组织开展应急演练工作，调研现有系统重要性等要素，补充或完善网络安全应急预案；制定应急演练方案，组织技术人员协助开展应急演练工作，锻炼应急保障队伍，验证应急预案的可行性；做好应急演练总结工作，按照网络安全责任制落实要求提供应急演练总结报告。</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5.协助厘清网络安全工作任务。综合考虑人员管理、建设管理、运维管理等多方面重要环节，查漏补缺，明确各单位、各部门所履行的网络安全工作职责，突出网络安全风险管控重点，有效形成白名单化闭环管理模式，切实规范网络安全管理工作。</w:t>
      </w:r>
      <w:r/>
    </w:p>
    <w:p>
      <w:pPr>
        <w:ind w:firstLine="482"/>
        <w:spacing w:line="440" w:lineRule="exact"/>
        <w:rPr>
          <w:rFonts w:hint="eastAsia" w:ascii="宋体" w:hAnsi="宋体" w:eastAsia="宋体" w:cs="宋体"/>
          <w:b/>
          <w:bCs/>
          <w:sz w:val="24"/>
          <w:szCs w:val="32"/>
        </w:rPr>
      </w:pPr>
      <w:r>
        <w:rPr>
          <w:rFonts w:hint="eastAsia" w:ascii="宋体" w:hAnsi="宋体" w:eastAsia="宋体" w:cs="宋体"/>
          <w:b/>
          <w:bCs/>
          <w:sz w:val="24"/>
          <w:szCs w:val="32"/>
        </w:rPr>
        <w:t xml:space="preserve">3.7.专线租赁服务</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1.提供1条互联网出口专线，速率要求为100Mbps，用于数据中心外网出口；数据中心外网承载东台市健康管理中心等业务，要求在网络迁移时做到业务无缝切换。</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2.1条卫生专网出口专线，速率为300Mpbs，用于村卫生室专网接入。村卫生室专网承载HIS、公卫、体检等业务，要求在网络迁移时做到业务无缝切换。</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3.所有村卫生室的卫生专网需使用固定IP，专线电路必须与互联网完全物理隔离，最高时延≤50ms，全年平均可用率99%。</w:t>
      </w:r>
      <w:r/>
    </w:p>
    <w:p>
      <w:pPr>
        <w:ind w:firstLine="482"/>
        <w:spacing w:line="440" w:lineRule="exact"/>
        <w:rPr>
          <w:rFonts w:hint="eastAsia" w:ascii="宋体" w:hAnsi="宋体" w:eastAsia="宋体" w:cs="宋体"/>
          <w:b/>
          <w:bCs/>
          <w:sz w:val="24"/>
          <w:szCs w:val="32"/>
        </w:rPr>
      </w:pPr>
      <w:r>
        <w:rPr>
          <w:rFonts w:hint="eastAsia" w:ascii="宋体" w:hAnsi="宋体" w:eastAsia="宋体" w:cs="宋体"/>
          <w:b/>
          <w:bCs/>
          <w:sz w:val="24"/>
          <w:szCs w:val="32"/>
        </w:rPr>
        <w:t xml:space="preserve">3.8统一应用系统运行监测维护服务</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1.提供统一的运维管理监控服务。</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2.使用专业自动化监控工具，提高监测实时性和准确性。正确设置自动化监控工具的预警阈值，针对不同系统设置合理的监测频度并定期进行检查和评估分析，主要分析进程的活动状态、日志信息、处理器使用率、内存利用率、并发线程数量、并发处理量、关键业务指标、慢SQL执行情况等，监控结果以短信平台、微信消息等渠道发送给相关人员。</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3.每日分析核心业务系统监控日志，跟踪处理日志分析中发现的异常事件，形成日报；每季度全面评估监控日志和操作记录，分析异常情况，形成评估报告。监控日志保存时间不少于一年。</w:t>
      </w:r>
      <w:r/>
    </w:p>
    <w:p>
      <w:pPr>
        <w:ind w:firstLine="562"/>
        <w:spacing w:line="440" w:lineRule="exact"/>
        <w:rPr>
          <w:rFonts w:hint="eastAsia" w:ascii="宋体" w:hAnsi="宋体" w:eastAsia="宋体" w:cs="宋体"/>
          <w:b/>
          <w:bCs/>
          <w:sz w:val="28"/>
          <w:szCs w:val="36"/>
        </w:rPr>
      </w:pPr>
      <w:r>
        <w:rPr>
          <w:rFonts w:hint="eastAsia" w:ascii="宋体" w:hAnsi="宋体" w:eastAsia="宋体" w:cs="宋体"/>
          <w:b/>
          <w:bCs/>
          <w:sz w:val="28"/>
          <w:szCs w:val="36"/>
        </w:rPr>
        <w:t xml:space="preserve">（二）具体要求</w:t>
      </w:r>
      <w:r/>
    </w:p>
    <w:p>
      <w:pPr>
        <w:ind w:firstLine="480"/>
        <w:spacing w:line="440" w:lineRule="exact"/>
        <w:rPr>
          <w:rFonts w:hint="eastAsia" w:ascii="宋体" w:hAnsi="宋体" w:eastAsia="宋体" w:cs="宋体"/>
          <w:i/>
          <w:iCs/>
          <w:sz w:val="24"/>
          <w:szCs w:val="32"/>
        </w:rPr>
      </w:pPr>
      <w:r>
        <w:rPr>
          <w:rFonts w:hint="eastAsia" w:ascii="宋体" w:hAnsi="宋体" w:eastAsia="宋体" w:cs="宋体"/>
          <w:i/>
          <w:iCs/>
          <w:sz w:val="24"/>
          <w:szCs w:val="32"/>
        </w:rPr>
        <w:t xml:space="preserve">（1）机房搬迁、数据中心宽带线路实施建设须在202</w:t>
      </w:r>
      <w:r>
        <w:rPr>
          <w:rFonts w:hint="eastAsia" w:ascii="宋体" w:hAnsi="宋体" w:eastAsia="宋体" w:cs="宋体"/>
          <w:i/>
          <w:iCs/>
          <w:sz w:val="24"/>
          <w:szCs w:val="32"/>
          <w:lang w:val="en-US" w:eastAsia="zh-CN"/>
        </w:rPr>
        <w:t xml:space="preserve">6</w:t>
      </w:r>
      <w:r>
        <w:rPr>
          <w:rFonts w:hint="eastAsia" w:ascii="宋体" w:hAnsi="宋体" w:eastAsia="宋体" w:cs="宋体"/>
          <w:i/>
          <w:iCs/>
          <w:sz w:val="24"/>
          <w:szCs w:val="32"/>
        </w:rPr>
        <w:t xml:space="preserve">年7月1日前完成。（须提供加盖投标人公章的承诺书，上传至符合性审查节点）。</w:t>
      </w:r>
      <w:r/>
    </w:p>
    <w:p>
      <w:pPr>
        <w:ind w:firstLine="480"/>
        <w:spacing w:line="440" w:lineRule="exact"/>
        <w:rPr>
          <w:rFonts w:hint="eastAsia" w:ascii="宋体" w:hAnsi="宋体" w:eastAsia="宋体" w:cs="宋体"/>
          <w:i/>
          <w:iCs/>
          <w:sz w:val="24"/>
          <w:szCs w:val="32"/>
        </w:rPr>
      </w:pPr>
      <w:r>
        <w:rPr>
          <w:rFonts w:hint="eastAsia" w:ascii="宋体" w:hAnsi="宋体" w:eastAsia="宋体" w:cs="宋体"/>
          <w:i/>
          <w:iCs/>
          <w:sz w:val="24"/>
          <w:szCs w:val="32"/>
        </w:rPr>
        <w:t xml:space="preserve">（2）投标人须将采购人原机房内所有通讯线路迁移至投标人所投机房，为保障业务平稳过渡，通讯线路的割接时间不超过1小时（须提供加盖投标人公章的承诺书，上传至符合性审查节点）。</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(3)本项目服务期为202</w:t>
      </w:r>
      <w:r>
        <w:rPr>
          <w:rFonts w:hint="eastAsia" w:ascii="宋体" w:hAnsi="宋体" w:eastAsia="宋体" w:cs="宋体"/>
          <w:sz w:val="24"/>
          <w:szCs w:val="32"/>
          <w:lang w:val="en-US" w:eastAsia="zh-CN"/>
        </w:rPr>
        <w:t xml:space="preserve">6</w:t>
      </w:r>
      <w:r>
        <w:rPr>
          <w:rFonts w:hint="eastAsia" w:ascii="宋体" w:hAnsi="宋体" w:eastAsia="宋体" w:cs="宋体"/>
          <w:sz w:val="24"/>
          <w:szCs w:val="32"/>
        </w:rPr>
        <w:t xml:space="preserve">年7月1日至202</w:t>
      </w:r>
      <w:r>
        <w:rPr>
          <w:rFonts w:hint="eastAsia" w:ascii="宋体" w:hAnsi="宋体" w:eastAsia="宋体" w:cs="宋体"/>
          <w:sz w:val="24"/>
          <w:szCs w:val="32"/>
          <w:lang w:val="en-US" w:eastAsia="zh-CN"/>
        </w:rPr>
        <w:t xml:space="preserve">7</w:t>
      </w:r>
      <w:r>
        <w:rPr>
          <w:rFonts w:hint="eastAsia" w:ascii="宋体" w:hAnsi="宋体" w:eastAsia="宋体" w:cs="宋体"/>
          <w:sz w:val="24"/>
          <w:szCs w:val="32"/>
        </w:rPr>
        <w:t xml:space="preserve">年6月30日。</w:t>
      </w:r>
      <w:r/>
    </w:p>
    <w:p>
      <w:pPr>
        <w:ind w:firstLine="482"/>
        <w:spacing w:line="440" w:lineRule="exact"/>
        <w:rPr>
          <w:rFonts w:hint="eastAsia" w:ascii="宋体" w:hAnsi="宋体" w:eastAsia="宋体" w:cs="宋体"/>
          <w:b/>
          <w:bCs/>
          <w:sz w:val="24"/>
          <w:szCs w:val="32"/>
        </w:rPr>
      </w:pPr>
      <w:r>
        <w:rPr>
          <w:rFonts w:hint="eastAsia" w:ascii="宋体" w:hAnsi="宋体" w:eastAsia="宋体" w:cs="宋体"/>
          <w:b/>
          <w:bCs/>
          <w:sz w:val="24"/>
          <w:szCs w:val="32"/>
        </w:rPr>
        <w:t xml:space="preserve">1．机房搬迁服务具体要求</w:t>
      </w:r>
      <w:r/>
    </w:p>
    <w:p>
      <w:pPr>
        <w:ind w:firstLine="482"/>
        <w:spacing w:line="440" w:lineRule="exact"/>
        <w:rPr>
          <w:rFonts w:hint="eastAsia" w:ascii="宋体" w:hAnsi="宋体" w:eastAsia="宋体" w:cs="宋体"/>
          <w:b/>
          <w:bCs/>
          <w:sz w:val="24"/>
          <w:szCs w:val="32"/>
        </w:rPr>
      </w:pPr>
      <w:r>
        <w:rPr>
          <w:rFonts w:hint="eastAsia" w:ascii="宋体" w:hAnsi="宋体" w:eastAsia="宋体" w:cs="宋体"/>
          <w:b/>
          <w:bCs/>
          <w:sz w:val="24"/>
          <w:szCs w:val="32"/>
        </w:rPr>
        <w:t xml:space="preserve">1.1机房搬迁实施要求</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投标方应在搬迁前对机房进行现场调研，制定机房物理环境准备要求和检测方案，审查主机、服务器、存储、机房环境的准备情况，对其进行健康检查，用以对搬迁方案的详细设计和保障搬迁的实施，以保证搬迁的顺利进行。</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2.通过现场调查等方式了解采购人现有机房设备的相关信息，包括设备连接方式、配置、电源需求、安装环境需求等。</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3.在充分了解现有设备情况后，制定并提交新机房物理环境检测方案。</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4.对设备运行状况进行检测，并提交设备运行状况检测报告，设备运行状况检测报告由中标方和维保服务厂商确认。</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5.投标方在搬迁前必须对所有设备的配置情况（包括端口，硬件配置，IP地址等）做到最终确认。</w:t>
      </w:r>
      <w:r/>
    </w:p>
    <w:p>
      <w:pPr>
        <w:ind w:firstLine="482"/>
        <w:spacing w:line="440" w:lineRule="exact"/>
        <w:rPr>
          <w:rFonts w:hint="eastAsia" w:ascii="宋体" w:hAnsi="宋体" w:eastAsia="宋体" w:cs="宋体"/>
          <w:b/>
          <w:bCs/>
          <w:sz w:val="24"/>
          <w:szCs w:val="32"/>
        </w:rPr>
      </w:pPr>
      <w:r>
        <w:rPr>
          <w:rFonts w:hint="eastAsia" w:ascii="宋体" w:hAnsi="宋体" w:eastAsia="宋体" w:cs="宋体"/>
          <w:b/>
          <w:bCs/>
          <w:sz w:val="24"/>
          <w:szCs w:val="32"/>
        </w:rPr>
        <w:t xml:space="preserve">1.2方案制定</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1.投标方须为设备的搬迁提供可行的项目计划和实施方案：在制定系统搬迁方案时必须和采购人相关部门进行需求的讨论，并在完成详细的搬迁集成设计后经采购人相关部门确认再做相关具体的工作。</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2.为了保证项目方案的合理性和可行性，项目的设计和实施应在采购方的整体战略、组织架构、管理模式、IT现状等方面进行充分调研和全面分析后开展。 </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3.项目实施方案至少应包括：调研搬迁对各业务系统的影响，梳理分析各业务系统的搬迁需求；制定搬迁风险分析方案，列出对各类重要风险点和事项，确保搬迁过程风险的消除；并根据调研结果和风险分析结果与采购方协商制定详细的迁移实施步骤和应急预案，进行搬迁测试和搬迁演练。</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其中搬迁实施步骤至少应包括：搬迁详细计划设计；搬迁控制流程设计；搬迁操作流程设计；搬迁场地环境设计；搬迁业务验证方案；设备包装运输方案。</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4.投标方在完成详细的搬迁设计后即可进行项目实施，搬迁工作必须根据详细搬迁设计方案进行，不得任意修改搬迁设计方案，如确须修改则应修改设计方案并提交客户方重新评审完成后再开始搬迁工作。</w:t>
      </w:r>
      <w:r/>
    </w:p>
    <w:p>
      <w:pPr>
        <w:ind w:firstLine="482"/>
        <w:spacing w:line="440" w:lineRule="exact"/>
        <w:rPr>
          <w:rFonts w:hint="eastAsia" w:ascii="宋体" w:hAnsi="宋体" w:eastAsia="宋体" w:cs="宋体"/>
          <w:b/>
          <w:bCs/>
          <w:sz w:val="24"/>
          <w:szCs w:val="32"/>
        </w:rPr>
      </w:pPr>
      <w:r>
        <w:rPr>
          <w:rFonts w:hint="eastAsia" w:ascii="宋体" w:hAnsi="宋体" w:eastAsia="宋体" w:cs="宋体"/>
          <w:b/>
          <w:bCs/>
          <w:sz w:val="24"/>
          <w:szCs w:val="32"/>
        </w:rPr>
        <w:t xml:space="preserve">1.3搬迁实施</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1.搬迁实施过程中中标方将所有设备根据搬迁策略定义的批次和规定的停机时间要求，安排足够的专业人员提供现场搬迁支持服务，在规定的时间内指挥完成设备搬迁和系统切换各项工作，具体工作内容有：</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（1）人员组织、协调、控制和管理：工作人员稳定性保证，负责组织协调调度各厂商，控制数据的安全和保密性，根据确定的停关机流程及时间保障搬迁进度。</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2）搬迁过程实施和管理：搬迁设备上下架、拆卸与线缆连接、绑扎等，搬迁过程管理和协调服务，配合集成商检测设备确定是否能够恢复运行，紧急情况下恢复或回退总体管理和控制，确保搬迁过程中设备运输的安全性，搬迁文档管理。</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（3）备件更换：在设备搬迁过程中，若有服务器配件损坏，须由供应商进行免费更换。</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4）核心计算存储设备搬迁要求：投标人针对用户机房环境、设备数量、设备拆卸安装、物流运输、网络调整、设备初始化配置等进行充分调研，分析搬迁过程中可能存在的风险，制定详细、可行、安全可控的设备搬迁方案。待设备搬迁后，投标人须配合采购人对数据中心核心计算存储设备进行业务数据完整性、一致性检测，确保各个分区和操作系统的完整性。完成包括分区的划分；存储数据配置的导入导出；SAN网络和存储的连接配置；网络环境的调整；备份和灾备系统的变更与恢复；机房综合布线；免费更换损坏配件等全部工作。</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5）PC服务器搬迁要求：投标人需根据采购人要求提供PC服务器整机搬迁服务，相关服务器在搬迁过程中不得私自拆卸、更换。待设备搬迁后，投标人需配合采购方对数据中心PC服务器进行健康性检查，免费更换损坏配件；完成包括虚拟化环境的初始化配置；虚拟机的迁移；服务器资源的整合；操作系统的安装；存储数据配置的导入导出； SAN网络和存储的连接配置；网络环境的调整；备份和灾备系统的变更与恢复；机房综合布线等全部工作。</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6）网络安全设备搬迁要求：须根据采购人要求提供网络安全设备的整机搬迁服务，相关服务器在搬迁过程中不得私自拆卸、更换。待设备搬迁后，须配合采购人对数据中心网络安全设备进行健康性检查，免费更换损坏配件；完成包括设备上架；IP地址规划；网络路由协议规划；安全域的变更；网络环境的调整；设备的初始化配置；备份和灾备系统的变更与恢复；机房综合布线等全部工作。</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（7）强弱电线路改造要求：须根据采购人要求对目标机房进行实地勘察，了解机房配电柜电压、机柜电流上限、PDU功率等参数，并以此为基础制定强弱电改造服务方案，以满足搬迁设备的强弱电连接需求。</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（8）搬迁完成阶段工作要求：配合进行系统的搭建安装以及系统一致性、完好性、可用性测试，搬迁中产生的过程和控制文档汇总，搬迁中产生的各种管理文档汇总（包括各项工作的档案）</w:t>
      </w:r>
      <w:r/>
    </w:p>
    <w:p>
      <w:pPr>
        <w:ind w:firstLine="482"/>
        <w:spacing w:line="440" w:lineRule="exact"/>
        <w:rPr>
          <w:rFonts w:hint="eastAsia" w:ascii="宋体" w:hAnsi="宋体" w:eastAsia="宋体" w:cs="宋体"/>
          <w:b/>
          <w:bCs/>
          <w:sz w:val="24"/>
          <w:szCs w:val="32"/>
        </w:rPr>
      </w:pPr>
      <w:r>
        <w:rPr>
          <w:rFonts w:hint="eastAsia" w:ascii="宋体" w:hAnsi="宋体" w:eastAsia="宋体" w:cs="宋体"/>
          <w:b/>
          <w:bCs/>
          <w:sz w:val="24"/>
          <w:szCs w:val="32"/>
        </w:rPr>
        <w:t xml:space="preserve">1.4应急预案要求</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中标人提供的项目应急预案至少应包含天气原因、部件损坏、部件遗失、搬迁后设备或系统软件无法启动等风险因素和解决方案。对于以上提到的风险情况，中标人应确保配合客户一起在12小时内保证业务的恢复，如有特殊情况，中标人应及时用书面的形式向采购人汇报，经采购人认可，双方再协商处理。具体要求为：</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（1）须从逻辑上完整地进行搬迁风险分析、消减潜在风险、定义应急机制；生成风险事件列表及相应的风险消减措施；开发应急策略、应急流程、应急任务及操作步骤，落实应急需要的资源；</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（2）在机房搬迁期间出现故障或不可预测的意外情况时，与采购人共同决定是否实施应急预案。</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（3）按照应急预案，进行主机设备或网络设备的架构或配置的调整，并负责应急预案中所要求的由投标方完成的所有操作。</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（4）对于风险事件列表之外的事件，开发紧急处置策略及流程。</w:t>
      </w:r>
      <w:r/>
    </w:p>
    <w:p>
      <w:pPr>
        <w:ind w:firstLine="482"/>
        <w:spacing w:line="440" w:lineRule="exact"/>
        <w:rPr>
          <w:rFonts w:hint="eastAsia" w:ascii="宋体" w:hAnsi="宋体" w:eastAsia="宋体" w:cs="宋体"/>
          <w:b/>
          <w:bCs/>
          <w:sz w:val="24"/>
          <w:szCs w:val="32"/>
        </w:rPr>
      </w:pPr>
      <w:r>
        <w:rPr>
          <w:rFonts w:hint="eastAsia" w:ascii="宋体" w:hAnsi="宋体" w:eastAsia="宋体" w:cs="宋体"/>
          <w:b/>
          <w:bCs/>
          <w:sz w:val="24"/>
          <w:szCs w:val="32"/>
        </w:rPr>
        <w:t xml:space="preserve">1.5物流要求</w:t>
      </w:r>
      <w:r/>
    </w:p>
    <w:p>
      <w:pPr>
        <w:numPr>
          <w:ilvl w:val="0"/>
          <w:numId w:val="3"/>
        </w:num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物流要求：</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（1）具有与本次搬迁设备类型相同的设备搬迁经验。</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（2）提供相应包装材料的方案信息及运输工具；</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（3）设备包装符合规范，并分类分项做好标签；</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（4）提供完善的现场保护措施；</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（5）制定合理的工作流程，明确各个环节工作内容；</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（6）提供充足的人员配置；</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（7）提供完善的应急预案；</w:t>
      </w:r>
      <w:r/>
    </w:p>
    <w:p>
      <w:pPr>
        <w:ind w:firstLine="482"/>
        <w:spacing w:line="440" w:lineRule="exact"/>
        <w:rPr>
          <w:rFonts w:hint="eastAsia" w:ascii="宋体" w:hAnsi="宋体" w:eastAsia="宋体" w:cs="宋体"/>
          <w:b/>
          <w:bCs/>
          <w:sz w:val="24"/>
          <w:szCs w:val="32"/>
        </w:rPr>
      </w:pPr>
      <w:r>
        <w:rPr>
          <w:rFonts w:hint="eastAsia" w:ascii="宋体" w:hAnsi="宋体" w:eastAsia="宋体" w:cs="宋体"/>
          <w:b/>
          <w:bCs/>
          <w:sz w:val="24"/>
          <w:szCs w:val="32"/>
        </w:rPr>
        <w:t xml:space="preserve">1.6搬迁注意事项</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1.设备正式搬迁下电前，再次对设备运行状况进行检测，记录当时设备的运行状态。</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2.在搬迁过程的各个阶段，中标人须安排足够合格的、经客户方认可的人员在现场完成搬迁工作，保证双方沟通畅顺，以及时解决项目过程中发生的问题，并且在项目过程中不得随意更换人员或未经采购人同意而随意离开现场，以保证搬迁工作按质按量完成。投标人应答时必须提供详细的工程人员名单，名单中必须列明各人员的学历、工作经验及原厂技术认证等信息。</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3.拆卸、包装和安装调试设备时须对场地内的其它设备、设施有良好的保护措施。对硬件按实施方案进行拆卸，以便于包装和运输。拆卸操作应符合设备原厂商的操作规范、流程和步骤。</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4.搬迁设备的包装须采用国家或专业标准保护措施进行，适应于本次搬迁运输、防潮、防震、防锈和防粗暴装卸。</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5.设备运抵新机房并在指定位置上架后，根据实施计划进行设备的安装和调试，并对硬件进行健康性检查。安装操作应符合设备原厂商的操作规范、流程和步骤。</w:t>
      </w:r>
      <w:r/>
    </w:p>
    <w:p>
      <w:pPr>
        <w:ind w:firstLine="482"/>
        <w:spacing w:line="440" w:lineRule="exact"/>
        <w:rPr>
          <w:rFonts w:hint="eastAsia" w:ascii="宋体" w:hAnsi="宋体" w:eastAsia="宋体" w:cs="宋体"/>
          <w:b/>
          <w:bCs/>
          <w:sz w:val="24"/>
          <w:szCs w:val="32"/>
        </w:rPr>
      </w:pPr>
      <w:r>
        <w:rPr>
          <w:rFonts w:hint="eastAsia" w:ascii="宋体" w:hAnsi="宋体" w:eastAsia="宋体" w:cs="宋体"/>
          <w:b/>
          <w:bCs/>
          <w:sz w:val="24"/>
          <w:szCs w:val="32"/>
        </w:rPr>
        <w:t xml:space="preserve">1.7实施人员要求</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1.要求组建固定的实施团队，集中驻场地点按照采购人要求，投标人须提供全部实施人员名单。</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2.机房搬迁服务期间人员名单原则上不得调整，如确需调整，须提前一个月向采购人报告人员变更情况，且调入人员的资历和从业经验不低于调出人员，在确认不影响服务质量并经采购人许可后方可调换，并保证一段时间的并行转换期。</w:t>
      </w:r>
      <w:r/>
    </w:p>
    <w:p>
      <w:pPr>
        <w:ind w:firstLine="482"/>
        <w:spacing w:line="440" w:lineRule="exact"/>
        <w:rPr>
          <w:rFonts w:hint="eastAsia" w:ascii="宋体" w:hAnsi="宋体" w:eastAsia="宋体" w:cs="宋体"/>
          <w:b/>
          <w:bCs/>
          <w:sz w:val="24"/>
          <w:szCs w:val="32"/>
        </w:rPr>
      </w:pPr>
      <w:r>
        <w:rPr>
          <w:rFonts w:hint="eastAsia" w:ascii="宋体" w:hAnsi="宋体" w:eastAsia="宋体" w:cs="宋体"/>
          <w:b/>
          <w:bCs/>
          <w:sz w:val="24"/>
          <w:szCs w:val="32"/>
        </w:rPr>
        <w:t xml:space="preserve">1.8其他要求</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1.费用：</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中标价包含搬迁中涉及的物流运输、设备保险、技术服务人员、备品备件、设备下电加电、初始化配置、强弱电改造、综合布线耗材、必要的临时设备借用等一切费用，采购人不再支付其他费用。</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2.意外事故：</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中标方在搬迁过程期间，发生中标方人员受伤、死亡事故，由中标方负责。</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3.保密与责任：</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（1）中标人应与采购人签订保密协议，遵守保密要求，对应用系统数据、设备使用情况和系统架构等须严格保密。</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2）中标人在进行具体操作和配置时，必须做好事先准备工作，充分预估可能产生的风险和造成的损失，对于因准备不充分、操作不当、误操作等导致的设备故障、应用风险、网络中断、数据丢失等事故和造成的损失，服务公司和技术人员须承担全部责任，并对造成的损失进行赔偿。</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3）中标人应对用户的有关档案、条文、规格、计划、图纸或资料及业务数据、技术数据等信息及其载体承担保密义务。凡涉及执行本项目所需一切资料均为用户的保密信息。未经采购人书面许可，中标人不得向任何第三方及非参与本项目的人员透露任何保密信息，亦不得用于本项目之外的任何其他用途。</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4.中标人须确保所提供的相关服务资源符合相关知识产权规定，一旦发生知识产权纠纷，所有责任由中标人独自承担。</w:t>
      </w:r>
      <w:r/>
    </w:p>
    <w:p>
      <w:pPr>
        <w:numPr>
          <w:ilvl w:val="2"/>
          <w:numId w:val="0"/>
        </w:numPr>
        <w:ind w:firstLine="482"/>
        <w:jc w:val="both"/>
        <w:keepLines/>
        <w:keepNext/>
        <w:spacing w:before="156" w:after="156" w:line="460" w:lineRule="atLeast"/>
        <w:widowControl w:val="off"/>
        <w:tabs>
          <w:tab w:val="left" w:pos="420" w:leader="none"/>
        </w:tabs>
        <w:rPr>
          <w:rFonts w:hint="eastAsia" w:ascii="宋体" w:hAnsi="宋体" w:eastAsia="宋体" w:cs="宋体"/>
          <w:b/>
          <w:bCs/>
          <w:sz w:val="24"/>
          <w:szCs w:val="32"/>
          <w:lang w:val="en-US" w:eastAsia="zh-CN" w:bidi="ar-SA"/>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bCs/>
          <w:sz w:val="24"/>
          <w:szCs w:val="32"/>
          <w:lang w:val="en-US" w:eastAsia="zh-CN" w:bidi="ar-SA"/>
        </w:rPr>
        <w:t xml:space="preserve">2．机房托管、搬迁服务实施以及线路要求</w:t>
      </w:r>
      <w:r/>
    </w:p>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技术指标、参数要求汇总一览表</w:t>
      </w:r>
      <w:r/>
    </w:p>
    <w:tbl>
      <w:tblPr>
        <w:tblStyle w:val="8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8"/>
        <w:gridCol w:w="1532"/>
        <w:gridCol w:w="1586"/>
        <w:gridCol w:w="477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 w:type="dxa"/>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业务种类</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62" w:type="dxa"/>
            <w:vAlign w:val="center"/>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技术规格、参数要求</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互联网宽带</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2" w:type="dxa"/>
            <w:textDirection w:val="lrTb"/>
            <w:noWrap w:val="false"/>
          </w:tcPr>
          <w:p>
            <w:pP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IPv4 地址：提供≥4个IPv4地址。</w:t>
            </w:r>
            <w:r/>
          </w:p>
          <w:p>
            <w:pP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IPv6地址：同时支持IPv4/IPv6。提供≥64个IPv6地址。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互联网宽带</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2" w:type="dxa"/>
            <w:textDirection w:val="lrTb"/>
            <w:noWrap w:val="false"/>
          </w:tcPr>
          <w:p>
            <w:pP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带宽：≥100Mpbs，上下行带宽对等，实际测速结果达到带宽要求视为测速达标。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互联网宽带</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2" w:type="dxa"/>
            <w:textDirection w:val="lrTb"/>
            <w:noWrap w:val="false"/>
          </w:tcPr>
          <w:p>
            <w:pP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丢包率：连接至网内热点网站的网络丢包率≤2%；网络时延：连接至网内热点网站的Ping网络时延≤50ms;</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互联网宽带</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2" w:type="dxa"/>
            <w:textDirection w:val="lrTb"/>
            <w:noWrap w:val="false"/>
          </w:tcPr>
          <w:p>
            <w:pP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网络时延：连接至网内热点网站的Ping网络时延≤50ms;</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互联网宽带</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2" w:type="dxa"/>
            <w:textDirection w:val="lrTb"/>
            <w:noWrap w:val="false"/>
          </w:tcPr>
          <w:p>
            <w:pP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业务可用率：线路通路全年可用率平均达到99％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互联网宽带</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2" w:type="dxa"/>
            <w:textDirection w:val="lrTb"/>
            <w:noWrap w:val="false"/>
          </w:tcPr>
          <w:p>
            <w:pP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接口要求：提供单模GE光口。</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村卫生室卫生专网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2" w:type="dxa"/>
            <w:textDirection w:val="lrTb"/>
            <w:noWrap w:val="false"/>
          </w:tcPr>
          <w:p>
            <w:pP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出口带宽：≥300Mpbs，上下行带宽对等，实际测速结果达到带宽要求视为测速达标。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村卫生室卫生专网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2" w:type="dxa"/>
            <w:textDirection w:val="lrTb"/>
            <w:noWrap w:val="false"/>
          </w:tcPr>
          <w:p>
            <w:pP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IPv4地址：各卫生室要求固定IP，专线电路必须与互联网完全物理隔离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村卫生室卫生专网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2" w:type="dxa"/>
            <w:textDirection w:val="lrTb"/>
            <w:noWrap w:val="false"/>
          </w:tcPr>
          <w:p>
            <w:pP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丢包率：连接至内网核心业务的网络丢包率≤2%；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村卫生室卫生专网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2" w:type="dxa"/>
            <w:textDirection w:val="lrTb"/>
            <w:noWrap w:val="false"/>
          </w:tcPr>
          <w:p>
            <w:pP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网络延时：连接至内网核心业务的Ping网络时延≤50ms;</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村卫生室卫生专网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2" w:type="dxa"/>
            <w:textDirection w:val="lrTb"/>
            <w:noWrap w:val="false"/>
          </w:tcPr>
          <w:p>
            <w:pP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业务可用率：线路通路全年可用率平均达到99％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机房搬迁通信线路要求</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2" w:type="dxa"/>
            <w:textDirection w:val="lrTb"/>
            <w:noWrap w:val="false"/>
          </w:tcPr>
          <w:p>
            <w:pP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现有机房及中标机房中有多个运营商的多条通讯线路，包括互联网线路及部分专线，由于本次搬迁项目将根据应用系统分批进行，搬迁周期较长，为保障搬迁过程中不影响业务的正常运行，应在搬迁期间提供应用系统需要的运营商链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机房租赁托管服务电源以及温湿度要求</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2" w:type="dxa"/>
            <w:textDirection w:val="lrTb"/>
            <w:noWrap w:val="false"/>
          </w:tcPr>
          <w:p>
            <w:pP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机房须设在江苏省东台市内，至少应包括主、备机房共25个机柜，两处机房不可处于同一供电线路。</w:t>
            </w:r>
            <w:r/>
          </w:p>
          <w:p>
            <w:pP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机房配置不间断电源系统（冗余架构标准不低于2N），系统上联自不同的市电，满足机房内满载状况下不低于15分钟的用电需求。机房配备专用机房精密空调，可精确控制各空间的温度及湿度，并配有备用机组。保证机房常年恒温恒湿，满足机房温度常年在21-25 摄氏度之间，相对湿度常年在40%-60%之间。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jc w:val="center"/>
              <w:spacing w:line="460"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机房租赁托管服务动环监控要求</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2" w:type="dxa"/>
            <w:textDirection w:val="lrTb"/>
            <w:noWrap w:val="false"/>
          </w:tcPr>
          <w:p>
            <w:pPr>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机房配置满足国家密码应用测评标准动力环境监控、门禁、视频监控等安全保卫措施，能监控到机房温湿度、漏水、电力、消防、门禁等信息，日志保存不少于90天。机房配置不少于4人的独立办公区域，配备</w:t>
            </w:r>
            <w:r>
              <w:rPr>
                <w:rFonts w:hint="eastAsia" w:ascii="宋体" w:hAnsi="宋体" w:eastAsia="宋体" w:cs="宋体"/>
                <w:color w:val="000000"/>
                <w:sz w:val="24"/>
              </w:rPr>
              <w:t xml:space="preserve">电脑、</w:t>
            </w:r>
            <w:r>
              <w:rPr>
                <w:rFonts w:hint="default" w:ascii="宋体" w:hAnsi="宋体" w:eastAsia="宋体" w:cs="宋体"/>
                <w:color w:val="000000"/>
                <w:sz w:val="24"/>
              </w:rPr>
              <w:t xml:space="preserve">电话</w:t>
            </w:r>
            <w:r>
              <w:rPr>
                <w:rFonts w:hint="eastAsia" w:ascii="宋体" w:hAnsi="宋体" w:eastAsia="宋体" w:cs="宋体"/>
                <w:color w:val="000000"/>
                <w:sz w:val="24"/>
              </w:rPr>
              <w:t xml:space="preserve">、</w:t>
            </w:r>
            <w:r>
              <w:rPr>
                <w:rFonts w:hint="default" w:ascii="宋体" w:hAnsi="宋体" w:eastAsia="宋体" w:cs="宋体"/>
                <w:color w:val="000000"/>
                <w:sz w:val="24"/>
              </w:rPr>
              <w:t xml:space="preserve">网络等基本的办公条件以及后勤保障服务。</w:t>
            </w:r>
            <w:r/>
          </w:p>
        </w:tc>
      </w:tr>
      <w:tr>
        <w:trPr/>
        <w:tc>
          <w:tcPr>
            <w:tcBorders>
              <w:top w:val="none" w:color="000000" w:sz="4" w:space="0"/>
              <w:left w:val="single" w:color="000000" w:sz="8" w:space="0"/>
              <w:right w:val="single" w:color="000000" w:sz="8" w:space="0"/>
            </w:tcBorders>
            <w:tcMar>
              <w:left w:w="108" w:type="dxa"/>
              <w:top w:w="0" w:type="dxa"/>
              <w:right w:w="108" w:type="dxa"/>
              <w:bottom w:w="0" w:type="dxa"/>
            </w:tcMar>
            <w:tcW w:w="628" w:type="dxa"/>
            <w:vAlign w:val="center"/>
            <w:vMerge w:val="restart"/>
            <w:textDirection w:val="lrTb"/>
            <w:noWrap w:val="false"/>
          </w:tcPr>
          <w:p>
            <w:pPr>
              <w:jc w:val="center"/>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15</w:t>
            </w:r>
            <w:r/>
          </w:p>
        </w:tc>
        <w:tc>
          <w:tcPr>
            <w:tcBorders>
              <w:top w:val="none" w:color="000000" w:sz="4" w:space="0"/>
              <w:left w:val="single" w:color="000000" w:sz="8" w:space="0"/>
              <w:right w:val="single" w:color="000000" w:sz="8" w:space="0"/>
            </w:tcBorders>
            <w:tcMar>
              <w:left w:w="108" w:type="dxa"/>
              <w:top w:w="0" w:type="dxa"/>
              <w:right w:w="108" w:type="dxa"/>
              <w:bottom w:w="0" w:type="dxa"/>
            </w:tcMar>
            <w:tcW w:w="1532" w:type="dxa"/>
            <w:vAlign w:val="center"/>
            <w:vMerge w:val="restart"/>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机房租赁托管服务-机柜</w:t>
            </w:r>
            <w:r/>
          </w:p>
          <w:p>
            <w:pPr>
              <w:jc w:val="center"/>
              <w:spacing w:line="460"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textDirection w:val="lrTb"/>
            <w:noWrap w:val="false"/>
          </w:tcPr>
          <w:p>
            <w:pPr>
              <w:jc w:val="center"/>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指标项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6" w:type="dxa"/>
            <w:textDirection w:val="lrTb"/>
            <w:noWrap w:val="false"/>
          </w:tcPr>
          <w:p>
            <w:pPr>
              <w:jc w:val="center"/>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技术参数要求</w:t>
            </w:r>
            <w:r/>
          </w:p>
        </w:tc>
      </w:tr>
      <w:tr>
        <w:trPr/>
        <w:tc>
          <w:tcPr>
            <w:tcBorders>
              <w:left w:val="single" w:color="000000" w:sz="8" w:space="0"/>
              <w:right w:val="single" w:color="000000" w:sz="8" w:space="0"/>
            </w:tcBorders>
            <w:tcMar>
              <w:left w:w="108" w:type="dxa"/>
              <w:top w:w="0" w:type="dxa"/>
              <w:right w:w="108" w:type="dxa"/>
              <w:bottom w:w="0" w:type="dxa"/>
            </w:tcMar>
            <w:tcW w:w="628" w:type="dxa"/>
            <w:vAlign w:val="center"/>
            <w:vMerge w:val="continue"/>
            <w:textDirection w:val="lrTb"/>
            <w:noWrap w:val="false"/>
          </w:tcPr>
          <w:p>
            <w:pPr>
              <w:jc w:val="center"/>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tc>
        <w:tc>
          <w:tcPr>
            <w:tcBorders>
              <w:left w:val="single" w:color="000000" w:sz="8" w:space="0"/>
              <w:right w:val="single" w:color="000000" w:sz="8" w:space="0"/>
            </w:tcBorders>
            <w:tcMar>
              <w:left w:w="108" w:type="dxa"/>
              <w:top w:w="0" w:type="dxa"/>
              <w:right w:w="108" w:type="dxa"/>
              <w:bottom w:w="0" w:type="dxa"/>
            </w:tcMar>
            <w:tcW w:w="1532" w:type="dxa"/>
            <w:vAlign w:val="center"/>
            <w:vMerge w:val="continue"/>
            <w:textDirection w:val="lrTb"/>
            <w:noWrap w:val="false"/>
          </w:tcPr>
          <w:p>
            <w:pPr>
              <w:jc w:val="center"/>
              <w:spacing w:line="460"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jc w:val="center"/>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6" w:type="dxa"/>
            <w:textDirection w:val="lrTb"/>
            <w:noWrap w:val="false"/>
          </w:tcPr>
          <w:p>
            <w:pPr>
              <w:jc w:val="left"/>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≥20个连续机柜，分为两组。</w:t>
            </w:r>
            <w:r/>
          </w:p>
        </w:tc>
      </w:tr>
      <w:tr>
        <w:trPr/>
        <w:tc>
          <w:tcPr>
            <w:tcBorders>
              <w:left w:val="single" w:color="000000" w:sz="8" w:space="0"/>
              <w:right w:val="single" w:color="000000" w:sz="8" w:space="0"/>
            </w:tcBorders>
            <w:tcMar>
              <w:left w:w="108" w:type="dxa"/>
              <w:top w:w="0" w:type="dxa"/>
              <w:right w:w="108" w:type="dxa"/>
              <w:bottom w:w="0" w:type="dxa"/>
            </w:tcMar>
            <w:tcW w:w="628" w:type="dxa"/>
            <w:vAlign w:val="center"/>
            <w:vMerge w:val="continue"/>
            <w:textDirection w:val="lrTb"/>
            <w:noWrap w:val="false"/>
          </w:tcPr>
          <w:p>
            <w:pPr>
              <w:jc w:val="center"/>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tc>
        <w:tc>
          <w:tcPr>
            <w:tcBorders>
              <w:left w:val="single" w:color="000000" w:sz="8" w:space="0"/>
              <w:right w:val="single" w:color="000000" w:sz="8" w:space="0"/>
            </w:tcBorders>
            <w:tcMar>
              <w:left w:w="108" w:type="dxa"/>
              <w:top w:w="0" w:type="dxa"/>
              <w:right w:w="108" w:type="dxa"/>
              <w:bottom w:w="0" w:type="dxa"/>
            </w:tcMar>
            <w:tcW w:w="1532" w:type="dxa"/>
            <w:vAlign w:val="center"/>
            <w:vMerge w:val="continue"/>
            <w:textDirection w:val="lrTb"/>
            <w:noWrap w:val="false"/>
          </w:tcPr>
          <w:p>
            <w:pPr>
              <w:jc w:val="center"/>
              <w:spacing w:line="460"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jc w:val="center"/>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环境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6" w:type="dxa"/>
            <w:textDirection w:val="lrTb"/>
            <w:noWrap w:val="false"/>
          </w:tcPr>
          <w:p>
            <w:pPr>
              <w:jc w:val="left"/>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需配备独立冷通道、封闭隔断或独立包间；具有桥架和配线架。</w:t>
            </w:r>
            <w:r/>
          </w:p>
        </w:tc>
      </w:tr>
      <w:tr>
        <w:trPr/>
        <w:tc>
          <w:tcPr>
            <w:tcBorders>
              <w:left w:val="single" w:color="000000" w:sz="8" w:space="0"/>
              <w:right w:val="single" w:color="000000" w:sz="8" w:space="0"/>
            </w:tcBorders>
            <w:tcMar>
              <w:left w:w="108" w:type="dxa"/>
              <w:top w:w="0" w:type="dxa"/>
              <w:right w:w="108" w:type="dxa"/>
              <w:bottom w:w="0" w:type="dxa"/>
            </w:tcMar>
            <w:tcW w:w="628" w:type="dxa"/>
            <w:vAlign w:val="center"/>
            <w:vMerge w:val="continue"/>
            <w:textDirection w:val="lrTb"/>
            <w:noWrap w:val="false"/>
          </w:tcPr>
          <w:p>
            <w:pPr>
              <w:jc w:val="center"/>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tc>
        <w:tc>
          <w:tcPr>
            <w:tcBorders>
              <w:left w:val="single" w:color="000000" w:sz="8" w:space="0"/>
              <w:right w:val="single" w:color="000000" w:sz="8" w:space="0"/>
            </w:tcBorders>
            <w:tcMar>
              <w:left w:w="108" w:type="dxa"/>
              <w:top w:w="0" w:type="dxa"/>
              <w:right w:w="108" w:type="dxa"/>
              <w:bottom w:w="0" w:type="dxa"/>
            </w:tcMar>
            <w:tcW w:w="1532" w:type="dxa"/>
            <w:vAlign w:val="center"/>
            <w:vMerge w:val="continue"/>
            <w:textDirection w:val="lrTb"/>
            <w:noWrap w:val="false"/>
          </w:tcPr>
          <w:p>
            <w:pPr>
              <w:jc w:val="center"/>
              <w:spacing w:line="460"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jc w:val="center"/>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尺寸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6" w:type="dxa"/>
            <w:textDirection w:val="lrTb"/>
            <w:noWrap w:val="false"/>
          </w:tcPr>
          <w:p>
            <w:pPr>
              <w:jc w:val="left"/>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42U 机柜，尺寸≥600mm×1200mm×2200mm</w:t>
            </w:r>
            <w:r/>
          </w:p>
        </w:tc>
      </w:tr>
      <w:tr>
        <w:trPr/>
        <w:tc>
          <w:tcPr>
            <w:tcBorders>
              <w:left w:val="single" w:color="000000" w:sz="8" w:space="0"/>
              <w:right w:val="single" w:color="000000" w:sz="8" w:space="0"/>
            </w:tcBorders>
            <w:tcMar>
              <w:left w:w="108" w:type="dxa"/>
              <w:top w:w="0" w:type="dxa"/>
              <w:right w:w="108" w:type="dxa"/>
              <w:bottom w:w="0" w:type="dxa"/>
            </w:tcMar>
            <w:tcW w:w="628" w:type="dxa"/>
            <w:vAlign w:val="center"/>
            <w:vMerge w:val="continue"/>
            <w:textDirection w:val="lrTb"/>
            <w:noWrap w:val="false"/>
          </w:tcPr>
          <w:p>
            <w:pPr>
              <w:jc w:val="center"/>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tc>
        <w:tc>
          <w:tcPr>
            <w:tcBorders>
              <w:left w:val="single" w:color="000000" w:sz="8" w:space="0"/>
              <w:right w:val="single" w:color="000000" w:sz="8" w:space="0"/>
            </w:tcBorders>
            <w:tcMar>
              <w:left w:w="108" w:type="dxa"/>
              <w:top w:w="0" w:type="dxa"/>
              <w:right w:w="108" w:type="dxa"/>
              <w:bottom w:w="0" w:type="dxa"/>
            </w:tcMar>
            <w:tcW w:w="1532" w:type="dxa"/>
            <w:vAlign w:val="center"/>
            <w:vMerge w:val="continue"/>
            <w:textDirection w:val="lrTb"/>
            <w:noWrap w:val="false"/>
          </w:tcPr>
          <w:p>
            <w:pPr>
              <w:jc w:val="center"/>
              <w:spacing w:line="460"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jc w:val="center"/>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6" w:type="dxa"/>
            <w:vAlign w:val="center"/>
            <w:textDirection w:val="lrTb"/>
            <w:noWrap w:val="false"/>
          </w:tcPr>
          <w:p>
            <w:pPr>
              <w:jc w:val="left"/>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每个机柜都有独立的六类线和多模光纤直通网络机柜，并可根据实际需要新增六类线和多模光纤。</w:t>
            </w:r>
            <w:r/>
          </w:p>
        </w:tc>
      </w:tr>
      <w:tr>
        <w:trPr>
          <w:trHeight w:val="153"/>
        </w:trPr>
        <w:tc>
          <w:tcPr>
            <w:tcBorders>
              <w:left w:val="single" w:color="000000" w:sz="8" w:space="0"/>
              <w:right w:val="single" w:color="000000" w:sz="8" w:space="0"/>
            </w:tcBorders>
            <w:tcMar>
              <w:left w:w="108" w:type="dxa"/>
              <w:top w:w="0" w:type="dxa"/>
              <w:right w:w="108" w:type="dxa"/>
              <w:bottom w:w="0" w:type="dxa"/>
            </w:tcMar>
            <w:tcW w:w="628" w:type="dxa"/>
            <w:vAlign w:val="center"/>
            <w:vMerge w:val="continue"/>
            <w:textDirection w:val="lrTb"/>
            <w:noWrap w:val="false"/>
          </w:tcPr>
          <w:p>
            <w:pPr>
              <w:jc w:val="center"/>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tc>
        <w:tc>
          <w:tcPr>
            <w:tcBorders>
              <w:left w:val="single" w:color="000000" w:sz="8" w:space="0"/>
              <w:right w:val="single" w:color="000000" w:sz="8" w:space="0"/>
            </w:tcBorders>
            <w:tcMar>
              <w:left w:w="108" w:type="dxa"/>
              <w:top w:w="0" w:type="dxa"/>
              <w:right w:w="108" w:type="dxa"/>
              <w:bottom w:w="0" w:type="dxa"/>
            </w:tcMar>
            <w:tcW w:w="1532" w:type="dxa"/>
            <w:vAlign w:val="center"/>
            <w:vMerge w:val="continue"/>
            <w:textDirection w:val="lrTb"/>
            <w:noWrap w:val="false"/>
          </w:tcPr>
          <w:p>
            <w:pPr>
              <w:jc w:val="center"/>
              <w:spacing w:line="460"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tc>
        <w:tc>
          <w:tcPr>
            <w:tcBorders>
              <w:top w:val="none" w:color="000000" w:sz="4" w:space="0"/>
              <w:left w:val="single" w:color="000000" w:sz="8" w:space="0"/>
              <w:right w:val="single" w:color="000000" w:sz="8" w:space="0"/>
            </w:tcBorders>
            <w:tcMar>
              <w:left w:w="108" w:type="dxa"/>
              <w:top w:w="0" w:type="dxa"/>
              <w:right w:w="108" w:type="dxa"/>
              <w:bottom w:w="0" w:type="dxa"/>
            </w:tcMar>
            <w:tcW w:w="1586" w:type="dxa"/>
            <w:vAlign w:val="center"/>
            <w:vMerge w:val="restart"/>
            <w:textDirection w:val="lrTb"/>
            <w:noWrap w:val="false"/>
          </w:tcPr>
          <w:p>
            <w:pPr>
              <w:jc w:val="center"/>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配电单元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6" w:type="dxa"/>
            <w:textDirection w:val="lrTb"/>
            <w:noWrap w:val="false"/>
          </w:tcPr>
          <w:p>
            <w:pPr>
              <w:jc w:val="left"/>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每个机柜配置2个分别来自于不同UPS的机架式垂直PDU。</w:t>
            </w:r>
            <w:r/>
          </w:p>
        </w:tc>
      </w:tr>
      <w:tr>
        <w:trPr>
          <w:trHeight w:val="153"/>
        </w:trPr>
        <w:tc>
          <w:tcPr>
            <w:tcBorders>
              <w:left w:val="single" w:color="000000" w:sz="8" w:space="0"/>
              <w:right w:val="single" w:color="000000" w:sz="8" w:space="0"/>
            </w:tcBorders>
            <w:tcMar>
              <w:left w:w="108" w:type="dxa"/>
              <w:top w:w="0" w:type="dxa"/>
              <w:right w:w="108" w:type="dxa"/>
              <w:bottom w:w="0" w:type="dxa"/>
            </w:tcMar>
            <w:tcW w:w="628" w:type="dxa"/>
            <w:vAlign w:val="center"/>
            <w:vMerge w:val="continue"/>
            <w:textDirection w:val="lrTb"/>
            <w:noWrap w:val="false"/>
          </w:tcPr>
          <w:p>
            <w:pP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Calibri" w:hAnsi="Calibri" w:eastAsia="宋体" w:cs="Times New Roman"/>
              </w:rPr>
            </w:r>
            <w:r/>
          </w:p>
        </w:tc>
        <w:tc>
          <w:tcPr>
            <w:tcBorders>
              <w:left w:val="single" w:color="000000" w:sz="8" w:space="0"/>
              <w:right w:val="single" w:color="000000" w:sz="8" w:space="0"/>
            </w:tcBorders>
            <w:tcMar>
              <w:left w:w="108" w:type="dxa"/>
              <w:top w:w="0" w:type="dxa"/>
              <w:right w:w="108" w:type="dxa"/>
              <w:bottom w:w="0" w:type="dxa"/>
            </w:tcMar>
            <w:tcW w:w="1532" w:type="dxa"/>
            <w:vAlign w:val="center"/>
            <w:vMerge w:val="continue"/>
            <w:textDirection w:val="lrTb"/>
            <w:noWrap w:val="false"/>
          </w:tcPr>
          <w:p>
            <w:pP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Calibri" w:hAnsi="Calibri" w:eastAsia="宋体" w:cs="Times New Roman"/>
              </w:rPr>
            </w:r>
            <w:r/>
          </w:p>
        </w:tc>
        <w:tc>
          <w:tcPr>
            <w:tcBorders>
              <w:left w:val="single" w:color="000000" w:sz="8" w:space="0"/>
              <w:right w:val="single" w:color="000000" w:sz="8" w:space="0"/>
            </w:tcBorders>
            <w:tcMar>
              <w:left w:w="108" w:type="dxa"/>
              <w:top w:w="0" w:type="dxa"/>
              <w:right w:w="108" w:type="dxa"/>
              <w:bottom w:w="0" w:type="dxa"/>
            </w:tcMar>
            <w:tcW w:w="1586" w:type="dxa"/>
            <w:vMerge w:val="continue"/>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Calibri" w:hAnsi="Calibri" w:eastAsia="宋体" w:cs="Times New Roman"/>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6" w:type="dxa"/>
            <w:textDirection w:val="lrTb"/>
            <w:noWrap w:val="false"/>
          </w:tcPr>
          <w:p>
            <w:pPr>
              <w:jc w:val="left"/>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每个PDU供电能力≥32A</w:t>
            </w:r>
            <w:r/>
          </w:p>
        </w:tc>
      </w:tr>
      <w:tr>
        <w:trPr>
          <w:trHeight w:val="153"/>
        </w:trPr>
        <w:tc>
          <w:tcPr>
            <w:tcBorders>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vMerge w:val="continue"/>
            <w:textDirection w:val="lrTb"/>
            <w:noWrap w:val="false"/>
          </w:tcPr>
          <w:p>
            <w:pP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Calibri" w:hAnsi="Calibri" w:eastAsia="宋体" w:cs="Times New Roman"/>
              </w:rPr>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532" w:type="dxa"/>
            <w:vAlign w:val="center"/>
            <w:vMerge w:val="continue"/>
            <w:textDirection w:val="lrTb"/>
            <w:noWrap w:val="false"/>
          </w:tcPr>
          <w:p>
            <w:pP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Calibri" w:hAnsi="Calibri" w:eastAsia="宋体" w:cs="Times New Roman"/>
              </w:rPr>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586" w:type="dxa"/>
            <w:vMerge w:val="continue"/>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Calibri" w:hAnsi="Calibri" w:eastAsia="宋体" w:cs="Times New Roman"/>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6" w:type="dxa"/>
            <w:textDirection w:val="lrTb"/>
            <w:noWrap w:val="false"/>
          </w:tcPr>
          <w:p>
            <w:pPr>
              <w:jc w:val="left"/>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每个PDU的接口类型和接口数可根据采购人需求定制。</w:t>
            </w:r>
            <w:r/>
          </w:p>
        </w:tc>
      </w:tr>
    </w:tbl>
    <w:p>
      <w:pPr>
        <w:spacing w:line="460" w:lineRule="atLeast"/>
        <w:rPr>
          <w:rFonts w:hint="eastAsia" w:ascii="宋体" w:hAnsi="宋体" w:eastAsia="宋体" w:cs="宋体"/>
          <w:b/>
          <w:bCs/>
          <w:sz w:val="24"/>
          <w:szCs w:val="32"/>
        </w:rPr>
        <w:pBdr>
          <w:top w:val="none" w:color="000000" w:sz="0" w:space="0"/>
          <w:left w:val="none" w:color="000000" w:sz="0" w:space="0"/>
          <w:bottom w:val="none" w:color="000000" w:sz="0" w:space="0"/>
          <w:right w:val="none" w:color="000000" w:sz="0" w:space="0"/>
        </w:pBdr>
      </w:pPr>
      <w:r>
        <w:rPr>
          <w:rFonts w:hint="default" w:ascii="仿宋" w:hAnsi="仿宋" w:eastAsia="仿宋" w:cs="仿宋"/>
          <w:b/>
          <w:bCs/>
          <w:color w:val="000000"/>
          <w:sz w:val="28"/>
        </w:rPr>
        <w:t xml:space="preserve"> </w:t>
      </w:r>
      <w:r>
        <w:rPr>
          <w:rFonts w:hint="eastAsia" w:ascii="仿宋" w:hAnsi="仿宋" w:eastAsia="仿宋" w:cs="仿宋"/>
          <w:b/>
          <w:bCs/>
          <w:color w:val="000000"/>
          <w:sz w:val="28"/>
        </w:rPr>
        <w:t xml:space="preserve">  </w:t>
      </w:r>
      <w:r>
        <w:rPr>
          <w:rFonts w:hint="eastAsia" w:ascii="宋体" w:hAnsi="宋体" w:eastAsia="宋体" w:cs="宋体"/>
          <w:b/>
          <w:bCs/>
          <w:sz w:val="24"/>
          <w:szCs w:val="32"/>
        </w:rPr>
        <w:t xml:space="preserve">3．运维管理工作具体要求</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运维管理日常工作主要包括撰写工作报告、组织工作例会、开展工作总结、考核管理等内容。</w:t>
      </w:r>
      <w:r/>
    </w:p>
    <w:p>
      <w:pPr>
        <w:ind w:firstLine="482"/>
        <w:spacing w:line="440" w:lineRule="exact"/>
        <w:rPr>
          <w:rFonts w:hint="eastAsia" w:ascii="宋体" w:hAnsi="宋体" w:eastAsia="宋体" w:cs="宋体"/>
          <w:b/>
          <w:bCs/>
          <w:sz w:val="24"/>
          <w:szCs w:val="32"/>
        </w:rPr>
      </w:pPr>
      <w:r>
        <w:rPr>
          <w:rFonts w:hint="eastAsia" w:ascii="宋体" w:hAnsi="宋体" w:eastAsia="宋体" w:cs="宋体"/>
          <w:b/>
          <w:bCs/>
          <w:sz w:val="24"/>
          <w:szCs w:val="32"/>
        </w:rPr>
        <w:t xml:space="preserve">3.1运维管理工作报告</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以日（周）报形式向采购人报告每日（周）系统运行情况、新发现问题、已经解决问题、需求变更评审与执行等情况（有新系统或功能模块上线运行初期以日报形式，采购人确认运行基本稳定后以周报形式报送运维报告）。</w:t>
      </w:r>
      <w:r/>
    </w:p>
    <w:p>
      <w:pPr>
        <w:ind w:firstLine="482"/>
        <w:spacing w:line="440" w:lineRule="exact"/>
        <w:rPr>
          <w:rFonts w:hint="eastAsia" w:ascii="宋体" w:hAnsi="宋体" w:eastAsia="宋体" w:cs="宋体"/>
          <w:b/>
          <w:bCs/>
          <w:sz w:val="24"/>
          <w:szCs w:val="32"/>
        </w:rPr>
      </w:pPr>
      <w:r>
        <w:rPr>
          <w:rFonts w:hint="eastAsia" w:ascii="宋体" w:hAnsi="宋体" w:eastAsia="宋体" w:cs="宋体"/>
          <w:b/>
          <w:bCs/>
          <w:sz w:val="24"/>
          <w:szCs w:val="32"/>
        </w:rPr>
        <w:t xml:space="preserve">3.2运维管理工作例会</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每周（月）召集项目运维例会，并邀请采购人相关业务部门参加。一是对周期内的系统运行情况进行全面梳理与小结；二是对待解决问题清单进行分析与评估，确定优先处理顺序与解决时间表；三是对数量多、影响大或具有典型特点的问题全面梳理与攻关突破，分级分类确定解决方案，复杂问题确定专题会议讨论研究；四是对问题解决路径进行优化与完善，提高排查处理效率；五是要形成会议纪要并报送采购人。</w:t>
      </w:r>
      <w:r/>
    </w:p>
    <w:p>
      <w:pPr>
        <w:ind w:firstLine="482"/>
        <w:spacing w:line="440" w:lineRule="exact"/>
        <w:rPr>
          <w:rFonts w:hint="eastAsia" w:ascii="宋体" w:hAnsi="宋体" w:eastAsia="宋体" w:cs="宋体"/>
          <w:b/>
          <w:bCs/>
          <w:sz w:val="24"/>
          <w:szCs w:val="32"/>
        </w:rPr>
      </w:pPr>
      <w:r>
        <w:rPr>
          <w:rFonts w:hint="eastAsia" w:ascii="宋体" w:hAnsi="宋体" w:eastAsia="宋体" w:cs="宋体"/>
          <w:b/>
          <w:bCs/>
          <w:sz w:val="24"/>
          <w:szCs w:val="32"/>
        </w:rPr>
        <w:t xml:space="preserve">3.3运维管理总结报告</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1.运维管理总结报告：定期（每月、每季）对项目运维情况进行全面小结并形成书面报告，主要包括分析本期新增问题（需求）数量、本期完成数量、待完成数量、解决率、平均响应时长、平均解决时长等运维服务指标，重点分析超响应时长与解决时长的事件情况，开展用户满意度调查、用户反馈意见建议和改进措施，以及下一步工作计划等内容。</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2.专题分析报告：针对重大突发故障进行专题分析并形成书面报告，主要包括故障描述、发生时间、发生地点、受理时间、响应时间、恢复时间、影响程度与范围，故障原因分析、后续改进计划等内容。</w:t>
      </w:r>
      <w:r/>
    </w:p>
    <w:p>
      <w:pPr>
        <w:ind w:firstLine="482"/>
        <w:spacing w:line="440" w:lineRule="exact"/>
        <w:rPr>
          <w:rFonts w:hint="eastAsia" w:ascii="宋体" w:hAnsi="宋体" w:eastAsia="宋体" w:cs="宋体"/>
          <w:b/>
          <w:bCs/>
          <w:sz w:val="24"/>
          <w:szCs w:val="32"/>
        </w:rPr>
      </w:pPr>
      <w:r>
        <w:rPr>
          <w:rFonts w:hint="eastAsia" w:ascii="宋体" w:hAnsi="宋体" w:eastAsia="宋体" w:cs="宋体"/>
          <w:b/>
          <w:bCs/>
          <w:sz w:val="24"/>
          <w:szCs w:val="32"/>
        </w:rPr>
        <w:t xml:space="preserve">3.4运维服务考核管理</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每月对运维服务内容、质量和效果开展自评，并配合采购人开展月度和验收量化考核，提供运维人员数量、资质、能力，运维服务规范性、全面性、专业性、时效性、安全性，运维文档规范性、准确性、完整性等考核项的相关佐证材料，并根据考核情况及时进行整改。</w:t>
      </w:r>
      <w:r/>
    </w:p>
    <w:p>
      <w:pPr>
        <w:ind w:firstLine="482"/>
        <w:spacing w:line="440" w:lineRule="exact"/>
        <w:rPr>
          <w:rFonts w:hint="eastAsia" w:ascii="宋体" w:hAnsi="宋体" w:eastAsia="宋体" w:cs="宋体"/>
          <w:b/>
          <w:bCs/>
          <w:sz w:val="24"/>
          <w:szCs w:val="32"/>
        </w:rPr>
      </w:pPr>
      <w:r>
        <w:rPr>
          <w:rFonts w:hint="eastAsia" w:ascii="宋体" w:hAnsi="宋体" w:eastAsia="宋体" w:cs="宋体"/>
          <w:b/>
          <w:bCs/>
          <w:sz w:val="24"/>
          <w:szCs w:val="32"/>
        </w:rPr>
        <w:t xml:space="preserve">3.5运维服务项目归档资料清单</w:t>
      </w:r>
      <w:r/>
    </w:p>
    <w:p>
      <w:pPr>
        <w:ind w:firstLine="480"/>
        <w:spacing w:line="440" w:lineRule="exact"/>
        <w:rPr>
          <w:rFonts w:hint="eastAsia" w:ascii="宋体" w:hAnsi="宋体" w:eastAsia="宋体" w:cs="宋体"/>
          <w:sz w:val="24"/>
          <w:szCs w:val="32"/>
        </w:rPr>
      </w:pPr>
      <w:r>
        <w:rPr>
          <w:rFonts w:hint="eastAsia" w:ascii="宋体" w:hAnsi="宋体" w:eastAsia="宋体" w:cs="宋体"/>
          <w:sz w:val="24"/>
          <w:szCs w:val="32"/>
        </w:rPr>
        <w:t xml:space="preserve">每月5日前将上月运维服务产生的所有文档资料提交采购人或采购人指定的运行管理团队归档。资料清单如下：</w:t>
      </w:r>
      <w:r/>
    </w:p>
    <w:tbl>
      <w:tblPr>
        <w:tblStyle w:val="8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3"/>
        <w:gridCol w:w="2151"/>
        <w:gridCol w:w="4650"/>
        <w:gridCol w:w="842"/>
      </w:tblGrid>
      <w:tr>
        <w:trPr>
          <w:trHeight w:val="454"/>
        </w:trPr>
        <w:tc>
          <w:tcPr>
            <w:tcMar>
              <w:left w:w="15" w:type="dxa"/>
              <w:top w:w="15" w:type="dxa"/>
              <w:right w:w="15" w:type="dxa"/>
              <w:bottom w:w="15" w:type="dxa"/>
            </w:tcMar>
            <w:tcW w:w="693"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序号</w:t>
            </w:r>
            <w:r/>
          </w:p>
        </w:tc>
        <w:tc>
          <w:tcPr>
            <w:tcMar>
              <w:left w:w="15" w:type="dxa"/>
              <w:top w:w="15" w:type="dxa"/>
              <w:right w:w="15" w:type="dxa"/>
              <w:bottom w:w="15" w:type="dxa"/>
            </w:tcMar>
            <w:tcW w:w="2151"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运维服务内容</w:t>
            </w:r>
            <w:r/>
          </w:p>
        </w:tc>
        <w:tc>
          <w:tcPr>
            <w:tcMar>
              <w:left w:w="15" w:type="dxa"/>
              <w:top w:w="15" w:type="dxa"/>
              <w:right w:w="15" w:type="dxa"/>
              <w:bottom w:w="15" w:type="dxa"/>
            </w:tcMar>
            <w:tcW w:w="4650"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提交物</w:t>
            </w:r>
            <w:r/>
          </w:p>
        </w:tc>
        <w:tc>
          <w:tcPr>
            <w:tcMar>
              <w:left w:w="15" w:type="dxa"/>
              <w:top w:w="15" w:type="dxa"/>
              <w:right w:w="15" w:type="dxa"/>
              <w:bottom w:w="15" w:type="dxa"/>
            </w:tcMar>
            <w:tcW w:w="842"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提交周期</w:t>
            </w:r>
            <w:r/>
          </w:p>
        </w:tc>
      </w:tr>
      <w:tr>
        <w:trPr>
          <w:trHeight w:val="454"/>
        </w:trPr>
        <w:tc>
          <w:tcPr>
            <w:tcMar>
              <w:left w:w="15" w:type="dxa"/>
              <w:top w:w="15" w:type="dxa"/>
              <w:right w:w="15" w:type="dxa"/>
              <w:bottom w:w="15" w:type="dxa"/>
            </w:tcMar>
            <w:tcW w:w="693"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Mar>
              <w:left w:w="15" w:type="dxa"/>
              <w:top w:w="15" w:type="dxa"/>
              <w:right w:w="15" w:type="dxa"/>
              <w:bottom w:w="15" w:type="dxa"/>
            </w:tcMar>
            <w:tcW w:w="2151" w:type="dxa"/>
            <w:vAlign w:val="center"/>
            <w:vMerge w:val="restart"/>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平台整体运行情况监测</w:t>
            </w:r>
            <w:r/>
          </w:p>
        </w:tc>
        <w:tc>
          <w:tcPr>
            <w:tcMar>
              <w:left w:w="15" w:type="dxa"/>
              <w:top w:w="15" w:type="dxa"/>
              <w:right w:w="15" w:type="dxa"/>
              <w:bottom w:w="15" w:type="dxa"/>
            </w:tcMar>
            <w:tcW w:w="4650"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《平台整体运行情况监测周报》等</w:t>
            </w:r>
            <w:r/>
          </w:p>
        </w:tc>
        <w:tc>
          <w:tcPr>
            <w:tcMar>
              <w:left w:w="15" w:type="dxa"/>
              <w:top w:w="15" w:type="dxa"/>
              <w:right w:w="15" w:type="dxa"/>
              <w:bottom w:w="15" w:type="dxa"/>
            </w:tcMar>
            <w:tcW w:w="842"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每周</w:t>
            </w:r>
            <w:r/>
          </w:p>
        </w:tc>
      </w:tr>
      <w:tr>
        <w:trPr>
          <w:trHeight w:val="454"/>
        </w:trPr>
        <w:tc>
          <w:tcPr>
            <w:tcMar>
              <w:left w:w="15" w:type="dxa"/>
              <w:top w:w="15" w:type="dxa"/>
              <w:right w:w="15" w:type="dxa"/>
              <w:bottom w:w="15" w:type="dxa"/>
            </w:tcMar>
            <w:tcW w:w="693"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2151" w:type="dxa"/>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Mar>
              <w:left w:w="15" w:type="dxa"/>
              <w:top w:w="15" w:type="dxa"/>
              <w:right w:w="15" w:type="dxa"/>
              <w:bottom w:w="15" w:type="dxa"/>
            </w:tcMar>
            <w:tcW w:w="4650"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《安全风险处置演练报告》《安全风险处置演练问题整改报告》等</w:t>
            </w:r>
            <w:r/>
          </w:p>
        </w:tc>
        <w:tc>
          <w:tcPr>
            <w:tcMar>
              <w:left w:w="15" w:type="dxa"/>
              <w:top w:w="15" w:type="dxa"/>
              <w:right w:w="15" w:type="dxa"/>
              <w:bottom w:w="15" w:type="dxa"/>
            </w:tcMar>
            <w:tcW w:w="842"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每季度</w:t>
            </w:r>
            <w:r/>
          </w:p>
        </w:tc>
      </w:tr>
      <w:tr>
        <w:trPr>
          <w:trHeight w:val="454"/>
        </w:trPr>
        <w:tc>
          <w:tcPr>
            <w:tcMar>
              <w:left w:w="15" w:type="dxa"/>
              <w:top w:w="15" w:type="dxa"/>
              <w:right w:w="15" w:type="dxa"/>
              <w:bottom w:w="15" w:type="dxa"/>
            </w:tcMar>
            <w:tcW w:w="693"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w:t>
            </w:r>
            <w:r/>
          </w:p>
        </w:tc>
        <w:tc>
          <w:tcPr>
            <w:tcMar>
              <w:left w:w="15" w:type="dxa"/>
              <w:top w:w="15" w:type="dxa"/>
              <w:right w:w="15" w:type="dxa"/>
              <w:bottom w:w="15" w:type="dxa"/>
            </w:tcMar>
            <w:tcW w:w="2151" w:type="dxa"/>
            <w:vAlign w:val="center"/>
            <w:vMerge w:val="restart"/>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统一应用系统运行监测维护</w:t>
            </w:r>
            <w:r/>
          </w:p>
        </w:tc>
        <w:tc>
          <w:tcPr>
            <w:tcMar>
              <w:left w:w="15" w:type="dxa"/>
              <w:top w:w="15" w:type="dxa"/>
              <w:right w:w="15" w:type="dxa"/>
              <w:bottom w:w="15" w:type="dxa"/>
            </w:tcMar>
            <w:tcW w:w="4650"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《统一应用系统运行监测值班报告》等</w:t>
            </w:r>
            <w:r/>
          </w:p>
        </w:tc>
        <w:tc>
          <w:tcPr>
            <w:tcMar>
              <w:left w:w="15" w:type="dxa"/>
              <w:top w:w="15" w:type="dxa"/>
              <w:right w:w="15" w:type="dxa"/>
              <w:bottom w:w="15" w:type="dxa"/>
            </w:tcMar>
            <w:tcW w:w="842"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每日</w:t>
            </w:r>
            <w:r/>
          </w:p>
        </w:tc>
      </w:tr>
      <w:tr>
        <w:trPr>
          <w:trHeight w:val="454"/>
        </w:trPr>
        <w:tc>
          <w:tcPr>
            <w:tcMar>
              <w:left w:w="15" w:type="dxa"/>
              <w:top w:w="15" w:type="dxa"/>
              <w:right w:w="15" w:type="dxa"/>
              <w:bottom w:w="15" w:type="dxa"/>
            </w:tcMar>
            <w:tcW w:w="693"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4</w:t>
            </w:r>
            <w:r/>
          </w:p>
        </w:tc>
        <w:tc>
          <w:tcPr>
            <w:tcW w:w="2151" w:type="dxa"/>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Mar>
              <w:left w:w="15" w:type="dxa"/>
              <w:top w:w="15" w:type="dxa"/>
              <w:right w:w="15" w:type="dxa"/>
              <w:bottom w:w="15" w:type="dxa"/>
            </w:tcMar>
            <w:tcW w:w="4650"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《统一应用系统运行监测评估报告》等</w:t>
            </w:r>
            <w:r/>
          </w:p>
        </w:tc>
        <w:tc>
          <w:tcPr>
            <w:tcMar>
              <w:left w:w="15" w:type="dxa"/>
              <w:top w:w="15" w:type="dxa"/>
              <w:right w:w="15" w:type="dxa"/>
              <w:bottom w:w="15" w:type="dxa"/>
            </w:tcMar>
            <w:tcW w:w="842"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每季度</w:t>
            </w:r>
            <w:r/>
          </w:p>
        </w:tc>
      </w:tr>
      <w:tr>
        <w:trPr>
          <w:trHeight w:val="454"/>
        </w:trPr>
        <w:tc>
          <w:tcPr>
            <w:tcMar>
              <w:left w:w="15" w:type="dxa"/>
              <w:top w:w="15" w:type="dxa"/>
              <w:right w:w="15" w:type="dxa"/>
              <w:bottom w:w="15" w:type="dxa"/>
            </w:tcMar>
            <w:tcW w:w="693"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w:t>
            </w:r>
            <w:r/>
          </w:p>
        </w:tc>
        <w:tc>
          <w:tcPr>
            <w:tcMar>
              <w:left w:w="15" w:type="dxa"/>
              <w:top w:w="15" w:type="dxa"/>
              <w:right w:w="15" w:type="dxa"/>
              <w:bottom w:w="15" w:type="dxa"/>
            </w:tcMar>
            <w:tcW w:w="2151"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全市医疗机构监控维护</w:t>
            </w:r>
            <w:r/>
          </w:p>
        </w:tc>
        <w:tc>
          <w:tcPr>
            <w:tcMar>
              <w:left w:w="15" w:type="dxa"/>
              <w:top w:w="15" w:type="dxa"/>
              <w:right w:w="15" w:type="dxa"/>
              <w:bottom w:w="15" w:type="dxa"/>
            </w:tcMar>
            <w:tcW w:w="4650"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《全市医疗机构监控值班报告》等</w:t>
            </w:r>
            <w:r/>
          </w:p>
        </w:tc>
        <w:tc>
          <w:tcPr>
            <w:tcMar>
              <w:left w:w="15" w:type="dxa"/>
              <w:top w:w="15" w:type="dxa"/>
              <w:right w:w="15" w:type="dxa"/>
              <w:bottom w:w="15" w:type="dxa"/>
            </w:tcMar>
            <w:tcW w:w="842"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每日</w:t>
            </w:r>
            <w:r/>
          </w:p>
        </w:tc>
      </w:tr>
      <w:tr>
        <w:trPr>
          <w:trHeight w:val="454"/>
        </w:trPr>
        <w:tc>
          <w:tcPr>
            <w:tcMar>
              <w:left w:w="15" w:type="dxa"/>
              <w:top w:w="15" w:type="dxa"/>
              <w:right w:w="15" w:type="dxa"/>
              <w:bottom w:w="15" w:type="dxa"/>
            </w:tcMar>
            <w:tcW w:w="693"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w:t>
            </w:r>
            <w:r/>
          </w:p>
        </w:tc>
        <w:tc>
          <w:tcPr>
            <w:tcMar>
              <w:left w:w="15" w:type="dxa"/>
              <w:top w:w="15" w:type="dxa"/>
              <w:right w:w="15" w:type="dxa"/>
              <w:bottom w:w="15" w:type="dxa"/>
            </w:tcMar>
            <w:tcW w:w="2151"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互联网服务监控维护</w:t>
            </w:r>
            <w:r/>
          </w:p>
        </w:tc>
        <w:tc>
          <w:tcPr>
            <w:tcMar>
              <w:left w:w="15" w:type="dxa"/>
              <w:top w:w="15" w:type="dxa"/>
              <w:right w:w="15" w:type="dxa"/>
              <w:bottom w:w="15" w:type="dxa"/>
            </w:tcMar>
            <w:tcW w:w="4650"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《互联网服务监控值班报告》等</w:t>
            </w:r>
            <w:r/>
          </w:p>
        </w:tc>
        <w:tc>
          <w:tcPr>
            <w:tcMar>
              <w:left w:w="15" w:type="dxa"/>
              <w:top w:w="15" w:type="dxa"/>
              <w:right w:w="15" w:type="dxa"/>
              <w:bottom w:w="15" w:type="dxa"/>
            </w:tcMar>
            <w:tcW w:w="842"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每日</w:t>
            </w:r>
            <w:r/>
          </w:p>
        </w:tc>
      </w:tr>
      <w:tr>
        <w:trPr>
          <w:trHeight w:val="454"/>
        </w:trPr>
        <w:tc>
          <w:tcPr>
            <w:tcMar>
              <w:left w:w="15" w:type="dxa"/>
              <w:top w:w="15" w:type="dxa"/>
              <w:right w:w="15" w:type="dxa"/>
              <w:bottom w:w="15" w:type="dxa"/>
            </w:tcMar>
            <w:tcW w:w="693"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7</w:t>
            </w:r>
            <w:r/>
          </w:p>
        </w:tc>
        <w:tc>
          <w:tcPr>
            <w:tcMar>
              <w:left w:w="15" w:type="dxa"/>
              <w:top w:w="15" w:type="dxa"/>
              <w:right w:w="15" w:type="dxa"/>
              <w:bottom w:w="15" w:type="dxa"/>
            </w:tcMar>
            <w:tcW w:w="2151"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问题和需求处理</w:t>
            </w:r>
            <w:r/>
          </w:p>
        </w:tc>
        <w:tc>
          <w:tcPr>
            <w:tcMar>
              <w:left w:w="15" w:type="dxa"/>
              <w:top w:w="15" w:type="dxa"/>
              <w:right w:w="15" w:type="dxa"/>
              <w:bottom w:w="15" w:type="dxa"/>
            </w:tcMar>
            <w:tcW w:w="4650"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Mar>
              <w:left w:w="15" w:type="dxa"/>
              <w:top w:w="15" w:type="dxa"/>
              <w:right w:w="15" w:type="dxa"/>
              <w:bottom w:w="15" w:type="dxa"/>
            </w:tcMar>
            <w:tcW w:w="842"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按需</w:t>
            </w:r>
            <w:r/>
          </w:p>
        </w:tc>
      </w:tr>
      <w:tr>
        <w:trPr>
          <w:trHeight w:val="454"/>
        </w:trPr>
        <w:tc>
          <w:tcPr>
            <w:tcMar>
              <w:left w:w="15" w:type="dxa"/>
              <w:top w:w="15" w:type="dxa"/>
              <w:right w:w="15" w:type="dxa"/>
              <w:bottom w:w="15" w:type="dxa"/>
            </w:tcMar>
            <w:tcW w:w="693"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8</w:t>
            </w:r>
            <w:r/>
          </w:p>
        </w:tc>
        <w:tc>
          <w:tcPr>
            <w:tcMar>
              <w:left w:w="15" w:type="dxa"/>
              <w:top w:w="15" w:type="dxa"/>
              <w:right w:w="15" w:type="dxa"/>
              <w:bottom w:w="15" w:type="dxa"/>
            </w:tcMar>
            <w:tcW w:w="2151"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外部接口对接管理</w:t>
            </w:r>
            <w:r/>
          </w:p>
        </w:tc>
        <w:tc>
          <w:tcPr>
            <w:tcMar>
              <w:left w:w="15" w:type="dxa"/>
              <w:top w:w="15" w:type="dxa"/>
              <w:right w:w="15" w:type="dxa"/>
              <w:bottom w:w="15" w:type="dxa"/>
            </w:tcMar>
            <w:tcW w:w="4650"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《外部接口联调测试报告》、《外部接口清单》等</w:t>
            </w:r>
            <w:r/>
          </w:p>
        </w:tc>
        <w:tc>
          <w:tcPr>
            <w:tcMar>
              <w:left w:w="15" w:type="dxa"/>
              <w:top w:w="15" w:type="dxa"/>
              <w:right w:w="15" w:type="dxa"/>
              <w:bottom w:w="15" w:type="dxa"/>
            </w:tcMar>
            <w:tcW w:w="842"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每月</w:t>
            </w:r>
            <w:r/>
          </w:p>
        </w:tc>
      </w:tr>
      <w:tr>
        <w:trPr>
          <w:trHeight w:val="454"/>
        </w:trPr>
        <w:tc>
          <w:tcPr>
            <w:tcMar>
              <w:left w:w="15" w:type="dxa"/>
              <w:top w:w="15" w:type="dxa"/>
              <w:right w:w="15" w:type="dxa"/>
              <w:bottom w:w="15" w:type="dxa"/>
            </w:tcMar>
            <w:tcW w:w="693"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9</w:t>
            </w:r>
            <w:r/>
          </w:p>
        </w:tc>
        <w:tc>
          <w:tcPr>
            <w:tcMar>
              <w:left w:w="15" w:type="dxa"/>
              <w:top w:w="15" w:type="dxa"/>
              <w:right w:w="15" w:type="dxa"/>
              <w:bottom w:w="15" w:type="dxa"/>
            </w:tcMar>
            <w:tcW w:w="2151" w:type="dxa"/>
            <w:vAlign w:val="center"/>
            <w:vMerge w:val="restart"/>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运维管理日常工作</w:t>
            </w:r>
            <w:r/>
          </w:p>
        </w:tc>
        <w:tc>
          <w:tcPr>
            <w:tcMar>
              <w:left w:w="15" w:type="dxa"/>
              <w:top w:w="15" w:type="dxa"/>
              <w:right w:w="15" w:type="dxa"/>
              <w:bottom w:w="15" w:type="dxa"/>
            </w:tcMar>
            <w:tcW w:w="4650"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《运维管理日报》等</w:t>
            </w:r>
            <w:r/>
          </w:p>
        </w:tc>
        <w:tc>
          <w:tcPr>
            <w:tcMar>
              <w:left w:w="15" w:type="dxa"/>
              <w:top w:w="15" w:type="dxa"/>
              <w:right w:w="15" w:type="dxa"/>
              <w:bottom w:w="15" w:type="dxa"/>
            </w:tcMar>
            <w:tcW w:w="842"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每日</w:t>
            </w:r>
            <w:r/>
          </w:p>
        </w:tc>
      </w:tr>
      <w:tr>
        <w:trPr>
          <w:trHeight w:val="454"/>
        </w:trPr>
        <w:tc>
          <w:tcPr>
            <w:tcMar>
              <w:left w:w="15" w:type="dxa"/>
              <w:top w:w="15" w:type="dxa"/>
              <w:right w:w="15" w:type="dxa"/>
              <w:bottom w:w="15" w:type="dxa"/>
            </w:tcMar>
            <w:tcW w:w="693"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w:t>
            </w:r>
            <w:r/>
          </w:p>
        </w:tc>
        <w:tc>
          <w:tcPr>
            <w:tcW w:w="2151" w:type="dxa"/>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Mar>
              <w:left w:w="15" w:type="dxa"/>
              <w:top w:w="15" w:type="dxa"/>
              <w:right w:w="15" w:type="dxa"/>
              <w:bottom w:w="15" w:type="dxa"/>
            </w:tcMar>
            <w:tcW w:w="4650"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《运维管理周报》等</w:t>
            </w:r>
            <w:r/>
          </w:p>
        </w:tc>
        <w:tc>
          <w:tcPr>
            <w:tcMar>
              <w:left w:w="15" w:type="dxa"/>
              <w:top w:w="15" w:type="dxa"/>
              <w:right w:w="15" w:type="dxa"/>
              <w:bottom w:w="15" w:type="dxa"/>
            </w:tcMar>
            <w:tcW w:w="842"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每周</w:t>
            </w:r>
            <w:r/>
          </w:p>
        </w:tc>
      </w:tr>
      <w:tr>
        <w:trPr>
          <w:trHeight w:val="454"/>
        </w:trPr>
        <w:tc>
          <w:tcPr>
            <w:tcMar>
              <w:left w:w="15" w:type="dxa"/>
              <w:top w:w="15" w:type="dxa"/>
              <w:right w:w="15" w:type="dxa"/>
              <w:bottom w:w="15" w:type="dxa"/>
            </w:tcMar>
            <w:tcW w:w="693"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11</w:t>
            </w:r>
            <w:r/>
          </w:p>
        </w:tc>
        <w:tc>
          <w:tcPr>
            <w:tcW w:w="2151" w:type="dxa"/>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Mar>
              <w:left w:w="15" w:type="dxa"/>
              <w:top w:w="15" w:type="dxa"/>
              <w:right w:w="15" w:type="dxa"/>
              <w:bottom w:w="15" w:type="dxa"/>
            </w:tcMar>
            <w:tcW w:w="4650"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《运维管理总结月报》、《运维服务自评报告》等</w:t>
            </w:r>
            <w:r/>
          </w:p>
        </w:tc>
        <w:tc>
          <w:tcPr>
            <w:tcMar>
              <w:left w:w="15" w:type="dxa"/>
              <w:top w:w="15" w:type="dxa"/>
              <w:right w:w="15" w:type="dxa"/>
              <w:bottom w:w="15" w:type="dxa"/>
            </w:tcMar>
            <w:tcW w:w="842"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每月</w:t>
            </w:r>
            <w:r/>
          </w:p>
        </w:tc>
      </w:tr>
      <w:tr>
        <w:trPr>
          <w:trHeight w:val="454"/>
        </w:trPr>
        <w:tc>
          <w:tcPr>
            <w:tcMar>
              <w:left w:w="15" w:type="dxa"/>
              <w:top w:w="15" w:type="dxa"/>
              <w:right w:w="15" w:type="dxa"/>
              <w:bottom w:w="15" w:type="dxa"/>
            </w:tcMar>
            <w:tcW w:w="693"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12</w:t>
            </w:r>
            <w:r/>
          </w:p>
        </w:tc>
        <w:tc>
          <w:tcPr>
            <w:tcW w:w="2151" w:type="dxa"/>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Mar>
              <w:left w:w="15" w:type="dxa"/>
              <w:top w:w="15" w:type="dxa"/>
              <w:right w:w="15" w:type="dxa"/>
              <w:bottom w:w="15" w:type="dxa"/>
            </w:tcMar>
            <w:tcW w:w="4650"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《运维管理总结季报》等</w:t>
            </w:r>
            <w:r/>
          </w:p>
        </w:tc>
        <w:tc>
          <w:tcPr>
            <w:tcMar>
              <w:left w:w="15" w:type="dxa"/>
              <w:top w:w="15" w:type="dxa"/>
              <w:right w:w="15" w:type="dxa"/>
              <w:bottom w:w="15" w:type="dxa"/>
            </w:tcMar>
            <w:tcW w:w="842"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每季度</w:t>
            </w:r>
            <w:r/>
          </w:p>
        </w:tc>
      </w:tr>
      <w:tr>
        <w:trPr>
          <w:trHeight w:val="454"/>
        </w:trPr>
        <w:tc>
          <w:tcPr>
            <w:tcMar>
              <w:left w:w="15" w:type="dxa"/>
              <w:top w:w="15" w:type="dxa"/>
              <w:right w:w="15" w:type="dxa"/>
              <w:bottom w:w="15" w:type="dxa"/>
            </w:tcMar>
            <w:tcW w:w="693"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13</w:t>
            </w:r>
            <w:r/>
          </w:p>
        </w:tc>
        <w:tc>
          <w:tcPr>
            <w:tcW w:w="2151" w:type="dxa"/>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Mar>
              <w:left w:w="15" w:type="dxa"/>
              <w:top w:w="15" w:type="dxa"/>
              <w:right w:w="15" w:type="dxa"/>
              <w:bottom w:w="15" w:type="dxa"/>
            </w:tcMar>
            <w:tcW w:w="4650"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《运维管理工作会议纪要》、《专题分析报告》等</w:t>
            </w:r>
            <w:r/>
          </w:p>
        </w:tc>
        <w:tc>
          <w:tcPr>
            <w:tcMar>
              <w:left w:w="15" w:type="dxa"/>
              <w:top w:w="15" w:type="dxa"/>
              <w:right w:w="15" w:type="dxa"/>
              <w:bottom w:w="15" w:type="dxa"/>
            </w:tcMar>
            <w:tcW w:w="842"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按需</w:t>
            </w:r>
            <w:r/>
          </w:p>
        </w:tc>
      </w:tr>
    </w:tbl>
    <w:p>
      <w:pPr>
        <w:ind w:firstLine="422"/>
        <w:spacing w:line="440" w:lineRule="exact"/>
        <w:rPr>
          <w:rFonts w:hint="eastAsia" w:ascii="宋体" w:hAnsi="宋体" w:eastAsia="宋体" w:cs="宋体"/>
          <w:b/>
          <w:bCs/>
        </w:rPr>
      </w:pPr>
      <w:r>
        <w:rPr>
          <w:rFonts w:hint="eastAsia" w:ascii="宋体" w:hAnsi="宋体" w:eastAsia="宋体" w:cs="宋体"/>
          <w:b/>
          <w:bCs/>
        </w:rPr>
        <w:t xml:space="preserve">3.6运维服务期限</w:t>
      </w:r>
      <w:r/>
    </w:p>
    <w:p>
      <w:pPr>
        <w:ind w:firstLine="420"/>
        <w:spacing w:line="440" w:lineRule="exact"/>
        <w:rPr>
          <w:rFonts w:hint="eastAsia" w:ascii="宋体" w:hAnsi="宋体" w:eastAsia="宋体" w:cs="宋体"/>
        </w:rPr>
      </w:pPr>
      <w:r>
        <w:rPr>
          <w:rFonts w:hint="eastAsia" w:ascii="宋体" w:hAnsi="宋体" w:eastAsia="宋体" w:cs="宋体"/>
        </w:rPr>
        <w:t xml:space="preserve">本项目运维服务期为202</w:t>
      </w:r>
      <w:r>
        <w:rPr>
          <w:rFonts w:hint="eastAsia" w:ascii="宋体" w:hAnsi="宋体" w:eastAsia="宋体" w:cs="宋体"/>
          <w:lang w:val="en-US" w:eastAsia="zh-CN"/>
        </w:rPr>
        <w:t xml:space="preserve">6</w:t>
      </w:r>
      <w:r>
        <w:rPr>
          <w:rFonts w:hint="eastAsia" w:ascii="宋体" w:hAnsi="宋体" w:eastAsia="宋体" w:cs="宋体"/>
        </w:rPr>
        <w:t xml:space="preserve">年7月1日至202</w:t>
      </w:r>
      <w:r>
        <w:rPr>
          <w:rFonts w:hint="eastAsia" w:ascii="宋体" w:hAnsi="宋体" w:eastAsia="宋体" w:cs="宋体"/>
          <w:lang w:val="en-US" w:eastAsia="zh-CN"/>
        </w:rPr>
        <w:t xml:space="preserve">7</w:t>
      </w:r>
      <w:r>
        <w:rPr>
          <w:rFonts w:hint="eastAsia" w:ascii="宋体" w:hAnsi="宋体" w:eastAsia="宋体" w:cs="宋体"/>
        </w:rPr>
        <w:t xml:space="preserve">年6月30日。</w:t>
      </w:r>
      <w:r/>
    </w:p>
    <w:p>
      <w:pPr>
        <w:ind w:firstLine="422"/>
        <w:spacing w:line="440" w:lineRule="exact"/>
        <w:rPr>
          <w:rFonts w:hint="eastAsia" w:ascii="宋体" w:hAnsi="宋体" w:eastAsia="宋体" w:cs="宋体"/>
          <w:b/>
          <w:bCs/>
        </w:rPr>
      </w:pPr>
      <w:r>
        <w:rPr>
          <w:rFonts w:hint="eastAsia" w:ascii="宋体" w:hAnsi="宋体" w:eastAsia="宋体" w:cs="宋体"/>
          <w:b/>
          <w:bCs/>
        </w:rPr>
        <w:t xml:space="preserve">3.7运维人员要求</w:t>
      </w:r>
      <w:r/>
    </w:p>
    <w:p>
      <w:pPr>
        <w:ind w:firstLine="422"/>
        <w:spacing w:line="440" w:lineRule="exact"/>
        <w:rPr>
          <w:rFonts w:hint="eastAsia" w:ascii="宋体" w:hAnsi="宋体" w:eastAsia="宋体" w:cs="宋体"/>
          <w:b/>
          <w:bCs/>
        </w:rPr>
      </w:pPr>
      <w:r>
        <w:rPr>
          <w:rFonts w:hint="eastAsia" w:ascii="宋体" w:hAnsi="宋体" w:eastAsia="宋体" w:cs="宋体"/>
          <w:b/>
          <w:bCs/>
        </w:rPr>
        <w:t xml:space="preserve">1.运维人数要求</w:t>
      </w:r>
      <w:r/>
    </w:p>
    <w:p>
      <w:pPr>
        <w:ind w:firstLine="420"/>
        <w:spacing w:line="440" w:lineRule="exact"/>
        <w:rPr>
          <w:rFonts w:hint="eastAsia" w:ascii="宋体" w:hAnsi="宋体" w:eastAsia="宋体" w:cs="宋体"/>
        </w:rPr>
      </w:pPr>
      <w:r>
        <w:rPr>
          <w:rFonts w:hint="eastAsia" w:ascii="宋体" w:hAnsi="宋体" w:eastAsia="宋体" w:cs="宋体"/>
        </w:rPr>
        <w:t xml:space="preserve">（1）要求组建固定维护工程师的运维团队，其中至少4人集中驻场运维，集中驻场地点按照采购人要求。</w:t>
      </w:r>
      <w:r/>
    </w:p>
    <w:p>
      <w:pPr>
        <w:ind w:firstLine="420"/>
        <w:spacing w:line="440" w:lineRule="exact"/>
        <w:rPr>
          <w:rFonts w:hint="eastAsia" w:ascii="宋体" w:hAnsi="宋体" w:eastAsia="宋体" w:cs="宋体"/>
        </w:rPr>
      </w:pPr>
      <w:r>
        <w:rPr>
          <w:rFonts w:hint="eastAsia" w:ascii="宋体" w:hAnsi="宋体" w:eastAsia="宋体" w:cs="宋体"/>
        </w:rPr>
        <w:t xml:space="preserve">（2）运维服务期间人员名单原则上不得调整，如确需调整，需提前一个月向采购人报告人员变更情况，且调入人员的资历和从业经验不低于调出人员，在确认不影响运维服务并经采购人许可后方可调换。</w:t>
      </w:r>
      <w:r/>
    </w:p>
    <w:p>
      <w:pPr>
        <w:ind w:firstLine="422"/>
        <w:spacing w:line="440" w:lineRule="exact"/>
        <w:rPr>
          <w:rFonts w:hint="eastAsia" w:ascii="宋体" w:hAnsi="宋体" w:eastAsia="宋体" w:cs="宋体"/>
          <w:b/>
          <w:bCs/>
        </w:rPr>
      </w:pPr>
      <w:r>
        <w:rPr>
          <w:rFonts w:hint="eastAsia" w:ascii="宋体" w:hAnsi="宋体" w:eastAsia="宋体" w:cs="宋体"/>
          <w:b/>
          <w:bCs/>
        </w:rPr>
        <w:t xml:space="preserve">2.运维人员工作要求</w:t>
      </w:r>
      <w:r/>
    </w:p>
    <w:p>
      <w:pPr>
        <w:ind w:firstLine="420"/>
        <w:spacing w:line="440" w:lineRule="exact"/>
        <w:rPr>
          <w:rFonts w:hint="eastAsia" w:ascii="宋体" w:hAnsi="宋体" w:eastAsia="宋体" w:cs="宋体"/>
        </w:rPr>
      </w:pPr>
      <w:r>
        <w:rPr>
          <w:rFonts w:hint="eastAsia" w:ascii="宋体" w:hAnsi="宋体" w:eastAsia="宋体" w:cs="宋体"/>
        </w:rPr>
        <w:t xml:space="preserve">（1）所有驻场运维人员须严格遵守驻场运维工作纪律，按照采购人指定的刷卡、刷脸等方式进行每日考勤，工作时间不得从事与本项目无关的事情。</w:t>
      </w:r>
      <w:r/>
    </w:p>
    <w:p>
      <w:pPr>
        <w:ind w:firstLine="420"/>
        <w:spacing w:line="440" w:lineRule="exact"/>
        <w:rPr>
          <w:rFonts w:hint="eastAsia" w:ascii="宋体" w:hAnsi="宋体" w:eastAsia="宋体" w:cs="宋体"/>
        </w:rPr>
      </w:pPr>
      <w:r>
        <w:rPr>
          <w:rFonts w:hint="eastAsia" w:ascii="宋体" w:hAnsi="宋体" w:eastAsia="宋体" w:cs="宋体"/>
        </w:rPr>
        <w:t xml:space="preserve">（2）运行监测和系统运维人员：分别提供7×24驻场服务。</w:t>
      </w:r>
      <w:r/>
    </w:p>
    <w:p>
      <w:pPr>
        <w:ind w:firstLine="420"/>
        <w:spacing w:line="440" w:lineRule="exact"/>
        <w:rPr>
          <w:rFonts w:hint="eastAsia" w:ascii="宋体" w:hAnsi="宋体" w:eastAsia="宋体" w:cs="宋体"/>
        </w:rPr>
      </w:pPr>
      <w:r>
        <w:rPr>
          <w:rFonts w:hint="eastAsia" w:ascii="宋体" w:hAnsi="宋体" w:eastAsia="宋体" w:cs="宋体"/>
        </w:rPr>
        <w:t xml:space="preserve">（3）其他运维人员：</w:t>
      </w:r>
      <w:r/>
    </w:p>
    <w:p>
      <w:pPr>
        <w:ind w:firstLine="420"/>
        <w:spacing w:line="440" w:lineRule="exact"/>
        <w:rPr>
          <w:rFonts w:hint="eastAsia" w:ascii="宋体" w:hAnsi="宋体" w:eastAsia="宋体" w:cs="宋体"/>
        </w:rPr>
      </w:pPr>
      <w:r>
        <w:rPr>
          <w:rFonts w:hint="eastAsia" w:ascii="宋体" w:hAnsi="宋体" w:eastAsia="宋体" w:cs="宋体"/>
        </w:rPr>
        <w:t xml:space="preserve">1）工作日：执行采购人作息时间，并保持7×24小时电话畅通。</w:t>
      </w:r>
      <w:r/>
    </w:p>
    <w:p>
      <w:pPr>
        <w:ind w:firstLine="420"/>
        <w:spacing w:line="440" w:lineRule="exact"/>
        <w:rPr>
          <w:rFonts w:hint="eastAsia" w:ascii="宋体" w:hAnsi="宋体" w:eastAsia="宋体" w:cs="宋体"/>
        </w:rPr>
      </w:pPr>
      <w:r>
        <w:rPr>
          <w:rFonts w:hint="eastAsia" w:ascii="宋体" w:hAnsi="宋体" w:eastAsia="宋体" w:cs="宋体"/>
        </w:rPr>
        <w:t xml:space="preserve">2）节假日：8:30至18:00之间至少安排2人驻场值班（其中包括1名安全运维人员，1名网络运维人员，并能够根据项目需要和投标人要求增派驻场值班人员），其他时段保持7×24小时电话畅通。</w:t>
      </w:r>
      <w:r/>
    </w:p>
    <w:p>
      <w:pPr>
        <w:ind w:firstLine="420"/>
        <w:spacing w:line="440" w:lineRule="exact"/>
        <w:rPr>
          <w:rFonts w:hint="eastAsia" w:ascii="宋体" w:hAnsi="宋体" w:eastAsia="宋体" w:cs="宋体"/>
        </w:rPr>
      </w:pPr>
      <w:r>
        <w:rPr>
          <w:rFonts w:hint="eastAsia" w:ascii="宋体" w:hAnsi="宋体" w:eastAsia="宋体" w:cs="宋体"/>
        </w:rPr>
        <w:t xml:space="preserve">3）重大活动期间：提供重大活动期间的现场技术保障服务，做好值班备勤安排和特殊保障计划。</w:t>
      </w:r>
      <w:r/>
    </w:p>
    <w:p>
      <w:pPr>
        <w:ind w:firstLine="422"/>
        <w:spacing w:line="440" w:lineRule="exact"/>
        <w:rPr>
          <w:rFonts w:hint="eastAsia" w:ascii="宋体" w:hAnsi="宋体" w:eastAsia="宋体" w:cs="宋体"/>
          <w:b/>
          <w:bCs/>
        </w:rPr>
      </w:pPr>
      <w:r>
        <w:rPr>
          <w:rFonts w:hint="eastAsia" w:ascii="宋体" w:hAnsi="宋体" w:eastAsia="宋体" w:cs="宋体"/>
          <w:b/>
          <w:bCs/>
        </w:rPr>
        <w:t xml:space="preserve">（三）服务响应时间及应急处置要求</w:t>
      </w:r>
      <w:r/>
    </w:p>
    <w:p>
      <w:pPr>
        <w:ind w:firstLine="422"/>
        <w:spacing w:line="440" w:lineRule="exact"/>
        <w:rPr>
          <w:rFonts w:hint="eastAsia" w:ascii="宋体" w:hAnsi="宋体" w:eastAsia="宋体" w:cs="宋体"/>
          <w:b/>
          <w:bCs/>
        </w:rPr>
      </w:pPr>
      <w:r>
        <w:rPr>
          <w:rFonts w:hint="eastAsia" w:ascii="宋体" w:hAnsi="宋体" w:eastAsia="宋体" w:cs="宋体"/>
          <w:b/>
          <w:bCs/>
        </w:rPr>
        <w:t xml:space="preserve">1.接收服务请求和咨询</w:t>
      </w:r>
      <w:r/>
    </w:p>
    <w:p>
      <w:pPr>
        <w:ind w:firstLine="422"/>
        <w:spacing w:line="440" w:lineRule="exact"/>
        <w:rPr>
          <w:rFonts w:hint="eastAsia" w:ascii="宋体" w:hAnsi="宋体" w:eastAsia="宋体" w:cs="宋体"/>
          <w:b/>
          <w:bCs/>
          <w:i/>
          <w:iCs/>
          <w:u w:val="single"/>
        </w:rPr>
      </w:pPr>
      <w:r>
        <w:rPr>
          <w:rFonts w:hint="eastAsia" w:ascii="宋体" w:hAnsi="宋体" w:eastAsia="宋体" w:cs="宋体"/>
          <w:b/>
          <w:bCs/>
          <w:i/>
          <w:iCs/>
          <w:u w:val="single"/>
        </w:rPr>
        <w:t xml:space="preserve">设置7×24小时值班电话，接听记录东台市卫健委服务需求，及时反馈服务事件处理结果。</w:t>
      </w:r>
      <w:r>
        <w:rPr>
          <w:rFonts w:hint="eastAsia" w:ascii="宋体" w:hAnsi="宋体" w:eastAsia="宋体" w:cs="宋体"/>
          <w:b/>
          <w:bCs/>
          <w:i/>
          <w:iCs/>
          <w:color w:val="ff0000"/>
          <w:u w:val="single"/>
        </w:rPr>
        <w:t xml:space="preserve">（须提供加盖投标人公章的承诺书，上传至符合性审查节点）</w:t>
      </w:r>
      <w:r/>
    </w:p>
    <w:p>
      <w:pPr>
        <w:ind w:firstLine="422"/>
        <w:spacing w:line="440" w:lineRule="exact"/>
        <w:rPr>
          <w:rFonts w:hint="eastAsia" w:ascii="宋体" w:hAnsi="宋体" w:eastAsia="宋体" w:cs="宋体"/>
          <w:b/>
          <w:bCs/>
        </w:rPr>
      </w:pPr>
      <w:r>
        <w:rPr>
          <w:rFonts w:hint="eastAsia" w:ascii="宋体" w:hAnsi="宋体" w:eastAsia="宋体" w:cs="宋体"/>
          <w:b/>
          <w:bCs/>
        </w:rPr>
        <w:t xml:space="preserve">2.服务响应时间</w:t>
      </w:r>
      <w:r/>
    </w:p>
    <w:tbl>
      <w:tblPr>
        <w:tblStyle w:val="8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9"/>
        <w:gridCol w:w="3319"/>
        <w:gridCol w:w="1394"/>
        <w:gridCol w:w="1550"/>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故障等级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9"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现象描述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故障解决时间</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一级故障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9" w:type="dxa"/>
            <w:vAlign w:val="center"/>
            <w:textDirection w:val="lrTb"/>
            <w:noWrap w:val="false"/>
          </w:tcPr>
          <w:p>
            <w:pP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核心业务系统瘫痪，至少1个医院业务系统不能正常运转。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10分钟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30分钟</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二级故障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9" w:type="dxa"/>
            <w:vAlign w:val="center"/>
            <w:textDirection w:val="lrTb"/>
            <w:noWrap w:val="false"/>
          </w:tcPr>
          <w:p>
            <w:pP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核心业务系统故障，至少1个医院有部分业务无法办理。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30分钟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60分钟</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三级故障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9" w:type="dxa"/>
            <w:vAlign w:val="center"/>
            <w:textDirection w:val="lrTb"/>
            <w:noWrap w:val="false"/>
          </w:tcPr>
          <w:p>
            <w:pP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初步判断为HIS核心业务系统问题，已造成业务系统性能下降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60分钟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jc w:val="cente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2小时</w:t>
            </w:r>
            <w:r/>
          </w:p>
        </w:tc>
      </w:tr>
    </w:tbl>
    <w:p>
      <w:pPr>
        <w:ind w:firstLine="482"/>
        <w:spacing w:before="156" w:after="156"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i/>
          <w:color w:val="000000"/>
          <w:sz w:val="24"/>
          <w:u w:val="single"/>
        </w:rPr>
        <w:t xml:space="preserve">运维人员在解决故障时，要最大限度保护数据，将系统恢复到故障点前的业务状态，同时做好故障恢复文档记录。对于一级故障，如果不能在30分钟内解决故障，要启动应急预案，确保医疗机构正常运转，并在故障解决后24小时内，提交故障处理报告，说明故障种类、故障原因、故障解决中使用的方法及故障损失等，并梳理形成详细运维服务文档，方便分析问题，保证工作交接延续性。</w:t>
      </w:r>
      <w:r>
        <w:rPr>
          <w:rFonts w:hint="default" w:ascii="仿宋" w:hAnsi="仿宋" w:eastAsia="仿宋" w:cs="仿宋"/>
          <w:b/>
          <w:i/>
          <w:color w:val="000000"/>
          <w:sz w:val="28"/>
          <w:u w:val="single"/>
        </w:rPr>
        <w:t xml:space="preserve">（</w:t>
      </w:r>
      <w:r>
        <w:rPr>
          <w:rFonts w:hint="default" w:ascii="仿宋" w:hAnsi="仿宋" w:eastAsia="仿宋" w:cs="仿宋"/>
          <w:b/>
          <w:i/>
          <w:color w:val="000000"/>
          <w:sz w:val="24"/>
          <w:u w:val="single"/>
        </w:rPr>
        <w:t xml:space="preserve">须提供加盖投标人公章的承诺书，上传至符合性审查节点）</w:t>
      </w:r>
      <w:r/>
    </w:p>
    <w:p>
      <w:pPr>
        <w:ind w:firstLine="482"/>
        <w:spacing w:line="440" w:lineRule="exact"/>
        <w:rPr>
          <w:rFonts w:hint="default" w:ascii="Calibri" w:hAnsi="Calibri" w:eastAsia="宋体" w:cs="Times New Roman"/>
          <w:b/>
          <w:bCs/>
          <w:sz w:val="24"/>
          <w:szCs w:val="32"/>
        </w:rPr>
      </w:pPr>
      <w:r>
        <w:rPr>
          <w:rFonts w:hint="default" w:ascii="Calibri" w:hAnsi="Calibri" w:eastAsia="宋体" w:cs="Times New Roman"/>
          <w:b/>
          <w:bCs/>
          <w:sz w:val="24"/>
          <w:szCs w:val="32"/>
        </w:rPr>
        <w:t xml:space="preserve">三、知识产权</w:t>
      </w:r>
      <w:r/>
    </w:p>
    <w:p>
      <w:pPr>
        <w:ind w:firstLine="480"/>
        <w:spacing w:line="440" w:lineRule="exact"/>
        <w:rPr>
          <w:rFonts w:hint="default" w:ascii="Calibri" w:hAnsi="Calibri" w:eastAsia="宋体" w:cs="Times New Roman"/>
          <w:sz w:val="24"/>
          <w:szCs w:val="32"/>
        </w:rPr>
      </w:pPr>
      <w:r>
        <w:rPr>
          <w:rFonts w:hint="default" w:ascii="Calibri" w:hAnsi="Calibri" w:eastAsia="宋体" w:cs="Times New Roman"/>
          <w:sz w:val="24"/>
          <w:szCs w:val="32"/>
        </w:rPr>
        <w:t xml:space="preserve">中标人应保证整个项目建设中所提供的软硬件产品免受第三方提出的侵犯其专利权、版权和使用权等知识产权的索赔或诉讼。即保证软硬件设备建设和运维过程采用的第三方软件、中间件、组件、工具、授权等，中标人保证采购人具有合法使用权和及时更新权，中标人提供相应服务。涉及第三方产品的开发、部署、安全等事务全部由中标方负责。如有任何上述纠纷或指控，中标方应独自承担可能发生的一切法律责任和费用，与采购人无关，因以上纠纷给采购人造成的损失由中标方承担赔偿责任。</w:t>
      </w:r>
      <w:r/>
    </w:p>
    <w:p>
      <w:pPr>
        <w:ind w:firstLine="480"/>
        <w:spacing w:line="440" w:lineRule="exact"/>
        <w:rPr>
          <w:rFonts w:hint="default" w:ascii="Calibri" w:hAnsi="Calibri" w:eastAsia="宋体" w:cs="Times New Roman"/>
          <w:sz w:val="24"/>
          <w:szCs w:val="32"/>
        </w:rPr>
      </w:pPr>
      <w:r>
        <w:rPr>
          <w:rFonts w:hint="default" w:ascii="Calibri" w:hAnsi="Calibri" w:eastAsia="宋体" w:cs="Times New Roman"/>
          <w:sz w:val="24"/>
          <w:szCs w:val="32"/>
        </w:rPr>
        <w:t xml:space="preserve">项目期间所产生的相关文档、系统资料和数据的所有权均归属于采购人，中标方不得私自保存、发布及用于其他途径，如发现违法违规行为，按相关法律法规追究责任。</w:t>
      </w:r>
      <w:r/>
    </w:p>
    <w:p>
      <w:pPr>
        <w:spacing w:before="240" w:after="240"/>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ff0000"/>
          <w:sz w:val="24"/>
        </w:rPr>
        <w:t xml:space="preserve">12、采购标的对应的中小企业划分标准所属行业一览表</w:t>
      </w:r>
      <w:r/>
    </w:p>
    <w:tbl>
      <w:tblPr>
        <w:tblStyle w:val="8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0"/>
        <w:gridCol w:w="3625"/>
        <w:gridCol w:w="33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jc w:val="center"/>
              <w:spacing w:before="240" w:after="240"/>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ff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25" w:type="dxa"/>
            <w:vAlign w:val="center"/>
            <w:textDirection w:val="lrTb"/>
            <w:noWrap w:val="false"/>
          </w:tcPr>
          <w:p>
            <w:pPr>
              <w:jc w:val="center"/>
              <w:spacing w:before="240" w:after="240"/>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ff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00" w:type="dxa"/>
            <w:vAlign w:val="center"/>
            <w:textDirection w:val="lrTb"/>
            <w:noWrap w:val="false"/>
          </w:tcPr>
          <w:p>
            <w:pPr>
              <w:jc w:val="center"/>
              <w:spacing w:before="240" w:after="240"/>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ff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jc w:val="center"/>
              <w:spacing w:before="240" w:after="240"/>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ff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5" w:type="dxa"/>
            <w:vAlign w:val="center"/>
            <w:textDirection w:val="lrTb"/>
            <w:noWrap w:val="false"/>
          </w:tcPr>
          <w:p>
            <w:pPr>
              <w:jc w:val="center"/>
              <w:spacing w:before="240" w:after="240"/>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t xml:space="preserve">东台市卫健委202</w:t>
            </w:r>
            <w:r>
              <w:rPr>
                <w:rFonts w:hint="eastAsia" w:ascii="宋体" w:hAnsi="宋体" w:eastAsia="宋体" w:cs="宋体"/>
                <w:color w:val="000000"/>
                <w:sz w:val="28"/>
                <w:lang w:val="en-US" w:eastAsia="zh-CN"/>
              </w:rPr>
              <w:t xml:space="preserve">6</w:t>
            </w:r>
            <w:r>
              <w:rPr>
                <w:rFonts w:hint="eastAsia" w:ascii="宋体" w:hAnsi="宋体" w:eastAsia="宋体" w:cs="宋体"/>
                <w:color w:val="000000"/>
                <w:sz w:val="28"/>
              </w:rPr>
              <w:t xml:space="preserve">年度数据中心托管、运维项目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0" w:type="dxa"/>
            <w:vAlign w:val="center"/>
            <w:textDirection w:val="lrTb"/>
            <w:noWrap w:val="false"/>
          </w:tcPr>
          <w:p>
            <w:pPr>
              <w:jc w:val="center"/>
              <w:spacing w:before="240" w:after="240"/>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t xml:space="preserve">软件和信息技术服务业</w:t>
            </w:r>
            <w:r/>
          </w:p>
        </w:tc>
      </w:tr>
    </w:tbl>
    <w:p>
      <w:pPr>
        <w:pStyle w:val="872"/>
        <w:ind w:firstLine="480"/>
        <w:jc w:val="both"/>
        <w:spacing w:beforeAutospacing="0" w:afterAutospacing="0" w:line="0" w:lineRule="atLeast"/>
        <w:rPr>
          <w:rFonts w:hint="default" w:ascii="Calibri" w:hAnsi="Calibri" w:eastAsia="Calibri" w:cs="Calibri"/>
          <w:color w:val="000000"/>
          <w:sz w:val="24"/>
        </w:rPr>
      </w:pPr>
      <w:r>
        <w:rPr>
          <w:rFonts w:hint="default" w:ascii="Calibri" w:hAnsi="Calibri" w:eastAsia="Calibri" w:cs="Calibri"/>
          <w:color w:val="000000"/>
          <w:sz w:val="24"/>
        </w:rPr>
        <w:t xml:space="preserve"> </w:t>
      </w:r>
      <w:r/>
    </w:p>
    <w:p>
      <w:pPr>
        <w:pStyle w:val="872"/>
        <w:ind w:firstLine="480"/>
        <w:jc w:val="both"/>
        <w:spacing w:beforeAutospacing="0" w:afterAutospacing="0" w:line="0" w:lineRule="atLeast"/>
        <w:rPr>
          <w:rFonts w:hint="default" w:ascii="Calibri" w:hAnsi="Calibri" w:eastAsia="Calibri" w:cs="Calibri"/>
          <w:color w:val="000000"/>
          <w:sz w:val="24"/>
        </w:rPr>
      </w:pPr>
      <w:r>
        <w:rPr>
          <w:rFonts w:hint="default" w:ascii="Calibri" w:hAnsi="Calibri" w:eastAsia="Calibri" w:cs="Calibri"/>
          <w:color w:val="000000"/>
          <w:sz w:val="24"/>
        </w:rPr>
      </w:r>
      <w:r/>
    </w:p>
    <w:p>
      <w:pPr>
        <w:pStyle w:val="872"/>
        <w:ind w:firstLine="480"/>
        <w:jc w:val="both"/>
        <w:spacing w:beforeAutospacing="0" w:afterAutospacing="0" w:line="0" w:lineRule="atLeast"/>
        <w:rPr>
          <w:rFonts w:hint="default" w:ascii="Calibri" w:hAnsi="Calibri" w:eastAsia="Calibri" w:cs="Calibri"/>
          <w:color w:val="000000"/>
          <w:sz w:val="24"/>
        </w:rPr>
      </w:pPr>
      <w:r>
        <w:rPr>
          <w:rFonts w:hint="default" w:ascii="Calibri" w:hAnsi="Calibri" w:eastAsia="Calibri" w:cs="Calibri"/>
          <w:color w:val="000000"/>
          <w:sz w:val="24"/>
        </w:rPr>
      </w:r>
      <w:r/>
    </w:p>
    <w:p>
      <w:pPr>
        <w:pStyle w:val="872"/>
        <w:ind w:firstLine="480"/>
        <w:jc w:val="both"/>
        <w:spacing w:beforeAutospacing="0" w:afterAutospacing="0" w:line="0" w:lineRule="atLeast"/>
        <w:rPr>
          <w:rFonts w:hint="default" w:ascii="Calibri" w:hAnsi="Calibri" w:eastAsia="Calibri" w:cs="Calibri"/>
          <w:color w:val="000000"/>
          <w:sz w:val="24"/>
        </w:rPr>
      </w:pPr>
      <w:r>
        <w:rPr>
          <w:rFonts w:hint="default" w:ascii="Calibri" w:hAnsi="Calibri" w:eastAsia="Calibri" w:cs="Calibri"/>
          <w:color w:val="000000"/>
          <w:sz w:val="24"/>
        </w:rPr>
      </w:r>
      <w:r/>
    </w:p>
    <w:p>
      <w:pPr>
        <w:pStyle w:val="872"/>
        <w:ind w:firstLine="480"/>
        <w:jc w:val="both"/>
        <w:spacing w:beforeAutospacing="0" w:afterAutospacing="0" w:line="0" w:lineRule="atLeast"/>
        <w:rPr>
          <w:rFonts w:hint="default" w:ascii="Calibri" w:hAnsi="Calibri" w:eastAsia="Calibri" w:cs="Calibri"/>
          <w:color w:val="000000"/>
          <w:sz w:val="24"/>
        </w:rPr>
      </w:pPr>
      <w:r>
        <w:rPr>
          <w:rFonts w:hint="default" w:ascii="Calibri" w:hAnsi="Calibri" w:eastAsia="Calibri" w:cs="Calibri"/>
          <w:color w:val="000000"/>
          <w:sz w:val="24"/>
        </w:rPr>
      </w:r>
      <w:r/>
    </w:p>
    <w:p>
      <w:pPr>
        <w:pStyle w:val="872"/>
        <w:ind w:firstLine="480"/>
        <w:jc w:val="both"/>
        <w:spacing w:beforeAutospacing="0" w:afterAutospacing="0" w:line="0" w:lineRule="atLeast"/>
        <w:rPr>
          <w:rFonts w:hint="default" w:ascii="Calibri" w:hAnsi="Calibri" w:eastAsia="Calibri" w:cs="Calibri"/>
          <w:color w:val="000000"/>
          <w:sz w:val="24"/>
        </w:rPr>
      </w:pPr>
      <w:r>
        <w:rPr>
          <w:rFonts w:hint="default" w:ascii="Calibri" w:hAnsi="Calibri" w:eastAsia="Calibri" w:cs="Calibri"/>
          <w:color w:val="000000"/>
          <w:sz w:val="24"/>
        </w:rPr>
      </w:r>
      <w:r/>
    </w:p>
    <w:p>
      <w:pPr>
        <w:pStyle w:val="872"/>
        <w:ind w:firstLine="480"/>
        <w:jc w:val="both"/>
        <w:spacing w:beforeAutospacing="0" w:afterAutospacing="0" w:line="0" w:lineRule="atLeast"/>
        <w:rPr>
          <w:rFonts w:hint="default" w:ascii="Calibri" w:hAnsi="Calibri" w:eastAsia="Calibri" w:cs="Calibri"/>
          <w:color w:val="000000"/>
          <w:sz w:val="24"/>
        </w:rPr>
      </w:pPr>
      <w:r>
        <w:rPr>
          <w:rFonts w:hint="default" w:ascii="Calibri" w:hAnsi="Calibri" w:eastAsia="Calibri" w:cs="Calibri"/>
          <w:color w:val="000000"/>
          <w:sz w:val="24"/>
        </w:rPr>
      </w:r>
      <w:r/>
    </w:p>
    <w:p>
      <w:pPr>
        <w:pStyle w:val="872"/>
        <w:ind w:firstLine="480"/>
        <w:jc w:val="both"/>
        <w:spacing w:beforeAutospacing="0" w:afterAutospacing="0" w:line="0" w:lineRule="atLeast"/>
        <w:rPr>
          <w:rFonts w:hint="default" w:ascii="Calibri" w:hAnsi="Calibri" w:eastAsia="Calibri" w:cs="Calibri"/>
          <w:color w:val="000000"/>
          <w:sz w:val="24"/>
        </w:rPr>
      </w:pPr>
      <w:r>
        <w:rPr>
          <w:rFonts w:hint="default" w:ascii="Calibri" w:hAnsi="Calibri" w:eastAsia="Calibri" w:cs="Calibri"/>
          <w:color w:val="000000"/>
          <w:sz w:val="24"/>
        </w:rPr>
      </w:r>
      <w:r/>
    </w:p>
    <w:p>
      <w:pPr>
        <w:pStyle w:val="872"/>
        <w:ind w:firstLine="480"/>
        <w:jc w:val="both"/>
        <w:spacing w:beforeAutospacing="0" w:afterAutospacing="0" w:line="0" w:lineRule="atLeast"/>
        <w:rPr>
          <w:rFonts w:hint="default" w:ascii="Calibri" w:hAnsi="Calibri" w:eastAsia="Calibri" w:cs="Calibri"/>
          <w:color w:val="000000"/>
          <w:sz w:val="24"/>
        </w:rPr>
      </w:pPr>
      <w:r>
        <w:rPr>
          <w:rFonts w:hint="default" w:ascii="Calibri" w:hAnsi="Calibri" w:eastAsia="Calibri" w:cs="Calibri"/>
          <w:color w:val="000000"/>
          <w:sz w:val="24"/>
        </w:rPr>
      </w:r>
      <w:r/>
    </w:p>
    <w:p>
      <w:pPr>
        <w:pStyle w:val="872"/>
        <w:ind w:firstLine="480"/>
        <w:jc w:val="both"/>
        <w:spacing w:beforeAutospacing="0" w:afterAutospacing="0" w:line="0" w:lineRule="atLeast"/>
        <w:rPr>
          <w:rFonts w:hint="default" w:ascii="Calibri" w:hAnsi="Calibri" w:eastAsia="Calibri" w:cs="Calibri"/>
          <w:color w:val="000000"/>
          <w:sz w:val="24"/>
        </w:rPr>
      </w:pPr>
      <w:r>
        <w:rPr>
          <w:rFonts w:hint="default" w:ascii="Calibri" w:hAnsi="Calibri" w:eastAsia="Calibri" w:cs="Calibri"/>
          <w:color w:val="000000"/>
          <w:sz w:val="24"/>
        </w:rPr>
      </w:r>
      <w:r/>
    </w:p>
    <w:p>
      <w:pPr>
        <w:pStyle w:val="872"/>
        <w:ind w:firstLine="480"/>
        <w:jc w:val="both"/>
        <w:spacing w:beforeAutospacing="0" w:afterAutospacing="0" w:line="0" w:lineRule="atLeast"/>
        <w:rPr>
          <w:rFonts w:hint="default" w:ascii="Calibri" w:hAnsi="Calibri" w:eastAsia="Calibri" w:cs="Calibri"/>
          <w:color w:val="000000"/>
          <w:sz w:val="24"/>
        </w:rPr>
      </w:pPr>
      <w:r>
        <w:rPr>
          <w:rFonts w:hint="default" w:ascii="Calibri" w:hAnsi="Calibri" w:eastAsia="Calibri" w:cs="Calibri"/>
          <w:color w:val="000000"/>
          <w:sz w:val="24"/>
        </w:rPr>
      </w:r>
      <w:r/>
    </w:p>
    <w:p>
      <w:pPr>
        <w:pStyle w:val="872"/>
        <w:ind w:firstLine="480"/>
        <w:jc w:val="both"/>
        <w:spacing w:beforeAutospacing="0" w:afterAutospacing="0" w:line="0" w:lineRule="atLeast"/>
        <w:rPr>
          <w:rFonts w:hint="default" w:ascii="Calibri" w:hAnsi="Calibri" w:eastAsia="Calibri" w:cs="Calibri"/>
          <w:color w:val="000000"/>
          <w:sz w:val="24"/>
        </w:rPr>
      </w:pPr>
      <w:r>
        <w:rPr>
          <w:rFonts w:hint="default" w:ascii="Calibri" w:hAnsi="Calibri" w:eastAsia="Calibri" w:cs="Calibri"/>
          <w:color w:val="000000"/>
          <w:sz w:val="24"/>
        </w:rPr>
      </w:r>
      <w:r/>
    </w:p>
    <w:p>
      <w:pPr>
        <w:pStyle w:val="872"/>
        <w:ind w:firstLine="480"/>
        <w:jc w:val="both"/>
        <w:spacing w:beforeAutospacing="0" w:afterAutospacing="0" w:line="0" w:lineRule="atLeast"/>
        <w:rPr>
          <w:rFonts w:hint="default" w:ascii="Calibri" w:hAnsi="Calibri" w:eastAsia="Calibri" w:cs="Calibri"/>
          <w:color w:val="000000"/>
          <w:sz w:val="24"/>
        </w:rPr>
      </w:pPr>
      <w:r>
        <w:rPr>
          <w:rFonts w:hint="default" w:ascii="Calibri" w:hAnsi="Calibri" w:eastAsia="Calibri" w:cs="Calibri"/>
          <w:color w:val="000000"/>
          <w:sz w:val="24"/>
        </w:rPr>
      </w:r>
      <w:r/>
    </w:p>
    <w:p>
      <w:pPr>
        <w:pStyle w:val="872"/>
        <w:ind w:firstLine="480"/>
        <w:jc w:val="both"/>
        <w:spacing w:beforeAutospacing="0" w:afterAutospacing="0" w:line="0" w:lineRule="atLeast"/>
        <w:rPr>
          <w:rFonts w:hint="default" w:ascii="Calibri" w:hAnsi="Calibri" w:eastAsia="Calibri" w:cs="Calibri"/>
          <w:color w:val="000000"/>
          <w:sz w:val="24"/>
        </w:rPr>
      </w:pPr>
      <w:r>
        <w:rPr>
          <w:rFonts w:hint="default" w:ascii="Calibri" w:hAnsi="Calibri" w:eastAsia="Calibri" w:cs="Calibri"/>
          <w:color w:val="000000"/>
          <w:sz w:val="24"/>
        </w:rPr>
      </w:r>
      <w:r/>
    </w:p>
    <w:p>
      <w:pPr>
        <w:pStyle w:val="872"/>
        <w:ind w:firstLine="480"/>
        <w:jc w:val="both"/>
        <w:spacing w:beforeAutospacing="0" w:afterAutospacing="0" w:line="0" w:lineRule="atLeast"/>
        <w:rPr>
          <w:rFonts w:hint="default" w:ascii="Calibri" w:hAnsi="Calibri" w:eastAsia="Calibri" w:cs="Calibri"/>
          <w:color w:val="000000"/>
          <w:sz w:val="24"/>
        </w:rPr>
      </w:pPr>
      <w:r>
        <w:rPr>
          <w:rFonts w:hint="default" w:ascii="Calibri" w:hAnsi="Calibri" w:eastAsia="Calibri" w:cs="Calibri"/>
          <w:color w:val="000000"/>
          <w:sz w:val="24"/>
        </w:rPr>
      </w:r>
      <w:r/>
    </w:p>
    <w:p>
      <w:pPr>
        <w:pStyle w:val="872"/>
        <w:ind w:firstLine="480"/>
        <w:jc w:val="both"/>
        <w:spacing w:beforeAutospacing="0" w:afterAutospacing="0" w:line="0" w:lineRule="atLeast"/>
        <w:rPr>
          <w:rFonts w:hint="default" w:ascii="Calibri" w:hAnsi="Calibri" w:eastAsia="Calibri" w:cs="Calibri"/>
          <w:color w:val="000000"/>
          <w:sz w:val="24"/>
        </w:rPr>
      </w:pPr>
      <w:r>
        <w:rPr>
          <w:rFonts w:hint="default" w:ascii="Calibri" w:hAnsi="Calibri" w:eastAsia="Calibri" w:cs="Calibri"/>
          <w:color w:val="000000"/>
          <w:sz w:val="24"/>
        </w:rPr>
      </w:r>
      <w:r/>
    </w:p>
    <w:p>
      <w:pPr>
        <w:pStyle w:val="872"/>
        <w:ind w:firstLine="480"/>
        <w:jc w:val="both"/>
        <w:spacing w:beforeAutospacing="0" w:afterAutospacing="0" w:line="0" w:lineRule="atLeast"/>
        <w:rPr>
          <w:rFonts w:hint="default" w:ascii="Calibri" w:hAnsi="Calibri" w:eastAsia="Calibri" w:cs="Calibri"/>
          <w:color w:val="000000"/>
          <w:sz w:val="24"/>
        </w:rPr>
      </w:pPr>
      <w:r>
        <w:rPr>
          <w:rFonts w:hint="default" w:ascii="Calibri" w:hAnsi="Calibri" w:eastAsia="Calibri" w:cs="Calibri"/>
          <w:color w:val="000000"/>
          <w:sz w:val="24"/>
        </w:rPr>
      </w:r>
      <w:r/>
    </w:p>
    <w:p>
      <w:pPr>
        <w:pStyle w:val="872"/>
        <w:ind w:firstLine="480"/>
        <w:jc w:val="both"/>
        <w:spacing w:beforeAutospacing="0" w:afterAutospacing="0" w:line="0" w:lineRule="atLeast"/>
        <w:rPr>
          <w:rFonts w:hint="default" w:ascii="Calibri" w:hAnsi="Calibri" w:eastAsia="Calibri" w:cs="Calibri"/>
          <w:color w:val="000000"/>
          <w:sz w:val="24"/>
        </w:rPr>
      </w:pPr>
      <w:r>
        <w:rPr>
          <w:rFonts w:hint="default" w:ascii="Calibri" w:hAnsi="Calibri" w:eastAsia="Calibri" w:cs="Calibri"/>
          <w:color w:val="000000"/>
          <w:sz w:val="24"/>
        </w:rPr>
      </w:r>
      <w:r/>
    </w:p>
    <w:p>
      <w:pPr>
        <w:pStyle w:val="872"/>
        <w:ind w:firstLine="480"/>
        <w:jc w:val="both"/>
        <w:spacing w:beforeAutospacing="0" w:afterAutospacing="0" w:line="0" w:lineRule="atLeast"/>
        <w:rPr>
          <w:rFonts w:hint="default" w:ascii="Calibri" w:hAnsi="Calibri" w:eastAsia="Calibri" w:cs="Calibri"/>
          <w:color w:val="000000"/>
          <w:sz w:val="24"/>
        </w:rPr>
      </w:pPr>
      <w:r>
        <w:rPr>
          <w:rFonts w:hint="default" w:ascii="Calibri" w:hAnsi="Calibri" w:eastAsia="Calibri" w:cs="Calibri"/>
          <w:color w:val="000000"/>
          <w:sz w:val="24"/>
        </w:rPr>
      </w:r>
      <w:r/>
    </w:p>
    <w:p>
      <w:pPr>
        <w:pStyle w:val="872"/>
        <w:ind w:firstLine="480"/>
        <w:jc w:val="both"/>
        <w:spacing w:beforeAutospacing="0" w:afterAutospacing="0" w:line="0" w:lineRule="atLeast"/>
        <w:rPr>
          <w:rFonts w:hint="default" w:ascii="Calibri" w:hAnsi="Calibri" w:eastAsia="Calibri" w:cs="Calibri"/>
          <w:color w:val="000000"/>
          <w:sz w:val="24"/>
        </w:rPr>
      </w:pPr>
      <w:r>
        <w:rPr>
          <w:rFonts w:hint="default" w:ascii="Calibri" w:hAnsi="Calibri" w:eastAsia="Calibri" w:cs="Calibri"/>
          <w:color w:val="000000"/>
          <w:sz w:val="24"/>
        </w:rPr>
      </w:r>
      <w:r/>
    </w:p>
    <w:p>
      <w:pPr>
        <w:pStyle w:val="872"/>
        <w:ind w:firstLine="480"/>
        <w:jc w:val="both"/>
        <w:spacing w:beforeAutospacing="0" w:afterAutospacing="0" w:line="0" w:lineRule="atLeast"/>
        <w:rPr>
          <w:rFonts w:hint="default" w:ascii="Calibri" w:hAnsi="Calibri" w:eastAsia="Calibri" w:cs="Calibri"/>
          <w:color w:val="000000"/>
          <w:sz w:val="24"/>
        </w:rPr>
      </w:pPr>
      <w:r>
        <w:rPr>
          <w:rFonts w:hint="default" w:ascii="Calibri" w:hAnsi="Calibri" w:eastAsia="Calibri" w:cs="Calibri"/>
          <w:color w:val="000000"/>
          <w:sz w:val="24"/>
        </w:rPr>
      </w:r>
      <w:r/>
    </w:p>
    <w:p>
      <w:pPr>
        <w:pStyle w:val="872"/>
        <w:ind w:firstLine="480"/>
        <w:jc w:val="both"/>
        <w:spacing w:beforeAutospacing="0" w:afterAutospacing="0" w:line="0" w:lineRule="atLeast"/>
        <w:rPr>
          <w:rFonts w:hint="eastAsia" w:ascii="Calibri" w:hAnsi="Calibri" w:eastAsia="Calibri" w:cs="Calibri"/>
          <w:color w:val="000000"/>
          <w:sz w:val="24"/>
          <w:lang w:val="en-US" w:eastAsia="zh-CN"/>
        </w:rPr>
      </w:pPr>
      <w:r>
        <w:rPr>
          <w:rFonts w:hint="eastAsia" w:ascii="Calibri" w:hAnsi="Calibri" w:eastAsia="Calibri" w:cs="Calibri"/>
          <w:color w:val="000000"/>
          <w:sz w:val="24"/>
          <w:lang w:val="en-US" w:eastAsia="zh-CN"/>
        </w:rPr>
      </w:r>
      <w:r/>
    </w:p>
    <w:p>
      <w:pPr>
        <w:pStyle w:val="87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pStyle w:val="87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72"/>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72"/>
        <w:jc w:val="both"/>
        <w:spacing w:beforeAutospacing="0" w:afterAutospacing="0"/>
        <w:tabs>
          <w:tab w:val="left" w:pos="620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72"/>
        <w:jc w:val="center"/>
        <w:keepNext/>
        <w:spacing w:beforeAutospacing="0" w:afterAutospacing="0"/>
        <w:rPr>
          <w:rFonts w:hint="eastAsia" w:ascii="宋体" w:hAnsi="宋体" w:eastAsia="宋体" w:cs="宋体"/>
          <w:sz w:val="24"/>
          <w:szCs w:val="24"/>
          <w:highlight w:val="none"/>
        </w:rPr>
      </w:pPr>
      <w:r/>
      <w:bookmarkStart w:id="183" w:name="_Toc120614281"/>
      <w:r>
        <w:rPr>
          <w:rFonts w:hint="eastAsia" w:ascii="宋体" w:hAnsi="宋体" w:eastAsia="宋体" w:cs="宋体"/>
          <w:sz w:val="24"/>
          <w:szCs w:val="24"/>
          <w:highlight w:val="none"/>
        </w:rPr>
        <w:t xml:space="preserve"> </w:t>
      </w:r>
      <w:r/>
    </w:p>
    <w:p>
      <w:pPr>
        <w:pStyle w:val="87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72"/>
        <w:jc w:val="both"/>
        <w:spacing w:beforeAutospacing="0" w:afterAutospacing="0"/>
        <w:rPr>
          <w:highlight w:val="none"/>
        </w:rPr>
      </w:pPr>
      <w:r>
        <w:rPr>
          <w:highlight w:val="none"/>
        </w:rPr>
      </w:r>
      <w:r/>
    </w:p>
    <w:p>
      <w:pPr>
        <w:pStyle w:val="872"/>
        <w:jc w:val="both"/>
        <w:spacing w:beforeAutospacing="0" w:afterAutospacing="0"/>
        <w:rPr>
          <w:highlight w:val="none"/>
        </w:rPr>
      </w:pPr>
      <w:r>
        <w:rPr>
          <w:highlight w:val="none"/>
        </w:rPr>
      </w:r>
      <w:r/>
    </w:p>
    <w:p>
      <w:pPr>
        <w:pStyle w:val="872"/>
        <w:jc w:val="both"/>
        <w:spacing w:beforeAutospacing="0" w:afterAutospacing="0"/>
        <w:rPr>
          <w:highlight w:val="none"/>
        </w:rPr>
      </w:pPr>
      <w:r>
        <w:rPr>
          <w:highlight w:val="none"/>
        </w:rPr>
      </w:r>
      <w:r/>
    </w:p>
    <w:p>
      <w:pPr>
        <w:pStyle w:val="872"/>
        <w:jc w:val="both"/>
        <w:spacing w:beforeAutospacing="0" w:afterAutospacing="0"/>
        <w:rPr>
          <w:highlight w:val="none"/>
        </w:rPr>
      </w:pPr>
      <w:r>
        <w:rPr>
          <w:highlight w:val="none"/>
        </w:rPr>
      </w:r>
      <w:r/>
    </w:p>
    <w:p>
      <w:pPr>
        <w:pStyle w:val="872"/>
        <w:jc w:val="both"/>
        <w:spacing w:beforeAutospacing="0" w:afterAutospacing="0"/>
        <w:rPr>
          <w:highlight w:val="none"/>
        </w:rPr>
      </w:pPr>
      <w:r>
        <w:rPr>
          <w:highlight w:val="none"/>
        </w:rPr>
        <w:t xml:space="preserve"> </w:t>
      </w:r>
      <w:r/>
    </w:p>
    <w:p>
      <w:pPr>
        <w:pStyle w:val="872"/>
        <w:jc w:val="center"/>
        <w:keepNext/>
        <w:spacing w:beforeAutospacing="0" w:afterAutospacing="0"/>
        <w:rPr>
          <w:highlight w:val="none"/>
        </w:rPr>
      </w:pPr>
      <w:r>
        <w:rPr>
          <w:highlight w:val="none"/>
        </w:rPr>
        <w:t xml:space="preserve"> </w:t>
      </w:r>
      <w:r/>
    </w:p>
    <w:p>
      <w:pPr>
        <w:pStyle w:val="872"/>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872"/>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72"/>
        <w:ind w:firstLine="44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pStyle w:val="872"/>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p>
    <w:p>
      <w:pPr>
        <w:pStyle w:val="877"/>
        <w:ind w:firstLine="360"/>
        <w:rPr>
          <w:rFonts w:hint="eastAsia" w:ascii="宋体" w:hAnsi="宋体" w:eastAsia="宋体" w:cs="宋体"/>
          <w:highlight w:val="none"/>
        </w:rPr>
      </w:pPr>
      <w:r>
        <w:rPr>
          <w:rFonts w:hint="eastAsia" w:ascii="宋体" w:hAnsi="宋体" w:eastAsia="宋体" w:cs="宋体"/>
          <w:highlight w:val="none"/>
        </w:rPr>
        <w:t xml:space="preserve">（1）本项目若不专门面向中小企业采购，对</w:t>
      </w:r>
      <w:r>
        <w:rPr>
          <w:rFonts w:hint="eastAsia" w:ascii="宋体" w:hAnsi="宋体" w:eastAsia="宋体" w:cs="宋体"/>
          <w:highlight w:val="none"/>
          <w:lang w:val="en-US" w:eastAsia="zh-CN"/>
        </w:rPr>
        <w:t xml:space="preserve">符合规定的</w:t>
      </w:r>
      <w:r>
        <w:rPr>
          <w:rFonts w:hint="eastAsia" w:ascii="宋体" w:hAnsi="宋体" w:eastAsia="宋体" w:cs="宋体"/>
          <w:highlight w:val="none"/>
        </w:rPr>
        <w:t xml:space="preserve">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给予20%的扣除价格，用扣除后的价格参与评审；若专门面向中小企业采购，不再对小型和微型企业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给予价格扣除。</w:t>
      </w:r>
      <w:r/>
    </w:p>
    <w:p>
      <w:pPr>
        <w:pStyle w:val="872"/>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872"/>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pStyle w:val="872"/>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872"/>
        <w:ind w:left="120" w:firstLine="360"/>
        <w:spacing w:before="120" w:beforeAutospacing="0" w:after="120" w:afterAutospacing="0" w:line="0" w:lineRule="atLeast"/>
        <w:rPr>
          <w:rFonts w:hint="eastAsia" w:ascii="宋体" w:hAnsi="宋体" w:eastAsia="宋体" w:cs="宋体"/>
          <w:color w:val="ff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ff0000"/>
          <w:highlight w:val="none"/>
          <w:u w:val="single"/>
        </w:rPr>
        <w:t xml:space="preserve">20%</w:t>
      </w:r>
      <w:r>
        <w:rPr>
          <w:rFonts w:hint="eastAsia" w:ascii="宋体" w:hAnsi="宋体" w:eastAsia="宋体" w:cs="宋体"/>
          <w:color w:val="ff0000"/>
          <w:highlight w:val="none"/>
          <w:u w:val="single"/>
          <w:lang w:eastAsia="zh-CN"/>
        </w:rPr>
        <w:t xml:space="preserve">的价格扣除。</w:t>
      </w:r>
      <w:r/>
    </w:p>
    <w:p>
      <w:pPr>
        <w:pStyle w:val="872"/>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872"/>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872"/>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872"/>
        <w:ind w:left="120" w:firstLine="360"/>
        <w:spacing w:before="120" w:beforeAutospacing="0" w:after="120" w:afterAutospacing="0" w:line="0" w:lineRule="atLeas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872"/>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72"/>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872"/>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872"/>
        <w:ind w:firstLine="480"/>
        <w:spacing w:before="120" w:beforeAutospacing="0" w:after="12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872"/>
        <w:ind w:left="120" w:firstLine="360"/>
        <w:spacing w:before="120" w:beforeAutospacing="0" w:after="120" w:afterAutospacing="0" w:line="0" w:lineRule="atLeas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872"/>
        <w:ind w:firstLine="482"/>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评标方法与评标标准</w:t>
      </w:r>
      <w:r/>
    </w:p>
    <w:p>
      <w:pPr>
        <w:ind w:firstLine="480"/>
        <w:spacing w:before="240" w:after="240" w:line="49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1、本次招标活动采用综合评分法：是指投标文件满足招标文件全部实质性要求，且按照评审因素的量化指标评审得分最高的投标人为中标候选人的评标方法。</w:t>
      </w:r>
      <w:r/>
    </w:p>
    <w:p>
      <w:pPr>
        <w:ind w:firstLine="480"/>
        <w:spacing w:before="240" w:after="240" w:line="43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具体评审细则如下：</w:t>
      </w:r>
      <w:r/>
    </w:p>
    <w:tbl>
      <w:tblPr>
        <w:tblStyle w:val="873"/>
        <w:tblW w:w="8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1392"/>
        <w:gridCol w:w="820"/>
        <w:gridCol w:w="5690"/>
      </w:tblGrid>
      <w:tr>
        <w:trPr>
          <w:jc w:val="center"/>
          <w:trHeight w:val="90"/>
        </w:trPr>
        <w:tc>
          <w:tcPr>
            <w:tcMar>
              <w:left w:w="108" w:type="dxa"/>
              <w:top w:w="0" w:type="dxa"/>
              <w:right w:w="108" w:type="dxa"/>
              <w:bottom w:w="0" w:type="dxa"/>
            </w:tcMar>
            <w:tcW w:w="695" w:type="dxa"/>
            <w:vAlign w:val="center"/>
            <w:textDirection w:val="lrTb"/>
            <w:noWrap w:val="false"/>
          </w:tcPr>
          <w:p>
            <w:pPr>
              <w:jc w:val="center"/>
              <w:rPr>
                <w:rFonts w:hint="default" w:ascii="Calibri" w:hAnsi="Calibri" w:eastAsia="仿宋"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rPr>
              <w:t xml:space="preserve">序</w:t>
            </w:r>
            <w:r>
              <w:rPr>
                <w:rFonts w:hint="eastAsia" w:ascii="仿宋" w:hAnsi="仿宋" w:eastAsia="仿宋" w:cs="仿宋"/>
                <w:color w:val="000000"/>
              </w:rPr>
              <w:t xml:space="preserve">号</w:t>
            </w:r>
            <w:r/>
          </w:p>
        </w:tc>
        <w:tc>
          <w:tcPr>
            <w:tcMar>
              <w:left w:w="108" w:type="dxa"/>
              <w:top w:w="0" w:type="dxa"/>
              <w:right w:w="108" w:type="dxa"/>
              <w:bottom w:w="0" w:type="dxa"/>
            </w:tcMar>
            <w:tcW w:w="1392"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t xml:space="preserve">评分项目</w:t>
            </w:r>
            <w:r/>
          </w:p>
        </w:tc>
        <w:tc>
          <w:tcPr>
            <w:tcMar>
              <w:left w:w="108" w:type="dxa"/>
              <w:top w:w="0" w:type="dxa"/>
              <w:right w:w="108" w:type="dxa"/>
              <w:bottom w:w="0" w:type="dxa"/>
            </w:tcMar>
            <w:tcW w:w="820"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rPr>
              <w:t xml:space="preserve">分值</w:t>
            </w:r>
            <w:r/>
          </w:p>
        </w:tc>
        <w:tc>
          <w:tcPr>
            <w:tcMar>
              <w:left w:w="108" w:type="dxa"/>
              <w:top w:w="0" w:type="dxa"/>
              <w:right w:w="108" w:type="dxa"/>
              <w:bottom w:w="0" w:type="dxa"/>
            </w:tcMar>
            <w:tcW w:w="5690" w:type="dxa"/>
            <w:vAlign w:val="center"/>
            <w:textDirection w:val="lrTb"/>
            <w:noWrap w:val="false"/>
          </w:tcPr>
          <w:p>
            <w:pPr>
              <w:ind w:firstLine="420"/>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rPr>
              <w:t xml:space="preserve">打分要求</w:t>
            </w:r>
            <w:r/>
          </w:p>
        </w:tc>
      </w:tr>
      <w:tr>
        <w:trPr>
          <w:jc w:val="center"/>
          <w:trHeight w:val="90"/>
        </w:trPr>
        <w:tc>
          <w:tcPr>
            <w:tcMar>
              <w:left w:w="108" w:type="dxa"/>
              <w:top w:w="0" w:type="dxa"/>
              <w:right w:w="108" w:type="dxa"/>
              <w:bottom w:w="0" w:type="dxa"/>
            </w:tcMar>
            <w:tcW w:w="695"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rPr>
              <w:t xml:space="preserve">一</w:t>
            </w:r>
            <w:r/>
          </w:p>
        </w:tc>
        <w:tc>
          <w:tcPr>
            <w:tcMar>
              <w:left w:w="108" w:type="dxa"/>
              <w:top w:w="0" w:type="dxa"/>
              <w:right w:w="108" w:type="dxa"/>
              <w:bottom w:w="0" w:type="dxa"/>
            </w:tcMar>
            <w:tcW w:w="1392" w:type="dxa"/>
            <w:vAlign w:val="center"/>
            <w:textDirection w:val="lrTb"/>
            <w:noWrap w:val="false"/>
          </w:tcPr>
          <w:p>
            <w:pPr>
              <w:jc w:val="center"/>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rPr>
              <w:t xml:space="preserve">价格部分</w:t>
            </w:r>
            <w:r/>
          </w:p>
        </w:tc>
        <w:tc>
          <w:tcPr>
            <w:tcMar>
              <w:left w:w="108" w:type="dxa"/>
              <w:top w:w="0" w:type="dxa"/>
              <w:right w:w="108" w:type="dxa"/>
              <w:bottom w:w="0" w:type="dxa"/>
            </w:tcMar>
            <w:tcW w:w="820"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rPr>
              <w:t xml:space="preserve">30</w:t>
            </w:r>
            <w:r/>
          </w:p>
        </w:tc>
        <w:tc>
          <w:tcPr>
            <w:tcMar>
              <w:left w:w="108" w:type="dxa"/>
              <w:top w:w="0" w:type="dxa"/>
              <w:right w:w="108" w:type="dxa"/>
              <w:bottom w:w="0" w:type="dxa"/>
            </w:tcMar>
            <w:tcW w:w="5690" w:type="dxa"/>
            <w:vAlign w:val="center"/>
            <w:textDirection w:val="lrTb"/>
            <w:noWrap w:val="false"/>
          </w:tcPr>
          <w:p>
            <w:pP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rPr>
              <w:t xml:space="preserve">满足招标文件要求且投标价格最低的投标报价为基准价，其价格分为满分。报价得分=(评标基准价/投标报价)×</w:t>
            </w:r>
            <w:r>
              <w:rPr>
                <w:rFonts w:hint="eastAsia" w:ascii="仿宋" w:hAnsi="仿宋" w:eastAsia="仿宋" w:cs="仿宋"/>
                <w:color w:val="000000"/>
              </w:rPr>
              <w:t xml:space="preserve">30</w:t>
            </w:r>
            <w:r>
              <w:rPr>
                <w:rFonts w:hint="default" w:ascii="仿宋" w:hAnsi="仿宋" w:eastAsia="仿宋" w:cs="仿宋"/>
                <w:color w:val="000000"/>
              </w:rPr>
              <w:t xml:space="preserve">。</w:t>
            </w:r>
            <w:r/>
          </w:p>
        </w:tc>
      </w:tr>
      <w:tr>
        <w:trPr>
          <w:jc w:val="center"/>
          <w:trHeight w:val="1561"/>
        </w:trPr>
        <w:tc>
          <w:tcPr>
            <w:tcMar>
              <w:left w:w="108" w:type="dxa"/>
              <w:top w:w="0" w:type="dxa"/>
              <w:right w:w="108" w:type="dxa"/>
              <w:bottom w:w="0" w:type="dxa"/>
            </w:tcMar>
            <w:tcW w:w="695" w:type="dxa"/>
            <w:vAlign w:val="center"/>
            <w:vMerge w:val="restart"/>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rPr>
              <w:t xml:space="preserve">二</w:t>
            </w:r>
            <w:r/>
          </w:p>
        </w:tc>
        <w:tc>
          <w:tcPr>
            <w:tcMar>
              <w:left w:w="108" w:type="dxa"/>
              <w:top w:w="0" w:type="dxa"/>
              <w:right w:w="108" w:type="dxa"/>
              <w:bottom w:w="0" w:type="dxa"/>
            </w:tcMar>
            <w:tcW w:w="1392" w:type="dxa"/>
            <w:vAlign w:val="center"/>
            <w:vMerge w:val="restart"/>
            <w:textDirection w:val="lrTb"/>
            <w:noWrap w:val="false"/>
          </w:tcPr>
          <w:p>
            <w:pPr>
              <w:jc w:val="center"/>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rPr>
              <w:t xml:space="preserve">服务方案</w:t>
            </w:r>
            <w:r/>
          </w:p>
        </w:tc>
        <w:tc>
          <w:tcPr>
            <w:tcMar>
              <w:left w:w="108" w:type="dxa"/>
              <w:top w:w="0" w:type="dxa"/>
              <w:right w:w="108" w:type="dxa"/>
              <w:bottom w:w="0" w:type="dxa"/>
            </w:tcMar>
            <w:tcW w:w="820" w:type="dxa"/>
            <w:vAlign w:val="center"/>
            <w:textDirection w:val="lrTb"/>
            <w:noWrap w:val="false"/>
          </w:tcPr>
          <w:p>
            <w:pPr>
              <w:jc w:val="center"/>
              <w:rPr>
                <w:rFonts w:hint="eastAsia" w:ascii="Calibri" w:hAnsi="Calibri" w:eastAsia="宋体" w:cs="Times New Roman"/>
                <w:highlight w:val="none"/>
                <w:lang w:val="en-US" w:eastAsia="zh-CN"/>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highlight w:val="none"/>
                <w:lang w:val="en-US" w:eastAsia="zh-CN"/>
              </w:rPr>
              <w:t xml:space="preserve">8</w:t>
            </w:r>
            <w:r/>
          </w:p>
        </w:tc>
        <w:tc>
          <w:tcPr>
            <w:tcMar>
              <w:left w:w="108" w:type="dxa"/>
              <w:top w:w="0" w:type="dxa"/>
              <w:right w:w="108" w:type="dxa"/>
              <w:bottom w:w="0" w:type="dxa"/>
            </w:tcMar>
            <w:tcW w:w="5690" w:type="dxa"/>
            <w:vAlign w:val="center"/>
            <w:textDirection w:val="lrTb"/>
            <w:noWrap w:val="false"/>
          </w:tcPr>
          <w:p>
            <w:pPr>
              <w:rPr>
                <w:rFonts w:hint="default"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highlight w:val="none"/>
              </w:rPr>
              <w:t xml:space="preserve">机房托管服务及机房搬迁服务</w:t>
            </w:r>
            <w:r>
              <w:rPr>
                <w:rFonts w:hint="eastAsia" w:ascii="仿宋" w:hAnsi="仿宋" w:eastAsia="仿宋" w:cs="仿宋"/>
                <w:color w:val="000000"/>
                <w:highlight w:val="none"/>
              </w:rPr>
              <w:t xml:space="preserve">方案:</w:t>
            </w:r>
            <w:r>
              <w:rPr>
                <w:rFonts w:hint="default" w:ascii="仿宋" w:hAnsi="仿宋" w:eastAsia="仿宋" w:cs="仿宋"/>
                <w:color w:val="000000"/>
                <w:highlight w:val="none"/>
              </w:rPr>
              <w:t xml:space="preserve">投标人应根据项目需求提供</w:t>
            </w:r>
            <w:r>
              <w:rPr>
                <w:rFonts w:hint="eastAsia" w:ascii="仿宋" w:hAnsi="仿宋" w:eastAsia="仿宋" w:cs="仿宋"/>
                <w:color w:val="000000"/>
                <w:highlight w:val="none"/>
              </w:rPr>
              <w:t xml:space="preserve">相关</w:t>
            </w:r>
            <w:r>
              <w:rPr>
                <w:rFonts w:hint="default" w:ascii="仿宋" w:hAnsi="仿宋" w:eastAsia="仿宋" w:cs="仿宋"/>
                <w:color w:val="000000"/>
                <w:highlight w:val="none"/>
              </w:rPr>
              <w:t xml:space="preserve">方案，机房托管</w:t>
            </w:r>
            <w:r>
              <w:rPr>
                <w:rFonts w:hint="eastAsia" w:ascii="仿宋" w:hAnsi="仿宋" w:eastAsia="仿宋" w:cs="仿宋"/>
                <w:color w:val="000000"/>
                <w:highlight w:val="none"/>
              </w:rPr>
              <w:t xml:space="preserve">服务</w:t>
            </w:r>
            <w:r>
              <w:rPr>
                <w:rFonts w:hint="default" w:ascii="仿宋" w:hAnsi="仿宋" w:eastAsia="仿宋" w:cs="仿宋"/>
                <w:color w:val="000000"/>
                <w:highlight w:val="none"/>
              </w:rPr>
              <w:t xml:space="preserve">方案提供机柜布局图</w:t>
            </w:r>
            <w:r>
              <w:rPr>
                <w:rFonts w:hint="eastAsia" w:ascii="仿宋" w:hAnsi="仿宋" w:eastAsia="仿宋" w:cs="仿宋"/>
                <w:color w:val="000000"/>
                <w:highlight w:val="none"/>
              </w:rPr>
              <w:t xml:space="preserve">，</w:t>
            </w:r>
            <w:r>
              <w:rPr>
                <w:rFonts w:hint="default" w:ascii="仿宋" w:hAnsi="仿宋" w:eastAsia="仿宋" w:cs="仿宋"/>
                <w:color w:val="000000"/>
                <w:highlight w:val="none"/>
              </w:rPr>
              <w:t xml:space="preserve">机房搬迁服务</w:t>
            </w:r>
            <w:r>
              <w:rPr>
                <w:rFonts w:hint="eastAsia" w:ascii="仿宋" w:hAnsi="仿宋" w:eastAsia="仿宋" w:cs="仿宋"/>
                <w:color w:val="000000"/>
                <w:highlight w:val="none"/>
              </w:rPr>
              <w:t xml:space="preserve">方案应</w:t>
            </w:r>
            <w:r>
              <w:rPr>
                <w:rFonts w:hint="default" w:ascii="仿宋" w:hAnsi="仿宋" w:eastAsia="仿宋" w:cs="仿宋"/>
                <w:color w:val="000000"/>
                <w:highlight w:val="none"/>
              </w:rPr>
              <w:t xml:space="preserve">科学、合理</w:t>
            </w:r>
            <w:r>
              <w:rPr>
                <w:rFonts w:hint="eastAsia" w:ascii="仿宋" w:hAnsi="仿宋" w:eastAsia="仿宋" w:cs="仿宋"/>
                <w:color w:val="000000"/>
                <w:highlight w:val="none"/>
              </w:rPr>
              <w:t xml:space="preserve">，同时提供</w:t>
            </w:r>
            <w:r>
              <w:rPr>
                <w:rFonts w:hint="default" w:ascii="仿宋" w:hAnsi="仿宋" w:eastAsia="仿宋" w:cs="仿宋"/>
                <w:color w:val="000000"/>
                <w:highlight w:val="none"/>
              </w:rPr>
              <w:t xml:space="preserve">机房设备数据备份和同步等搬迁割接方案。</w:t>
            </w:r>
            <w:r/>
          </w:p>
          <w:p>
            <w:pPr>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方案完整详尽，专业性、可行性强，考虑周全，思路清晰，符合项目需求</w:t>
            </w:r>
            <w:r>
              <w:rPr>
                <w:rFonts w:hint="eastAsia" w:ascii="仿宋" w:hAnsi="仿宋" w:eastAsia="仿宋" w:cs="仿宋"/>
                <w:color w:val="000000"/>
                <w:highlight w:val="none"/>
                <w:lang w:eastAsia="zh-CN"/>
              </w:rPr>
              <w:t xml:space="preserve">，</w:t>
            </w:r>
            <w:r>
              <w:rPr>
                <w:rFonts w:hint="default" w:ascii="仿宋" w:hAnsi="仿宋" w:eastAsia="仿宋" w:cs="仿宋"/>
                <w:color w:val="000000"/>
                <w:highlight w:val="none"/>
              </w:rPr>
              <w:t xml:space="preserve">得</w:t>
            </w:r>
            <w:r>
              <w:rPr>
                <w:rFonts w:hint="eastAsia" w:ascii="仿宋" w:hAnsi="仿宋" w:eastAsia="仿宋" w:cs="仿宋"/>
                <w:color w:val="000000"/>
                <w:highlight w:val="none"/>
                <w:lang w:val="en-US" w:eastAsia="zh-CN"/>
              </w:rPr>
              <w:t xml:space="preserve">8</w:t>
            </w:r>
            <w:r>
              <w:rPr>
                <w:rFonts w:hint="default" w:ascii="仿宋" w:hAnsi="仿宋" w:eastAsia="仿宋" w:cs="仿宋"/>
                <w:color w:val="000000"/>
                <w:highlight w:val="none"/>
              </w:rPr>
              <w:t xml:space="preserve">分</w:t>
            </w:r>
            <w:r>
              <w:rPr>
                <w:rFonts w:hint="eastAsia" w:ascii="仿宋" w:hAnsi="仿宋" w:eastAsia="仿宋" w:cs="仿宋"/>
                <w:color w:val="000000"/>
                <w:highlight w:val="none"/>
                <w:lang w:eastAsia="zh-CN"/>
              </w:rPr>
              <w:t xml:space="preserve">；</w:t>
            </w:r>
            <w:r/>
          </w:p>
          <w:p>
            <w:pPr>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方案较为完整、细致，思路较清晰，基本符合项目需求</w:t>
            </w:r>
            <w:r>
              <w:rPr>
                <w:rFonts w:hint="eastAsia" w:ascii="仿宋" w:hAnsi="仿宋" w:eastAsia="仿宋" w:cs="仿宋"/>
                <w:color w:val="000000"/>
                <w:highlight w:val="none"/>
                <w:lang w:eastAsia="zh-CN"/>
              </w:rPr>
              <w:t xml:space="preserve">，</w:t>
            </w:r>
            <w:r>
              <w:rPr>
                <w:rFonts w:hint="default" w:ascii="仿宋" w:hAnsi="仿宋" w:eastAsia="仿宋" w:cs="仿宋"/>
                <w:color w:val="000000"/>
                <w:highlight w:val="none"/>
              </w:rPr>
              <w:t xml:space="preserve">得</w:t>
            </w:r>
            <w:r>
              <w:rPr>
                <w:rFonts w:hint="eastAsia" w:ascii="仿宋" w:hAnsi="仿宋" w:eastAsia="仿宋" w:cs="仿宋"/>
                <w:color w:val="000000"/>
                <w:highlight w:val="none"/>
                <w:lang w:val="en-US" w:eastAsia="zh-CN"/>
              </w:rPr>
              <w:t xml:space="preserve">5</w:t>
            </w:r>
            <w:r>
              <w:rPr>
                <w:rFonts w:hint="default" w:ascii="仿宋" w:hAnsi="仿宋" w:eastAsia="仿宋" w:cs="仿宋"/>
                <w:color w:val="000000"/>
                <w:highlight w:val="none"/>
              </w:rPr>
              <w:t xml:space="preserve">分</w:t>
            </w:r>
            <w:r>
              <w:rPr>
                <w:rFonts w:hint="eastAsia" w:ascii="仿宋" w:hAnsi="仿宋" w:eastAsia="仿宋" w:cs="仿宋"/>
                <w:color w:val="000000"/>
                <w:highlight w:val="none"/>
                <w:lang w:eastAsia="zh-CN"/>
              </w:rPr>
              <w:t xml:space="preserve">；</w:t>
            </w:r>
            <w:r/>
          </w:p>
          <w:p>
            <w:pPr>
              <w:rPr>
                <w:rFonts w:hint="default" w:ascii="仿宋" w:hAnsi="仿宋" w:eastAsia="仿宋" w:cs="仿宋"/>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方案</w:t>
            </w:r>
            <w:r>
              <w:rPr>
                <w:rFonts w:hint="eastAsia" w:ascii="仿宋" w:hAnsi="仿宋" w:eastAsia="仿宋" w:cs="仿宋"/>
                <w:color w:val="000000"/>
                <w:highlight w:val="none"/>
                <w:lang w:val="en-US" w:eastAsia="zh-CN"/>
              </w:rPr>
              <w:t xml:space="preserve">一般，</w:t>
            </w:r>
            <w:r>
              <w:rPr>
                <w:rFonts w:hint="eastAsia" w:ascii="仿宋" w:hAnsi="仿宋" w:eastAsia="仿宋" w:cs="仿宋"/>
                <w:color w:val="000000"/>
                <w:highlight w:val="none"/>
              </w:rPr>
              <w:t xml:space="preserve">欠完善，与项目需求响应度低</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得2分；</w:t>
            </w:r>
            <w:r/>
          </w:p>
          <w:p>
            <w:pPr>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lang w:val="en-US" w:eastAsia="zh-CN"/>
              </w:rPr>
              <w:t xml:space="preserve">方案</w:t>
            </w:r>
            <w:r>
              <w:rPr>
                <w:rFonts w:hint="default" w:ascii="仿宋" w:hAnsi="仿宋" w:eastAsia="仿宋" w:cs="仿宋"/>
                <w:color w:val="000000"/>
                <w:highlight w:val="none"/>
              </w:rPr>
              <w:t xml:space="preserve">不符合项目需求或未提供</w:t>
            </w:r>
            <w:r>
              <w:rPr>
                <w:rFonts w:hint="eastAsia" w:ascii="仿宋" w:hAnsi="仿宋" w:eastAsia="仿宋" w:cs="仿宋"/>
                <w:color w:val="000000"/>
                <w:highlight w:val="none"/>
              </w:rPr>
              <w:t xml:space="preserve">的</w:t>
            </w:r>
            <w:r>
              <w:rPr>
                <w:rFonts w:hint="default" w:ascii="仿宋" w:hAnsi="仿宋" w:eastAsia="仿宋" w:cs="仿宋"/>
                <w:color w:val="000000"/>
                <w:highlight w:val="none"/>
              </w:rPr>
              <w:t xml:space="preserve">不得分</w:t>
            </w:r>
            <w:r>
              <w:rPr>
                <w:rFonts w:hint="eastAsia" w:ascii="仿宋" w:hAnsi="仿宋" w:eastAsia="仿宋" w:cs="仿宋"/>
                <w:color w:val="000000"/>
                <w:highlight w:val="none"/>
                <w:lang w:eastAsia="zh-CN"/>
              </w:rPr>
              <w:t xml:space="preserve">。</w:t>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具体项目需求见第四章采购需求</w:t>
            </w:r>
            <w:r>
              <w:rPr>
                <w:rFonts w:hint="default" w:ascii="仿宋" w:hAnsi="仿宋" w:eastAsia="仿宋" w:cs="仿宋"/>
                <w:color w:val="000000"/>
                <w:highlight w:val="none"/>
              </w:rPr>
              <w:t xml:space="preserve">。</w:t>
            </w:r>
            <w:r/>
          </w:p>
        </w:tc>
      </w:tr>
      <w:tr>
        <w:trPr>
          <w:jc w:val="center"/>
          <w:trHeight w:val="638"/>
        </w:trPr>
        <w:tc>
          <w:tcPr>
            <w:tcW w:w="695" w:type="dxa"/>
            <w:vMerge w:val="continue"/>
            <w:textDirection w:val="lrTb"/>
            <w:noWrap w:val="false"/>
          </w:tcPr>
          <w:p>
            <w:pPr>
              <w:rPr>
                <w:rFonts w:hint="default" w:ascii="Calibri" w:hAnsi="Calibri" w:eastAsia="宋体" w:cs="Times New Roman"/>
              </w:rPr>
            </w:pPr>
            <w:r>
              <w:rPr>
                <w:rFonts w:hint="default" w:ascii="Calibri" w:hAnsi="Calibri" w:eastAsia="宋体" w:cs="Times New Roman"/>
              </w:rPr>
            </w:r>
            <w:r/>
          </w:p>
        </w:tc>
        <w:tc>
          <w:tcPr>
            <w:tcW w:w="1392" w:type="dxa"/>
            <w:vMerge w:val="continue"/>
            <w:textDirection w:val="lrTb"/>
            <w:noWrap w:val="false"/>
          </w:tcPr>
          <w:p>
            <w:pPr>
              <w:jc w:val="center"/>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r>
            <w:r/>
          </w:p>
        </w:tc>
        <w:tc>
          <w:tcPr>
            <w:tcMar>
              <w:left w:w="108" w:type="dxa"/>
              <w:top w:w="0" w:type="dxa"/>
              <w:right w:w="108" w:type="dxa"/>
              <w:bottom w:w="0" w:type="dxa"/>
            </w:tcMar>
            <w:tcW w:w="820" w:type="dxa"/>
            <w:vAlign w:val="center"/>
            <w:textDirection w:val="lrTb"/>
            <w:noWrap w:val="false"/>
          </w:tcPr>
          <w:p>
            <w:pPr>
              <w:jc w:val="center"/>
              <w:rPr>
                <w:rFonts w:hint="eastAsia" w:ascii="Calibri" w:hAnsi="Calibri" w:eastAsia="宋体" w:cs="Times New Roman"/>
                <w:highlight w:val="none"/>
                <w:lang w:val="en-US" w:eastAsia="zh-CN"/>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highlight w:val="none"/>
                <w:lang w:val="en-US" w:eastAsia="zh-CN"/>
              </w:rPr>
              <w:t xml:space="preserve">8</w:t>
            </w:r>
            <w:r/>
          </w:p>
        </w:tc>
        <w:tc>
          <w:tcPr>
            <w:tcMar>
              <w:left w:w="108" w:type="dxa"/>
              <w:top w:w="0" w:type="dxa"/>
              <w:right w:w="108" w:type="dxa"/>
              <w:bottom w:w="0" w:type="dxa"/>
            </w:tcMar>
            <w:tcW w:w="5690" w:type="dxa"/>
            <w:vAlign w:val="center"/>
            <w:textDirection w:val="lrTb"/>
            <w:noWrap w:val="false"/>
          </w:tcPr>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highlight w:val="none"/>
              </w:rPr>
              <w:t xml:space="preserve">信息技术咨询服务</w:t>
            </w:r>
            <w:r>
              <w:rPr>
                <w:rFonts w:hint="eastAsia" w:ascii="仿宋" w:hAnsi="仿宋" w:eastAsia="仿宋" w:cs="仿宋"/>
                <w:color w:val="000000"/>
                <w:highlight w:val="none"/>
              </w:rPr>
              <w:t xml:space="preserve">方案:</w:t>
            </w:r>
            <w:r>
              <w:rPr>
                <w:rFonts w:hint="default" w:ascii="仿宋" w:hAnsi="仿宋" w:eastAsia="仿宋" w:cs="仿宋"/>
                <w:color w:val="000000"/>
                <w:highlight w:val="none"/>
              </w:rPr>
              <w:t xml:space="preserve">根据招标文件要求提出</w:t>
            </w:r>
            <w:r>
              <w:rPr>
                <w:rFonts w:hint="eastAsia" w:ascii="仿宋" w:hAnsi="仿宋" w:eastAsia="仿宋" w:cs="仿宋"/>
                <w:color w:val="000000"/>
                <w:highlight w:val="none"/>
              </w:rPr>
              <w:t xml:space="preserve">信息</w:t>
            </w:r>
            <w:r>
              <w:rPr>
                <w:rFonts w:hint="default" w:ascii="仿宋" w:hAnsi="仿宋" w:eastAsia="仿宋" w:cs="仿宋"/>
                <w:color w:val="000000"/>
                <w:highlight w:val="none"/>
              </w:rPr>
              <w:t xml:space="preserve">技术咨询的建设思路、总体框架、主要任务内容</w:t>
            </w:r>
            <w:r>
              <w:rPr>
                <w:rFonts w:hint="eastAsia" w:ascii="仿宋" w:hAnsi="仿宋" w:eastAsia="仿宋" w:cs="仿宋"/>
                <w:color w:val="000000"/>
                <w:highlight w:val="none"/>
              </w:rPr>
              <w:t xml:space="preserve">。</w:t>
            </w:r>
            <w:r/>
          </w:p>
          <w:p>
            <w:pPr>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方案完整详尽，专业性、可行性强，考虑周全，思路清晰，符合项目需求</w:t>
            </w:r>
            <w:r>
              <w:rPr>
                <w:rFonts w:hint="eastAsia" w:ascii="仿宋" w:hAnsi="仿宋" w:eastAsia="仿宋" w:cs="仿宋"/>
                <w:color w:val="000000"/>
                <w:highlight w:val="none"/>
                <w:lang w:eastAsia="zh-CN"/>
              </w:rPr>
              <w:t xml:space="preserve">，</w:t>
            </w:r>
            <w:r>
              <w:rPr>
                <w:rFonts w:hint="default" w:ascii="仿宋" w:hAnsi="仿宋" w:eastAsia="仿宋" w:cs="仿宋"/>
                <w:color w:val="000000"/>
                <w:highlight w:val="none"/>
              </w:rPr>
              <w:t xml:space="preserve">得</w:t>
            </w:r>
            <w:r>
              <w:rPr>
                <w:rFonts w:hint="eastAsia" w:ascii="仿宋" w:hAnsi="仿宋" w:eastAsia="仿宋" w:cs="仿宋"/>
                <w:color w:val="000000"/>
                <w:highlight w:val="none"/>
                <w:lang w:val="en-US" w:eastAsia="zh-CN"/>
              </w:rPr>
              <w:t xml:space="preserve">8</w:t>
            </w:r>
            <w:r>
              <w:rPr>
                <w:rFonts w:hint="default" w:ascii="仿宋" w:hAnsi="仿宋" w:eastAsia="仿宋" w:cs="仿宋"/>
                <w:color w:val="000000"/>
                <w:highlight w:val="none"/>
              </w:rPr>
              <w:t xml:space="preserve">分</w:t>
            </w:r>
            <w:r>
              <w:rPr>
                <w:rFonts w:hint="eastAsia" w:ascii="仿宋" w:hAnsi="仿宋" w:eastAsia="仿宋" w:cs="仿宋"/>
                <w:color w:val="000000"/>
                <w:highlight w:val="none"/>
                <w:lang w:eastAsia="zh-CN"/>
              </w:rPr>
              <w:t xml:space="preserve">；</w:t>
            </w:r>
            <w:r/>
          </w:p>
          <w:p>
            <w:pPr>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方案较为完整、细致，思路较清晰，基本符合项目需求</w:t>
            </w:r>
            <w:r>
              <w:rPr>
                <w:rFonts w:hint="eastAsia" w:ascii="仿宋" w:hAnsi="仿宋" w:eastAsia="仿宋" w:cs="仿宋"/>
                <w:color w:val="000000"/>
                <w:highlight w:val="none"/>
                <w:lang w:eastAsia="zh-CN"/>
              </w:rPr>
              <w:t xml:space="preserve">，</w:t>
            </w:r>
            <w:r>
              <w:rPr>
                <w:rFonts w:hint="default" w:ascii="仿宋" w:hAnsi="仿宋" w:eastAsia="仿宋" w:cs="仿宋"/>
                <w:color w:val="000000"/>
                <w:highlight w:val="none"/>
              </w:rPr>
              <w:t xml:space="preserve">得</w:t>
            </w:r>
            <w:r>
              <w:rPr>
                <w:rFonts w:hint="eastAsia" w:ascii="仿宋" w:hAnsi="仿宋" w:eastAsia="仿宋" w:cs="仿宋"/>
                <w:color w:val="000000"/>
                <w:highlight w:val="none"/>
                <w:lang w:val="en-US" w:eastAsia="zh-CN"/>
              </w:rPr>
              <w:t xml:space="preserve">5</w:t>
            </w:r>
            <w:r>
              <w:rPr>
                <w:rFonts w:hint="default" w:ascii="仿宋" w:hAnsi="仿宋" w:eastAsia="仿宋" w:cs="仿宋"/>
                <w:color w:val="000000"/>
                <w:highlight w:val="none"/>
              </w:rPr>
              <w:t xml:space="preserve">分</w:t>
            </w:r>
            <w:r>
              <w:rPr>
                <w:rFonts w:hint="eastAsia" w:ascii="仿宋" w:hAnsi="仿宋" w:eastAsia="仿宋" w:cs="仿宋"/>
                <w:color w:val="000000"/>
                <w:highlight w:val="none"/>
                <w:lang w:eastAsia="zh-CN"/>
              </w:rPr>
              <w:t xml:space="preserve">；</w:t>
            </w:r>
            <w:r/>
          </w:p>
          <w:p>
            <w:pPr>
              <w:rPr>
                <w:rFonts w:hint="default" w:ascii="仿宋" w:hAnsi="仿宋" w:eastAsia="仿宋" w:cs="仿宋"/>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方案</w:t>
            </w:r>
            <w:r>
              <w:rPr>
                <w:rFonts w:hint="eastAsia" w:ascii="仿宋" w:hAnsi="仿宋" w:eastAsia="仿宋" w:cs="仿宋"/>
                <w:color w:val="000000"/>
                <w:highlight w:val="none"/>
                <w:lang w:val="en-US" w:eastAsia="zh-CN"/>
              </w:rPr>
              <w:t xml:space="preserve">一般，</w:t>
            </w:r>
            <w:r>
              <w:rPr>
                <w:rFonts w:hint="eastAsia" w:ascii="仿宋" w:hAnsi="仿宋" w:eastAsia="仿宋" w:cs="仿宋"/>
                <w:color w:val="000000"/>
                <w:highlight w:val="none"/>
              </w:rPr>
              <w:t xml:space="preserve">欠完善，与项目需求响应度低</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得2分；</w:t>
            </w:r>
            <w:r/>
          </w:p>
          <w:p>
            <w:pPr>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lang w:val="en-US" w:eastAsia="zh-CN"/>
              </w:rPr>
              <w:t xml:space="preserve">方案</w:t>
            </w:r>
            <w:r>
              <w:rPr>
                <w:rFonts w:hint="default" w:ascii="仿宋" w:hAnsi="仿宋" w:eastAsia="仿宋" w:cs="仿宋"/>
                <w:color w:val="000000"/>
                <w:highlight w:val="none"/>
              </w:rPr>
              <w:t xml:space="preserve">不符合项目需求或未提供</w:t>
            </w:r>
            <w:r>
              <w:rPr>
                <w:rFonts w:hint="eastAsia" w:ascii="仿宋" w:hAnsi="仿宋" w:eastAsia="仿宋" w:cs="仿宋"/>
                <w:color w:val="000000"/>
                <w:highlight w:val="none"/>
              </w:rPr>
              <w:t xml:space="preserve">的</w:t>
            </w:r>
            <w:r>
              <w:rPr>
                <w:rFonts w:hint="default" w:ascii="仿宋" w:hAnsi="仿宋" w:eastAsia="仿宋" w:cs="仿宋"/>
                <w:color w:val="000000"/>
                <w:highlight w:val="none"/>
              </w:rPr>
              <w:t xml:space="preserve">不得分</w:t>
            </w:r>
            <w:r>
              <w:rPr>
                <w:rFonts w:hint="eastAsia" w:ascii="仿宋" w:hAnsi="仿宋" w:eastAsia="仿宋" w:cs="仿宋"/>
                <w:color w:val="000000"/>
                <w:highlight w:val="none"/>
                <w:lang w:eastAsia="zh-CN"/>
              </w:rPr>
              <w:t xml:space="preserve">。</w:t>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具体项目需求见第四章采购需求</w:t>
            </w:r>
            <w:r>
              <w:rPr>
                <w:rFonts w:hint="default" w:ascii="仿宋" w:hAnsi="仿宋" w:eastAsia="仿宋" w:cs="仿宋"/>
                <w:color w:val="000000"/>
                <w:highlight w:val="none"/>
              </w:rPr>
              <w:t xml:space="preserve">。</w:t>
            </w:r>
            <w:r/>
          </w:p>
        </w:tc>
      </w:tr>
      <w:tr>
        <w:trPr>
          <w:jc w:val="center"/>
          <w:trHeight w:val="638"/>
        </w:trPr>
        <w:tc>
          <w:tcPr>
            <w:tcW w:w="695" w:type="dxa"/>
            <w:vMerge w:val="continue"/>
            <w:textDirection w:val="lrTb"/>
            <w:noWrap w:val="false"/>
          </w:tcPr>
          <w:p>
            <w:pPr>
              <w:rPr>
                <w:rFonts w:hint="default" w:ascii="Calibri" w:hAnsi="Calibri" w:eastAsia="宋体" w:cs="Times New Roman"/>
              </w:rPr>
            </w:pPr>
            <w:r>
              <w:rPr>
                <w:rFonts w:hint="default" w:ascii="Calibri" w:hAnsi="Calibri" w:eastAsia="宋体" w:cs="Times New Roman"/>
              </w:rPr>
            </w:r>
            <w:r/>
          </w:p>
        </w:tc>
        <w:tc>
          <w:tcPr>
            <w:tcW w:w="1392" w:type="dxa"/>
            <w:vMerge w:val="continue"/>
            <w:textDirection w:val="lrTb"/>
            <w:noWrap w:val="false"/>
          </w:tcPr>
          <w:p>
            <w:pPr>
              <w:jc w:val="center"/>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r>
            <w:r/>
          </w:p>
        </w:tc>
        <w:tc>
          <w:tcPr>
            <w:tcMar>
              <w:left w:w="108" w:type="dxa"/>
              <w:top w:w="0" w:type="dxa"/>
              <w:right w:w="108" w:type="dxa"/>
              <w:bottom w:w="0" w:type="dxa"/>
            </w:tcMar>
            <w:tcW w:w="820" w:type="dxa"/>
            <w:vAlign w:val="center"/>
            <w:textDirection w:val="lrTb"/>
            <w:noWrap w:val="false"/>
          </w:tcPr>
          <w:p>
            <w:pPr>
              <w:jc w:val="center"/>
              <w:rPr>
                <w:rFonts w:hint="eastAsia" w:ascii="Calibri" w:hAnsi="Calibri" w:eastAsia="宋体" w:cs="Times New Roman"/>
                <w:highlight w:val="none"/>
                <w:lang w:val="en-US" w:eastAsia="zh-CN"/>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highlight w:val="none"/>
                <w:lang w:val="en-US" w:eastAsia="zh-CN"/>
              </w:rPr>
              <w:t xml:space="preserve">8</w:t>
            </w:r>
            <w:r/>
          </w:p>
        </w:tc>
        <w:tc>
          <w:tcPr>
            <w:tcMar>
              <w:left w:w="108" w:type="dxa"/>
              <w:top w:w="0" w:type="dxa"/>
              <w:right w:w="108" w:type="dxa"/>
              <w:bottom w:w="0" w:type="dxa"/>
            </w:tcMar>
            <w:tcW w:w="5690" w:type="dxa"/>
            <w:vAlign w:val="center"/>
            <w:textDirection w:val="lrTb"/>
            <w:noWrap w:val="false"/>
          </w:tcPr>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highlight w:val="none"/>
              </w:rPr>
              <w:t xml:space="preserve">数据中心运维和卫生专网运维服务</w:t>
            </w:r>
            <w:r>
              <w:rPr>
                <w:rFonts w:hint="eastAsia" w:ascii="仿宋" w:hAnsi="仿宋" w:eastAsia="仿宋" w:cs="仿宋"/>
                <w:color w:val="000000"/>
                <w:highlight w:val="none"/>
              </w:rPr>
              <w:t xml:space="preserve">方案:</w:t>
            </w:r>
            <w:r>
              <w:rPr>
                <w:rFonts w:hint="default" w:ascii="仿宋" w:hAnsi="仿宋" w:eastAsia="仿宋" w:cs="仿宋"/>
                <w:color w:val="000000"/>
                <w:highlight w:val="none"/>
              </w:rPr>
              <w:t xml:space="preserve">提供数据中心运行监控维护方案</w:t>
            </w:r>
            <w:r>
              <w:rPr>
                <w:rFonts w:hint="eastAsia" w:ascii="仿宋" w:hAnsi="仿宋" w:eastAsia="仿宋" w:cs="仿宋"/>
                <w:color w:val="000000"/>
                <w:highlight w:val="none"/>
              </w:rPr>
              <w:t xml:space="preserve">及</w:t>
            </w:r>
            <w:r>
              <w:rPr>
                <w:rFonts w:hint="default" w:ascii="仿宋" w:hAnsi="仿宋" w:eastAsia="仿宋" w:cs="仿宋"/>
                <w:color w:val="000000"/>
                <w:highlight w:val="none"/>
              </w:rPr>
              <w:t xml:space="preserve">专网运行监控维护方案</w:t>
            </w:r>
            <w:r>
              <w:rPr>
                <w:rFonts w:hint="eastAsia" w:ascii="仿宋" w:hAnsi="仿宋" w:eastAsia="仿宋" w:cs="仿宋"/>
                <w:color w:val="000000"/>
                <w:highlight w:val="none"/>
              </w:rPr>
              <w:t xml:space="preserve">。</w:t>
            </w:r>
            <w:r/>
          </w:p>
          <w:p>
            <w:pPr>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方案完整详尽，专业性、可行性强，考虑周全，思路清晰，符合项目需求</w:t>
            </w:r>
            <w:r>
              <w:rPr>
                <w:rFonts w:hint="eastAsia" w:ascii="仿宋" w:hAnsi="仿宋" w:eastAsia="仿宋" w:cs="仿宋"/>
                <w:color w:val="000000"/>
                <w:highlight w:val="none"/>
                <w:lang w:eastAsia="zh-CN"/>
              </w:rPr>
              <w:t xml:space="preserve">，</w:t>
            </w:r>
            <w:r>
              <w:rPr>
                <w:rFonts w:hint="default" w:ascii="仿宋" w:hAnsi="仿宋" w:eastAsia="仿宋" w:cs="仿宋"/>
                <w:color w:val="000000"/>
                <w:highlight w:val="none"/>
              </w:rPr>
              <w:t xml:space="preserve">得</w:t>
            </w:r>
            <w:r>
              <w:rPr>
                <w:rFonts w:hint="eastAsia" w:ascii="仿宋" w:hAnsi="仿宋" w:eastAsia="仿宋" w:cs="仿宋"/>
                <w:color w:val="000000"/>
                <w:highlight w:val="none"/>
                <w:lang w:val="en-US" w:eastAsia="zh-CN"/>
              </w:rPr>
              <w:t xml:space="preserve">8</w:t>
            </w:r>
            <w:r>
              <w:rPr>
                <w:rFonts w:hint="default" w:ascii="仿宋" w:hAnsi="仿宋" w:eastAsia="仿宋" w:cs="仿宋"/>
                <w:color w:val="000000"/>
                <w:highlight w:val="none"/>
              </w:rPr>
              <w:t xml:space="preserve">分</w:t>
            </w:r>
            <w:r>
              <w:rPr>
                <w:rFonts w:hint="eastAsia" w:ascii="仿宋" w:hAnsi="仿宋" w:eastAsia="仿宋" w:cs="仿宋"/>
                <w:color w:val="000000"/>
                <w:highlight w:val="none"/>
                <w:lang w:eastAsia="zh-CN"/>
              </w:rPr>
              <w:t xml:space="preserve">；</w:t>
            </w:r>
            <w:r/>
          </w:p>
          <w:p>
            <w:pPr>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方案较为完整、细致，思路较清晰，基本符合项目需求</w:t>
            </w:r>
            <w:r>
              <w:rPr>
                <w:rFonts w:hint="eastAsia" w:ascii="仿宋" w:hAnsi="仿宋" w:eastAsia="仿宋" w:cs="仿宋"/>
                <w:color w:val="000000"/>
                <w:highlight w:val="none"/>
                <w:lang w:eastAsia="zh-CN"/>
              </w:rPr>
              <w:t xml:space="preserve">，</w:t>
            </w:r>
            <w:r>
              <w:rPr>
                <w:rFonts w:hint="default" w:ascii="仿宋" w:hAnsi="仿宋" w:eastAsia="仿宋" w:cs="仿宋"/>
                <w:color w:val="000000"/>
                <w:highlight w:val="none"/>
              </w:rPr>
              <w:t xml:space="preserve">得</w:t>
            </w:r>
            <w:r>
              <w:rPr>
                <w:rFonts w:hint="eastAsia" w:ascii="仿宋" w:hAnsi="仿宋" w:eastAsia="仿宋" w:cs="仿宋"/>
                <w:color w:val="000000"/>
                <w:highlight w:val="none"/>
                <w:lang w:val="en-US" w:eastAsia="zh-CN"/>
              </w:rPr>
              <w:t xml:space="preserve">5</w:t>
            </w:r>
            <w:r>
              <w:rPr>
                <w:rFonts w:hint="default" w:ascii="仿宋" w:hAnsi="仿宋" w:eastAsia="仿宋" w:cs="仿宋"/>
                <w:color w:val="000000"/>
                <w:highlight w:val="none"/>
              </w:rPr>
              <w:t xml:space="preserve">分</w:t>
            </w:r>
            <w:r>
              <w:rPr>
                <w:rFonts w:hint="eastAsia" w:ascii="仿宋" w:hAnsi="仿宋" w:eastAsia="仿宋" w:cs="仿宋"/>
                <w:color w:val="000000"/>
                <w:highlight w:val="none"/>
                <w:lang w:eastAsia="zh-CN"/>
              </w:rPr>
              <w:t xml:space="preserve">；</w:t>
            </w:r>
            <w:r/>
          </w:p>
          <w:p>
            <w:pPr>
              <w:rPr>
                <w:rFonts w:hint="default" w:ascii="仿宋" w:hAnsi="仿宋" w:eastAsia="仿宋" w:cs="仿宋"/>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方案</w:t>
            </w:r>
            <w:r>
              <w:rPr>
                <w:rFonts w:hint="eastAsia" w:ascii="仿宋" w:hAnsi="仿宋" w:eastAsia="仿宋" w:cs="仿宋"/>
                <w:color w:val="000000"/>
                <w:highlight w:val="none"/>
                <w:lang w:val="en-US" w:eastAsia="zh-CN"/>
              </w:rPr>
              <w:t xml:space="preserve">一般，</w:t>
            </w:r>
            <w:r>
              <w:rPr>
                <w:rFonts w:hint="eastAsia" w:ascii="仿宋" w:hAnsi="仿宋" w:eastAsia="仿宋" w:cs="仿宋"/>
                <w:color w:val="000000"/>
                <w:highlight w:val="none"/>
              </w:rPr>
              <w:t xml:space="preserve">欠完善，与项目需求响应度低</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得2分；</w:t>
            </w:r>
            <w:r/>
          </w:p>
          <w:p>
            <w:pPr>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lang w:val="en-US" w:eastAsia="zh-CN"/>
              </w:rPr>
              <w:t xml:space="preserve">方案</w:t>
            </w:r>
            <w:r>
              <w:rPr>
                <w:rFonts w:hint="default" w:ascii="仿宋" w:hAnsi="仿宋" w:eastAsia="仿宋" w:cs="仿宋"/>
                <w:color w:val="000000"/>
                <w:highlight w:val="none"/>
              </w:rPr>
              <w:t xml:space="preserve">不符合项目需求或未提供</w:t>
            </w:r>
            <w:r>
              <w:rPr>
                <w:rFonts w:hint="eastAsia" w:ascii="仿宋" w:hAnsi="仿宋" w:eastAsia="仿宋" w:cs="仿宋"/>
                <w:color w:val="000000"/>
                <w:highlight w:val="none"/>
              </w:rPr>
              <w:t xml:space="preserve">的</w:t>
            </w:r>
            <w:r>
              <w:rPr>
                <w:rFonts w:hint="default" w:ascii="仿宋" w:hAnsi="仿宋" w:eastAsia="仿宋" w:cs="仿宋"/>
                <w:color w:val="000000"/>
                <w:highlight w:val="none"/>
              </w:rPr>
              <w:t xml:space="preserve">不得分</w:t>
            </w:r>
            <w:r>
              <w:rPr>
                <w:rFonts w:hint="eastAsia" w:ascii="仿宋" w:hAnsi="仿宋" w:eastAsia="仿宋" w:cs="仿宋"/>
                <w:color w:val="000000"/>
                <w:highlight w:val="none"/>
                <w:lang w:eastAsia="zh-CN"/>
              </w:rPr>
              <w:t xml:space="preserve">。</w:t>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具体项目需求见第四章采购需求</w:t>
            </w:r>
            <w:r>
              <w:rPr>
                <w:rFonts w:hint="default" w:ascii="仿宋" w:hAnsi="仿宋" w:eastAsia="仿宋" w:cs="仿宋"/>
                <w:color w:val="000000"/>
                <w:highlight w:val="none"/>
              </w:rPr>
              <w:t xml:space="preserve">。</w:t>
            </w:r>
            <w:r/>
          </w:p>
        </w:tc>
      </w:tr>
      <w:tr>
        <w:trPr>
          <w:jc w:val="center"/>
          <w:trHeight w:val="638"/>
        </w:trPr>
        <w:tc>
          <w:tcPr>
            <w:tcW w:w="695" w:type="dxa"/>
            <w:vMerge w:val="continue"/>
            <w:textDirection w:val="lrTb"/>
            <w:noWrap w:val="false"/>
          </w:tcPr>
          <w:p>
            <w:pPr>
              <w:rPr>
                <w:rFonts w:hint="default" w:ascii="Calibri" w:hAnsi="Calibri" w:eastAsia="宋体" w:cs="Times New Roman"/>
              </w:rPr>
            </w:pPr>
            <w:r>
              <w:rPr>
                <w:rFonts w:hint="default" w:ascii="Calibri" w:hAnsi="Calibri" w:eastAsia="宋体" w:cs="Times New Roman"/>
              </w:rPr>
            </w:r>
            <w:r/>
          </w:p>
        </w:tc>
        <w:tc>
          <w:tcPr>
            <w:tcW w:w="1392" w:type="dxa"/>
            <w:vMerge w:val="continue"/>
            <w:textDirection w:val="lrTb"/>
            <w:noWrap w:val="false"/>
          </w:tcPr>
          <w:p>
            <w:pPr>
              <w:jc w:val="center"/>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r>
            <w:r/>
          </w:p>
        </w:tc>
        <w:tc>
          <w:tcPr>
            <w:tcMar>
              <w:left w:w="108" w:type="dxa"/>
              <w:top w:w="0" w:type="dxa"/>
              <w:right w:w="108" w:type="dxa"/>
              <w:bottom w:w="0" w:type="dxa"/>
            </w:tcMar>
            <w:tcW w:w="820" w:type="dxa"/>
            <w:vAlign w:val="center"/>
            <w:textDirection w:val="lrTb"/>
            <w:noWrap w:val="false"/>
          </w:tcPr>
          <w:p>
            <w:pPr>
              <w:jc w:val="center"/>
              <w:rPr>
                <w:rFonts w:hint="eastAsia" w:ascii="Calibri" w:hAnsi="Calibri" w:eastAsia="宋体" w:cs="Times New Roman"/>
                <w:highlight w:val="none"/>
                <w:lang w:val="en-US" w:eastAsia="zh-CN"/>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highlight w:val="none"/>
                <w:lang w:val="en-US" w:eastAsia="zh-CN"/>
              </w:rPr>
              <w:t xml:space="preserve">8</w:t>
            </w:r>
            <w:r/>
          </w:p>
        </w:tc>
        <w:tc>
          <w:tcPr>
            <w:tcMar>
              <w:left w:w="108" w:type="dxa"/>
              <w:top w:w="0" w:type="dxa"/>
              <w:right w:w="108" w:type="dxa"/>
              <w:bottom w:w="0" w:type="dxa"/>
            </w:tcMar>
            <w:tcW w:w="5690" w:type="dxa"/>
            <w:vAlign w:val="center"/>
            <w:textDirection w:val="lrTb"/>
            <w:noWrap w:val="false"/>
          </w:tcPr>
          <w:p>
            <w:pPr>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highlight w:val="none"/>
              </w:rPr>
              <w:t xml:space="preserve">网络安全运维服务</w:t>
            </w:r>
            <w:r>
              <w:rPr>
                <w:rFonts w:hint="eastAsia" w:ascii="仿宋" w:hAnsi="仿宋" w:eastAsia="仿宋" w:cs="仿宋"/>
                <w:color w:val="000000"/>
                <w:highlight w:val="none"/>
              </w:rPr>
              <w:t xml:space="preserve">方案：</w:t>
            </w:r>
            <w:r>
              <w:rPr>
                <w:rFonts w:hint="default" w:ascii="仿宋" w:hAnsi="仿宋" w:eastAsia="仿宋" w:cs="仿宋"/>
                <w:color w:val="000000"/>
                <w:highlight w:val="none"/>
              </w:rPr>
              <w:t xml:space="preserve">提供网络安全运行监控维护方案</w:t>
            </w:r>
            <w:r>
              <w:rPr>
                <w:rFonts w:hint="eastAsia" w:ascii="仿宋" w:hAnsi="仿宋" w:eastAsia="仿宋" w:cs="仿宋"/>
                <w:color w:val="000000"/>
                <w:highlight w:val="none"/>
              </w:rPr>
              <w:t xml:space="preserve">。方案完整详尽，专业性、可行性强，考虑周全，思路清晰，符合项目需求</w:t>
            </w:r>
            <w:r>
              <w:rPr>
                <w:rFonts w:hint="eastAsia" w:ascii="仿宋" w:hAnsi="仿宋" w:eastAsia="仿宋" w:cs="仿宋"/>
                <w:color w:val="000000"/>
                <w:highlight w:val="none"/>
                <w:lang w:eastAsia="zh-CN"/>
              </w:rPr>
              <w:t xml:space="preserve">，</w:t>
            </w:r>
            <w:r>
              <w:rPr>
                <w:rFonts w:hint="default" w:ascii="仿宋" w:hAnsi="仿宋" w:eastAsia="仿宋" w:cs="仿宋"/>
                <w:color w:val="000000"/>
                <w:highlight w:val="none"/>
              </w:rPr>
              <w:t xml:space="preserve">得</w:t>
            </w:r>
            <w:r>
              <w:rPr>
                <w:rFonts w:hint="eastAsia" w:ascii="仿宋" w:hAnsi="仿宋" w:eastAsia="仿宋" w:cs="仿宋"/>
                <w:color w:val="000000"/>
                <w:highlight w:val="none"/>
                <w:lang w:val="en-US" w:eastAsia="zh-CN"/>
              </w:rPr>
              <w:t xml:space="preserve">8</w:t>
            </w:r>
            <w:r>
              <w:rPr>
                <w:rFonts w:hint="default" w:ascii="仿宋" w:hAnsi="仿宋" w:eastAsia="仿宋" w:cs="仿宋"/>
                <w:color w:val="000000"/>
                <w:highlight w:val="none"/>
              </w:rPr>
              <w:t xml:space="preserve">分</w:t>
            </w:r>
            <w:r>
              <w:rPr>
                <w:rFonts w:hint="eastAsia" w:ascii="仿宋" w:hAnsi="仿宋" w:eastAsia="仿宋" w:cs="仿宋"/>
                <w:color w:val="000000"/>
                <w:highlight w:val="none"/>
                <w:lang w:eastAsia="zh-CN"/>
              </w:rPr>
              <w:t xml:space="preserve">；</w:t>
            </w:r>
            <w:r/>
          </w:p>
          <w:p>
            <w:pPr>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方案较为完整、细致，思路较清晰，基本符合项目需求</w:t>
            </w:r>
            <w:r>
              <w:rPr>
                <w:rFonts w:hint="eastAsia" w:ascii="仿宋" w:hAnsi="仿宋" w:eastAsia="仿宋" w:cs="仿宋"/>
                <w:color w:val="000000"/>
                <w:highlight w:val="none"/>
                <w:lang w:eastAsia="zh-CN"/>
              </w:rPr>
              <w:t xml:space="preserve">，</w:t>
            </w:r>
            <w:r>
              <w:rPr>
                <w:rFonts w:hint="default" w:ascii="仿宋" w:hAnsi="仿宋" w:eastAsia="仿宋" w:cs="仿宋"/>
                <w:color w:val="000000"/>
                <w:highlight w:val="none"/>
              </w:rPr>
              <w:t xml:space="preserve">得</w:t>
            </w:r>
            <w:r>
              <w:rPr>
                <w:rFonts w:hint="eastAsia" w:ascii="仿宋" w:hAnsi="仿宋" w:eastAsia="仿宋" w:cs="仿宋"/>
                <w:color w:val="000000"/>
                <w:highlight w:val="none"/>
                <w:lang w:val="en-US" w:eastAsia="zh-CN"/>
              </w:rPr>
              <w:t xml:space="preserve">5</w:t>
            </w:r>
            <w:r>
              <w:rPr>
                <w:rFonts w:hint="default" w:ascii="仿宋" w:hAnsi="仿宋" w:eastAsia="仿宋" w:cs="仿宋"/>
                <w:color w:val="000000"/>
                <w:highlight w:val="none"/>
              </w:rPr>
              <w:t xml:space="preserve">分</w:t>
            </w:r>
            <w:r>
              <w:rPr>
                <w:rFonts w:hint="eastAsia" w:ascii="仿宋" w:hAnsi="仿宋" w:eastAsia="仿宋" w:cs="仿宋"/>
                <w:color w:val="000000"/>
                <w:highlight w:val="none"/>
                <w:lang w:eastAsia="zh-CN"/>
              </w:rPr>
              <w:t xml:space="preserve">；</w:t>
            </w:r>
            <w:r/>
          </w:p>
          <w:p>
            <w:pPr>
              <w:rPr>
                <w:rFonts w:hint="default" w:ascii="仿宋" w:hAnsi="仿宋" w:eastAsia="仿宋" w:cs="仿宋"/>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方案</w:t>
            </w:r>
            <w:r>
              <w:rPr>
                <w:rFonts w:hint="eastAsia" w:ascii="仿宋" w:hAnsi="仿宋" w:eastAsia="仿宋" w:cs="仿宋"/>
                <w:color w:val="000000"/>
                <w:highlight w:val="none"/>
                <w:lang w:val="en-US" w:eastAsia="zh-CN"/>
              </w:rPr>
              <w:t xml:space="preserve">一般，</w:t>
            </w:r>
            <w:r>
              <w:rPr>
                <w:rFonts w:hint="eastAsia" w:ascii="仿宋" w:hAnsi="仿宋" w:eastAsia="仿宋" w:cs="仿宋"/>
                <w:color w:val="000000"/>
                <w:highlight w:val="none"/>
              </w:rPr>
              <w:t xml:space="preserve">欠完善，与项目需求响应度低</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得2分；</w:t>
            </w:r>
            <w:r/>
          </w:p>
          <w:p>
            <w:pPr>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lang w:val="en-US" w:eastAsia="zh-CN"/>
              </w:rPr>
              <w:t xml:space="preserve">方案</w:t>
            </w:r>
            <w:r>
              <w:rPr>
                <w:rFonts w:hint="default" w:ascii="仿宋" w:hAnsi="仿宋" w:eastAsia="仿宋" w:cs="仿宋"/>
                <w:color w:val="000000"/>
                <w:highlight w:val="none"/>
              </w:rPr>
              <w:t xml:space="preserve">不符合项目需求或未提供</w:t>
            </w:r>
            <w:r>
              <w:rPr>
                <w:rFonts w:hint="eastAsia" w:ascii="仿宋" w:hAnsi="仿宋" w:eastAsia="仿宋" w:cs="仿宋"/>
                <w:color w:val="000000"/>
                <w:highlight w:val="none"/>
              </w:rPr>
              <w:t xml:space="preserve">的</w:t>
            </w:r>
            <w:r>
              <w:rPr>
                <w:rFonts w:hint="default" w:ascii="仿宋" w:hAnsi="仿宋" w:eastAsia="仿宋" w:cs="仿宋"/>
                <w:color w:val="000000"/>
                <w:highlight w:val="none"/>
              </w:rPr>
              <w:t xml:space="preserve">不得分</w:t>
            </w:r>
            <w:r>
              <w:rPr>
                <w:rFonts w:hint="eastAsia" w:ascii="仿宋" w:hAnsi="仿宋" w:eastAsia="仿宋" w:cs="仿宋"/>
                <w:color w:val="000000"/>
                <w:highlight w:val="none"/>
                <w:lang w:eastAsia="zh-CN"/>
              </w:rPr>
              <w:t xml:space="preserve">。</w:t>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具体项目需求见第四章采购需求</w:t>
            </w:r>
            <w:r>
              <w:rPr>
                <w:rFonts w:hint="default" w:ascii="仿宋" w:hAnsi="仿宋" w:eastAsia="仿宋" w:cs="仿宋"/>
                <w:color w:val="000000"/>
                <w:highlight w:val="none"/>
              </w:rPr>
              <w:t xml:space="preserve">。</w:t>
            </w:r>
            <w:r/>
          </w:p>
        </w:tc>
      </w:tr>
      <w:tr>
        <w:trPr>
          <w:jc w:val="center"/>
          <w:trHeight w:val="638"/>
        </w:trPr>
        <w:tc>
          <w:tcPr>
            <w:tcW w:w="695" w:type="dxa"/>
            <w:vMerge w:val="continue"/>
            <w:textDirection w:val="lrTb"/>
            <w:noWrap w:val="false"/>
          </w:tcPr>
          <w:p>
            <w:pPr>
              <w:rPr>
                <w:rFonts w:hint="default" w:ascii="Calibri" w:hAnsi="Calibri" w:eastAsia="宋体" w:cs="Times New Roman"/>
              </w:rPr>
            </w:pPr>
            <w:r>
              <w:rPr>
                <w:rFonts w:hint="default" w:ascii="Calibri" w:hAnsi="Calibri" w:eastAsia="宋体" w:cs="Times New Roman"/>
              </w:rPr>
            </w:r>
            <w:r/>
          </w:p>
        </w:tc>
        <w:tc>
          <w:tcPr>
            <w:tcMar>
              <w:left w:w="108" w:type="dxa"/>
              <w:top w:w="0" w:type="dxa"/>
              <w:right w:w="108" w:type="dxa"/>
              <w:bottom w:w="0" w:type="dxa"/>
            </w:tcMar>
            <w:tcW w:w="1392" w:type="dxa"/>
            <w:vAlign w:val="center"/>
            <w:vMerge w:val="continue"/>
            <w:textDirection w:val="lrTb"/>
            <w:noWrap w:val="false"/>
          </w:tcPr>
          <w:p>
            <w:pPr>
              <w:jc w:val="center"/>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r>
            <w:r/>
          </w:p>
        </w:tc>
        <w:tc>
          <w:tcPr>
            <w:tcMar>
              <w:left w:w="108" w:type="dxa"/>
              <w:top w:w="0" w:type="dxa"/>
              <w:right w:w="108" w:type="dxa"/>
              <w:bottom w:w="0" w:type="dxa"/>
            </w:tcMar>
            <w:tcW w:w="820" w:type="dxa"/>
            <w:vAlign w:val="center"/>
            <w:textDirection w:val="lrTb"/>
            <w:noWrap w:val="false"/>
          </w:tcPr>
          <w:p>
            <w:pPr>
              <w:jc w:val="center"/>
              <w:rPr>
                <w:rFonts w:hint="eastAsia" w:ascii="Calibri" w:hAnsi="Calibri" w:eastAsia="宋体" w:cs="Times New Roman"/>
                <w:highlight w:val="none"/>
                <w:lang w:val="en-US" w:eastAsia="zh-CN"/>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highlight w:val="none"/>
                <w:lang w:val="en-US" w:eastAsia="zh-CN"/>
              </w:rPr>
              <w:t xml:space="preserve">8</w:t>
            </w:r>
            <w:r/>
          </w:p>
        </w:tc>
        <w:tc>
          <w:tcPr>
            <w:tcMar>
              <w:left w:w="108" w:type="dxa"/>
              <w:top w:w="0" w:type="dxa"/>
              <w:right w:w="108" w:type="dxa"/>
              <w:bottom w:w="0" w:type="dxa"/>
            </w:tcMar>
            <w:tcW w:w="5690" w:type="dxa"/>
            <w:vAlign w:val="center"/>
            <w:textDirection w:val="lrTb"/>
            <w:noWrap w:val="false"/>
          </w:tcPr>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highlight w:val="none"/>
              </w:rPr>
              <w:t xml:space="preserve">专线租赁服务</w:t>
            </w:r>
            <w:r>
              <w:rPr>
                <w:rFonts w:hint="eastAsia" w:ascii="仿宋" w:hAnsi="仿宋" w:eastAsia="仿宋" w:cs="仿宋"/>
                <w:color w:val="000000"/>
                <w:highlight w:val="none"/>
              </w:rPr>
              <w:t xml:space="preserve">方案：提供</w:t>
            </w:r>
            <w:r>
              <w:rPr>
                <w:rFonts w:hint="default" w:ascii="仿宋" w:hAnsi="仿宋" w:eastAsia="仿宋" w:cs="仿宋"/>
                <w:color w:val="000000"/>
                <w:highlight w:val="none"/>
              </w:rPr>
              <w:t xml:space="preserve">专线租赁服务</w:t>
            </w:r>
            <w:r>
              <w:rPr>
                <w:rFonts w:hint="eastAsia" w:ascii="仿宋" w:hAnsi="仿宋" w:eastAsia="仿宋" w:cs="仿宋"/>
                <w:color w:val="000000"/>
                <w:highlight w:val="none"/>
              </w:rPr>
              <w:t xml:space="preserve">方案。</w:t>
            </w:r>
            <w:r/>
          </w:p>
          <w:p>
            <w:pPr>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方案完整详尽，专业性、可行性强，考虑周全，思路清晰，符合项目需求</w:t>
            </w:r>
            <w:r>
              <w:rPr>
                <w:rFonts w:hint="eastAsia" w:ascii="仿宋" w:hAnsi="仿宋" w:eastAsia="仿宋" w:cs="仿宋"/>
                <w:color w:val="000000"/>
                <w:highlight w:val="none"/>
                <w:lang w:eastAsia="zh-CN"/>
              </w:rPr>
              <w:t xml:space="preserve">，</w:t>
            </w:r>
            <w:r>
              <w:rPr>
                <w:rFonts w:hint="default" w:ascii="仿宋" w:hAnsi="仿宋" w:eastAsia="仿宋" w:cs="仿宋"/>
                <w:color w:val="000000"/>
                <w:highlight w:val="none"/>
              </w:rPr>
              <w:t xml:space="preserve">得</w:t>
            </w:r>
            <w:r>
              <w:rPr>
                <w:rFonts w:hint="eastAsia" w:ascii="仿宋" w:hAnsi="仿宋" w:eastAsia="仿宋" w:cs="仿宋"/>
                <w:color w:val="000000"/>
                <w:highlight w:val="none"/>
                <w:lang w:val="en-US" w:eastAsia="zh-CN"/>
              </w:rPr>
              <w:t xml:space="preserve">8</w:t>
            </w:r>
            <w:r>
              <w:rPr>
                <w:rFonts w:hint="default" w:ascii="仿宋" w:hAnsi="仿宋" w:eastAsia="仿宋" w:cs="仿宋"/>
                <w:color w:val="000000"/>
                <w:highlight w:val="none"/>
              </w:rPr>
              <w:t xml:space="preserve">分</w:t>
            </w:r>
            <w:r>
              <w:rPr>
                <w:rFonts w:hint="eastAsia" w:ascii="仿宋" w:hAnsi="仿宋" w:eastAsia="仿宋" w:cs="仿宋"/>
                <w:color w:val="000000"/>
                <w:highlight w:val="none"/>
                <w:lang w:eastAsia="zh-CN"/>
              </w:rPr>
              <w:t xml:space="preserve">；</w:t>
            </w:r>
            <w:r/>
          </w:p>
          <w:p>
            <w:pPr>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方案较为完整、细致，思路较清晰，基本符合项目需求</w:t>
            </w:r>
            <w:r>
              <w:rPr>
                <w:rFonts w:hint="eastAsia" w:ascii="仿宋" w:hAnsi="仿宋" w:eastAsia="仿宋" w:cs="仿宋"/>
                <w:color w:val="000000"/>
                <w:highlight w:val="none"/>
                <w:lang w:eastAsia="zh-CN"/>
              </w:rPr>
              <w:t xml:space="preserve">，</w:t>
            </w:r>
            <w:r>
              <w:rPr>
                <w:rFonts w:hint="default" w:ascii="仿宋" w:hAnsi="仿宋" w:eastAsia="仿宋" w:cs="仿宋"/>
                <w:color w:val="000000"/>
                <w:highlight w:val="none"/>
              </w:rPr>
              <w:t xml:space="preserve">得</w:t>
            </w:r>
            <w:r>
              <w:rPr>
                <w:rFonts w:hint="eastAsia" w:ascii="仿宋" w:hAnsi="仿宋" w:eastAsia="仿宋" w:cs="仿宋"/>
                <w:color w:val="000000"/>
                <w:highlight w:val="none"/>
                <w:lang w:val="en-US" w:eastAsia="zh-CN"/>
              </w:rPr>
              <w:t xml:space="preserve">5</w:t>
            </w:r>
            <w:r>
              <w:rPr>
                <w:rFonts w:hint="default" w:ascii="仿宋" w:hAnsi="仿宋" w:eastAsia="仿宋" w:cs="仿宋"/>
                <w:color w:val="000000"/>
                <w:highlight w:val="none"/>
              </w:rPr>
              <w:t xml:space="preserve">分</w:t>
            </w:r>
            <w:r>
              <w:rPr>
                <w:rFonts w:hint="eastAsia" w:ascii="仿宋" w:hAnsi="仿宋" w:eastAsia="仿宋" w:cs="仿宋"/>
                <w:color w:val="000000"/>
                <w:highlight w:val="none"/>
                <w:lang w:eastAsia="zh-CN"/>
              </w:rPr>
              <w:t xml:space="preserve">；</w:t>
            </w:r>
            <w:r/>
          </w:p>
          <w:p>
            <w:pPr>
              <w:rPr>
                <w:rFonts w:hint="default" w:ascii="仿宋" w:hAnsi="仿宋" w:eastAsia="仿宋" w:cs="仿宋"/>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方案</w:t>
            </w:r>
            <w:r>
              <w:rPr>
                <w:rFonts w:hint="eastAsia" w:ascii="仿宋" w:hAnsi="仿宋" w:eastAsia="仿宋" w:cs="仿宋"/>
                <w:color w:val="000000"/>
                <w:highlight w:val="none"/>
                <w:lang w:val="en-US" w:eastAsia="zh-CN"/>
              </w:rPr>
              <w:t xml:space="preserve">一般，</w:t>
            </w:r>
            <w:r>
              <w:rPr>
                <w:rFonts w:hint="eastAsia" w:ascii="仿宋" w:hAnsi="仿宋" w:eastAsia="仿宋" w:cs="仿宋"/>
                <w:color w:val="000000"/>
                <w:highlight w:val="none"/>
              </w:rPr>
              <w:t xml:space="preserve">欠完善，与项目需求响应度低</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得2分；</w:t>
            </w:r>
            <w:r/>
          </w:p>
          <w:p>
            <w:pPr>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lang w:val="en-US" w:eastAsia="zh-CN"/>
              </w:rPr>
              <w:t xml:space="preserve">方案</w:t>
            </w:r>
            <w:r>
              <w:rPr>
                <w:rFonts w:hint="default" w:ascii="仿宋" w:hAnsi="仿宋" w:eastAsia="仿宋" w:cs="仿宋"/>
                <w:color w:val="000000"/>
                <w:highlight w:val="none"/>
              </w:rPr>
              <w:t xml:space="preserve">不符合项目需求或未提供</w:t>
            </w:r>
            <w:r>
              <w:rPr>
                <w:rFonts w:hint="eastAsia" w:ascii="仿宋" w:hAnsi="仿宋" w:eastAsia="仿宋" w:cs="仿宋"/>
                <w:color w:val="000000"/>
                <w:highlight w:val="none"/>
              </w:rPr>
              <w:t xml:space="preserve">的</w:t>
            </w:r>
            <w:r>
              <w:rPr>
                <w:rFonts w:hint="default" w:ascii="仿宋" w:hAnsi="仿宋" w:eastAsia="仿宋" w:cs="仿宋"/>
                <w:color w:val="000000"/>
                <w:highlight w:val="none"/>
              </w:rPr>
              <w:t xml:space="preserve">不得分</w:t>
            </w:r>
            <w:r>
              <w:rPr>
                <w:rFonts w:hint="eastAsia" w:ascii="仿宋" w:hAnsi="仿宋" w:eastAsia="仿宋" w:cs="仿宋"/>
                <w:color w:val="000000"/>
                <w:highlight w:val="none"/>
                <w:lang w:eastAsia="zh-CN"/>
              </w:rPr>
              <w:t xml:space="preserve">。</w:t>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具体项目需求见第四章采购需求</w:t>
            </w:r>
            <w:r>
              <w:rPr>
                <w:rFonts w:hint="default" w:ascii="仿宋" w:hAnsi="仿宋" w:eastAsia="仿宋" w:cs="仿宋"/>
                <w:color w:val="000000"/>
                <w:highlight w:val="none"/>
              </w:rPr>
              <w:t xml:space="preserve">。</w:t>
            </w:r>
            <w:r/>
          </w:p>
        </w:tc>
      </w:tr>
      <w:tr>
        <w:trPr>
          <w:jc w:val="center"/>
          <w:trHeight w:val="711"/>
        </w:trPr>
        <w:tc>
          <w:tcPr>
            <w:tcW w:w="695" w:type="dxa"/>
            <w:vMerge w:val="continue"/>
            <w:textDirection w:val="lrTb"/>
            <w:noWrap w:val="false"/>
          </w:tcPr>
          <w:p>
            <w:pPr>
              <w:rPr>
                <w:rFonts w:hint="default" w:ascii="Calibri" w:hAnsi="Calibri" w:eastAsia="宋体" w:cs="Times New Roman"/>
              </w:rPr>
            </w:pPr>
            <w:r>
              <w:rPr>
                <w:rFonts w:hint="default" w:ascii="Calibri" w:hAnsi="Calibri" w:eastAsia="宋体" w:cs="Times New Roman"/>
              </w:rPr>
            </w:r>
            <w:r/>
          </w:p>
        </w:tc>
        <w:tc>
          <w:tcPr>
            <w:tcW w:w="1392" w:type="dxa"/>
            <w:vMerge w:val="continue"/>
            <w:textDirection w:val="lrTb"/>
            <w:noWrap w:val="false"/>
          </w:tcPr>
          <w:p>
            <w:pPr>
              <w:jc w:val="center"/>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r>
            <w:r/>
          </w:p>
        </w:tc>
        <w:tc>
          <w:tcPr>
            <w:tcMar>
              <w:left w:w="108" w:type="dxa"/>
              <w:top w:w="0" w:type="dxa"/>
              <w:right w:w="108" w:type="dxa"/>
              <w:bottom w:w="0" w:type="dxa"/>
            </w:tcMar>
            <w:tcW w:w="820" w:type="dxa"/>
            <w:vAlign w:val="center"/>
            <w:textDirection w:val="lrTb"/>
            <w:noWrap w:val="false"/>
          </w:tcPr>
          <w:p>
            <w:pPr>
              <w:jc w:val="center"/>
              <w:rPr>
                <w:rFonts w:hint="eastAsia" w:ascii="Calibri" w:hAnsi="Calibri" w:eastAsia="宋体" w:cs="Times New Roman"/>
                <w:highlight w:val="none"/>
                <w:lang w:val="en-US" w:eastAsia="zh-CN"/>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highlight w:val="none"/>
                <w:lang w:val="en-US" w:eastAsia="zh-CN"/>
              </w:rPr>
              <w:t xml:space="preserve">8</w:t>
            </w:r>
            <w:r/>
          </w:p>
        </w:tc>
        <w:tc>
          <w:tcPr>
            <w:tcMar>
              <w:left w:w="108" w:type="dxa"/>
              <w:top w:w="0" w:type="dxa"/>
              <w:right w:w="108" w:type="dxa"/>
              <w:bottom w:w="0" w:type="dxa"/>
            </w:tcMar>
            <w:tcW w:w="5690" w:type="dxa"/>
            <w:vAlign w:val="center"/>
            <w:textDirection w:val="lrTb"/>
            <w:noWrap w:val="false"/>
          </w:tcPr>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highlight w:val="none"/>
              </w:rPr>
              <w:t xml:space="preserve">统一应用系统运行监测维护服务</w:t>
            </w:r>
            <w:r>
              <w:rPr>
                <w:rFonts w:hint="eastAsia" w:ascii="仿宋" w:hAnsi="仿宋" w:eastAsia="仿宋" w:cs="仿宋"/>
                <w:color w:val="000000"/>
                <w:highlight w:val="none"/>
              </w:rPr>
              <w:t xml:space="preserve">方案：提供</w:t>
            </w:r>
            <w:r>
              <w:rPr>
                <w:rFonts w:hint="default" w:ascii="仿宋" w:hAnsi="仿宋" w:eastAsia="仿宋" w:cs="仿宋"/>
                <w:color w:val="000000"/>
                <w:highlight w:val="none"/>
              </w:rPr>
              <w:t xml:space="preserve">统一应用系统运行监测维护服务</w:t>
            </w:r>
            <w:r>
              <w:rPr>
                <w:rFonts w:hint="eastAsia" w:ascii="仿宋" w:hAnsi="仿宋" w:eastAsia="仿宋" w:cs="仿宋"/>
                <w:color w:val="000000"/>
                <w:highlight w:val="none"/>
              </w:rPr>
              <w:t xml:space="preserve">方案。</w:t>
            </w:r>
            <w:r/>
          </w:p>
          <w:p>
            <w:pPr>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方案完整详尽，专业性、可行性强，考虑周全，思路清晰，符合项目需求</w:t>
            </w:r>
            <w:r>
              <w:rPr>
                <w:rFonts w:hint="eastAsia" w:ascii="仿宋" w:hAnsi="仿宋" w:eastAsia="仿宋" w:cs="仿宋"/>
                <w:color w:val="000000"/>
                <w:highlight w:val="none"/>
                <w:lang w:eastAsia="zh-CN"/>
              </w:rPr>
              <w:t xml:space="preserve">，</w:t>
            </w:r>
            <w:r>
              <w:rPr>
                <w:rFonts w:hint="default" w:ascii="仿宋" w:hAnsi="仿宋" w:eastAsia="仿宋" w:cs="仿宋"/>
                <w:color w:val="000000"/>
                <w:highlight w:val="none"/>
              </w:rPr>
              <w:t xml:space="preserve">得</w:t>
            </w:r>
            <w:r>
              <w:rPr>
                <w:rFonts w:hint="eastAsia" w:ascii="仿宋" w:hAnsi="仿宋" w:eastAsia="仿宋" w:cs="仿宋"/>
                <w:color w:val="000000"/>
                <w:highlight w:val="none"/>
                <w:lang w:val="en-US" w:eastAsia="zh-CN"/>
              </w:rPr>
              <w:t xml:space="preserve">8</w:t>
            </w:r>
            <w:r>
              <w:rPr>
                <w:rFonts w:hint="default" w:ascii="仿宋" w:hAnsi="仿宋" w:eastAsia="仿宋" w:cs="仿宋"/>
                <w:color w:val="000000"/>
                <w:highlight w:val="none"/>
              </w:rPr>
              <w:t xml:space="preserve">分</w:t>
            </w:r>
            <w:r>
              <w:rPr>
                <w:rFonts w:hint="eastAsia" w:ascii="仿宋" w:hAnsi="仿宋" w:eastAsia="仿宋" w:cs="仿宋"/>
                <w:color w:val="000000"/>
                <w:highlight w:val="none"/>
                <w:lang w:eastAsia="zh-CN"/>
              </w:rPr>
              <w:t xml:space="preserve">；</w:t>
            </w:r>
            <w:r/>
          </w:p>
          <w:p>
            <w:pPr>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方案较为完整、细致，思路较清晰，基本符合项目需求</w:t>
            </w:r>
            <w:r>
              <w:rPr>
                <w:rFonts w:hint="eastAsia" w:ascii="仿宋" w:hAnsi="仿宋" w:eastAsia="仿宋" w:cs="仿宋"/>
                <w:color w:val="000000"/>
                <w:highlight w:val="none"/>
                <w:lang w:eastAsia="zh-CN"/>
              </w:rPr>
              <w:t xml:space="preserve">，</w:t>
            </w:r>
            <w:r>
              <w:rPr>
                <w:rFonts w:hint="default" w:ascii="仿宋" w:hAnsi="仿宋" w:eastAsia="仿宋" w:cs="仿宋"/>
                <w:color w:val="000000"/>
                <w:highlight w:val="none"/>
              </w:rPr>
              <w:t xml:space="preserve">得</w:t>
            </w:r>
            <w:r>
              <w:rPr>
                <w:rFonts w:hint="eastAsia" w:ascii="仿宋" w:hAnsi="仿宋" w:eastAsia="仿宋" w:cs="仿宋"/>
                <w:color w:val="000000"/>
                <w:highlight w:val="none"/>
                <w:lang w:val="en-US" w:eastAsia="zh-CN"/>
              </w:rPr>
              <w:t xml:space="preserve">5</w:t>
            </w:r>
            <w:r>
              <w:rPr>
                <w:rFonts w:hint="default" w:ascii="仿宋" w:hAnsi="仿宋" w:eastAsia="仿宋" w:cs="仿宋"/>
                <w:color w:val="000000"/>
                <w:highlight w:val="none"/>
              </w:rPr>
              <w:t xml:space="preserve">分</w:t>
            </w:r>
            <w:r>
              <w:rPr>
                <w:rFonts w:hint="eastAsia" w:ascii="仿宋" w:hAnsi="仿宋" w:eastAsia="仿宋" w:cs="仿宋"/>
                <w:color w:val="000000"/>
                <w:highlight w:val="none"/>
                <w:lang w:eastAsia="zh-CN"/>
              </w:rPr>
              <w:t xml:space="preserve">；</w:t>
            </w:r>
            <w:r/>
          </w:p>
          <w:p>
            <w:pPr>
              <w:rPr>
                <w:rFonts w:hint="default" w:ascii="仿宋" w:hAnsi="仿宋" w:eastAsia="仿宋" w:cs="仿宋"/>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方案</w:t>
            </w:r>
            <w:r>
              <w:rPr>
                <w:rFonts w:hint="eastAsia" w:ascii="仿宋" w:hAnsi="仿宋" w:eastAsia="仿宋" w:cs="仿宋"/>
                <w:color w:val="000000"/>
                <w:highlight w:val="none"/>
                <w:lang w:val="en-US" w:eastAsia="zh-CN"/>
              </w:rPr>
              <w:t xml:space="preserve">一般，</w:t>
            </w:r>
            <w:r>
              <w:rPr>
                <w:rFonts w:hint="eastAsia" w:ascii="仿宋" w:hAnsi="仿宋" w:eastAsia="仿宋" w:cs="仿宋"/>
                <w:color w:val="000000"/>
                <w:highlight w:val="none"/>
              </w:rPr>
              <w:t xml:space="preserve">欠完善，与项目需求响应度低</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得2分；</w:t>
            </w:r>
            <w:r/>
          </w:p>
          <w:p>
            <w:pPr>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lang w:val="en-US" w:eastAsia="zh-CN"/>
              </w:rPr>
              <w:t xml:space="preserve">方案</w:t>
            </w:r>
            <w:r>
              <w:rPr>
                <w:rFonts w:hint="default" w:ascii="仿宋" w:hAnsi="仿宋" w:eastAsia="仿宋" w:cs="仿宋"/>
                <w:color w:val="000000"/>
                <w:highlight w:val="none"/>
              </w:rPr>
              <w:t xml:space="preserve">不符合项目需求或未提供</w:t>
            </w:r>
            <w:r>
              <w:rPr>
                <w:rFonts w:hint="eastAsia" w:ascii="仿宋" w:hAnsi="仿宋" w:eastAsia="仿宋" w:cs="仿宋"/>
                <w:color w:val="000000"/>
                <w:highlight w:val="none"/>
              </w:rPr>
              <w:t xml:space="preserve">的</w:t>
            </w:r>
            <w:r>
              <w:rPr>
                <w:rFonts w:hint="default" w:ascii="仿宋" w:hAnsi="仿宋" w:eastAsia="仿宋" w:cs="仿宋"/>
                <w:color w:val="000000"/>
                <w:highlight w:val="none"/>
              </w:rPr>
              <w:t xml:space="preserve">不得分</w:t>
            </w:r>
            <w:r>
              <w:rPr>
                <w:rFonts w:hint="eastAsia" w:ascii="仿宋" w:hAnsi="仿宋" w:eastAsia="仿宋" w:cs="仿宋"/>
                <w:color w:val="000000"/>
                <w:highlight w:val="none"/>
                <w:lang w:eastAsia="zh-CN"/>
              </w:rPr>
              <w:t xml:space="preserve">。</w:t>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具体项目需求见第四章采购需求</w:t>
            </w:r>
            <w:r>
              <w:rPr>
                <w:rFonts w:hint="default" w:ascii="仿宋" w:hAnsi="仿宋" w:eastAsia="仿宋" w:cs="仿宋"/>
                <w:color w:val="000000"/>
                <w:highlight w:val="none"/>
              </w:rPr>
              <w:t xml:space="preserve">。</w:t>
            </w:r>
            <w:r/>
          </w:p>
        </w:tc>
      </w:tr>
      <w:tr>
        <w:trPr>
          <w:jc w:val="center"/>
          <w:trHeight w:val="343"/>
        </w:trPr>
        <w:tc>
          <w:tcPr>
            <w:tcW w:w="695" w:type="dxa"/>
            <w:vAlign w:val="center"/>
            <w:textDirection w:val="lrTb"/>
            <w:noWrap w:val="false"/>
          </w:tcPr>
          <w:p>
            <w:pPr>
              <w:jc w:val="center"/>
              <w:rPr>
                <w:rFonts w:hint="eastAsia" w:ascii="Calibri" w:hAnsi="Calibri" w:eastAsia="宋体" w:cs="Times New Roman"/>
                <w:lang w:val="en-US" w:eastAsia="zh-CN"/>
              </w:rPr>
            </w:pPr>
            <w:r>
              <w:rPr>
                <w:rFonts w:hint="eastAsia" w:ascii="Calibri" w:hAnsi="Calibri" w:eastAsia="宋体" w:cs="Times New Roman"/>
                <w:lang w:val="en-US" w:eastAsia="zh-CN"/>
              </w:rPr>
              <w:t xml:space="preserve">三</w:t>
            </w:r>
            <w:r/>
          </w:p>
        </w:tc>
        <w:tc>
          <w:tcPr>
            <w:tcW w:w="1392" w:type="dxa"/>
            <w:vAlign w:val="center"/>
            <w:textDirection w:val="lrTb"/>
            <w:noWrap w:val="false"/>
          </w:tcPr>
          <w:p>
            <w:pPr>
              <w:jc w:val="center"/>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rPr>
              <w:t xml:space="preserve">人员配备</w:t>
            </w:r>
            <w:r/>
          </w:p>
        </w:tc>
        <w:tc>
          <w:tcPr>
            <w:tcMar>
              <w:left w:w="108" w:type="dxa"/>
              <w:top w:w="0" w:type="dxa"/>
              <w:right w:w="108" w:type="dxa"/>
              <w:bottom w:w="0" w:type="dxa"/>
            </w:tcMar>
            <w:tcW w:w="820" w:type="dxa"/>
            <w:vAlign w:val="center"/>
            <w:textDirection w:val="lrTb"/>
            <w:noWrap w:val="false"/>
          </w:tcPr>
          <w:p>
            <w:pPr>
              <w:jc w:val="center"/>
              <w:rPr>
                <w:rFonts w:hint="default" w:ascii="Calibri" w:hAnsi="Calibri" w:eastAsia="宋体" w:cs="Times New Roman"/>
                <w:lang w:val="en-US" w:eastAsia="zh-CN"/>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lang w:val="en-US" w:eastAsia="zh-CN"/>
              </w:rPr>
              <w:t xml:space="preserve">12</w:t>
            </w:r>
            <w:r/>
          </w:p>
        </w:tc>
        <w:tc>
          <w:tcPr>
            <w:tcMar>
              <w:left w:w="108" w:type="dxa"/>
              <w:top w:w="0" w:type="dxa"/>
              <w:right w:w="108" w:type="dxa"/>
              <w:bottom w:w="0" w:type="dxa"/>
            </w:tcMar>
            <w:tcW w:w="5690" w:type="dxa"/>
            <w:vAlign w:val="center"/>
            <w:textDirection w:val="lrTb"/>
            <w:noWrap w:val="false"/>
          </w:tcPr>
          <w:p>
            <w:pPr>
              <w:rPr>
                <w:rFonts w:hint="eastAsia" w:ascii="仿宋" w:hAnsi="仿宋" w:eastAsia="仿宋" w:cs="仿宋"/>
                <w:color w:val="00000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lang w:val="en-US" w:eastAsia="zh-CN"/>
              </w:rPr>
              <w:t xml:space="preserve">1、</w:t>
            </w:r>
            <w:r>
              <w:rPr>
                <w:rFonts w:hint="default" w:ascii="仿宋" w:hAnsi="仿宋" w:eastAsia="仿宋" w:cs="仿宋"/>
                <w:color w:val="000000"/>
              </w:rPr>
              <w:t xml:space="preserve">项目经理，具备</w:t>
            </w:r>
            <w:r>
              <w:rPr>
                <w:rFonts w:hint="eastAsia" w:ascii="仿宋" w:hAnsi="仿宋" w:eastAsia="仿宋" w:cs="仿宋"/>
                <w:color w:val="000000"/>
                <w:lang w:val="en-US" w:eastAsia="zh-CN"/>
              </w:rPr>
              <w:t xml:space="preserve">网络规划设计师（高级）证书，</w:t>
            </w:r>
            <w:r>
              <w:rPr>
                <w:rFonts w:hint="default" w:ascii="仿宋" w:hAnsi="仿宋" w:eastAsia="仿宋" w:cs="仿宋"/>
                <w:color w:val="000000"/>
              </w:rPr>
              <w:t xml:space="preserve">得</w:t>
            </w:r>
            <w:r>
              <w:rPr>
                <w:rFonts w:hint="eastAsia" w:ascii="仿宋" w:hAnsi="仿宋" w:eastAsia="仿宋" w:cs="仿宋"/>
                <w:color w:val="000000"/>
                <w:lang w:val="en-US" w:eastAsia="zh-CN"/>
              </w:rPr>
              <w:t xml:space="preserve">2</w:t>
            </w:r>
            <w:r>
              <w:rPr>
                <w:rFonts w:hint="default" w:ascii="仿宋" w:hAnsi="仿宋" w:eastAsia="仿宋" w:cs="仿宋"/>
                <w:color w:val="000000"/>
              </w:rPr>
              <w:t xml:space="preserve">分</w:t>
            </w:r>
            <w:r>
              <w:rPr>
                <w:rFonts w:hint="eastAsia" w:ascii="仿宋" w:hAnsi="仿宋" w:eastAsia="仿宋" w:cs="仿宋"/>
                <w:color w:val="000000"/>
                <w:lang w:eastAsia="zh-CN"/>
              </w:rPr>
              <w:t xml:space="preserve">；</w:t>
            </w:r>
            <w:r/>
          </w:p>
          <w:p>
            <w:pPr>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lang w:val="en-US" w:eastAsia="zh-CN"/>
              </w:rPr>
              <w:t xml:space="preserve">2、</w:t>
            </w:r>
            <w:r>
              <w:rPr>
                <w:rFonts w:hint="default" w:ascii="仿宋" w:hAnsi="仿宋" w:eastAsia="仿宋" w:cs="仿宋"/>
                <w:color w:val="000000"/>
              </w:rPr>
              <w:t xml:space="preserve">团队其他人员（除项目经理外），具备</w:t>
            </w:r>
            <w:r>
              <w:rPr>
                <w:rFonts w:hint="eastAsia" w:ascii="仿宋" w:hAnsi="仿宋" w:eastAsia="仿宋" w:cs="仿宋"/>
                <w:color w:val="000000"/>
                <w:lang w:val="en-US" w:eastAsia="zh-CN"/>
              </w:rPr>
              <w:t xml:space="preserve">系统架构设计师（高级）、系统集成项目管理工程师（中级）、软件设计师（中级）、</w:t>
            </w:r>
            <w:r>
              <w:rPr>
                <w:rFonts w:hint="default" w:ascii="仿宋" w:hAnsi="仿宋" w:eastAsia="仿宋" w:cs="仿宋"/>
                <w:color w:val="000000"/>
                <w:lang w:val="en-US" w:eastAsia="zh-CN"/>
              </w:rPr>
              <w:t xml:space="preserve">注册信息安全专业人员</w:t>
            </w:r>
            <w:r>
              <w:rPr>
                <w:rFonts w:hint="eastAsia" w:ascii="仿宋" w:hAnsi="仿宋" w:eastAsia="仿宋" w:cs="仿宋"/>
                <w:color w:val="000000"/>
                <w:lang w:val="en-US" w:eastAsia="zh-CN"/>
              </w:rPr>
              <w:t xml:space="preserve">（cisp）、</w:t>
            </w:r>
            <w:r>
              <w:rPr>
                <w:rFonts w:hint="default" w:ascii="仿宋" w:hAnsi="仿宋" w:eastAsia="仿宋" w:cs="仿宋"/>
                <w:color w:val="000000"/>
                <w:lang w:val="en-US" w:eastAsia="zh-CN"/>
              </w:rPr>
              <w:t xml:space="preserve">信息安全保障人员认证</w:t>
            </w:r>
            <w:r>
              <w:rPr>
                <w:rFonts w:hint="eastAsia" w:ascii="仿宋" w:hAnsi="仿宋" w:eastAsia="仿宋" w:cs="仿宋"/>
                <w:color w:val="000000"/>
                <w:lang w:val="en-US" w:eastAsia="zh-CN"/>
              </w:rPr>
              <w:t xml:space="preserve">（cisaw）</w:t>
            </w:r>
            <w:r>
              <w:rPr>
                <w:rFonts w:hint="default" w:ascii="仿宋" w:hAnsi="仿宋" w:eastAsia="仿宋" w:cs="仿宋"/>
                <w:color w:val="000000"/>
              </w:rPr>
              <w:t xml:space="preserve">证书，每提供一类证书得</w:t>
            </w:r>
            <w:r>
              <w:rPr>
                <w:rFonts w:hint="eastAsia" w:ascii="仿宋" w:hAnsi="仿宋" w:eastAsia="仿宋" w:cs="仿宋"/>
                <w:color w:val="000000"/>
                <w:lang w:val="en-US" w:eastAsia="zh-CN"/>
              </w:rPr>
              <w:t xml:space="preserve">2</w:t>
            </w:r>
            <w:r>
              <w:rPr>
                <w:rFonts w:hint="default" w:ascii="仿宋" w:hAnsi="仿宋" w:eastAsia="仿宋" w:cs="仿宋"/>
                <w:color w:val="000000"/>
              </w:rPr>
              <w:t xml:space="preserve">分，最多得</w:t>
            </w:r>
            <w:r>
              <w:rPr>
                <w:rFonts w:hint="eastAsia" w:ascii="仿宋" w:hAnsi="仿宋" w:eastAsia="仿宋" w:cs="仿宋"/>
                <w:color w:val="000000"/>
                <w:lang w:val="en-US" w:eastAsia="zh-CN"/>
              </w:rPr>
              <w:t xml:space="preserve">10</w:t>
            </w:r>
            <w:r>
              <w:rPr>
                <w:rFonts w:hint="default" w:ascii="仿宋" w:hAnsi="仿宋" w:eastAsia="仿宋" w:cs="仿宋"/>
                <w:color w:val="000000"/>
              </w:rPr>
              <w:t xml:space="preserve">分。</w:t>
            </w:r>
            <w:r/>
          </w:p>
          <w:p>
            <w:pPr>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t xml:space="preserve">注：须</w:t>
            </w:r>
            <w:r>
              <w:rPr>
                <w:rFonts w:hint="default" w:ascii="仿宋" w:hAnsi="仿宋" w:eastAsia="仿宋" w:cs="仿宋"/>
                <w:color w:val="000000"/>
              </w:rPr>
              <w:t xml:space="preserve">提供证书扫描件及投标人为相关人员缴纳社保的证明文件</w:t>
            </w:r>
            <w:r>
              <w:rPr>
                <w:rFonts w:hint="eastAsia" w:ascii="仿宋" w:hAnsi="仿宋" w:eastAsia="仿宋" w:cs="仿宋"/>
                <w:color w:val="000000"/>
              </w:rPr>
              <w:t xml:space="preserve">（</w:t>
            </w:r>
            <w:r>
              <w:rPr>
                <w:rFonts w:hint="default" w:ascii="仿宋" w:hAnsi="仿宋" w:eastAsia="仿宋" w:cs="仿宋"/>
                <w:color w:val="000000"/>
              </w:rPr>
              <w:t xml:space="preserve">近1年内任意一个月</w:t>
            </w:r>
            <w:r>
              <w:rPr>
                <w:rFonts w:hint="eastAsia" w:ascii="仿宋" w:hAnsi="仿宋" w:eastAsia="仿宋" w:cs="仿宋"/>
                <w:color w:val="000000"/>
              </w:rPr>
              <w:t xml:space="preserve">）</w:t>
            </w:r>
            <w:r>
              <w:rPr>
                <w:rFonts w:hint="default" w:ascii="仿宋" w:hAnsi="仿宋" w:eastAsia="仿宋" w:cs="仿宋"/>
                <w:color w:val="000000"/>
              </w:rPr>
              <w:t xml:space="preserve">并加盖公章，否则不得分。</w:t>
            </w:r>
            <w:r/>
          </w:p>
        </w:tc>
      </w:tr>
      <w:tr>
        <w:trPr>
          <w:jc w:val="center"/>
          <w:trHeight w:val="709"/>
        </w:trPr>
        <w:tc>
          <w:tcPr>
            <w:tcW w:w="695" w:type="dxa"/>
            <w:vAlign w:val="center"/>
            <w:textDirection w:val="lrTb"/>
            <w:noWrap w:val="false"/>
          </w:tcPr>
          <w:p>
            <w:pPr>
              <w:jc w:val="center"/>
              <w:rPr>
                <w:rFonts w:hint="default" w:ascii="Calibri" w:hAnsi="Calibri" w:eastAsia="宋体" w:cs="Times New Roman"/>
                <w:lang w:val="en-US" w:eastAsia="zh-CN"/>
              </w:rPr>
            </w:pPr>
            <w:r>
              <w:rPr>
                <w:rFonts w:hint="eastAsia" w:ascii="Calibri" w:hAnsi="Calibri" w:eastAsia="宋体" w:cs="Times New Roman"/>
                <w:lang w:val="en-US" w:eastAsia="zh-CN"/>
              </w:rPr>
              <w:t xml:space="preserve">四</w:t>
            </w:r>
            <w:r/>
          </w:p>
        </w:tc>
        <w:tc>
          <w:tcPr>
            <w:tcW w:w="1392" w:type="dxa"/>
            <w:vAlign w:val="center"/>
            <w:textDirection w:val="lrTb"/>
            <w:noWrap w:val="false"/>
          </w:tcPr>
          <w:p>
            <w:pPr>
              <w:jc w:val="center"/>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rPr>
              <w:t xml:space="preserve">类似业绩</w:t>
            </w:r>
            <w:r/>
          </w:p>
        </w:tc>
        <w:tc>
          <w:tcPr>
            <w:tcMar>
              <w:left w:w="108" w:type="dxa"/>
              <w:top w:w="0" w:type="dxa"/>
              <w:right w:w="108" w:type="dxa"/>
              <w:bottom w:w="0" w:type="dxa"/>
            </w:tcMar>
            <w:tcW w:w="820" w:type="dxa"/>
            <w:vAlign w:val="center"/>
            <w:textDirection w:val="lrTb"/>
            <w:noWrap w:val="false"/>
          </w:tcPr>
          <w:p>
            <w:pPr>
              <w:jc w:val="center"/>
              <w:rPr>
                <w:rFonts w:hint="default" w:ascii="Calibri" w:hAnsi="Calibri" w:eastAsia="宋体" w:cs="Times New Roman"/>
                <w:lang w:val="en-US" w:eastAsia="zh-CN"/>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lang w:val="en-US" w:eastAsia="zh-CN"/>
              </w:rPr>
              <w:t xml:space="preserve">10</w:t>
            </w:r>
            <w:r/>
          </w:p>
        </w:tc>
        <w:tc>
          <w:tcPr>
            <w:tcMar>
              <w:left w:w="108" w:type="dxa"/>
              <w:top w:w="0" w:type="dxa"/>
              <w:right w:w="108" w:type="dxa"/>
              <w:bottom w:w="0" w:type="dxa"/>
            </w:tcMar>
            <w:tcW w:w="5690" w:type="dxa"/>
            <w:vAlign w:val="center"/>
            <w:textDirection w:val="lrTb"/>
            <w:noWrap w:val="false"/>
          </w:tcPr>
          <w:p>
            <w:pPr>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rPr>
              <w:t xml:space="preserve">投标人具有202</w:t>
            </w:r>
            <w:r>
              <w:rPr>
                <w:rFonts w:hint="eastAsia" w:ascii="仿宋" w:hAnsi="仿宋" w:eastAsia="仿宋" w:cs="仿宋"/>
                <w:color w:val="000000"/>
                <w:lang w:val="en-US" w:eastAsia="zh-CN"/>
              </w:rPr>
              <w:t xml:space="preserve">3</w:t>
            </w:r>
            <w:r>
              <w:rPr>
                <w:rFonts w:hint="default" w:ascii="仿宋" w:hAnsi="仿宋" w:eastAsia="仿宋" w:cs="仿宋"/>
                <w:color w:val="000000"/>
              </w:rPr>
              <w:t xml:space="preserve">年1月1日（合同签订为准）以来与本项目类似</w:t>
            </w:r>
            <w:r>
              <w:rPr>
                <w:rFonts w:hint="eastAsia" w:ascii="仿宋" w:hAnsi="仿宋" w:eastAsia="仿宋" w:cs="仿宋"/>
                <w:color w:val="000000"/>
              </w:rPr>
              <w:t xml:space="preserve">业绩</w:t>
            </w:r>
            <w:r>
              <w:rPr>
                <w:rFonts w:hint="default" w:ascii="仿宋" w:hAnsi="仿宋" w:eastAsia="仿宋" w:cs="仿宋"/>
                <w:color w:val="000000"/>
              </w:rPr>
              <w:t xml:space="preserve">的，有1个得</w:t>
            </w:r>
            <w:r>
              <w:rPr>
                <w:rFonts w:hint="eastAsia" w:ascii="仿宋" w:hAnsi="仿宋" w:eastAsia="仿宋" w:cs="仿宋"/>
                <w:color w:val="000000"/>
              </w:rPr>
              <w:t xml:space="preserve">2</w:t>
            </w:r>
            <w:r>
              <w:rPr>
                <w:rFonts w:hint="default" w:ascii="仿宋" w:hAnsi="仿宋" w:eastAsia="仿宋" w:cs="仿宋"/>
                <w:color w:val="000000"/>
              </w:rPr>
              <w:t xml:space="preserve">分，最高</w:t>
            </w:r>
            <w:r>
              <w:rPr>
                <w:rFonts w:hint="eastAsia" w:ascii="仿宋" w:hAnsi="仿宋" w:eastAsia="仿宋" w:cs="仿宋"/>
                <w:color w:val="000000"/>
                <w:lang w:val="en-US" w:eastAsia="zh-CN"/>
              </w:rPr>
              <w:t xml:space="preserve">10</w:t>
            </w:r>
            <w:r>
              <w:rPr>
                <w:rFonts w:hint="default" w:ascii="仿宋" w:hAnsi="仿宋" w:eastAsia="仿宋" w:cs="仿宋"/>
                <w:color w:val="000000"/>
              </w:rPr>
              <w:t xml:space="preserve">分</w:t>
            </w:r>
            <w:r>
              <w:rPr>
                <w:rFonts w:hint="eastAsia" w:ascii="仿宋" w:hAnsi="仿宋" w:eastAsia="仿宋" w:cs="仿宋"/>
                <w:color w:val="000000"/>
              </w:rPr>
              <w:t xml:space="preserve">。</w:t>
            </w:r>
            <w:r/>
          </w:p>
          <w:p>
            <w:pPr>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rPr>
              <w:t xml:space="preserve">（须提供合同扫描件或复印件，否则不得分。）</w:t>
            </w:r>
            <w:r/>
          </w:p>
        </w:tc>
      </w:tr>
    </w:tbl>
    <w:p>
      <w:pPr>
        <w:jc w:val="center"/>
        <w:spacing w:before="240" w:after="240"/>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2"/>
        </w:rPr>
        <w:t xml:space="preserve"> </w:t>
      </w:r>
      <w:r/>
    </w:p>
    <w:p>
      <w:pPr>
        <w:jc w:val="center"/>
        <w:spacing w:before="240" w:after="240"/>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Calibri" w:hAnsi="Calibri" w:eastAsia="宋体" w:cs="Times New Roman"/>
        </w:rPr>
      </w:r>
      <w:r/>
    </w:p>
    <w:p>
      <w:pPr>
        <w:jc w:val="center"/>
        <w:spacing w:before="240" w:after="240"/>
        <w:rPr>
          <w:rFonts w:hint="eastAsia" w:ascii="Calibri" w:hAnsi="Calibri" w:eastAsia="宋体" w:cs="Times New Roman"/>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rPr>
      </w:r>
      <w:r/>
    </w:p>
    <w:p>
      <w:pPr>
        <w:jc w:val="center"/>
        <w:spacing w:before="240" w:after="240"/>
        <w:rPr>
          <w:rFonts w:hint="eastAsia" w:ascii="Calibri" w:hAnsi="Calibri" w:eastAsia="宋体" w:cs="Times New Roman"/>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rPr>
      </w:r>
      <w:r/>
    </w:p>
    <w:p>
      <w:pPr>
        <w:jc w:val="center"/>
        <w:spacing w:before="240" w:after="240"/>
        <w:rPr>
          <w:rFonts w:hint="eastAsia" w:ascii="Calibri" w:hAnsi="Calibri" w:eastAsia="宋体" w:cs="Times New Roman"/>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rPr>
      </w:r>
      <w:r/>
    </w:p>
    <w:p>
      <w:pPr>
        <w:jc w:val="center"/>
        <w:spacing w:before="240" w:after="240"/>
        <w:rPr>
          <w:rFonts w:hint="eastAsia" w:ascii="Calibri" w:hAnsi="Calibri" w:eastAsia="宋体" w:cs="Times New Roman"/>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rPr>
      </w:r>
      <w:r/>
    </w:p>
    <w:p>
      <w:pPr>
        <w:pStyle w:val="872"/>
        <w:jc w:val="both"/>
        <w:spacing w:beforeAutospacing="0" w:afterAutospacing="0"/>
        <w:rPr>
          <w:highlight w:val="none"/>
        </w:rPr>
      </w:pPr>
      <w:r>
        <w:rPr>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872"/>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 </w:t>
      </w:r>
      <w:r/>
    </w:p>
    <w:p>
      <w:pPr>
        <w:pStyle w:val="872"/>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72"/>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72"/>
        <w:jc w:val="center"/>
        <w:spacing w:beforeAutospacing="0" w:afterAutospacing="0"/>
        <w:rPr>
          <w:highlight w:val="none"/>
        </w:rPr>
      </w:pPr>
      <w:r/>
      <w:bookmarkStart w:id="184" w:name="_Toc26554094"/>
      <w:r/>
      <w:bookmarkEnd w:id="184"/>
      <w:r/>
      <w:bookmarkStart w:id="185" w:name="_Hlt26955039"/>
      <w:r/>
      <w:bookmarkEnd w:id="185"/>
      <w:r/>
      <w:bookmarkStart w:id="186" w:name="_Hlt26671244"/>
      <w:r/>
      <w:bookmarkEnd w:id="186"/>
      <w:r/>
      <w:bookmarkStart w:id="187" w:name="_Toc120614282"/>
      <w:r/>
      <w:bookmarkStart w:id="188" w:name="_Toc49090576"/>
      <w:r>
        <w:rPr>
          <w:rFonts w:hint="eastAsia" w:ascii="宋体" w:hAnsi="宋体" w:eastAsia="宋体" w:cs="宋体"/>
          <w:b/>
          <w:color w:val="000000"/>
          <w:sz w:val="72"/>
          <w:szCs w:val="72"/>
          <w:highlight w:val="none"/>
        </w:rPr>
        <w:t xml:space="preserve">投  标  文  件</w:t>
      </w:r>
      <w:r/>
    </w:p>
    <w:p>
      <w:pPr>
        <w:pStyle w:val="872"/>
        <w:jc w:val="center"/>
        <w:spacing w:beforeAutospacing="0" w:afterAutospacing="0"/>
        <w:rPr>
          <w:highlight w:val="none"/>
        </w:rPr>
      </w:pPr>
      <w:r>
        <w:rPr>
          <w:highlight w:val="none"/>
        </w:rPr>
        <w:t xml:space="preserve"> </w:t>
      </w:r>
      <w:r/>
    </w:p>
    <w:p>
      <w:pPr>
        <w:pStyle w:val="872"/>
        <w:jc w:val="center"/>
        <w:spacing w:beforeAutospacing="0" w:afterAutospacing="0"/>
        <w:rPr>
          <w:highlight w:val="none"/>
        </w:rPr>
      </w:pPr>
      <w:r>
        <w:rPr>
          <w:highlight w:val="none"/>
        </w:rPr>
        <w:t xml:space="preserve"> </w:t>
      </w:r>
      <w:r/>
    </w:p>
    <w:p>
      <w:pPr>
        <w:pStyle w:val="872"/>
        <w:jc w:val="center"/>
        <w:spacing w:beforeAutospacing="0" w:afterAutospacing="0"/>
        <w:rPr>
          <w:highlight w:val="none"/>
        </w:rPr>
      </w:pPr>
      <w:r>
        <w:rPr>
          <w:highlight w:val="none"/>
        </w:rPr>
        <w:t xml:space="preserve"> </w:t>
      </w:r>
      <w:r/>
    </w:p>
    <w:p>
      <w:pPr>
        <w:pStyle w:val="872"/>
        <w:jc w:val="center"/>
        <w:spacing w:beforeAutospacing="0" w:afterAutospacing="0"/>
        <w:rPr>
          <w:highlight w:val="none"/>
        </w:rPr>
      </w:pPr>
      <w:r>
        <w:rPr>
          <w:highlight w:val="none"/>
        </w:rPr>
      </w:r>
      <w:r/>
    </w:p>
    <w:p>
      <w:pPr>
        <w:pStyle w:val="872"/>
        <w:jc w:val="center"/>
        <w:spacing w:beforeAutospacing="0" w:afterAutospacing="0"/>
        <w:rPr>
          <w:highlight w:val="none"/>
        </w:rPr>
      </w:pPr>
      <w:r>
        <w:rPr>
          <w:highlight w:val="none"/>
        </w:rPr>
        <w:t xml:space="preserve"> </w:t>
      </w:r>
      <w:r/>
    </w:p>
    <w:p>
      <w:pPr>
        <w:pStyle w:val="872"/>
        <w:jc w:val="center"/>
        <w:spacing w:beforeAutospacing="0" w:afterAutospacing="0"/>
        <w:rPr>
          <w:highlight w:val="none"/>
        </w:rPr>
      </w:pPr>
      <w:r>
        <w:rPr>
          <w:highlight w:val="none"/>
        </w:rPr>
        <w:t xml:space="preserve"> </w:t>
      </w:r>
      <w:r/>
    </w:p>
    <w:p>
      <w:pPr>
        <w:pStyle w:val="872"/>
        <w:ind w:firstLine="723"/>
        <w:jc w:val="both"/>
        <w:spacing w:beforeAutospacing="0" w:afterAutospacing="0"/>
        <w:rPr>
          <w:highlight w:val="none"/>
        </w:rPr>
      </w:pPr>
      <w:r>
        <w:rPr>
          <w:rFonts w:hint="eastAsia" w:ascii="宋体" w:hAnsi="宋体" w:eastAsia="宋体" w:cs="宋体"/>
          <w:b/>
          <w:color w:val="000000"/>
          <w:sz w:val="36"/>
          <w:szCs w:val="36"/>
          <w:highlight w:val="none"/>
        </w:rPr>
        <w:t xml:space="preserve">项</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目 名 称：</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     </w:t>
      </w:r>
      <w:r/>
    </w:p>
    <w:p>
      <w:pPr>
        <w:pStyle w:val="872"/>
        <w:ind w:firstLine="723"/>
        <w:jc w:val="both"/>
        <w:spacing w:beforeAutospacing="0" w:afterAutospacing="0"/>
        <w:rPr>
          <w:highlight w:val="none"/>
        </w:rPr>
      </w:pPr>
      <w:r>
        <w:rPr>
          <w:rFonts w:hint="eastAsia" w:ascii="宋体" w:hAnsi="宋体" w:eastAsia="宋体" w:cs="宋体"/>
          <w:b/>
          <w:color w:val="000000"/>
          <w:sz w:val="36"/>
          <w:szCs w:val="36"/>
          <w:highlight w:val="none"/>
        </w:rPr>
        <w:t xml:space="preserve">项</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目 编 号：</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          </w:t>
      </w:r>
      <w:r/>
    </w:p>
    <w:p>
      <w:pPr>
        <w:pStyle w:val="872"/>
        <w:ind w:firstLine="723"/>
        <w:jc w:val="both"/>
        <w:spacing w:beforeAutospacing="0" w:afterAutospacing="0"/>
        <w:rPr>
          <w:highlight w:val="none"/>
        </w:rPr>
      </w:pPr>
      <w:r>
        <w:rPr>
          <w:rFonts w:hint="eastAsia" w:ascii="宋体" w:hAnsi="宋体" w:eastAsia="宋体" w:cs="宋体"/>
          <w:b/>
          <w:color w:val="000000"/>
          <w:sz w:val="36"/>
          <w:szCs w:val="36"/>
          <w:highlight w:val="none"/>
        </w:rPr>
        <w:t xml:space="preserve">投标人名称：</w:t>
      </w:r>
      <w:r>
        <w:rPr>
          <w:rFonts w:hint="eastAsia" w:ascii="宋体" w:hAnsi="宋体" w:eastAsia="宋体" w:cs="宋体"/>
          <w:b/>
          <w:color w:val="000000"/>
          <w:sz w:val="36"/>
          <w:szCs w:val="36"/>
          <w:highlight w:val="none"/>
          <w:u w:val="single"/>
        </w:rPr>
        <w:t xml:space="preserve">（加盖CA电子公章）      </w:t>
      </w:r>
      <w:r/>
    </w:p>
    <w:p>
      <w:pPr>
        <w:pStyle w:val="872"/>
        <w:ind w:firstLine="723"/>
        <w:jc w:val="both"/>
        <w:spacing w:beforeAutospacing="0" w:afterAutospacing="0"/>
        <w:rPr>
          <w:highlight w:val="none"/>
        </w:rPr>
      </w:pPr>
      <w:r>
        <w:rPr>
          <w:rFonts w:hint="eastAsia" w:ascii="宋体" w:hAnsi="宋体" w:eastAsia="宋体" w:cs="宋体"/>
          <w:b/>
          <w:color w:val="000000"/>
          <w:sz w:val="36"/>
          <w:szCs w:val="36"/>
          <w:highlight w:val="none"/>
        </w:rPr>
        <w:t xml:space="preserve">日   </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期：</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   </w:t>
      </w:r>
      <w:r/>
    </w:p>
    <w:p>
      <w:pPr>
        <w:pStyle w:val="872"/>
        <w:jc w:val="center"/>
        <w:spacing w:beforeAutospacing="0" w:afterAutospacing="0" w:line="0" w:lineRule="atLeast"/>
        <w:rPr>
          <w:highlight w:val="none"/>
        </w:rPr>
      </w:pPr>
      <w:r>
        <w:rPr>
          <w:highlight w:val="none"/>
        </w:rPr>
        <w:t xml:space="preserve"> </w:t>
      </w:r>
      <w:r/>
    </w:p>
    <w:p>
      <w:pPr>
        <w:pStyle w:val="872"/>
        <w:jc w:val="both"/>
        <w:spacing w:beforeAutospacing="0" w:afterAutospacing="0" w:line="0" w:lineRule="atLeast"/>
        <w:rPr>
          <w:highlight w:val="none"/>
        </w:rPr>
      </w:pPr>
      <w:r>
        <w:rPr>
          <w:highlight w:val="none"/>
        </w:rPr>
        <w:t xml:space="preserve"> </w:t>
      </w:r>
      <w:r/>
    </w:p>
    <w:p>
      <w:pPr>
        <w:pStyle w:val="87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7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7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7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7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7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7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7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7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br w:type="page" w:clear="all"/>
      </w:r>
      <w:r/>
    </w:p>
    <w:p>
      <w:pPr>
        <w:pStyle w:val="872"/>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72"/>
        <w:jc w:val="center"/>
        <w:spacing w:beforeAutospacing="0" w:afterAutospacing="0" w:line="0" w:lineRule="atLeast"/>
        <w:rPr>
          <w:highlight w:val="none"/>
        </w:rPr>
      </w:pPr>
      <w:r>
        <w:rPr>
          <w:highlight w:val="none"/>
        </w:rPr>
        <w:t xml:space="preserve"> </w:t>
      </w:r>
      <w:r/>
    </w:p>
    <w:p>
      <w:pPr>
        <w:pStyle w:val="872"/>
        <w:numPr>
          <w:ilvl w:val="0"/>
          <w:numId w:val="4"/>
        </w:numPr>
        <w:ind w:left="0" w:firstLine="42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法人或者其他组织的营业执照等证明文件，自然人的身份证明</w:t>
      </w:r>
      <w:r/>
    </w:p>
    <w:p>
      <w:pPr>
        <w:numPr>
          <w:ilvl w:val="0"/>
          <w:numId w:val="4"/>
        </w:numPr>
        <w:ind w:left="0" w:firstLine="42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上一年度或上上年度的财务状况报告（至少提供资产负债表、利润表、现金流量表，投标人成立不满一年无需提供）</w:t>
      </w:r>
      <w:r/>
    </w:p>
    <w:p>
      <w:pPr>
        <w:pStyle w:val="872"/>
        <w:numPr>
          <w:ilvl w:val="0"/>
          <w:numId w:val="4"/>
        </w:numPr>
        <w:ind w:left="0" w:firstLine="42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具备履行合同所必需的设备和专业技术能力的书面声明</w:t>
      </w:r>
      <w:r/>
    </w:p>
    <w:p>
      <w:pPr>
        <w:pStyle w:val="872"/>
        <w:numPr>
          <w:ilvl w:val="0"/>
          <w:numId w:val="4"/>
        </w:numPr>
        <w:ind w:left="0" w:firstLine="42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72"/>
        <w:numPr>
          <w:ilvl w:val="0"/>
          <w:numId w:val="4"/>
        </w:numPr>
        <w:ind w:left="0" w:firstLine="42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参加政府采购活动前 3 年内在经营活动中没有重大违法记录的书面声明</w:t>
      </w:r>
      <w:r/>
    </w:p>
    <w:p>
      <w:pPr>
        <w:pStyle w:val="872"/>
        <w:numPr>
          <w:ilvl w:val="0"/>
          <w:numId w:val="4"/>
        </w:numPr>
        <w:ind w:left="0" w:firstLine="420"/>
        <w:jc w:val="both"/>
        <w:spacing w:beforeAutospacing="0" w:afterAutospacing="0"/>
        <w:rPr>
          <w:rFonts w:ascii="宋体" w:hAnsi="宋体" w:eastAsia="宋体" w:cs="宋体"/>
          <w:i w:val="0"/>
          <w:iCs/>
          <w:color w:val="0000ff"/>
          <w:highlight w:val="none"/>
          <w:u w:val="none"/>
        </w:rPr>
      </w:pPr>
      <w:r>
        <w:rPr>
          <w:rFonts w:hint="eastAsia" w:ascii="宋体" w:hAnsi="宋体" w:eastAsia="宋体" w:cs="宋体"/>
          <w:i w:val="0"/>
          <w:iCs/>
          <w:color w:val="0000ff"/>
          <w:highlight w:val="none"/>
          <w:u w:val="none"/>
        </w:rPr>
        <w:t xml:space="preserve">供应商法定代表人身份证明和投标文件签署授权委托书（另附法定代表人和被授权人的身份证复印件）</w:t>
      </w:r>
      <w:r/>
    </w:p>
    <w:p>
      <w:pPr>
        <w:pStyle w:val="872"/>
        <w:numPr>
          <w:ilvl w:val="0"/>
          <w:numId w:val="4"/>
        </w:numPr>
        <w:ind w:left="0" w:firstLine="420"/>
        <w:jc w:val="both"/>
        <w:spacing w:beforeAutospacing="0" w:afterAutospacing="0"/>
        <w:rPr>
          <w:rFonts w:hint="eastAsia" w:ascii="宋体" w:hAnsi="宋体" w:eastAsia="宋体" w:cs="宋体"/>
          <w:i w:val="0"/>
          <w:iCs/>
          <w:color w:val="0000ff"/>
          <w:highlight w:val="none"/>
          <w:u w:val="none"/>
        </w:rPr>
      </w:pPr>
      <w:r>
        <w:rPr>
          <w:rFonts w:hint="eastAsia" w:ascii="宋体" w:hAnsi="宋体" w:eastAsia="宋体" w:cs="宋体"/>
          <w:i w:val="0"/>
          <w:iCs/>
          <w:color w:val="0000ff"/>
          <w:highlight w:val="none"/>
          <w:u w:val="none"/>
        </w:rPr>
        <w:t xml:space="preserve">供应商为被授权人缴纳的社会养老保险证明</w:t>
      </w:r>
      <w:r/>
    </w:p>
    <w:p>
      <w:pPr>
        <w:pStyle w:val="872"/>
        <w:numPr>
          <w:ilvl w:val="0"/>
          <w:numId w:val="4"/>
        </w:numPr>
        <w:ind w:left="0" w:firstLine="420"/>
        <w:jc w:val="both"/>
        <w:spacing w:beforeAutospacing="0" w:afterAutospacing="0"/>
        <w:rPr>
          <w:rFonts w:hint="default" w:ascii="宋体" w:hAnsi="宋体" w:eastAsia="宋体" w:cs="宋体"/>
          <w:i w:val="0"/>
          <w:iCs/>
          <w:color w:val="0000ff"/>
          <w:highlight w:val="none"/>
          <w:u w:val="none"/>
          <w:lang w:val="en-US" w:eastAsia="zh-CN"/>
        </w:rPr>
      </w:pPr>
      <w:r>
        <w:rPr>
          <w:rFonts w:hint="eastAsia" w:ascii="宋体" w:hAnsi="宋体" w:eastAsia="宋体" w:cs="宋体"/>
          <w:i w:val="0"/>
          <w:iCs/>
          <w:color w:val="0000ff"/>
          <w:highlight w:val="none"/>
          <w:u w:val="none"/>
          <w:lang w:val="en-US" w:eastAsia="zh-CN"/>
        </w:rPr>
        <w:t xml:space="preserve">服务承诺函</w:t>
      </w:r>
      <w:r/>
    </w:p>
    <w:p>
      <w:pPr>
        <w:pStyle w:val="872"/>
        <w:numPr>
          <w:ilvl w:val="0"/>
          <w:numId w:val="4"/>
        </w:numPr>
        <w:ind w:left="0" w:firstLine="420"/>
        <w:jc w:val="both"/>
        <w:spacing w:beforeAutospacing="0" w:afterAutospacing="0"/>
        <w:rPr>
          <w:rFonts w:hint="default" w:ascii="宋体" w:hAnsi="宋体" w:eastAsia="宋体" w:cs="宋体"/>
          <w:i w:val="0"/>
          <w:iCs/>
          <w:color w:val="0000ff"/>
          <w:highlight w:val="none"/>
          <w:u w:val="none"/>
          <w:lang w:val="en-US" w:eastAsia="zh-CN"/>
        </w:rPr>
      </w:pPr>
      <w:r>
        <w:rPr>
          <w:rFonts w:hint="eastAsia" w:ascii="宋体" w:hAnsi="宋体" w:eastAsia="宋体" w:cs="宋体"/>
          <w:i w:val="0"/>
          <w:iCs/>
          <w:color w:val="0000ff"/>
          <w:highlight w:val="none"/>
          <w:u w:val="none"/>
          <w:lang w:val="en-US" w:eastAsia="zh-CN"/>
        </w:rPr>
        <w:t xml:space="preserve">实质性要求的承诺函</w:t>
      </w:r>
      <w:r/>
    </w:p>
    <w:p>
      <w:pPr>
        <w:pStyle w:val="872"/>
        <w:numPr>
          <w:ilvl w:val="0"/>
          <w:numId w:val="4"/>
        </w:numPr>
        <w:ind w:left="0" w:firstLine="42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投标函</w:t>
      </w:r>
      <w:r/>
    </w:p>
    <w:p>
      <w:pPr>
        <w:pStyle w:val="872"/>
        <w:numPr>
          <w:ilvl w:val="0"/>
          <w:numId w:val="4"/>
        </w:numPr>
        <w:ind w:left="0" w:firstLine="42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72"/>
        <w:numPr>
          <w:ilvl w:val="0"/>
          <w:numId w:val="4"/>
        </w:numPr>
        <w:ind w:left="0" w:firstLine="42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残疾人福利性单位声明函</w:t>
      </w:r>
      <w:r/>
    </w:p>
    <w:p>
      <w:pPr>
        <w:pStyle w:val="872"/>
        <w:numPr>
          <w:ilvl w:val="0"/>
          <w:numId w:val="4"/>
        </w:numPr>
        <w:ind w:left="0" w:firstLine="42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投标分项报价表</w:t>
      </w:r>
      <w:r/>
    </w:p>
    <w:p>
      <w:pPr>
        <w:pStyle w:val="872"/>
        <w:numPr>
          <w:ilvl w:val="0"/>
          <w:numId w:val="4"/>
        </w:numPr>
        <w:ind w:left="0" w:firstLine="42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ff"/>
          <w:highlight w:val="none"/>
          <w:u w:val="none"/>
        </w:rPr>
        <w:t xml:space="preserve">所供服务（服务附带的产品）内容及服务要求偏离表</w:t>
      </w:r>
      <w:r/>
    </w:p>
    <w:p>
      <w:pPr>
        <w:pStyle w:val="872"/>
        <w:numPr>
          <w:ilvl w:val="0"/>
          <w:numId w:val="4"/>
        </w:numPr>
        <w:ind w:left="0" w:firstLine="42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开标一览表</w:t>
      </w:r>
      <w:r/>
    </w:p>
    <w:p>
      <w:pPr>
        <w:numPr>
          <w:ilvl w:val="0"/>
          <w:numId w:val="4"/>
        </w:numPr>
        <w:ind w:left="0" w:firstLine="42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技术方案</w:t>
      </w:r>
      <w:r/>
    </w:p>
    <w:p>
      <w:pPr>
        <w:pStyle w:val="872"/>
        <w:numPr>
          <w:ilvl w:val="0"/>
          <w:numId w:val="4"/>
        </w:numPr>
        <w:ind w:left="0" w:firstLine="42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盐城市政府采购事前信用承诺书</w:t>
      </w:r>
      <w:r/>
    </w:p>
    <w:p>
      <w:pPr>
        <w:pStyle w:val="872"/>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872"/>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872"/>
        <w:ind w:firstLine="480"/>
        <w:jc w:val="both"/>
        <w:spacing w:beforeAutospacing="0" w:afterAutospacing="0" w:line="0" w:lineRule="atLeast"/>
        <w:rPr>
          <w:highlight w:val="none"/>
        </w:rPr>
      </w:pPr>
      <w:r>
        <w:rPr>
          <w:highlight w:val="none"/>
        </w:rPr>
        <w:t xml:space="preserve"> </w:t>
      </w:r>
      <w:r/>
    </w:p>
    <w:p>
      <w:pPr>
        <w:pStyle w:val="872"/>
        <w:ind w:firstLine="480"/>
        <w:jc w:val="both"/>
        <w:spacing w:beforeAutospacing="0" w:afterAutospacing="0" w:line="0" w:lineRule="atLeast"/>
        <w:rPr>
          <w:highlight w:val="none"/>
        </w:rPr>
      </w:pPr>
      <w:r>
        <w:rPr>
          <w:highlight w:val="none"/>
        </w:rPr>
        <w:t xml:space="preserve"> </w:t>
      </w:r>
      <w:r/>
    </w:p>
    <w:p>
      <w:pPr>
        <w:pStyle w:val="872"/>
        <w:ind w:firstLine="480"/>
        <w:jc w:val="both"/>
        <w:spacing w:beforeAutospacing="0" w:afterAutospacing="0" w:line="0" w:lineRule="atLeast"/>
        <w:rPr>
          <w:highlight w:val="none"/>
        </w:rPr>
      </w:pPr>
      <w:r>
        <w:rPr>
          <w:highlight w:val="none"/>
        </w:rPr>
        <w:t xml:space="preserve"> </w:t>
      </w:r>
      <w:r/>
    </w:p>
    <w:p>
      <w:pPr>
        <w:pStyle w:val="872"/>
        <w:ind w:firstLine="480"/>
        <w:jc w:val="both"/>
        <w:spacing w:beforeAutospacing="0" w:afterAutospacing="0" w:line="0" w:lineRule="atLeast"/>
        <w:rPr>
          <w:highlight w:val="none"/>
        </w:rPr>
      </w:pPr>
      <w:r>
        <w:rPr>
          <w:highlight w:val="none"/>
        </w:rPr>
        <w:t xml:space="preserve"> </w:t>
      </w:r>
      <w:r/>
    </w:p>
    <w:p>
      <w:pPr>
        <w:pStyle w:val="872"/>
        <w:ind w:firstLine="480"/>
        <w:jc w:val="both"/>
        <w:spacing w:beforeAutospacing="0" w:afterAutospacing="0" w:line="0" w:lineRule="atLeast"/>
        <w:rPr>
          <w:highlight w:val="none"/>
        </w:rPr>
      </w:pPr>
      <w:r>
        <w:rPr>
          <w:highlight w:val="none"/>
        </w:rPr>
      </w:r>
      <w:r/>
    </w:p>
    <w:p>
      <w:pPr>
        <w:pStyle w:val="872"/>
        <w:ind w:firstLine="480"/>
        <w:jc w:val="both"/>
        <w:spacing w:beforeAutospacing="0" w:afterAutospacing="0" w:line="0" w:lineRule="atLeast"/>
        <w:rPr>
          <w:highlight w:val="none"/>
        </w:rPr>
      </w:pPr>
      <w:r>
        <w:rPr>
          <w:highlight w:val="none"/>
        </w:rPr>
      </w:r>
      <w:r/>
    </w:p>
    <w:p>
      <w:pPr>
        <w:pStyle w:val="872"/>
        <w:ind w:firstLine="480"/>
        <w:jc w:val="both"/>
        <w:spacing w:beforeAutospacing="0" w:afterAutospacing="0" w:line="0" w:lineRule="atLeast"/>
        <w:rPr>
          <w:highlight w:val="none"/>
        </w:rPr>
      </w:pPr>
      <w:r>
        <w:rPr>
          <w:highlight w:val="none"/>
        </w:rPr>
      </w:r>
      <w:r/>
    </w:p>
    <w:p>
      <w:pPr>
        <w:pStyle w:val="872"/>
        <w:ind w:firstLine="480"/>
        <w:jc w:val="both"/>
        <w:spacing w:beforeAutospacing="0" w:afterAutospacing="0" w:line="0" w:lineRule="atLeast"/>
        <w:rPr>
          <w:highlight w:val="none"/>
        </w:rPr>
      </w:pPr>
      <w:r>
        <w:rPr>
          <w:highlight w:val="none"/>
        </w:rPr>
      </w:r>
      <w:r/>
    </w:p>
    <w:p>
      <w:pPr>
        <w:pStyle w:val="872"/>
        <w:ind w:firstLine="480"/>
        <w:jc w:val="both"/>
        <w:spacing w:beforeAutospacing="0" w:afterAutospacing="0" w:line="0" w:lineRule="atLeast"/>
        <w:rPr>
          <w:highlight w:val="none"/>
        </w:rPr>
      </w:pPr>
      <w:r>
        <w:rPr>
          <w:highlight w:val="none"/>
        </w:rPr>
      </w:r>
      <w:r/>
    </w:p>
    <w:p>
      <w:pPr>
        <w:pStyle w:val="872"/>
        <w:ind w:firstLine="480"/>
        <w:jc w:val="both"/>
        <w:spacing w:beforeAutospacing="0" w:afterAutospacing="0" w:line="0" w:lineRule="atLeast"/>
        <w:rPr>
          <w:highlight w:val="none"/>
        </w:rPr>
      </w:pPr>
      <w:r>
        <w:rPr>
          <w:highlight w:val="none"/>
        </w:rPr>
      </w:r>
      <w:r/>
    </w:p>
    <w:p>
      <w:pPr>
        <w:pStyle w:val="872"/>
        <w:ind w:firstLine="480"/>
        <w:jc w:val="both"/>
        <w:spacing w:beforeAutospacing="0" w:afterAutospacing="0" w:line="0" w:lineRule="atLeast"/>
        <w:rPr>
          <w:highlight w:val="none"/>
        </w:rPr>
      </w:pPr>
      <w:r>
        <w:rPr>
          <w:highlight w:val="none"/>
        </w:rPr>
      </w:r>
      <w:r/>
    </w:p>
    <w:p>
      <w:pPr>
        <w:pStyle w:val="872"/>
        <w:ind w:firstLine="480"/>
        <w:jc w:val="both"/>
        <w:spacing w:beforeAutospacing="0" w:afterAutospacing="0" w:line="0" w:lineRule="atLeast"/>
        <w:rPr>
          <w:highlight w:val="none"/>
        </w:rPr>
      </w:pPr>
      <w:r>
        <w:rPr>
          <w:highlight w:val="none"/>
        </w:rPr>
      </w:r>
      <w:r/>
    </w:p>
    <w:p>
      <w:pPr>
        <w:pStyle w:val="872"/>
        <w:ind w:firstLine="480"/>
        <w:jc w:val="both"/>
        <w:spacing w:beforeAutospacing="0" w:afterAutospacing="0" w:line="0" w:lineRule="atLeast"/>
        <w:rPr>
          <w:highlight w:val="none"/>
        </w:rPr>
      </w:pPr>
      <w:r>
        <w:rPr>
          <w:highlight w:val="none"/>
        </w:rPr>
      </w:r>
      <w:r/>
    </w:p>
    <w:p>
      <w:pPr>
        <w:pStyle w:val="872"/>
        <w:ind w:firstLine="480"/>
        <w:jc w:val="both"/>
        <w:spacing w:beforeAutospacing="0" w:afterAutospacing="0" w:line="0" w:lineRule="atLeast"/>
        <w:rPr>
          <w:highlight w:val="none"/>
        </w:rPr>
      </w:pPr>
      <w:r>
        <w:rPr>
          <w:highlight w:val="none"/>
        </w:rPr>
      </w:r>
      <w:r/>
    </w:p>
    <w:p>
      <w:pPr>
        <w:pStyle w:val="872"/>
        <w:ind w:firstLine="480"/>
        <w:jc w:val="both"/>
        <w:spacing w:beforeAutospacing="0" w:afterAutospacing="0" w:line="0" w:lineRule="atLeast"/>
        <w:rPr>
          <w:highlight w:val="none"/>
        </w:rPr>
      </w:pPr>
      <w:r>
        <w:rPr>
          <w:highlight w:val="none"/>
        </w:rPr>
        <w:t xml:space="preserve"> </w:t>
      </w:r>
      <w:r/>
    </w:p>
    <w:p>
      <w:pPr>
        <w:pStyle w:val="872"/>
        <w:ind w:firstLine="480"/>
        <w:jc w:val="both"/>
        <w:spacing w:beforeAutospacing="0" w:afterAutospacing="0" w:line="0" w:lineRule="atLeast"/>
        <w:rPr>
          <w:highlight w:val="none"/>
        </w:rPr>
      </w:pPr>
      <w:r>
        <w:rPr>
          <w:highlight w:val="none"/>
        </w:rPr>
      </w:r>
      <w:r/>
    </w:p>
    <w:p>
      <w:pPr>
        <w:pStyle w:val="872"/>
        <w:ind w:firstLine="480"/>
        <w:jc w:val="both"/>
        <w:spacing w:beforeAutospacing="0" w:afterAutospacing="0" w:line="0" w:lineRule="atLeast"/>
        <w:rPr>
          <w:highlight w:val="none"/>
        </w:rPr>
      </w:pPr>
      <w:r>
        <w:rPr>
          <w:highlight w:val="none"/>
        </w:rPr>
      </w:r>
      <w:r/>
    </w:p>
    <w:p>
      <w:pPr>
        <w:pStyle w:val="872"/>
        <w:ind w:firstLine="480"/>
        <w:jc w:val="both"/>
        <w:spacing w:beforeAutospacing="0" w:afterAutospacing="0" w:line="0" w:lineRule="atLeast"/>
        <w:rPr>
          <w:highlight w:val="none"/>
        </w:rPr>
      </w:pPr>
      <w:r>
        <w:rPr>
          <w:highlight w:val="none"/>
        </w:rPr>
        <w:t xml:space="preserve"> </w:t>
      </w:r>
      <w:r/>
    </w:p>
    <w:p>
      <w:pPr>
        <w:pStyle w:val="872"/>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72"/>
        <w:ind w:firstLine="480"/>
        <w:jc w:val="both"/>
        <w:spacing w:beforeAutospacing="0" w:afterAutospacing="0" w:line="0" w:lineRule="atLeast"/>
        <w:rPr>
          <w:highlight w:val="none"/>
        </w:rPr>
      </w:pPr>
      <w:r>
        <w:rPr>
          <w:highlight w:val="none"/>
        </w:rPr>
        <w:t xml:space="preserve"> </w:t>
      </w:r>
      <w:r/>
    </w:p>
    <w:p>
      <w:pPr>
        <w:pStyle w:val="872"/>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w:t>
      </w:r>
      <w:r>
        <w:rPr>
          <w:rFonts w:hint="eastAsia" w:ascii="黑体" w:hAnsi="宋体" w:eastAsia="黑体" w:cs="黑体"/>
          <w:i/>
          <w:color w:val="000000"/>
          <w:sz w:val="32"/>
          <w:szCs w:val="32"/>
          <w:highlight w:val="none"/>
          <w:u w:val="single"/>
          <w:lang w:val="en-US" w:eastAsia="zh-CN"/>
        </w:rPr>
        <w:t xml:space="preserve">或上上年度</w:t>
      </w:r>
      <w:r>
        <w:rPr>
          <w:rFonts w:hint="eastAsia" w:ascii="黑体" w:hAnsi="宋体" w:eastAsia="黑体" w:cs="黑体"/>
          <w:i/>
          <w:color w:val="000000"/>
          <w:sz w:val="32"/>
          <w:szCs w:val="32"/>
          <w:highlight w:val="none"/>
          <w:u w:val="single"/>
        </w:rPr>
        <w:t xml:space="preserve">的财务状况报</w:t>
      </w:r>
      <w:r>
        <w:rPr>
          <w:rFonts w:hint="eastAsia" w:ascii="黑体" w:hAnsi="宋体" w:eastAsia="黑体" w:cs="黑体"/>
          <w:i/>
          <w:color w:val="000000"/>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872"/>
        <w:ind w:firstLine="480"/>
        <w:jc w:val="both"/>
        <w:spacing w:beforeAutospacing="0" w:afterAutospacing="0" w:line="0" w:lineRule="atLeast"/>
        <w:rPr>
          <w:highlight w:val="none"/>
        </w:rPr>
      </w:pPr>
      <w:r>
        <w:rPr>
          <w:highlight w:val="none"/>
        </w:rPr>
      </w:r>
      <w:r/>
    </w:p>
    <w:p>
      <w:pPr>
        <w:pStyle w:val="872"/>
        <w:jc w:val="both"/>
        <w:spacing w:beforeAutospacing="0" w:afterAutospacing="0"/>
        <w:rPr>
          <w:highlight w:val="none"/>
        </w:rPr>
      </w:pPr>
      <w:r>
        <w:rPr>
          <w:highlight w:val="none"/>
        </w:rPr>
        <w:t xml:space="preserve"> </w:t>
      </w:r>
      <w:r/>
    </w:p>
    <w:p>
      <w:pPr>
        <w:pStyle w:val="872"/>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72"/>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72"/>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72"/>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72"/>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72"/>
        <w:ind w:firstLine="480"/>
        <w:jc w:val="both"/>
        <w:spacing w:beforeAutospacing="0" w:afterAutospacing="0"/>
        <w:rPr>
          <w:highlight w:val="none"/>
        </w:rPr>
      </w:pPr>
      <w:r/>
      <w:bookmarkStart w:id="189"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89"/>
      <w:r/>
      <w:r/>
    </w:p>
    <w:p>
      <w:pPr>
        <w:pStyle w:val="872"/>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7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w:t>
      </w:r>
      <w:r>
        <w:rPr>
          <w:rFonts w:hint="eastAsia" w:ascii="宋体" w:hAnsi="宋体" w:eastAsia="宋体" w:cs="宋体"/>
          <w:b/>
          <w:color w:val="000000"/>
          <w:sz w:val="44"/>
          <w:szCs w:val="44"/>
          <w:highlight w:val="none"/>
          <w:lang w:val="en-US" w:eastAsia="zh-CN"/>
        </w:rPr>
        <w:t xml:space="preserve">             </w:t>
      </w:r>
      <w:r>
        <w:rPr>
          <w:rFonts w:hint="eastAsia" w:ascii="宋体" w:hAnsi="宋体" w:eastAsia="宋体" w:cs="宋体"/>
          <w:b/>
          <w:color w:val="000000"/>
          <w:sz w:val="44"/>
          <w:szCs w:val="44"/>
          <w:highlight w:val="none"/>
        </w:rPr>
        <w:t xml:space="preserve">声  明</w:t>
      </w:r>
      <w:r/>
    </w:p>
    <w:p>
      <w:pPr>
        <w:pStyle w:val="872"/>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72"/>
        <w:jc w:val="both"/>
        <w:spacing w:beforeAutospacing="0" w:afterAutospacing="0"/>
        <w:rPr>
          <w:highlight w:val="none"/>
        </w:rPr>
      </w:pPr>
      <w:r>
        <w:rPr>
          <w:highlight w:val="none"/>
        </w:rPr>
        <w:t xml:space="preserve"> </w:t>
      </w:r>
      <w:r/>
    </w:p>
    <w:p>
      <w:pPr>
        <w:pStyle w:val="872"/>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872"/>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如果本项目申请人的特定资格要求中要求提供的，必须提供。</w:t>
      </w:r>
      <w:r/>
    </w:p>
    <w:p>
      <w:pPr>
        <w:pStyle w:val="872"/>
        <w:jc w:val="both"/>
        <w:spacing w:beforeAutospacing="0" w:afterAutospacing="0" w:line="0" w:lineRule="atLeast"/>
        <w:rPr>
          <w:highlight w:val="none"/>
        </w:rPr>
      </w:pPr>
      <w:r>
        <w:rPr>
          <w:highlight w:val="none"/>
        </w:rPr>
        <w:t xml:space="preserve"> </w:t>
      </w:r>
      <w:r/>
    </w:p>
    <w:p>
      <w:pPr>
        <w:pStyle w:val="872"/>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72"/>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72"/>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jc w:val="both"/>
        <w:spacing w:beforeAutospacing="0" w:afterAutospacing="0"/>
        <w:widowControl w:val="off"/>
        <w:rPr>
          <w:rFonts w:hint="eastAsia" w:ascii="宋体" w:hAnsi="宋体" w:eastAsia="宋体" w:cs="宋体"/>
          <w:i/>
          <w:color w:val="auto"/>
          <w:sz w:val="32"/>
          <w:szCs w:val="32"/>
          <w:highlight w:val="none"/>
          <w:u w:val="single"/>
          <w:lang w:val="en-US" w:eastAsia="zh-CN" w:bidi="ar-SA"/>
        </w:rPr>
      </w:pPr>
      <w:r/>
      <w:bookmarkStart w:id="190" w:name="_Hlt26671380"/>
      <w:r/>
      <w:bookmarkStart w:id="191" w:name="_Hlt26955070"/>
      <w:r/>
      <w:bookmarkStart w:id="192" w:name="_格式3__银行出具的资信证明"/>
      <w:r/>
      <w:r/>
    </w:p>
    <w:p>
      <w:pPr>
        <w:jc w:val="both"/>
        <w:spacing w:beforeAutospacing="0" w:afterAutospacing="0"/>
        <w:widowControl w:val="off"/>
        <w:rPr>
          <w:rFonts w:hint="eastAsia" w:ascii="宋体" w:hAnsi="宋体" w:eastAsia="宋体" w:cs="宋体"/>
          <w:i/>
          <w:color w:val="auto"/>
          <w:sz w:val="32"/>
          <w:szCs w:val="32"/>
          <w:highlight w:val="none"/>
          <w:u w:val="single"/>
          <w:lang w:val="en-US" w:eastAsia="zh-CN" w:bidi="ar-SA"/>
        </w:rPr>
      </w:pPr>
      <w:r>
        <w:rPr>
          <w:rFonts w:hint="eastAsia" w:ascii="宋体" w:hAnsi="宋体" w:eastAsia="宋体" w:cs="宋体"/>
          <w:i/>
          <w:color w:val="auto"/>
          <w:sz w:val="32"/>
          <w:szCs w:val="32"/>
          <w:highlight w:val="none"/>
          <w:u w:val="single"/>
          <w:lang w:val="en-US" w:eastAsia="zh-CN" w:bidi="ar-SA"/>
        </w:rPr>
      </w:r>
      <w:r/>
    </w:p>
    <w:p>
      <w:pPr>
        <w:jc w:val="both"/>
        <w:spacing w:beforeAutospacing="0" w:afterAutospacing="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i/>
          <w:color w:val="auto"/>
          <w:sz w:val="32"/>
          <w:szCs w:val="32"/>
          <w:highlight w:val="none"/>
          <w:u w:val="single"/>
          <w:lang w:val="en-US" w:eastAsia="zh-CN" w:bidi="ar-SA"/>
        </w:rPr>
        <w:t xml:space="preserve">七、供应商法定代表人身份证明和投标文件签署授权委托书（另附法定代表人和被授权人的身份证复印件）</w:t>
      </w:r>
      <w:r/>
    </w:p>
    <w:p>
      <w:pPr>
        <w:jc w:val="center"/>
        <w:spacing w:line="600" w:lineRule="exact"/>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法定代表人身份证明书</w:t>
      </w:r>
      <w:r/>
    </w:p>
    <w:p>
      <w:pPr>
        <w:jc w:val="center"/>
        <w:spacing w:line="60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的法定代表人，联系电话（手机号码）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5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（盖单位公章）      </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（附：法定代表人身份证正反面复印件）</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400" w:lineRule="exact"/>
        <w:rPr>
          <w:rFonts w:hint="eastAsia" w:ascii="宋体" w:hAnsi="宋体" w:eastAsia="宋体" w:cs="宋体"/>
          <w:color w:val="auto"/>
          <w:sz w:val="28"/>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32"/>
          <w:szCs w:val="32"/>
          <w:highlight w:val="none"/>
          <w:lang w:eastAsia="zh-CN"/>
        </w:rPr>
        <w:t xml:space="preserve">投标文件</w:t>
      </w:r>
      <w:r>
        <w:rPr>
          <w:rFonts w:hint="eastAsia" w:ascii="宋体" w:hAnsi="宋体" w:eastAsia="宋体" w:cs="宋体"/>
          <w:b/>
          <w:bCs/>
          <w:color w:val="auto"/>
          <w:sz w:val="32"/>
          <w:szCs w:val="32"/>
          <w:highlight w:val="none"/>
        </w:rPr>
        <w:t xml:space="preserve">签署授权委托书</w:t>
      </w:r>
      <w:r/>
    </w:p>
    <w:p>
      <w:pPr>
        <w:jc w:val="center"/>
        <w:spacing w:line="40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本授权委托书声明：我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的法定代表人，现授权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为我公司签署本项目的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的法定代表人授权委托代</w:t>
      </w:r>
      <w:r>
        <w:rPr>
          <w:rFonts w:hint="eastAsia" w:ascii="宋体" w:hAnsi="宋体" w:eastAsia="宋体" w:cs="宋体"/>
          <w:color w:val="auto"/>
          <w:sz w:val="24"/>
          <w:highlight w:val="none"/>
          <w:lang w:eastAsia="zh-CN"/>
        </w:rPr>
        <w:t xml:space="preserve">理人</w:t>
      </w:r>
      <w:r>
        <w:rPr>
          <w:rFonts w:hint="eastAsia" w:ascii="宋体" w:hAnsi="宋体" w:eastAsia="宋体" w:cs="宋体"/>
          <w:color w:val="auto"/>
          <w:sz w:val="24"/>
          <w:highlight w:val="none"/>
        </w:rPr>
        <w:t xml:space="preserve">，我承认被授权人全权代表我所签署的本项目的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的内容。</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特此委托。</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代理人（被授权人）：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联系电话</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职务：</w:t>
      </w:r>
      <w:r>
        <w:rPr>
          <w:rFonts w:hint="eastAsia" w:ascii="宋体" w:hAnsi="宋体" w:eastAsia="宋体" w:cs="宋体"/>
          <w:color w:val="auto"/>
          <w:sz w:val="24"/>
          <w:highlight w:val="none"/>
          <w:u w:val="single"/>
        </w:rPr>
        <w:t xml:space="preserve">        </w:t>
      </w:r>
      <w:r/>
    </w:p>
    <w:p>
      <w:pPr>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szCs w:val="22"/>
          <w:highlight w:val="none"/>
        </w:rPr>
        <w:t xml:space="preserve">联系号码（手机号码）</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highlight w:val="none"/>
          <w:u w:val="single"/>
        </w:rPr>
        <w:t xml:space="preserve">                               </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（盖单位公章）</w:t>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（附：被授权人身份证正反面复印件）</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7"/>
        <w:rPr>
          <w:rFonts w:hint="default" w:eastAsia="宋体"/>
          <w:lang w:val="en-US" w:eastAsia="zh-CN"/>
        </w:rPr>
      </w:pPr>
      <w:r>
        <w:rPr>
          <w:rFonts w:hint="eastAsia" w:hAnsi="宋体" w:eastAsia="宋体" w:cs="宋体"/>
          <w:b/>
          <w:bCs/>
          <w:color w:val="auto"/>
          <w:sz w:val="24"/>
          <w:highlight w:val="none"/>
          <w:lang w:val="en-US" w:eastAsia="zh-CN"/>
        </w:rPr>
        <w:t xml:space="preserve">注：法定代表人亲自参加时无需提供授权书及保险证明</w:t>
      </w:r>
      <w:r/>
    </w:p>
    <w:p>
      <w:pPr>
        <w:jc w:val="center"/>
        <w:spacing w:beforeAutospacing="0" w:afterAutospacing="0"/>
        <w:widowControl w:val="off"/>
        <w:rPr>
          <w:rFonts w:hint="default" w:ascii="Calibri" w:hAnsi="Calibri" w:eastAsia="宋体" w:cs="Times New Roman"/>
        </w:rPr>
      </w:pPr>
      <w:r>
        <w:rPr>
          <w:rFonts w:hint="eastAsia" w:ascii="宋体" w:hAnsi="宋体" w:eastAsia="宋体" w:cs="宋体"/>
          <w:b/>
          <w:color w:val="000000"/>
          <w:highlight w:val="none"/>
        </w:rPr>
        <w:br w:type="page" w:clear="all"/>
      </w:r>
      <w:r>
        <w:rPr>
          <w:rFonts w:hint="eastAsia" w:ascii="宋体" w:hAnsi="宋体" w:eastAsia="宋体" w:cs="宋体"/>
          <w:i/>
          <w:color w:val="auto"/>
          <w:sz w:val="32"/>
          <w:szCs w:val="32"/>
          <w:highlight w:val="none"/>
          <w:u w:val="single"/>
          <w:lang w:val="en-US" w:eastAsia="zh-CN" w:bidi="ar-SA"/>
        </w:rPr>
        <w:t xml:space="preserve">八、</w:t>
      </w:r>
      <w:r>
        <w:rPr>
          <w:rFonts w:hint="default" w:ascii="宋体" w:hAnsi="宋体" w:eastAsia="宋体" w:cs="宋体"/>
          <w:i/>
          <w:color w:val="auto"/>
          <w:sz w:val="32"/>
          <w:szCs w:val="32"/>
          <w:highlight w:val="none"/>
          <w:u w:val="single"/>
          <w:lang w:val="en-US" w:eastAsia="zh-CN" w:bidi="ar-SA"/>
        </w:rPr>
        <w:t xml:space="preserve">服  务  承  诺</w:t>
      </w:r>
      <w:r/>
    </w:p>
    <w:p>
      <w:pP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 </w:t>
      </w:r>
      <w:r/>
    </w:p>
    <w:p>
      <w:pPr>
        <w:spacing w:line="47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如我方中标，郑重承诺如下：</w:t>
      </w:r>
      <w:r/>
    </w:p>
    <w:p>
      <w:pPr>
        <w:ind w:firstLine="480"/>
        <w:spacing w:line="479"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hint="default" w:ascii="宋体" w:hAnsi="宋体" w:eastAsia="宋体" w:cs="宋体"/>
          <w:color w:val="000000"/>
          <w:sz w:val="24"/>
        </w:rPr>
        <w:t xml:space="preserve">本项目服务期为</w:t>
      </w: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年7月1日</w:t>
      </w:r>
      <w:r>
        <w:rPr>
          <w:rFonts w:hint="default" w:ascii="宋体" w:hAnsi="宋体" w:eastAsia="宋体" w:cs="宋体"/>
          <w:color w:val="000000"/>
          <w:sz w:val="24"/>
        </w:rPr>
        <w:t xml:space="preserve">至202</w:t>
      </w:r>
      <w:r>
        <w:rPr>
          <w:rFonts w:hint="eastAsia" w:ascii="宋体" w:hAnsi="宋体" w:eastAsia="宋体" w:cs="宋体"/>
          <w:color w:val="000000"/>
          <w:sz w:val="24"/>
          <w:lang w:val="en-US" w:eastAsia="zh-CN"/>
        </w:rPr>
        <w:t xml:space="preserve">7</w:t>
      </w:r>
      <w:r>
        <w:rPr>
          <w:rFonts w:hint="default" w:ascii="宋体" w:hAnsi="宋体" w:eastAsia="宋体" w:cs="宋体"/>
          <w:color w:val="000000"/>
          <w:sz w:val="24"/>
        </w:rPr>
        <w:t xml:space="preserve">年6月30日。其中机房搬迁、数据中心宽带线路实施建设须在</w:t>
      </w: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年7月1日前</w:t>
      </w:r>
      <w:r>
        <w:rPr>
          <w:rFonts w:hint="default" w:ascii="宋体" w:hAnsi="宋体" w:eastAsia="宋体" w:cs="宋体"/>
          <w:color w:val="000000"/>
          <w:sz w:val="24"/>
        </w:rPr>
        <w:t xml:space="preserve">完成。 </w:t>
      </w:r>
      <w:r/>
    </w:p>
    <w:p>
      <w:pPr>
        <w:ind w:firstLine="480"/>
        <w:spacing w:line="47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（2）投标产品的质量保证期</w:t>
      </w:r>
      <w:r>
        <w:rPr>
          <w:rFonts w:hint="eastAsia" w:ascii="宋体" w:hAnsi="宋体" w:eastAsia="宋体" w:cs="宋体"/>
          <w:color w:val="000000"/>
          <w:sz w:val="24"/>
        </w:rPr>
        <w:t xml:space="preserve">1</w:t>
      </w:r>
      <w:r>
        <w:rPr>
          <w:rFonts w:hint="default" w:ascii="宋体" w:hAnsi="宋体" w:eastAsia="宋体" w:cs="宋体"/>
          <w:color w:val="000000"/>
          <w:sz w:val="24"/>
        </w:rPr>
        <w:t xml:space="preserve">年</w:t>
      </w:r>
      <w:r>
        <w:rPr>
          <w:rFonts w:hint="eastAsia" w:ascii="宋体" w:hAnsi="宋体" w:eastAsia="宋体" w:cs="宋体"/>
          <w:color w:val="000000"/>
          <w:sz w:val="24"/>
          <w:lang w:eastAsia="zh-CN"/>
        </w:rPr>
        <w:t xml:space="preserve">。</w:t>
      </w:r>
      <w:r/>
    </w:p>
    <w:p>
      <w:pPr>
        <w:ind w:firstLine="480"/>
        <w:spacing w:line="479" w:lineRule="atLeast"/>
        <w:rPr>
          <w:rFonts w:hint="eastAsia" w:ascii="Calibri" w:hAnsi="Calibri"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（3）在质量保证期内，用户遇到使用及技术问题，我方为用户提供技术援助电话。联系电话为：</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。如电话咨询不能解决时，我方在</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小时内采取相应措施，提供上门服务。仍无法解决时，我方在</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小时内提供备用产品，确保用户能够正常使用（时间从接到用户报修电话时起算）；如我方不能在承诺时间内采取相应措施或提供备用产品，采购人自行处理，其费用在我方履约保证金中扣付</w:t>
      </w:r>
      <w:r>
        <w:rPr>
          <w:rFonts w:hint="eastAsia" w:ascii="宋体" w:hAnsi="宋体" w:eastAsia="宋体" w:cs="宋体"/>
          <w:color w:val="000000"/>
          <w:sz w:val="24"/>
          <w:lang w:eastAsia="zh-CN"/>
        </w:rPr>
        <w:t xml:space="preserve">。</w:t>
      </w:r>
      <w:r/>
    </w:p>
    <w:p>
      <w:pPr>
        <w:ind w:firstLine="480"/>
        <w:spacing w:line="479" w:lineRule="atLeast"/>
        <w:rPr>
          <w:rFonts w:hint="eastAsia" w:ascii="Calibri" w:hAnsi="Calibri"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（4）质量保证期满后，我方同样提供免费电话咨询服务，并以优惠价格提供售后服务</w:t>
      </w:r>
      <w:r>
        <w:rPr>
          <w:rFonts w:hint="eastAsia" w:ascii="宋体" w:hAnsi="宋体" w:eastAsia="宋体" w:cs="宋体"/>
          <w:color w:val="000000"/>
          <w:sz w:val="24"/>
          <w:lang w:eastAsia="zh-CN"/>
        </w:rPr>
        <w:t xml:space="preserve">。</w:t>
      </w:r>
      <w:r/>
    </w:p>
    <w:p>
      <w:pPr>
        <w:ind w:firstLine="460"/>
        <w:spacing w:line="47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w:t>
      </w:r>
      <w:r/>
    </w:p>
    <w:p>
      <w:pPr>
        <w:ind w:firstLine="460"/>
        <w:spacing w:line="47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firstLine="460"/>
        <w:spacing w:line="47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firstLine="460"/>
        <w:spacing w:line="47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firstLine="460"/>
        <w:spacing w:line="47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firstLine="1920"/>
        <w:spacing w:line="499"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法定代表人或被授权人签字：</w:t>
      </w:r>
      <w:r/>
    </w:p>
    <w:p>
      <w:pPr>
        <w:ind w:firstLine="1920"/>
        <w:spacing w:line="499"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r>
      <w:r/>
    </w:p>
    <w:p>
      <w:pPr>
        <w:ind w:right="2583" w:firstLine="480"/>
        <w:jc w:val="center"/>
        <w:spacing w:line="587"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供应商全称（加盖CA电子公章）：</w:t>
      </w:r>
      <w:r/>
    </w:p>
    <w:p>
      <w:pPr>
        <w:ind w:firstLine="1680"/>
        <w:spacing w:line="47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firstLine="1680"/>
        <w:spacing w:line="47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jc w:val="right"/>
        <w:spacing w:line="47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年</w:t>
      </w:r>
      <w:r>
        <w:rPr>
          <w:rFonts w:hint="default"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月</w:t>
      </w:r>
      <w:r>
        <w:rPr>
          <w:rFonts w:hint="default"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日</w:t>
      </w:r>
      <w:r/>
    </w:p>
    <w:p>
      <w:pPr>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jc w:val="center"/>
        <w:spacing w:beforeAutospacing="0" w:afterAutospacing="0"/>
        <w:widowControl w:val="off"/>
        <w:rPr>
          <w:rFonts w:hint="default" w:ascii="宋体" w:hAnsi="宋体" w:eastAsia="宋体" w:cs="宋体"/>
          <w:i/>
          <w:color w:val="auto"/>
          <w:sz w:val="32"/>
          <w:szCs w:val="32"/>
          <w:highlight w:val="none"/>
          <w:u w:val="single"/>
          <w:lang w:val="en-US" w:eastAsia="zh-CN" w:bidi="ar-SA"/>
        </w:rPr>
      </w:pPr>
      <w:r>
        <w:rPr>
          <w:rFonts w:hint="eastAsia" w:ascii="宋体" w:hAnsi="宋体" w:eastAsia="宋体" w:cs="宋体"/>
          <w:i/>
          <w:color w:val="auto"/>
          <w:sz w:val="32"/>
          <w:szCs w:val="32"/>
          <w:highlight w:val="none"/>
          <w:u w:val="single"/>
          <w:lang w:val="en-US" w:eastAsia="zh-CN" w:bidi="ar-SA"/>
        </w:rPr>
        <w:t xml:space="preserve">九、</w:t>
      </w:r>
      <w:r>
        <w:rPr>
          <w:rFonts w:hint="default" w:ascii="宋体" w:hAnsi="宋体" w:eastAsia="宋体" w:cs="宋体"/>
          <w:i/>
          <w:color w:val="auto"/>
          <w:sz w:val="32"/>
          <w:szCs w:val="32"/>
          <w:highlight w:val="none"/>
          <w:u w:val="single"/>
          <w:lang w:val="en-US" w:eastAsia="zh-CN" w:bidi="ar-SA"/>
        </w:rPr>
        <w:t xml:space="preserve">实质性要求的承诺函</w:t>
      </w:r>
      <w:r/>
    </w:p>
    <w:p>
      <w:pPr>
        <w:spacing w:line="49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我单位郑重承诺如下：</w:t>
      </w:r>
      <w:r/>
    </w:p>
    <w:p>
      <w:pPr>
        <w:ind w:firstLine="480"/>
        <w:spacing w:line="49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1机房搬迁、数据中心宽带线路实施建设须在</w:t>
      </w: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年7月1日前</w:t>
      </w:r>
      <w:r>
        <w:rPr>
          <w:rFonts w:hint="default" w:ascii="宋体" w:hAnsi="宋体" w:eastAsia="宋体" w:cs="宋体"/>
          <w:color w:val="000000"/>
          <w:sz w:val="24"/>
        </w:rPr>
        <w:t xml:space="preserve">完成。</w:t>
      </w:r>
      <w:r/>
    </w:p>
    <w:p>
      <w:pPr>
        <w:ind w:firstLine="480"/>
        <w:spacing w:line="49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2.将采购人原机房内所有通讯线路迁移至投标人所投机房，为保障业务平稳过渡，通讯线路的割接时间不超过1小时。</w:t>
      </w:r>
      <w:r/>
    </w:p>
    <w:p>
      <w:pPr>
        <w:ind w:firstLine="480"/>
        <w:spacing w:line="49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设备搬迁前做好系统和数据的备份，尤其要防止硬盘故障，确保核心业务系统数据和设备在搬迁过程中不损坏、不崩溃，搬迁窗口时间（20：00-6：00），搬迁次数不超过10次，每次搬迁完成后保证所有业务正常运行。</w:t>
      </w:r>
      <w:r/>
    </w:p>
    <w:p>
      <w:pPr>
        <w:ind w:firstLine="480"/>
        <w:spacing w:line="49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4.设置7×24小时值班电话，接听记录东台市卫健委服务需求，及时反馈服务事件处理结果。</w:t>
      </w:r>
      <w:r/>
    </w:p>
    <w:p>
      <w:pPr>
        <w:ind w:firstLine="480"/>
        <w:spacing w:line="49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运维人员在解决故障时，要最大限度保护数据，将系统恢复到故障点前的业务状态，同时做好故障恢复文档记录。对于一级故障，如果不能在30分钟内解决故障，要启动应急预案，确保医疗机构正常运转，并在故障解决后24小时内，提交故障处理报告，说明故障种类、故障原因、故障解决中使用的方法及故障损失等，并梳理形成详细运维服务文档，方便分析问题，保证工作交接延续性。</w:t>
      </w:r>
      <w:r/>
    </w:p>
    <w:p>
      <w:pPr>
        <w:ind w:firstLine="3840"/>
        <w:spacing w:line="49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firstLine="3840"/>
        <w:spacing w:line="499"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r>
      <w:r/>
    </w:p>
    <w:p>
      <w:pPr>
        <w:ind w:firstLine="3840"/>
        <w:spacing w:line="49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firstLine="3840"/>
        <w:spacing w:line="49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firstLine="1920"/>
        <w:spacing w:line="499"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法定代表人或被授权人签字：</w:t>
      </w:r>
      <w:r/>
    </w:p>
    <w:p>
      <w:pPr>
        <w:ind w:firstLine="1920"/>
        <w:spacing w:line="499"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r>
      <w:r/>
    </w:p>
    <w:p>
      <w:pPr>
        <w:ind w:right="2583" w:firstLine="480"/>
        <w:jc w:val="center"/>
        <w:spacing w:line="587"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供应商全称（加盖CA电子公章）：</w:t>
      </w:r>
      <w:r/>
    </w:p>
    <w:p>
      <w:pPr>
        <w:ind w:firstLine="1680"/>
        <w:spacing w:line="47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firstLine="1680"/>
        <w:spacing w:line="47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jc w:val="right"/>
        <w:spacing w:line="47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年</w:t>
      </w:r>
      <w:r>
        <w:rPr>
          <w:rFonts w:hint="default"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月</w:t>
      </w:r>
      <w:r>
        <w:rPr>
          <w:rFonts w:hint="default"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日</w:t>
      </w:r>
      <w:r/>
    </w:p>
    <w:p>
      <w:pPr>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72"/>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t xml:space="preserve"> </w:t>
      </w:r>
      <w:r>
        <w:rPr>
          <w:rFonts w:hint="eastAsia" w:ascii="黑体" w:hAnsi="宋体" w:eastAsia="黑体" w:cs="黑体"/>
          <w:b/>
          <w:color w:val="000000"/>
          <w:sz w:val="32"/>
          <w:szCs w:val="32"/>
          <w:highlight w:val="none"/>
          <w:lang w:val="en-US" w:eastAsia="zh-CN"/>
        </w:rPr>
        <w:t xml:space="preserve">十</w:t>
      </w:r>
      <w:r>
        <w:rPr>
          <w:rFonts w:hint="eastAsia" w:ascii="黑体" w:hAnsi="宋体" w:eastAsia="黑体" w:cs="黑体"/>
          <w:b/>
          <w:color w:val="000000"/>
          <w:sz w:val="32"/>
          <w:szCs w:val="32"/>
          <w:highlight w:val="none"/>
        </w:rPr>
        <w:t xml:space="preserve">、投标函</w:t>
      </w:r>
      <w:r/>
    </w:p>
    <w:p>
      <w:pPr>
        <w:pStyle w:val="872"/>
        <w:keepLines w:val="0"/>
        <w:keepNext w:val="0"/>
        <w:pageBreakBefore w:val="0"/>
        <w:spacing w:beforeAutospacing="0" w:afterAutospacing="0" w:line="480" w:lineRule="exact"/>
        <w:widowControl w:val="off"/>
        <w:rPr>
          <w:rFonts w:hint="default" w:eastAsia="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lang w:val="en-US" w:eastAsia="zh-CN"/>
        </w:rPr>
        <w:t xml:space="preserve">   （采购人名称）   </w:t>
      </w:r>
      <w:r/>
    </w:p>
    <w:p>
      <w:pPr>
        <w:pStyle w:val="872"/>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根据贵方</w:t>
      </w:r>
      <w:r>
        <w:rPr>
          <w:rFonts w:hint="eastAsia" w:ascii="宋体" w:hAnsi="宋体" w:eastAsia="宋体" w:cs="宋体"/>
          <w:color w:val="auto"/>
          <w:highlight w:val="none"/>
          <w:lang w:val="en-US" w:eastAsia="zh-CN"/>
        </w:rPr>
        <w:t xml:space="preserve">编号</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的</w:t>
      </w:r>
      <w:r>
        <w:rPr>
          <w:rFonts w:hint="eastAsia" w:ascii="宋体" w:hAnsi="宋体" w:eastAsia="宋体" w:cs="宋体"/>
          <w:color w:val="auto"/>
          <w:highlight w:val="none"/>
        </w:rPr>
        <w:t xml:space="preserve">招标文件，正式授权下述签字人______</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姓名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代表我方______________（投标人的名称），全权处理本次项目投标的有关事宜。</w:t>
      </w:r>
      <w:r/>
    </w:p>
    <w:p>
      <w:pPr>
        <w:pStyle w:val="872"/>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据此函，__________签字人兹宣布同意如下：</w:t>
      </w:r>
      <w:r/>
    </w:p>
    <w:p>
      <w:pPr>
        <w:pStyle w:val="872"/>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872"/>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72"/>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72"/>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72"/>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72"/>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6.一旦我方中标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我方将根据招标文件的规定，严格履行合同的责任和义务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并保证在招标文件规定的时</w:t>
      </w:r>
      <w:r>
        <w:rPr>
          <w:rFonts w:hint="eastAsia" w:ascii="宋体" w:hAnsi="宋体" w:eastAsia="宋体" w:cs="宋体"/>
          <w:color w:val="auto"/>
          <w:highlight w:val="none"/>
          <w:lang w:eastAsia="zh-CN"/>
        </w:rPr>
        <w:t xml:space="preserve">间内</w:t>
      </w:r>
      <w:r>
        <w:rPr>
          <w:rFonts w:hint="eastAsia" w:ascii="宋体" w:hAnsi="宋体" w:eastAsia="宋体" w:cs="宋体"/>
          <w:color w:val="auto"/>
          <w:highlight w:val="none"/>
        </w:rPr>
        <w:t xml:space="preserve">完成项目，交付买方验收、使用。</w:t>
      </w:r>
      <w:r/>
    </w:p>
    <w:p>
      <w:pPr>
        <w:pStyle w:val="872"/>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7.与本投标有关的正式通讯地址为：</w:t>
      </w:r>
      <w:r/>
    </w:p>
    <w:p>
      <w:pPr>
        <w:pStyle w:val="872"/>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地          址：</w:t>
      </w:r>
      <w:r/>
    </w:p>
    <w:p>
      <w:pPr>
        <w:pStyle w:val="872"/>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邮          编：</w:t>
      </w:r>
      <w:r/>
    </w:p>
    <w:p>
      <w:pPr>
        <w:pStyle w:val="872"/>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电          话：</w:t>
      </w:r>
      <w:r/>
    </w:p>
    <w:p>
      <w:pPr>
        <w:pStyle w:val="872"/>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传          真：</w:t>
      </w:r>
      <w:r/>
    </w:p>
    <w:p>
      <w:pPr>
        <w:pStyle w:val="872"/>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投标人开户行：</w:t>
      </w:r>
      <w:r/>
    </w:p>
    <w:p>
      <w:pPr>
        <w:pStyle w:val="872"/>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账          号： </w:t>
      </w:r>
      <w:r/>
    </w:p>
    <w:p>
      <w:pPr>
        <w:pStyle w:val="872"/>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日           期：________年____月____日</w:t>
      </w:r>
      <w:r/>
    </w:p>
    <w:p>
      <w:pPr>
        <w:pStyle w:val="872"/>
        <w:ind w:firstLine="240"/>
        <w:jc w:val="center"/>
        <w:spacing w:beforeAutospacing="0" w:afterAutospacing="0" w:line="0" w:lineRule="atLeast"/>
        <w:rPr>
          <w:color w:val="auto"/>
          <w:highlight w:val="none"/>
        </w:rPr>
      </w:pPr>
      <w:r>
        <w:rPr>
          <w:color w:val="auto"/>
          <w:highlight w:val="none"/>
        </w:rPr>
        <w:t xml:space="preserve"> </w:t>
      </w:r>
      <w:r/>
    </w:p>
    <w:p>
      <w:pPr>
        <w:pStyle w:val="872"/>
        <w:ind w:firstLine="240"/>
        <w:jc w:val="center"/>
        <w:spacing w:beforeAutospacing="0" w:afterAutospacing="0" w:line="0" w:lineRule="atLeast"/>
        <w:rPr>
          <w:highlight w:val="none"/>
        </w:rPr>
      </w:pPr>
      <w:r>
        <w:rPr>
          <w:highlight w:val="none"/>
        </w:rPr>
        <w:t xml:space="preserve"> </w:t>
      </w:r>
      <w:r/>
    </w:p>
    <w:p>
      <w:pPr>
        <w:pStyle w:val="872"/>
        <w:ind w:firstLine="240"/>
        <w:jc w:val="center"/>
        <w:spacing w:beforeAutospacing="0" w:afterAutospacing="0" w:line="0" w:lineRule="atLeast"/>
        <w:rPr>
          <w:highlight w:val="none"/>
        </w:rPr>
      </w:pPr>
      <w:r>
        <w:rPr>
          <w:highlight w:val="none"/>
        </w:rPr>
        <w:t xml:space="preserve"> </w:t>
      </w:r>
      <w:r/>
    </w:p>
    <w:p>
      <w:pPr>
        <w:pStyle w:val="872"/>
        <w:ind w:firstLine="240"/>
        <w:jc w:val="center"/>
        <w:spacing w:beforeAutospacing="0" w:afterAutospacing="0" w:line="0" w:lineRule="atLeast"/>
        <w:rPr>
          <w:highlight w:val="none"/>
        </w:rPr>
      </w:pPr>
      <w:r>
        <w:rPr>
          <w:highlight w:val="none"/>
        </w:rPr>
        <w:t xml:space="preserve"> </w:t>
      </w:r>
      <w:r/>
    </w:p>
    <w:p>
      <w:pPr>
        <w:pStyle w:val="872"/>
        <w:ind w:firstLine="240"/>
        <w:jc w:val="center"/>
        <w:spacing w:beforeAutospacing="0" w:afterAutospacing="0" w:line="0" w:lineRule="atLeast"/>
        <w:rPr>
          <w:highlight w:val="none"/>
        </w:rPr>
      </w:pPr>
      <w:r>
        <w:rPr>
          <w:highlight w:val="none"/>
        </w:rPr>
        <w:t xml:space="preserve">  </w:t>
      </w:r>
      <w:r/>
    </w:p>
    <w:p>
      <w:pPr>
        <w:pStyle w:val="872"/>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lang w:val="en-US" w:eastAsia="zh-CN"/>
        </w:rPr>
        <w:t xml:space="preserve">十一</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ascii="Times New Roman" w:eastAsia="宋体"/>
          <w:color w:val="auto"/>
          <w:sz w:val="24"/>
          <w:highlight w:val="none"/>
          <w:u w:val="single"/>
          <w:lang w:val="en-US" w:eastAsia="zh-CN"/>
        </w:rPr>
        <w:t xml:space="preserve">（采购人名称）</w:t>
      </w:r>
      <w:r>
        <w:rPr>
          <w:rFonts w:hint="eastAsia"/>
          <w:color w:val="auto"/>
          <w:sz w:val="24"/>
          <w:highlight w:val="none"/>
        </w:rPr>
        <w:t xml:space="preserve">组织的采购编号为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5"/>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5"/>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72"/>
        <w:ind w:right="720"/>
        <w:jc w:val="both"/>
        <w:spacing w:beforeAutospacing="0" w:afterAutospacing="0" w:line="0" w:lineRule="atLeast"/>
        <w:rPr>
          <w:color w:val="auto"/>
          <w:highlight w:val="none"/>
        </w:rPr>
      </w:pPr>
      <w:r>
        <w:rPr>
          <w:color w:val="auto"/>
          <w:highlight w:val="none"/>
        </w:rPr>
        <w:t xml:space="preserve"> </w:t>
      </w:r>
      <w:r/>
    </w:p>
    <w:p>
      <w:pPr>
        <w:pStyle w:val="872"/>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72"/>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72"/>
        <w:ind w:firstLine="240"/>
        <w:jc w:val="both"/>
        <w:spacing w:beforeAutospacing="0" w:afterAutospacing="0" w:line="0" w:lineRule="atLeast"/>
        <w:rPr>
          <w:color w:val="auto"/>
          <w:highlight w:val="none"/>
        </w:rPr>
      </w:pPr>
      <w:r>
        <w:rPr>
          <w:color w:val="auto"/>
          <w:highlight w:val="none"/>
        </w:rPr>
        <w:t xml:space="preserve"> </w:t>
      </w:r>
      <w:r/>
    </w:p>
    <w:p>
      <w:pPr>
        <w:pStyle w:val="87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7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72"/>
        <w:jc w:val="center"/>
        <w:spacing w:beforeAutospacing="0" w:afterAutospacing="0" w:line="0" w:lineRule="atLeast"/>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 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、残疾人福利性单位声明函（分包号：**）</w:t>
      </w:r>
      <w:r/>
    </w:p>
    <w:p>
      <w:pPr>
        <w:pStyle w:val="872"/>
        <w:jc w:val="center"/>
        <w:spacing w:beforeAutospacing="0" w:afterAutospacing="0" w:line="0" w:lineRule="atLeast"/>
        <w:rPr>
          <w:highlight w:val="none"/>
        </w:rPr>
      </w:pPr>
      <w:r>
        <w:rPr>
          <w:highlight w:val="none"/>
        </w:rPr>
      </w:r>
      <w:r/>
    </w:p>
    <w:p>
      <w:pPr>
        <w:pStyle w:val="872"/>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872"/>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72"/>
        <w:ind w:firstLine="480"/>
        <w:jc w:val="both"/>
        <w:keepLines w:val="0"/>
        <w:keepNext w:val="0"/>
        <w:pageBreakBefore w:val="0"/>
        <w:spacing w:beforeAutospacing="0" w:afterAutospacing="0" w:line="480" w:lineRule="exact"/>
        <w:widowControl w:val="off"/>
        <w:rPr>
          <w:color w:val="auto"/>
          <w:highlight w:val="none"/>
        </w:rPr>
      </w:pPr>
      <w:r>
        <w:rPr>
          <w:color w:val="auto"/>
          <w:highlight w:val="none"/>
        </w:rPr>
        <w:t xml:space="preserve"> </w:t>
      </w:r>
      <w:r/>
    </w:p>
    <w:p>
      <w:pPr>
        <w:pStyle w:val="872"/>
        <w:ind w:firstLine="480"/>
        <w:jc w:val="both"/>
        <w:keepLines w:val="0"/>
        <w:keepNext w:val="0"/>
        <w:pageBreakBefore w:val="0"/>
        <w:spacing w:beforeAutospacing="0" w:afterAutospacing="0" w:line="480" w:lineRule="exact"/>
        <w:widowControl w:val="off"/>
        <w:rPr>
          <w:rFonts w:hint="eastAsia" w:eastAsia="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p>
    <w:p>
      <w:pPr>
        <w:pStyle w:val="872"/>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中标人为残疾人福利单位的，此声明函将随中标结果同时公告，接受社会监督</w:t>
      </w:r>
      <w:r/>
    </w:p>
    <w:p>
      <w:pPr>
        <w:pStyle w:val="872"/>
        <w:ind w:firstLine="624"/>
        <w:jc w:val="both"/>
        <w:keepLines w:val="0"/>
        <w:keepNext w:val="0"/>
        <w:pageBreakBefore w:val="0"/>
        <w:spacing w:beforeAutospacing="0" w:afterAutospacing="0" w:line="480" w:lineRule="exact"/>
        <w:widowControl w:val="off"/>
        <w:rPr>
          <w:color w:val="auto"/>
          <w:highlight w:val="none"/>
        </w:rPr>
      </w:pPr>
      <w:r>
        <w:rPr>
          <w:color w:val="auto"/>
          <w:highlight w:val="none"/>
        </w:rPr>
        <w:t xml:space="preserve"> </w:t>
      </w:r>
      <w:r/>
    </w:p>
    <w:p>
      <w:pPr>
        <w:pStyle w:val="872"/>
        <w:ind w:firstLine="624"/>
        <w:jc w:val="both"/>
        <w:keepLines w:val="0"/>
        <w:keepNext w:val="0"/>
        <w:pageBreakBefore w:val="0"/>
        <w:spacing w:beforeAutospacing="0" w:afterAutospacing="0" w:line="480" w:lineRule="exact"/>
        <w:widowControl w:val="off"/>
        <w:rPr>
          <w:color w:val="auto"/>
          <w:highlight w:val="none"/>
        </w:rPr>
      </w:pPr>
      <w:r>
        <w:rPr>
          <w:color w:val="auto"/>
          <w:highlight w:val="none"/>
        </w:rPr>
      </w:r>
      <w:r/>
    </w:p>
    <w:p>
      <w:pPr>
        <w:pStyle w:val="872"/>
        <w:ind w:right="1560" w:firstLine="624"/>
        <w:jc w:val="center"/>
        <w:keepLines w:val="0"/>
        <w:keepNext w:val="0"/>
        <w:pageBreakBefore w:val="0"/>
        <w:spacing w:beforeAutospacing="0" w:afterAutospacing="0" w:line="480" w:lineRule="exact"/>
        <w:widowControl w:val="off"/>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72"/>
        <w:ind w:right="1560" w:firstLine="480"/>
        <w:jc w:val="center"/>
        <w:keepLines w:val="0"/>
        <w:keepNext w:val="0"/>
        <w:pageBreakBefore w:val="0"/>
        <w:spacing w:beforeAutospacing="0" w:afterAutospacing="0" w:line="480" w:lineRule="exact"/>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72"/>
        <w:ind w:right="1560" w:firstLine="480"/>
        <w:jc w:val="center"/>
        <w:keepLines w:val="0"/>
        <w:keepNext w:val="0"/>
        <w:pageBreakBefore w:val="0"/>
        <w:spacing w:beforeAutospacing="0" w:afterAutospacing="0" w:line="480" w:lineRule="exact"/>
        <w:widowControl w:val="off"/>
        <w:tabs>
          <w:tab w:val="left" w:pos="4864" w:leader="none"/>
        </w:tabs>
        <w:rPr>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期：</w:t>
      </w:r>
      <w:r/>
    </w:p>
    <w:p>
      <w:pPr>
        <w:pStyle w:val="872"/>
        <w:jc w:val="center"/>
        <w:spacing w:beforeAutospacing="0" w:afterAutospacing="0" w:line="0" w:lineRule="atLeast"/>
        <w:rPr>
          <w:color w:val="auto"/>
          <w:highlight w:val="none"/>
        </w:rPr>
      </w:pPr>
      <w:r>
        <w:rPr>
          <w:color w:val="auto"/>
          <w:highlight w:val="none"/>
        </w:rPr>
        <w:t xml:space="preserve"> </w:t>
      </w:r>
      <w:r/>
    </w:p>
    <w:p>
      <w:pPr>
        <w:pStyle w:val="872"/>
        <w:jc w:val="center"/>
        <w:spacing w:beforeAutospacing="0" w:afterAutospacing="0" w:line="0" w:lineRule="atLeast"/>
        <w:rPr>
          <w:highlight w:val="none"/>
        </w:rPr>
      </w:pPr>
      <w:r>
        <w:rPr>
          <w:highlight w:val="none"/>
        </w:rPr>
        <w:t xml:space="preserve"> </w:t>
      </w:r>
      <w:r/>
    </w:p>
    <w:p>
      <w:pPr>
        <w:pStyle w:val="872"/>
        <w:jc w:val="center"/>
        <w:spacing w:beforeAutospacing="0" w:afterAutospacing="0" w:line="0" w:lineRule="atLeast"/>
        <w:rPr>
          <w:highlight w:val="none"/>
        </w:rPr>
      </w:pPr>
      <w:r>
        <w:rPr>
          <w:highlight w:val="none"/>
        </w:rPr>
        <w:t xml:space="preserve"> </w:t>
      </w:r>
      <w:r/>
    </w:p>
    <w:p>
      <w:pPr>
        <w:pStyle w:val="872"/>
        <w:jc w:val="center"/>
        <w:spacing w:beforeAutospacing="0" w:afterAutospacing="0" w:line="0" w:lineRule="atLeast"/>
        <w:rPr>
          <w:highlight w:val="none"/>
        </w:rPr>
      </w:pPr>
      <w:r>
        <w:rPr>
          <w:highlight w:val="none"/>
        </w:rPr>
        <w:t xml:space="preserve"> </w:t>
      </w:r>
      <w:r/>
    </w:p>
    <w:p>
      <w:pPr>
        <w:pStyle w:val="872"/>
        <w:jc w:val="center"/>
        <w:spacing w:beforeAutospacing="0" w:afterAutospacing="0" w:line="0" w:lineRule="atLeast"/>
        <w:rPr>
          <w:highlight w:val="none"/>
        </w:rPr>
      </w:pPr>
      <w:r>
        <w:rPr>
          <w:highlight w:val="none"/>
        </w:rPr>
        <w:t xml:space="preserve"> </w:t>
      </w:r>
      <w:r/>
    </w:p>
    <w:p>
      <w:pPr>
        <w:pStyle w:val="872"/>
        <w:jc w:val="center"/>
        <w:spacing w:beforeAutospacing="0" w:afterAutospacing="0" w:line="0" w:lineRule="atLeast"/>
        <w:rPr>
          <w:highlight w:val="none"/>
        </w:rPr>
      </w:pPr>
      <w:r>
        <w:rPr>
          <w:highlight w:val="none"/>
        </w:rPr>
        <w:t xml:space="preserve"> </w:t>
      </w:r>
      <w:r/>
    </w:p>
    <w:p>
      <w:pPr>
        <w:pStyle w:val="872"/>
        <w:jc w:val="center"/>
        <w:spacing w:beforeAutospacing="0" w:afterAutospacing="0" w:line="0" w:lineRule="atLeast"/>
        <w:rPr>
          <w:highlight w:val="none"/>
        </w:rPr>
      </w:pPr>
      <w:r>
        <w:rPr>
          <w:highlight w:val="none"/>
        </w:rPr>
        <w:t xml:space="preserve"> </w:t>
      </w:r>
      <w:r/>
    </w:p>
    <w:p>
      <w:pPr>
        <w:pStyle w:val="872"/>
        <w:jc w:val="center"/>
        <w:spacing w:beforeAutospacing="0" w:afterAutospacing="0" w:line="0" w:lineRule="atLeast"/>
        <w:rPr>
          <w:highlight w:val="none"/>
        </w:rPr>
      </w:pPr>
      <w:r>
        <w:rPr>
          <w:highlight w:val="none"/>
        </w:rPr>
        <w:t xml:space="preserve"> </w:t>
      </w:r>
      <w:r/>
    </w:p>
    <w:p>
      <w:pPr>
        <w:pStyle w:val="872"/>
        <w:jc w:val="center"/>
        <w:spacing w:beforeAutospacing="0" w:afterAutospacing="0" w:line="0" w:lineRule="atLeast"/>
        <w:rPr>
          <w:highlight w:val="none"/>
        </w:rPr>
      </w:pPr>
      <w:r>
        <w:rPr>
          <w:highlight w:val="none"/>
        </w:rPr>
      </w:r>
      <w:r/>
    </w:p>
    <w:p>
      <w:pPr>
        <w:pStyle w:val="872"/>
        <w:jc w:val="center"/>
        <w:spacing w:beforeAutospacing="0" w:afterAutospacing="0" w:line="0" w:lineRule="atLeast"/>
        <w:rPr>
          <w:highlight w:val="none"/>
        </w:rPr>
      </w:pPr>
      <w:r>
        <w:rPr>
          <w:highlight w:val="none"/>
        </w:rPr>
      </w:r>
      <w:r/>
    </w:p>
    <w:p>
      <w:pPr>
        <w:pStyle w:val="872"/>
        <w:jc w:val="center"/>
        <w:spacing w:beforeAutospacing="0" w:afterAutospacing="0" w:line="0" w:lineRule="atLeast"/>
        <w:rPr>
          <w:highlight w:val="none"/>
        </w:rPr>
      </w:pPr>
      <w:r>
        <w:rPr>
          <w:highlight w:val="none"/>
        </w:rPr>
      </w:r>
      <w:r/>
    </w:p>
    <w:p>
      <w:pPr>
        <w:pStyle w:val="872"/>
        <w:jc w:val="center"/>
        <w:spacing w:beforeAutospacing="0" w:afterAutospacing="0" w:line="0" w:lineRule="atLeast"/>
        <w:rPr>
          <w:highlight w:val="none"/>
        </w:rPr>
      </w:pPr>
      <w:r>
        <w:rPr>
          <w:highlight w:val="none"/>
        </w:rPr>
      </w:r>
      <w:r/>
    </w:p>
    <w:p>
      <w:pPr>
        <w:pStyle w:val="872"/>
        <w:jc w:val="center"/>
        <w:spacing w:beforeAutospacing="0" w:afterAutospacing="0" w:line="0" w:lineRule="atLeast"/>
        <w:rPr>
          <w:highlight w:val="none"/>
        </w:rPr>
      </w:pPr>
      <w:r>
        <w:rPr>
          <w:highlight w:val="none"/>
        </w:rPr>
      </w:r>
      <w:r/>
    </w:p>
    <w:p>
      <w:pPr>
        <w:pStyle w:val="872"/>
        <w:jc w:val="center"/>
        <w:spacing w:beforeAutospacing="0" w:afterAutospacing="0" w:line="0" w:lineRule="atLeast"/>
        <w:rPr>
          <w:highlight w:val="none"/>
        </w:rPr>
      </w:pPr>
      <w:r>
        <w:rPr>
          <w:highlight w:val="none"/>
        </w:rPr>
      </w:r>
      <w:r/>
    </w:p>
    <w:p>
      <w:pPr>
        <w:pStyle w:val="872"/>
        <w:jc w:val="center"/>
        <w:spacing w:beforeAutospacing="0" w:afterAutospacing="0" w:line="0" w:lineRule="atLeast"/>
        <w:rPr>
          <w:highlight w:val="none"/>
        </w:rPr>
      </w:pPr>
      <w:r>
        <w:rPr>
          <w:highlight w:val="none"/>
        </w:rPr>
      </w:r>
      <w:r/>
    </w:p>
    <w:p>
      <w:pPr>
        <w:pStyle w:val="872"/>
        <w:jc w:val="center"/>
        <w:spacing w:beforeAutospacing="0" w:afterAutospacing="0" w:line="0" w:lineRule="atLeast"/>
        <w:rPr>
          <w:highlight w:val="none"/>
        </w:rPr>
      </w:pPr>
      <w:r>
        <w:rPr>
          <w:highlight w:val="none"/>
        </w:rPr>
      </w:r>
      <w:r/>
    </w:p>
    <w:p>
      <w:pPr>
        <w:pStyle w:val="872"/>
        <w:jc w:val="center"/>
        <w:spacing w:beforeAutospacing="0" w:afterAutospacing="0" w:line="0" w:lineRule="atLeast"/>
        <w:rPr>
          <w:highlight w:val="none"/>
        </w:rPr>
      </w:pPr>
      <w:r>
        <w:rPr>
          <w:highlight w:val="none"/>
        </w:rPr>
      </w:r>
      <w:r/>
    </w:p>
    <w:p>
      <w:pPr>
        <w:pStyle w:val="872"/>
        <w:jc w:val="center"/>
        <w:spacing w:beforeAutospacing="0" w:afterAutospacing="0" w:line="0" w:lineRule="atLeast"/>
        <w:rPr>
          <w:highlight w:val="none"/>
        </w:rPr>
      </w:pPr>
      <w:r>
        <w:rPr>
          <w:highlight w:val="none"/>
        </w:rPr>
      </w:r>
      <w:r/>
    </w:p>
    <w:p>
      <w:pPr>
        <w:pStyle w:val="872"/>
        <w:jc w:val="center"/>
        <w:spacing w:beforeAutospacing="0" w:afterAutospacing="0" w:line="0" w:lineRule="atLeast"/>
        <w:rPr>
          <w:highlight w:val="none"/>
        </w:rPr>
      </w:pPr>
      <w:r>
        <w:rPr>
          <w:highlight w:val="none"/>
        </w:rPr>
      </w:r>
      <w:r/>
    </w:p>
    <w:p>
      <w:pPr>
        <w:pStyle w:val="872"/>
        <w:jc w:val="center"/>
        <w:spacing w:beforeAutospacing="0" w:afterAutospacing="0" w:line="0" w:lineRule="atLeast"/>
        <w:rPr>
          <w:highlight w:val="none"/>
        </w:rPr>
      </w:pPr>
      <w:r>
        <w:rPr>
          <w:highlight w:val="none"/>
        </w:rPr>
      </w:r>
      <w:r/>
    </w:p>
    <w:p>
      <w:pPr>
        <w:pStyle w:val="872"/>
        <w:jc w:val="both"/>
        <w:spacing w:beforeAutospacing="0" w:afterAutospacing="0"/>
        <w:rPr>
          <w:highlight w:val="none"/>
        </w:rPr>
      </w:pPr>
      <w:r>
        <w:rPr>
          <w:highlight w:val="none"/>
        </w:rPr>
      </w:r>
      <w:r/>
    </w:p>
    <w:p>
      <w:pPr>
        <w:pStyle w:val="872"/>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、投标分项报价表（分包号：**）</w:t>
      </w:r>
      <w:r/>
    </w:p>
    <w:tbl>
      <w:tblPr>
        <w:tblStyle w:val="8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1"/>
        <w:gridCol w:w="2427"/>
        <w:gridCol w:w="1208"/>
        <w:gridCol w:w="955"/>
        <w:gridCol w:w="1423"/>
        <w:gridCol w:w="1692"/>
      </w:tblGrid>
      <w:tr>
        <w:trPr>
          <w:trHeight w:val="989"/>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90"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2833"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产品名称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378"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522"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842"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合价（元）</w:t>
            </w:r>
            <w:r/>
          </w:p>
        </w:tc>
      </w:tr>
      <w:tr>
        <w:trPr>
          <w:trHeight w:val="8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90"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833"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机房托管服务及机房搬迁服务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78"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522"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42"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trHeight w:val="8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90"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833"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信息技术咨询服务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78"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522"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42"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trHeight w:val="8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90"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833"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数据中心运维和卫生专网运维服务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78"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522"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42"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trHeight w:val="8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90"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833"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网络安全运维服务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78"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522"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42"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trHeight w:val="8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90"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833"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专线租赁服务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78"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522"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42"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trHeight w:val="8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90" w:type="dxa"/>
            <w:vAlign w:val="center"/>
            <w:textDirection w:val="lrTb"/>
            <w:noWrap w:val="false"/>
          </w:tcPr>
          <w:p>
            <w:pPr>
              <w:jc w:val="center"/>
              <w:spacing w:before="156" w:after="156" w:line="42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833" w:type="dxa"/>
            <w:vAlign w:val="center"/>
            <w:textDirection w:val="lrTb"/>
            <w:noWrap w:val="false"/>
          </w:tcPr>
          <w:p>
            <w:pPr>
              <w:jc w:val="center"/>
              <w:spacing w:before="156" w:after="156" w:line="42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统一应用系统运行监测维护服务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78"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522"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42" w:type="dxa"/>
            <w:vAlign w:val="center"/>
            <w:textDirection w:val="lrTb"/>
            <w:noWrap w:val="false"/>
          </w:tcPr>
          <w:p>
            <w:pPr>
              <w:jc w:val="cente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trHeight w:val="875"/>
        </w:trPr>
        <w:tc>
          <w:tcPr>
            <w:gridSpan w:val="6"/>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40" w:type="dxa"/>
            <w:vAlign w:val="center"/>
            <w:textDirection w:val="lrTb"/>
            <w:noWrap w:val="false"/>
          </w:tcPr>
          <w:p>
            <w:pPr>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总价（大写）：             </w:t>
            </w:r>
            <w:r/>
          </w:p>
        </w:tc>
      </w:tr>
    </w:tbl>
    <w:p>
      <w:pPr>
        <w:pStyle w:val="872"/>
        <w:ind w:firstLine="480"/>
        <w:jc w:val="both"/>
        <w:spacing w:beforeAutospacing="0" w:afterAutospacing="0" w:line="0" w:lineRule="atLeast"/>
        <w:rPr>
          <w:rFonts w:hint="eastAsia" w:ascii="宋体" w:hAnsi="宋体" w:eastAsia="宋体" w:cs="宋体"/>
          <w:color w:val="0000ff"/>
          <w:highlight w:val="none"/>
        </w:rPr>
      </w:pPr>
      <w:r>
        <w:rPr>
          <w:rFonts w:hint="eastAsia" w:ascii="宋体" w:hAnsi="宋体" w:eastAsia="宋体" w:cs="宋体"/>
          <w:color w:val="000000"/>
          <w:highlight w:val="none"/>
        </w:rPr>
        <w:t xml:space="preserve">备注：</w:t>
      </w:r>
      <w:r>
        <w:rPr>
          <w:rFonts w:hint="eastAsia" w:ascii="宋体" w:hAnsi="宋体" w:eastAsia="宋体" w:cs="宋体"/>
          <w:color w:val="0000ff"/>
          <w:highlight w:val="none"/>
        </w:rPr>
        <w:t xml:space="preserve">1.投标报价采用总承包方式，投标人自行与东台市卫生健康委员会联系踏勘现场，掌握有关可能影响投标报价的因素和情况综合报价，投标人的报价中包括（但不限于）人工、材料、运输、安装、调试、培训、售后服务、税费、利润、风险、机房搬迁验收之日前原机房的托管服务和运维服务等全部项目的费用，服务过程中采购人不再另行支付其他任何费用。</w:t>
      </w:r>
      <w:r/>
    </w:p>
    <w:p>
      <w:pPr>
        <w:pStyle w:val="87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 “投标分项报价表”中“投标总报价”数额应当与“开标一览表”中“投标总报价”数额一致。</w:t>
      </w:r>
      <w:r/>
    </w:p>
    <w:p>
      <w:pPr>
        <w:pStyle w:val="872"/>
        <w:ind w:firstLine="480"/>
        <w:jc w:val="both"/>
        <w:spacing w:beforeAutospacing="0" w:afterAutospacing="0" w:line="0" w:lineRule="atLeast"/>
        <w:rPr>
          <w:highlight w:val="none"/>
        </w:rPr>
      </w:pPr>
      <w:r>
        <w:rPr>
          <w:rFonts w:hint="eastAsia" w:ascii="宋体" w:hAnsi="宋体" w:eastAsia="宋体" w:cs="宋体"/>
          <w:color w:val="000000"/>
          <w:highlight w:val="none"/>
          <w:lang w:val="en-US" w:eastAsia="zh-CN"/>
        </w:rPr>
        <w:t xml:space="preserve"> </w:t>
      </w:r>
      <w:r>
        <w:rPr>
          <w:highlight w:val="none"/>
        </w:rPr>
        <w:t xml:space="preserve"> </w:t>
      </w:r>
      <w:r/>
    </w:p>
    <w:p>
      <w:pPr>
        <w:ind w:firstLine="3360"/>
        <w:spacing w:line="60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法定代表人或被授权人（签字）：</w:t>
      </w:r>
      <w:r/>
    </w:p>
    <w:p>
      <w:pPr>
        <w:ind w:firstLine="3360"/>
        <w:spacing w:line="6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企业名称（加盖CA电子公章）：</w:t>
      </w:r>
      <w:r/>
    </w:p>
    <w:p>
      <w:pPr>
        <w:ind w:firstLine="3360"/>
        <w:spacing w:line="60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Calibri" w:hAnsi="Calibri" w:eastAsia="宋体" w:cs="Times New Roman"/>
        </w:rPr>
      </w:r>
      <w:r/>
    </w:p>
    <w:p>
      <w:pPr>
        <w:ind w:firstLine="1200"/>
        <w:jc w:val="right"/>
        <w:spacing w:line="600" w:lineRule="atLeast"/>
        <w:rPr>
          <w:rFonts w:hint="eastAsia" w:ascii="黑体" w:hAnsi="宋体" w:eastAsia="黑体" w:cs="黑体"/>
          <w:b/>
          <w:color w:val="000000"/>
          <w:sz w:val="32"/>
          <w:szCs w:val="3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rPr>
          <w:rFonts w:hint="default"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年</w:t>
      </w:r>
      <w:r>
        <w:rPr>
          <w:rFonts w:hint="default"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月</w:t>
      </w:r>
      <w:r>
        <w:rPr>
          <w:rFonts w:hint="default"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日</w:t>
      </w:r>
      <w:r>
        <w:rPr>
          <w:rFonts w:hint="eastAsia" w:ascii="黑体" w:hAnsi="宋体" w:eastAsia="黑体" w:cs="黑体"/>
          <w:b/>
          <w:color w:val="000000"/>
          <w:sz w:val="32"/>
          <w:szCs w:val="32"/>
          <w:highlight w:val="none"/>
        </w:rPr>
        <w:br w:type="page" w:clear="all"/>
      </w:r>
      <w:r/>
    </w:p>
    <w:p>
      <w:pPr>
        <w:pStyle w:val="872"/>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、所供服务（服务附带的产品）内容及服务要求偏离表（分包号：**）</w:t>
      </w:r>
      <w:r/>
    </w:p>
    <w:tbl>
      <w:tblPr>
        <w:tblStyle w:val="873"/>
        <w:tblW w:w="8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4"/>
        <w:gridCol w:w="2430"/>
        <w:gridCol w:w="2600"/>
        <w:gridCol w:w="2339"/>
        <w:gridCol w:w="924"/>
      </w:tblGrid>
      <w:tr>
        <w:trPr>
          <w:jc w:val="center"/>
          <w:trHeight w:val="921"/>
        </w:trPr>
        <w:tc>
          <w:tcPr>
            <w:tcMar>
              <w:left w:w="108" w:type="dxa"/>
              <w:top w:w="0" w:type="dxa"/>
              <w:right w:w="108" w:type="dxa"/>
              <w:bottom w:w="0" w:type="dxa"/>
            </w:tcMar>
            <w:tcW w:w="474" w:type="dxa"/>
            <w:vAlign w:val="center"/>
            <w:textDirection w:val="lrTb"/>
            <w:noWrap w:val="false"/>
          </w:tcPr>
          <w:p>
            <w:pPr>
              <w:jc w:val="center"/>
              <w:spacing w:line="460" w:lineRule="atLeast"/>
              <w:rPr>
                <w:rFonts w:hint="default" w:ascii="Calibri" w:hAnsi="Calibri" w:eastAsia="宋体" w:cs="Times New Roman"/>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序号</w:t>
            </w:r>
            <w:r/>
          </w:p>
        </w:tc>
        <w:tc>
          <w:tcPr>
            <w:tcMar>
              <w:left w:w="108" w:type="dxa"/>
              <w:top w:w="0" w:type="dxa"/>
              <w:right w:w="108" w:type="dxa"/>
              <w:bottom w:w="0" w:type="dxa"/>
            </w:tcMar>
            <w:tcW w:w="2430" w:type="dxa"/>
            <w:vAlign w:val="center"/>
            <w:textDirection w:val="lrTb"/>
            <w:noWrap w:val="false"/>
          </w:tcPr>
          <w:p>
            <w:pPr>
              <w:jc w:val="center"/>
              <w:spacing w:line="460" w:lineRule="atLeast"/>
              <w:rPr>
                <w:rFonts w:hint="default" w:ascii="Calibri" w:hAnsi="Calibri" w:eastAsia="宋体" w:cs="Times New Roman"/>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指标项</w:t>
            </w:r>
            <w:r/>
          </w:p>
        </w:tc>
        <w:tc>
          <w:tcPr>
            <w:tcMar>
              <w:left w:w="108" w:type="dxa"/>
              <w:top w:w="0" w:type="dxa"/>
              <w:right w:w="108" w:type="dxa"/>
              <w:bottom w:w="0" w:type="dxa"/>
            </w:tcMar>
            <w:tcW w:w="2600" w:type="dxa"/>
            <w:vAlign w:val="center"/>
            <w:textDirection w:val="lrTb"/>
            <w:noWrap w:val="false"/>
          </w:tcPr>
          <w:p>
            <w:pPr>
              <w:jc w:val="center"/>
              <w:spacing w:line="460" w:lineRule="atLeast"/>
              <w:rPr>
                <w:rFonts w:hint="default" w:ascii="Calibri" w:hAnsi="Calibri" w:eastAsia="宋体" w:cs="Times New Roman"/>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技术规格、参数要求</w:t>
            </w:r>
            <w:r/>
          </w:p>
        </w:tc>
        <w:tc>
          <w:tcPr>
            <w:tcMar>
              <w:left w:w="108" w:type="dxa"/>
              <w:top w:w="0" w:type="dxa"/>
              <w:right w:w="108" w:type="dxa"/>
              <w:bottom w:w="0" w:type="dxa"/>
            </w:tcMar>
            <w:tcW w:w="2339" w:type="dxa"/>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所供服务（服务附带的产品）技术规格、参数要求</w:t>
            </w:r>
            <w:r/>
          </w:p>
        </w:tc>
        <w:tc>
          <w:tcPr>
            <w:tcMar>
              <w:left w:w="108" w:type="dxa"/>
              <w:top w:w="0" w:type="dxa"/>
              <w:right w:w="108" w:type="dxa"/>
              <w:bottom w:w="0" w:type="dxa"/>
            </w:tcMar>
            <w:tcW w:w="924" w:type="dxa"/>
            <w:textDirection w:val="lrTb"/>
            <w:noWrap w:val="false"/>
          </w:tcPr>
          <w:p>
            <w:pPr>
              <w:jc w:val="center"/>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偏离说明</w:t>
            </w:r>
            <w:r/>
          </w:p>
        </w:tc>
      </w:tr>
      <w:tr>
        <w:trPr>
          <w:jc w:val="center"/>
          <w:trHeight w:val="851"/>
        </w:trPr>
        <w:tc>
          <w:tcPr>
            <w:tcMar>
              <w:left w:w="108" w:type="dxa"/>
              <w:top w:w="0" w:type="dxa"/>
              <w:right w:w="108" w:type="dxa"/>
              <w:bottom w:w="0" w:type="dxa"/>
            </w:tcMar>
            <w:tcW w:w="474" w:type="dxa"/>
            <w:vAlign w:val="center"/>
            <w:textDirection w:val="lrTb"/>
            <w:noWrap w:val="false"/>
          </w:tcPr>
          <w:p>
            <w:pPr>
              <w:jc w:val="center"/>
              <w:spacing w:line="460" w:lineRule="atLeast"/>
              <w:rPr>
                <w:rFonts w:hint="default" w:ascii="Calibri" w:hAnsi="Calibri" w:eastAsia="宋体" w:cs="Times New Roman"/>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w:t>
            </w:r>
            <w:r/>
          </w:p>
        </w:tc>
        <w:tc>
          <w:tcPr>
            <w:tcMar>
              <w:left w:w="108" w:type="dxa"/>
              <w:top w:w="0" w:type="dxa"/>
              <w:right w:w="108" w:type="dxa"/>
              <w:bottom w:w="0" w:type="dxa"/>
            </w:tcMar>
            <w:tcW w:w="2430" w:type="dxa"/>
            <w:vAlign w:val="center"/>
            <w:textDirection w:val="lrTb"/>
            <w:noWrap w:val="false"/>
          </w:tcPr>
          <w:p>
            <w:pPr>
              <w:jc w:val="center"/>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机房托管服务及机房搬迁服务</w:t>
            </w:r>
            <w:r/>
          </w:p>
        </w:tc>
        <w:tc>
          <w:tcPr>
            <w:tcMar>
              <w:left w:w="108" w:type="dxa"/>
              <w:top w:w="0" w:type="dxa"/>
              <w:right w:w="108" w:type="dxa"/>
              <w:bottom w:w="0" w:type="dxa"/>
            </w:tcMar>
            <w:tcW w:w="2600" w:type="dxa"/>
            <w:vAlign w:val="center"/>
            <w:textDirection w:val="lrTb"/>
            <w:noWrap w:val="false"/>
          </w:tcPr>
          <w:p>
            <w:pPr>
              <w:jc w:val="center"/>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详见招标文件第四章</w:t>
            </w:r>
            <w:r/>
          </w:p>
        </w:tc>
        <w:tc>
          <w:tcPr>
            <w:tcMar>
              <w:left w:w="108" w:type="dxa"/>
              <w:top w:w="0" w:type="dxa"/>
              <w:right w:w="108" w:type="dxa"/>
              <w:bottom w:w="0" w:type="dxa"/>
            </w:tcMar>
            <w:tcW w:w="2339" w:type="dxa"/>
            <w:vAlign w:val="center"/>
            <w:textDirection w:val="lrTb"/>
            <w:noWrap w:val="false"/>
          </w:tcPr>
          <w:p>
            <w:pPr>
              <w:spacing w:line="460"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 </w:t>
            </w:r>
            <w:r/>
          </w:p>
        </w:tc>
        <w:tc>
          <w:tcPr>
            <w:tcMar>
              <w:left w:w="108" w:type="dxa"/>
              <w:top w:w="0" w:type="dxa"/>
              <w:right w:w="108" w:type="dxa"/>
              <w:bottom w:w="0" w:type="dxa"/>
            </w:tcMar>
            <w:tcW w:w="924" w:type="dxa"/>
            <w:vAlign w:val="center"/>
            <w:textDirection w:val="lrTb"/>
            <w:noWrap w:val="false"/>
          </w:tcPr>
          <w:p>
            <w:pPr>
              <w:spacing w:line="460"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 </w:t>
            </w:r>
            <w:r/>
          </w:p>
        </w:tc>
      </w:tr>
      <w:tr>
        <w:trPr>
          <w:jc w:val="center"/>
          <w:trHeight w:val="851"/>
        </w:trPr>
        <w:tc>
          <w:tcPr>
            <w:tcMar>
              <w:left w:w="108" w:type="dxa"/>
              <w:top w:w="0" w:type="dxa"/>
              <w:right w:w="108" w:type="dxa"/>
              <w:bottom w:w="0" w:type="dxa"/>
            </w:tcMar>
            <w:tcW w:w="474" w:type="dxa"/>
            <w:vAlign w:val="center"/>
            <w:textDirection w:val="lrTb"/>
            <w:noWrap w:val="false"/>
          </w:tcPr>
          <w:p>
            <w:pPr>
              <w:jc w:val="center"/>
              <w:spacing w:line="460" w:lineRule="atLeast"/>
              <w:rPr>
                <w:rFonts w:hint="default" w:ascii="Calibri" w:hAnsi="Calibri" w:eastAsia="宋体" w:cs="Times New Roman"/>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w:t>
            </w:r>
            <w:r/>
          </w:p>
        </w:tc>
        <w:tc>
          <w:tcPr>
            <w:tcMar>
              <w:left w:w="108" w:type="dxa"/>
              <w:top w:w="0" w:type="dxa"/>
              <w:right w:w="108" w:type="dxa"/>
              <w:bottom w:w="0" w:type="dxa"/>
            </w:tcMar>
            <w:tcW w:w="2430" w:type="dxa"/>
            <w:vAlign w:val="center"/>
            <w:textDirection w:val="lrTb"/>
            <w:noWrap w:val="false"/>
          </w:tcPr>
          <w:p>
            <w:pPr>
              <w:jc w:val="center"/>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信息技术咨询服务</w:t>
            </w:r>
            <w:r/>
          </w:p>
        </w:tc>
        <w:tc>
          <w:tcPr>
            <w:tcMar>
              <w:left w:w="108" w:type="dxa"/>
              <w:top w:w="0" w:type="dxa"/>
              <w:right w:w="108" w:type="dxa"/>
              <w:bottom w:w="0" w:type="dxa"/>
            </w:tcMar>
            <w:tcW w:w="2600" w:type="dxa"/>
            <w:vAlign w:val="center"/>
            <w:textDirection w:val="lrTb"/>
            <w:noWrap w:val="false"/>
          </w:tcPr>
          <w:p>
            <w:pPr>
              <w:jc w:val="center"/>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详见招标文件第四章</w:t>
            </w:r>
            <w:r/>
          </w:p>
        </w:tc>
        <w:tc>
          <w:tcPr>
            <w:tcMar>
              <w:left w:w="108" w:type="dxa"/>
              <w:top w:w="0" w:type="dxa"/>
              <w:right w:w="108" w:type="dxa"/>
              <w:bottom w:w="0" w:type="dxa"/>
            </w:tcMar>
            <w:tcW w:w="2339" w:type="dxa"/>
            <w:vAlign w:val="center"/>
            <w:textDirection w:val="lrTb"/>
            <w:noWrap w:val="false"/>
          </w:tcPr>
          <w:p>
            <w:pPr>
              <w:spacing w:line="460"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 </w:t>
            </w:r>
            <w:r/>
          </w:p>
        </w:tc>
        <w:tc>
          <w:tcPr>
            <w:tcMar>
              <w:left w:w="108" w:type="dxa"/>
              <w:top w:w="0" w:type="dxa"/>
              <w:right w:w="108" w:type="dxa"/>
              <w:bottom w:w="0" w:type="dxa"/>
            </w:tcMar>
            <w:tcW w:w="924" w:type="dxa"/>
            <w:vAlign w:val="center"/>
            <w:textDirection w:val="lrTb"/>
            <w:noWrap w:val="false"/>
          </w:tcPr>
          <w:p>
            <w:pPr>
              <w:spacing w:line="460"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 </w:t>
            </w:r>
            <w:r/>
          </w:p>
        </w:tc>
      </w:tr>
      <w:tr>
        <w:trPr>
          <w:jc w:val="center"/>
          <w:trHeight w:val="851"/>
        </w:trPr>
        <w:tc>
          <w:tcPr>
            <w:tcMar>
              <w:left w:w="108" w:type="dxa"/>
              <w:top w:w="0" w:type="dxa"/>
              <w:right w:w="108" w:type="dxa"/>
              <w:bottom w:w="0" w:type="dxa"/>
            </w:tcMar>
            <w:tcW w:w="474" w:type="dxa"/>
            <w:vAlign w:val="center"/>
            <w:textDirection w:val="lrTb"/>
            <w:noWrap w:val="false"/>
          </w:tcPr>
          <w:p>
            <w:pPr>
              <w:jc w:val="center"/>
              <w:spacing w:line="460" w:lineRule="atLeast"/>
              <w:rPr>
                <w:rFonts w:hint="default" w:ascii="Calibri" w:hAnsi="Calibri" w:eastAsia="宋体" w:cs="Times New Roman"/>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w:t>
            </w:r>
            <w:r/>
          </w:p>
        </w:tc>
        <w:tc>
          <w:tcPr>
            <w:tcMar>
              <w:left w:w="108" w:type="dxa"/>
              <w:top w:w="0" w:type="dxa"/>
              <w:right w:w="108" w:type="dxa"/>
              <w:bottom w:w="0" w:type="dxa"/>
            </w:tcMar>
            <w:tcW w:w="2430" w:type="dxa"/>
            <w:vAlign w:val="center"/>
            <w:textDirection w:val="lrTb"/>
            <w:noWrap w:val="false"/>
          </w:tcPr>
          <w:p>
            <w:pPr>
              <w:jc w:val="center"/>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数据中心运维和卫生专网运维服务</w:t>
            </w:r>
            <w:r/>
          </w:p>
        </w:tc>
        <w:tc>
          <w:tcPr>
            <w:tcMar>
              <w:left w:w="108" w:type="dxa"/>
              <w:top w:w="0" w:type="dxa"/>
              <w:right w:w="108" w:type="dxa"/>
              <w:bottom w:w="0" w:type="dxa"/>
            </w:tcMar>
            <w:tcW w:w="2600" w:type="dxa"/>
            <w:vAlign w:val="center"/>
            <w:textDirection w:val="lrTb"/>
            <w:noWrap w:val="false"/>
          </w:tcPr>
          <w:p>
            <w:pPr>
              <w:jc w:val="center"/>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详见招标文件第四章</w:t>
            </w:r>
            <w:r/>
          </w:p>
        </w:tc>
        <w:tc>
          <w:tcPr>
            <w:tcMar>
              <w:left w:w="108" w:type="dxa"/>
              <w:top w:w="0" w:type="dxa"/>
              <w:right w:w="108" w:type="dxa"/>
              <w:bottom w:w="0" w:type="dxa"/>
            </w:tcMar>
            <w:tcW w:w="2339" w:type="dxa"/>
            <w:vAlign w:val="center"/>
            <w:textDirection w:val="lrTb"/>
            <w:noWrap w:val="false"/>
          </w:tcPr>
          <w:p>
            <w:pPr>
              <w:spacing w:line="460"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 </w:t>
            </w:r>
            <w:r/>
          </w:p>
        </w:tc>
        <w:tc>
          <w:tcPr>
            <w:tcMar>
              <w:left w:w="108" w:type="dxa"/>
              <w:top w:w="0" w:type="dxa"/>
              <w:right w:w="108" w:type="dxa"/>
              <w:bottom w:w="0" w:type="dxa"/>
            </w:tcMar>
            <w:tcW w:w="924" w:type="dxa"/>
            <w:vAlign w:val="center"/>
            <w:textDirection w:val="lrTb"/>
            <w:noWrap w:val="false"/>
          </w:tcPr>
          <w:p>
            <w:pPr>
              <w:spacing w:line="460"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 </w:t>
            </w:r>
            <w:r/>
          </w:p>
        </w:tc>
      </w:tr>
      <w:tr>
        <w:trPr>
          <w:jc w:val="center"/>
          <w:trHeight w:val="851"/>
        </w:trPr>
        <w:tc>
          <w:tcPr>
            <w:tcMar>
              <w:left w:w="108" w:type="dxa"/>
              <w:top w:w="0" w:type="dxa"/>
              <w:right w:w="108" w:type="dxa"/>
              <w:bottom w:w="0" w:type="dxa"/>
            </w:tcMar>
            <w:tcW w:w="474" w:type="dxa"/>
            <w:vAlign w:val="center"/>
            <w:textDirection w:val="lrTb"/>
            <w:noWrap w:val="false"/>
          </w:tcPr>
          <w:p>
            <w:pPr>
              <w:jc w:val="center"/>
              <w:spacing w:line="460" w:lineRule="atLeast"/>
              <w:rPr>
                <w:rFonts w:hint="default" w:ascii="Calibri" w:hAnsi="Calibri" w:eastAsia="宋体" w:cs="Times New Roman"/>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w:t>
            </w:r>
            <w:r/>
          </w:p>
        </w:tc>
        <w:tc>
          <w:tcPr>
            <w:tcMar>
              <w:left w:w="108" w:type="dxa"/>
              <w:top w:w="0" w:type="dxa"/>
              <w:right w:w="108" w:type="dxa"/>
              <w:bottom w:w="0" w:type="dxa"/>
            </w:tcMar>
            <w:tcW w:w="2430" w:type="dxa"/>
            <w:vAlign w:val="center"/>
            <w:textDirection w:val="lrTb"/>
            <w:noWrap w:val="false"/>
          </w:tcPr>
          <w:p>
            <w:pPr>
              <w:jc w:val="center"/>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网络安全运维服务</w:t>
            </w:r>
            <w:r/>
          </w:p>
        </w:tc>
        <w:tc>
          <w:tcPr>
            <w:tcMar>
              <w:left w:w="108" w:type="dxa"/>
              <w:top w:w="0" w:type="dxa"/>
              <w:right w:w="108" w:type="dxa"/>
              <w:bottom w:w="0" w:type="dxa"/>
            </w:tcMar>
            <w:tcW w:w="2600" w:type="dxa"/>
            <w:vAlign w:val="center"/>
            <w:textDirection w:val="lrTb"/>
            <w:noWrap w:val="false"/>
          </w:tcPr>
          <w:p>
            <w:pPr>
              <w:jc w:val="center"/>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详见招标文件第四章</w:t>
            </w:r>
            <w:r/>
          </w:p>
        </w:tc>
        <w:tc>
          <w:tcPr>
            <w:tcMar>
              <w:left w:w="108" w:type="dxa"/>
              <w:top w:w="0" w:type="dxa"/>
              <w:right w:w="108" w:type="dxa"/>
              <w:bottom w:w="0" w:type="dxa"/>
            </w:tcMar>
            <w:tcW w:w="2339" w:type="dxa"/>
            <w:vAlign w:val="center"/>
            <w:textDirection w:val="lrTb"/>
            <w:noWrap w:val="false"/>
          </w:tcPr>
          <w:p>
            <w:pPr>
              <w:spacing w:line="460"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 </w:t>
            </w:r>
            <w:r/>
          </w:p>
        </w:tc>
        <w:tc>
          <w:tcPr>
            <w:tcMar>
              <w:left w:w="108" w:type="dxa"/>
              <w:top w:w="0" w:type="dxa"/>
              <w:right w:w="108" w:type="dxa"/>
              <w:bottom w:w="0" w:type="dxa"/>
            </w:tcMar>
            <w:tcW w:w="924" w:type="dxa"/>
            <w:vAlign w:val="center"/>
            <w:textDirection w:val="lrTb"/>
            <w:noWrap w:val="false"/>
          </w:tcPr>
          <w:p>
            <w:pPr>
              <w:spacing w:line="460"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 </w:t>
            </w:r>
            <w:r/>
          </w:p>
        </w:tc>
      </w:tr>
      <w:tr>
        <w:trPr>
          <w:jc w:val="center"/>
          <w:trHeight w:val="851"/>
        </w:trPr>
        <w:tc>
          <w:tcPr>
            <w:tcMar>
              <w:left w:w="108" w:type="dxa"/>
              <w:top w:w="0" w:type="dxa"/>
              <w:right w:w="108" w:type="dxa"/>
              <w:bottom w:w="0" w:type="dxa"/>
            </w:tcMar>
            <w:tcW w:w="474" w:type="dxa"/>
            <w:vAlign w:val="center"/>
            <w:textDirection w:val="lrTb"/>
            <w:noWrap w:val="false"/>
          </w:tcPr>
          <w:p>
            <w:pPr>
              <w:jc w:val="center"/>
              <w:spacing w:line="460" w:lineRule="atLeast"/>
              <w:rPr>
                <w:rFonts w:hint="default" w:ascii="Calibri" w:hAnsi="Calibri" w:eastAsia="宋体" w:cs="Times New Roman"/>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w:t>
            </w:r>
            <w:r/>
          </w:p>
        </w:tc>
        <w:tc>
          <w:tcPr>
            <w:tcMar>
              <w:left w:w="108" w:type="dxa"/>
              <w:top w:w="0" w:type="dxa"/>
              <w:right w:w="108" w:type="dxa"/>
              <w:bottom w:w="0" w:type="dxa"/>
            </w:tcMar>
            <w:tcW w:w="2430" w:type="dxa"/>
            <w:vAlign w:val="center"/>
            <w:textDirection w:val="lrTb"/>
            <w:noWrap w:val="false"/>
          </w:tcPr>
          <w:p>
            <w:pPr>
              <w:jc w:val="center"/>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专线租赁服务</w:t>
            </w:r>
            <w:r/>
          </w:p>
        </w:tc>
        <w:tc>
          <w:tcPr>
            <w:tcMar>
              <w:left w:w="108" w:type="dxa"/>
              <w:top w:w="0" w:type="dxa"/>
              <w:right w:w="108" w:type="dxa"/>
              <w:bottom w:w="0" w:type="dxa"/>
            </w:tcMar>
            <w:tcW w:w="2600" w:type="dxa"/>
            <w:vAlign w:val="center"/>
            <w:textDirection w:val="lrTb"/>
            <w:noWrap w:val="false"/>
          </w:tcPr>
          <w:p>
            <w:pPr>
              <w:jc w:val="center"/>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详见招标文件第四章</w:t>
            </w:r>
            <w:r/>
          </w:p>
        </w:tc>
        <w:tc>
          <w:tcPr>
            <w:tcMar>
              <w:left w:w="108" w:type="dxa"/>
              <w:top w:w="0" w:type="dxa"/>
              <w:right w:w="108" w:type="dxa"/>
              <w:bottom w:w="0" w:type="dxa"/>
            </w:tcMar>
            <w:tcW w:w="2339" w:type="dxa"/>
            <w:vAlign w:val="center"/>
            <w:textDirection w:val="lrTb"/>
            <w:noWrap w:val="false"/>
          </w:tcPr>
          <w:p>
            <w:pPr>
              <w:spacing w:line="460"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 </w:t>
            </w:r>
            <w:r/>
          </w:p>
        </w:tc>
        <w:tc>
          <w:tcPr>
            <w:tcMar>
              <w:left w:w="108" w:type="dxa"/>
              <w:top w:w="0" w:type="dxa"/>
              <w:right w:w="108" w:type="dxa"/>
              <w:bottom w:w="0" w:type="dxa"/>
            </w:tcMar>
            <w:tcW w:w="924" w:type="dxa"/>
            <w:vAlign w:val="center"/>
            <w:textDirection w:val="lrTb"/>
            <w:noWrap w:val="false"/>
          </w:tcPr>
          <w:p>
            <w:pPr>
              <w:spacing w:line="460"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 </w:t>
            </w:r>
            <w:r/>
          </w:p>
        </w:tc>
      </w:tr>
      <w:tr>
        <w:trPr>
          <w:jc w:val="center"/>
          <w:trHeight w:val="851"/>
        </w:trPr>
        <w:tc>
          <w:tcPr>
            <w:tcMar>
              <w:left w:w="108" w:type="dxa"/>
              <w:top w:w="0" w:type="dxa"/>
              <w:right w:w="108" w:type="dxa"/>
              <w:bottom w:w="0" w:type="dxa"/>
            </w:tcMar>
            <w:tcW w:w="474" w:type="dxa"/>
            <w:vAlign w:val="center"/>
            <w:textDirection w:val="lrTb"/>
            <w:noWrap w:val="false"/>
          </w:tcPr>
          <w:p>
            <w:pPr>
              <w:jc w:val="center"/>
              <w:spacing w:line="460" w:lineRule="atLeast"/>
              <w:rPr>
                <w:rFonts w:hint="default" w:ascii="Calibri" w:hAnsi="Calibri" w:eastAsia="宋体" w:cs="Times New Roman"/>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6</w:t>
            </w:r>
            <w:r/>
          </w:p>
        </w:tc>
        <w:tc>
          <w:tcPr>
            <w:tcMar>
              <w:left w:w="108" w:type="dxa"/>
              <w:top w:w="0" w:type="dxa"/>
              <w:right w:w="108" w:type="dxa"/>
              <w:bottom w:w="0" w:type="dxa"/>
            </w:tcMar>
            <w:tcW w:w="2430" w:type="dxa"/>
            <w:vAlign w:val="center"/>
            <w:textDirection w:val="lrTb"/>
            <w:noWrap w:val="false"/>
          </w:tcPr>
          <w:p>
            <w:pPr>
              <w:jc w:val="center"/>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统一应用系统运行监测维护服务</w:t>
            </w:r>
            <w:r/>
          </w:p>
        </w:tc>
        <w:tc>
          <w:tcPr>
            <w:tcMar>
              <w:left w:w="108" w:type="dxa"/>
              <w:top w:w="0" w:type="dxa"/>
              <w:right w:w="108" w:type="dxa"/>
              <w:bottom w:w="0" w:type="dxa"/>
            </w:tcMar>
            <w:tcW w:w="2600" w:type="dxa"/>
            <w:vAlign w:val="center"/>
            <w:textDirection w:val="lrTb"/>
            <w:noWrap w:val="false"/>
          </w:tcPr>
          <w:p>
            <w:pPr>
              <w:jc w:val="center"/>
              <w:spacing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详见招标文件第四章</w:t>
            </w:r>
            <w:r/>
          </w:p>
        </w:tc>
        <w:tc>
          <w:tcPr>
            <w:tcMar>
              <w:left w:w="108" w:type="dxa"/>
              <w:top w:w="0" w:type="dxa"/>
              <w:right w:w="108" w:type="dxa"/>
              <w:bottom w:w="0" w:type="dxa"/>
            </w:tcMar>
            <w:tcW w:w="2339" w:type="dxa"/>
            <w:vAlign w:val="center"/>
            <w:textDirection w:val="lrTb"/>
            <w:noWrap w:val="false"/>
          </w:tcPr>
          <w:p>
            <w:pPr>
              <w:spacing w:line="460"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 </w:t>
            </w:r>
            <w:r/>
          </w:p>
        </w:tc>
        <w:tc>
          <w:tcPr>
            <w:tcMar>
              <w:left w:w="108" w:type="dxa"/>
              <w:top w:w="0" w:type="dxa"/>
              <w:right w:w="108" w:type="dxa"/>
              <w:bottom w:w="0" w:type="dxa"/>
            </w:tcMar>
            <w:tcW w:w="924" w:type="dxa"/>
            <w:vAlign w:val="center"/>
            <w:textDirection w:val="lrTb"/>
            <w:noWrap w:val="false"/>
          </w:tcPr>
          <w:p>
            <w:pPr>
              <w:spacing w:line="460"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 </w:t>
            </w:r>
            <w:r/>
          </w:p>
        </w:tc>
      </w:tr>
    </w:tbl>
    <w:p>
      <w:pPr>
        <w:pStyle w:val="872"/>
        <w:jc w:val="center"/>
        <w:spacing w:beforeAutospacing="0" w:afterAutospacing="0"/>
        <w:rPr>
          <w:highlight w:val="none"/>
        </w:rPr>
      </w:pPr>
      <w:r>
        <w:rPr>
          <w:highlight w:val="none"/>
        </w:rPr>
        <w:t xml:space="preserve"> </w:t>
      </w:r>
      <w:r/>
    </w:p>
    <w:p>
      <w:pPr>
        <w:spacing w:line="43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 </w:t>
      </w:r>
      <w:r>
        <w:rPr>
          <w:rFonts w:hint="default" w:ascii="宋体" w:hAnsi="宋体" w:eastAsia="宋体" w:cs="宋体"/>
          <w:color w:val="000000"/>
          <w:sz w:val="24"/>
        </w:rPr>
        <w:t xml:space="preserve">注</w:t>
      </w:r>
      <w:r>
        <w:rPr>
          <w:rFonts w:hint="eastAsia" w:ascii="宋体" w:hAnsi="宋体" w:eastAsia="宋体" w:cs="宋体"/>
          <w:color w:val="000000"/>
          <w:sz w:val="24"/>
        </w:rPr>
        <w:t xml:space="preserve">：</w:t>
      </w:r>
      <w:r>
        <w:rPr>
          <w:rFonts w:hint="default" w:ascii="宋体" w:hAnsi="宋体" w:eastAsia="宋体" w:cs="宋体"/>
          <w:color w:val="000000"/>
          <w:sz w:val="24"/>
        </w:rPr>
        <w:t xml:space="preserve">1、该表必须按照招标文件要求逐条如实填写，根据所供产品情况在“偏离说明”项填写正偏离或负偏离及原因，完全符合的填写“无偏离”。</w:t>
      </w:r>
      <w:r/>
    </w:p>
    <w:p>
      <w:pPr>
        <w:ind w:firstLine="420"/>
        <w:spacing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yellow"/>
        </w:rPr>
        <w:t xml:space="preserve">2、本项不接受负偏离，负偏离作无效标处理。</w:t>
      </w:r>
      <w:r/>
    </w:p>
    <w:p>
      <w:pPr>
        <w:pStyle w:val="872"/>
        <w:jc w:val="center"/>
        <w:spacing w:beforeAutospacing="0" w:afterAutospacing="0"/>
        <w:rPr>
          <w:highlight w:val="none"/>
        </w:rPr>
      </w:pPr>
      <w:r>
        <w:rPr>
          <w:highlight w:val="none"/>
        </w:rPr>
        <w:t xml:space="preserve"> </w:t>
      </w:r>
      <w:r/>
    </w:p>
    <w:p>
      <w:pPr>
        <w:pStyle w:val="872"/>
        <w:jc w:val="center"/>
        <w:spacing w:beforeAutospacing="0" w:afterAutospacing="0"/>
        <w:rPr>
          <w:highlight w:val="none"/>
        </w:rPr>
      </w:pPr>
      <w:r>
        <w:rPr>
          <w:highlight w:val="none"/>
        </w:rPr>
        <w:t xml:space="preserve"> </w:t>
      </w:r>
      <w:r/>
    </w:p>
    <w:p>
      <w:pPr>
        <w:pStyle w:val="872"/>
        <w:jc w:val="center"/>
        <w:spacing w:beforeAutospacing="0" w:afterAutospacing="0"/>
        <w:rPr>
          <w:highlight w:val="none"/>
        </w:rPr>
      </w:pPr>
      <w:r>
        <w:rPr>
          <w:highlight w:val="none"/>
        </w:rPr>
        <w:t xml:space="preserve"> </w:t>
      </w:r>
      <w:r/>
    </w:p>
    <w:p>
      <w:pPr>
        <w:ind w:firstLine="3780"/>
        <w:spacing w:line="439"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highlight w:val="none"/>
        </w:rPr>
        <w:t xml:space="preserve"> </w:t>
      </w:r>
      <w:r>
        <w:rPr>
          <w:rFonts w:hint="default" w:ascii="宋体" w:hAnsi="宋体" w:eastAsia="宋体" w:cs="宋体"/>
          <w:color w:val="000000"/>
          <w:sz w:val="24"/>
        </w:rPr>
        <w:t xml:space="preserve">法定代表人或被授权人签字： </w:t>
      </w:r>
      <w:r/>
    </w:p>
    <w:p>
      <w:pPr>
        <w:ind w:firstLine="3840"/>
        <w:spacing w:line="46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r>
      <w:r/>
    </w:p>
    <w:p>
      <w:pPr>
        <w:ind w:firstLine="3840"/>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企业名称（加盖CA电子公章）： </w:t>
      </w:r>
      <w:r/>
    </w:p>
    <w:p>
      <w:pPr>
        <w:ind w:firstLine="4320"/>
        <w:spacing w:line="460" w:lineRule="atLeast"/>
        <w:rPr>
          <w:rFonts w:hint="default"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u w:val="single"/>
        </w:rPr>
      </w:r>
      <w:r/>
    </w:p>
    <w:p>
      <w:pPr>
        <w:ind w:firstLine="4320"/>
        <w:spacing w:line="460" w:lineRule="atLeast"/>
        <w:rPr>
          <w:rFonts w:hint="default"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u w:val="single"/>
        </w:rPr>
      </w:r>
      <w:r/>
    </w:p>
    <w:p>
      <w:pPr>
        <w:ind w:firstLine="5176"/>
        <w:spacing w:line="460" w:lineRule="atLeast"/>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年</w:t>
      </w:r>
      <w:r>
        <w:rPr>
          <w:rFonts w:hint="default"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月</w:t>
      </w:r>
      <w:r>
        <w:rPr>
          <w:rFonts w:hint="eastAsia" w:ascii="宋体" w:hAnsi="宋体" w:eastAsia="宋体" w:cs="宋体"/>
          <w:color w:val="000000"/>
          <w:sz w:val="24"/>
          <w:u w:val="single"/>
          <w:lang w:val="en-US" w:eastAsia="zh-CN"/>
        </w:rPr>
        <w:t xml:space="preserve">  </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日</w:t>
      </w:r>
      <w:r/>
    </w:p>
    <w:p>
      <w:pPr>
        <w:pStyle w:val="872"/>
        <w:jc w:val="both"/>
        <w:spacing w:beforeAutospacing="0" w:afterAutospacing="0"/>
        <w:rPr>
          <w:highlight w:val="none"/>
        </w:rPr>
      </w:pPr>
      <w:r>
        <w:rPr>
          <w:highlight w:val="none"/>
        </w:rPr>
      </w:r>
      <w:r/>
    </w:p>
    <w:p>
      <w:pPr>
        <w:pStyle w:val="872"/>
        <w:jc w:val="center"/>
        <w:spacing w:beforeAutospacing="0" w:afterAutospacing="0"/>
        <w:rPr>
          <w:color w:val="auto"/>
          <w:highlight w:val="none"/>
        </w:rPr>
      </w:pPr>
      <w:r/>
      <w:bookmarkStart w:id="193" w:name="_Hlt26609389"/>
      <w:r/>
      <w:bookmarkStart w:id="194" w:name="_Hlt26955054"/>
      <w:r/>
      <w:bookmarkStart w:id="195" w:name="_Hlt26955066"/>
      <w:r/>
      <w:bookmarkStart w:id="196" w:name="_Toc462564146"/>
      <w:r/>
      <w:bookmarkStart w:id="197" w:name="_格式2__法定代表人授权书"/>
      <w:r/>
      <w:bookmarkStart w:id="198" w:name="_Hlt26671374"/>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五</w:t>
      </w:r>
      <w:r>
        <w:rPr>
          <w:rFonts w:hint="eastAsia" w:ascii="黑体" w:hAnsi="宋体" w:eastAsia="黑体" w:cs="黑体"/>
          <w:b/>
          <w:i/>
          <w:color w:val="auto"/>
          <w:sz w:val="32"/>
          <w:szCs w:val="32"/>
          <w:highlight w:val="none"/>
          <w:u w:val="single"/>
        </w:rPr>
        <w:t xml:space="preserve">、开标一览表</w:t>
      </w:r>
      <w:r/>
    </w:p>
    <w:p>
      <w:pPr>
        <w:pStyle w:val="872"/>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872"/>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87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872"/>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866"/>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72"/>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72"/>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72"/>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872"/>
        <w:jc w:val="both"/>
        <w:spacing w:beforeAutospacing="0" w:afterAutospacing="0"/>
        <w:rPr>
          <w:color w:val="auto"/>
          <w:highlight w:val="none"/>
        </w:rPr>
      </w:pPr>
      <w:r>
        <w:rPr>
          <w:color w:val="auto"/>
          <w:highlight w:val="none"/>
        </w:rPr>
        <w:t xml:space="preserve"> </w:t>
      </w:r>
      <w:r/>
    </w:p>
    <w:p>
      <w:pPr>
        <w:pStyle w:val="872"/>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72"/>
        <w:ind w:firstLine="480"/>
        <w:jc w:val="both"/>
        <w:spacing w:beforeAutospacing="0" w:afterAutospacing="0"/>
        <w:rPr>
          <w:highlight w:val="none"/>
        </w:rPr>
      </w:pPr>
      <w:r>
        <w:rPr>
          <w:highlight w:val="none"/>
        </w:rPr>
        <w:t xml:space="preserve"> </w:t>
      </w:r>
      <w:r/>
    </w:p>
    <w:p>
      <w:pPr>
        <w:pStyle w:val="87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pStyle w:val="867"/>
        <w:rPr>
          <w:highlight w:val="none"/>
        </w:rPr>
      </w:pPr>
      <w:r>
        <w:rPr>
          <w:highlight w:val="none"/>
        </w:rPr>
      </w:r>
      <w:r/>
    </w:p>
    <w:p>
      <w:pPr>
        <w:pStyle w:val="867"/>
        <w:rPr>
          <w:highlight w:val="none"/>
        </w:rPr>
      </w:pPr>
      <w:r>
        <w:rPr>
          <w:highlight w:val="none"/>
        </w:rPr>
      </w:r>
      <w:r/>
    </w:p>
    <w:p>
      <w:pPr>
        <w:pStyle w:val="867"/>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sz w:val="24"/>
          <w:highlight w:val="none"/>
          <w:lang w:val="en-US" w:eastAsia="zh-CN"/>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六</w:t>
      </w:r>
      <w:r>
        <w:rPr>
          <w:rFonts w:hint="eastAsia" w:ascii="宋体" w:hAnsi="宋体" w:eastAsia="宋体" w:cs="宋体"/>
          <w:b/>
          <w:bCs/>
          <w:color w:val="000000"/>
          <w:sz w:val="32"/>
          <w:szCs w:val="32"/>
          <w:highlight w:val="none"/>
        </w:rPr>
        <w:t xml:space="preserve">、技术方</w:t>
      </w:r>
      <w:r>
        <w:rPr>
          <w:rFonts w:hint="eastAsia" w:ascii="宋体" w:hAnsi="宋体" w:eastAsia="宋体" w:cs="宋体"/>
          <w:b/>
          <w:bCs/>
          <w:color w:val="000000"/>
          <w:sz w:val="32"/>
          <w:szCs w:val="32"/>
          <w:highlight w:val="none"/>
          <w:lang w:val="en-US" w:eastAsia="zh-CN"/>
        </w:rPr>
        <w:t xml:space="preserve">案</w:t>
      </w:r>
      <w:r/>
    </w:p>
    <w:p>
      <w:pPr>
        <w:pStyle w:val="872"/>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七</w:t>
      </w:r>
      <w:r>
        <w:rPr>
          <w:rFonts w:hint="eastAsia" w:ascii="宋体" w:hAnsi="宋体" w:eastAsia="宋体" w:cs="宋体"/>
          <w:b/>
          <w:bCs/>
          <w:color w:val="000000"/>
          <w:sz w:val="32"/>
          <w:szCs w:val="32"/>
          <w:highlight w:val="none"/>
        </w:rPr>
        <w:t xml:space="preserve">、盐城市政府采购事前信用承诺书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p>
    <w:p>
      <w:pPr>
        <w:jc w:val="center"/>
        <w:spacing w:line="499" w:lineRule="atLeast"/>
        <w:widowControl/>
        <w:rPr>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0"/>
      <w:r/>
      <w:bookmarkEnd w:id="183"/>
      <w:r/>
      <w:bookmarkEnd w:id="187"/>
      <w:r/>
      <w:bookmarkEnd w:id="188"/>
      <w:r/>
      <w:bookmarkEnd w:id="190"/>
      <w:r/>
      <w:bookmarkEnd w:id="191"/>
      <w:r/>
      <w:bookmarkEnd w:id="192"/>
      <w:r/>
      <w:bookmarkEnd w:id="193"/>
      <w:r/>
      <w:bookmarkEnd w:id="194"/>
      <w:r/>
      <w:bookmarkEnd w:id="195"/>
      <w:r/>
      <w:bookmarkEnd w:id="196"/>
      <w:r/>
      <w:bookmarkEnd w:id="197"/>
      <w:r/>
      <w:bookmarkEnd w:id="198"/>
      <w:r/>
      <w:r/>
    </w:p>
    <w:p>
      <w:pPr>
        <w:pStyle w:val="872"/>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72"/>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7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7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7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7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7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7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7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7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7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72"/>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7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7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7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7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7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72"/>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72"/>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7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7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7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7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7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72"/>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863"/>
    <w:next w:val="863"/>
    <w:link w:val="690"/>
    <w:uiPriority w:val="9"/>
    <w:qFormat/>
    <w:pPr>
      <w:keepLines/>
      <w:keepNext/>
      <w:spacing w:before="480" w:after="200"/>
      <w:outlineLvl w:val="0"/>
    </w:pPr>
    <w:rPr>
      <w:rFonts w:ascii="Arial" w:hAnsi="Arial" w:eastAsia="Arial" w:cs="Arial"/>
      <w:sz w:val="40"/>
      <w:szCs w:val="40"/>
    </w:rPr>
  </w:style>
  <w:style w:type="character" w:styleId="690">
    <w:name w:val="Heading 1 Char"/>
    <w:basedOn w:val="865"/>
    <w:link w:val="689"/>
    <w:uiPriority w:val="9"/>
    <w:rPr>
      <w:rFonts w:ascii="Arial" w:hAnsi="Arial" w:eastAsia="Arial" w:cs="Arial"/>
      <w:sz w:val="40"/>
      <w:szCs w:val="40"/>
    </w:rPr>
  </w:style>
  <w:style w:type="character" w:styleId="691">
    <w:name w:val="Heading 2 Char"/>
    <w:basedOn w:val="865"/>
    <w:link w:val="864"/>
    <w:uiPriority w:val="9"/>
    <w:rPr>
      <w:rFonts w:ascii="Arial" w:hAnsi="Arial" w:eastAsia="Arial" w:cs="Arial"/>
      <w:sz w:val="34"/>
    </w:rPr>
  </w:style>
  <w:style w:type="paragraph" w:styleId="692">
    <w:name w:val="Heading 3"/>
    <w:basedOn w:val="863"/>
    <w:next w:val="863"/>
    <w:link w:val="693"/>
    <w:uiPriority w:val="9"/>
    <w:unhideWhenUsed/>
    <w:qFormat/>
    <w:pPr>
      <w:keepLines/>
      <w:keepNext/>
      <w:spacing w:before="320" w:after="200"/>
      <w:outlineLvl w:val="2"/>
    </w:pPr>
    <w:rPr>
      <w:rFonts w:ascii="Arial" w:hAnsi="Arial" w:eastAsia="Arial" w:cs="Arial"/>
      <w:sz w:val="30"/>
      <w:szCs w:val="30"/>
    </w:rPr>
  </w:style>
  <w:style w:type="character" w:styleId="693">
    <w:name w:val="Heading 3 Char"/>
    <w:basedOn w:val="865"/>
    <w:link w:val="692"/>
    <w:uiPriority w:val="9"/>
    <w:rPr>
      <w:rFonts w:ascii="Arial" w:hAnsi="Arial" w:eastAsia="Arial" w:cs="Arial"/>
      <w:sz w:val="30"/>
      <w:szCs w:val="30"/>
    </w:rPr>
  </w:style>
  <w:style w:type="paragraph" w:styleId="694">
    <w:name w:val="Heading 4"/>
    <w:basedOn w:val="863"/>
    <w:next w:val="863"/>
    <w:link w:val="695"/>
    <w:uiPriority w:val="9"/>
    <w:unhideWhenUsed/>
    <w:qFormat/>
    <w:pPr>
      <w:keepLines/>
      <w:keepNext/>
      <w:spacing w:before="320" w:after="200"/>
      <w:outlineLvl w:val="3"/>
    </w:pPr>
    <w:rPr>
      <w:rFonts w:ascii="Arial" w:hAnsi="Arial" w:eastAsia="Arial" w:cs="Arial"/>
      <w:b/>
      <w:bCs/>
      <w:sz w:val="26"/>
      <w:szCs w:val="26"/>
    </w:rPr>
  </w:style>
  <w:style w:type="character" w:styleId="695">
    <w:name w:val="Heading 4 Char"/>
    <w:basedOn w:val="865"/>
    <w:link w:val="694"/>
    <w:uiPriority w:val="9"/>
    <w:rPr>
      <w:rFonts w:ascii="Arial" w:hAnsi="Arial" w:eastAsia="Arial" w:cs="Arial"/>
      <w:b/>
      <w:bCs/>
      <w:sz w:val="26"/>
      <w:szCs w:val="26"/>
    </w:rPr>
  </w:style>
  <w:style w:type="paragraph" w:styleId="696">
    <w:name w:val="Heading 5"/>
    <w:basedOn w:val="863"/>
    <w:next w:val="863"/>
    <w:link w:val="697"/>
    <w:uiPriority w:val="9"/>
    <w:unhideWhenUsed/>
    <w:qFormat/>
    <w:pPr>
      <w:keepLines/>
      <w:keepNext/>
      <w:spacing w:before="320" w:after="200"/>
      <w:outlineLvl w:val="4"/>
    </w:pPr>
    <w:rPr>
      <w:rFonts w:ascii="Arial" w:hAnsi="Arial" w:eastAsia="Arial" w:cs="Arial"/>
      <w:b/>
      <w:bCs/>
      <w:sz w:val="24"/>
      <w:szCs w:val="24"/>
    </w:rPr>
  </w:style>
  <w:style w:type="character" w:styleId="697">
    <w:name w:val="Heading 5 Char"/>
    <w:basedOn w:val="865"/>
    <w:link w:val="696"/>
    <w:uiPriority w:val="9"/>
    <w:rPr>
      <w:rFonts w:ascii="Arial" w:hAnsi="Arial" w:eastAsia="Arial" w:cs="Arial"/>
      <w:b/>
      <w:bCs/>
      <w:sz w:val="24"/>
      <w:szCs w:val="24"/>
    </w:rPr>
  </w:style>
  <w:style w:type="paragraph" w:styleId="698">
    <w:name w:val="Heading 6"/>
    <w:basedOn w:val="863"/>
    <w:next w:val="863"/>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Heading 6 Char"/>
    <w:basedOn w:val="865"/>
    <w:link w:val="698"/>
    <w:uiPriority w:val="9"/>
    <w:rPr>
      <w:rFonts w:ascii="Arial" w:hAnsi="Arial" w:eastAsia="Arial" w:cs="Arial"/>
      <w:b/>
      <w:bCs/>
      <w:sz w:val="22"/>
      <w:szCs w:val="22"/>
    </w:rPr>
  </w:style>
  <w:style w:type="paragraph" w:styleId="700">
    <w:name w:val="Heading 7"/>
    <w:basedOn w:val="863"/>
    <w:next w:val="863"/>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Heading 7 Char"/>
    <w:basedOn w:val="865"/>
    <w:link w:val="700"/>
    <w:uiPriority w:val="9"/>
    <w:rPr>
      <w:rFonts w:ascii="Arial" w:hAnsi="Arial" w:eastAsia="Arial" w:cs="Arial"/>
      <w:b/>
      <w:bCs/>
      <w:i/>
      <w:iCs/>
      <w:sz w:val="22"/>
      <w:szCs w:val="22"/>
    </w:rPr>
  </w:style>
  <w:style w:type="paragraph" w:styleId="702">
    <w:name w:val="Heading 8"/>
    <w:basedOn w:val="863"/>
    <w:next w:val="863"/>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basedOn w:val="865"/>
    <w:link w:val="702"/>
    <w:uiPriority w:val="9"/>
    <w:rPr>
      <w:rFonts w:ascii="Arial" w:hAnsi="Arial" w:eastAsia="Arial" w:cs="Arial"/>
      <w:i/>
      <w:iCs/>
      <w:sz w:val="22"/>
      <w:szCs w:val="22"/>
    </w:rPr>
  </w:style>
  <w:style w:type="paragraph" w:styleId="704">
    <w:name w:val="Heading 9"/>
    <w:basedOn w:val="863"/>
    <w:next w:val="863"/>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basedOn w:val="865"/>
    <w:link w:val="704"/>
    <w:uiPriority w:val="9"/>
    <w:rPr>
      <w:rFonts w:ascii="Arial" w:hAnsi="Arial" w:eastAsia="Arial" w:cs="Arial"/>
      <w:i/>
      <w:iCs/>
      <w:sz w:val="21"/>
      <w:szCs w:val="21"/>
    </w:rPr>
  </w:style>
  <w:style w:type="paragraph" w:styleId="706">
    <w:name w:val="List Paragraph"/>
    <w:basedOn w:val="863"/>
    <w:uiPriority w:val="34"/>
    <w:qFormat/>
    <w:pPr>
      <w:contextualSpacing/>
      <w:ind w:left="720"/>
    </w:pPr>
  </w:style>
  <w:style w:type="paragraph" w:styleId="707">
    <w:name w:val="No Spacing"/>
    <w:uiPriority w:val="1"/>
    <w:qFormat/>
    <w:pPr>
      <w:spacing w:before="0" w:after="0" w:line="240" w:lineRule="auto"/>
    </w:pPr>
  </w:style>
  <w:style w:type="paragraph" w:styleId="708">
    <w:name w:val="Title"/>
    <w:basedOn w:val="863"/>
    <w:next w:val="863"/>
    <w:link w:val="709"/>
    <w:uiPriority w:val="10"/>
    <w:qFormat/>
    <w:pPr>
      <w:contextualSpacing/>
      <w:spacing w:before="300" w:after="200"/>
    </w:pPr>
    <w:rPr>
      <w:sz w:val="48"/>
      <w:szCs w:val="48"/>
    </w:rPr>
  </w:style>
  <w:style w:type="character" w:styleId="709">
    <w:name w:val="Title Char"/>
    <w:basedOn w:val="865"/>
    <w:link w:val="708"/>
    <w:uiPriority w:val="10"/>
    <w:rPr>
      <w:sz w:val="48"/>
      <w:szCs w:val="48"/>
    </w:rPr>
  </w:style>
  <w:style w:type="paragraph" w:styleId="710">
    <w:name w:val="Subtitle"/>
    <w:basedOn w:val="863"/>
    <w:next w:val="863"/>
    <w:link w:val="711"/>
    <w:uiPriority w:val="11"/>
    <w:qFormat/>
    <w:pPr>
      <w:spacing w:before="200" w:after="200"/>
    </w:pPr>
    <w:rPr>
      <w:sz w:val="24"/>
      <w:szCs w:val="24"/>
    </w:rPr>
  </w:style>
  <w:style w:type="character" w:styleId="711">
    <w:name w:val="Subtitle Char"/>
    <w:basedOn w:val="865"/>
    <w:link w:val="710"/>
    <w:uiPriority w:val="11"/>
    <w:rPr>
      <w:sz w:val="24"/>
      <w:szCs w:val="24"/>
    </w:rPr>
  </w:style>
  <w:style w:type="paragraph" w:styleId="712">
    <w:name w:val="Quote"/>
    <w:basedOn w:val="863"/>
    <w:next w:val="863"/>
    <w:link w:val="713"/>
    <w:uiPriority w:val="29"/>
    <w:qFormat/>
    <w:pPr>
      <w:ind w:left="720" w:right="720"/>
    </w:pPr>
    <w:rPr>
      <w:i/>
    </w:rPr>
  </w:style>
  <w:style w:type="character" w:styleId="713">
    <w:name w:val="Quote Char"/>
    <w:link w:val="712"/>
    <w:uiPriority w:val="29"/>
    <w:rPr>
      <w:i/>
    </w:rPr>
  </w:style>
  <w:style w:type="paragraph" w:styleId="714">
    <w:name w:val="Intense Quote"/>
    <w:basedOn w:val="863"/>
    <w:next w:val="863"/>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character" w:styleId="716">
    <w:name w:val="Header Char"/>
    <w:basedOn w:val="865"/>
    <w:link w:val="871"/>
    <w:uiPriority w:val="99"/>
  </w:style>
  <w:style w:type="character" w:styleId="717">
    <w:name w:val="Footer Char"/>
    <w:basedOn w:val="865"/>
    <w:link w:val="870"/>
    <w:uiPriority w:val="99"/>
  </w:style>
  <w:style w:type="paragraph" w:styleId="718">
    <w:name w:val="Caption"/>
    <w:basedOn w:val="863"/>
    <w:next w:val="863"/>
    <w:uiPriority w:val="35"/>
    <w:semiHidden/>
    <w:unhideWhenUsed/>
    <w:qFormat/>
    <w:pPr>
      <w:spacing w:line="276" w:lineRule="auto"/>
    </w:pPr>
    <w:rPr>
      <w:b/>
      <w:bCs/>
      <w:color w:val="4f81bd" w:themeColor="accent1"/>
      <w:sz w:val="18"/>
      <w:szCs w:val="18"/>
    </w:rPr>
  </w:style>
  <w:style w:type="character" w:styleId="719">
    <w:name w:val="Caption Char"/>
    <w:basedOn w:val="718"/>
    <w:link w:val="870"/>
    <w:uiPriority w:val="99"/>
  </w:style>
  <w:style w:type="table" w:styleId="720">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6">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7">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8">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9">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0">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1">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7">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8">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1">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2">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3">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4">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5">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6">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8">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9">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0">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1">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2">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3">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2">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3">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4">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5">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6">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7">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9">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0">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1">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2">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3">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4">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6">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7">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8">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9">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0">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1">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3">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4">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5">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6">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7">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8">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5">
    <w:name w:val="Hyperlink"/>
    <w:uiPriority w:val="99"/>
    <w:unhideWhenUsed/>
    <w:rPr>
      <w:color w:val="0000ff" w:themeColor="hyperlink"/>
      <w:u w:val="single"/>
    </w:rPr>
  </w:style>
  <w:style w:type="paragraph" w:styleId="846">
    <w:name w:val="footnote text"/>
    <w:basedOn w:val="863"/>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basedOn w:val="865"/>
    <w:uiPriority w:val="99"/>
    <w:unhideWhenUsed/>
    <w:rPr>
      <w:vertAlign w:val="superscript"/>
    </w:rPr>
  </w:style>
  <w:style w:type="paragraph" w:styleId="849">
    <w:name w:val="endnote text"/>
    <w:basedOn w:val="86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5"/>
    <w:uiPriority w:val="99"/>
    <w:semiHidden/>
    <w:unhideWhenUsed/>
    <w:rPr>
      <w:vertAlign w:val="superscript"/>
    </w:rPr>
  </w:style>
  <w:style w:type="paragraph" w:styleId="852">
    <w:name w:val="toc 1"/>
    <w:basedOn w:val="863"/>
    <w:next w:val="863"/>
    <w:uiPriority w:val="39"/>
    <w:unhideWhenUsed/>
    <w:pPr>
      <w:ind w:left="0" w:right="0" w:firstLine="0"/>
      <w:spacing w:after="57"/>
    </w:pPr>
  </w:style>
  <w:style w:type="paragraph" w:styleId="853">
    <w:name w:val="toc 2"/>
    <w:basedOn w:val="863"/>
    <w:next w:val="863"/>
    <w:uiPriority w:val="39"/>
    <w:unhideWhenUsed/>
    <w:pPr>
      <w:ind w:left="283" w:right="0" w:firstLine="0"/>
      <w:spacing w:after="57"/>
    </w:pPr>
  </w:style>
  <w:style w:type="paragraph" w:styleId="854">
    <w:name w:val="toc 3"/>
    <w:basedOn w:val="863"/>
    <w:next w:val="863"/>
    <w:uiPriority w:val="39"/>
    <w:unhideWhenUsed/>
    <w:pPr>
      <w:ind w:left="567" w:right="0" w:firstLine="0"/>
      <w:spacing w:after="57"/>
    </w:p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next w:val="867"/>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64">
    <w:name w:val="Heading 2"/>
    <w:basedOn w:val="863"/>
    <w:next w:val="86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65" w:default="1">
    <w:name w:val="Default Paragraph Font"/>
    <w:uiPriority w:val="1"/>
    <w:semiHidden/>
    <w:unhideWhenUsed/>
    <w:qFormat/>
  </w:style>
  <w:style w:type="table" w:styleId="866" w:default="1">
    <w:name w:val="Normal Table"/>
    <w:uiPriority w:val="99"/>
    <w:semiHidden/>
    <w:unhideWhenUsed/>
    <w:qFormat/>
    <w:tblPr>
      <w:tblCellMar>
        <w:left w:w="108" w:type="dxa"/>
        <w:top w:w="0" w:type="dxa"/>
        <w:right w:w="108" w:type="dxa"/>
        <w:bottom w:w="0" w:type="dxa"/>
      </w:tblCellMar>
    </w:tblPr>
  </w:style>
  <w:style w:type="paragraph" w:styleId="867" w:customStyle="1">
    <w:name w:val="Default"/>
    <w:basedOn w:val="863"/>
    <w:uiPriority w:val="0"/>
    <w:semiHidden/>
    <w:qFormat/>
    <w:pPr>
      <w:jc w:val="left"/>
    </w:pPr>
    <w:rPr>
      <w:rFonts w:ascii="宋体" w:hAnsi="Calibri" w:cs="宋体"/>
      <w:color w:val="000000"/>
      <w:sz w:val="24"/>
    </w:rPr>
  </w:style>
  <w:style w:type="paragraph" w:styleId="868">
    <w:name w:val="annotation text"/>
    <w:basedOn w:val="863"/>
    <w:uiPriority w:val="0"/>
    <w:qFormat/>
    <w:pPr>
      <w:jc w:val="left"/>
    </w:pPr>
  </w:style>
  <w:style w:type="paragraph" w:styleId="869">
    <w:name w:val="Body Text"/>
    <w:basedOn w:val="863"/>
    <w:uiPriority w:val="0"/>
    <w:semiHidden/>
    <w:qFormat/>
    <w:rPr>
      <w:rFonts w:ascii="仿宋" w:hAnsi="仿宋" w:eastAsia="仿宋" w:cs="仿宋"/>
      <w:sz w:val="31"/>
      <w:szCs w:val="31"/>
      <w:lang w:val="en-US" w:eastAsia="en-US" w:bidi="ar-SA"/>
    </w:rPr>
  </w:style>
  <w:style w:type="paragraph" w:styleId="870">
    <w:name w:val="Footer"/>
    <w:basedOn w:val="863"/>
    <w:link w:val="876"/>
    <w:uiPriority w:val="0"/>
    <w:qFormat/>
    <w:pPr>
      <w:jc w:val="left"/>
      <w:tabs>
        <w:tab w:val="center" w:pos="4153" w:leader="none"/>
        <w:tab w:val="right" w:pos="8306" w:leader="none"/>
      </w:tabs>
    </w:pPr>
    <w:rPr>
      <w:sz w:val="18"/>
      <w:szCs w:val="18"/>
    </w:rPr>
  </w:style>
  <w:style w:type="paragraph" w:styleId="871">
    <w:name w:val="Header"/>
    <w:basedOn w:val="863"/>
    <w:link w:val="875"/>
    <w:uiPriority w:val="0"/>
    <w:qFormat/>
    <w:pPr>
      <w:jc w:val="center"/>
      <w:tabs>
        <w:tab w:val="center" w:pos="4153" w:leader="none"/>
        <w:tab w:val="right" w:pos="8306" w:leader="none"/>
      </w:tabs>
      <w:pBdr>
        <w:bottom w:val="single" w:color="auto" w:sz="6" w:space="1"/>
      </w:pBdr>
    </w:pPr>
    <w:rPr>
      <w:sz w:val="18"/>
      <w:szCs w:val="18"/>
    </w:rPr>
  </w:style>
  <w:style w:type="paragraph" w:styleId="872">
    <w:name w:val="Normal (Web)"/>
    <w:basedOn w:val="863"/>
    <w:uiPriority w:val="0"/>
    <w:qFormat/>
    <w:pPr>
      <w:jc w:val="left"/>
      <w:spacing w:beforeAutospacing="1" w:afterAutospacing="1"/>
    </w:pPr>
    <w:rPr>
      <w:rFonts w:cs="Times New Roman"/>
      <w:sz w:val="24"/>
    </w:rPr>
  </w:style>
  <w:style w:type="table" w:styleId="8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4">
    <w:name w:val="Emphasis"/>
    <w:uiPriority w:val="0"/>
    <w:qFormat/>
    <w:rPr>
      <w:i/>
    </w:rPr>
  </w:style>
  <w:style w:type="character" w:styleId="875" w:customStyle="1">
    <w:name w:val="页眉 Char"/>
    <w:basedOn w:val="865"/>
    <w:link w:val="871"/>
    <w:uiPriority w:val="0"/>
    <w:qFormat/>
    <w:rPr>
      <w:rFonts w:asciiTheme="minorHAnsi" w:hAnsiTheme="minorHAnsi" w:eastAsiaTheme="minorEastAsia" w:cstheme="minorBidi"/>
      <w:sz w:val="18"/>
      <w:szCs w:val="18"/>
    </w:rPr>
  </w:style>
  <w:style w:type="character" w:styleId="876" w:customStyle="1">
    <w:name w:val="页脚 Char"/>
    <w:basedOn w:val="865"/>
    <w:link w:val="870"/>
    <w:uiPriority w:val="0"/>
    <w:qFormat/>
    <w:rPr>
      <w:rFonts w:asciiTheme="minorHAnsi" w:hAnsiTheme="minorHAnsi" w:eastAsiaTheme="minorEastAsia" w:cstheme="minorBidi"/>
      <w:sz w:val="18"/>
      <w:szCs w:val="18"/>
    </w:rPr>
  </w:style>
  <w:style w:type="paragraph" w:styleId="877" w:customStyle="1">
    <w:name w:val="普通正文"/>
    <w:basedOn w:val="863"/>
    <w:uiPriority w:val="0"/>
    <w:qFormat/>
    <w:pPr>
      <w:ind w:firstLine="480"/>
      <w:jc w:val="left"/>
      <w:spacing w:before="120" w:after="120" w:line="360" w:lineRule="auto"/>
    </w:pPr>
    <w:rPr>
      <w:rFonts w:ascii="Arial" w:hAnsi="Arial" w:eastAsia="等线" w:cs="Arial"/>
      <w:sz w:val="24"/>
      <w:szCs w:val="24"/>
    </w:rPr>
  </w:style>
  <w:style w:type="paragraph" w:styleId="878" w:customStyle="1">
    <w:name w:val="正文首行缩进 21"/>
    <w:basedOn w:val="879"/>
    <w:uiPriority w:val="0"/>
    <w:qFormat/>
    <w:pPr>
      <w:ind w:firstLine="420"/>
    </w:pPr>
  </w:style>
  <w:style w:type="paragraph" w:styleId="879" w:customStyle="1">
    <w:name w:val="正文文本缩进1"/>
    <w:basedOn w:val="863"/>
    <w:uiPriority w:val="0"/>
    <w:qFormat/>
    <w:pPr>
      <w:ind w:left="420"/>
      <w:spacing w:after="120"/>
    </w:pPr>
  </w:style>
  <w:style w:type="numbering" w:styleId="8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朱静静</cp:lastModifiedBy>
  <cp:revision>276</cp:revision>
  <dcterms:created xsi:type="dcterms:W3CDTF">2014-10-31T04:08:00Z</dcterms:created>
  <dcterms:modified xsi:type="dcterms:W3CDTF">2026-05-15T03:23:47Z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8E23F529DC7E4C6E9772221949D67877_13</vt:lpwstr>
  </property>
  <property fmtid="{D5CDD505-2E9C-101B-9397-08002B2CF9AE}" pid="4" name="KSOTemplateDocerSaveRecord">
    <vt:lpwstr>eyJoZGlkIjoiYjRmZWIxOTFjN2I3MTAxMTRkMzU2N2I1OGUxMGFiODYiLCJ1c2VySWQiOiIzMDg4OTI2NTcifQ==</vt:lpwstr>
  </property>
</Properties>
</file>