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spacing w:before="120" w:beforeAutospacing="0" w:after="120" w:afterAutospacing="0" w:line="360" w:lineRule="auto"/>
      </w:pPr>
      <w:r>
        <w:t xml:space="preserve"> </w:t>
      </w:r>
      <w:r/>
    </w:p>
    <w:p>
      <w:pPr>
        <w:pStyle w:val="69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95"/>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695"/>
        <w:jc w:val="both"/>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95"/>
        <w:jc w:val="both"/>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r>
        <w:rPr>
          <w:rFonts w:hint="eastAsia" w:ascii="Arial" w:hAnsi="Arial" w:cs="Arial"/>
          <w:b/>
          <w:sz w:val="32"/>
          <w:szCs w:val="32"/>
        </w:rPr>
        <w:t xml:space="preserve">滨海县</w:t>
      </w:r>
      <w:r>
        <w:rPr>
          <w:rFonts w:hint="eastAsia" w:ascii="Arial" w:hAnsi="Arial" w:cs="Arial"/>
          <w:b/>
          <w:sz w:val="32"/>
          <w:szCs w:val="32"/>
        </w:rPr>
        <w:t xml:space="preserve">2026</w:t>
      </w:r>
      <w:r>
        <w:rPr>
          <w:rFonts w:hint="eastAsia" w:ascii="Arial" w:hAnsi="Arial" w:cs="Arial"/>
          <w:b/>
          <w:sz w:val="32"/>
          <w:szCs w:val="32"/>
        </w:rPr>
        <w:t xml:space="preserve">年重大动物疫病防控</w:t>
      </w:r>
      <w:r>
        <w:rPr>
          <w:rFonts w:hint="eastAsia" w:ascii="Arial" w:hAnsi="Arial" w:cs="Arial"/>
          <w:b/>
          <w:sz w:val="32"/>
          <w:szCs w:val="32"/>
        </w:rPr>
        <w:t xml:space="preserve">(</w:t>
      </w:r>
      <w:r>
        <w:rPr>
          <w:rFonts w:hint="eastAsia" w:ascii="Arial" w:hAnsi="Arial" w:cs="Arial"/>
          <w:b/>
          <w:sz w:val="32"/>
          <w:szCs w:val="32"/>
        </w:rPr>
        <w:t xml:space="preserve">疫苗</w:t>
      </w:r>
      <w:r/>
    </w:p>
    <w:p>
      <w:pPr>
        <w:pStyle w:val="695"/>
        <w:jc w:val="both"/>
        <w:spacing w:before="120" w:beforeAutospacing="0" w:after="120" w:afterAutospacing="0" w:line="360" w:lineRule="auto"/>
      </w:pPr>
      <w:r>
        <w:rPr>
          <w:rFonts w:hint="eastAsia" w:ascii="Arial" w:hAnsi="Arial" w:cs="Arial"/>
          <w:b/>
          <w:sz w:val="32"/>
          <w:szCs w:val="32"/>
        </w:rPr>
        <w:t xml:space="preserve">补助项目</w:t>
      </w:r>
      <w:r>
        <w:rPr>
          <w:rFonts w:hint="eastAsia" w:ascii="Arial" w:hAnsi="Arial" w:cs="Arial"/>
          <w:b/>
          <w:sz w:val="32"/>
          <w:szCs w:val="32"/>
        </w:rPr>
        <w:t xml:space="preserve">)</w:t>
      </w:r>
      <w:r/>
    </w:p>
    <w:p>
      <w:pPr>
        <w:pStyle w:val="695"/>
        <w:jc w:val="both"/>
        <w:spacing w:before="120" w:beforeAutospacing="0" w:after="120" w:afterAutospacing="0" w:line="360" w:lineRule="auto"/>
      </w:pPr>
      <w:r>
        <w:rPr>
          <w:rFonts w:ascii="Arial" w:hAnsi="Arial" w:cs="Arial"/>
          <w:b/>
          <w:sz w:val="32"/>
          <w:szCs w:val="32"/>
        </w:rPr>
        <w:t xml:space="preserve">项目编号：</w:t>
      </w:r>
      <w:r>
        <w:rPr>
          <w:rFonts w:ascii="Arial" w:hAnsi="Arial" w:cs="Arial"/>
          <w:b/>
          <w:sz w:val="32"/>
          <w:szCs w:val="32"/>
        </w:rPr>
        <w:t xml:space="preserve">JSZC-320922-ZQYC-G2026-0007</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滨海县畜牧兽医站</w:t>
      </w:r>
      <w:r/>
    </w:p>
    <w:p>
      <w:pPr>
        <w:pStyle w:val="695"/>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4</w:t>
      </w:r>
      <w:r>
        <w:rPr>
          <w:rFonts w:ascii="Arial" w:hAnsi="Arial" w:cs="Arial"/>
          <w:b/>
          <w:sz w:val="32"/>
          <w:szCs w:val="32"/>
        </w:rPr>
        <w:t xml:space="preserve">月</w:t>
      </w:r>
      <w:r/>
    </w:p>
    <w:p>
      <w:pPr>
        <w:pStyle w:val="695"/>
        <w:spacing w:before="120" w:beforeAutospacing="0" w:after="120" w:afterAutospacing="0" w:line="360" w:lineRule="auto"/>
      </w:pPr>
      <w:r>
        <w:rPr>
          <w:rFonts w:ascii="Arial" w:hAnsi="Arial" w:cs="Arial"/>
        </w:rPr>
        <w:t xml:space="preserve">                        </w:t>
      </w:r>
      <w:r/>
    </w:p>
    <w:p>
      <w:pPr>
        <w:pStyle w:val="695"/>
        <w:jc w:val="center"/>
        <w:spacing w:before="120" w:beforeAutospacing="0" w:after="120" w:afterAutospacing="0" w:line="360" w:lineRule="auto"/>
      </w:pPr>
      <w:r>
        <w:t xml:space="preserve"> </w:t>
      </w:r>
      <w:r/>
    </w:p>
    <w:p>
      <w:pPr>
        <w:pStyle w:val="695"/>
        <w:jc w:val="center"/>
        <w:spacing w:beforeAutospacing="0" w:afterAutospacing="0" w:line="480" w:lineRule="auto"/>
        <w:rPr>
          <w:rFonts w:ascii="Times New Roman" w:hAnsi="Times New Roman"/>
          <w:sz w:val="21"/>
          <w:szCs w:val="21"/>
        </w:rPr>
      </w:pPr>
      <w:r>
        <w:rPr>
          <w:rFonts w:ascii="Times New Roman" w:hAnsi="Times New Roman"/>
          <w:sz w:val="21"/>
          <w:szCs w:val="21"/>
        </w:rPr>
        <w:br w:type="page" w:clear="all"/>
      </w:r>
      <w:r/>
    </w:p>
    <w:p>
      <w:pPr>
        <w:pStyle w:val="695"/>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695"/>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695"/>
        <w:jc w:val="center"/>
        <w:spacing w:beforeAutospacing="0" w:afterAutospacing="0" w:line="480" w:lineRule="auto"/>
      </w:pPr>
      <w:r>
        <w:rPr>
          <w:rFonts w:ascii="Times New Roman" w:hAnsi="Times New Roman"/>
          <w:sz w:val="21"/>
          <w:szCs w:val="21"/>
        </w:rPr>
        <w:t xml:space="preserve"> </w:t>
      </w:r>
      <w:bookmarkStart w:id="0" w:name="_Toc513029200"/>
      <w:r/>
      <w:bookmarkStart w:id="1" w:name="_Toc120614210"/>
      <w:r/>
      <w:bookmarkStart w:id="2" w:name="_Toc20823272"/>
      <w:r/>
      <w:bookmarkStart w:id="3" w:name="_Toc16938516"/>
      <w:r/>
      <w:bookmarkStart w:id="4" w:name="_Toc523127445"/>
      <w:r/>
      <w:bookmarkStart w:id="5" w:name="_Toc479757206"/>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695"/>
        <w:jc w:val="both"/>
        <w:spacing w:beforeAutospacing="0" w:afterAutospacing="0" w:line="480" w:lineRule="auto"/>
      </w:pPr>
      <w:r>
        <w:t xml:space="preserve"> </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w:t>
      </w:r>
      <w:r>
        <w:rPr>
          <w:rFonts w:hint="eastAsia" w:ascii="黑体" w:hAnsi="宋体" w:eastAsia="黑体" w:cs="黑体"/>
          <w:sz w:val="36"/>
          <w:szCs w:val="36"/>
        </w:rPr>
        <w:t xml:space="preserve">………………………………</w:t>
      </w:r>
      <w:r>
        <w:rPr>
          <w:rFonts w:hint="eastAsia" w:ascii="黑体" w:hAnsi="宋体" w:eastAsia="黑体" w:cs="黑体"/>
          <w:sz w:val="36"/>
          <w:szCs w:val="36"/>
        </w:rPr>
        <w:t xml:space="preserve">3 </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w:t>
      </w:r>
      <w:r>
        <w:rPr>
          <w:rFonts w:hint="eastAsia" w:ascii="黑体" w:hAnsi="宋体" w:eastAsia="黑体" w:cs="黑体"/>
          <w:sz w:val="36"/>
          <w:szCs w:val="36"/>
        </w:rPr>
        <w:t xml:space="preserve">……………………………</w:t>
      </w:r>
      <w:r>
        <w:rPr>
          <w:rFonts w:hint="eastAsia" w:ascii="黑体" w:hAnsi="宋体" w:eastAsia="黑体" w:cs="黑体"/>
          <w:sz w:val="36"/>
          <w:szCs w:val="36"/>
        </w:rPr>
        <w:t xml:space="preserve">7</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695"/>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合同条款……</w:t>
      </w:r>
      <w:r>
        <w:rPr>
          <w:rFonts w:hint="eastAsia" w:ascii="黑体" w:hAnsi="宋体" w:eastAsia="黑体" w:cs="黑体"/>
          <w:sz w:val="36"/>
          <w:szCs w:val="36"/>
        </w:rPr>
        <w:t xml:space="preserve">……………………………</w:t>
      </w:r>
      <w:r>
        <w:rPr>
          <w:rFonts w:hint="eastAsia" w:ascii="黑体" w:hAnsi="宋体" w:eastAsia="黑体" w:cs="黑体"/>
          <w:sz w:val="36"/>
          <w:szCs w:val="36"/>
        </w:rPr>
        <w:t xml:space="preserve"> 19</w:t>
      </w:r>
      <w:r/>
    </w:p>
    <w:p>
      <w:pPr>
        <w:pStyle w:val="695"/>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采购需求……</w:t>
      </w:r>
      <w:r>
        <w:rPr>
          <w:rFonts w:hint="eastAsia" w:ascii="黑体" w:hAnsi="宋体" w:eastAsia="黑体" w:cs="黑体"/>
          <w:sz w:val="36"/>
          <w:szCs w:val="36"/>
        </w:rPr>
        <w:t xml:space="preserve">……………………………</w:t>
      </w:r>
      <w:r>
        <w:rPr>
          <w:rFonts w:hint="eastAsia" w:ascii="黑体" w:hAnsi="宋体" w:eastAsia="黑体" w:cs="黑体"/>
          <w:sz w:val="36"/>
          <w:szCs w:val="36"/>
        </w:rPr>
        <w:t xml:space="preserve"> 43</w:t>
      </w:r>
      <w:r/>
    </w:p>
    <w:p>
      <w:pPr>
        <w:pStyle w:val="695"/>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评标方法与评标标准……</w:t>
      </w:r>
      <w:r>
        <w:rPr>
          <w:rFonts w:hint="eastAsia" w:ascii="黑体" w:hAnsi="宋体" w:eastAsia="黑体" w:cs="黑体"/>
          <w:sz w:val="36"/>
          <w:szCs w:val="36"/>
        </w:rPr>
        <w:t xml:space="preserve">………………</w:t>
      </w:r>
      <w:r>
        <w:rPr>
          <w:rFonts w:hint="eastAsia" w:ascii="黑体" w:hAnsi="宋体" w:eastAsia="黑体" w:cs="黑体"/>
          <w:sz w:val="36"/>
          <w:szCs w:val="36"/>
        </w:rPr>
        <w:t xml:space="preserve"> 48</w:t>
      </w:r>
      <w:r/>
    </w:p>
    <w:p>
      <w:pPr>
        <w:pStyle w:val="695"/>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投标文件格式……</w:t>
      </w:r>
      <w:r>
        <w:rPr>
          <w:rFonts w:hint="eastAsia" w:ascii="黑体" w:hAnsi="宋体" w:eastAsia="黑体" w:cs="黑体"/>
          <w:sz w:val="36"/>
          <w:szCs w:val="36"/>
        </w:rPr>
        <w:t xml:space="preserve">………………………</w:t>
      </w:r>
      <w:r>
        <w:rPr>
          <w:rFonts w:hint="eastAsia" w:ascii="黑体" w:hAnsi="宋体" w:eastAsia="黑体" w:cs="黑体"/>
          <w:sz w:val="36"/>
          <w:szCs w:val="36"/>
        </w:rPr>
        <w:t xml:space="preserve"> 53</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center"/>
        <w:keepNext/>
        <w:spacing w:beforeAutospacing="0" w:afterAutospacing="0" w:line="500" w:lineRule="exact"/>
        <w:rPr>
          <w:rFonts w:eastAsia="黑体"/>
        </w:rPr>
      </w:pPr>
      <w:r/>
      <w:bookmarkStart w:id="6"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695"/>
        <w:ind w:firstLine="480"/>
        <w:jc w:val="both"/>
        <w:spacing w:beforeAutospacing="0" w:afterAutospacing="0" w:line="50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95"/>
        <w:ind w:firstLine="480"/>
        <w:jc w:val="both"/>
        <w:spacing w:beforeAutospacing="0" w:afterAutospacing="0" w:line="50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滨海县2026年重大动物疫病防控疫苗补助项目</w:t>
      </w:r>
      <w:r>
        <w:rPr>
          <w:rFonts w:hint="eastAsia" w:ascii="宋体" w:hAnsi="宋体" w:eastAsia="宋体" w:cs="宋体"/>
        </w:rPr>
        <w:t xml:space="preserve">招标项目的潜在投标人应在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2026年5月13日9时00分00秒（</w:t>
      </w:r>
      <w:r>
        <w:rPr>
          <w:rFonts w:hint="eastAsia" w:ascii="宋体" w:hAnsi="宋体" w:eastAsia="宋体" w:cs="宋体"/>
        </w:rPr>
        <w:t xml:space="preserve">北京时间）前递交投标文件。</w:t>
      </w:r>
      <w:r/>
    </w:p>
    <w:p>
      <w:pPr>
        <w:pStyle w:val="695"/>
        <w:ind w:firstLine="498"/>
        <w:jc w:val="both"/>
        <w:keepLines/>
        <w:keepNext/>
        <w:spacing w:before="145" w:beforeAutospacing="0" w:after="145" w:afterAutospacing="0" w:line="500" w:lineRule="exact"/>
        <w:rPr>
          <w:rFonts w:hint="eastAsia" w:ascii="宋体" w:hAnsi="宋体" w:eastAsia="宋体" w:cs="宋体"/>
        </w:rPr>
      </w:pPr>
      <w:r/>
      <w:bookmarkStart w:id="7" w:name="_Toc28359002"/>
      <w:r/>
      <w:bookmarkStart w:id="8" w:name="_Toc28359079"/>
      <w:r/>
      <w:bookmarkStart w:id="9" w:name="_Toc38985263"/>
      <w:r/>
      <w:bookmarkStart w:id="10" w:name="_Toc35393790"/>
      <w:r/>
      <w:bookmarkStart w:id="11" w:name="_Toc35393621"/>
      <w:r/>
      <w:bookmarkStart w:id="12" w:name="_Hlk24379207"/>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695"/>
        <w:ind w:firstLine="480"/>
        <w:jc w:val="both"/>
        <w:spacing w:beforeAutospacing="0" w:afterAutospacing="0" w:line="500" w:lineRule="exact"/>
        <w:rPr>
          <w:rFonts w:hint="eastAsia" w:ascii="宋体" w:hAnsi="宋体" w:eastAsia="宋体" w:cs="宋体"/>
          <w:shd w:val="clear" w:color="auto" w:fill="ffffff"/>
        </w:rPr>
      </w:pPr>
      <w:r>
        <w:rPr>
          <w:rFonts w:hint="eastAsia" w:ascii="宋体" w:hAnsi="宋体" w:eastAsia="宋体" w:cs="宋体"/>
          <w:shd w:val="clear" w:color="auto" w:fill="ffffff"/>
        </w:rPr>
        <w:t xml:space="preserve">1.项目编号：JSZC-320922-ZQYC-G2026-0007</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2.项目名称：滨海县2026年重大动物疫病防控疫苗补助项目</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4.预算金额：126万元</w:t>
      </w:r>
      <w:r/>
    </w:p>
    <w:p>
      <w:pPr>
        <w:pStyle w:val="695"/>
        <w:ind w:firstLine="480"/>
        <w:jc w:val="both"/>
        <w:spacing w:beforeAutospacing="0" w:afterAutospacing="0" w:line="500" w:lineRule="exact"/>
        <w:rPr>
          <w:rFonts w:hint="eastAsia" w:ascii="宋体" w:hAnsi="宋体" w:eastAsia="宋体" w:cs="宋体"/>
          <w:shd w:val="clear" w:color="ffffff" w:fill="d9d9d9"/>
        </w:rPr>
      </w:pPr>
      <w:r>
        <w:rPr>
          <w:rFonts w:hint="eastAsia" w:ascii="宋体" w:hAnsi="宋体" w:eastAsia="宋体" w:cs="宋体"/>
          <w:shd w:val="clear" w:color="auto" w:fill="ffffff"/>
        </w:rPr>
        <w:t xml:space="preserve">5.最高限价（如有）：</w:t>
      </w:r>
      <w:bookmarkStart w:id="13" w:name="OLE_LINK4"/>
      <w:r>
        <w:rPr>
          <w:rFonts w:hint="eastAsia" w:cs="宋体" w:asciiTheme="majorEastAsia" w:hAnsiTheme="majorEastAsia" w:eastAsiaTheme="majorEastAsia"/>
        </w:rPr>
        <w:t xml:space="preserve">单价最高限价0.315元</w:t>
      </w:r>
      <w:r>
        <w:rPr>
          <w:rFonts w:hint="eastAsia" w:ascii="宋体" w:hAnsi="宋体" w:eastAsia="宋体" w:cs="宋体"/>
          <w:lang w:bidi="ar"/>
        </w:rPr>
        <w:t xml:space="preserve">/毫升</w:t>
      </w:r>
      <w:r>
        <w:rPr>
          <w:rFonts w:hint="eastAsia" w:cs="宋体" w:asciiTheme="majorEastAsia" w:hAnsiTheme="majorEastAsia" w:eastAsiaTheme="majorEastAsia"/>
        </w:rPr>
        <w:t xml:space="preserve">，</w:t>
      </w:r>
      <w:r>
        <w:rPr>
          <w:rFonts w:hint="eastAsia" w:ascii="宋体" w:hAnsi="宋体" w:eastAsia="宋体" w:cs="宋体"/>
        </w:rPr>
        <w:t xml:space="preserve">超过</w:t>
      </w:r>
      <w:r>
        <w:rPr>
          <w:rFonts w:hint="eastAsia" w:cs="宋体" w:asciiTheme="majorEastAsia" w:hAnsiTheme="majorEastAsia" w:eastAsiaTheme="majorEastAsia"/>
        </w:rPr>
        <w:t xml:space="preserve">最高</w:t>
      </w:r>
      <w:r>
        <w:rPr>
          <w:rFonts w:hint="eastAsia" w:ascii="宋体" w:hAnsi="宋体" w:eastAsia="宋体" w:cs="宋体"/>
        </w:rPr>
        <w:t xml:space="preserve">限价报价的报价无效。</w:t>
      </w:r>
      <w:bookmarkEnd w:id="13"/>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6.采购需求（简介）：滨海县2026年重大动物疫病防控疫苗补助项目共一个包件，包含重组禽流感病毒(H5+H7)四价灭活疫苗的采购，具体详细内容见本招标文件第四章。</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7.合同履行期限：自合同签订之日起 1年内按照甲方要求分批供货，完成供货及售后等服务，第一中标人原则上供应中标标的大于等于60%资金的货物，第二中标人原则上供应中标标的小于等于40%资金的货物。如果甲方发现第一（或第二）中标人不能及时履行合同义务或者影响供货服务的，甲方有权调整第一、第二中标人供货数量，但调整后的第一中标人不少于40%，第二中标人不大于60%。</w:t>
      </w:r>
      <w:r/>
    </w:p>
    <w:p>
      <w:pPr>
        <w:pStyle w:val="695"/>
        <w:ind w:firstLine="480"/>
        <w:jc w:val="both"/>
        <w:spacing w:beforeAutospacing="0" w:afterAutospacing="0" w:line="500" w:lineRule="exact"/>
        <w:rPr>
          <w:rFonts w:hint="eastAsia" w:ascii="宋体" w:hAnsi="宋体" w:eastAsia="宋体" w:cs="宋体"/>
          <w:shd w:val="clear" w:color="auto" w:fill="ffff00"/>
        </w:rPr>
      </w:pPr>
      <w:r>
        <w:rPr>
          <w:rFonts w:hint="eastAsia" w:ascii="宋体" w:hAnsi="宋体" w:eastAsia="宋体" w:cs="宋体"/>
          <w:shd w:val="clear" w:color="auto" w:fill="ffffff"/>
        </w:rPr>
        <w:t xml:space="preserve">8.本项目</w:t>
      </w:r>
      <w:r>
        <w:rPr>
          <w:rFonts w:hint="eastAsia" w:ascii="宋体" w:hAnsi="宋体" w:eastAsia="宋体" w:cs="宋体"/>
          <w:u w:val="single"/>
          <w:shd w:val="clear" w:color="auto" w:fill="ffffff"/>
        </w:rPr>
        <w:t xml:space="preserve">不接受</w:t>
      </w:r>
      <w:r>
        <w:rPr>
          <w:rFonts w:hint="eastAsia" w:ascii="宋体" w:hAnsi="宋体" w:eastAsia="宋体" w:cs="宋体"/>
          <w:shd w:val="clear" w:color="auto" w:fill="ffffff"/>
        </w:rPr>
        <w:t xml:space="preserve">联合体</w:t>
      </w:r>
      <w:r>
        <w:rPr>
          <w:rFonts w:hint="eastAsia" w:ascii="宋体" w:hAnsi="宋体" w:eastAsia="宋体" w:cs="宋体"/>
        </w:rPr>
        <w:t xml:space="preserve">参与招标。</w:t>
      </w:r>
      <w:r/>
    </w:p>
    <w:p>
      <w:pPr>
        <w:pStyle w:val="695"/>
        <w:ind w:firstLine="498"/>
        <w:jc w:val="both"/>
        <w:keepLines/>
        <w:keepNext/>
        <w:spacing w:before="145" w:beforeAutospacing="0" w:after="145" w:afterAutospacing="0" w:line="500" w:lineRule="exact"/>
        <w:rPr>
          <w:rFonts w:hint="eastAsia" w:ascii="宋体" w:hAnsi="宋体" w:eastAsia="宋体" w:cs="宋体"/>
        </w:rPr>
      </w:pPr>
      <w:r/>
      <w:bookmarkStart w:id="14" w:name="_Toc28359080"/>
      <w:r/>
      <w:bookmarkStart w:id="15" w:name="_Toc35393791"/>
      <w:r/>
      <w:bookmarkStart w:id="16" w:name="_Toc28359003"/>
      <w:r/>
      <w:bookmarkStart w:id="17" w:name="_Toc38985264"/>
      <w:r/>
      <w:bookmarkStart w:id="18" w:name="_Toc35393622"/>
      <w:r>
        <w:rPr>
          <w:rFonts w:hint="eastAsia" w:ascii="宋体" w:hAnsi="宋体" w:eastAsia="宋体" w:cs="宋体"/>
          <w:b/>
        </w:rPr>
        <w:t xml:space="preserve">二、申请人的资格要求：</w:t>
      </w:r>
      <w:bookmarkEnd w:id="14"/>
      <w:r/>
      <w:bookmarkEnd w:id="15"/>
      <w:r/>
      <w:bookmarkEnd w:id="16"/>
      <w:r/>
      <w:bookmarkEnd w:id="17"/>
      <w:r/>
      <w:bookmarkEnd w:id="18"/>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1.6法律、行政法规规定的其他条件。</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95"/>
        <w:numPr>
          <w:ilvl w:val="0"/>
          <w:numId w:val="1"/>
        </w:numPr>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落实政府采购政策需满足的资格要求：无。</w:t>
      </w:r>
      <w:r/>
    </w:p>
    <w:p>
      <w:pPr>
        <w:pStyle w:val="695"/>
        <w:numPr>
          <w:ilvl w:val="0"/>
          <w:numId w:val="1"/>
        </w:numPr>
        <w:ind w:firstLine="480"/>
        <w:jc w:val="both"/>
        <w:spacing w:beforeAutospacing="0" w:afterAutospacing="0" w:line="500" w:lineRule="exact"/>
        <w:rPr>
          <w:rFonts w:hint="eastAsia" w:ascii="宋体" w:hAnsi="宋体" w:eastAsia="宋体" w:cs="宋体"/>
          <w:u w:val="single"/>
        </w:rPr>
      </w:pPr>
      <w:r>
        <w:rPr>
          <w:rFonts w:hint="eastAsia" w:ascii="宋体" w:hAnsi="宋体" w:eastAsia="宋体" w:cs="宋体"/>
        </w:rPr>
        <w:t xml:space="preserve">本项目的特定资格要求：</w:t>
      </w:r>
      <w:r>
        <w:rPr>
          <w:rFonts w:hint="eastAsia" w:ascii="宋体" w:hAnsi="宋体" w:eastAsia="宋体" w:cs="宋体"/>
          <w:u w:val="single"/>
        </w:rPr>
        <w:t xml:space="preserve">投标人须持有农业农村部批准文号的疫苗生产厂家，具有有效期内的兽药生产许可证或兽药经营许可证（兽药经营许可证经营范围需含有兽用生物制品）。</w:t>
      </w:r>
      <w:r/>
    </w:p>
    <w:p>
      <w:pPr>
        <w:pStyle w:val="695"/>
        <w:ind w:firstLine="498"/>
        <w:jc w:val="both"/>
        <w:keepLines/>
        <w:keepNext/>
        <w:spacing w:before="145" w:beforeAutospacing="0" w:after="145" w:afterAutospacing="0" w:line="500" w:lineRule="exact"/>
        <w:rPr>
          <w:rFonts w:hint="eastAsia" w:ascii="宋体" w:hAnsi="宋体" w:eastAsia="宋体" w:cs="宋体"/>
        </w:rPr>
      </w:pPr>
      <w:r>
        <w:rPr>
          <w:rFonts w:hint="eastAsia" w:ascii="宋体" w:hAnsi="宋体" w:eastAsia="宋体" w:cs="宋体"/>
          <w:b/>
        </w:rPr>
        <w:t xml:space="preserve">三、获取招标文件</w:t>
      </w:r>
      <w:r/>
    </w:p>
    <w:p>
      <w:pPr>
        <w:pStyle w:val="695"/>
        <w:ind w:firstLine="480"/>
        <w:jc w:val="both"/>
        <w:spacing w:beforeAutospacing="0" w:afterAutospacing="0" w:line="500" w:lineRule="exact"/>
        <w:shd w:val="clear" w:color="auto" w:fill="ffffff"/>
        <w:widowControl/>
        <w:rPr>
          <w:rFonts w:hint="eastAsia" w:ascii="宋体" w:hAnsi="宋体" w:eastAsia="宋体" w:cs="宋体"/>
        </w:rPr>
      </w:pPr>
      <w:r/>
      <w:bookmarkStart w:id="19" w:name="_Toc35393793"/>
      <w:r/>
      <w:bookmarkStart w:id="20" w:name="_Toc28359082"/>
      <w:r/>
      <w:bookmarkStart w:id="21" w:name="_Toc28359005"/>
      <w:r/>
      <w:bookmarkStart w:id="22" w:name="_Toc35393624"/>
      <w:r/>
      <w:bookmarkStart w:id="23" w:name="_Toc38985266"/>
      <w:r>
        <w:rPr>
          <w:rFonts w:hint="eastAsia" w:ascii="宋体" w:hAnsi="宋体" w:eastAsia="宋体" w:cs="宋体"/>
        </w:rPr>
        <w:t xml:space="preserve">1.时间：</w:t>
      </w:r>
      <w:bookmarkEnd w:id="19"/>
      <w:r/>
      <w:bookmarkEnd w:id="20"/>
      <w:r/>
      <w:bookmarkEnd w:id="21"/>
      <w:r/>
      <w:bookmarkEnd w:id="22"/>
      <w:r/>
      <w:bookmarkEnd w:id="23"/>
      <w:r>
        <w:rPr>
          <w:rFonts w:hint="eastAsia" w:ascii="宋体" w:hAnsi="宋体" w:eastAsia="宋体" w:cs="宋体"/>
        </w:rPr>
        <w:t xml:space="preserve">自招标文件公告发布之日起5个工作日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w:t>
      </w:r>
      <w:r/>
    </w:p>
    <w:p>
      <w:pPr>
        <w:pStyle w:val="695"/>
        <w:ind w:firstLine="48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4.售价：0元</w:t>
      </w:r>
      <w:r/>
    </w:p>
    <w:p>
      <w:pPr>
        <w:pStyle w:val="695"/>
        <w:ind w:firstLine="498"/>
        <w:jc w:val="both"/>
        <w:keepLines/>
        <w:keepNext/>
        <w:spacing w:before="145" w:beforeAutospacing="0" w:after="145" w:afterAutospacing="0" w:line="500" w:lineRule="exact"/>
        <w:rPr>
          <w:rFonts w:hint="eastAsia" w:ascii="宋体" w:hAnsi="宋体" w:eastAsia="宋体" w:cs="宋体"/>
        </w:rPr>
      </w:pPr>
      <w:r>
        <w:rPr>
          <w:rFonts w:hint="eastAsia" w:ascii="宋体" w:hAnsi="宋体" w:eastAsia="宋体" w:cs="宋体"/>
          <w:b/>
        </w:rPr>
        <w:t xml:space="preserve">四、提交投标文件截止时间、开标时间和地点</w:t>
      </w:r>
      <w:r/>
    </w:p>
    <w:p>
      <w:pPr>
        <w:pStyle w:val="695"/>
        <w:ind w:firstLine="54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2026年5月13日9时00分00秒（北京时间）</w:t>
      </w:r>
      <w:r/>
    </w:p>
    <w:p>
      <w:pPr>
        <w:pStyle w:val="69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“不见面”开标大厅 。</w:t>
      </w:r>
      <w:r/>
    </w:p>
    <w:p>
      <w:pPr>
        <w:pStyle w:val="695"/>
        <w:ind w:firstLine="498"/>
        <w:jc w:val="both"/>
        <w:keepLines/>
        <w:keepNext/>
        <w:spacing w:before="145" w:beforeAutospacing="0" w:after="145" w:afterAutospacing="0" w:line="500" w:lineRule="exact"/>
        <w:rPr>
          <w:rFonts w:hint="eastAsia" w:ascii="宋体" w:hAnsi="宋体" w:eastAsia="宋体" w:cs="宋体"/>
        </w:rPr>
      </w:pPr>
      <w:r/>
      <w:bookmarkStart w:id="24" w:name="_Toc38985267"/>
      <w:r/>
      <w:bookmarkStart w:id="25" w:name="_Toc28359007"/>
      <w:r/>
      <w:bookmarkStart w:id="26" w:name="_Toc28359084"/>
      <w:r/>
      <w:bookmarkStart w:id="27" w:name="_Toc35393625"/>
      <w:r/>
      <w:bookmarkStart w:id="28" w:name="_Toc35393794"/>
      <w:r>
        <w:rPr>
          <w:rFonts w:hint="eastAsia" w:ascii="宋体" w:hAnsi="宋体" w:eastAsia="宋体" w:cs="宋体"/>
          <w:b/>
        </w:rPr>
        <w:t xml:space="preserve">五、公告期限</w:t>
      </w:r>
      <w:bookmarkEnd w:id="24"/>
      <w:r/>
      <w:bookmarkEnd w:id="25"/>
      <w:r/>
      <w:bookmarkEnd w:id="26"/>
      <w:r/>
      <w:bookmarkEnd w:id="27"/>
      <w:r/>
      <w:bookmarkEnd w:id="28"/>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bookmarkStart w:id="29" w:name="_Toc35393795"/>
      <w:r/>
      <w:bookmarkStart w:id="30" w:name="_Toc35393626"/>
      <w:r/>
      <w:bookmarkStart w:id="31" w:name="_Toc38985268"/>
      <w:r>
        <w:rPr>
          <w:rFonts w:hint="eastAsia" w:ascii="宋体" w:hAnsi="宋体" w:eastAsia="宋体" w:cs="宋体"/>
          <w:shd w:val="clear" w:color="auto" w:fill="ffffff"/>
        </w:rPr>
        <w:t xml:space="preserve">自本公告发布之日起5个工作日。</w:t>
      </w:r>
      <w:bookmarkEnd w:id="29"/>
      <w:r/>
      <w:bookmarkEnd w:id="30"/>
      <w:r/>
      <w:bookmarkEnd w:id="31"/>
      <w:r/>
      <w:r/>
    </w:p>
    <w:p>
      <w:pPr>
        <w:pStyle w:val="695"/>
        <w:ind w:firstLine="498"/>
        <w:jc w:val="both"/>
        <w:keepLines/>
        <w:keepNext/>
        <w:spacing w:before="145" w:beforeAutospacing="0" w:after="145" w:afterAutospacing="0" w:line="500" w:lineRule="exact"/>
        <w:rPr>
          <w:rFonts w:hint="eastAsia" w:ascii="宋体" w:hAnsi="宋体" w:eastAsia="宋体" w:cs="宋体"/>
        </w:rPr>
      </w:pPr>
      <w:r>
        <w:rPr>
          <w:rFonts w:hint="eastAsia" w:ascii="宋体" w:hAnsi="宋体" w:eastAsia="宋体" w:cs="宋体"/>
          <w:b/>
        </w:rPr>
        <w:t xml:space="preserve">六、其他补充事宜</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bookmarkStart w:id="32"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spacing w:line="500" w:lineRule="exact"/>
        <w:rPr>
          <w:rFonts w:hint="eastAsia" w:ascii="宋体" w:hAnsi="宋体" w:eastAsia="宋体" w:cs="宋体"/>
          <w:sz w:val="24"/>
          <w:shd w:val="clear" w:color="auto" w:fill="ffffff"/>
        </w:rPr>
      </w:pPr>
      <w:r>
        <w:rPr>
          <w:rFonts w:hint="eastAsia" w:ascii="宋体" w:hAnsi="宋体" w:eastAsia="宋体" w:cs="宋体"/>
          <w:sz w:val="24"/>
          <w:u w:val="single"/>
          <w:shd w:val="clear" w:color="auto" w:fill="ffffff"/>
        </w:rPr>
        <w:t xml:space="preserve">领取CA和办理电子签章（请至</w:t>
      </w:r>
      <w:r>
        <w:rPr>
          <w:rFonts w:hint="eastAsia" w:ascii="宋体" w:hAnsi="宋体" w:eastAsia="宋体" w:cs="宋体"/>
          <w:sz w:val="24"/>
          <w:u w:val="single"/>
        </w:rPr>
        <w:t xml:space="preserve">盐城市府西路1号盐城市公共资源交易中心四楼大厅10号，11号窗口</w:t>
      </w:r>
      <w:r>
        <w:rPr>
          <w:rFonts w:hint="eastAsia" w:ascii="宋体" w:hAnsi="宋体" w:eastAsia="宋体" w:cs="宋体"/>
          <w:sz w:val="24"/>
          <w:u w:val="single"/>
          <w:shd w:val="clear" w:color="auto" w:fill="ffffff"/>
        </w:rPr>
        <w:t xml:space="preserve">办理，联系电话：15051556883，办理邮箱：yancheng@ideabank.net.cn，</w:t>
      </w:r>
      <w:r>
        <w:rPr>
          <w:rFonts w:hint="eastAsia" w:ascii="宋体" w:hAnsi="宋体" w:eastAsia="宋体" w:cs="宋体"/>
          <w:sz w:val="24"/>
          <w:shd w:val="clear" w:color="auto" w:fill="ffffff"/>
        </w:rPr>
        <w:t xml:space="preserve">具体联系方式见《苏</w:t>
      </w:r>
      <w:r>
        <w:rPr>
          <w:rFonts w:hint="eastAsia" w:ascii="宋体" w:hAnsi="宋体" w:eastAsia="宋体" w:cs="宋体"/>
          <w:sz w:val="24"/>
          <w:shd w:val="clear" w:color="auto" w:fill="ffffff"/>
        </w:rPr>
        <w:t xml:space="preserve">采云</w:t>
      </w:r>
      <w:r>
        <w:rPr>
          <w:rFonts w:hint="eastAsia" w:ascii="宋体" w:hAnsi="宋体" w:eastAsia="宋体" w:cs="宋体"/>
          <w:sz w:val="24"/>
          <w:shd w:val="clear" w:color="auto" w:fill="ffffff"/>
        </w:rPr>
        <w:t xml:space="preserve">系统供应商操作手册》（以下简称《操作手册》））、进行注册并按《操作手册》要求制作、上传电子投标文件,《苏</w:t>
      </w:r>
      <w:r>
        <w:rPr>
          <w:rFonts w:hint="eastAsia" w:ascii="宋体" w:hAnsi="宋体" w:eastAsia="宋体" w:cs="宋体"/>
          <w:sz w:val="24"/>
          <w:shd w:val="clear" w:color="auto" w:fill="ffffff"/>
        </w:rPr>
        <w:t xml:space="preserve">采云</w:t>
      </w:r>
      <w:r>
        <w:rPr>
          <w:rFonts w:hint="eastAsia" w:ascii="宋体" w:hAnsi="宋体" w:eastAsia="宋体" w:cs="宋体"/>
          <w:sz w:val="24"/>
          <w:shd w:val="clear" w:color="auto" w:fill="ffffff"/>
        </w:rPr>
        <w:t xml:space="preserve">系统供应商操作手册》：在盐城市政府采购网点击【办事指南】-【供应商参与政府采购活动相关资料】。</w:t>
      </w:r>
      <w:r/>
    </w:p>
    <w:p>
      <w:pPr>
        <w:pStyle w:val="695"/>
        <w:ind w:firstLine="54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695"/>
        <w:ind w:firstLine="54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695"/>
        <w:ind w:firstLine="54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695"/>
        <w:ind w:firstLine="54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695"/>
        <w:ind w:firstLine="54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695"/>
        <w:ind w:firstLine="540"/>
        <w:jc w:val="both"/>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3.有关本次招标的事项若存在变动或修改，敬请及时关注招标人在“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5.本项目采用综合评分法确定中标候选人，具体详见招标文件第五章。</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6.付款方式：本项目采购合同签订后，支付合同总价的30%作为预付款(支付预付款时须提供同等金额的银行保函)，中标人按招标人要求将货物送到指定地点，经采购人组织验收合格后付至合同价的70%；供货全部结束后经采购人验收合格后付清合同款，结算时，投标人须提供税务发票。采购人在收到发票后 10 </w:t>
      </w:r>
      <w:r>
        <w:rPr>
          <w:rFonts w:hint="eastAsia" w:ascii="宋体" w:hAnsi="宋体" w:eastAsia="宋体" w:cs="宋体"/>
          <w:shd w:val="clear" w:color="auto" w:fill="ffffff"/>
        </w:rPr>
        <w:t xml:space="preserve">个</w:t>
      </w:r>
      <w:r>
        <w:rPr>
          <w:rFonts w:hint="eastAsia" w:ascii="宋体" w:hAnsi="宋体" w:eastAsia="宋体" w:cs="宋体"/>
          <w:shd w:val="clear" w:color="auto" w:fill="ffffff"/>
        </w:rPr>
        <w:t xml:space="preserve">工作日内支付到合同约定的中标人银行账户。</w:t>
      </w:r>
      <w:r/>
    </w:p>
    <w:p>
      <w:pPr>
        <w:pStyle w:val="684"/>
        <w:ind w:firstLine="480"/>
        <w:jc w:val="both"/>
        <w:spacing w:beforeAutospacing="0" w:afterAutospacing="0" w:line="500" w:lineRule="exac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2"/>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称：滨海县畜牧兽医站</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 系 人：</w:t>
      </w:r>
      <w:r>
        <w:rPr>
          <w:rFonts w:hint="eastAsia" w:ascii="宋体" w:hAnsi="宋体" w:eastAsia="宋体" w:cs="宋体"/>
          <w:shd w:val="clear" w:color="auto" w:fill="ffffff"/>
        </w:rPr>
        <w:t xml:space="preserve">皋</w:t>
      </w:r>
      <w:r>
        <w:rPr>
          <w:rFonts w:hint="eastAsia" w:ascii="宋体" w:hAnsi="宋体" w:eastAsia="宋体" w:cs="宋体"/>
          <w:shd w:val="clear" w:color="auto" w:fill="ffffff"/>
        </w:rPr>
        <w:t xml:space="preserve">女士 </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联系电话：13912584991</w:t>
      </w:r>
      <w:r/>
    </w:p>
    <w:p>
      <w:pPr>
        <w:pStyle w:val="695"/>
        <w:ind w:firstLine="560"/>
        <w:jc w:val="both"/>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shd w:val="clear" w:color="auto" w:fill="ffffff"/>
        </w:rPr>
        <w:t xml:space="preserve">盐城市智强</w:t>
      </w:r>
      <w:r>
        <w:rPr>
          <w:rFonts w:hint="eastAsia" w:ascii="宋体" w:hAnsi="宋体" w:eastAsia="宋体" w:cs="宋体"/>
          <w:shd w:val="clear" w:color="auto" w:fill="ffffff"/>
        </w:rPr>
        <w:t xml:space="preserve">项目管理有限公司 </w:t>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w:t>
      </w:r>
      <w:r>
        <w:rPr>
          <w:rFonts w:hint="eastAsia" w:ascii="宋体" w:hAnsi="宋体" w:eastAsia="宋体" w:cs="宋体"/>
          <w:shd w:val="clear" w:color="auto" w:fill="ffffff"/>
        </w:rPr>
        <w:t xml:space="preserve">：滨海县政务服务中心二楼G区2202室</w:t>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 系 人：</w:t>
      </w:r>
      <w:bookmarkStart w:id="33" w:name="OLE_LINK2"/>
      <w:r>
        <w:rPr>
          <w:rFonts w:hint="eastAsia" w:ascii="宋体" w:hAnsi="宋体" w:eastAsia="宋体" w:cs="宋体"/>
          <w:shd w:val="clear" w:color="auto" w:fill="ffffff"/>
        </w:rPr>
        <w:t xml:space="preserve">高先生</w:t>
      </w:r>
      <w:bookmarkEnd w:id="33"/>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联系电话：</w:t>
      </w:r>
      <w:bookmarkStart w:id="34" w:name="OLE_LINK3"/>
      <w:r>
        <w:rPr>
          <w:rFonts w:hint="eastAsia" w:ascii="宋体" w:hAnsi="宋体" w:eastAsia="宋体" w:cs="宋体"/>
          <w:shd w:val="clear" w:color="auto" w:fill="ffffff"/>
        </w:rPr>
        <w:t xml:space="preserve">15950201008</w:t>
      </w:r>
      <w:bookmarkEnd w:id="34"/>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邮</w:t>
      </w:r>
      <w:r>
        <w:rPr>
          <w:rFonts w:hint="eastAsia" w:ascii="宋体" w:hAnsi="宋体" w:eastAsia="宋体" w:cs="宋体"/>
          <w:shd w:val="clear" w:color="auto" w:fill="ffffff"/>
        </w:rPr>
        <w:t xml:space="preserve">    箱：2515310923@qq.com </w:t>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3.项目联系人</w:t>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 系 人：</w:t>
      </w:r>
      <w:bookmarkStart w:id="35" w:name="OLE_LINK1"/>
      <w:r>
        <w:rPr>
          <w:rFonts w:hint="eastAsia" w:ascii="宋体" w:hAnsi="宋体" w:eastAsia="宋体" w:cs="宋体"/>
          <w:shd w:val="clear" w:color="auto" w:fill="ffffff"/>
        </w:rPr>
        <w:t xml:space="preserve">皋</w:t>
      </w:r>
      <w:r>
        <w:rPr>
          <w:rFonts w:hint="eastAsia" w:ascii="宋体" w:hAnsi="宋体" w:eastAsia="宋体" w:cs="宋体"/>
          <w:shd w:val="clear" w:color="auto" w:fill="ffffff"/>
        </w:rPr>
        <w:t xml:space="preserve">女士</w:t>
      </w:r>
      <w:bookmarkEnd w:id="35"/>
      <w:r>
        <w:rPr>
          <w:rFonts w:hint="eastAsia" w:ascii="宋体" w:hAnsi="宋体" w:eastAsia="宋体" w:cs="宋体"/>
          <w:shd w:val="clear" w:color="auto" w:fill="ffffff"/>
        </w:rPr>
        <w:t xml:space="preserve"> </w:t>
      </w:r>
      <w:r/>
    </w:p>
    <w:p>
      <w:pPr>
        <w:pStyle w:val="695"/>
        <w:ind w:firstLine="561"/>
        <w:jc w:val="both"/>
        <w:spacing w:beforeAutospacing="0" w:afterAutospacing="0" w:line="48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联系电话：13912584991 </w:t>
      </w:r>
      <w:r/>
    </w:p>
    <w:p>
      <w:pPr>
        <w:jc w:val="center"/>
      </w:pPr>
      <w:r/>
      <w:bookmarkStart w:id="36" w:name="_Toc120614211"/>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7" w:name="_Toc120614213"/>
      <w:r/>
      <w:bookmarkStart w:id="38" w:name="_Toc16938518"/>
      <w:r/>
      <w:bookmarkStart w:id="39" w:name="_Toc513029202"/>
      <w:r/>
      <w:bookmarkStart w:id="40" w:name="_Toc20823274"/>
      <w:r/>
      <w:bookmarkEnd w:id="36"/>
      <w:r>
        <w:rPr>
          <w:rFonts w:hint="eastAsia" w:ascii="黑体" w:hAnsi="宋体" w:eastAsia="黑体" w:cs="黑体"/>
          <w:b/>
          <w:sz w:val="44"/>
          <w:szCs w:val="44"/>
        </w:rPr>
        <w:t xml:space="preserve">投标人须知</w:t>
      </w:r>
      <w:bookmarkEnd w:id="37"/>
      <w:r/>
      <w:bookmarkEnd w:id="38"/>
      <w:r/>
      <w:bookmarkEnd w:id="39"/>
      <w:r/>
      <w:bookmarkEnd w:id="40"/>
      <w:r/>
      <w:r/>
    </w:p>
    <w:p>
      <w:pPr>
        <w:pStyle w:val="695"/>
        <w:ind w:firstLine="498"/>
        <w:jc w:val="both"/>
        <w:keepLines/>
        <w:keepNext/>
        <w:spacing w:before="145" w:beforeAutospacing="0" w:after="145" w:afterAutospacing="0" w:line="360" w:lineRule="auto"/>
        <w:rPr>
          <w:rFonts w:hint="eastAsia" w:ascii="宋体" w:hAnsi="宋体" w:eastAsia="宋体" w:cs="宋体"/>
        </w:rPr>
      </w:pPr>
      <w:r/>
      <w:bookmarkStart w:id="41" w:name="_Toc20823275"/>
      <w:r/>
      <w:bookmarkStart w:id="42" w:name="_Toc16938519"/>
      <w:r/>
      <w:bookmarkStart w:id="43" w:name="_Toc120614214"/>
      <w:r/>
      <w:bookmarkStart w:id="44" w:name="_Toc513029203"/>
      <w:r>
        <w:rPr>
          <w:rFonts w:hint="eastAsia" w:ascii="宋体" w:hAnsi="宋体" w:eastAsia="宋体" w:cs="宋体"/>
          <w:b/>
        </w:rPr>
        <w:t xml:space="preserve">一、总则</w:t>
      </w:r>
      <w:bookmarkEnd w:id="41"/>
      <w:r/>
      <w:bookmarkEnd w:id="42"/>
      <w:r/>
      <w:bookmarkEnd w:id="43"/>
      <w:r/>
      <w:bookmarkEnd w:id="44"/>
      <w:r/>
      <w:r/>
    </w:p>
    <w:p>
      <w:pPr>
        <w:pStyle w:val="695"/>
        <w:ind w:firstLine="420"/>
        <w:jc w:val="both"/>
        <w:keepLines/>
        <w:keepNext/>
        <w:spacing w:beforeAutospacing="0" w:afterAutospacing="0"/>
        <w:rPr>
          <w:rFonts w:hint="eastAsia" w:ascii="宋体" w:hAnsi="宋体" w:eastAsia="宋体" w:cs="宋体"/>
        </w:rPr>
      </w:pPr>
      <w:r/>
      <w:bookmarkStart w:id="45" w:name="_Toc20823276"/>
      <w:r/>
      <w:bookmarkStart w:id="46" w:name="_Toc458694821"/>
      <w:r/>
      <w:bookmarkStart w:id="47" w:name="_Toc16938520"/>
      <w:r/>
      <w:bookmarkStart w:id="48" w:name="_Toc513029204"/>
      <w:r/>
      <w:bookmarkStart w:id="49" w:name="_Hlt16619475"/>
      <w:r>
        <w:rPr>
          <w:rFonts w:hint="eastAsia" w:ascii="宋体" w:hAnsi="宋体" w:eastAsia="宋体" w:cs="宋体"/>
        </w:rPr>
        <w:t xml:space="preserve">1</w:t>
      </w:r>
      <w:bookmarkEnd w:id="45"/>
      <w:r>
        <w:rPr>
          <w:rFonts w:hint="eastAsia" w:ascii="宋体" w:hAnsi="宋体" w:eastAsia="宋体" w:cs="宋体"/>
        </w:rPr>
        <w:t xml:space="preserve">、招标方式</w:t>
      </w:r>
      <w:bookmarkEnd w:id="46"/>
      <w:r/>
      <w:bookmarkEnd w:id="47"/>
      <w:r/>
      <w:bookmarkEnd w:id="48"/>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695"/>
        <w:ind w:firstLine="420"/>
        <w:jc w:val="both"/>
        <w:keepLines/>
        <w:keepNext/>
        <w:spacing w:beforeAutospacing="0" w:afterAutospacing="0"/>
        <w:rPr>
          <w:rFonts w:hint="eastAsia" w:ascii="宋体" w:hAnsi="宋体" w:eastAsia="宋体" w:cs="宋体"/>
        </w:rPr>
      </w:pPr>
      <w:r/>
      <w:bookmarkStart w:id="50" w:name="_Toc16938521"/>
      <w:r/>
      <w:bookmarkStart w:id="51" w:name="_Toc20823277"/>
      <w:r/>
      <w:bookmarkStart w:id="52" w:name="_Toc513029205"/>
      <w:r>
        <w:rPr>
          <w:rFonts w:hint="eastAsia" w:ascii="宋体" w:hAnsi="宋体" w:eastAsia="宋体" w:cs="宋体"/>
        </w:rPr>
        <w:t xml:space="preserve">2、合格的投标人</w:t>
      </w:r>
      <w:bookmarkEnd w:id="50"/>
      <w:r/>
      <w:bookmarkEnd w:id="51"/>
      <w:r/>
      <w:bookmarkEnd w:id="52"/>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 满足本文件实质性要求和条件的规定。</w:t>
      </w:r>
      <w:r/>
    </w:p>
    <w:p>
      <w:pPr>
        <w:ind w:firstLine="420"/>
        <w:spacing w:line="400" w:lineRule="exact"/>
        <w:rPr>
          <w:rFonts w:hint="eastAsia" w:ascii="方正魏碑_GBK" w:hAnsi="方正魏碑_GBK" w:eastAsia="方正魏碑_GBK" w:cs="方正魏碑_GBK"/>
          <w:sz w:val="24"/>
          <w:szCs w:val="21"/>
        </w:rPr>
      </w:pPr>
      <w:r/>
      <w:bookmarkStart w:id="53" w:name="_Toc16938522"/>
      <w:r/>
      <w:bookmarkStart w:id="54" w:name="_Toc513029206"/>
      <w:r/>
      <w:bookmarkStart w:id="55" w:name="_Toc20823278"/>
      <w:r>
        <w:rPr>
          <w:rFonts w:hint="eastAsia" w:ascii="方正魏碑_GBK" w:hAnsi="方正魏碑_GBK" w:eastAsia="方正魏碑_GBK" w:cs="方正魏碑_GBK"/>
          <w:sz w:val="24"/>
          <w:szCs w:val="21"/>
        </w:rPr>
        <w:t xml:space="preserve">3、适用法律</w:t>
      </w:r>
      <w:bookmarkEnd w:id="53"/>
      <w:r/>
      <w:bookmarkEnd w:id="54"/>
      <w:r/>
      <w:bookmarkEnd w:id="55"/>
      <w:r>
        <w:rPr>
          <w:rFonts w:hint="eastAsia" w:ascii="方正魏碑_GBK" w:hAnsi="方正魏碑_GBK" w:eastAsia="方正魏碑_GBK" w:cs="方正魏碑_GBK"/>
          <w:sz w:val="24"/>
          <w:szCs w:val="21"/>
        </w:rPr>
        <w:t xml:space="preserve">和标准</w:t>
      </w:r>
      <w:r/>
    </w:p>
    <w:p>
      <w:pPr>
        <w:pStyle w:val="695"/>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95"/>
        <w:ind w:firstLine="420"/>
        <w:jc w:val="both"/>
        <w:keepLines/>
        <w:keepNext/>
        <w:spacing w:beforeAutospacing="0" w:afterAutospacing="0"/>
        <w:rPr>
          <w:rFonts w:hint="eastAsia" w:ascii="宋体" w:hAnsi="宋体" w:eastAsia="宋体" w:cs="宋体"/>
        </w:rPr>
      </w:pPr>
      <w:r/>
      <w:bookmarkStart w:id="56" w:name="_Toc513029207"/>
      <w:r/>
      <w:bookmarkStart w:id="57" w:name="_Toc462564067"/>
      <w:r/>
      <w:bookmarkStart w:id="58" w:name="_Toc20823279"/>
      <w:r/>
      <w:bookmarkStart w:id="59" w:name="_Toc16938523"/>
      <w:r>
        <w:rPr>
          <w:rFonts w:hint="eastAsia" w:ascii="宋体" w:hAnsi="宋体" w:eastAsia="宋体" w:cs="宋体"/>
        </w:rPr>
        <w:t xml:space="preserve">4、投标费用</w:t>
      </w:r>
      <w:bookmarkEnd w:id="56"/>
      <w:r/>
      <w:bookmarkEnd w:id="57"/>
      <w:r/>
      <w:bookmarkEnd w:id="58"/>
      <w:r/>
      <w:bookmarkEnd w:id="59"/>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投标人应自行承担所有与参加投标有关的费用，无论投标过程中的做法和结果如何，招标代理和招标人在任何情况下均无义务和责任承担这些费用。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4.2本次招标代理机构和采购人不收取标书工本费。</w:t>
      </w:r>
      <w:r/>
    </w:p>
    <w:p>
      <w:pPr>
        <w:ind w:firstLine="480"/>
        <w:spacing w:line="0" w:lineRule="atLeast"/>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4.3 本项目采购代理服务费由中标（成交）供应商支付。原因如下：</w:t>
      </w:r>
      <w:r/>
    </w:p>
    <w:p>
      <w:pPr>
        <w:ind w:firstLine="480"/>
        <w:spacing w:line="0" w:lineRule="atLeast"/>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4.3.1采购人年度部门预算及本项目政府采购预算中，未单独列支采购代理服务费；</w:t>
      </w:r>
      <w:r/>
    </w:p>
    <w:p>
      <w:pPr>
        <w:ind w:firstLine="480"/>
        <w:spacing w:line="0" w:lineRule="atLeast"/>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4.3.2采购人已与社会采购代理机构在《委托代理协议》中明确约定由中标（成交）供应商承担该费用；</w:t>
      </w:r>
      <w:r/>
    </w:p>
    <w:p>
      <w:pPr>
        <w:ind w:firstLine="480"/>
        <w:spacing w:line="0" w:lineRule="atLeast"/>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4.3.3采购代理服务属于采购活动的组织服务成本，由最终受益方（中标人）承担符合</w:t>
      </w:r>
      <w:r>
        <w:rPr>
          <w:rFonts w:hint="eastAsia" w:ascii="宋体" w:hAnsi="宋体" w:eastAsia="宋体" w:cs="宋体"/>
          <w:sz w:val="24"/>
          <w:shd w:val="clear" w:color="auto" w:fill="ffffff"/>
        </w:rPr>
        <w:t xml:space="preserve">民事对</w:t>
      </w:r>
      <w:r>
        <w:rPr>
          <w:rFonts w:hint="eastAsia" w:ascii="宋体" w:hAnsi="宋体" w:eastAsia="宋体" w:cs="宋体"/>
          <w:sz w:val="24"/>
          <w:shd w:val="clear" w:color="auto" w:fill="ffffff"/>
        </w:rPr>
        <w:t xml:space="preserve">价原则与公平原则；</w:t>
      </w:r>
      <w:r/>
    </w:p>
    <w:p>
      <w:pPr>
        <w:ind w:firstLine="480"/>
        <w:spacing w:line="0" w:lineRule="atLeast"/>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4.3.4该费用已包含在投标总报价中，供应商参与投标即视为接受该约定并已在报价中综合考虑，</w:t>
      </w:r>
      <w:r>
        <w:rPr>
          <w:rFonts w:hint="eastAsia" w:ascii="宋体" w:hAnsi="宋体" w:eastAsia="宋体" w:cs="宋体"/>
          <w:sz w:val="24"/>
          <w:shd w:val="clear" w:color="auto" w:fill="ffffff"/>
        </w:rPr>
        <w:t xml:space="preserve">不</w:t>
      </w:r>
      <w:r>
        <w:rPr>
          <w:rFonts w:hint="eastAsia" w:ascii="宋体" w:hAnsi="宋体" w:eastAsia="宋体" w:cs="宋体"/>
          <w:sz w:val="24"/>
          <w:shd w:val="clear" w:color="auto" w:fill="ffffff"/>
        </w:rPr>
        <w:t xml:space="preserve">额外增加中标人负担。</w:t>
      </w:r>
      <w:r/>
    </w:p>
    <w:p>
      <w:pPr>
        <w:ind w:firstLine="480"/>
        <w:spacing w:line="0" w:lineRule="atLeast"/>
        <w:rPr>
          <w:rFonts w:hint="eastAsia" w:ascii="宋体" w:hAnsi="宋体" w:eastAsia="宋体" w:cs="宋体"/>
          <w:sz w:val="24"/>
        </w:rPr>
      </w:pPr>
      <w:r>
        <w:rPr>
          <w:rFonts w:hint="eastAsia" w:ascii="宋体" w:hAnsi="宋体" w:eastAsia="宋体" w:cs="宋体"/>
          <w:sz w:val="24"/>
          <w:shd w:val="clear" w:color="auto" w:fill="ffffff"/>
        </w:rPr>
        <w:t xml:space="preserve">4.3.5本项目招标代理服务费依据《江苏省政府采购代理服务收费指导意见》的通知（</w:t>
      </w:r>
      <w:r>
        <w:rPr>
          <w:rFonts w:hint="eastAsia" w:ascii="宋体" w:hAnsi="宋体" w:eastAsia="宋体" w:cs="宋体"/>
          <w:sz w:val="24"/>
          <w:shd w:val="clear" w:color="auto" w:fill="ffffff"/>
        </w:rPr>
        <w:t xml:space="preserve">苏政采〔2024〕</w:t>
      </w:r>
      <w:r>
        <w:rPr>
          <w:rFonts w:hint="eastAsia" w:ascii="宋体" w:hAnsi="宋体" w:eastAsia="宋体" w:cs="宋体"/>
          <w:sz w:val="24"/>
          <w:shd w:val="clear" w:color="auto" w:fill="ffffff"/>
        </w:rPr>
        <w:t xml:space="preserve">20号）执行，招标人约定由中标人代招标人向招标代理机构一次性支付招标代理服务费人民币18000元，项目中标人按照比例分摊结算。投标人须将此费用纳入投标报价中，招标人</w:t>
      </w:r>
      <w:r>
        <w:rPr>
          <w:rFonts w:hint="eastAsia" w:ascii="宋体" w:hAnsi="宋体" w:eastAsia="宋体" w:cs="宋体"/>
          <w:sz w:val="24"/>
          <w:shd w:val="clear" w:color="auto" w:fill="ffffff"/>
        </w:rPr>
        <w:t xml:space="preserve">不</w:t>
      </w:r>
      <w:r>
        <w:rPr>
          <w:rFonts w:hint="eastAsia" w:ascii="宋体" w:hAnsi="宋体" w:eastAsia="宋体" w:cs="宋体"/>
          <w:sz w:val="24"/>
          <w:shd w:val="clear" w:color="auto" w:fill="ffffff"/>
        </w:rPr>
        <w:t xml:space="preserve">另行支付。</w:t>
      </w:r>
      <w:r/>
    </w:p>
    <w:p>
      <w:pPr>
        <w:pStyle w:val="695"/>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695"/>
        <w:ind w:firstLine="321"/>
        <w:jc w:val="both"/>
        <w:keepLines/>
        <w:keepNext/>
        <w:spacing w:before="145" w:beforeAutospacing="0" w:after="145" w:afterAutospacing="0" w:line="360" w:lineRule="auto"/>
        <w:rPr>
          <w:rFonts w:hint="eastAsia" w:ascii="宋体" w:hAnsi="宋体" w:eastAsia="宋体" w:cs="宋体"/>
        </w:rPr>
      </w:pPr>
      <w:r/>
      <w:bookmarkStart w:id="60" w:name="_Toc120614215"/>
      <w:r/>
      <w:bookmarkStart w:id="61" w:name="_Toc16938525"/>
      <w:r/>
      <w:bookmarkStart w:id="62" w:name="_Toc20823281"/>
      <w:r/>
      <w:bookmarkStart w:id="63" w:name="_Toc513029209"/>
      <w:r>
        <w:rPr>
          <w:rFonts w:hint="eastAsia" w:ascii="宋体" w:hAnsi="宋体" w:eastAsia="宋体" w:cs="宋体"/>
          <w:b/>
        </w:rPr>
        <w:t xml:space="preserve">二、招标文件</w:t>
      </w:r>
      <w:bookmarkEnd w:id="60"/>
      <w:r/>
      <w:bookmarkEnd w:id="61"/>
      <w:r/>
      <w:bookmarkEnd w:id="62"/>
      <w:r/>
      <w:bookmarkEnd w:id="63"/>
      <w:r/>
      <w:r/>
    </w:p>
    <w:p>
      <w:pPr>
        <w:pStyle w:val="695"/>
        <w:ind w:firstLine="420"/>
        <w:jc w:val="both"/>
        <w:keepLines/>
        <w:keepNext/>
        <w:spacing w:beforeAutospacing="0" w:afterAutospacing="0"/>
        <w:rPr>
          <w:rFonts w:hint="eastAsia" w:ascii="宋体" w:hAnsi="宋体" w:eastAsia="宋体" w:cs="宋体"/>
        </w:rPr>
      </w:pPr>
      <w:r/>
      <w:bookmarkStart w:id="64" w:name="_Toc16938526"/>
      <w:r/>
      <w:bookmarkStart w:id="65" w:name="_Toc20823282"/>
      <w:r/>
      <w:bookmarkStart w:id="66" w:name="_Toc513029210"/>
      <w:r>
        <w:rPr>
          <w:rFonts w:hint="eastAsia" w:ascii="宋体" w:hAnsi="宋体" w:eastAsia="宋体" w:cs="宋体"/>
        </w:rPr>
        <w:t xml:space="preserve">6、招标文件构成</w:t>
      </w:r>
      <w:bookmarkEnd w:id="64"/>
      <w:r/>
      <w:bookmarkEnd w:id="65"/>
      <w:r/>
      <w:bookmarkEnd w:id="66"/>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69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69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69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69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695"/>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69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立即与采购人或代理机构联系解决。</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695"/>
        <w:ind w:firstLine="560"/>
        <w:jc w:val="both"/>
        <w:keepLines/>
        <w:keepNext/>
        <w:spacing w:beforeAutospacing="0" w:afterAutospacing="0"/>
        <w:rPr>
          <w:rFonts w:hint="eastAsia" w:ascii="宋体" w:hAnsi="宋体" w:eastAsia="宋体" w:cs="宋体"/>
        </w:rPr>
      </w:pPr>
      <w:r/>
      <w:bookmarkStart w:id="67" w:name="_Toc20823283"/>
      <w:r/>
      <w:bookmarkStart w:id="68" w:name="_Toc513029211"/>
      <w:r/>
      <w:bookmarkStart w:id="69" w:name="_Toc16938527"/>
      <w:r/>
      <w:bookmarkStart w:id="70" w:name="_Toc462564070"/>
      <w:r>
        <w:rPr>
          <w:rFonts w:hint="eastAsia" w:ascii="宋体" w:hAnsi="宋体" w:eastAsia="宋体" w:cs="宋体"/>
        </w:rPr>
        <w:t xml:space="preserve">7、招标文件的澄清</w:t>
      </w:r>
      <w:bookmarkEnd w:id="67"/>
      <w:r/>
      <w:bookmarkEnd w:id="68"/>
      <w:r/>
      <w:bookmarkEnd w:id="69"/>
      <w:r/>
      <w:bookmarkEnd w:id="70"/>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前按招标公告中的通讯地址，以书面形式通知采购人或代理机构。</w:t>
      </w:r>
      <w:r/>
    </w:p>
    <w:p>
      <w:pPr>
        <w:pStyle w:val="695"/>
        <w:ind w:firstLine="560"/>
        <w:jc w:val="both"/>
        <w:keepLines/>
        <w:keepNext/>
        <w:spacing w:beforeAutospacing="0" w:afterAutospacing="0"/>
        <w:rPr>
          <w:rFonts w:hint="eastAsia" w:ascii="宋体" w:hAnsi="宋体" w:eastAsia="宋体" w:cs="宋体"/>
        </w:rPr>
      </w:pPr>
      <w:r/>
      <w:bookmarkStart w:id="71" w:name="_Toc462564071"/>
      <w:r/>
      <w:bookmarkStart w:id="72" w:name="_Toc20823284"/>
      <w:r/>
      <w:bookmarkStart w:id="73" w:name="_Toc16938528"/>
      <w:r/>
      <w:bookmarkStart w:id="74" w:name="_Toc513029212"/>
      <w:r>
        <w:rPr>
          <w:rFonts w:hint="eastAsia" w:ascii="宋体" w:hAnsi="宋体" w:eastAsia="宋体" w:cs="宋体"/>
        </w:rPr>
        <w:t xml:space="preserve">8、招标文件的修改</w:t>
      </w:r>
      <w:bookmarkEnd w:id="71"/>
      <w:r/>
      <w:bookmarkEnd w:id="72"/>
      <w:r/>
      <w:bookmarkEnd w:id="73"/>
      <w:r/>
      <w:bookmarkEnd w:id="74"/>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 在投标截止时间前，采购人或代理机构可以对招标文件进行修改。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 采购人或代理机构有权按照法定的要求推迟投标截止日期和开标日期。</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95"/>
        <w:ind w:firstLine="482"/>
        <w:jc w:val="both"/>
        <w:keepLines/>
        <w:keepNext/>
        <w:spacing w:before="145" w:beforeAutospacing="0" w:after="145" w:afterAutospacing="0" w:line="360" w:lineRule="auto"/>
        <w:rPr>
          <w:rFonts w:hint="eastAsia" w:ascii="宋体" w:hAnsi="宋体" w:eastAsia="宋体" w:cs="宋体"/>
        </w:rPr>
      </w:pPr>
      <w:r/>
      <w:bookmarkStart w:id="75" w:name="_Toc513029213"/>
      <w:r/>
      <w:bookmarkStart w:id="76" w:name="_Toc16938529"/>
      <w:r/>
      <w:bookmarkStart w:id="77" w:name="_Toc20823285"/>
      <w:r/>
      <w:bookmarkStart w:id="78" w:name="_Toc120614216"/>
      <w:r/>
      <w:bookmarkStart w:id="79" w:name="_Toc462564072"/>
      <w:r>
        <w:rPr>
          <w:rFonts w:hint="eastAsia" w:ascii="宋体" w:hAnsi="宋体" w:eastAsia="宋体" w:cs="宋体"/>
          <w:b/>
        </w:rPr>
        <w:t xml:space="preserve">三、投标文件的编制</w:t>
      </w:r>
      <w:bookmarkEnd w:id="75"/>
      <w:r/>
      <w:bookmarkEnd w:id="76"/>
      <w:r/>
      <w:bookmarkEnd w:id="77"/>
      <w:r/>
      <w:bookmarkEnd w:id="78"/>
      <w:r/>
      <w:bookmarkEnd w:id="79"/>
      <w:r/>
      <w:r/>
    </w:p>
    <w:p>
      <w:pPr>
        <w:pStyle w:val="695"/>
        <w:ind w:firstLine="560"/>
        <w:jc w:val="both"/>
        <w:keepLines/>
        <w:keepNext/>
        <w:spacing w:beforeAutospacing="0" w:afterAutospacing="0"/>
        <w:rPr>
          <w:rFonts w:hint="eastAsia" w:ascii="宋体" w:hAnsi="宋体" w:eastAsia="宋体" w:cs="宋体"/>
        </w:rPr>
      </w:pPr>
      <w:r/>
      <w:bookmarkStart w:id="80" w:name="_Toc462564073"/>
      <w:r/>
      <w:bookmarkStart w:id="81" w:name="_Toc513029214"/>
      <w:r/>
      <w:bookmarkStart w:id="82" w:name="_Toc16938530"/>
      <w:r/>
      <w:bookmarkStart w:id="83" w:name="_Toc20823286"/>
      <w:r>
        <w:rPr>
          <w:rFonts w:hint="eastAsia" w:ascii="宋体" w:hAnsi="宋体" w:eastAsia="宋体" w:cs="宋体"/>
        </w:rPr>
        <w:t xml:space="preserve">9、投标文件的语言及度量衡单位</w:t>
      </w:r>
      <w:bookmarkEnd w:id="80"/>
      <w:r/>
      <w:bookmarkEnd w:id="81"/>
      <w:r/>
      <w:bookmarkEnd w:id="82"/>
      <w:r/>
      <w:bookmarkEnd w:id="83"/>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 投标人提交的投标文件以及投标人与采购人或代理机构就有关投标的所有来往通知、函件和文件均应使用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695"/>
        <w:ind w:firstLine="420"/>
        <w:jc w:val="both"/>
        <w:keepLines/>
        <w:keepNext/>
        <w:spacing w:beforeAutospacing="0" w:afterAutospacing="0"/>
        <w:rPr>
          <w:rFonts w:hint="eastAsia" w:ascii="宋体" w:hAnsi="宋体" w:eastAsia="宋体" w:cs="宋体"/>
        </w:rPr>
      </w:pPr>
      <w:r/>
      <w:bookmarkStart w:id="84" w:name="_Toc513029215"/>
      <w:r/>
      <w:bookmarkStart w:id="85" w:name="_Toc16938531"/>
      <w:r/>
      <w:bookmarkStart w:id="86" w:name="_Toc462564074"/>
      <w:r/>
      <w:bookmarkStart w:id="87" w:name="_Toc20823287"/>
      <w:r>
        <w:rPr>
          <w:rFonts w:hint="eastAsia" w:ascii="宋体" w:hAnsi="宋体" w:eastAsia="宋体" w:cs="宋体"/>
        </w:rPr>
        <w:t xml:space="preserve">10、投标文件构成</w:t>
      </w:r>
      <w:bookmarkEnd w:id="84"/>
      <w:r/>
      <w:bookmarkEnd w:id="85"/>
      <w:r/>
      <w:bookmarkEnd w:id="86"/>
      <w:r/>
      <w:bookmarkEnd w:id="87"/>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695"/>
        <w:ind w:firstLine="420"/>
        <w:jc w:val="both"/>
        <w:keepLines/>
        <w:keepNext/>
        <w:spacing w:beforeAutospacing="0" w:afterAutospacing="0"/>
        <w:rPr>
          <w:rFonts w:hint="eastAsia" w:ascii="宋体" w:hAnsi="宋体" w:eastAsia="宋体" w:cs="宋体"/>
        </w:rPr>
      </w:pPr>
      <w:r/>
      <w:bookmarkStart w:id="88" w:name="_Toc14577354"/>
      <w:r/>
      <w:bookmarkStart w:id="89" w:name="_Toc14577355"/>
      <w:r/>
      <w:bookmarkStart w:id="90" w:name="_Toc49090508"/>
      <w:r/>
      <w:bookmarkStart w:id="91" w:name="_Toc513029219"/>
      <w:r/>
      <w:bookmarkStart w:id="92" w:name="_Toc49090509"/>
      <w:r/>
      <w:bookmarkStart w:id="93" w:name="_Toc49090507"/>
      <w:r/>
      <w:bookmarkStart w:id="94" w:name="_Toc513029216"/>
      <w:r/>
      <w:bookmarkStart w:id="95" w:name="_Toc14577357"/>
      <w:r/>
      <w:bookmarkStart w:id="96" w:name="_Hlt26670360"/>
      <w:r/>
      <w:bookmarkStart w:id="97" w:name="_Hlt26954838"/>
      <w:r/>
      <w:bookmarkStart w:id="98" w:name="_Hlt26668975"/>
      <w:r>
        <w:rPr>
          <w:rFonts w:hint="eastAsia" w:ascii="宋体" w:hAnsi="宋体" w:eastAsia="宋体" w:cs="宋体"/>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11.1 投标人应按照招标文件要求提交证明文件，证明其及投标标的符合招标文件规定。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95"/>
        <w:ind w:firstLine="420"/>
        <w:jc w:val="both"/>
        <w:keepLines/>
        <w:keepNext/>
        <w:spacing w:beforeAutospacing="0" w:afterAutospacing="0"/>
        <w:rPr>
          <w:rFonts w:hint="eastAsia" w:ascii="宋体" w:hAnsi="宋体" w:eastAsia="宋体" w:cs="宋体"/>
        </w:rPr>
      </w:pPr>
      <w:r/>
      <w:bookmarkStart w:id="99" w:name="_Hlt26670486"/>
      <w:r/>
      <w:bookmarkStart w:id="100" w:name="_Hlt26954731"/>
      <w:r/>
      <w:bookmarkStart w:id="101" w:name="_Hlt26670482"/>
      <w:r/>
      <w:bookmarkStart w:id="102" w:name="_Hlt26954848"/>
      <w:r/>
      <w:bookmarkStart w:id="103" w:name="_Hlt26954846"/>
      <w:r>
        <w:rPr>
          <w:rFonts w:hint="eastAsia" w:ascii="宋体" w:hAnsi="宋体" w:eastAsia="宋体" w:cs="宋体"/>
        </w:rPr>
        <w:t xml:space="preserve">13、技术要求响应及偏离表、商务要求响应及偏离表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14、服务承诺、培训计划、人员安排及其他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w:t>
      </w:r>
      <w:r>
        <w:rPr>
          <w:rFonts w:hint="eastAsia" w:ascii="宋体" w:hAnsi="宋体" w:eastAsia="宋体" w:cs="宋体"/>
        </w:rPr>
        <w:t xml:space="preserve">机构的分布情况，售后服务人员的数量、素质、技术水平及售后服务的反应能力等。</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695"/>
        <w:ind w:firstLine="420"/>
        <w:jc w:val="both"/>
        <w:keepLines/>
        <w:keepNext/>
        <w:spacing w:beforeAutospacing="0" w:afterAutospacing="0"/>
        <w:rPr>
          <w:rFonts w:hint="eastAsia" w:ascii="宋体" w:hAnsi="宋体" w:eastAsia="宋体" w:cs="宋体"/>
        </w:rPr>
      </w:pPr>
      <w:r/>
      <w:bookmarkStart w:id="104" w:name="_Toc14577359"/>
      <w:r/>
      <w:bookmarkStart w:id="105" w:name="_Toc49090510"/>
      <w:r>
        <w:rPr>
          <w:rFonts w:hint="eastAsia" w:ascii="宋体" w:hAnsi="宋体" w:eastAsia="宋体" w:cs="宋体"/>
        </w:rPr>
        <w:t xml:space="preserve">15、投标函和开标一览表</w:t>
      </w:r>
      <w:bookmarkEnd w:id="104"/>
      <w:r/>
      <w:bookmarkEnd w:id="105"/>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695"/>
        <w:ind w:firstLine="420"/>
        <w:jc w:val="both"/>
        <w:keepLines/>
        <w:keepNext/>
        <w:spacing w:beforeAutospacing="0" w:afterAutospacing="0"/>
        <w:rPr>
          <w:rFonts w:hint="eastAsia" w:ascii="宋体" w:hAnsi="宋体" w:eastAsia="宋体" w:cs="宋体"/>
        </w:rPr>
      </w:pPr>
      <w:r/>
      <w:bookmarkStart w:id="106" w:name="_Toc49090511"/>
      <w:r/>
      <w:bookmarkStart w:id="107" w:name="_Toc14577360"/>
      <w:r>
        <w:rPr>
          <w:rFonts w:hint="eastAsia" w:ascii="宋体" w:hAnsi="宋体" w:eastAsia="宋体" w:cs="宋体"/>
        </w:rPr>
        <w:t xml:space="preserve">16、投标有效期</w:t>
      </w:r>
      <w:bookmarkEnd w:id="106"/>
      <w:r/>
      <w:bookmarkEnd w:id="107"/>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16.1投标有效期为采购人或代理机构规定的开标之日后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17、投标有效期的延长</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受投标有效期约束的所有权利与义务均延长至新的有效期。</w:t>
      </w:r>
      <w:r/>
    </w:p>
    <w:p>
      <w:pPr>
        <w:pStyle w:val="695"/>
        <w:jc w:val="both"/>
        <w:keepLines/>
        <w:keepNext/>
        <w:spacing w:before="145" w:beforeAutospacing="0" w:after="145" w:afterAutospacing="0" w:line="360" w:lineRule="auto"/>
        <w:rPr>
          <w:rFonts w:hint="eastAsia" w:ascii="宋体" w:hAnsi="宋体" w:eastAsia="宋体" w:cs="宋体"/>
        </w:rPr>
      </w:pPr>
      <w:r/>
      <w:bookmarkStart w:id="108" w:name="_Toc16938540"/>
      <w:r/>
      <w:bookmarkStart w:id="109" w:name="_Toc513029224"/>
      <w:r/>
      <w:bookmarkStart w:id="110" w:name="_Toc120614217"/>
      <w:r/>
      <w:bookmarkStart w:id="111" w:name="_Toc20823296"/>
      <w:r/>
      <w:bookmarkStart w:id="112" w:name="_Hlt26954739"/>
      <w:r/>
      <w:bookmarkStart w:id="113" w:name="_Hlt26954852"/>
      <w:r>
        <w:rPr>
          <w:rFonts w:hint="eastAsia" w:ascii="宋体" w:hAnsi="宋体" w:eastAsia="宋体" w:cs="宋体"/>
          <w:b/>
        </w:rPr>
        <w:t xml:space="preserve">四、投标文件的递交</w:t>
      </w:r>
      <w:bookmarkEnd w:id="108"/>
      <w:r/>
      <w:bookmarkEnd w:id="109"/>
      <w:r/>
      <w:bookmarkEnd w:id="110"/>
      <w:r/>
      <w:bookmarkEnd w:id="111"/>
      <w:r/>
      <w:r/>
    </w:p>
    <w:p>
      <w:pPr>
        <w:pStyle w:val="695"/>
        <w:ind w:firstLine="420"/>
        <w:jc w:val="both"/>
        <w:keepLines/>
        <w:keepNext/>
        <w:spacing w:beforeAutospacing="0" w:afterAutospacing="0"/>
        <w:rPr>
          <w:rFonts w:hint="eastAsia" w:ascii="宋体" w:hAnsi="宋体" w:eastAsia="宋体" w:cs="宋体"/>
        </w:rPr>
      </w:pPr>
      <w:r/>
      <w:bookmarkStart w:id="114" w:name="_Toc20823297"/>
      <w:r/>
      <w:bookmarkStart w:id="115" w:name="_Toc16938541"/>
      <w:r/>
      <w:bookmarkStart w:id="116" w:name="_Toc462564084"/>
      <w:r/>
      <w:bookmarkStart w:id="117" w:name="_Toc513029225"/>
      <w:r>
        <w:rPr>
          <w:rFonts w:hint="eastAsia" w:ascii="宋体" w:hAnsi="宋体" w:eastAsia="宋体" w:cs="宋体"/>
        </w:rPr>
        <w:t xml:space="preserve">18、电子投标文件</w:t>
      </w:r>
      <w:bookmarkEnd w:id="114"/>
      <w:r/>
      <w:bookmarkEnd w:id="115"/>
      <w:r/>
      <w:bookmarkEnd w:id="116"/>
      <w:r/>
      <w:bookmarkEnd w:id="117"/>
      <w:r>
        <w:rPr>
          <w:rFonts w:hint="eastAsia" w:ascii="宋体" w:hAnsi="宋体" w:eastAsia="宋体" w:cs="宋体"/>
        </w:rPr>
        <w:t xml:space="preserve">的递交</w:t>
      </w:r>
      <w:r/>
    </w:p>
    <w:p>
      <w:pPr>
        <w:pStyle w:val="695"/>
        <w:ind w:left="525"/>
        <w:jc w:val="both"/>
        <w:spacing w:beforeAutospacing="0" w:afterAutospacing="0"/>
        <w:rPr>
          <w:rFonts w:hint="eastAsia"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18" w:name="_Toc20823298"/>
      <w:r/>
      <w:bookmarkStart w:id="119" w:name="_Toc16938542"/>
      <w:r/>
      <w:bookmarkStart w:id="120" w:name="_Toc513029226"/>
      <w:r/>
      <w:bookmarkEnd w:id="118"/>
      <w:r/>
      <w:bookmarkEnd w:id="119"/>
      <w:r/>
      <w:r/>
    </w:p>
    <w:p>
      <w:pPr>
        <w:pStyle w:val="695"/>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19、投标截止日期</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19.2 采购人或代理机构可以按照规定，通过修改招标文件酌情延长投标截止日期，在此情况下，投标人的所有权利和义务以及投标人受制的截止日期均应以延长后新的截止日期为准。</w:t>
      </w:r>
      <w:r/>
    </w:p>
    <w:p>
      <w:pPr>
        <w:pStyle w:val="695"/>
        <w:ind w:firstLine="420"/>
        <w:jc w:val="both"/>
        <w:keepLines/>
        <w:keepNext/>
        <w:spacing w:beforeAutospacing="0" w:afterAutospacing="0"/>
        <w:rPr>
          <w:rFonts w:hint="eastAsia" w:ascii="宋体" w:hAnsi="宋体" w:eastAsia="宋体" w:cs="宋体"/>
        </w:rPr>
      </w:pPr>
      <w:r/>
      <w:bookmarkStart w:id="121" w:name="_Toc20823299"/>
      <w:r/>
      <w:bookmarkStart w:id="122" w:name="_Toc16938543"/>
      <w:r/>
      <w:bookmarkStart w:id="123" w:name="_Toc513029227"/>
      <w:r>
        <w:rPr>
          <w:rFonts w:hint="eastAsia" w:ascii="宋体" w:hAnsi="宋体" w:eastAsia="宋体" w:cs="宋体"/>
        </w:rPr>
        <w:t xml:space="preserve">20、投标文件</w:t>
      </w:r>
      <w:bookmarkEnd w:id="121"/>
      <w:r/>
      <w:bookmarkEnd w:id="122"/>
      <w:r/>
      <w:bookmarkEnd w:id="123"/>
      <w:r>
        <w:rPr>
          <w:rFonts w:hint="eastAsia" w:ascii="宋体" w:hAnsi="宋体" w:eastAsia="宋体" w:cs="宋体"/>
        </w:rPr>
        <w:t xml:space="preserve">的拒收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 采购人或代理机构拒绝接收在其规定的投标截止时间后上传的任何投标文件。</w:t>
      </w:r>
      <w:r/>
    </w:p>
    <w:p>
      <w:pPr>
        <w:pStyle w:val="695"/>
        <w:ind w:firstLine="420"/>
        <w:jc w:val="both"/>
        <w:keepLines/>
        <w:keepNext/>
        <w:spacing w:beforeAutospacing="0" w:afterAutospacing="0"/>
        <w:rPr>
          <w:rFonts w:hint="eastAsia" w:ascii="宋体" w:hAnsi="宋体" w:eastAsia="宋体" w:cs="宋体"/>
        </w:rPr>
      </w:pPr>
      <w:r/>
      <w:bookmarkStart w:id="124" w:name="_Toc16938544"/>
      <w:r/>
      <w:bookmarkStart w:id="125" w:name="_Toc513029228"/>
      <w:r/>
      <w:bookmarkStart w:id="126" w:name="_Toc20823300"/>
      <w:r>
        <w:rPr>
          <w:rFonts w:hint="eastAsia" w:ascii="宋体" w:hAnsi="宋体" w:eastAsia="宋体" w:cs="宋体"/>
        </w:rPr>
        <w:t xml:space="preserve">21、投标文件的撤回和修改</w:t>
      </w:r>
      <w:bookmarkEnd w:id="124"/>
      <w:r/>
      <w:bookmarkEnd w:id="125"/>
      <w:r/>
      <w:bookmarkEnd w:id="126"/>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 投标文件的撤回</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21.1.1 电子投标文件的撤回</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 投标文件的修改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695"/>
        <w:ind w:firstLine="482"/>
        <w:jc w:val="both"/>
        <w:keepLines/>
        <w:keepNext/>
        <w:spacing w:before="145" w:beforeAutospacing="0" w:after="145" w:afterAutospacing="0" w:line="360" w:lineRule="auto"/>
        <w:rPr>
          <w:rFonts w:hint="eastAsia" w:ascii="宋体" w:hAnsi="宋体" w:eastAsia="宋体" w:cs="宋体"/>
        </w:rPr>
      </w:pPr>
      <w:r/>
      <w:bookmarkStart w:id="127" w:name="_Toc20823301"/>
      <w:r/>
      <w:bookmarkStart w:id="128" w:name="_Toc513029229"/>
      <w:r/>
      <w:bookmarkStart w:id="129" w:name="_Toc120614218"/>
      <w:r/>
      <w:bookmarkStart w:id="130" w:name="_Toc16938545"/>
      <w:r>
        <w:rPr>
          <w:rFonts w:hint="eastAsia" w:ascii="宋体" w:hAnsi="宋体" w:eastAsia="宋体" w:cs="宋体"/>
          <w:b/>
        </w:rPr>
        <w:t xml:space="preserve">五、开标与评标</w:t>
      </w:r>
      <w:bookmarkEnd w:id="127"/>
      <w:r/>
      <w:bookmarkEnd w:id="128"/>
      <w:r/>
      <w:bookmarkEnd w:id="129"/>
      <w:r/>
      <w:bookmarkEnd w:id="130"/>
      <w:r/>
      <w:r/>
    </w:p>
    <w:p>
      <w:pPr>
        <w:pStyle w:val="695"/>
        <w:ind w:firstLine="420"/>
        <w:jc w:val="both"/>
        <w:keepLines/>
        <w:keepNext/>
        <w:spacing w:beforeAutospacing="0" w:afterAutospacing="0"/>
        <w:rPr>
          <w:rFonts w:hint="eastAsia" w:ascii="宋体" w:hAnsi="宋体" w:eastAsia="宋体" w:cs="宋体"/>
        </w:rPr>
      </w:pPr>
      <w:r/>
      <w:bookmarkStart w:id="131" w:name="_Toc16938546"/>
      <w:r/>
      <w:bookmarkStart w:id="132" w:name="_Toc513029230"/>
      <w:r/>
      <w:bookmarkStart w:id="133" w:name="_Toc20823302"/>
      <w:r>
        <w:rPr>
          <w:rFonts w:hint="eastAsia" w:ascii="宋体" w:hAnsi="宋体" w:eastAsia="宋体" w:cs="宋体"/>
        </w:rPr>
        <w:t xml:space="preserve">22、开标</w:t>
      </w:r>
      <w:bookmarkEnd w:id="131"/>
      <w:r/>
      <w:bookmarkEnd w:id="132"/>
      <w:r/>
      <w:bookmarkEnd w:id="133"/>
      <w:r/>
      <w:r/>
    </w:p>
    <w:p>
      <w:pPr>
        <w:pStyle w:val="695"/>
        <w:ind w:firstLine="360"/>
        <w:jc w:val="both"/>
        <w:spacing w:beforeAutospacing="0" w:afterAutospacing="0"/>
        <w:rPr>
          <w:rFonts w:hint="eastAsia" w:ascii="宋体" w:hAnsi="宋体" w:eastAsia="宋体" w:cs="宋体"/>
        </w:rPr>
      </w:pPr>
      <w:r>
        <w:rPr>
          <w:rFonts w:hint="eastAsia" w:ascii="宋体" w:hAnsi="宋体" w:eastAsia="宋体" w:cs="宋体"/>
        </w:rPr>
        <w:t xml:space="preserve">22.1 采购人或代理机构将在招标公告中规定的时间和地点组织公开开标。投标人应当按照《操作手册》规定，参加开标活动和在苏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22.2开标仪式由采购人或代理机构组织。苏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695"/>
        <w:ind w:firstLine="420"/>
        <w:jc w:val="both"/>
        <w:keepLines/>
        <w:keepNext/>
        <w:spacing w:beforeAutospacing="0" w:afterAutospacing="0"/>
        <w:rPr>
          <w:rFonts w:hint="eastAsia" w:ascii="宋体" w:hAnsi="宋体" w:eastAsia="宋体" w:cs="宋体"/>
        </w:rPr>
      </w:pPr>
      <w:r/>
      <w:bookmarkStart w:id="134" w:name="_Toc16938547"/>
      <w:r/>
      <w:bookmarkStart w:id="135" w:name="_Toc513029231"/>
      <w:r/>
      <w:bookmarkStart w:id="136" w:name="_Toc20823303"/>
      <w:r>
        <w:rPr>
          <w:rFonts w:hint="eastAsia" w:ascii="宋体" w:hAnsi="宋体" w:eastAsia="宋体" w:cs="宋体"/>
        </w:rPr>
        <w:t xml:space="preserve">23、评标委员会</w:t>
      </w:r>
      <w:bookmarkEnd w:id="134"/>
      <w:r/>
      <w:bookmarkEnd w:id="135"/>
      <w:r/>
      <w:bookmarkEnd w:id="136"/>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开标后，采购人或代理机构将立即组织评标委员会（以下简称评委会）进行评标。</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24．评标过程的保密与公正</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24.1凡是与审查、澄清、评价和比较投标的有关资料以及授标建议等，采购人、评委、代理机构均不得向投标人或与评标无关的其他人员透露。</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 采购人或代理机构和评标委员会不向未中标的投标人解释未中标原因，也不公布评标过程中的相关细节。</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采用综合评分法的项目，未中标的投标人可于中标结果公告期限届满之日起通过招标代理机构查看自己的评审得分及排序情况。</w:t>
      </w:r>
      <w:r/>
    </w:p>
    <w:p>
      <w:pPr>
        <w:pStyle w:val="695"/>
        <w:ind w:firstLine="420"/>
        <w:jc w:val="both"/>
        <w:keepLines/>
        <w:keepNext/>
        <w:spacing w:beforeAutospacing="0" w:afterAutospacing="0"/>
        <w:rPr>
          <w:rFonts w:hint="eastAsia" w:ascii="宋体" w:hAnsi="宋体" w:eastAsia="宋体" w:cs="宋体"/>
        </w:rPr>
      </w:pPr>
      <w:r/>
      <w:bookmarkStart w:id="137" w:name="_Toc20823304"/>
      <w:r/>
      <w:bookmarkStart w:id="138" w:name="_Toc16938548"/>
      <w:r/>
      <w:bookmarkStart w:id="139" w:name="_Toc513029232"/>
      <w:r>
        <w:rPr>
          <w:rFonts w:hint="eastAsia" w:ascii="宋体" w:hAnsi="宋体" w:eastAsia="宋体" w:cs="宋体"/>
        </w:rPr>
        <w:t xml:space="preserve">25．投标文件的澄清</w:t>
      </w:r>
      <w:bookmarkEnd w:id="137"/>
      <w:r/>
      <w:bookmarkEnd w:id="138"/>
      <w:r/>
      <w:bookmarkEnd w:id="139"/>
      <w:r/>
      <w:r/>
    </w:p>
    <w:p>
      <w:pPr>
        <w:pStyle w:val="695"/>
        <w:ind w:firstLine="480"/>
        <w:jc w:val="both"/>
        <w:spacing w:beforeAutospacing="0" w:afterAutospacing="0" w:line="0" w:lineRule="atLeast"/>
        <w:rPr>
          <w:rFonts w:hint="eastAsia" w:ascii="宋体" w:hAnsi="宋体" w:eastAsia="宋体" w:cs="宋体"/>
        </w:rPr>
      </w:pPr>
      <w:r/>
      <w:bookmarkStart w:id="140" w:name="_Toc20823305"/>
      <w:r/>
      <w:bookmarkStart w:id="141" w:name="_Toc513029233"/>
      <w:r/>
      <w:bookmarkStart w:id="142" w:name="_Toc16938549"/>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40"/>
      <w:r/>
      <w:bookmarkEnd w:id="141"/>
      <w:r/>
      <w:bookmarkEnd w:id="142"/>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26、对投标文件的初审</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 未通过资格审查或符合性审查的投标人，采购人或代理机构将在苏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系统中告知未通过资格审查或符合性审查的原因，评审结束后，采购人或代理机构将不再告知未通过资格审查或符合性审查的原因。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人或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w:t>
      </w:r>
      <w:r>
        <w:rPr>
          <w:rFonts w:hint="eastAsia" w:ascii="宋体" w:hAnsi="宋体" w:eastAsia="宋体" w:cs="宋体"/>
        </w:rPr>
        <w:t xml:space="preserve">受修正后的价格，则其投标将被拒绝。</w:t>
      </w:r>
      <w:r/>
    </w:p>
    <w:p>
      <w:pPr>
        <w:pStyle w:val="695"/>
        <w:ind w:firstLine="480"/>
        <w:jc w:val="both"/>
        <w:spacing w:beforeAutospacing="0" w:afterAutospacing="0" w:line="0" w:lineRule="atLeast"/>
        <w:rPr>
          <w:rFonts w:hint="eastAsia" w:ascii="宋体" w:hAnsi="宋体" w:eastAsia="宋体" w:cs="宋体"/>
        </w:rPr>
      </w:pPr>
      <w:r/>
      <w:bookmarkStart w:id="143" w:name="_Toc16938550"/>
      <w:r/>
      <w:bookmarkStart w:id="144" w:name="_Toc20823306"/>
      <w:r/>
      <w:bookmarkStart w:id="145"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5"/>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95"/>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系统查阅、答复相关信息，并安排专人与采购人或代理机构及评标委员会联系。</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695"/>
        <w:ind w:left="479"/>
        <w:jc w:val="both"/>
        <w:spacing w:beforeAutospacing="0" w:afterAutospacing="0" w:line="0" w:lineRule="atLeast"/>
        <w:rPr>
          <w:rFonts w:hint="eastAsia" w:ascii="宋体" w:hAnsi="宋体" w:eastAsia="宋体" w:cs="宋体"/>
        </w:rPr>
      </w:pPr>
      <w:r/>
      <w:bookmarkStart w:id="146" w:name="_Toc20823307"/>
      <w:r/>
      <w:bookmarkStart w:id="147" w:name="_Toc513029235"/>
      <w:r/>
      <w:bookmarkStart w:id="148" w:name="_Toc16938551"/>
      <w:r>
        <w:rPr>
          <w:rFonts w:hint="eastAsia" w:ascii="宋体" w:hAnsi="宋体" w:eastAsia="宋体" w:cs="宋体"/>
        </w:rPr>
        <w:t xml:space="preserve">27.1无效投标条款</w:t>
      </w:r>
      <w:bookmarkEnd w:id="146"/>
      <w:r/>
      <w:bookmarkEnd w:id="147"/>
      <w:r/>
      <w:bookmarkEnd w:id="148"/>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27.1.6未通过符合性审查的。</w:t>
      </w:r>
      <w:r/>
    </w:p>
    <w:p>
      <w:pPr>
        <w:pStyle w:val="69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695"/>
        <w:ind w:firstLine="480"/>
        <w:jc w:val="both"/>
        <w:spacing w:beforeAutospacing="0" w:afterAutospacing="0" w:line="0" w:lineRule="atLeast"/>
        <w:rPr>
          <w:rFonts w:hint="eastAsia"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w:t>
      </w:r>
      <w:r>
        <w:rPr>
          <w:rFonts w:hint="eastAsia" w:ascii="宋体" w:hAnsi="宋体" w:eastAsia="宋体" w:cs="宋体"/>
          <w:b/>
          <w:bCs/>
          <w:u w:val="single"/>
        </w:rPr>
        <w:t xml:space="preserve">动异常低价投标（响应）审查的数值标准，但是最高不得超过65%。</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rPr>
        <w:t xml:space="preserve">作出</w:t>
      </w:r>
      <w:r>
        <w:rPr>
          <w:rFonts w:hint="eastAsia" w:ascii="宋体" w:hAnsi="宋体" w:eastAsia="宋体" w:cs="宋体"/>
          <w:b/>
          <w:bC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5"/>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95"/>
        <w:ind w:firstLine="482"/>
        <w:jc w:val="both"/>
        <w:keepLines/>
        <w:keepNext/>
        <w:spacing w:before="145" w:beforeAutospacing="0" w:after="145" w:afterAutospacing="0" w:line="360" w:lineRule="auto"/>
        <w:rPr>
          <w:rFonts w:hint="eastAsia" w:ascii="宋体" w:hAnsi="宋体" w:eastAsia="宋体" w:cs="宋体"/>
        </w:rPr>
      </w:pPr>
      <w:r/>
      <w:bookmarkStart w:id="149" w:name="_Toc120614219"/>
      <w:r>
        <w:rPr>
          <w:rFonts w:hint="eastAsia" w:ascii="宋体" w:hAnsi="宋体" w:eastAsia="宋体" w:cs="宋体"/>
          <w:b/>
        </w:rPr>
        <w:t xml:space="preserve">六、定标</w:t>
      </w:r>
      <w:bookmarkEnd w:id="149"/>
      <w:r/>
      <w:r/>
    </w:p>
    <w:p>
      <w:pPr>
        <w:pStyle w:val="695"/>
        <w:ind w:firstLine="600"/>
        <w:jc w:val="both"/>
        <w:keepLines/>
        <w:keepNext/>
        <w:spacing w:beforeAutospacing="0" w:afterAutospacing="0"/>
        <w:rPr>
          <w:rFonts w:hint="eastAsia" w:ascii="宋体" w:hAnsi="宋体" w:eastAsia="宋体" w:cs="宋体"/>
        </w:rPr>
      </w:pPr>
      <w:r/>
      <w:bookmarkStart w:id="150" w:name="_Toc20823310"/>
      <w:r/>
      <w:bookmarkStart w:id="151" w:name="_Toc16938554"/>
      <w:r/>
      <w:bookmarkStart w:id="152" w:name="_Toc513029238"/>
      <w:r>
        <w:rPr>
          <w:rFonts w:hint="eastAsia" w:ascii="宋体" w:hAnsi="宋体" w:eastAsia="宋体" w:cs="宋体"/>
        </w:rPr>
        <w:t xml:space="preserve">28、</w:t>
      </w:r>
      <w:bookmarkEnd w:id="150"/>
      <w:r>
        <w:rPr>
          <w:rFonts w:hint="eastAsia" w:ascii="宋体" w:hAnsi="宋体" w:eastAsia="宋体" w:cs="宋体"/>
        </w:rPr>
        <w:t xml:space="preserve">确定</w:t>
      </w:r>
      <w:bookmarkEnd w:id="151"/>
      <w:r/>
      <w:bookmarkEnd w:id="152"/>
      <w:r>
        <w:rPr>
          <w:rFonts w:hint="eastAsia" w:ascii="宋体" w:hAnsi="宋体" w:eastAsia="宋体" w:cs="宋体"/>
        </w:rPr>
        <w:t xml:space="preserve">中标单位</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 采购人或代理机构将在中国政府采购网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28.4.1提供虚假材料谋取中标的。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28.4.2向采购人或代理机构行贿或者提供其他不正当利益的。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695"/>
        <w:ind w:firstLine="480"/>
        <w:jc w:val="both"/>
        <w:spacing w:beforeAutospacing="0" w:afterAutospacing="0" w:line="0" w:lineRule="atLeast"/>
        <w:rPr>
          <w:rFonts w:hint="eastAsia" w:ascii="宋体" w:hAnsi="宋体" w:eastAsia="宋体" w:cs="宋体"/>
        </w:rPr>
      </w:pPr>
      <w:r/>
      <w:bookmarkStart w:id="153" w:name="_Toc200451960"/>
      <w:r>
        <w:rPr>
          <w:rFonts w:hint="eastAsia" w:ascii="宋体" w:hAnsi="宋体" w:eastAsia="宋体" w:cs="宋体"/>
        </w:rPr>
        <w:t xml:space="preserve">28.5. 有下列情形之一的，视为投标人串通投标，投标无效：</w:t>
      </w:r>
      <w:bookmarkEnd w:id="153"/>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9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29、质疑处理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供应商应当在法定质疑期内一次性提出针对同一采购程序环节的质疑。供应商如在法定期限内对同一采购程序环节提出多次质疑的，采购人或代理机构将只对供应商第一次质疑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代理机构提出，由采购人或代理机构负责答复。</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采购人或代理机构只接收以纸质原件形式送达的质疑,采购人或代理机构不接受未填写快递运单的快件。质疑接收部门为</w:t>
      </w:r>
      <w:r>
        <w:rPr>
          <w:rFonts w:hint="eastAsia" w:ascii="宋体" w:hAnsi="宋体" w:eastAsia="宋体" w:cs="宋体"/>
        </w:rPr>
        <w:t xml:space="preserve">盐城市智强</w:t>
      </w:r>
      <w:r>
        <w:rPr>
          <w:rFonts w:hint="eastAsia" w:ascii="宋体" w:hAnsi="宋体" w:eastAsia="宋体" w:cs="宋体"/>
        </w:rPr>
        <w:t xml:space="preserve">项目管理有限公司，联系地址：滨海县政务服务中心二楼G区2202室，联系电话：15950201008。</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 以下情形的质疑不予受理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29.5.2 超出政府采购法定期限的质疑。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95"/>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pStyle w:val="69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30、中标通知书</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中标结果确定后，采购人或代理机构将向中标人发出中标通知书。请中标人在中标结果公告届满之日起30日内,使用CA数字证书登录苏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5"/>
        <w:jc w:val="both"/>
        <w:keepLines/>
        <w:keepNext/>
        <w:spacing w:before="145" w:beforeAutospacing="0" w:after="145" w:afterAutospacing="0" w:line="360" w:lineRule="auto"/>
        <w:rPr>
          <w:rFonts w:hint="eastAsia" w:ascii="宋体" w:hAnsi="宋体" w:eastAsia="宋体" w:cs="宋体"/>
        </w:rPr>
      </w:pPr>
      <w:r/>
      <w:bookmarkStart w:id="154" w:name="_Toc120614220"/>
      <w:r/>
      <w:bookmarkStart w:id="155" w:name="_Toc16938552"/>
      <w:r/>
      <w:bookmarkStart w:id="156" w:name="_Toc20823308"/>
      <w:r/>
      <w:bookmarkStart w:id="157" w:name="_Toc513029236"/>
      <w:r>
        <w:rPr>
          <w:rFonts w:hint="eastAsia" w:ascii="宋体" w:hAnsi="宋体" w:eastAsia="宋体" w:cs="宋体"/>
          <w:b/>
        </w:rPr>
        <w:t xml:space="preserve">七、授予合同</w:t>
      </w:r>
      <w:bookmarkEnd w:id="154"/>
      <w:r/>
      <w:bookmarkEnd w:id="155"/>
      <w:r/>
      <w:bookmarkEnd w:id="156"/>
      <w:r/>
      <w:bookmarkEnd w:id="157"/>
      <w:r/>
      <w:r/>
    </w:p>
    <w:p>
      <w:pPr>
        <w:pStyle w:val="695"/>
        <w:ind w:firstLine="600"/>
        <w:jc w:val="both"/>
        <w:keepLines/>
        <w:keepNext/>
        <w:spacing w:beforeAutospacing="0" w:afterAutospacing="0"/>
        <w:rPr>
          <w:rFonts w:hint="eastAsia" w:ascii="宋体" w:hAnsi="宋体" w:eastAsia="宋体" w:cs="宋体"/>
        </w:rPr>
      </w:pPr>
      <w:r/>
      <w:bookmarkStart w:id="158" w:name="_Toc20823309"/>
      <w:r/>
      <w:bookmarkStart w:id="159" w:name="_Toc16938553"/>
      <w:r/>
      <w:bookmarkStart w:id="160" w:name="_Toc513029237"/>
      <w:r>
        <w:rPr>
          <w:rFonts w:hint="eastAsia" w:ascii="宋体" w:hAnsi="宋体" w:eastAsia="宋体" w:cs="宋体"/>
        </w:rPr>
        <w:t xml:space="preserve">31. 签订合同</w:t>
      </w:r>
      <w:bookmarkEnd w:id="158"/>
      <w:r/>
      <w:bookmarkEnd w:id="159"/>
      <w:r/>
      <w:bookmarkEnd w:id="160"/>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9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32、货物（包含与货物相关的服务）的追加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5"/>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695"/>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w:t>
      </w:r>
      <w:r>
        <w:rPr>
          <w:rFonts w:hint="eastAsia" w:ascii="宋体" w:hAnsi="宋体" w:eastAsia="宋体" w:cs="宋体"/>
        </w:rPr>
        <w:t xml:space="preserve">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w:t>
      </w:r>
      <w:r>
        <w:rPr>
          <w:rFonts w:hint="eastAsia" w:ascii="宋体" w:hAnsi="宋体" w:eastAsia="宋体" w:cs="宋体"/>
        </w:rPr>
        <w:t xml:space="preserve">有劳动条件和劳动意愿的精神残疾人。在职职工人数是指与残疾人福利性单位建立劳动关系并依法签订劳动合同或服务协议的雇员人数。</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sz w:val="24"/>
        </w:rPr>
        <w:t xml:space="preserve">。</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eastAsia"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sz w:val="24"/>
          <w:u w:val="single"/>
        </w:rPr>
        <w:t xml:space="preserve">不</w:t>
      </w:r>
      <w:r>
        <w:rPr>
          <w:rFonts w:hint="eastAsia" w:ascii="宋体" w:hAnsi="宋体" w:eastAsia="宋体" w:cs="宋体"/>
          <w:b/>
          <w:bCs/>
          <w:sz w:val="24"/>
          <w:u w:val="single"/>
        </w:rPr>
        <w:t xml:space="preserve">出具《声明函》的，不享受政府采购对本国产品的支持政策。</w:t>
      </w:r>
      <w:r/>
    </w:p>
    <w:p>
      <w:pPr>
        <w:ind w:firstLine="480"/>
        <w:rPr>
          <w:rFonts w:hint="eastAsia" w:ascii="宋体" w:hAnsi="宋体" w:eastAsia="宋体" w:cs="宋体"/>
          <w:sz w:val="24"/>
        </w:rPr>
      </w:pPr>
      <w:r>
        <w:rPr>
          <w:rFonts w:hint="eastAsia" w:ascii="宋体" w:hAnsi="宋体" w:eastAsia="宋体" w:cs="宋体"/>
          <w:sz w:val="24"/>
        </w:rPr>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704"/>
        <w:ind w:left="0" w:firstLine="56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w:t>
      </w:r>
      <w:r/>
    </w:p>
    <w:p>
      <w:pPr>
        <w:pStyle w:val="704"/>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sz w:val="36"/>
          <w:szCs w:val="44"/>
        </w:rPr>
      </w:pPr>
      <w:r/>
      <w:bookmarkStart w:id="161" w:name="_Toc479757211"/>
      <w:r/>
      <w:bookmarkStart w:id="162" w:name="_Toc120614244"/>
      <w:r/>
      <w:bookmarkStart w:id="163" w:name="_Toc16938590"/>
      <w:r/>
      <w:bookmarkStart w:id="164" w:name="_Toc462564139"/>
      <w:r/>
      <w:bookmarkStart w:id="165" w:name="_Hlt16619350"/>
      <w:r/>
      <w:bookmarkStart w:id="166" w:name="_Toc20823346"/>
      <w:r/>
      <w:bookmarkStart w:id="167" w:name="_Hlt16619369"/>
      <w:r/>
      <w:r/>
    </w:p>
    <w:p>
      <w:pPr>
        <w:jc w:val="center"/>
        <w:spacing w:line="360" w:lineRule="auto"/>
        <w:widowControl/>
        <w:rPr>
          <w:rFonts w:hint="eastAsia" w:ascii="宋体" w:hAnsi="宋体" w:cs="宋体"/>
          <w:b/>
          <w:sz w:val="48"/>
          <w:szCs w:val="44"/>
        </w:rPr>
      </w:pPr>
      <w:r>
        <w:rPr>
          <w:rFonts w:hint="eastAsia" w:ascii="宋体" w:hAnsi="宋体" w:cs="宋体"/>
          <w:b/>
          <w:sz w:val="48"/>
          <w:szCs w:val="44"/>
        </w:rPr>
        <w:t xml:space="preserve">第三章  合同条款</w:t>
      </w:r>
      <w:r/>
    </w:p>
    <w:p>
      <w:pPr>
        <w:rPr>
          <w:rFonts w:hint="eastAsia" w:ascii="宋体" w:hAnsi="宋体" w:cs="宋体"/>
        </w:rPr>
      </w:pPr>
      <w:r/>
      <w:bookmarkStart w:id="168" w:name="EB6d2006462e294de090c16e672cecc3bd"/>
      <w:r/>
      <w:r/>
    </w:p>
    <w:p>
      <w:pPr>
        <w:jc w:val="center"/>
        <w:rPr>
          <w:rFonts w:hint="eastAsia" w:ascii="宋体" w:hAnsi="宋体" w:cs="宋体"/>
          <w:b/>
          <w:bCs/>
          <w:spacing w:val="-20"/>
          <w:sz w:val="48"/>
          <w:szCs w:val="48"/>
        </w:rPr>
      </w:pPr>
      <w:r/>
      <w:bookmarkStart w:id="169" w:name="_Toc3995"/>
      <w:r/>
      <w:bookmarkEnd w:id="168"/>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70" w:name="_Toc22209"/>
      <w:r/>
      <w:bookmarkEnd w:id="16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0"/>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3"/>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70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70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 数量： 金额：</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若本项目</w:t>
      </w:r>
      <w:r>
        <w:rPr>
          <w:rFonts w:hint="eastAsia"/>
          <w:sz w:val="24"/>
        </w:rPr>
        <w:t xml:space="preserve">不</w:t>
      </w:r>
      <w:r>
        <w:rPr>
          <w:rFonts w:hint="eastAsia"/>
          <w:sz w:val="24"/>
        </w:rPr>
        <w:t xml:space="preserve">专门面向中小企业采购，是否给予小</w:t>
      </w:r>
      <w:r>
        <w:rPr>
          <w:rFonts w:hint="eastAsia"/>
          <w:sz w:val="24"/>
        </w:rPr>
        <w:t xml:space="preserve">微企业</w:t>
      </w:r>
      <w:r>
        <w:rPr>
          <w:rFonts w:hint="eastAsia"/>
          <w:sz w:val="24"/>
        </w:rPr>
        <w:t xml:space="preserve">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pStyle w:val="695"/>
        <w:numPr>
          <w:ilvl w:val="0"/>
          <w:numId w:val="3"/>
        </w:numPr>
        <w:ind w:firstLine="48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rPr>
        <w:t xml:space="preserve">付款方式：</w:t>
      </w:r>
      <w:r>
        <w:rPr>
          <w:rFonts w:hint="eastAsia" w:ascii="宋体" w:hAnsi="宋体" w:eastAsia="宋体" w:cs="宋体"/>
          <w:shd w:val="clear" w:color="auto" w:fill="ffffff"/>
        </w:rPr>
        <w:t xml:space="preserve">本项目采购合同签订后，支付合同总价的30%作为预付款(支付预付款时须提供同等金额的银行保函)，中标人按招标人要求将货物送到指定地点，经采购人组织验收合格后付至合同价的70%；供货全部结束后经采购人验收合格后付清合同款，结算时，投标人须提供税务发票。采购人在收到发票后 10 </w:t>
      </w:r>
      <w:r>
        <w:rPr>
          <w:rFonts w:hint="eastAsia" w:ascii="宋体" w:hAnsi="宋体" w:eastAsia="宋体" w:cs="宋体"/>
          <w:shd w:val="clear" w:color="auto" w:fill="ffffff"/>
        </w:rPr>
        <w:t xml:space="preserve">个</w:t>
      </w:r>
      <w:r>
        <w:rPr>
          <w:rFonts w:hint="eastAsia" w:ascii="宋体" w:hAnsi="宋体" w:eastAsia="宋体" w:cs="宋体"/>
          <w:shd w:val="clear" w:color="auto" w:fill="ffffff"/>
        </w:rPr>
        <w:t xml:space="preserve">工作日内支付到合同约定的中标人银行账户。</w:t>
      </w:r>
      <w:r/>
    </w:p>
    <w:p>
      <w:pPr>
        <w:pStyle w:val="695"/>
        <w:numPr>
          <w:ilvl w:val="0"/>
          <w:numId w:val="3"/>
        </w:numPr>
        <w:ind w:firstLine="480"/>
        <w:jc w:val="both"/>
        <w:spacing w:beforeAutospacing="0" w:afterAutospacing="0"/>
        <w:shd w:val="clear" w:color="auto" w:fill="ffffff"/>
        <w:widowControl/>
        <w:rPr>
          <w:rFonts w:hint="eastAsia" w:ascii="宋体" w:hAnsi="宋体" w:cs="宋体"/>
        </w:rPr>
      </w:pPr>
      <w:r>
        <w:rPr>
          <w:rFonts w:hint="eastAsia" w:ascii="宋体" w:hAnsi="宋体" w:eastAsia="宋体" w:cs="宋体"/>
          <w:shd w:val="clear" w:color="auto" w:fill="ffffff"/>
        </w:rPr>
        <w:t xml:space="preserve">本项目最终结算不超过126万元。</w:t>
      </w:r>
      <w:r/>
    </w:p>
    <w:p>
      <w:pPr>
        <w:numPr>
          <w:ilvl w:val="0"/>
          <w:numId w:val="2"/>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4"/>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w:t>
      </w:r>
      <w:r>
        <w:rPr>
          <w:rFonts w:hint="eastAsia" w:ascii="宋体" w:hAnsi="宋体" w:cs="宋体"/>
          <w:bCs/>
          <w:sz w:val="24"/>
        </w:rPr>
        <w:t xml:space="preserve">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695"/>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5"/>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84"/>
        <w:jc w:val="center"/>
        <w:spacing w:before="156"/>
        <w:rPr>
          <w:rFonts w:ascii="黑体" w:hAnsi="黑体" w:eastAsia="黑体"/>
          <w:sz w:val="28"/>
          <w:szCs w:val="28"/>
        </w:rPr>
      </w:pPr>
      <w:r>
        <w:rPr>
          <w:u w:val="single"/>
        </w:rPr>
        <w:br w:type="page" w:clear="all"/>
      </w:r>
      <w:bookmarkStart w:id="171" w:name="_Toc27624"/>
      <w:r/>
      <w:bookmarkStart w:id="172" w:name="_Toc20313"/>
      <w:r>
        <w:rPr>
          <w:rFonts w:ascii="黑体" w:hAnsi="黑体" w:eastAsia="黑体"/>
          <w:b w:val="0"/>
          <w:bCs w:val="0"/>
          <w:sz w:val="28"/>
          <w:szCs w:val="28"/>
        </w:rPr>
        <w:t xml:space="preserve">第二节 政府采购合同通用条款</w:t>
      </w:r>
      <w:bookmarkEnd w:id="171"/>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6"/>
        </w:numPr>
        <w:jc w:val="left"/>
        <w:spacing w:line="400" w:lineRule="exact"/>
        <w:rPr>
          <w:rFonts w:hint="eastAsia" w:ascii="宋体" w:hAnsi="宋体"/>
          <w:b/>
          <w:bCs/>
          <w:sz w:val="24"/>
        </w:rPr>
      </w:pPr>
      <w:r>
        <w:rPr>
          <w:rFonts w:hint="eastAsia" w:ascii="宋体" w:hAnsi="宋体"/>
          <w:b/>
          <w:sz w:val="24"/>
        </w:rPr>
        <w:t xml:space="preserve">合同标的金额及结算说明</w:t>
      </w:r>
      <w:r/>
    </w:p>
    <w:p>
      <w:pPr>
        <w:ind w:firstLine="420"/>
        <w:jc w:val="left"/>
        <w:spacing w:line="400" w:lineRule="exact"/>
        <w:rPr>
          <w:rFonts w:hint="eastAsia" w:ascii="宋体" w:hAnsi="宋体"/>
          <w:szCs w:val="21"/>
          <w:u w:val="single"/>
        </w:rPr>
      </w:pPr>
      <w:r>
        <w:rPr>
          <w:rFonts w:hint="eastAsia" w:ascii="宋体" w:hAnsi="宋体"/>
          <w:szCs w:val="21"/>
          <w:u w:val="single"/>
        </w:rPr>
        <w:t xml:space="preserve">2.1本项目采用单价招标、据实结算、预算包干的方式进行采购。</w:t>
      </w:r>
      <w:r/>
    </w:p>
    <w:p>
      <w:pPr>
        <w:ind w:firstLine="420"/>
        <w:jc w:val="left"/>
        <w:spacing w:line="400" w:lineRule="exact"/>
        <w:rPr>
          <w:rFonts w:hint="eastAsia" w:ascii="宋体" w:hAnsi="宋体"/>
          <w:szCs w:val="21"/>
          <w:u w:val="single"/>
        </w:rPr>
      </w:pPr>
      <w:r>
        <w:rPr>
          <w:rFonts w:hint="eastAsia" w:ascii="宋体" w:hAnsi="宋体"/>
          <w:szCs w:val="21"/>
          <w:u w:val="single"/>
        </w:rPr>
        <w:t xml:space="preserve">2.1.1预算金额：本项目预算金额为人民币 126万元（含招标代理服务费），该预算金额为采购资金上限。</w:t>
      </w:r>
      <w:r/>
    </w:p>
    <w:p>
      <w:pPr>
        <w:ind w:firstLine="420"/>
        <w:jc w:val="left"/>
        <w:spacing w:line="400" w:lineRule="exact"/>
        <w:rPr>
          <w:rFonts w:hint="eastAsia" w:ascii="宋体" w:hAnsi="宋体"/>
          <w:szCs w:val="21"/>
          <w:u w:val="single"/>
        </w:rPr>
      </w:pPr>
      <w:r>
        <w:rPr>
          <w:rFonts w:hint="eastAsia" w:ascii="宋体" w:hAnsi="宋体"/>
          <w:szCs w:val="21"/>
          <w:u w:val="single"/>
        </w:rPr>
        <w:t xml:space="preserve">2.1.2单价限价：本项目设定最高限价单价为 0.315元/毫升。投标人的投标单价不得高于该限价，凡投标单价高于0.315元/毫升的，其投标将被认定为无效投标。</w:t>
      </w:r>
      <w:r/>
    </w:p>
    <w:p>
      <w:pPr>
        <w:ind w:firstLine="420"/>
        <w:jc w:val="left"/>
        <w:spacing w:line="400" w:lineRule="exact"/>
        <w:rPr>
          <w:rFonts w:hint="eastAsia" w:ascii="宋体" w:hAnsi="宋体"/>
          <w:szCs w:val="21"/>
          <w:u w:val="single"/>
        </w:rPr>
      </w:pPr>
      <w:r>
        <w:rPr>
          <w:rFonts w:hint="eastAsia" w:ascii="宋体" w:hAnsi="宋体"/>
          <w:szCs w:val="21"/>
          <w:u w:val="single"/>
        </w:rPr>
        <w:t xml:space="preserve">数量确定：中标人的实际供货（或服务）数量按"预算金额用完为止"的原则确定，即：实际数量 = 预算金额 ÷ 中标单价（计算结果按去尾法取整，精确到个位）。投标人应充分评估市场风险，其投标单价一经中标，在合同履行期间固定不变。</w:t>
      </w:r>
      <w:r/>
    </w:p>
    <w:p>
      <w:pPr>
        <w:ind w:firstLine="420"/>
        <w:jc w:val="left"/>
        <w:spacing w:line="400" w:lineRule="exact"/>
        <w:rPr>
          <w:rFonts w:hint="eastAsia" w:ascii="宋体" w:hAnsi="宋体"/>
          <w:szCs w:val="21"/>
          <w:u w:val="single"/>
        </w:rPr>
      </w:pPr>
      <w:r>
        <w:rPr>
          <w:rFonts w:hint="eastAsia" w:ascii="宋体" w:hAnsi="宋体"/>
          <w:szCs w:val="21"/>
          <w:u w:val="single"/>
        </w:rPr>
        <w:t xml:space="preserve">2.1.3结算原则：合同结算总价按实际完成并经采购人验收合格的工程量（或服务量）乘以中标单价进行结算，结算总金额不得超过126万元。当实际结算金额达到126万元时，本合同即履行完毕，采购人不再追加采购；若实际完成数量对应的结算金额未达到126万元，则按实结算。</w:t>
      </w:r>
      <w:r/>
    </w:p>
    <w:p>
      <w:pPr>
        <w:ind w:firstLine="420"/>
        <w:jc w:val="left"/>
        <w:spacing w:line="400" w:lineRule="exact"/>
        <w:rPr>
          <w:rFonts w:hint="eastAsia" w:ascii="宋体" w:hAnsi="宋体"/>
          <w:szCs w:val="21"/>
        </w:rPr>
      </w:pPr>
      <w:r>
        <w:rPr>
          <w:rFonts w:hint="eastAsia" w:ascii="宋体" w:hAnsi="宋体"/>
          <w:szCs w:val="21"/>
          <w:u w:val="single"/>
        </w:rPr>
        <w:t xml:space="preserve">2.1.4合同终止：在合同履行过程中，一旦累计结算金额达到126万元，或按去尾法取整后的数量全部供应（或完成）完毕，本合同即告终止，双方权利义务自行终结，采购人不再另行支付任何费用。</w:t>
      </w:r>
      <w:r/>
    </w:p>
    <w:p>
      <w:pPr>
        <w:ind w:firstLine="482"/>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91"/>
        <w:ind w:firstLine="370"/>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691"/>
        <w:ind w:firstLine="370"/>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70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692"/>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2"/>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3"/>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684"/>
        <w:ind w:firstLine="420"/>
        <w:spacing w:line="400" w:lineRule="exact"/>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691"/>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70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0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70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70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91"/>
        <w:ind w:firstLine="420"/>
        <w:spacing w:after="0" w:line="400" w:lineRule="exact"/>
      </w:pPr>
      <w:r>
        <w:rPr>
          <w:rFonts w:hint="eastAsia" w:ascii="宋体" w:hAnsi="宋体"/>
          <w:szCs w:val="21"/>
        </w:rPr>
        <w:t xml:space="preserve">20.3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701"/>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2"/>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701"/>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701"/>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695"/>
              <w:ind w:left="480" w:hanging="480"/>
              <w:jc w:val="both"/>
              <w:spacing w:before="120" w:beforeAutospacing="0" w:after="120" w:afterAutospacing="0"/>
              <w:rPr>
                <w:rFonts w:hint="eastAsia"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w:t>
            </w:r>
            <w:r>
              <w:rPr>
                <w:rFonts w:hint="eastAsia" w:ascii="宋体" w:hAnsi="宋体"/>
                <w:sz w:val="24"/>
              </w:rPr>
              <w:t xml:space="preserve">保文件</w:t>
            </w:r>
            <w:r>
              <w:rPr>
                <w:rFonts w:hint="eastAsia" w:ascii="宋体" w:hAnsi="宋体"/>
                <w:sz w:val="24"/>
              </w:rPr>
              <w:t xml:space="preserve">和相应的等级标准证明并承诺向甲方提供有关产品制造的</w:t>
            </w:r>
            <w:r>
              <w:rPr>
                <w:rFonts w:hint="eastAsia" w:ascii="宋体" w:hAnsi="宋体"/>
                <w:sz w:val="24"/>
              </w:rPr>
              <w:t xml:space="preserve">质保证明</w:t>
            </w:r>
            <w:r>
              <w:rPr>
                <w:rFonts w:hint="eastAsia" w:ascii="宋体" w:hAnsi="宋体"/>
                <w:sz w:val="24"/>
              </w:rPr>
              <w:t xml:space="preserve">。乙方所提供的货物，若技术性能无特殊说明，则按国家有关部门最新颁布的产品标准为准。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95"/>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w:t>
            </w:r>
            <w:r>
              <w:rPr>
                <w:rFonts w:hint="eastAsia" w:ascii="宋体" w:hAnsi="宋体"/>
              </w:rPr>
              <w:t xml:space="preserve">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①自合同签订生效之日起，收到乙方发票10个工作日内，甲方向乙方支付合同总价的____款项作为预付款；</w:t>
            </w:r>
            <w:r/>
          </w:p>
          <w:p>
            <w:pPr>
              <w:jc w:val="left"/>
              <w:rPr>
                <w:rFonts w:hint="eastAsia" w:ascii="宋体" w:hAnsi="宋体"/>
                <w:sz w:val="24"/>
              </w:rPr>
            </w:pPr>
            <w:r>
              <w:rPr>
                <w:rFonts w:hint="eastAsia" w:ascii="宋体" w:hAnsi="宋体"/>
                <w:sz w:val="24"/>
              </w:rPr>
              <w:t xml:space="preserve">②所有货物安装完毕，甲方组织初步验收，初步验收合格后收到乙方发票10个工作日内甲方向乙方支付至合同总价的____款项；</w:t>
            </w:r>
            <w:r/>
          </w:p>
          <w:p>
            <w:pPr>
              <w:jc w:val="left"/>
              <w:rPr>
                <w:rFonts w:hint="eastAsia" w:ascii="宋体" w:hAnsi="宋体"/>
                <w:sz w:val="24"/>
              </w:rPr>
            </w:pPr>
            <w:r>
              <w:rPr>
                <w:rFonts w:hint="eastAsia" w:ascii="宋体" w:hAnsi="宋体"/>
                <w:sz w:val="24"/>
              </w:rPr>
              <w:t xml:space="preserve">③初步验收合格且项目运行满____</w:t>
            </w:r>
            <w:r>
              <w:rPr>
                <w:rFonts w:hint="eastAsia" w:ascii="宋体" w:hAnsi="宋体"/>
                <w:sz w:val="24"/>
              </w:rPr>
              <w:t xml:space="preserve">个</w:t>
            </w:r>
            <w:r>
              <w:rPr>
                <w:rFonts w:hint="eastAsia" w:ascii="宋体" w:hAnsi="宋体"/>
                <w:sz w:val="24"/>
              </w:rPr>
              <w:t xml:space="preserve">月后，甲方组织最终验收，最终验收合格后收到乙方发票10个工作日内甲方付清货款。</w:t>
            </w:r>
            <w:r/>
          </w:p>
          <w:p>
            <w:pPr>
              <w:jc w:val="left"/>
            </w:pPr>
            <w:r>
              <w:rPr>
                <w:rFonts w:hint="eastAsia" w:ascii="宋体" w:hAnsi="宋体"/>
                <w:sz w:val="24"/>
              </w:rPr>
              <w:t xml:space="preserve">（具体验收流程双方可视实际情况调整）</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w:t>
            </w:r>
            <w:r>
              <w:rPr>
                <w:rFonts w:hint="eastAsia" w:ascii="宋体" w:hAnsi="宋体" w:cs="宋体"/>
                <w:sz w:val="24"/>
              </w:rPr>
              <w:t xml:space="preserve">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10"/>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10"/>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695"/>
              <w:ind w:left="410" w:hanging="41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695"/>
              <w:ind w:left="410" w:hanging="410"/>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w:t>
            </w:r>
            <w:r>
              <w:rPr>
                <w:rFonts w:hint="eastAsia" w:ascii="宋体" w:hAnsi="宋体"/>
                <w:sz w:val="24"/>
              </w:rPr>
              <w:t xml:space="preserve">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w:t>
            </w:r>
            <w:r>
              <w:rPr>
                <w:rFonts w:hint="eastAsia" w:ascii="宋体" w:hAnsi="宋体"/>
                <w:sz w:val="24"/>
              </w:rPr>
              <w:t xml:space="preserve">除外），招标文件另有规定的除外。</w:t>
            </w:r>
            <w:r/>
          </w:p>
          <w:p>
            <w:pPr>
              <w:jc w:val="left"/>
              <w:rPr>
                <w:rFonts w:hint="eastAsia" w:ascii="宋体" w:hAnsi="宋体"/>
                <w:sz w:val="24"/>
              </w:rPr>
            </w:pPr>
            <w:r>
              <w:rPr>
                <w:rFonts w:hint="eastAsia" w:ascii="宋体" w:hAnsi="宋体"/>
                <w:sz w:val="24"/>
              </w:rPr>
              <w:t xml:space="preserve">2.中国政府根据现行税法规定对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w:t>
            </w:r>
            <w:r>
              <w:rPr>
                <w:rFonts w:hint="eastAsia" w:ascii="宋体" w:hAnsi="宋体" w:eastAsia="宋体" w:cs="宋体"/>
              </w:rPr>
              <w:t xml:space="preserve">《中华人民共和国</w:t>
            </w:r>
            <w:r>
              <w:rPr>
                <w:rFonts w:hint="eastAsia" w:ascii="宋体" w:hAnsi="宋体"/>
                <w:sz w:val="24"/>
              </w:rPr>
              <w:t xml:space="preserve">民法典》、</w:t>
            </w:r>
            <w:r>
              <w:rPr>
                <w:rFonts w:hint="eastAsia" w:ascii="宋体" w:hAnsi="宋体" w:eastAsia="宋体" w:cs="宋体"/>
              </w:rPr>
              <w:t xml:space="preserve">《中华人民共和国</w:t>
            </w:r>
            <w:r>
              <w:rPr>
                <w:rFonts w:hint="eastAsia" w:ascii="宋体" w:hAnsi="宋体"/>
                <w:sz w:val="24"/>
              </w:rPr>
              <w:t xml:space="preserve">政府采购法》等有关条文执行。</w:t>
            </w:r>
            <w:r/>
          </w:p>
        </w:tc>
      </w:tr>
    </w:tbl>
    <w:p>
      <w:pPr>
        <w:pStyle w:val="695"/>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95"/>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95"/>
        <w:jc w:val="center"/>
        <w:spacing w:before="120" w:beforeAutospacing="0" w:after="120" w:afterAutospacing="0" w:line="0" w:lineRule="atLeast"/>
      </w:pP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61"/>
      <w:r>
        <w:rPr>
          <w:rFonts w:hint="eastAsia" w:ascii="黑体" w:hAnsi="宋体" w:eastAsia="黑体" w:cs="黑体"/>
          <w:sz w:val="44"/>
          <w:szCs w:val="44"/>
        </w:rPr>
        <w:t xml:space="preserve">四章 采购需求</w:t>
      </w:r>
      <w:bookmarkEnd w:id="162"/>
      <w:r/>
      <w:bookmarkEnd w:id="163"/>
      <w:r/>
      <w:bookmarkEnd w:id="164"/>
      <w:r/>
      <w:bookmarkEnd w:id="165"/>
      <w:r/>
      <w:bookmarkEnd w:id="166"/>
      <w:r/>
      <w:r/>
    </w:p>
    <w:p>
      <w:pPr>
        <w:pStyle w:val="695"/>
        <w:jc w:val="both"/>
        <w:spacing w:beforeAutospacing="0" w:afterAutospacing="0" w:line="0" w:lineRule="atLeast"/>
        <w:rPr>
          <w:rFonts w:hint="eastAsia" w:ascii="宋体" w:hAnsi="宋体" w:eastAsia="宋体" w:cs="宋体"/>
        </w:rPr>
      </w:pPr>
      <w:r/>
      <w:bookmarkStart w:id="174" w:name="_Toc49090575"/>
      <w:r/>
      <w:bookmarkStart w:id="175" w:name="_Toc26554093"/>
      <w:r>
        <w:rPr>
          <w:rFonts w:hint="eastAsia" w:ascii="宋体" w:hAnsi="宋体" w:eastAsia="宋体" w:cs="宋体"/>
        </w:rPr>
        <w:t xml:space="preserve">项目属性:货物类项目。</w:t>
      </w:r>
      <w:bookmarkEnd w:id="174"/>
      <w:r/>
      <w:bookmarkEnd w:id="175"/>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采购需求包括拟采购的标的及其需要满足的技术、商务要求。</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一、技术要求是指对采购标的功能和质量要求，包括性能、材料、结构、外观、安全，或者服务内容和标准等。</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二、商务要求是指取得采购标的</w:t>
      </w:r>
      <w:r>
        <w:rPr>
          <w:rFonts w:hint="eastAsia" w:ascii="宋体" w:hAnsi="宋体" w:eastAsia="宋体" w:cs="宋体"/>
        </w:rPr>
        <w:t xml:space="preserve">的</w:t>
      </w:r>
      <w:r>
        <w:rPr>
          <w:rFonts w:hint="eastAsia" w:ascii="宋体" w:hAnsi="宋体" w:eastAsia="宋体" w:cs="宋体"/>
        </w:rPr>
        <w:t xml:space="preserve">时间、地点、财务和服务要求，包括交付（实施）的时间（期限）和地点（范围），付款条件（进度和方法），包装和运输，售后服务，保险等。</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三、</w:t>
      </w:r>
      <w:r>
        <w:rPr>
          <w:rFonts w:hint="eastAsia" w:ascii="宋体" w:hAnsi="宋体" w:eastAsia="宋体" w:cs="宋体"/>
          <w:i/>
          <w:iCs/>
        </w:rPr>
        <w:t xml:space="preserve">本次“</w:t>
      </w:r>
      <w:r>
        <w:rPr>
          <w:rFonts w:hint="eastAsia" w:ascii="宋体" w:hAnsi="宋体" w:eastAsia="宋体" w:cs="宋体"/>
          <w:i/>
          <w:iCs/>
          <w:lang w:bidi="ar"/>
        </w:rPr>
        <w:t xml:space="preserve">重组禽流感病毒 (H5+H7) 四价灭活疫苗</w:t>
      </w:r>
      <w:r>
        <w:rPr>
          <w:rFonts w:hint="eastAsia" w:ascii="宋体" w:hAnsi="宋体" w:eastAsia="宋体" w:cs="宋体"/>
          <w:i/>
          <w:iCs/>
        </w:rPr>
        <w:t xml:space="preserve">”足额采购，超过最高限价单价的报价为无效报价。</w:t>
      </w:r>
      <w:r/>
    </w:p>
    <w:tbl>
      <w:tblPr>
        <w:tblW w:w="4998" w:type="pct"/>
        <w:tblLook w:val="04A0" w:firstRow="1" w:lastRow="0" w:firstColumn="1" w:lastColumn="0" w:noHBand="0" w:noVBand="1"/>
      </w:tblPr>
      <w:tblGrid>
        <w:gridCol w:w="1417"/>
        <w:gridCol w:w="1420"/>
        <w:gridCol w:w="1421"/>
        <w:gridCol w:w="1421"/>
        <w:gridCol w:w="1627"/>
        <w:gridCol w:w="1213"/>
      </w:tblGrid>
      <w:tr>
        <w:trPr>
          <w:trHeight w:val="570"/>
        </w:trPr>
        <w:tc>
          <w:tcPr>
            <w:tcBorders>
              <w:top w:val="single" w:color="000000" w:sz="4" w:space="0"/>
              <w:left w:val="single" w:color="000000" w:sz="4" w:space="0"/>
              <w:bottom w:val="single" w:color="000000" w:sz="4" w:space="0"/>
              <w:right w:val="single" w:color="000000" w:sz="4" w:space="0"/>
            </w:tcBorders>
            <w:tcW w:w="832" w:type="pct"/>
            <w:vAlign w:val="center"/>
            <w:vMerge w:val="restart"/>
            <w:textDirection w:val="lrTb"/>
            <w:noWrap w:val="false"/>
          </w:tcPr>
          <w:p>
            <w:pPr>
              <w:jc w:val="center"/>
              <w:widowControl/>
              <w:rPr>
                <w:rFonts w:hint="eastAsia" w:ascii="宋体" w:hAnsi="宋体" w:eastAsia="宋体" w:cs="宋体"/>
                <w:sz w:val="24"/>
              </w:rPr>
            </w:pPr>
            <w:r/>
            <w:bookmarkStart w:id="176" w:name="_Toc120614281"/>
            <w:r>
              <w:rPr>
                <w:rFonts w:hint="eastAsia" w:ascii="宋体" w:hAnsi="宋体" w:eastAsia="宋体" w:cs="宋体"/>
                <w:sz w:val="24"/>
                <w:lang w:bidi="ar"/>
              </w:rPr>
              <w:t xml:space="preserve">物品名称</w:t>
            </w:r>
            <w:r/>
          </w:p>
        </w:tc>
        <w:tc>
          <w:tcPr>
            <w:tcBorders>
              <w:top w:val="single" w:color="000000" w:sz="4" w:space="0"/>
              <w:left w:val="single" w:color="000000" w:sz="4" w:space="0"/>
              <w:bottom w:val="single" w:color="000000" w:sz="4" w:space="0"/>
              <w:right w:val="single" w:color="000000" w:sz="4" w:space="0"/>
            </w:tcBorders>
            <w:tcW w:w="833" w:type="pct"/>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型号</w:t>
            </w:r>
            <w:r/>
          </w:p>
        </w:tc>
        <w:tc>
          <w:tcPr>
            <w:tcBorders>
              <w:top w:val="single" w:color="000000" w:sz="4" w:space="0"/>
              <w:left w:val="single" w:color="000000" w:sz="4" w:space="0"/>
              <w:bottom w:val="single" w:color="000000" w:sz="4" w:space="0"/>
              <w:right w:val="single" w:color="000000" w:sz="4" w:space="0"/>
            </w:tcBorders>
            <w:tcW w:w="833" w:type="pct"/>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833" w:type="pct"/>
            <w:vAlign w:val="center"/>
            <w:vMerge w:val="restart"/>
            <w:textDirection w:val="lrTb"/>
            <w:noWrap w:val="false"/>
          </w:tcPr>
          <w:p>
            <w:pPr>
              <w:widowControl/>
              <w:rPr>
                <w:rFonts w:hint="eastAsia" w:ascii="宋体" w:hAnsi="宋体" w:eastAsia="宋体" w:cs="宋体"/>
                <w:sz w:val="24"/>
              </w:rPr>
            </w:pPr>
            <w:r>
              <w:rPr>
                <w:rFonts w:hint="eastAsia" w:ascii="宋体" w:hAnsi="宋体" w:eastAsia="宋体" w:cs="宋体"/>
                <w:sz w:val="24"/>
                <w:lang w:bidi="ar"/>
              </w:rPr>
              <w:t xml:space="preserve">最高限价单价（元）</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预算金额</w:t>
            </w:r>
            <w:r/>
          </w:p>
        </w:tc>
        <w:tc>
          <w:tcPr>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主要配置或技术参数</w:t>
            </w:r>
            <w:r/>
          </w:p>
        </w:tc>
      </w:tr>
      <w:tr>
        <w:trPr>
          <w:trHeight w:val="285"/>
        </w:trPr>
        <w:tc>
          <w:tcPr>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（126万元）</w:t>
            </w:r>
            <w:r/>
          </w:p>
        </w:tc>
        <w:tc>
          <w:tcPr>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1425"/>
        </w:trPr>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重组禽流感病毒 (H5+H7) 四价灭活疫苗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widowControl/>
              <w:rPr>
                <w:rFonts w:hint="eastAsia" w:ascii="宋体" w:hAnsi="宋体" w:eastAsia="宋体" w:cs="宋体"/>
                <w:sz w:val="24"/>
              </w:rPr>
            </w:pPr>
            <w:r>
              <w:rPr>
                <w:rFonts w:hint="eastAsia" w:ascii="宋体" w:hAnsi="宋体" w:eastAsia="宋体" w:cs="宋体"/>
                <w:sz w:val="24"/>
                <w:lang w:bidi="ar"/>
              </w:rPr>
              <w:t xml:space="preserve">100、250毫升/瓶</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元/毫升</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0.315</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124.2</w:t>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农业农村部规定标准</w:t>
            </w:r>
            <w:r/>
          </w:p>
        </w:tc>
      </w:tr>
      <w:tr>
        <w:trPr>
          <w:trHeight w:val="1425"/>
        </w:trPr>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代理服务费（不可竞争费用）</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18000</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依据《江苏省政府采购代理服务收费指导意见》的通知（</w:t>
            </w:r>
            <w:r>
              <w:rPr>
                <w:rFonts w:hint="eastAsia" w:ascii="宋体" w:hAnsi="宋体" w:eastAsia="宋体" w:cs="宋体"/>
                <w:sz w:val="24"/>
                <w:lang w:bidi="ar"/>
              </w:rPr>
              <w:t xml:space="preserve">苏政采〔2024〕</w:t>
            </w:r>
            <w:r>
              <w:rPr>
                <w:rFonts w:hint="eastAsia" w:ascii="宋体" w:hAnsi="宋体" w:eastAsia="宋体" w:cs="宋体"/>
                <w:sz w:val="24"/>
                <w:lang w:bidi="ar"/>
              </w:rPr>
              <w:t xml:space="preserve">20号）执行</w:t>
            </w:r>
            <w:r/>
          </w:p>
        </w:tc>
      </w:tr>
    </w:tbl>
    <w:p>
      <w:pPr>
        <w:pStyle w:val="695"/>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84"/>
        <w:spacing w:beforeAutospacing="0" w:afterAutospacing="0" w:line="360" w:lineRule="atLeast"/>
        <w:widowControl/>
        <w:rPr>
          <w:sz w:val="24"/>
          <w:szCs w:val="24"/>
        </w:rPr>
      </w:pPr>
      <w:r>
        <w:rPr>
          <w:sz w:val="24"/>
          <w:szCs w:val="24"/>
        </w:rPr>
        <w:t xml:space="preserve">四、技术条款</w:t>
      </w:r>
      <w:r/>
    </w:p>
    <w:p>
      <w:pPr>
        <w:pStyle w:val="685"/>
        <w:spacing w:beforeAutospacing="0" w:afterAutospacing="0" w:line="360" w:lineRule="atLeast"/>
        <w:widowControl/>
        <w:rPr>
          <w:sz w:val="24"/>
          <w:szCs w:val="24"/>
        </w:rPr>
      </w:pPr>
      <w:r>
        <w:rPr>
          <w:sz w:val="24"/>
          <w:szCs w:val="24"/>
        </w:rPr>
        <w:t xml:space="preserve">4.1 疫苗核心质量要求</w:t>
      </w:r>
      <w:r/>
    </w:p>
    <w:p>
      <w:pPr>
        <w:pStyle w:val="686"/>
        <w:spacing w:beforeAutospacing="0" w:afterAutospacing="0" w:line="360" w:lineRule="atLeast"/>
        <w:widowControl/>
      </w:pPr>
      <w:r>
        <w:t xml:space="preserve">4.1.1 法定质量标准</w:t>
      </w:r>
      <w:r/>
    </w:p>
    <w:p>
      <w:pPr>
        <w:ind w:left="420"/>
        <w:jc w:val="left"/>
        <w:spacing w:line="360" w:lineRule="atLeast"/>
        <w:widowControl/>
        <w:rPr>
          <w:rFonts w:hint="eastAsia" w:ascii="宋体" w:hAnsi="宋体" w:eastAsia="宋体" w:cs="宋体"/>
          <w:sz w:val="24"/>
          <w:lang w:bidi="ar"/>
        </w:rPr>
      </w:pPr>
      <w:r>
        <w:rPr>
          <w:rFonts w:ascii="宋体" w:hAnsi="宋体" w:eastAsia="宋体" w:cs="宋体"/>
          <w:sz w:val="24"/>
          <w:lang w:bidi="ar"/>
        </w:rPr>
        <w:t xml:space="preserve">★所投重组禽流感病毒（H5+H7）四价灭活疫苗，须全面符合农业农村部发布的《重组禽流感病毒（H5+H7）四价灭活疫苗质量标准》及农业农村部现行有效的动物疫苗相关质量要求，满足国家法定全部检验项目及标准。</w:t>
      </w:r>
      <w:r/>
    </w:p>
    <w:p>
      <w:pPr>
        <w:ind w:left="420"/>
        <w:jc w:val="left"/>
        <w:spacing w:line="360" w:lineRule="atLeast"/>
        <w:widowControl/>
        <w:rPr>
          <w:rFonts w:hint="eastAsia" w:ascii="宋体" w:hAnsi="宋体" w:eastAsia="宋体" w:cs="宋体"/>
          <w:sz w:val="24"/>
          <w:lang w:bidi="ar"/>
        </w:rPr>
      </w:pPr>
      <w:r>
        <w:rPr>
          <w:rFonts w:ascii="宋体" w:hAnsi="宋体" w:eastAsia="宋体" w:cs="宋体"/>
          <w:sz w:val="24"/>
          <w:lang w:bidi="ar"/>
        </w:rPr>
        <w:t xml:space="preserve">★疫苗各亚型 HA 效价均不低于 1∶512，效价检测结果须符合农业农村部对该类疫苗的效价管控要求，确保免疫保护效力达标。</w:t>
      </w:r>
      <w:r/>
    </w:p>
    <w:p>
      <w:pPr>
        <w:ind w:left="420"/>
        <w:jc w:val="left"/>
        <w:spacing w:line="360" w:lineRule="atLeast"/>
        <w:widowControl/>
        <w:rPr>
          <w:sz w:val="24"/>
        </w:rPr>
      </w:pPr>
      <w:r>
        <w:rPr>
          <w:rFonts w:ascii="宋体" w:hAnsi="宋体" w:eastAsia="宋体" w:cs="宋体"/>
          <w:sz w:val="24"/>
          <w:lang w:bidi="ar"/>
        </w:rPr>
        <w:t xml:space="preserve">★</w:t>
      </w:r>
      <w:r>
        <w:rPr>
          <w:rFonts w:ascii="宋体" w:hAnsi="宋体" w:eastAsia="宋体" w:cs="宋体"/>
          <w:sz w:val="24"/>
          <w:lang w:bidi="ar"/>
        </w:rPr>
        <w:t xml:space="preserve">疫苗制苗毒株</w:t>
      </w:r>
      <w:r>
        <w:rPr>
          <w:rFonts w:ascii="宋体" w:hAnsi="宋体" w:eastAsia="宋体" w:cs="宋体"/>
          <w:sz w:val="24"/>
          <w:lang w:bidi="ar"/>
        </w:rPr>
        <w:t xml:space="preserve">须为农业农村部指定的四价疫苗生产用标准毒株（以最新公布毒株目录为准），毒株来源合</w:t>
      </w:r>
      <w:r>
        <w:rPr>
          <w:rFonts w:ascii="宋体" w:hAnsi="宋体" w:eastAsia="宋体" w:cs="宋体"/>
          <w:sz w:val="24"/>
          <w:lang w:bidi="ar"/>
        </w:rPr>
        <w:t xml:space="preserve">规</w:t>
      </w:r>
      <w:r>
        <w:rPr>
          <w:rFonts w:ascii="宋体" w:hAnsi="宋体" w:eastAsia="宋体" w:cs="宋体"/>
          <w:sz w:val="24"/>
          <w:lang w:bidi="ar"/>
        </w:rPr>
        <w:t xml:space="preserve">、可追溯。</w:t>
      </w:r>
      <w:r/>
    </w:p>
    <w:p>
      <w:pPr>
        <w:pStyle w:val="686"/>
        <w:spacing w:beforeAutospacing="0" w:afterAutospacing="0" w:line="360" w:lineRule="atLeast"/>
        <w:widowControl/>
      </w:pPr>
      <w:r>
        <w:t xml:space="preserve">4.1.2 生产与品控要求</w:t>
      </w:r>
      <w:r/>
    </w:p>
    <w:p>
      <w:pPr>
        <w:ind w:left="780" w:hanging="360"/>
        <w:jc w:val="left"/>
        <w:spacing w:line="360" w:lineRule="atLeast"/>
        <w:widowControl/>
        <w:rPr>
          <w:sz w:val="24"/>
        </w:rPr>
      </w:pPr>
      <w:r>
        <w:rPr>
          <w:sz w:val="24"/>
        </w:rPr>
        <w:t xml:space="preserve">1.</w:t>
      </w:r>
      <w:r>
        <w:rPr>
          <w:sz w:val="24"/>
        </w:rPr>
        <w:t xml:space="preserve">投标人须建立完善的产品质量控制体系，针对所投疫苗开展全流程质量调查；制定并落实产品质量提升措施，包括但不限于专项经费投入、创新研究、技术合作等，实现品控后疫苗免疫副反应降低、抗体合格率提升，满足市场及防控实际需求。</w:t>
      </w:r>
      <w:r/>
    </w:p>
    <w:p>
      <w:pPr>
        <w:ind w:left="780" w:hanging="360"/>
        <w:jc w:val="left"/>
        <w:spacing w:line="360" w:lineRule="atLeast"/>
        <w:widowControl/>
        <w:rPr>
          <w:sz w:val="24"/>
        </w:rPr>
      </w:pPr>
      <w:r>
        <w:rPr>
          <w:sz w:val="24"/>
        </w:rPr>
        <w:t xml:space="preserve">2.</w:t>
      </w:r>
      <w:r>
        <w:rPr>
          <w:sz w:val="24"/>
        </w:rPr>
        <w:t xml:space="preserve">投标人在企业管理软</w:t>
      </w:r>
      <w:r>
        <w:rPr>
          <w:sz w:val="24"/>
        </w:rPr>
        <w:t xml:space="preserve"> / </w:t>
      </w:r>
      <w:r>
        <w:rPr>
          <w:sz w:val="24"/>
        </w:rPr>
        <w:t xml:space="preserve">硬件设施配置、生产各环节管控、原辅料采购与检验把控等方面，</w:t>
      </w:r>
      <w:r>
        <w:rPr>
          <w:sz w:val="24"/>
        </w:rPr>
        <w:t xml:space="preserve">须实施</w:t>
      </w:r>
      <w:r>
        <w:rPr>
          <w:sz w:val="24"/>
        </w:rPr>
        <w:t xml:space="preserve">综合质量控制，确保生产全过程合</w:t>
      </w:r>
      <w:r>
        <w:rPr>
          <w:sz w:val="24"/>
        </w:rPr>
        <w:t xml:space="preserve">规</w:t>
      </w:r>
      <w:r>
        <w:rPr>
          <w:sz w:val="24"/>
        </w:rPr>
        <w:t xml:space="preserve">、可控。</w:t>
      </w:r>
      <w:r/>
    </w:p>
    <w:p>
      <w:pPr>
        <w:ind w:left="780" w:hanging="360"/>
        <w:jc w:val="left"/>
        <w:spacing w:line="360" w:lineRule="atLeast"/>
        <w:widowControl/>
        <w:rPr>
          <w:sz w:val="24"/>
        </w:rPr>
      </w:pPr>
      <w:r>
        <w:rPr>
          <w:sz w:val="24"/>
        </w:rPr>
        <w:t xml:space="preserve">3.</w:t>
      </w:r>
      <w:r>
        <w:rPr>
          <w:sz w:val="24"/>
        </w:rPr>
        <w:t xml:space="preserve">投标人须具备完备的疫苗检测专业设备和持证上岗检测人员，能按照国家规定标准和方法开展常态化检测工作，各项质量管理制度、检测记录、生产记录等规范、齐全、可追溯。</w:t>
      </w:r>
      <w:r/>
    </w:p>
    <w:p>
      <w:pPr>
        <w:pStyle w:val="686"/>
        <w:spacing w:beforeAutospacing="0" w:afterAutospacing="0" w:line="360" w:lineRule="atLeast"/>
        <w:widowControl/>
      </w:pPr>
      <w:r>
        <w:t xml:space="preserve">4.1.3 检测与审批要求</w:t>
      </w:r>
      <w:r/>
    </w:p>
    <w:p>
      <w:pPr>
        <w:ind w:left="420"/>
        <w:jc w:val="left"/>
        <w:spacing w:line="360" w:lineRule="atLeast"/>
        <w:widowControl/>
        <w:rPr>
          <w:sz w:val="24"/>
        </w:rPr>
      </w:pPr>
      <w:r>
        <w:rPr>
          <w:rFonts w:ascii="宋体" w:hAnsi="宋体" w:eastAsia="宋体" w:cs="宋体"/>
          <w:sz w:val="24"/>
          <w:lang w:bidi="ar"/>
        </w:rPr>
        <w:t xml:space="preserve">投标人所投重组禽流感病毒（H5+H7）四价灭活疫苗，须提供有效的产品检测报告及农业农村部核发的疫苗批签发报告，报告内容完整、数据真实、结论合格。</w:t>
      </w:r>
      <w:r/>
    </w:p>
    <w:p>
      <w:pPr>
        <w:pStyle w:val="686"/>
        <w:spacing w:beforeAutospacing="0" w:afterAutospacing="0" w:line="360" w:lineRule="atLeast"/>
        <w:widowControl/>
      </w:pPr>
      <w:r>
        <w:t xml:space="preserve">4.1.4 政策适配要求</w:t>
      </w:r>
      <w:r/>
    </w:p>
    <w:p>
      <w:pPr>
        <w:ind w:left="420"/>
        <w:jc w:val="left"/>
        <w:spacing w:line="360" w:lineRule="atLeast"/>
        <w:widowControl/>
        <w:rPr>
          <w:sz w:val="24"/>
        </w:rPr>
      </w:pPr>
      <w:r>
        <w:rPr>
          <w:rFonts w:ascii="宋体" w:hAnsi="宋体" w:eastAsia="宋体" w:cs="宋体"/>
          <w:sz w:val="24"/>
          <w:lang w:bidi="ar"/>
        </w:rPr>
        <w:t xml:space="preserve">招标前后，如遇农业农村部关于禽流感疫苗品种、毒株、质量标准等政策调整，投标人须按最新政策要求直接变更相应产品，确保所供疫苗始终符合法定要求，相关变更成本由投标人自行承担。</w:t>
      </w:r>
      <w:r/>
    </w:p>
    <w:p>
      <w:pPr>
        <w:pStyle w:val="686"/>
        <w:spacing w:beforeAutospacing="0" w:afterAutospacing="0" w:line="360" w:lineRule="atLeast"/>
        <w:widowControl/>
      </w:pPr>
      <w:r>
        <w:t xml:space="preserve">4.1.5 生产工艺承诺要求</w:t>
      </w:r>
      <w:r/>
    </w:p>
    <w:p>
      <w:pPr>
        <w:ind w:left="420"/>
        <w:jc w:val="left"/>
        <w:spacing w:line="360" w:lineRule="atLeast"/>
        <w:widowControl/>
        <w:rPr>
          <w:sz w:val="24"/>
        </w:rPr>
      </w:pPr>
      <w:r>
        <w:rPr>
          <w:rFonts w:ascii="宋体" w:hAnsi="宋体" w:eastAsia="宋体" w:cs="宋体"/>
          <w:sz w:val="24"/>
          <w:lang w:bidi="ar"/>
        </w:rPr>
        <w:t xml:space="preserve">★根据《农办牧〔2018〕74 号》文件规定，投标人须提供本企业针对重组禽流感病毒（H5+H7）四价灭活疫苗的生产工艺、固化控制指标承诺书（格式详见第五章），固化控制指标包含但不限于培养方法、抗原含量、佐剂类型等；投标人承诺不得擅自改变疫苗生产工艺，如违反承诺，采购人有权终止合同并追究相关责任。</w:t>
      </w:r>
      <w:r/>
    </w:p>
    <w:p>
      <w:pPr>
        <w:pStyle w:val="685"/>
        <w:spacing w:beforeAutospacing="0" w:afterAutospacing="0" w:line="360" w:lineRule="atLeast"/>
        <w:widowControl/>
        <w:rPr>
          <w:sz w:val="24"/>
          <w:szCs w:val="24"/>
        </w:rPr>
      </w:pPr>
      <w:r>
        <w:rPr>
          <w:sz w:val="24"/>
          <w:szCs w:val="24"/>
        </w:rPr>
        <w:t xml:space="preserve">4.2 疫苗生产企业资质要求</w:t>
      </w:r>
      <w:r/>
    </w:p>
    <w:p>
      <w:pPr>
        <w:ind w:left="420"/>
        <w:jc w:val="left"/>
        <w:spacing w:line="360" w:lineRule="atLeast"/>
        <w:widowControl/>
        <w:rPr>
          <w:sz w:val="24"/>
        </w:rPr>
      </w:pPr>
      <w:r>
        <w:rPr>
          <w:rFonts w:ascii="宋体" w:hAnsi="宋体" w:eastAsia="宋体" w:cs="宋体"/>
          <w:sz w:val="24"/>
          <w:lang w:bidi="ar"/>
        </w:rPr>
        <w:t xml:space="preserve">投标人所投疫苗的生产企业，须具备农业农村部核发的《兽药生产许可证》，生产工艺符合《兽药生产质量管理规范（GMP）》要求；疫苗产品已取得农业农村部核发的《兽药产品批准文号》，且上述资质、批准文号在有效期内。</w:t>
      </w:r>
      <w:r/>
    </w:p>
    <w:p>
      <w:pPr>
        <w:pStyle w:val="685"/>
        <w:spacing w:beforeAutospacing="0" w:afterAutospacing="0" w:line="360" w:lineRule="atLeast"/>
        <w:widowControl/>
        <w:rPr>
          <w:sz w:val="24"/>
          <w:szCs w:val="24"/>
        </w:rPr>
      </w:pPr>
      <w:r>
        <w:rPr>
          <w:sz w:val="24"/>
          <w:szCs w:val="24"/>
        </w:rPr>
        <w:t xml:space="preserve">4.3 疫苗外观与理化要求</w:t>
      </w:r>
      <w:r/>
    </w:p>
    <w:p>
      <w:pPr>
        <w:ind w:left="420"/>
        <w:jc w:val="left"/>
        <w:spacing w:line="360" w:lineRule="atLeast"/>
        <w:widowControl/>
        <w:rPr>
          <w:sz w:val="24"/>
        </w:rPr>
      </w:pPr>
      <w:r>
        <w:rPr>
          <w:rFonts w:ascii="宋体" w:hAnsi="宋体" w:eastAsia="宋体" w:cs="宋体"/>
          <w:sz w:val="24"/>
          <w:lang w:bidi="ar"/>
        </w:rPr>
        <w:t xml:space="preserve">所投疫苗外观为均匀乳白色乳剂，无沉淀、无混浊、无分层、无破乳、无异物，乳化稳定性、黏度等理化指标均符合农业农村部发布的该类疫苗质量标准。</w:t>
      </w:r>
      <w:r/>
    </w:p>
    <w:p>
      <w:pPr>
        <w:pStyle w:val="685"/>
        <w:spacing w:beforeAutospacing="0" w:afterAutospacing="0" w:line="360" w:lineRule="atLeast"/>
        <w:widowControl/>
        <w:rPr>
          <w:sz w:val="24"/>
          <w:szCs w:val="24"/>
        </w:rPr>
      </w:pPr>
      <w:r>
        <w:rPr>
          <w:sz w:val="24"/>
          <w:szCs w:val="24"/>
        </w:rPr>
        <w:t xml:space="preserve">4.4 溯源管理要求</w:t>
      </w:r>
      <w:r/>
    </w:p>
    <w:p>
      <w:pPr>
        <w:ind w:left="420"/>
        <w:jc w:val="left"/>
        <w:spacing w:line="360" w:lineRule="atLeast"/>
        <w:widowControl/>
        <w:rPr>
          <w:sz w:val="24"/>
        </w:rPr>
      </w:pPr>
      <w:r>
        <w:rPr>
          <w:rFonts w:ascii="宋体" w:hAnsi="宋体" w:eastAsia="宋体" w:cs="宋体"/>
          <w:sz w:val="24"/>
          <w:lang w:bidi="ar"/>
        </w:rPr>
        <w:t xml:space="preserve">所投疫苗</w:t>
      </w:r>
      <w:r>
        <w:rPr>
          <w:rFonts w:ascii="宋体" w:hAnsi="宋体" w:eastAsia="宋体" w:cs="宋体"/>
          <w:sz w:val="24"/>
          <w:lang w:bidi="ar"/>
        </w:rPr>
        <w:t xml:space="preserve">须实现</w:t>
      </w:r>
      <w:r>
        <w:rPr>
          <w:rFonts w:ascii="宋体" w:hAnsi="宋体" w:eastAsia="宋体" w:cs="宋体"/>
          <w:sz w:val="24"/>
          <w:lang w:bidi="ar"/>
        </w:rPr>
        <w:t xml:space="preserve">生产、流通全流程溯源管理，生产批次、生产日期、检验数据、原辅料来源、流通冷</w:t>
      </w:r>
      <w:r>
        <w:rPr>
          <w:rFonts w:ascii="宋体" w:hAnsi="宋体" w:eastAsia="宋体" w:cs="宋体"/>
          <w:sz w:val="24"/>
          <w:lang w:bidi="ar"/>
        </w:rPr>
        <w:t xml:space="preserve">链记录</w:t>
      </w:r>
      <w:r>
        <w:rPr>
          <w:rFonts w:ascii="宋体" w:hAnsi="宋体" w:eastAsia="宋体" w:cs="宋体"/>
          <w:sz w:val="24"/>
          <w:lang w:bidi="ar"/>
        </w:rPr>
        <w:t xml:space="preserve">等信息可查询、可追溯；投标人须配合采购人完成疫苗溯源信息的对接与核查工作。</w:t>
      </w:r>
      <w:r/>
    </w:p>
    <w:p>
      <w:pPr>
        <w:pStyle w:val="684"/>
        <w:spacing w:beforeAutospacing="0" w:afterAutospacing="0" w:line="360" w:lineRule="atLeast"/>
        <w:widowControl/>
        <w:rPr>
          <w:sz w:val="24"/>
          <w:szCs w:val="24"/>
        </w:rPr>
      </w:pPr>
      <w:r>
        <w:rPr>
          <w:sz w:val="24"/>
          <w:szCs w:val="24"/>
        </w:rPr>
        <w:t xml:space="preserve">五、商务条款</w:t>
      </w:r>
      <w:r/>
    </w:p>
    <w:p>
      <w:pPr>
        <w:pStyle w:val="685"/>
        <w:ind w:left="420"/>
        <w:spacing w:beforeAutospacing="0" w:afterAutospacing="0" w:line="360" w:lineRule="atLeast"/>
        <w:widowControl/>
        <w:rPr>
          <w:sz w:val="24"/>
          <w:szCs w:val="24"/>
        </w:rPr>
      </w:pPr>
      <w:r>
        <w:rPr>
          <w:sz w:val="24"/>
          <w:szCs w:val="24"/>
        </w:rPr>
        <w:t xml:space="preserve">（一）疫苗质保期</w:t>
      </w:r>
      <w:r/>
    </w:p>
    <w:p>
      <w:pPr>
        <w:ind w:left="420"/>
        <w:jc w:val="left"/>
        <w:spacing w:line="360" w:lineRule="atLeast"/>
        <w:widowControl/>
        <w:rPr>
          <w:sz w:val="24"/>
        </w:rPr>
      </w:pPr>
      <w:r>
        <w:rPr>
          <w:rFonts w:ascii="宋体" w:hAnsi="宋体" w:eastAsia="宋体" w:cs="宋体"/>
          <w:sz w:val="24"/>
          <w:lang w:bidi="ar"/>
        </w:rPr>
        <w:t xml:space="preserve">★投标人承诺：所投重组禽流感病毒（H5+H7）四价灭活疫苗最终交到采购人指定地点并验收合格后，剩余有效期须满足：疫苗标称有效期为 12 </w:t>
      </w:r>
      <w:r>
        <w:rPr>
          <w:rFonts w:ascii="宋体" w:hAnsi="宋体" w:eastAsia="宋体" w:cs="宋体"/>
          <w:sz w:val="24"/>
          <w:lang w:bidi="ar"/>
        </w:rPr>
        <w:t xml:space="preserve">个</w:t>
      </w:r>
      <w:r>
        <w:rPr>
          <w:rFonts w:ascii="宋体" w:hAnsi="宋体" w:eastAsia="宋体" w:cs="宋体"/>
          <w:sz w:val="24"/>
          <w:lang w:bidi="ar"/>
        </w:rPr>
        <w:t xml:space="preserve">月的，剩余有效期≥8 </w:t>
      </w:r>
      <w:r>
        <w:rPr>
          <w:rFonts w:ascii="宋体" w:hAnsi="宋体" w:eastAsia="宋体" w:cs="宋体"/>
          <w:sz w:val="24"/>
          <w:lang w:bidi="ar"/>
        </w:rPr>
        <w:t xml:space="preserve">个</w:t>
      </w:r>
      <w:r>
        <w:rPr>
          <w:rFonts w:ascii="宋体" w:hAnsi="宋体" w:eastAsia="宋体" w:cs="宋体"/>
          <w:sz w:val="24"/>
          <w:lang w:bidi="ar"/>
        </w:rPr>
        <w:t xml:space="preserve">月；疫苗标称有效期为 18 </w:t>
      </w:r>
      <w:r>
        <w:rPr>
          <w:rFonts w:ascii="宋体" w:hAnsi="宋体" w:eastAsia="宋体" w:cs="宋体"/>
          <w:sz w:val="24"/>
          <w:lang w:bidi="ar"/>
        </w:rPr>
        <w:t xml:space="preserve">个</w:t>
      </w:r>
      <w:r>
        <w:rPr>
          <w:rFonts w:ascii="宋体" w:hAnsi="宋体" w:eastAsia="宋体" w:cs="宋体"/>
          <w:sz w:val="24"/>
          <w:lang w:bidi="ar"/>
        </w:rPr>
        <w:t xml:space="preserve">月的，剩余有效期≥13 </w:t>
      </w:r>
      <w:r>
        <w:rPr>
          <w:rFonts w:ascii="宋体" w:hAnsi="宋体" w:eastAsia="宋体" w:cs="宋体"/>
          <w:sz w:val="24"/>
          <w:lang w:bidi="ar"/>
        </w:rPr>
        <w:t xml:space="preserve">个</w:t>
      </w:r>
      <w:r>
        <w:rPr>
          <w:rFonts w:ascii="宋体" w:hAnsi="宋体" w:eastAsia="宋体" w:cs="宋体"/>
          <w:sz w:val="24"/>
          <w:lang w:bidi="ar"/>
        </w:rPr>
        <w:t xml:space="preserve">月（自交货验收合格之日起计）。</w:t>
      </w:r>
      <w:r/>
    </w:p>
    <w:p>
      <w:pPr>
        <w:pStyle w:val="685"/>
        <w:ind w:left="420"/>
        <w:spacing w:beforeAutospacing="0" w:afterAutospacing="0" w:line="360" w:lineRule="atLeast"/>
        <w:widowControl/>
        <w:rPr>
          <w:sz w:val="24"/>
          <w:szCs w:val="24"/>
        </w:rPr>
      </w:pPr>
      <w:r>
        <w:rPr>
          <w:sz w:val="24"/>
          <w:szCs w:val="24"/>
        </w:rPr>
        <w:t xml:space="preserve">（二）全流程服务方案要求</w:t>
      </w:r>
      <w:r/>
    </w:p>
    <w:p>
      <w:pPr>
        <w:ind w:left="420"/>
        <w:jc w:val="left"/>
        <w:spacing w:line="360" w:lineRule="atLeast"/>
        <w:widowControl/>
        <w:rPr>
          <w:sz w:val="24"/>
        </w:rPr>
      </w:pPr>
      <w:r>
        <w:rPr>
          <w:rFonts w:ascii="宋体" w:hAnsi="宋体" w:eastAsia="宋体" w:cs="宋体"/>
          <w:sz w:val="24"/>
          <w:lang w:bidi="ar"/>
        </w:rPr>
        <w:t xml:space="preserve">投标人须针对所投疫苗，提供详细、可落地的</w:t>
      </w:r>
      <w:r>
        <w:rPr>
          <w:rStyle w:val="696"/>
          <w:rFonts w:ascii="宋体" w:hAnsi="宋体" w:eastAsia="宋体" w:cs="宋体"/>
          <w:bCs/>
          <w:sz w:val="24"/>
          <w:lang w:bidi="ar"/>
        </w:rPr>
        <w:t xml:space="preserve">售前、售中、售后服务方案</w:t>
      </w:r>
      <w:r>
        <w:rPr>
          <w:rFonts w:ascii="宋体" w:hAnsi="宋体" w:eastAsia="宋体" w:cs="宋体"/>
          <w:sz w:val="24"/>
          <w:lang w:bidi="ar"/>
        </w:rPr>
        <w:t xml:space="preserve">和</w:t>
      </w:r>
      <w:r>
        <w:rPr>
          <w:rStyle w:val="696"/>
          <w:rFonts w:ascii="宋体" w:hAnsi="宋体" w:eastAsia="宋体" w:cs="宋体"/>
          <w:bCs/>
          <w:sz w:val="24"/>
          <w:lang w:bidi="ar"/>
        </w:rPr>
        <w:t xml:space="preserve">免疫效果跟踪评价方案</w:t>
      </w:r>
      <w:r>
        <w:rPr>
          <w:rFonts w:ascii="宋体" w:hAnsi="宋体" w:eastAsia="宋体" w:cs="宋体"/>
          <w:sz w:val="24"/>
          <w:lang w:bidi="ar"/>
        </w:rPr>
        <w:t xml:space="preserve">，内容须明确：</w:t>
      </w:r>
      <w:r/>
    </w:p>
    <w:p>
      <w:pPr>
        <w:ind w:left="780" w:hanging="360"/>
        <w:jc w:val="left"/>
        <w:spacing w:line="360" w:lineRule="atLeast"/>
        <w:widowControl/>
        <w:rPr>
          <w:sz w:val="24"/>
        </w:rPr>
      </w:pPr>
      <w:r>
        <w:rPr>
          <w:sz w:val="24"/>
        </w:rPr>
        <w:t xml:space="preserve">1.</w:t>
      </w:r>
      <w:r>
        <w:rPr>
          <w:sz w:val="24"/>
        </w:rPr>
        <w:t xml:space="preserve">供货能力：可按采购人需求提供任意批量、指定规格的疫苗，保障及时发货，无供货量、规格限制；</w:t>
      </w:r>
      <w:r/>
    </w:p>
    <w:p>
      <w:pPr>
        <w:ind w:left="780" w:hanging="360"/>
        <w:jc w:val="left"/>
        <w:spacing w:line="360" w:lineRule="atLeast"/>
        <w:widowControl/>
        <w:rPr>
          <w:sz w:val="24"/>
        </w:rPr>
      </w:pPr>
      <w:r>
        <w:rPr>
          <w:sz w:val="24"/>
        </w:rPr>
        <w:t xml:space="preserve">2.</w:t>
      </w:r>
      <w:r>
        <w:rPr>
          <w:sz w:val="24"/>
        </w:rPr>
        <w:t xml:space="preserve">全流程指导：包含疫苗储存、运输、使用等各环节的专业操作指导；</w:t>
      </w:r>
      <w:r/>
    </w:p>
    <w:p>
      <w:pPr>
        <w:ind w:left="780" w:hanging="360"/>
        <w:jc w:val="left"/>
        <w:spacing w:line="360" w:lineRule="atLeast"/>
        <w:widowControl/>
        <w:rPr>
          <w:sz w:val="24"/>
        </w:rPr>
      </w:pPr>
      <w:r>
        <w:rPr>
          <w:sz w:val="24"/>
        </w:rPr>
        <w:t xml:space="preserve">3.</w:t>
      </w:r>
      <w:r>
        <w:rPr>
          <w:sz w:val="24"/>
        </w:rPr>
        <w:t xml:space="preserve">免疫跟踪：制定疫苗免疫后抗体水平检测、免疫效果评估的具体流程和频次，及时反馈跟踪结果；以上方案须做到重点服务项目明确、服务内容量化、可操作性强。</w:t>
      </w:r>
      <w:r/>
    </w:p>
    <w:p>
      <w:pPr>
        <w:pStyle w:val="685"/>
        <w:ind w:left="420"/>
        <w:spacing w:beforeAutospacing="0" w:afterAutospacing="0" w:line="360" w:lineRule="atLeast"/>
        <w:widowControl/>
        <w:rPr>
          <w:sz w:val="24"/>
          <w:szCs w:val="24"/>
        </w:rPr>
      </w:pPr>
      <w:r>
        <w:rPr>
          <w:sz w:val="24"/>
          <w:szCs w:val="24"/>
        </w:rPr>
        <w:t xml:space="preserve">（三）应急处理服务要求</w:t>
      </w:r>
      <w:r/>
    </w:p>
    <w:p>
      <w:pPr>
        <w:ind w:left="420"/>
        <w:jc w:val="left"/>
        <w:spacing w:line="360" w:lineRule="atLeast"/>
        <w:widowControl/>
        <w:rPr>
          <w:sz w:val="24"/>
        </w:rPr>
      </w:pPr>
      <w:r>
        <w:rPr>
          <w:rFonts w:ascii="宋体" w:hAnsi="宋体" w:eastAsia="宋体" w:cs="宋体"/>
          <w:sz w:val="24"/>
          <w:lang w:bidi="ar"/>
        </w:rPr>
        <w:t xml:space="preserve">投标人须提供针对所投疫苗的</w:t>
      </w:r>
      <w:r>
        <w:rPr>
          <w:rStyle w:val="696"/>
          <w:rFonts w:ascii="宋体" w:hAnsi="宋体" w:eastAsia="宋体" w:cs="宋体"/>
          <w:bCs/>
          <w:sz w:val="24"/>
          <w:lang w:bidi="ar"/>
        </w:rPr>
        <w:t xml:space="preserve">专项应急处理方案</w:t>
      </w:r>
      <w:r>
        <w:rPr>
          <w:rFonts w:ascii="宋体" w:hAnsi="宋体" w:eastAsia="宋体" w:cs="宋体"/>
          <w:sz w:val="24"/>
          <w:lang w:bidi="ar"/>
        </w:rPr>
        <w:t xml:space="preserve">，内容完整、量化、可操作，具体包括：</w:t>
      </w:r>
      <w:r/>
    </w:p>
    <w:p>
      <w:pPr>
        <w:ind w:left="780" w:hanging="360"/>
        <w:jc w:val="left"/>
        <w:spacing w:line="360" w:lineRule="atLeast"/>
        <w:widowControl/>
        <w:rPr>
          <w:sz w:val="24"/>
        </w:rPr>
      </w:pPr>
      <w:r>
        <w:rPr>
          <w:sz w:val="24"/>
        </w:rPr>
        <w:t xml:space="preserve">1.</w:t>
      </w:r>
      <w:r>
        <w:rPr>
          <w:sz w:val="24"/>
        </w:rPr>
        <w:t xml:space="preserve">免疫副反应处理：明确副反应响应时限、现场处置流程、专业技术支持团队配置；</w:t>
      </w:r>
      <w:r/>
    </w:p>
    <w:p>
      <w:pPr>
        <w:ind w:left="780" w:hanging="360"/>
        <w:jc w:val="left"/>
        <w:spacing w:line="360" w:lineRule="atLeast"/>
        <w:widowControl/>
        <w:rPr>
          <w:sz w:val="24"/>
        </w:rPr>
      </w:pPr>
      <w:r>
        <w:rPr>
          <w:sz w:val="24"/>
        </w:rPr>
        <w:t xml:space="preserve">2.</w:t>
      </w:r>
      <w:r>
        <w:rPr>
          <w:sz w:val="24"/>
        </w:rPr>
        <w:t xml:space="preserve">理赔机制：制定简化、快速的免疫副反应理赔流程，明确理赔标准、时限及责任人；</w:t>
      </w:r>
      <w:r/>
    </w:p>
    <w:p>
      <w:pPr>
        <w:ind w:left="780" w:hanging="360"/>
        <w:jc w:val="left"/>
        <w:spacing w:line="360" w:lineRule="atLeast"/>
        <w:widowControl/>
        <w:rPr>
          <w:sz w:val="24"/>
        </w:rPr>
      </w:pPr>
      <w:r>
        <w:rPr>
          <w:sz w:val="24"/>
        </w:rPr>
        <w:t xml:space="preserve">3.</w:t>
      </w:r>
      <w:r>
        <w:rPr>
          <w:sz w:val="24"/>
        </w:rPr>
        <w:t xml:space="preserve">问题响应：建立采购人问题反馈的快速响应通道，明确不同类型问题的处理时限和解决标准；</w:t>
      </w:r>
      <w:r/>
    </w:p>
    <w:p>
      <w:pPr>
        <w:ind w:left="780" w:hanging="360"/>
        <w:jc w:val="left"/>
        <w:spacing w:line="360" w:lineRule="atLeast"/>
        <w:widowControl/>
        <w:rPr>
          <w:sz w:val="24"/>
        </w:rPr>
      </w:pPr>
      <w:r>
        <w:rPr>
          <w:sz w:val="24"/>
        </w:rPr>
        <w:t xml:space="preserve">4.</w:t>
      </w:r>
      <w:r>
        <w:rPr>
          <w:sz w:val="24"/>
        </w:rPr>
        <w:t xml:space="preserve">客户走访：制定定期用户走访计划，及时收集使用反馈、解决实际问题。</w:t>
      </w:r>
      <w:r/>
    </w:p>
    <w:p>
      <w:pPr>
        <w:pStyle w:val="685"/>
        <w:ind w:left="420"/>
        <w:spacing w:beforeAutospacing="0" w:afterAutospacing="0" w:line="360" w:lineRule="atLeast"/>
        <w:widowControl/>
        <w:rPr>
          <w:sz w:val="24"/>
          <w:szCs w:val="24"/>
        </w:rPr>
      </w:pPr>
      <w:r>
        <w:rPr>
          <w:sz w:val="24"/>
          <w:szCs w:val="24"/>
        </w:rPr>
        <w:t xml:space="preserve">（四）冷</w:t>
      </w:r>
      <w:r>
        <w:rPr>
          <w:sz w:val="24"/>
          <w:szCs w:val="24"/>
        </w:rPr>
        <w:t xml:space="preserve">链运输</w:t>
      </w:r>
      <w:r>
        <w:rPr>
          <w:sz w:val="24"/>
          <w:szCs w:val="24"/>
        </w:rPr>
        <w:t xml:space="preserve">服务要求</w:t>
      </w:r>
      <w:r/>
    </w:p>
    <w:p>
      <w:pPr>
        <w:ind w:left="420"/>
        <w:jc w:val="left"/>
        <w:spacing w:line="360" w:lineRule="atLeast"/>
        <w:widowControl/>
        <w:rPr>
          <w:sz w:val="24"/>
        </w:rPr>
      </w:pPr>
      <w:r>
        <w:rPr>
          <w:rFonts w:ascii="宋体" w:hAnsi="宋体" w:eastAsia="宋体" w:cs="宋体"/>
          <w:sz w:val="24"/>
          <w:lang w:bidi="ar"/>
        </w:rPr>
        <w:t xml:space="preserve">投标人须提供符合疫苗储运规范的</w:t>
      </w:r>
      <w:r>
        <w:rPr>
          <w:rStyle w:val="696"/>
          <w:rFonts w:ascii="宋体" w:hAnsi="宋体" w:eastAsia="宋体" w:cs="宋体"/>
          <w:bCs/>
          <w:sz w:val="24"/>
          <w:lang w:bidi="ar"/>
        </w:rPr>
        <w:t xml:space="preserve">全程冷链运输方案</w:t>
      </w:r>
      <w:r>
        <w:rPr>
          <w:rFonts w:ascii="宋体" w:hAnsi="宋体" w:eastAsia="宋体" w:cs="宋体"/>
          <w:sz w:val="24"/>
          <w:lang w:bidi="ar"/>
        </w:rPr>
        <w:t xml:space="preserve">，方案内容量化、可操作，重点包括：</w:t>
      </w:r>
      <w:r/>
    </w:p>
    <w:p>
      <w:pPr>
        <w:ind w:left="780" w:hanging="360"/>
        <w:jc w:val="left"/>
        <w:spacing w:line="360" w:lineRule="atLeast"/>
        <w:widowControl/>
        <w:rPr>
          <w:sz w:val="24"/>
        </w:rPr>
      </w:pPr>
      <w:r>
        <w:rPr>
          <w:sz w:val="24"/>
        </w:rPr>
        <w:t xml:space="preserve">1.</w:t>
      </w:r>
      <w:r>
        <w:rPr>
          <w:sz w:val="24"/>
        </w:rPr>
        <w:t xml:space="preserve">冷</w:t>
      </w:r>
      <w:r>
        <w:rPr>
          <w:sz w:val="24"/>
        </w:rPr>
        <w:t xml:space="preserve">链运输</w:t>
      </w:r>
      <w:r>
        <w:rPr>
          <w:sz w:val="24"/>
        </w:rPr>
        <w:t xml:space="preserve">方式：明确运输载体、温控设备配置标准，确保运输全程温度维持在</w:t>
      </w:r>
      <w:r>
        <w:rPr>
          <w:sz w:val="24"/>
        </w:rPr>
        <w:t xml:space="preserve"> 2℃~8℃</w:t>
      </w:r>
      <w:r>
        <w:rPr>
          <w:sz w:val="24"/>
        </w:rPr>
        <w:t xml:space="preserve">；</w:t>
      </w:r>
      <w:r/>
    </w:p>
    <w:p>
      <w:pPr>
        <w:ind w:left="780" w:hanging="360"/>
        <w:jc w:val="left"/>
        <w:spacing w:line="360" w:lineRule="atLeast"/>
        <w:widowControl/>
        <w:rPr>
          <w:sz w:val="24"/>
        </w:rPr>
      </w:pPr>
      <w:r>
        <w:rPr>
          <w:sz w:val="24"/>
        </w:rPr>
        <w:t xml:space="preserve">2.</w:t>
      </w:r>
      <w:r>
        <w:rPr>
          <w:sz w:val="24"/>
        </w:rPr>
        <w:t xml:space="preserve">全程温度管理：制定运输途中温度实时监测、记录、上传的具体要求，确保冷</w:t>
      </w:r>
      <w:r>
        <w:rPr>
          <w:sz w:val="24"/>
        </w:rPr>
        <w:t xml:space="preserve">链记录</w:t>
      </w:r>
      <w:r>
        <w:rPr>
          <w:sz w:val="24"/>
        </w:rPr>
        <w:t xml:space="preserve">完整可追溯；</w:t>
      </w:r>
      <w:r/>
    </w:p>
    <w:p>
      <w:pPr>
        <w:ind w:left="780" w:hanging="360"/>
        <w:jc w:val="left"/>
        <w:spacing w:line="360" w:lineRule="atLeast"/>
        <w:widowControl/>
        <w:rPr>
          <w:sz w:val="24"/>
        </w:rPr>
      </w:pPr>
      <w:r>
        <w:rPr>
          <w:sz w:val="24"/>
        </w:rPr>
        <w:t xml:space="preserve">3.</w:t>
      </w:r>
      <w:r>
        <w:rPr>
          <w:sz w:val="24"/>
        </w:rPr>
        <w:t xml:space="preserve">突发事件处理：明确运输途中温控异常、交通延误等突发事件的应急处置流程，保障疫苗质量不受影响。</w:t>
      </w:r>
      <w:r/>
    </w:p>
    <w:p>
      <w:pPr>
        <w:pStyle w:val="685"/>
        <w:ind w:left="420"/>
        <w:spacing w:beforeAutospacing="0" w:afterAutospacing="0" w:line="360" w:lineRule="atLeast"/>
        <w:widowControl/>
        <w:rPr>
          <w:sz w:val="24"/>
          <w:szCs w:val="24"/>
        </w:rPr>
      </w:pPr>
      <w:r>
        <w:rPr>
          <w:sz w:val="24"/>
          <w:szCs w:val="24"/>
        </w:rPr>
        <w:t xml:space="preserve">（五）废弃疫苗瓶回收处理要求</w:t>
      </w:r>
      <w:r/>
    </w:p>
    <w:p>
      <w:pPr>
        <w:ind w:left="420"/>
        <w:jc w:val="left"/>
        <w:spacing w:line="360" w:lineRule="atLeast"/>
        <w:widowControl/>
        <w:rPr>
          <w:sz w:val="24"/>
        </w:rPr>
      </w:pPr>
      <w:r>
        <w:rPr>
          <w:rFonts w:ascii="宋体" w:hAnsi="宋体" w:eastAsia="宋体" w:cs="宋体"/>
          <w:sz w:val="24"/>
          <w:lang w:bidi="ar"/>
        </w:rPr>
        <w:t xml:space="preserve">投标人须提供符合环保部门规定的</w:t>
      </w:r>
      <w:r>
        <w:rPr>
          <w:rStyle w:val="696"/>
          <w:rFonts w:ascii="宋体" w:hAnsi="宋体" w:eastAsia="宋体" w:cs="宋体"/>
          <w:bCs/>
          <w:sz w:val="24"/>
          <w:lang w:bidi="ar"/>
        </w:rPr>
        <w:t xml:space="preserve">废弃疫苗瓶回收、处理专项方案</w:t>
      </w:r>
      <w:r>
        <w:rPr>
          <w:rFonts w:ascii="宋体" w:hAnsi="宋体" w:eastAsia="宋体" w:cs="宋体"/>
          <w:sz w:val="24"/>
          <w:lang w:bidi="ar"/>
        </w:rPr>
        <w:t xml:space="preserve">，方案内容量化、可操作，具体包括：</w:t>
      </w:r>
      <w:r/>
    </w:p>
    <w:p>
      <w:pPr>
        <w:ind w:left="780" w:hanging="360"/>
        <w:jc w:val="left"/>
        <w:spacing w:line="360" w:lineRule="atLeast"/>
        <w:widowControl/>
        <w:rPr>
          <w:sz w:val="24"/>
        </w:rPr>
      </w:pPr>
      <w:r>
        <w:rPr>
          <w:sz w:val="24"/>
        </w:rPr>
        <w:t xml:space="preserve">1.</w:t>
      </w:r>
      <w:r>
        <w:rPr>
          <w:sz w:val="24"/>
        </w:rPr>
        <w:t xml:space="preserve">回收范围：明确本项目所供疫苗瓶的全部回收品种、数量统计方式；</w:t>
      </w:r>
      <w:r/>
    </w:p>
    <w:p>
      <w:pPr>
        <w:ind w:left="780" w:hanging="360"/>
        <w:jc w:val="left"/>
        <w:spacing w:line="360" w:lineRule="atLeast"/>
        <w:widowControl/>
        <w:rPr>
          <w:sz w:val="24"/>
        </w:rPr>
      </w:pPr>
      <w:r>
        <w:rPr>
          <w:sz w:val="24"/>
        </w:rPr>
        <w:t xml:space="preserve">2.</w:t>
      </w:r>
      <w:r>
        <w:rPr>
          <w:sz w:val="24"/>
        </w:rPr>
        <w:t xml:space="preserve">回收流程：制定回收节点、回收方式、运输储存要求；</w:t>
      </w:r>
      <w:r/>
    </w:p>
    <w:p>
      <w:pPr>
        <w:ind w:left="780" w:hanging="360"/>
        <w:jc w:val="left"/>
        <w:spacing w:line="360" w:lineRule="atLeast"/>
        <w:widowControl/>
        <w:rPr>
          <w:sz w:val="24"/>
        </w:rPr>
      </w:pPr>
      <w:r>
        <w:rPr>
          <w:sz w:val="24"/>
        </w:rPr>
        <w:t xml:space="preserve">3.</w:t>
      </w:r>
      <w:r>
        <w:rPr>
          <w:sz w:val="24"/>
        </w:rPr>
        <w:t xml:space="preserve">处理方式：明确废弃疫苗瓶的专业处理渠道、处理标准，须符合国家及地方环保要求，提供处理机构相关资质证明。</w:t>
      </w:r>
      <w:r/>
    </w:p>
    <w:p>
      <w:pPr>
        <w:pStyle w:val="685"/>
        <w:ind w:left="420"/>
        <w:spacing w:beforeAutospacing="0" w:afterAutospacing="0" w:line="360" w:lineRule="atLeast"/>
        <w:widowControl/>
        <w:rPr>
          <w:sz w:val="24"/>
          <w:szCs w:val="24"/>
        </w:rPr>
      </w:pPr>
      <w:r>
        <w:rPr>
          <w:sz w:val="24"/>
          <w:szCs w:val="24"/>
        </w:rPr>
        <w:t xml:space="preserve">（六）技术培训服务要求</w:t>
      </w:r>
      <w:r/>
    </w:p>
    <w:p>
      <w:pPr>
        <w:ind w:left="420"/>
        <w:jc w:val="left"/>
        <w:spacing w:line="360" w:lineRule="atLeast"/>
        <w:widowControl/>
        <w:rPr>
          <w:sz w:val="24"/>
        </w:rPr>
      </w:pPr>
      <w:r>
        <w:rPr>
          <w:rFonts w:ascii="宋体" w:hAnsi="宋体" w:eastAsia="宋体" w:cs="宋体"/>
          <w:sz w:val="24"/>
          <w:lang w:bidi="ar"/>
        </w:rPr>
        <w:t xml:space="preserve">投标人须提供针对所投疫苗的</w:t>
      </w:r>
      <w:r>
        <w:rPr>
          <w:rStyle w:val="696"/>
          <w:rFonts w:ascii="宋体" w:hAnsi="宋体" w:eastAsia="宋体" w:cs="宋体"/>
          <w:bCs/>
          <w:sz w:val="24"/>
          <w:lang w:bidi="ar"/>
        </w:rPr>
        <w:t xml:space="preserve">专业技术培训方案</w:t>
      </w:r>
      <w:r>
        <w:rPr>
          <w:rFonts w:ascii="宋体" w:hAnsi="宋体" w:eastAsia="宋体" w:cs="宋体"/>
          <w:sz w:val="24"/>
          <w:lang w:bidi="ar"/>
        </w:rPr>
        <w:t xml:space="preserve">，培训内容贴合当地重大动物疫病防控实际需求，新颖实用、量化可操作，具体包括：</w:t>
      </w:r>
      <w:r/>
    </w:p>
    <w:p>
      <w:pPr>
        <w:ind w:left="780" w:hanging="360"/>
        <w:jc w:val="left"/>
        <w:spacing w:line="360" w:lineRule="atLeast"/>
        <w:widowControl/>
        <w:rPr>
          <w:sz w:val="24"/>
        </w:rPr>
      </w:pPr>
      <w:r>
        <w:rPr>
          <w:sz w:val="24"/>
        </w:rPr>
        <w:t xml:space="preserve">1.</w:t>
      </w:r>
      <w:r>
        <w:rPr>
          <w:sz w:val="24"/>
        </w:rPr>
        <w:t xml:space="preserve">培训内容：涵盖疫苗储存、接种操作、副反应处置、免疫程序制定等核心内容；</w:t>
      </w:r>
      <w:r/>
    </w:p>
    <w:p>
      <w:pPr>
        <w:ind w:left="780" w:hanging="360"/>
        <w:jc w:val="left"/>
        <w:spacing w:line="360" w:lineRule="atLeast"/>
        <w:widowControl/>
        <w:rPr>
          <w:sz w:val="24"/>
        </w:rPr>
      </w:pPr>
      <w:r>
        <w:rPr>
          <w:sz w:val="24"/>
        </w:rPr>
        <w:t xml:space="preserve">2.</w:t>
      </w:r>
      <w:r>
        <w:rPr>
          <w:sz w:val="24"/>
        </w:rPr>
        <w:t xml:space="preserve">师资力量：明确培训讲师的专业资质、从业经验；</w:t>
      </w:r>
      <w:r/>
    </w:p>
    <w:p>
      <w:pPr>
        <w:ind w:left="780" w:hanging="360"/>
        <w:jc w:val="left"/>
        <w:spacing w:line="360" w:lineRule="atLeast"/>
        <w:widowControl/>
        <w:rPr>
          <w:sz w:val="24"/>
        </w:rPr>
      </w:pPr>
      <w:r>
        <w:rPr>
          <w:sz w:val="24"/>
        </w:rPr>
        <w:t xml:space="preserve">3.</w:t>
      </w:r>
      <w:r>
        <w:rPr>
          <w:sz w:val="24"/>
        </w:rPr>
        <w:t xml:space="preserve">培训安排：制定培训区域、场次、时间、参训人员覆盖范围等具体计划；</w:t>
      </w:r>
      <w:r/>
    </w:p>
    <w:p>
      <w:pPr>
        <w:ind w:left="780" w:hanging="360"/>
        <w:jc w:val="left"/>
        <w:spacing w:line="360" w:lineRule="atLeast"/>
        <w:widowControl/>
        <w:rPr>
          <w:sz w:val="24"/>
        </w:rPr>
      </w:pPr>
      <w:r>
        <w:rPr>
          <w:sz w:val="24"/>
        </w:rPr>
        <w:t xml:space="preserve">4.</w:t>
      </w:r>
      <w:r>
        <w:rPr>
          <w:sz w:val="24"/>
        </w:rPr>
        <w:t xml:space="preserve">培训考核：明确培训效果的考核方式，确保参训人员掌握相关技能。</w:t>
      </w:r>
      <w:r/>
    </w:p>
    <w:p>
      <w:pPr>
        <w:pStyle w:val="685"/>
        <w:ind w:left="420"/>
        <w:spacing w:beforeAutospacing="0" w:afterAutospacing="0" w:line="360" w:lineRule="atLeast"/>
        <w:widowControl/>
        <w:rPr>
          <w:sz w:val="24"/>
          <w:szCs w:val="24"/>
        </w:rPr>
      </w:pPr>
      <w:r>
        <w:rPr>
          <w:sz w:val="24"/>
          <w:szCs w:val="24"/>
        </w:rPr>
        <w:t xml:space="preserve">（七）“先打后补” 工作配合要求</w:t>
      </w:r>
      <w:r/>
    </w:p>
    <w:p>
      <w:pPr>
        <w:ind w:left="420"/>
        <w:jc w:val="left"/>
        <w:spacing w:line="360" w:lineRule="atLeast"/>
        <w:widowControl/>
        <w:rPr>
          <w:sz w:val="24"/>
        </w:rPr>
      </w:pPr>
      <w:r>
        <w:rPr>
          <w:rFonts w:ascii="宋体" w:hAnsi="宋体" w:eastAsia="宋体" w:cs="宋体"/>
          <w:sz w:val="24"/>
          <w:lang w:bidi="ar"/>
        </w:rPr>
        <w:t xml:space="preserve">投标人须提供针对强制免疫 **“先打后补” 专项实施方案 **，并附相关实施案例，方案须明确投标人在政策实施过程中的配合内容，包括但不限于疫苗信息对接、免疫数据支撑、现场技术协助等，确保能积极、高效配合完成强制免疫 “先打后补” 相关工作。</w:t>
      </w:r>
      <w:r/>
    </w:p>
    <w:p>
      <w:pPr>
        <w:pStyle w:val="685"/>
        <w:ind w:left="420"/>
        <w:spacing w:beforeAutospacing="0" w:afterAutospacing="0" w:line="360" w:lineRule="atLeast"/>
        <w:widowControl/>
        <w:rPr>
          <w:sz w:val="24"/>
          <w:szCs w:val="24"/>
        </w:rPr>
      </w:pPr>
      <w:r>
        <w:rPr>
          <w:sz w:val="24"/>
          <w:szCs w:val="24"/>
        </w:rPr>
        <w:t xml:space="preserve">（八）产品质量提升方案要求</w:t>
      </w:r>
      <w:r/>
    </w:p>
    <w:p>
      <w:pPr>
        <w:ind w:left="420"/>
        <w:jc w:val="left"/>
        <w:spacing w:line="360" w:lineRule="atLeast"/>
        <w:widowControl/>
        <w:rPr>
          <w:sz w:val="24"/>
        </w:rPr>
      </w:pPr>
      <w:r>
        <w:rPr>
          <w:rFonts w:ascii="宋体" w:hAnsi="宋体" w:eastAsia="宋体" w:cs="宋体"/>
          <w:sz w:val="24"/>
          <w:lang w:bidi="ar"/>
        </w:rPr>
        <w:t xml:space="preserve">投标人须提供所投疫苗的</w:t>
      </w:r>
      <w:r>
        <w:rPr>
          <w:rStyle w:val="696"/>
          <w:rFonts w:ascii="宋体" w:hAnsi="宋体" w:eastAsia="宋体" w:cs="宋体"/>
          <w:bCs/>
          <w:sz w:val="24"/>
          <w:lang w:bidi="ar"/>
        </w:rPr>
        <w:t xml:space="preserve">产品质量控制与提升专项方案</w:t>
      </w:r>
      <w:r>
        <w:rPr>
          <w:rFonts w:ascii="宋体" w:hAnsi="宋体" w:eastAsia="宋体" w:cs="宋体"/>
          <w:sz w:val="24"/>
          <w:lang w:bidi="ar"/>
        </w:rPr>
        <w:t xml:space="preserve">，内容包括提升产品质量的具体品控措施、创新研究计划、技术合作渠道等；并提供相应佐证材料，包括但不限于质量提升专项经费证明、科研合作协议、相关专利证书等。</w:t>
      </w:r>
      <w:r/>
    </w:p>
    <w:p>
      <w:pPr>
        <w:pStyle w:val="685"/>
        <w:ind w:left="420"/>
        <w:spacing w:beforeAutospacing="0" w:afterAutospacing="0" w:line="360" w:lineRule="atLeast"/>
        <w:widowControl/>
        <w:rPr>
          <w:sz w:val="24"/>
          <w:szCs w:val="24"/>
        </w:rPr>
      </w:pPr>
      <w:r>
        <w:rPr>
          <w:sz w:val="24"/>
          <w:szCs w:val="24"/>
        </w:rPr>
        <w:t xml:space="preserve">（九）市场行为自律要求</w:t>
      </w:r>
      <w:r/>
    </w:p>
    <w:p>
      <w:pPr>
        <w:ind w:left="420"/>
        <w:jc w:val="left"/>
        <w:spacing w:line="360" w:lineRule="atLeast"/>
        <w:widowControl/>
        <w:rPr>
          <w:sz w:val="24"/>
        </w:rPr>
      </w:pPr>
      <w:r>
        <w:rPr>
          <w:rFonts w:ascii="宋体" w:hAnsi="宋体" w:eastAsia="宋体" w:cs="宋体"/>
          <w:sz w:val="24"/>
          <w:lang w:bidi="ar"/>
        </w:rPr>
        <w:t xml:space="preserve">★根据《农办牧〔2018〕74 号》文件规定，投标人须提供</w:t>
      </w:r>
      <w:r>
        <w:rPr>
          <w:rStyle w:val="696"/>
          <w:rFonts w:ascii="宋体" w:hAnsi="宋体" w:eastAsia="宋体" w:cs="宋体"/>
          <w:bCs/>
          <w:sz w:val="24"/>
          <w:lang w:bidi="ar"/>
        </w:rPr>
        <w:t xml:space="preserve">市场行为自律承诺书</w:t>
      </w:r>
      <w:r>
        <w:rPr>
          <w:rFonts w:ascii="宋体" w:hAnsi="宋体" w:eastAsia="宋体" w:cs="宋体"/>
          <w:sz w:val="24"/>
          <w:lang w:bidi="ar"/>
        </w:rPr>
        <w:t xml:space="preserve">（格式详见第五章），郑重承诺：本企业同</w:t>
      </w:r>
      <w:r>
        <w:rPr>
          <w:rFonts w:ascii="宋体" w:hAnsi="宋体" w:eastAsia="宋体" w:cs="宋体"/>
          <w:sz w:val="24"/>
          <w:lang w:bidi="ar"/>
        </w:rPr>
        <w:t xml:space="preserve">一批准</w:t>
      </w:r>
      <w:r>
        <w:rPr>
          <w:rFonts w:ascii="宋体" w:hAnsi="宋体" w:eastAsia="宋体" w:cs="宋体"/>
          <w:sz w:val="24"/>
          <w:lang w:bidi="ar"/>
        </w:rPr>
        <w:t xml:space="preserve">文号的重组禽流感病毒（H5+H7）四价灭活疫苗在江苏省行政区域内，不得出现不同标签和说明书的产品。一经发现违反本承诺，采购人有权立即终止合同，投标人须承担约定的违约金并赔偿采购人全部损失。</w:t>
      </w:r>
      <w:r/>
    </w:p>
    <w:p>
      <w:pPr>
        <w:pStyle w:val="685"/>
        <w:ind w:left="420"/>
        <w:spacing w:beforeAutospacing="0" w:afterAutospacing="0" w:line="360" w:lineRule="atLeast"/>
        <w:widowControl/>
        <w:rPr>
          <w:sz w:val="24"/>
          <w:szCs w:val="24"/>
        </w:rPr>
      </w:pPr>
      <w:r>
        <w:rPr>
          <w:sz w:val="24"/>
          <w:szCs w:val="24"/>
        </w:rPr>
        <w:t xml:space="preserve">（十）货物验收要求</w:t>
      </w:r>
      <w:r/>
    </w:p>
    <w:p>
      <w:pPr>
        <w:ind w:left="780" w:hanging="360"/>
        <w:jc w:val="left"/>
        <w:spacing w:line="360" w:lineRule="atLeast"/>
        <w:widowControl/>
        <w:rPr>
          <w:sz w:val="24"/>
        </w:rPr>
      </w:pPr>
      <w:r>
        <w:rPr>
          <w:sz w:val="24"/>
        </w:rPr>
        <w:t xml:space="preserve">1.</w:t>
      </w:r>
      <w:r>
        <w:rPr>
          <w:sz w:val="24"/>
        </w:rPr>
        <w:t xml:space="preserve">验收主体：由采购人按照农业农村</w:t>
      </w:r>
      <w:r>
        <w:rPr>
          <w:sz w:val="24"/>
        </w:rPr>
        <w:t xml:space="preserve">部动物</w:t>
      </w:r>
      <w:r>
        <w:rPr>
          <w:sz w:val="24"/>
        </w:rPr>
        <w:t xml:space="preserve">疫苗相关质量要求及本项目约定标准实施验收，验收合格后出具书面验收证明；</w:t>
      </w:r>
      <w:r/>
    </w:p>
    <w:p>
      <w:pPr>
        <w:ind w:left="780" w:hanging="360"/>
        <w:jc w:val="left"/>
        <w:spacing w:line="360" w:lineRule="atLeast"/>
        <w:widowControl/>
        <w:rPr>
          <w:sz w:val="24"/>
        </w:rPr>
      </w:pPr>
      <w:r>
        <w:rPr>
          <w:sz w:val="24"/>
        </w:rPr>
        <w:t xml:space="preserve">2.</w:t>
      </w:r>
      <w:r>
        <w:rPr>
          <w:sz w:val="24"/>
        </w:rPr>
        <w:t xml:space="preserve">现场抽检：交货时，收货方有权对疫苗进行现场抽检，若发现疫苗存在沉淀、混浊、分层、破乳等质变先兆，或外观、规格、有效期不符合本项目约定，收货方有权无条件拒收，相关损失由投标人承担；</w:t>
      </w:r>
      <w:r/>
    </w:p>
    <w:p>
      <w:pPr>
        <w:ind w:left="780" w:hanging="360"/>
        <w:jc w:val="left"/>
        <w:spacing w:line="360" w:lineRule="atLeast"/>
        <w:widowControl/>
        <w:rPr>
          <w:sz w:val="24"/>
        </w:rPr>
      </w:pPr>
      <w:r>
        <w:rPr>
          <w:sz w:val="24"/>
        </w:rPr>
        <w:t xml:space="preserve">3.</w:t>
      </w:r>
      <w:r>
        <w:rPr>
          <w:sz w:val="24"/>
        </w:rPr>
        <w:t xml:space="preserve">质量追溯：现场初步验收合格，不解除投标人对疫苗内部质量缺陷的责任，在疫苗质保期及使用过程中，如发现质量问题，投标人须在约定时限内妥善处理并承担相应责任。</w:t>
      </w:r>
      <w:r/>
    </w:p>
    <w:p>
      <w:pPr>
        <w:pStyle w:val="685"/>
        <w:ind w:left="420"/>
        <w:spacing w:beforeAutospacing="0" w:afterAutospacing="0" w:line="360" w:lineRule="atLeast"/>
        <w:widowControl/>
        <w:rPr>
          <w:sz w:val="24"/>
          <w:szCs w:val="24"/>
        </w:rPr>
      </w:pPr>
      <w:r>
        <w:rPr>
          <w:sz w:val="24"/>
          <w:szCs w:val="24"/>
        </w:rPr>
        <w:t xml:space="preserve">（十一）交货要求</w:t>
      </w:r>
      <w:r/>
    </w:p>
    <w:p>
      <w:pPr>
        <w:ind w:left="780" w:hanging="360"/>
        <w:jc w:val="left"/>
        <w:spacing w:line="360" w:lineRule="atLeast"/>
        <w:widowControl/>
        <w:rPr>
          <w:sz w:val="24"/>
        </w:rPr>
      </w:pPr>
      <w:r>
        <w:rPr>
          <w:sz w:val="24"/>
        </w:rPr>
        <w:t xml:space="preserve">1.</w:t>
      </w:r>
      <w:r>
        <w:rPr>
          <w:sz w:val="24"/>
        </w:rPr>
        <w:t xml:space="preserve">交货期：投标人接采购人正式供货通知后，</w:t>
      </w:r>
      <w:r>
        <w:rPr>
          <w:rStyle w:val="696"/>
          <w:bCs/>
          <w:sz w:val="24"/>
        </w:rPr>
        <w:t xml:space="preserve">5 </w:t>
      </w:r>
      <w:r>
        <w:rPr>
          <w:rStyle w:val="696"/>
          <w:bCs/>
          <w:sz w:val="24"/>
        </w:rPr>
        <w:t xml:space="preserve">日内完成发货</w:t>
      </w:r>
      <w:r>
        <w:rPr>
          <w:sz w:val="24"/>
        </w:rPr>
        <w:t xml:space="preserve">；</w:t>
      </w:r>
      <w:r/>
    </w:p>
    <w:p>
      <w:pPr>
        <w:ind w:left="780" w:hanging="360"/>
        <w:jc w:val="left"/>
        <w:spacing w:line="360" w:lineRule="atLeast"/>
        <w:widowControl/>
        <w:rPr>
          <w:sz w:val="24"/>
        </w:rPr>
      </w:pPr>
      <w:r>
        <w:rPr>
          <w:sz w:val="24"/>
        </w:rPr>
        <w:t xml:space="preserve">2.</w:t>
      </w:r>
      <w:r>
        <w:rPr>
          <w:sz w:val="24"/>
        </w:rPr>
        <w:t xml:space="preserve">交货方式：严格按照国家动物疫苗运输管理具体要求，采用合</w:t>
      </w:r>
      <w:r>
        <w:rPr>
          <w:sz w:val="24"/>
        </w:rPr>
        <w:t xml:space="preserve">规</w:t>
      </w:r>
      <w:r>
        <w:rPr>
          <w:sz w:val="24"/>
        </w:rPr>
        <w:t xml:space="preserve">冷</w:t>
      </w:r>
      <w:r>
        <w:rPr>
          <w:sz w:val="24"/>
        </w:rPr>
        <w:t xml:space="preserve">链运输</w:t>
      </w:r>
      <w:r>
        <w:rPr>
          <w:sz w:val="24"/>
        </w:rPr>
        <w:t xml:space="preserve">方式快速送达，确保疫苗运输过程质量安全；</w:t>
      </w:r>
      <w:r/>
    </w:p>
    <w:p>
      <w:pPr>
        <w:ind w:left="780" w:hanging="360"/>
        <w:jc w:val="left"/>
        <w:spacing w:line="360" w:lineRule="atLeast"/>
        <w:widowControl/>
        <w:rPr>
          <w:sz w:val="24"/>
        </w:rPr>
      </w:pPr>
      <w:r>
        <w:rPr>
          <w:sz w:val="24"/>
        </w:rPr>
        <w:t xml:space="preserve">3.</w:t>
      </w:r>
      <w:r>
        <w:rPr>
          <w:sz w:val="24"/>
        </w:rPr>
        <w:t xml:space="preserve">交货地点：采购人指定的交货地点，具体地址以供货通知为准。</w:t>
      </w:r>
      <w:r/>
    </w:p>
    <w:p>
      <w:pPr>
        <w:pStyle w:val="685"/>
        <w:ind w:left="420"/>
        <w:spacing w:beforeAutospacing="0" w:afterAutospacing="0" w:line="360" w:lineRule="atLeast"/>
        <w:widowControl/>
        <w:rPr>
          <w:sz w:val="24"/>
          <w:szCs w:val="24"/>
        </w:rPr>
      </w:pPr>
      <w:r>
        <w:rPr>
          <w:sz w:val="24"/>
          <w:szCs w:val="24"/>
        </w:rPr>
        <w:t xml:space="preserve">（十二）投标货币与报价要求</w:t>
      </w:r>
      <w:r/>
    </w:p>
    <w:p>
      <w:pPr>
        <w:ind w:left="780" w:hanging="360"/>
        <w:jc w:val="left"/>
        <w:spacing w:line="360" w:lineRule="atLeast"/>
        <w:widowControl/>
        <w:rPr>
          <w:sz w:val="24"/>
        </w:rPr>
      </w:pPr>
      <w:r>
        <w:rPr>
          <w:sz w:val="24"/>
        </w:rPr>
        <w:t xml:space="preserve">1.</w:t>
      </w:r>
      <w:r>
        <w:rPr>
          <w:sz w:val="24"/>
        </w:rPr>
        <w:t xml:space="preserve">投标货币：人民币；</w:t>
      </w:r>
      <w:r/>
    </w:p>
    <w:p>
      <w:pPr>
        <w:ind w:left="780" w:hanging="360"/>
        <w:jc w:val="left"/>
        <w:spacing w:line="360" w:lineRule="atLeast"/>
        <w:widowControl/>
        <w:rPr>
          <w:sz w:val="24"/>
        </w:rPr>
      </w:pPr>
      <w:r>
        <w:rPr>
          <w:sz w:val="24"/>
        </w:rPr>
        <w:t xml:space="preserve">2.</w:t>
      </w:r>
      <w:r>
        <w:rPr>
          <w:sz w:val="24"/>
        </w:rPr>
        <w:t xml:space="preserve">报价要求：投标报价为</w:t>
      </w:r>
      <w:r>
        <w:rPr>
          <w:sz w:val="24"/>
        </w:rPr>
        <w:t xml:space="preserve">一次性报定的</w:t>
      </w:r>
      <w:r>
        <w:rPr>
          <w:sz w:val="24"/>
        </w:rPr>
        <w:t xml:space="preserve">固定价格，报价内容包含货款、标准附件、备品备件、配套服务、专用工具、包装、运输、装卸、保险、税金、货到就位、培训、售后、质保等完成本项目所涉及的</w:t>
      </w:r>
      <w:r>
        <w:rPr>
          <w:rStyle w:val="696"/>
          <w:bCs/>
          <w:sz w:val="24"/>
        </w:rPr>
        <w:t xml:space="preserve">一切相关费用</w:t>
      </w:r>
      <w:r>
        <w:rPr>
          <w:sz w:val="24"/>
        </w:rPr>
        <w:t xml:space="preserve">，采购人不再支付任何其他费用；</w:t>
      </w:r>
      <w:r/>
    </w:p>
    <w:p>
      <w:pPr>
        <w:ind w:left="780" w:hanging="360"/>
        <w:jc w:val="left"/>
        <w:spacing w:line="360" w:lineRule="atLeast"/>
        <w:widowControl/>
        <w:rPr>
          <w:sz w:val="24"/>
        </w:rPr>
      </w:pPr>
      <w:r>
        <w:rPr>
          <w:sz w:val="24"/>
        </w:rPr>
        <w:t xml:space="preserve">3.</w:t>
      </w:r>
      <w:r>
        <w:rPr>
          <w:sz w:val="24"/>
        </w:rPr>
        <w:t xml:space="preserve">总价包定：供应商报价时须充分考虑所有可能影响报价的因素，一旦中标，总价包定、不予调整；若报价存在漏、缺、少项，均视为成交人的报价让利行为，相关损失</w:t>
      </w:r>
      <w:r>
        <w:rPr>
          <w:sz w:val="24"/>
        </w:rPr>
        <w:t xml:space="preserve">由成交人</w:t>
      </w:r>
      <w:r>
        <w:rPr>
          <w:sz w:val="24"/>
        </w:rPr>
        <w:t xml:space="preserve">自行承担。</w:t>
      </w:r>
      <w:r/>
    </w:p>
    <w:p>
      <w:pPr>
        <w:pStyle w:val="685"/>
        <w:ind w:left="420"/>
        <w:spacing w:beforeAutospacing="0" w:afterAutospacing="0" w:line="360" w:lineRule="atLeast"/>
        <w:widowControl/>
        <w:rPr>
          <w:sz w:val="24"/>
          <w:szCs w:val="24"/>
        </w:rPr>
      </w:pPr>
      <w:r>
        <w:rPr>
          <w:sz w:val="24"/>
          <w:szCs w:val="24"/>
        </w:rPr>
        <w:t xml:space="preserve">（十三）环保包装要求</w:t>
      </w:r>
      <w:r/>
    </w:p>
    <w:p>
      <w:pPr>
        <w:ind w:left="420"/>
        <w:jc w:val="left"/>
        <w:spacing w:line="360" w:lineRule="atLeast"/>
        <w:widowControl/>
        <w:rPr>
          <w:sz w:val="24"/>
        </w:rPr>
      </w:pPr>
      <w:r>
        <w:rPr>
          <w:rFonts w:ascii="宋体" w:hAnsi="宋体" w:eastAsia="宋体" w:cs="宋体"/>
          <w:sz w:val="24"/>
          <w:lang w:bidi="ar"/>
        </w:rPr>
        <w:t xml:space="preserve">所投疫苗的商品包装须严格符合以下环保要求，相关检测标准按国家现行规范执行：</w:t>
      </w:r>
      <w:r/>
    </w:p>
    <w:p>
      <w:pPr>
        <w:ind w:left="780" w:hanging="360"/>
        <w:jc w:val="left"/>
        <w:spacing w:line="360" w:lineRule="atLeast"/>
        <w:widowControl/>
        <w:rPr>
          <w:sz w:val="24"/>
        </w:rPr>
      </w:pPr>
      <w:r>
        <w:rPr>
          <w:sz w:val="24"/>
        </w:rPr>
        <w:t xml:space="preserve">1.</w:t>
      </w:r>
      <w:r>
        <w:rPr>
          <w:sz w:val="24"/>
        </w:rPr>
        <w:t xml:space="preserve">包装层数不得超过</w:t>
      </w:r>
      <w:r>
        <w:rPr>
          <w:sz w:val="24"/>
        </w:rPr>
        <w:t xml:space="preserve"> 3 </w:t>
      </w:r>
      <w:r>
        <w:rPr>
          <w:sz w:val="24"/>
        </w:rPr>
        <w:t xml:space="preserve">层，包装空隙率不大于</w:t>
      </w:r>
      <w:r>
        <w:rPr>
          <w:sz w:val="24"/>
        </w:rPr>
        <w:t xml:space="preserve"> 40%</w:t>
      </w:r>
      <w:r>
        <w:rPr>
          <w:sz w:val="24"/>
        </w:rPr>
        <w:t xml:space="preserve">；</w:t>
      </w:r>
      <w:r/>
    </w:p>
    <w:p>
      <w:pPr>
        <w:ind w:left="780" w:hanging="360"/>
        <w:jc w:val="left"/>
        <w:spacing w:line="360" w:lineRule="atLeast"/>
        <w:widowControl/>
        <w:rPr>
          <w:sz w:val="24"/>
        </w:rPr>
      </w:pPr>
      <w:r>
        <w:rPr>
          <w:sz w:val="24"/>
        </w:rPr>
        <w:t xml:space="preserve">2.</w:t>
      </w:r>
      <w:r>
        <w:rPr>
          <w:sz w:val="24"/>
        </w:rPr>
        <w:t xml:space="preserve">尽可能使用单一材质包装材料，因功能需求必需使用不同材质的，不同材质间应便于分离回收；</w:t>
      </w:r>
      <w:r/>
    </w:p>
    <w:p>
      <w:pPr>
        <w:ind w:left="780" w:hanging="360"/>
        <w:jc w:val="left"/>
        <w:spacing w:line="360" w:lineRule="atLeast"/>
        <w:widowControl/>
        <w:rPr>
          <w:sz w:val="24"/>
        </w:rPr>
      </w:pPr>
      <w:r>
        <w:rPr>
          <w:sz w:val="24"/>
        </w:rPr>
        <w:t xml:space="preserve">3.</w:t>
      </w:r>
      <w:r>
        <w:rPr>
          <w:sz w:val="24"/>
        </w:rPr>
        <w:t xml:space="preserve">包装中铅、汞、镉、六价铬的总含量不大于</w:t>
      </w:r>
      <w:r>
        <w:rPr>
          <w:sz w:val="24"/>
        </w:rPr>
        <w:t xml:space="preserve"> 100mg/kg</w:t>
      </w:r>
      <w:r>
        <w:rPr>
          <w:sz w:val="24"/>
        </w:rPr>
        <w:t xml:space="preserve">（检测方法：</w:t>
      </w:r>
      <w:r>
        <w:rPr>
          <w:sz w:val="24"/>
        </w:rPr>
        <w:t xml:space="preserve">GB/T 10004-2008</w:t>
      </w:r>
      <w:r>
        <w:rPr>
          <w:sz w:val="24"/>
        </w:rPr>
        <w:t xml:space="preserve">）；</w:t>
      </w:r>
      <w:r/>
    </w:p>
    <w:p>
      <w:pPr>
        <w:ind w:left="780" w:hanging="360"/>
        <w:jc w:val="left"/>
        <w:spacing w:line="360" w:lineRule="atLeast"/>
        <w:widowControl/>
        <w:rPr>
          <w:sz w:val="24"/>
        </w:rPr>
      </w:pPr>
      <w:r>
        <w:rPr>
          <w:sz w:val="24"/>
        </w:rPr>
        <w:t xml:space="preserve">4.</w:t>
      </w:r>
      <w:r>
        <w:rPr>
          <w:sz w:val="24"/>
        </w:rPr>
        <w:t xml:space="preserve">包装印刷使用的油墨中挥发性有机化合物</w:t>
      </w:r>
      <w:r>
        <w:rPr>
          <w:sz w:val="24"/>
        </w:rPr>
        <w:t xml:space="preserve"> (VOCs) </w:t>
      </w:r>
      <w:r>
        <w:rPr>
          <w:sz w:val="24"/>
        </w:rPr>
        <w:t xml:space="preserve">含量不大于</w:t>
      </w:r>
      <w:r>
        <w:rPr>
          <w:sz w:val="24"/>
        </w:rPr>
        <w:t xml:space="preserve"> 5%</w:t>
      </w:r>
      <w:r>
        <w:rPr>
          <w:sz w:val="24"/>
        </w:rPr>
        <w:t xml:space="preserve">（以重量计，检测方法：</w:t>
      </w:r>
      <w:r>
        <w:rPr>
          <w:sz w:val="24"/>
        </w:rPr>
        <w:t xml:space="preserve">GB/T 23986-2009</w:t>
      </w:r>
      <w:r>
        <w:rPr>
          <w:sz w:val="24"/>
        </w:rPr>
        <w:t xml:space="preserve">）；</w:t>
      </w:r>
      <w:r/>
    </w:p>
    <w:p>
      <w:pPr>
        <w:ind w:left="780" w:hanging="360"/>
        <w:jc w:val="left"/>
        <w:spacing w:line="360" w:lineRule="atLeast"/>
        <w:widowControl/>
        <w:rPr>
          <w:sz w:val="24"/>
        </w:rPr>
      </w:pPr>
      <w:r>
        <w:rPr>
          <w:sz w:val="24"/>
        </w:rPr>
        <w:t xml:space="preserve">5.</w:t>
      </w:r>
      <w:r>
        <w:rPr>
          <w:sz w:val="24"/>
        </w:rPr>
        <w:t xml:space="preserve">塑料材质包装印刷颜色不得超过</w:t>
      </w:r>
      <w:r>
        <w:rPr>
          <w:sz w:val="24"/>
        </w:rPr>
        <w:t xml:space="preserve"> 6 </w:t>
      </w:r>
      <w:r>
        <w:rPr>
          <w:sz w:val="24"/>
        </w:rPr>
        <w:t xml:space="preserve">色；</w:t>
      </w:r>
      <w:r/>
    </w:p>
    <w:p>
      <w:pPr>
        <w:ind w:left="780" w:hanging="360"/>
        <w:jc w:val="left"/>
        <w:spacing w:line="360" w:lineRule="atLeast"/>
        <w:widowControl/>
        <w:rPr>
          <w:sz w:val="24"/>
        </w:rPr>
      </w:pPr>
      <w:r>
        <w:rPr>
          <w:sz w:val="24"/>
        </w:rPr>
        <w:t xml:space="preserve">6.</w:t>
      </w:r>
      <w:r>
        <w:rPr>
          <w:sz w:val="24"/>
        </w:rPr>
        <w:t xml:space="preserve">纸质材质包装须使用</w:t>
      </w:r>
      <w:r>
        <w:rPr>
          <w:sz w:val="24"/>
        </w:rPr>
        <w:t xml:space="preserve"> 75% </w:t>
      </w:r>
      <w:r>
        <w:rPr>
          <w:sz w:val="24"/>
        </w:rPr>
        <w:t xml:space="preserve">以上的可再生纤维原料生产；</w:t>
      </w:r>
      <w:r/>
    </w:p>
    <w:p>
      <w:pPr>
        <w:ind w:left="780" w:hanging="360"/>
        <w:jc w:val="left"/>
        <w:spacing w:line="360" w:lineRule="atLeast"/>
        <w:widowControl/>
        <w:rPr>
          <w:sz w:val="24"/>
        </w:rPr>
      </w:pPr>
      <w:r>
        <w:rPr>
          <w:sz w:val="24"/>
        </w:rPr>
        <w:t xml:space="preserve">7.</w:t>
      </w:r>
      <w:r>
        <w:rPr>
          <w:sz w:val="24"/>
        </w:rPr>
        <w:t xml:space="preserve">木质材质包装的原料须来源于可持续性森林。</w:t>
      </w:r>
      <w:r/>
    </w:p>
    <w:p>
      <w:pPr>
        <w:pStyle w:val="695"/>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5"/>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5"/>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5"/>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ind w:firstLine="602"/>
        <w:jc w:val="both"/>
        <w:spacing w:beforeAutospacing="0" w:afterAutospacing="0"/>
      </w:pPr>
      <w:r/>
      <w:r/>
    </w:p>
    <w:p>
      <w:pPr>
        <w:pStyle w:val="695"/>
        <w:jc w:val="both"/>
        <w:spacing w:beforeAutospacing="0" w:afterAutospacing="0"/>
      </w:pPr>
      <w:r/>
      <w:r/>
    </w:p>
    <w:p>
      <w:r>
        <w:rPr>
          <w:rFonts w:hint="eastAsia" w:ascii="黑体" w:hAnsi="宋体" w:eastAsia="黑体" w:cs="黑体"/>
          <w:sz w:val="44"/>
          <w:szCs w:val="44"/>
        </w:rPr>
        <w:t xml:space="preserve">    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695"/>
        <w:jc w:val="both"/>
        <w:spacing w:beforeAutospacing="0" w:afterAutospacing="0"/>
      </w:pPr>
      <w: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u w:val="single"/>
        </w:rPr>
        <w:t xml:space="preserve">本项目采用 综合评分 法。</w:t>
      </w:r>
      <w:r>
        <w:rPr>
          <w:rFonts w:hint="eastAsia" w:ascii="宋体" w:hAnsi="宋体" w:eastAsia="宋体" w:cs="宋体"/>
          <w:sz w:val="24"/>
          <w:u w:val="single"/>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u w:val="single"/>
        </w:rPr>
        <w:t xml:space="preserve">且按照</w:t>
      </w:r>
      <w:r>
        <w:rPr>
          <w:rFonts w:hint="eastAsia" w:ascii="宋体" w:hAnsi="宋体" w:eastAsia="宋体" w:cs="宋体"/>
          <w:sz w:val="24"/>
          <w:u w:val="single"/>
        </w:rPr>
        <w:t xml:space="preserve">评审因素的量化指标评审得分最高的投标人为排名第一、第二的中标候选人，本项目选取2名中标候选人</w:t>
      </w:r>
      <w:r>
        <w:rPr>
          <w:rFonts w:hint="eastAsia" w:ascii="宋体" w:hAnsi="宋体" w:eastAsia="宋体" w:cs="宋体"/>
          <w:sz w:val="24"/>
        </w:rPr>
        <w:t xml:space="preserve">。</w:t>
      </w:r>
      <w:r/>
    </w:p>
    <w:p>
      <w:pPr>
        <w:pStyle w:val="695"/>
        <w:ind w:firstLine="480"/>
        <w:jc w:val="both"/>
        <w:spacing w:beforeAutospacing="0" w:afterAutospacing="0"/>
        <w:rPr>
          <w:rFonts w:hint="eastAsia" w:ascii="宋体" w:hAnsi="宋体" w:eastAsia="宋体" w:cs="宋体"/>
        </w:rPr>
      </w:pPr>
      <w:r>
        <w:rPr>
          <w:rFonts w:hint="eastAsia" w:ascii="宋体" w:hAnsi="宋体" w:eastAsia="宋体" w:cs="宋体"/>
        </w:rPr>
        <w:t xml:space="preserve">注：第一中标人原则上供应中标标的大于等于60%资金的货物，第二中标人原则上供应中标标的小于等于40%资金的货物。如果甲方发现第一（或第二）中标人不能及时履行合同义务或者影响供货服务的，甲方有权调整第一、第二中标人供货数量，但调整后的第一中标人不少于40%，第二中标人不大于60%。</w:t>
      </w:r>
      <w:r/>
    </w:p>
    <w:p>
      <w:pPr>
        <w:pStyle w:val="695"/>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69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703"/>
        <w:ind w:firstLine="360"/>
        <w:rPr>
          <w:rFonts w:hint="eastAsia"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695"/>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695"/>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9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695"/>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695"/>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95"/>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9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695"/>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69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9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95"/>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95"/>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6、联合体各方均为小型、微型企业（残疾人福利单位、监狱企业）的，联合体享受20%的价格扣除。</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7、采购本国产品的支持政策</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sz w:val="24"/>
          <w:u w:val="single"/>
        </w:rPr>
        <w:t xml:space="preserve">20%</w:t>
      </w:r>
      <w:r>
        <w:rPr>
          <w:rFonts w:hint="eastAsia" w:asciiTheme="minorEastAsia" w:hAnsiTheme="minorEastAsia" w:cstheme="minorEastAsia"/>
          <w:b/>
          <w:bCs/>
          <w:sz w:val="24"/>
        </w:rPr>
        <w:t xml:space="preserve">的价格扣除，用扣除后的价格参与评审。</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sz w:val="24"/>
          <w:u w:val="single"/>
        </w:rPr>
        <w:t xml:space="preserve">80%</w:t>
      </w:r>
      <w:r>
        <w:rPr>
          <w:rFonts w:hint="eastAsia" w:asciiTheme="minorEastAsia" w:hAnsiTheme="minorEastAsia" w:cstheme="minorEastAsia"/>
          <w:b/>
          <w:bCs/>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sz w:val="24"/>
          <w:u w:val="single"/>
        </w:rPr>
        <w:t xml:space="preserve">20%</w:t>
      </w:r>
      <w:r>
        <w:rPr>
          <w:rFonts w:hint="eastAsia" w:asciiTheme="minorEastAsia" w:hAnsiTheme="minorEastAsia" w:cstheme="minorEastAsia"/>
          <w:b/>
          <w:bCs/>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7.4 供应商需在《声明函》中逐一、准确填写产品名称、厂名、生产厂址三项信息（《声明函》中用</w:t>
      </w:r>
      <w:r>
        <w:rPr>
          <w:rFonts w:hint="eastAsia" w:asciiTheme="minorEastAsia" w:hAnsiTheme="minorEastAsia" w:cstheme="minorEastAsia"/>
          <w:b/>
          <w:bCs/>
          <w:sz w:val="24"/>
        </w:rPr>
        <w:t xml:space="preserve">横线划除的</w:t>
      </w:r>
      <w:r>
        <w:rPr>
          <w:rFonts w:hint="eastAsia" w:asciiTheme="minorEastAsia" w:hAnsiTheme="minorEastAsia" w:cstheme="minorEastAsia"/>
          <w:b/>
          <w:bCs/>
          <w:sz w:val="24"/>
        </w:rPr>
        <w:t xml:space="preserve">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b/>
          <w:bCs/>
          <w:sz w:val="24"/>
        </w:rPr>
      </w:pPr>
      <w:r>
        <w:rPr>
          <w:rFonts w:hint="eastAsia" w:asciiTheme="minorEastAsia" w:hAnsiTheme="minorEastAsia" w:cstheme="minorEastAsia"/>
          <w:b/>
          <w:bCs/>
          <w:sz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sz w:val="24"/>
        </w:rPr>
        <w:t xml:space="preserve">在苏</w:t>
      </w:r>
      <w:r>
        <w:rPr>
          <w:rFonts w:hint="eastAsia" w:ascii="宋体" w:hAnsi="宋体" w:eastAsia="宋体" w:cs="宋体"/>
          <w:b/>
          <w:bCs/>
          <w:sz w:val="24"/>
        </w:rPr>
        <w:t xml:space="preserve">采云</w:t>
      </w:r>
      <w:r>
        <w:rPr>
          <w:rFonts w:hint="eastAsia" w:ascii="宋体" w:hAnsi="宋体" w:eastAsia="宋体" w:cs="宋体"/>
          <w:b/>
          <w:bCs/>
          <w:sz w:val="24"/>
        </w:rPr>
        <w:t xml:space="preserve">系统要求</w:t>
      </w:r>
      <w:r>
        <w:rPr>
          <w:rFonts w:hint="eastAsia" w:asciiTheme="minorEastAsia" w:hAnsiTheme="minorEastAsia" w:cstheme="minorEastAsia"/>
          <w:b/>
          <w:bCs/>
          <w:sz w:val="24"/>
        </w:rPr>
        <w:t xml:space="preserve">供应商</w:t>
      </w:r>
      <w:r>
        <w:rPr>
          <w:rFonts w:hint="eastAsia" w:asciiTheme="minorEastAsia" w:hAnsiTheme="minorEastAsia" w:cstheme="minorEastAsia"/>
          <w:b/>
          <w:bCs/>
          <w:sz w:val="24"/>
        </w:rPr>
        <w:t xml:space="preserve">作出</w:t>
      </w:r>
      <w:r>
        <w:rPr>
          <w:rFonts w:hint="eastAsia" w:asciiTheme="minorEastAsia" w:hAnsiTheme="minorEastAsia" w:cstheme="minorEastAsia"/>
          <w:b/>
          <w:bCs/>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95"/>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三、评标方法与评标标准</w:t>
      </w:r>
      <w:r/>
    </w:p>
    <w:tbl>
      <w:tblPr>
        <w:tblpPr w:horzAnchor="page" w:tblpX="1030" w:vertAnchor="text" w:tblpY="287" w:leftFromText="180" w:topFromText="0" w:rightFromText="180" w:bottomFromText="0"/>
        <w:tblW w:w="563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62"/>
        <w:gridCol w:w="7837"/>
      </w:tblGrid>
      <w:tr>
        <w:trPr>
          <w:trHeight w:val="660"/>
        </w:trPr>
        <w:tc>
          <w:tcPr>
            <w:tcW w:w="91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评分项</w:t>
            </w:r>
            <w:r/>
          </w:p>
        </w:tc>
        <w:tc>
          <w:tcPr>
            <w:tcW w:w="4081"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评分细则</w:t>
            </w:r>
            <w:r/>
          </w:p>
        </w:tc>
      </w:tr>
      <w:tr>
        <w:trPr>
          <w:trHeight w:val="1152"/>
        </w:trPr>
        <w:tc>
          <w:tcPr>
            <w:tcW w:w="91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投标报价评分 （满分 30 分）</w:t>
            </w:r>
            <w:r/>
          </w:p>
        </w:tc>
        <w:tc>
          <w:tcPr>
            <w:tcW w:w="4081" w:type="pct"/>
            <w:vAlign w:val="center"/>
            <w:textDirection w:val="lrTb"/>
            <w:noWrap w:val="false"/>
          </w:tcPr>
          <w:p>
            <w:pPr>
              <w:widowControl/>
              <w:rPr>
                <w:rFonts w:hint="eastAsia" w:ascii="宋体" w:hAnsi="宋体" w:eastAsia="宋体" w:cs="宋体"/>
                <w:szCs w:val="21"/>
                <w:lang w:bidi="ar"/>
              </w:rPr>
            </w:pPr>
            <w:r/>
            <w:bookmarkStart w:id="177" w:name="OLE_LINK5"/>
            <w:r>
              <w:rPr>
                <w:rFonts w:hint="eastAsia" w:ascii="宋体" w:hAnsi="宋体" w:eastAsia="宋体" w:cs="宋体"/>
                <w:szCs w:val="21"/>
                <w:lang w:bidi="ar"/>
              </w:rPr>
              <w:t xml:space="preserve">1.有效投标</w:t>
            </w:r>
            <w:r>
              <w:rPr>
                <w:rFonts w:hint="eastAsia" w:ascii="宋体" w:hAnsi="宋体" w:eastAsia="宋体" w:cs="宋体"/>
                <w:szCs w:val="21"/>
                <w:lang w:bidi="ar"/>
              </w:rPr>
              <w:t xml:space="preserve">单价</w:t>
            </w:r>
            <w:r>
              <w:rPr>
                <w:rFonts w:hint="eastAsia" w:ascii="宋体" w:hAnsi="宋体" w:eastAsia="宋体" w:cs="宋体"/>
                <w:szCs w:val="21"/>
                <w:lang w:bidi="ar"/>
              </w:rPr>
              <w:t xml:space="preserve">报价：是指通过“投标文件初审”的投标人的经商务性评审（修正、小</w:t>
            </w:r>
            <w:r>
              <w:rPr>
                <w:rFonts w:hint="eastAsia" w:ascii="宋体" w:hAnsi="宋体" w:eastAsia="宋体" w:cs="宋体"/>
                <w:szCs w:val="21"/>
                <w:lang w:bidi="ar"/>
              </w:rPr>
              <w:t xml:space="preserve">微企业</w:t>
            </w:r>
            <w:r>
              <w:rPr>
                <w:rFonts w:hint="eastAsia" w:ascii="宋体" w:hAnsi="宋体" w:eastAsia="宋体" w:cs="宋体"/>
                <w:szCs w:val="21"/>
                <w:lang w:bidi="ar"/>
              </w:rPr>
              <w:t xml:space="preserve">扣除等）后的评标</w:t>
            </w:r>
            <w:r>
              <w:rPr>
                <w:rFonts w:hint="eastAsia" w:ascii="宋体" w:hAnsi="宋体" w:eastAsia="宋体" w:cs="宋体"/>
                <w:szCs w:val="21"/>
                <w:lang w:bidi="ar"/>
              </w:rPr>
              <w:t xml:space="preserve">单</w:t>
            </w:r>
            <w:r>
              <w:rPr>
                <w:rFonts w:hint="eastAsia" w:ascii="宋体" w:hAnsi="宋体" w:eastAsia="宋体" w:cs="宋体"/>
                <w:szCs w:val="21"/>
                <w:lang w:bidi="ar"/>
              </w:rPr>
              <w:t xml:space="preserve">价；</w:t>
            </w:r>
            <w:r/>
          </w:p>
          <w:p>
            <w:pPr>
              <w:widowControl/>
              <w:rPr>
                <w:rFonts w:hint="eastAsia" w:ascii="宋体" w:hAnsi="宋体" w:eastAsia="宋体" w:cs="宋体"/>
                <w:szCs w:val="21"/>
                <w:lang w:bidi="ar"/>
              </w:rPr>
            </w:pPr>
            <w:r>
              <w:rPr>
                <w:rFonts w:hint="eastAsia" w:ascii="宋体" w:hAnsi="宋体" w:eastAsia="宋体" w:cs="宋体"/>
                <w:szCs w:val="21"/>
                <w:lang w:bidi="ar"/>
              </w:rPr>
              <w:t xml:space="preserve">2.评标基准价=有效投标报价中的最低投标</w:t>
            </w:r>
            <w:r>
              <w:rPr>
                <w:rFonts w:hint="eastAsia" w:ascii="宋体" w:hAnsi="宋体" w:eastAsia="宋体" w:cs="宋体"/>
                <w:szCs w:val="21"/>
                <w:lang w:bidi="ar"/>
              </w:rPr>
              <w:t xml:space="preserve">单价</w:t>
            </w:r>
            <w:r>
              <w:rPr>
                <w:rFonts w:hint="eastAsia" w:ascii="宋体" w:hAnsi="宋体" w:eastAsia="宋体" w:cs="宋体"/>
                <w:szCs w:val="21"/>
                <w:lang w:bidi="ar"/>
              </w:rPr>
              <w:t xml:space="preserve">报价；</w:t>
            </w:r>
            <w:r/>
          </w:p>
          <w:p>
            <w:pPr>
              <w:widowControl/>
              <w:rPr>
                <w:rFonts w:hint="eastAsia" w:ascii="宋体" w:hAnsi="宋体" w:eastAsia="宋体" w:cs="宋体"/>
                <w:szCs w:val="21"/>
                <w:lang w:bidi="ar"/>
              </w:rPr>
            </w:pPr>
            <w:r>
              <w:rPr>
                <w:rFonts w:hint="eastAsia" w:ascii="宋体" w:hAnsi="宋体" w:eastAsia="宋体" w:cs="宋体"/>
                <w:szCs w:val="21"/>
                <w:lang w:bidi="ar"/>
              </w:rPr>
              <w:t xml:space="preserve">3.当投标人的评标</w:t>
            </w:r>
            <w:r>
              <w:rPr>
                <w:rFonts w:hint="eastAsia" w:ascii="宋体" w:hAnsi="宋体" w:eastAsia="宋体" w:cs="宋体"/>
                <w:szCs w:val="21"/>
                <w:lang w:bidi="ar"/>
              </w:rPr>
              <w:t xml:space="preserve">单</w:t>
            </w:r>
            <w:r>
              <w:rPr>
                <w:rFonts w:hint="eastAsia" w:ascii="宋体" w:hAnsi="宋体" w:eastAsia="宋体" w:cs="宋体"/>
                <w:szCs w:val="21"/>
                <w:lang w:bidi="ar"/>
              </w:rPr>
              <w:t xml:space="preserve">价等于评标基准价的得30分；</w:t>
            </w:r>
            <w:r/>
          </w:p>
          <w:p>
            <w:pPr>
              <w:widowControl/>
              <w:rPr>
                <w:rFonts w:hint="eastAsia" w:ascii="宋体" w:hAnsi="宋体" w:eastAsia="宋体" w:cs="宋体"/>
                <w:szCs w:val="21"/>
              </w:rPr>
            </w:pPr>
            <w:r>
              <w:rPr>
                <w:rFonts w:hint="eastAsia" w:ascii="宋体" w:hAnsi="宋体" w:eastAsia="宋体" w:cs="宋体"/>
                <w:szCs w:val="21"/>
                <w:lang w:bidi="ar"/>
              </w:rPr>
              <w:t xml:space="preserve">4.其他投标人的价格</w:t>
            </w:r>
            <w:r>
              <w:rPr>
                <w:rFonts w:hint="eastAsia" w:ascii="宋体" w:hAnsi="宋体" w:eastAsia="宋体" w:cs="宋体"/>
                <w:szCs w:val="21"/>
                <w:lang w:bidi="ar"/>
              </w:rPr>
              <w:t xml:space="preserve">分按照</w:t>
            </w:r>
            <w:r>
              <w:rPr>
                <w:rFonts w:hint="eastAsia" w:ascii="宋体" w:hAnsi="宋体" w:eastAsia="宋体" w:cs="宋体"/>
                <w:szCs w:val="21"/>
                <w:lang w:bidi="ar"/>
              </w:rPr>
              <w:t xml:space="preserve">下列公式计算：评标</w:t>
            </w:r>
            <w:r>
              <w:rPr>
                <w:rFonts w:hint="eastAsia" w:ascii="宋体" w:hAnsi="宋体" w:eastAsia="宋体" w:cs="宋体"/>
                <w:szCs w:val="21"/>
                <w:lang w:bidi="ar"/>
              </w:rPr>
              <w:t xml:space="preserve">报</w:t>
            </w:r>
            <w:r>
              <w:rPr>
                <w:rFonts w:hint="eastAsia" w:ascii="宋体" w:hAnsi="宋体" w:eastAsia="宋体" w:cs="宋体"/>
                <w:szCs w:val="21"/>
                <w:lang w:bidi="ar"/>
              </w:rPr>
              <w:t xml:space="preserve">价得分=（评标基准价/评标</w:t>
            </w:r>
            <w:r>
              <w:rPr>
                <w:rFonts w:hint="eastAsia" w:ascii="宋体" w:hAnsi="宋体" w:eastAsia="宋体" w:cs="宋体"/>
                <w:szCs w:val="21"/>
                <w:lang w:bidi="ar"/>
              </w:rPr>
              <w:t xml:space="preserve">单</w:t>
            </w:r>
            <w:r>
              <w:rPr>
                <w:rFonts w:hint="eastAsia" w:ascii="宋体" w:hAnsi="宋体" w:eastAsia="宋体" w:cs="宋体"/>
                <w:szCs w:val="21"/>
                <w:lang w:bidi="ar"/>
              </w:rPr>
              <w:t xml:space="preserve">价）*30分（计算结果保留2位小数，第三位四舍五入）。</w:t>
            </w:r>
            <w:bookmarkEnd w:id="177"/>
            <w:r/>
            <w:r/>
          </w:p>
        </w:tc>
      </w:tr>
      <w:tr>
        <w:trPr>
          <w:trHeight w:val="864"/>
        </w:trPr>
        <w:tc>
          <w:tcPr>
            <w:tcW w:w="91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生产能力</w:t>
            </w:r>
            <w:r>
              <w:rPr>
                <w:rFonts w:hint="eastAsia" w:ascii="宋体" w:hAnsi="宋体" w:eastAsia="宋体" w:cs="宋体"/>
                <w:szCs w:val="21"/>
                <w:lang w:bidi="ar"/>
              </w:rPr>
              <w:br/>
              <w:t xml:space="preserve">（5分）</w:t>
            </w:r>
            <w:r/>
          </w:p>
        </w:tc>
        <w:tc>
          <w:tcPr>
            <w:tcW w:w="4081" w:type="pct"/>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lang w:bidi="ar"/>
              </w:rPr>
              <w:t xml:space="preserve">提供2025年7月份以来生产的连续5个批次中国兽医药品监察所疫苗批签发报告，5个批次在7天内生产的得5分，10天内得4分，15天内得3分，20天内得2分，30天内得1分，30天以上不得分。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需提供原件扫描件。</w:t>
            </w:r>
            <w:r/>
          </w:p>
        </w:tc>
      </w:tr>
      <w:tr>
        <w:trPr>
          <w:trHeight w:val="704"/>
        </w:trPr>
        <w:tc>
          <w:tcPr>
            <w:tcW w:w="91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生产技术</w:t>
            </w:r>
            <w:r>
              <w:rPr>
                <w:rFonts w:hint="eastAsia" w:ascii="宋体" w:hAnsi="宋体" w:eastAsia="宋体" w:cs="宋体"/>
                <w:szCs w:val="21"/>
                <w:lang w:bidi="ar"/>
              </w:rPr>
              <w:br/>
              <w:t xml:space="preserve">（5分）</w:t>
            </w:r>
            <w:r/>
          </w:p>
        </w:tc>
        <w:tc>
          <w:tcPr>
            <w:tcW w:w="408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投标产品采用抗原浓缩纯化技术生产工艺技术的得5分，其他工艺不得分。</w:t>
            </w:r>
            <w:r>
              <w:rPr>
                <w:rFonts w:hint="eastAsia" w:ascii="宋体" w:hAnsi="宋体" w:eastAsia="宋体" w:cs="宋体"/>
                <w:szCs w:val="21"/>
              </w:rPr>
              <w:t xml:space="preserve">投标人投标时需提供主要生产设备清单、照片及购置发票原件的</w:t>
            </w:r>
            <w:r>
              <w:rPr>
                <w:rFonts w:hint="eastAsia" w:ascii="宋体" w:hAnsi="宋体" w:eastAsia="宋体" w:cs="宋体"/>
                <w:szCs w:val="21"/>
                <w:lang w:bidi="ar"/>
              </w:rPr>
              <w:t xml:space="preserve">扫描件</w:t>
            </w:r>
            <w:r>
              <w:rPr>
                <w:rFonts w:hint="eastAsia" w:ascii="宋体" w:hAnsi="宋体" w:eastAsia="宋体" w:cs="宋体"/>
                <w:szCs w:val="21"/>
              </w:rPr>
              <w:t xml:space="preserve">。</w:t>
            </w:r>
            <w:r/>
          </w:p>
        </w:tc>
      </w:tr>
      <w:tr>
        <w:trPr>
          <w:trHeight w:val="576"/>
        </w:trPr>
        <w:tc>
          <w:tcPr>
            <w:tcW w:w="91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疫苗检测效价（</w:t>
            </w:r>
            <w:r>
              <w:rPr>
                <w:rStyle w:val="706"/>
                <w:rFonts w:hint="default"/>
                <w:color w:val="auto"/>
                <w:lang w:bidi="ar"/>
              </w:rPr>
              <w:t xml:space="preserve">HI）（10分）</w:t>
            </w:r>
            <w:r/>
          </w:p>
        </w:tc>
        <w:tc>
          <w:tcPr>
            <w:tcW w:w="4081" w:type="pct"/>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lang w:bidi="ar"/>
              </w:rPr>
              <w:t xml:space="preserve">提供生产日期为2025年8月份以来连续5个批次疫苗批签发报告，产品每个毒株的HI抗体效价（GMT）≥1:256的得8分；≥1:512 的得9分；≥1:1024的，得10分。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需提供原件扫描件。</w:t>
            </w:r>
            <w:r/>
          </w:p>
        </w:tc>
      </w:tr>
      <w:tr>
        <w:trPr>
          <w:trHeight w:val="576"/>
        </w:trPr>
        <w:tc>
          <w:tcPr>
            <w:tcW w:w="91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疫苗甲醛残留量测定（5分）</w:t>
            </w:r>
            <w:r/>
          </w:p>
        </w:tc>
        <w:tc>
          <w:tcPr>
            <w:tcW w:w="4081" w:type="pct"/>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lang w:bidi="ar"/>
              </w:rPr>
              <w:t xml:space="preserve">投标时提供上述</w:t>
            </w:r>
            <w:r>
              <w:rPr>
                <w:rFonts w:hint="eastAsia" w:ascii="宋体" w:hAnsi="宋体" w:eastAsia="宋体" w:cs="宋体"/>
                <w:szCs w:val="21"/>
                <w:lang w:bidi="ar"/>
              </w:rPr>
              <w:t xml:space="preserve">5个批次批签发的甲醛残留量作为评分依据，每批次疫苗的甲醛残留量≤0.005%得5分，≤0.01%得4分，≤0.015%得3分。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需提供原件扫描件。</w:t>
            </w:r>
            <w:r/>
          </w:p>
        </w:tc>
      </w:tr>
      <w:tr>
        <w:trPr>
          <w:trHeight w:val="576"/>
        </w:trPr>
        <w:tc>
          <w:tcPr>
            <w:tcW w:w="91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疫苗黏度值</w:t>
            </w:r>
            <w:r>
              <w:rPr>
                <w:rFonts w:hint="eastAsia" w:ascii="宋体" w:hAnsi="宋体" w:eastAsia="宋体" w:cs="宋体"/>
                <w:szCs w:val="21"/>
                <w:lang w:bidi="ar"/>
              </w:rPr>
              <w:br/>
              <w:t xml:space="preserve">（5分）</w:t>
            </w:r>
            <w:r/>
          </w:p>
        </w:tc>
        <w:tc>
          <w:tcPr>
            <w:tcW w:w="4081" w:type="pct"/>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lang w:bidi="ar"/>
              </w:rPr>
              <w:t xml:space="preserve">投标时提供</w:t>
            </w:r>
            <w:r>
              <w:rPr>
                <w:rFonts w:hint="eastAsia" w:ascii="宋体" w:hAnsi="宋体" w:eastAsia="宋体" w:cs="宋体"/>
                <w:szCs w:val="21"/>
                <w:lang w:bidi="ar"/>
              </w:rPr>
              <w:t xml:space="preserve">上述</w:t>
            </w:r>
            <w:r>
              <w:rPr>
                <w:rFonts w:hint="eastAsia" w:ascii="宋体" w:hAnsi="宋体" w:eastAsia="宋体" w:cs="宋体"/>
                <w:szCs w:val="21"/>
                <w:lang w:bidi="ar"/>
              </w:rPr>
              <w:t xml:space="preserve">5个批次批签发粘度值作为评分依据，每批次疫苗的黏度应不超过200cp。200cp至100cp得1分，101-16得3分，≤15cp得5分。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需提供原件扫描件。</w:t>
            </w:r>
            <w:r/>
          </w:p>
        </w:tc>
      </w:tr>
      <w:tr>
        <w:trPr>
          <w:trHeight w:val="779"/>
        </w:trPr>
        <w:tc>
          <w:tcPr>
            <w:tcW w:w="918"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科技创新能力</w:t>
            </w:r>
            <w:r>
              <w:rPr>
                <w:rFonts w:hint="eastAsia" w:ascii="宋体" w:hAnsi="宋体" w:eastAsia="宋体" w:cs="宋体"/>
                <w:szCs w:val="21"/>
                <w:lang w:bidi="ar"/>
              </w:rPr>
              <w:br/>
              <w:t xml:space="preserve">（12分）</w:t>
            </w:r>
            <w:r/>
          </w:p>
        </w:tc>
        <w:tc>
          <w:tcPr>
            <w:tcW w:w="4081" w:type="pct"/>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szCs w:val="21"/>
                <w:lang w:bidi="ar"/>
              </w:rPr>
              <w:t xml:space="preserve">生产企业</w:t>
            </w:r>
            <w:r>
              <w:rPr>
                <w:rStyle w:val="707"/>
                <w:rFonts w:hint="default"/>
                <w:color w:val="auto"/>
                <w:lang w:bidi="ar"/>
              </w:rPr>
              <w:t xml:space="preserve">或其主管单位、控股企业取得国务院颁发的科技进步奖、技术发明奖的</w:t>
            </w:r>
            <w:r>
              <w:rPr>
                <w:rStyle w:val="706"/>
                <w:rFonts w:hint="default"/>
                <w:color w:val="auto"/>
                <w:lang w:bidi="ar"/>
              </w:rPr>
              <w:t xml:space="preserve">加2分。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需提供信息公示的网址链接、原件扫描件。</w:t>
            </w:r>
            <w:r/>
          </w:p>
        </w:tc>
      </w:tr>
      <w:tr>
        <w:trPr>
          <w:trHeight w:val="779"/>
        </w:trPr>
        <w:tc>
          <w:tcPr>
            <w:tcW w:w="918"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4081" w:type="pct"/>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lang w:bidi="ar"/>
              </w:rPr>
              <w:t xml:space="preserve">2、</w:t>
            </w:r>
            <w:r>
              <w:rPr>
                <w:rFonts w:hint="eastAsia" w:ascii="宋体" w:hAnsi="宋体" w:eastAsia="宋体" w:cs="宋体"/>
                <w:szCs w:val="21"/>
                <w:lang w:bidi="ar"/>
              </w:rPr>
              <w:t xml:space="preserve">生产企业</w:t>
            </w:r>
            <w:r>
              <w:rPr>
                <w:rStyle w:val="707"/>
                <w:rFonts w:hint="default"/>
                <w:color w:val="auto"/>
                <w:lang w:bidi="ar"/>
              </w:rPr>
              <w:t xml:space="preserve">或其主管单位、控股企业被认定为“国家认定企业技术中心”得2分。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需提供信息公示的网址链接、原件扫描件。</w:t>
            </w:r>
            <w:r/>
          </w:p>
        </w:tc>
      </w:tr>
      <w:tr>
        <w:trPr>
          <w:trHeight w:val="869"/>
        </w:trPr>
        <w:tc>
          <w:tcPr>
            <w:tcW w:w="918"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4081"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3、</w:t>
            </w:r>
            <w:r>
              <w:rPr>
                <w:rFonts w:hint="eastAsia" w:ascii="宋体" w:hAnsi="宋体" w:eastAsia="宋体" w:cs="宋体"/>
                <w:szCs w:val="21"/>
                <w:lang w:bidi="ar"/>
              </w:rPr>
              <w:t xml:space="preserve">生产企业</w:t>
            </w:r>
            <w:r>
              <w:rPr>
                <w:rStyle w:val="707"/>
                <w:rFonts w:hint="default"/>
                <w:color w:val="auto"/>
                <w:lang w:bidi="ar"/>
              </w:rPr>
              <w:t xml:space="preserve">或其主管单位、控股单位</w:t>
            </w:r>
            <w:r>
              <w:rPr>
                <w:rFonts w:hint="eastAsia" w:ascii="宋体" w:hAnsi="宋体" w:eastAsia="宋体" w:cs="宋体"/>
                <w:szCs w:val="21"/>
                <w:lang w:bidi="ar"/>
              </w:rPr>
              <w:t xml:space="preserve">设有所投疫苗病种国家参考实验室或者专业实验室的或</w:t>
            </w:r>
            <w:r>
              <w:rPr>
                <w:rStyle w:val="707"/>
                <w:rFonts w:hint="default"/>
                <w:color w:val="auto"/>
                <w:lang w:bidi="ar"/>
              </w:rPr>
              <w:t xml:space="preserve">企业具备动物生物安全三级实验室的得2分。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需提供原件扫描件。</w:t>
            </w:r>
            <w:r/>
          </w:p>
        </w:tc>
      </w:tr>
      <w:tr>
        <w:trPr>
          <w:trHeight w:val="749"/>
        </w:trPr>
        <w:tc>
          <w:tcPr>
            <w:tcW w:w="918"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4081"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4、</w:t>
            </w:r>
            <w:r>
              <w:rPr>
                <w:rFonts w:hint="eastAsia" w:ascii="宋体" w:hAnsi="宋体" w:eastAsia="宋体" w:cs="宋体"/>
                <w:szCs w:val="21"/>
                <w:lang w:bidi="ar"/>
              </w:rPr>
              <w:t xml:space="preserve">生产企业</w:t>
            </w:r>
            <w:r>
              <w:rPr>
                <w:rStyle w:val="707"/>
                <w:rFonts w:hint="default"/>
                <w:color w:val="auto"/>
                <w:lang w:bidi="ar"/>
              </w:rPr>
              <w:t xml:space="preserve">或其主管单位、控股企业具备从事高致病性或疑似高致病性病原微生物实验活动资质的或</w:t>
            </w:r>
            <w:r>
              <w:rPr>
                <w:rFonts w:hint="eastAsia" w:ascii="宋体" w:hAnsi="宋体" w:eastAsia="宋体" w:cs="宋体"/>
                <w:szCs w:val="21"/>
                <w:lang w:bidi="ar"/>
              </w:rPr>
              <w:t xml:space="preserve">生产企业具</w:t>
            </w:r>
            <w:r>
              <w:rPr>
                <w:rFonts w:hint="eastAsia" w:ascii="宋体" w:hAnsi="宋体" w:eastAsia="宋体" w:cs="宋体"/>
                <w:szCs w:val="21"/>
                <w:lang w:bidi="ar"/>
              </w:rPr>
              <w:t xml:space="preserve">有“国家重点实验室”或“全国重点实验室”或“国家地方联合工程研究中心”的</w:t>
            </w:r>
            <w:r>
              <w:rPr>
                <w:rStyle w:val="707"/>
                <w:rFonts w:hint="default"/>
                <w:color w:val="auto"/>
                <w:lang w:bidi="ar"/>
              </w:rPr>
              <w:t xml:space="preserve">得2分。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需提供原件扫描件。</w:t>
            </w:r>
            <w:r/>
          </w:p>
        </w:tc>
      </w:tr>
      <w:tr>
        <w:trPr>
          <w:trHeight w:val="1096"/>
        </w:trPr>
        <w:tc>
          <w:tcPr>
            <w:tcW w:w="918"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4081"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5、</w:t>
            </w:r>
            <w:r>
              <w:rPr>
                <w:rFonts w:hint="eastAsia" w:ascii="宋体" w:hAnsi="宋体" w:eastAsia="宋体" w:cs="宋体"/>
                <w:szCs w:val="21"/>
                <w:lang w:bidi="ar"/>
              </w:rPr>
              <w:t xml:space="preserve">生产企业或其主管位、控股企业具有禽流感疫苗相关产品或生产核心技术获得国家发明专利的，每个得1分，满分4分。专利名称需含“禽流感”字样。没有国家专利的不得分。</w:t>
            </w:r>
            <w:r>
              <w:rPr>
                <w:rFonts w:hint="eastAsia" w:ascii="宋体" w:hAnsi="宋体" w:eastAsia="宋体" w:cs="宋体"/>
                <w:szCs w:val="21"/>
              </w:rPr>
              <w:t xml:space="preserve">投标人投标时</w:t>
            </w:r>
            <w:r>
              <w:rPr>
                <w:rFonts w:hint="eastAsia" w:ascii="宋体" w:hAnsi="宋体" w:eastAsia="宋体" w:cs="宋体"/>
                <w:szCs w:val="21"/>
                <w:lang w:bidi="ar"/>
              </w:rPr>
              <w:t xml:space="preserve">需提供原件扫描件。</w:t>
            </w:r>
            <w:r/>
          </w:p>
        </w:tc>
      </w:tr>
      <w:tr>
        <w:trPr>
          <w:trHeight w:val="2012"/>
        </w:trPr>
        <w:tc>
          <w:tcPr>
            <w:tcW w:w="91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服务方案</w:t>
            </w:r>
            <w:r/>
          </w:p>
          <w:p>
            <w:pPr>
              <w:jc w:val="center"/>
              <w:rPr>
                <w:rFonts w:hint="eastAsia" w:ascii="宋体" w:hAnsi="宋体" w:eastAsia="宋体" w:cs="宋体"/>
                <w:szCs w:val="21"/>
              </w:rPr>
            </w:pPr>
            <w:r>
              <w:rPr>
                <w:rFonts w:hint="eastAsia" w:ascii="宋体" w:hAnsi="宋体" w:eastAsia="宋体" w:cs="宋体"/>
                <w:szCs w:val="21"/>
              </w:rPr>
              <w:t xml:space="preserve">（10分）</w:t>
            </w:r>
            <w:r/>
          </w:p>
        </w:tc>
        <w:tc>
          <w:tcPr>
            <w:tcW w:w="4081" w:type="pct"/>
            <w:vAlign w:val="center"/>
            <w:textDirection w:val="lrTb"/>
            <w:noWrap w:val="false"/>
          </w:tcPr>
          <w:p>
            <w:pPr>
              <w:rPr>
                <w:rFonts w:hint="eastAsia" w:ascii="宋体" w:hAnsi="宋体" w:eastAsia="宋体" w:cs="宋体"/>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根据供应商针对其产品售前、售中、售后（包括小批量和小规格疫苗发货、有效期、储存和使用等环节）服务、应急服务、免疫效果跟踪评价、培训计划、培训内容、培训人次、师资力量等服务方案。方案合理性强、内容详尽细致、针对性强的得10分；方案合理性较强、内容符合性较强、针对性较强的得8分；方案合理性一般、内容符合性一般、针对性一般的得6分。未提供的不得分。</w:t>
            </w:r>
            <w:r/>
          </w:p>
        </w:tc>
      </w:tr>
      <w:tr>
        <w:trPr>
          <w:trHeight w:val="714"/>
        </w:trPr>
        <w:tc>
          <w:tcPr>
            <w:tcW w:w="91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冷链运输、废弃疫苗瓶回收方案（10分）</w:t>
            </w:r>
            <w:r/>
          </w:p>
        </w:tc>
        <w:tc>
          <w:tcPr>
            <w:tcW w:w="4081" w:type="pct"/>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rPr>
              <w:t xml:space="preserve">根据供应商针对包含冷</w:t>
            </w:r>
            <w:r>
              <w:rPr>
                <w:rFonts w:hint="eastAsia" w:ascii="宋体" w:hAnsi="宋体" w:eastAsia="宋体" w:cs="宋体"/>
                <w:szCs w:val="21"/>
              </w:rPr>
              <w:t xml:space="preserve">链运输</w:t>
            </w:r>
            <w:r>
              <w:rPr>
                <w:rFonts w:hint="eastAsia" w:ascii="宋体" w:hAnsi="宋体" w:eastAsia="宋体" w:cs="宋体"/>
                <w:szCs w:val="21"/>
              </w:rPr>
              <w:t xml:space="preserve">方式、全程温度管理、突发事件处理等方面内容的冷链运输方案，协助废弃疫苗瓶回收、处理方案。方案合理性强、内容详尽细致、针对性强的得10分；方案合理性较强、内容符合性较强、针对性较强的得7分；方案合理性一般、内容符合性一般、针对性一般的得5分。未提供的不得分。</w:t>
            </w:r>
            <w:r/>
          </w:p>
        </w:tc>
      </w:tr>
      <w:tr>
        <w:trPr>
          <w:trHeight w:val="979"/>
        </w:trPr>
        <w:tc>
          <w:tcPr>
            <w:tcW w:w="91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强制免疫“先打后补”实施方案（8分）</w:t>
            </w:r>
            <w:r/>
          </w:p>
        </w:tc>
        <w:tc>
          <w:tcPr>
            <w:tcW w:w="4081" w:type="pct"/>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rPr>
              <w:t xml:space="preserve">根据供应商针对强制免疫“先打后补”政策实施过程中提供的落实措施，配套方案，成功案例（需同时提供当地动物防疫机构（部门）出具的相关证明），能积极配合本地区强制免疫先打后补工作。方案合理性强、内容详尽细致、针对性强的得8分；方案合理性较强、内容符合性较强、针对性较强的得5分；方案合理性一般、内容符合性一般、针对性一般的得4分。未提供的不得分。</w:t>
            </w:r>
            <w:r/>
          </w:p>
        </w:tc>
      </w:tr>
    </w:tbl>
    <w:p>
      <w:pPr>
        <w:pStyle w:val="695"/>
        <w:jc w:val="both"/>
        <w:keepNext/>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pStyle w:val="684"/>
        <w:spacing w:beforeAutospacing="0" w:afterAutospacing="0" w:line="360" w:lineRule="atLeast"/>
        <w:widowControl/>
        <w:rPr>
          <w:sz w:val="24"/>
          <w:szCs w:val="24"/>
        </w:rPr>
      </w:pPr>
      <w:r>
        <w:rPr>
          <w:sz w:val="24"/>
          <w:szCs w:val="24"/>
        </w:rPr>
        <w:t xml:space="preserve">三、评标说明</w:t>
      </w:r>
      <w:r/>
    </w:p>
    <w:p>
      <w:pPr>
        <w:jc w:val="left"/>
        <w:spacing w:line="360" w:lineRule="atLeast"/>
        <w:widowControl/>
        <w:rPr>
          <w:i/>
          <w:iCs/>
          <w:sz w:val="24"/>
          <w:u w:val="single"/>
        </w:rPr>
      </w:pPr>
      <w:r>
        <w:rPr>
          <w:rFonts w:hint="eastAsia"/>
          <w:i/>
          <w:iCs/>
          <w:sz w:val="24"/>
          <w:u w:val="single"/>
        </w:rPr>
        <w:t xml:space="preserve">1</w:t>
      </w:r>
      <w:r>
        <w:rPr>
          <w:rFonts w:hint="eastAsia"/>
          <w:i/>
          <w:iCs/>
          <w:sz w:val="24"/>
          <w:u w:val="single"/>
        </w:rPr>
        <w:t xml:space="preserve">、</w:t>
      </w:r>
      <w:r>
        <w:rPr>
          <w:i/>
          <w:iCs/>
          <w:sz w:val="24"/>
          <w:u w:val="single"/>
        </w:rPr>
        <w:t xml:space="preserve">本标准中所有评分项均需投标人提供</w:t>
      </w:r>
      <w:r>
        <w:rPr>
          <w:rStyle w:val="696"/>
          <w:b w:val="0"/>
          <w:i/>
          <w:iCs/>
          <w:sz w:val="24"/>
          <w:u w:val="single"/>
        </w:rPr>
        <w:t xml:space="preserve">有效证明材料</w:t>
      </w:r>
      <w:r>
        <w:rPr>
          <w:i/>
          <w:iCs/>
          <w:sz w:val="24"/>
          <w:u w:val="single"/>
        </w:rPr>
        <w:t xml:space="preserve">，复印件需加盖投标人</w:t>
      </w:r>
      <w:r>
        <w:rPr>
          <w:i/>
          <w:iCs/>
          <w:sz w:val="24"/>
          <w:u w:val="single"/>
        </w:rPr>
        <w:t xml:space="preserve"> CA </w:t>
      </w:r>
      <w:r>
        <w:rPr>
          <w:i/>
          <w:iCs/>
          <w:sz w:val="24"/>
          <w:u w:val="single"/>
        </w:rPr>
        <w:t xml:space="preserve">电子公章，未提供或证明材料无效的，对应评分项不得分。</w:t>
      </w:r>
      <w:r/>
    </w:p>
    <w:p>
      <w:pPr>
        <w:jc w:val="left"/>
        <w:spacing w:line="360" w:lineRule="atLeast"/>
        <w:widowControl/>
        <w:rPr>
          <w:i/>
          <w:iCs/>
          <w:sz w:val="24"/>
          <w:u w:val="single"/>
        </w:rPr>
      </w:pPr>
      <w:r>
        <w:rPr>
          <w:rFonts w:hint="eastAsia"/>
          <w:i/>
          <w:iCs/>
          <w:sz w:val="24"/>
          <w:u w:val="single"/>
        </w:rPr>
        <w:t xml:space="preserve">2</w:t>
      </w:r>
      <w:r>
        <w:rPr>
          <w:rFonts w:hint="eastAsia"/>
          <w:i/>
          <w:iCs/>
          <w:sz w:val="24"/>
          <w:u w:val="single"/>
        </w:rPr>
        <w:t xml:space="preserve">、</w:t>
      </w:r>
      <w:r>
        <w:rPr>
          <w:i/>
          <w:iCs/>
          <w:sz w:val="24"/>
          <w:u w:val="single"/>
        </w:rPr>
        <w:t xml:space="preserve">评标委员会对投标文件的评分，以投标文件本身的内容为依据，不寻求外部证据；对含义不明确的内容，可要求投标人</w:t>
      </w:r>
      <w:r>
        <w:rPr>
          <w:i/>
          <w:iCs/>
          <w:sz w:val="24"/>
          <w:u w:val="single"/>
        </w:rPr>
        <w:t xml:space="preserve">作出</w:t>
      </w:r>
      <w:r>
        <w:rPr>
          <w:i/>
          <w:iCs/>
          <w:sz w:val="24"/>
          <w:u w:val="single"/>
        </w:rPr>
        <w:t xml:space="preserve">澄清，澄清不得超出投标文件范围或改变实质性内容。</w:t>
      </w:r>
      <w:r/>
    </w:p>
    <w:p>
      <w:pPr>
        <w:jc w:val="left"/>
        <w:spacing w:line="360" w:lineRule="atLeast"/>
        <w:widowControl/>
        <w:rPr>
          <w:i/>
          <w:iCs/>
          <w:sz w:val="24"/>
          <w:u w:val="single"/>
        </w:rPr>
      </w:pPr>
      <w:r>
        <w:rPr>
          <w:rFonts w:hint="eastAsia"/>
          <w:i/>
          <w:iCs/>
          <w:sz w:val="24"/>
          <w:u w:val="single"/>
        </w:rPr>
        <w:t xml:space="preserve">3</w:t>
      </w:r>
      <w:r>
        <w:rPr>
          <w:rFonts w:hint="eastAsia"/>
          <w:i/>
          <w:iCs/>
          <w:sz w:val="24"/>
          <w:u w:val="single"/>
        </w:rPr>
        <w:t xml:space="preserve">、</w:t>
      </w:r>
      <w:r>
        <w:rPr>
          <w:i/>
          <w:iCs/>
          <w:sz w:val="24"/>
          <w:u w:val="single"/>
        </w:rPr>
        <w:t xml:space="preserve">投标文件存在重大偏离、无效投标情形的，评标委员会按招标文件规定予以否决，不再参与评分。</w:t>
      </w:r>
      <w:r/>
    </w:p>
    <w:p>
      <w:pPr>
        <w:jc w:val="left"/>
        <w:spacing w:line="360" w:lineRule="atLeast"/>
        <w:widowControl/>
        <w:rPr>
          <w:i/>
          <w:iCs/>
          <w:sz w:val="24"/>
          <w:u w:val="single"/>
        </w:rPr>
      </w:pPr>
      <w:r>
        <w:rPr>
          <w:rFonts w:hint="eastAsia"/>
          <w:i/>
          <w:iCs/>
          <w:sz w:val="24"/>
          <w:u w:val="single"/>
        </w:rPr>
        <w:t xml:space="preserve">4</w:t>
      </w:r>
      <w:r>
        <w:rPr>
          <w:rFonts w:hint="eastAsia"/>
          <w:i/>
          <w:iCs/>
          <w:sz w:val="24"/>
          <w:u w:val="single"/>
        </w:rPr>
        <w:t xml:space="preserve">、</w:t>
      </w:r>
      <w:r>
        <w:rPr>
          <w:i/>
          <w:iCs/>
          <w:sz w:val="24"/>
          <w:u w:val="single"/>
        </w:rPr>
        <w:t xml:space="preserve">本评标方法与评标标准未列明的内容，按《中华人民共和国政府采购法》《政府采购货物和服务招标投标管理办法》等相关法律法规执行。</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center"/>
        <w:spacing w:beforeAutospacing="0" w:afterAutospacing="0"/>
      </w:pPr>
      <w:r/>
      <w:bookmarkStart w:id="178" w:name="_Toc49090576"/>
      <w:r/>
      <w:bookmarkStart w:id="179" w:name="_Toc120614282"/>
      <w:r/>
      <w:bookmarkStart w:id="180" w:name="_Hlt26955039"/>
      <w:r/>
      <w:bookmarkStart w:id="181" w:name="_Toc26554094"/>
      <w:r/>
      <w:bookmarkStart w:id="182" w:name="_Hlt26671244"/>
      <w:r/>
      <w:bookmarkEnd w:id="178"/>
      <w:r/>
      <w:bookmarkEnd w:id="179"/>
      <w:r>
        <w:rPr>
          <w:rFonts w:hint="eastAsia" w:ascii="宋体" w:hAnsi="宋体" w:eastAsia="宋体" w:cs="宋体"/>
          <w:b/>
          <w:sz w:val="72"/>
          <w:szCs w:val="72"/>
        </w:rPr>
        <w:t xml:space="preserve">投  标  文  件</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95"/>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695"/>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695"/>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both"/>
        <w:spacing w:beforeAutospacing="0" w:afterAutospacing="0" w:line="0" w:lineRule="atLeast"/>
      </w:pPr>
      <w:r>
        <w:t xml:space="preserve"> </w:t>
      </w:r>
      <w:r/>
    </w:p>
    <w:p>
      <w:pPr>
        <w:pStyle w:val="695"/>
        <w:jc w:val="both"/>
        <w:spacing w:beforeAutospacing="0" w:afterAutospacing="0" w:line="0" w:lineRule="atLeast"/>
      </w:pPr>
      <w:r>
        <w:t xml:space="preserve"> </w:t>
      </w:r>
      <w:r/>
    </w:p>
    <w:p>
      <w:pPr>
        <w:pStyle w:val="695"/>
        <w:jc w:val="center"/>
        <w:spacing w:beforeAutospacing="0" w:afterAutospacing="0" w:line="0" w:lineRule="atLeast"/>
      </w:pPr>
      <w:r>
        <w:rPr>
          <w:rFonts w:hint="eastAsia" w:ascii="宋体" w:hAnsi="宋体" w:eastAsia="宋体" w:cs="宋体"/>
          <w:b/>
          <w:sz w:val="32"/>
          <w:szCs w:val="32"/>
        </w:rPr>
        <w:t xml:space="preserve">投标文件目录</w:t>
      </w:r>
      <w:r/>
    </w:p>
    <w:p>
      <w:pPr>
        <w:pStyle w:val="695"/>
        <w:jc w:val="center"/>
        <w:spacing w:beforeAutospacing="0" w:afterAutospacing="0" w:line="0" w:lineRule="atLeast"/>
      </w:pPr>
      <w:r>
        <w:t xml:space="preserve"> </w:t>
      </w:r>
      <w:r/>
    </w:p>
    <w:p>
      <w:pPr>
        <w:pStyle w:val="695"/>
        <w:ind w:left="480"/>
        <w:jc w:val="both"/>
        <w:spacing w:beforeAutospacing="0" w:afterAutospacing="0"/>
        <w:rPr>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695"/>
        <w:ind w:left="480"/>
        <w:jc w:val="both"/>
        <w:spacing w:beforeAutospacing="0" w:afterAutospacing="0"/>
        <w:rPr>
          <w:iCs/>
        </w:rPr>
      </w:pPr>
      <w:r>
        <w:rPr>
          <w:rFonts w:hint="eastAsia" w:ascii="宋体" w:hAnsi="宋体" w:eastAsia="宋体" w:cs="宋体"/>
          <w:iCs/>
        </w:rPr>
        <w:t xml:space="preserve">投标人成立不满一年无需提供）</w:t>
      </w:r>
      <w:r/>
    </w:p>
    <w:p>
      <w:pPr>
        <w:pStyle w:val="69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9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5"/>
        <w:ind w:firstLine="480"/>
        <w:jc w:val="both"/>
        <w:spacing w:beforeAutospacing="0" w:afterAutospacing="0" w:line="0" w:lineRule="atLeast"/>
        <w:rPr>
          <w:iCs/>
        </w:rPr>
      </w:pPr>
      <w:r>
        <w:rPr>
          <w:rFonts w:hint="eastAsia" w:ascii="宋体" w:hAnsi="宋体" w:eastAsia="宋体" w:cs="宋体"/>
          <w:iCs/>
        </w:rPr>
        <w:t xml:space="preserve">五、参加政府采购活动前 3 年内在经营活动中没有重大违法记录的书面声明</w:t>
      </w:r>
      <w:r/>
    </w:p>
    <w:p>
      <w:pPr>
        <w:pStyle w:val="695"/>
        <w:ind w:firstLine="480"/>
        <w:jc w:val="both"/>
        <w:spacing w:beforeAutospacing="0" w:afterAutospacing="0" w:line="0" w:lineRule="atLeast"/>
        <w:rPr>
          <w:iCs/>
        </w:rPr>
      </w:pPr>
      <w:r>
        <w:rPr>
          <w:rFonts w:hint="eastAsia" w:ascii="宋体" w:hAnsi="宋体" w:eastAsia="宋体" w:cs="宋体"/>
          <w:iCs/>
        </w:rPr>
        <w:t xml:space="preserve">六、特定资格要求的证明文件（如果本项目设置特定资格要求，则需要提供）</w:t>
      </w:r>
      <w:r/>
    </w:p>
    <w:p>
      <w:pPr>
        <w:pStyle w:val="695"/>
        <w:ind w:firstLine="480"/>
        <w:jc w:val="both"/>
        <w:spacing w:beforeAutospacing="0" w:afterAutospacing="0" w:line="0" w:lineRule="atLeast"/>
        <w:rPr>
          <w:iCs/>
        </w:rPr>
      </w:pPr>
      <w:r>
        <w:rPr>
          <w:rFonts w:hint="eastAsia" w:ascii="宋体" w:hAnsi="宋体" w:eastAsia="宋体" w:cs="宋体"/>
          <w:iCs/>
        </w:rPr>
        <w:t xml:space="preserve">七、法人授权书</w:t>
      </w:r>
      <w:r/>
    </w:p>
    <w:p>
      <w:pPr>
        <w:pStyle w:val="695"/>
        <w:ind w:firstLine="480"/>
        <w:jc w:val="both"/>
        <w:spacing w:beforeAutospacing="0" w:afterAutospacing="0" w:line="0" w:lineRule="atLeast"/>
        <w:rPr>
          <w:iCs/>
        </w:rPr>
      </w:pPr>
      <w:r>
        <w:rPr>
          <w:rFonts w:hint="eastAsia" w:ascii="宋体" w:hAnsi="宋体" w:eastAsia="宋体" w:cs="宋体"/>
          <w:iCs/>
        </w:rPr>
        <w:t xml:space="preserve">八、投标函</w:t>
      </w:r>
      <w:r/>
    </w:p>
    <w:p>
      <w:pPr>
        <w:pStyle w:val="695"/>
        <w:ind w:firstLine="480"/>
        <w:jc w:val="both"/>
        <w:spacing w:beforeAutospacing="0" w:afterAutospacing="0" w:line="0" w:lineRule="atLeast"/>
        <w:rPr>
          <w:iCs/>
        </w:rPr>
      </w:pPr>
      <w:r>
        <w:rPr>
          <w:rFonts w:hint="eastAsia" w:ascii="宋体" w:hAnsi="宋体" w:eastAsia="宋体" w:cs="宋体"/>
          <w:iCs/>
        </w:rPr>
        <w:t xml:space="preserve">九、中小企业声明函</w:t>
      </w:r>
      <w:r/>
    </w:p>
    <w:p>
      <w:pPr>
        <w:pStyle w:val="69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69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 关于符合本国产品标准的声明函</w:t>
      </w:r>
      <w:r/>
    </w:p>
    <w:p>
      <w:pPr>
        <w:pStyle w:val="69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十二、联合体协议</w:t>
      </w:r>
      <w:r/>
    </w:p>
    <w:p>
      <w:pPr>
        <w:pStyle w:val="69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十三、投标分项报价表</w:t>
      </w:r>
      <w:r/>
    </w:p>
    <w:p>
      <w:pPr>
        <w:pStyle w:val="695"/>
        <w:ind w:firstLine="480"/>
        <w:jc w:val="both"/>
        <w:spacing w:beforeAutospacing="0" w:afterAutospacing="0" w:line="0" w:lineRule="atLeast"/>
        <w:rPr>
          <w:iCs/>
        </w:rPr>
      </w:pPr>
      <w:r>
        <w:rPr>
          <w:rFonts w:hint="eastAsia" w:ascii="宋体" w:hAnsi="宋体" w:eastAsia="宋体" w:cs="宋体"/>
          <w:iCs/>
        </w:rPr>
        <w:t xml:space="preserve">十四、技术要求响应及偏离表</w:t>
      </w:r>
      <w:r/>
    </w:p>
    <w:p>
      <w:pPr>
        <w:pStyle w:val="695"/>
        <w:ind w:firstLine="480"/>
        <w:jc w:val="both"/>
        <w:spacing w:beforeAutospacing="0" w:afterAutospacing="0" w:line="0" w:lineRule="atLeast"/>
        <w:rPr>
          <w:iCs/>
        </w:rPr>
      </w:pPr>
      <w:r>
        <w:rPr>
          <w:rFonts w:hint="eastAsia" w:ascii="宋体" w:hAnsi="宋体" w:eastAsia="宋体" w:cs="宋体"/>
          <w:iCs/>
        </w:rPr>
        <w:t xml:space="preserve">十五、商务要求响应及偏离表</w:t>
      </w:r>
      <w:r/>
    </w:p>
    <w:p>
      <w:pPr>
        <w:pStyle w:val="69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十六、开标一览表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十七、技术方案、服务承诺、培训承诺等</w:t>
      </w:r>
      <w:r/>
    </w:p>
    <w:p>
      <w:pPr>
        <w:pStyle w:val="695"/>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t xml:space="preserve"> </w:t>
      </w:r>
      <w:r/>
    </w:p>
    <w:p>
      <w:pPr>
        <w:pStyle w:val="69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95"/>
        <w:ind w:firstLine="480"/>
        <w:jc w:val="both"/>
        <w:spacing w:beforeAutospacing="0" w:afterAutospacing="0" w:line="0" w:lineRule="atLeast"/>
      </w:pPr>
      <w:r>
        <w:t xml:space="preserve"> </w:t>
      </w:r>
      <w:r/>
    </w:p>
    <w:p>
      <w:pPr>
        <w:pStyle w:val="69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695"/>
        <w:jc w:val="both"/>
        <w:spacing w:beforeAutospacing="0" w:afterAutospacing="0"/>
      </w:pPr>
      <w:r>
        <w:t xml:space="preserve"> </w:t>
      </w:r>
      <w:r/>
    </w:p>
    <w:p>
      <w:pPr>
        <w:pStyle w:val="69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95"/>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95"/>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9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95"/>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695"/>
        <w:jc w:val="both"/>
        <w:spacing w:beforeAutospacing="0" w:afterAutospacing="0"/>
      </w:pPr>
      <w:r>
        <w:t xml:space="preserve"> </w:t>
      </w:r>
      <w:r/>
    </w:p>
    <w:p>
      <w:pPr>
        <w:pStyle w:val="69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95"/>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695"/>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695"/>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95"/>
        <w:jc w:val="both"/>
        <w:spacing w:beforeAutospacing="0" w:afterAutospacing="0"/>
      </w:pPr>
      <w:r>
        <w:t xml:space="preserve"> </w:t>
      </w:r>
      <w:r/>
    </w:p>
    <w:p>
      <w:pPr>
        <w:pStyle w:val="69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95"/>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95"/>
        <w:jc w:val="center"/>
        <w:spacing w:beforeAutospacing="0" w:afterAutospacing="0"/>
        <w:rPr>
          <w:rFonts w:hint="eastAsia" w:ascii="黑体" w:hAnsi="宋体" w:eastAsia="黑体" w:cs="黑体"/>
          <w:i/>
          <w:sz w:val="32"/>
          <w:szCs w:val="32"/>
          <w:u w:val="single"/>
        </w:rPr>
      </w:pPr>
      <w:r/>
      <w:bookmarkStart w:id="183" w:name="_Toc120614284"/>
      <w:r/>
      <w:r/>
    </w:p>
    <w:p>
      <w:pPr>
        <w:pStyle w:val="6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5"/>
        <w:jc w:val="center"/>
        <w:spacing w:beforeAutospacing="0" w:afterAutospacing="0"/>
        <w:rPr>
          <w:b/>
          <w:bCs/>
        </w:rPr>
      </w:pPr>
      <w:r>
        <w:rPr>
          <w:rFonts w:hint="eastAsia" w:ascii="黑体" w:hAnsi="宋体" w:eastAsia="黑体" w:cs="黑体"/>
          <w:b/>
          <w:bCs/>
          <w:i/>
          <w:sz w:val="32"/>
          <w:szCs w:val="32"/>
          <w:u w:val="single"/>
        </w:rPr>
        <w:t xml:space="preserve">七、法人授权书</w:t>
      </w:r>
      <w:r/>
    </w:p>
    <w:p>
      <w:pPr>
        <w:pStyle w:val="695"/>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695"/>
        <w:ind w:firstLine="480"/>
        <w:jc w:val="both"/>
        <w:spacing w:beforeAutospacing="0" w:afterAutospacing="0"/>
        <w:tabs>
          <w:tab w:val="left" w:pos="360" w:leader="none"/>
        </w:tabs>
        <w:rPr>
          <w:rFonts w:ascii="Times New Roman" w:hAnsi="Times New Roman"/>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695"/>
        <w:ind w:firstLine="480"/>
        <w:jc w:val="both"/>
        <w:spacing w:beforeAutospacing="0" w:afterAutospacing="0"/>
        <w:tabs>
          <w:tab w:val="left" w:pos="360" w:leader="none"/>
        </w:tabs>
      </w:pP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95"/>
        <w:jc w:val="both"/>
        <w:spacing w:beforeAutospacing="0" w:afterAutospacing="0"/>
        <w:tabs>
          <w:tab w:val="left" w:pos="360" w:leader="none"/>
        </w:tabs>
        <w:rPr>
          <w:rFonts w:ascii="Times New Roman" w:hAnsi="Times New Roman"/>
          <w:u w:val="single"/>
        </w:rPr>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695"/>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rPr>
          <w:rFonts w:hint="eastAsia" w:ascii="Times New Roman" w:hAnsi="Times New Roman"/>
          <w:u w:val="single"/>
        </w:rPr>
        <w:t xml:space="preserve">      </w:t>
      </w:r>
      <w:r/>
    </w:p>
    <w:p>
      <w:pPr>
        <w:pStyle w:val="695"/>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95"/>
        <w:ind w:firstLine="480"/>
        <w:jc w:val="both"/>
        <w:spacing w:beforeAutospacing="0" w:afterAutospacing="0"/>
        <w:tabs>
          <w:tab w:val="left" w:pos="360" w:leader="none"/>
        </w:tabs>
      </w:pPr>
      <w:r>
        <w:rPr>
          <w:rFonts w:ascii="Times New Roman" w:hAnsi="Times New Roman"/>
        </w:rPr>
        <w:t xml:space="preserve">日期：</w:t>
      </w:r>
      <w:bookmarkStart w:id="184" w:name="_Hlt26955070"/>
      <w:r/>
      <w:bookmarkStart w:id="185" w:name="_Hlt26671380"/>
      <w:r/>
      <w:bookmarkStart w:id="186" w:name="_格式3__银行出具的资信证明"/>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95"/>
        <w:ind w:firstLine="420"/>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line="0" w:lineRule="atLeast"/>
      </w:pPr>
      <w:r>
        <w:t xml:space="preserve"> </w:t>
      </w:r>
      <w:r/>
    </w:p>
    <w:p>
      <w:pPr>
        <w:pStyle w:val="695"/>
        <w:ind w:firstLine="3390"/>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八、投标函</w:t>
      </w:r>
      <w:r/>
    </w:p>
    <w:p>
      <w:pPr>
        <w:pStyle w:val="695"/>
        <w:spacing w:beforeAutospacing="0" w:afterAutospacing="0" w:line="0" w:lineRule="atLeast"/>
        <w:rPr>
          <w:rFonts w:eastAsia="宋体"/>
        </w:rPr>
      </w:pPr>
      <w:r>
        <w:rPr>
          <w:rFonts w:hint="eastAsia" w:ascii="宋体" w:hAnsi="宋体" w:eastAsia="宋体" w:cs="宋体"/>
        </w:rPr>
        <w:t xml:space="preserve">致：滨海县畜牧兽医站</w:t>
      </w:r>
      <w:r/>
    </w:p>
    <w:p>
      <w:pPr>
        <w:pStyle w:val="695"/>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695"/>
        <w:ind w:firstLine="480"/>
        <w:spacing w:beforeAutospacing="0" w:afterAutospacing="0" w:line="0" w:lineRule="atLeast"/>
      </w:pPr>
      <w:r>
        <w:rPr>
          <w:rFonts w:hint="eastAsia" w:ascii="宋体" w:hAnsi="宋体" w:eastAsia="宋体" w:cs="宋体"/>
        </w:rPr>
        <w:t xml:space="preserve">据此函，__________签字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695"/>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695"/>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695"/>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695"/>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695"/>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95"/>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95"/>
        <w:ind w:left="425"/>
        <w:spacing w:beforeAutospacing="0" w:afterAutospacing="0" w:line="0" w:lineRule="atLeast"/>
      </w:pPr>
      <w:r>
        <w:rPr>
          <w:rFonts w:hint="eastAsia" w:ascii="宋体" w:hAnsi="宋体" w:eastAsia="宋体" w:cs="宋体"/>
        </w:rPr>
        <w:t xml:space="preserve">7.与本投标有关的正式通讯地址为：</w:t>
      </w:r>
      <w:r/>
    </w:p>
    <w:p>
      <w:pPr>
        <w:pStyle w:val="695"/>
        <w:ind w:left="420" w:firstLine="480"/>
        <w:spacing w:beforeAutospacing="0" w:afterAutospacing="0" w:line="0" w:lineRule="atLeast"/>
      </w:pPr>
      <w:r>
        <w:rPr>
          <w:rFonts w:hint="eastAsia" w:ascii="宋体" w:hAnsi="宋体" w:eastAsia="宋体" w:cs="宋体"/>
        </w:rPr>
        <w:t xml:space="preserve">地          址：</w:t>
      </w:r>
      <w:r/>
    </w:p>
    <w:p>
      <w:pPr>
        <w:pStyle w:val="695"/>
        <w:ind w:left="420" w:firstLine="480"/>
        <w:spacing w:beforeAutospacing="0" w:afterAutospacing="0" w:line="0" w:lineRule="atLeast"/>
      </w:pPr>
      <w:r>
        <w:rPr>
          <w:rFonts w:hint="eastAsia" w:ascii="宋体" w:hAnsi="宋体" w:eastAsia="宋体" w:cs="宋体"/>
        </w:rPr>
        <w:t xml:space="preserve">邮          编：</w:t>
      </w:r>
      <w:r/>
    </w:p>
    <w:p>
      <w:pPr>
        <w:pStyle w:val="695"/>
        <w:ind w:left="420" w:firstLine="480"/>
        <w:spacing w:beforeAutospacing="0" w:afterAutospacing="0" w:line="0" w:lineRule="atLeast"/>
      </w:pPr>
      <w:r>
        <w:rPr>
          <w:rFonts w:hint="eastAsia" w:ascii="宋体" w:hAnsi="宋体" w:eastAsia="宋体" w:cs="宋体"/>
        </w:rPr>
        <w:t xml:space="preserve">电          话：</w:t>
      </w:r>
      <w:r/>
    </w:p>
    <w:p>
      <w:pPr>
        <w:pStyle w:val="695"/>
        <w:ind w:left="420" w:firstLine="480"/>
        <w:spacing w:beforeAutospacing="0" w:afterAutospacing="0" w:line="0" w:lineRule="atLeast"/>
      </w:pPr>
      <w:r>
        <w:rPr>
          <w:rFonts w:hint="eastAsia" w:ascii="宋体" w:hAnsi="宋体" w:eastAsia="宋体" w:cs="宋体"/>
        </w:rPr>
        <w:t xml:space="preserve">传          真：</w:t>
      </w:r>
      <w:r/>
    </w:p>
    <w:p>
      <w:pPr>
        <w:pStyle w:val="695"/>
        <w:ind w:left="420" w:firstLine="480"/>
        <w:spacing w:beforeAutospacing="0" w:afterAutospacing="0" w:line="0" w:lineRule="atLeast"/>
      </w:pPr>
      <w:r>
        <w:rPr>
          <w:rFonts w:hint="eastAsia" w:ascii="宋体" w:hAnsi="宋体" w:eastAsia="宋体" w:cs="宋体"/>
        </w:rPr>
        <w:t xml:space="preserve">投标人开户行：</w:t>
      </w:r>
      <w:r/>
    </w:p>
    <w:p>
      <w:pPr>
        <w:pStyle w:val="695"/>
        <w:ind w:left="420" w:firstLine="480"/>
        <w:spacing w:beforeAutospacing="0" w:afterAutospacing="0" w:line="0" w:lineRule="atLeast"/>
      </w:pPr>
      <w:r>
        <w:rPr>
          <w:rFonts w:hint="eastAsia" w:ascii="宋体" w:hAnsi="宋体" w:eastAsia="宋体" w:cs="宋体"/>
        </w:rPr>
        <w:t xml:space="preserve">账          号： </w:t>
      </w:r>
      <w:r/>
    </w:p>
    <w:p>
      <w:pPr>
        <w:pStyle w:val="695"/>
        <w:ind w:left="420" w:firstLine="480"/>
        <w:spacing w:beforeAutospacing="0" w:afterAutospacing="0" w:line="0" w:lineRule="atLeast"/>
      </w:pPr>
      <w:r>
        <w:rPr>
          <w:rFonts w:hint="eastAsia" w:ascii="宋体" w:hAnsi="宋体" w:eastAsia="宋体" w:cs="宋体"/>
        </w:rPr>
        <w:t xml:space="preserve">日           期：________年____月____日</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t xml:space="preserve"> </w:t>
      </w:r>
      <w:r/>
    </w:p>
    <w:p>
      <w:pPr>
        <w:pStyle w:val="695"/>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的规定，本公司（联合体）参加盐城市政府采购人或代理机构组织的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95"/>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5"/>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5"/>
        <w:ind w:firstLine="360"/>
        <w:jc w:val="both"/>
        <w:spacing w:beforeAutospacing="0" w:afterAutospacing="0" w:line="360" w:lineRule="auto"/>
      </w:pPr>
      <w:r>
        <w:rPr>
          <w:rFonts w:hint="eastAsia"/>
        </w:rPr>
        <w:t xml:space="preserve">……</w:t>
      </w:r>
      <w:r/>
    </w:p>
    <w:p>
      <w:pPr>
        <w:pStyle w:val="69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9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95"/>
        <w:ind w:right="720"/>
        <w:jc w:val="both"/>
        <w:spacing w:beforeAutospacing="0" w:afterAutospacing="0" w:line="360" w:lineRule="auto"/>
      </w:pPr>
      <w:r>
        <w:t xml:space="preserve"> </w:t>
      </w:r>
      <w:r/>
    </w:p>
    <w:p>
      <w:pPr>
        <w:pStyle w:val="695"/>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695"/>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695"/>
        <w:ind w:firstLine="360"/>
        <w:jc w:val="both"/>
        <w:spacing w:beforeAutospacing="0" w:afterAutospacing="0" w:line="360" w:lineRule="auto"/>
      </w:pPr>
      <w:r>
        <w:t xml:space="preserve"> </w:t>
      </w:r>
      <w:r/>
    </w:p>
    <w:p>
      <w:pPr>
        <w:pStyle w:val="695"/>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695"/>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pPr>
      <w:r>
        <w:rPr>
          <w:rFonts w:hint="eastAsia" w:ascii="黑体" w:hAnsi="宋体" w:eastAsia="黑体" w:cs="黑体"/>
          <w:b/>
          <w:sz w:val="32"/>
          <w:szCs w:val="32"/>
        </w:rPr>
        <w:t xml:space="preserve">十、残疾人福利性单位声明函（分包号：**）</w:t>
      </w:r>
      <w:r/>
    </w:p>
    <w:p>
      <w:pPr>
        <w:pStyle w:val="695"/>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95"/>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695"/>
        <w:ind w:firstLine="624"/>
        <w:jc w:val="both"/>
        <w:spacing w:beforeAutospacing="0" w:afterAutospacing="0" w:line="0" w:lineRule="atLeast"/>
      </w:pPr>
      <w:r>
        <w:t xml:space="preserve"> </w:t>
      </w:r>
      <w:r/>
    </w:p>
    <w:p>
      <w:pPr>
        <w:pStyle w:val="69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95"/>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691"/>
        <w:ind w:left="1537"/>
        <w:spacing w:before="168" w:line="207" w:lineRule="auto"/>
        <w:rPr>
          <w:spacing w:val="27"/>
          <w:sz w:val="39"/>
          <w:szCs w:val="39"/>
        </w:rPr>
      </w:pPr>
      <w:r>
        <w:rPr>
          <w:spacing w:val="27"/>
          <w:sz w:val="39"/>
          <w:szCs w:val="39"/>
        </w:rPr>
      </w:r>
      <w:r/>
    </w:p>
    <w:p>
      <w:pPr>
        <w:pStyle w:val="695"/>
        <w:jc w:val="center"/>
        <w:spacing w:beforeAutospacing="0" w:afterAutospacing="0"/>
        <w:rPr>
          <w:b/>
          <w:bCs/>
        </w:rPr>
      </w:pPr>
      <w:r>
        <w:rPr>
          <w:rFonts w:ascii="黑体" w:hAnsi="宋体" w:eastAsia="黑体" w:cs="黑体"/>
          <w:b/>
          <w:bCs/>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关于符合本国产品标准的声明函（采购包号：**）</w:t>
      </w:r>
      <w:r/>
    </w:p>
    <w:p>
      <w:pPr>
        <w:pStyle w:val="695"/>
        <w:ind w:firstLine="420"/>
        <w:jc w:val="both"/>
        <w:spacing w:beforeAutospacing="0" w:afterAutospacing="0"/>
        <w:rPr>
          <w:b/>
          <w:bCs/>
        </w:rPr>
      </w:pPr>
      <w:r>
        <w:rPr>
          <w:rFonts w:ascii="Arial" w:hAnsi="Arial" w:cs="Arial"/>
          <w:b/>
          <w:bCs/>
        </w:rPr>
        <w:t xml:space="preserve"> </w:t>
      </w:r>
      <w:r/>
    </w:p>
    <w:p>
      <w:pPr>
        <w:pStyle w:val="695"/>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5"/>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695"/>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695"/>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695"/>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695"/>
        <w:jc w:val="both"/>
        <w:spacing w:before="30" w:beforeAutospacing="0" w:after="30" w:afterAutospacing="0"/>
        <w:rPr>
          <w:b/>
          <w:bCs/>
        </w:rPr>
      </w:pPr>
      <w:r>
        <w:rPr>
          <w:rFonts w:ascii="宋体" w:hAnsi="宋体" w:eastAsia="宋体" w:cs="宋体"/>
          <w:b/>
          <w:bCs/>
        </w:rPr>
        <w:t xml:space="preserve"> </w:t>
      </w:r>
      <w:r/>
    </w:p>
    <w:p>
      <w:pPr>
        <w:pStyle w:val="695"/>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695"/>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695"/>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695"/>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695"/>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695"/>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695"/>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695"/>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695"/>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w:t>
      </w:r>
      <w:r>
        <w:rPr>
          <w:rFonts w:ascii="宋体" w:hAnsi="宋体" w:eastAsia="宋体" w:cs="宋体"/>
          <w:b/>
          <w:bCs/>
          <w:shd w:val="clear" w:color="auto" w:fill="ffffff"/>
        </w:rPr>
        <w:t xml:space="preserve">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sz w:val="24"/>
          <w:u w:val="single"/>
        </w:rPr>
        <w:t xml:space="preserve">不</w:t>
      </w:r>
      <w:r>
        <w:rPr>
          <w:rFonts w:hint="eastAsia" w:ascii="宋体" w:hAnsi="宋体" w:eastAsia="宋体" w:cs="宋体"/>
          <w:b/>
          <w:bCs/>
          <w:sz w:val="24"/>
          <w:u w:val="single"/>
        </w:rPr>
        <w:t xml:space="preserve">出具《声明函》的，不享受政府采购对本国产品的支持政策。</w:t>
      </w:r>
      <w:r/>
    </w:p>
    <w:p>
      <w:pPr>
        <w:pStyle w:val="695"/>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jc w:val="center"/>
        <w:rPr>
          <w:rFonts w:hint="eastAsia" w:asciiTheme="minorEastAsia" w:hAnsiTheme="minorEastAsia" w:cstheme="minorEastAsia"/>
          <w:b/>
          <w:bCs/>
          <w:sz w:val="24"/>
        </w:rPr>
      </w:pPr>
      <w:r>
        <w:rPr>
          <w:rFonts w:hint="eastAsia" w:asciiTheme="minorEastAsia" w:hAnsiTheme="minorEastAsia" w:cstheme="minorEastAsia"/>
          <w:b/>
          <w:bCs/>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Pr>
          <w:rFonts w:hint="eastAsia" w:ascii="黑体" w:hAnsi="宋体" w:eastAsia="黑体" w:cs="黑体"/>
          <w:b/>
          <w:sz w:val="32"/>
          <w:szCs w:val="32"/>
        </w:rPr>
        <w:t xml:space="preserve">十二、联合体协议（参考格式）（分包号：**）</w:t>
      </w:r>
      <w:r/>
    </w:p>
    <w:p>
      <w:pPr>
        <w:pStyle w:val="695"/>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695"/>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自愿组成联合体，参加盐城市政府采购人或代理机构组织的采购编号为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695"/>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95"/>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695"/>
        <w:ind w:firstLine="645"/>
        <w:jc w:val="both"/>
        <w:spacing w:beforeAutospacing="0" w:afterAutospacing="0" w:line="0" w:lineRule="atLeast"/>
      </w:pPr>
      <w:r>
        <w:t xml:space="preserve"> </w:t>
      </w:r>
      <w:r/>
    </w:p>
    <w:p>
      <w:pPr>
        <w:pStyle w:val="695"/>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695"/>
        <w:ind w:firstLine="645"/>
        <w:jc w:val="both"/>
        <w:spacing w:beforeAutospacing="0" w:afterAutospacing="0" w:line="0" w:lineRule="atLeast"/>
      </w:pPr>
      <w:r>
        <w:rPr>
          <w:rFonts w:hint="eastAsia" w:ascii="宋体" w:hAnsi="宋体" w:eastAsia="宋体" w:cs="宋体"/>
        </w:rPr>
        <w:t xml:space="preserve">                                          </w:t>
      </w:r>
      <w:r/>
    </w:p>
    <w:p>
      <w:pPr>
        <w:pStyle w:val="695"/>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695"/>
        <w:ind w:firstLine="645"/>
        <w:jc w:val="both"/>
        <w:spacing w:beforeAutospacing="0" w:afterAutospacing="0" w:line="0" w:lineRule="atLeast"/>
      </w:pPr>
      <w:r>
        <w:rPr>
          <w:rFonts w:hint="eastAsia" w:ascii="宋体" w:hAnsi="宋体" w:eastAsia="宋体" w:cs="宋体"/>
        </w:rPr>
        <w:t xml:space="preserve">                                                                日  期：</w:t>
      </w:r>
      <w:r/>
    </w:p>
    <w:p>
      <w:pPr>
        <w:pStyle w:val="695"/>
        <w:ind w:firstLine="645"/>
        <w:jc w:val="both"/>
        <w:spacing w:beforeAutospacing="0" w:afterAutospacing="0" w:line="0" w:lineRule="atLeast"/>
      </w:pPr>
      <w:r>
        <w:t xml:space="preserve"> </w:t>
      </w:r>
      <w:r/>
    </w:p>
    <w:p>
      <w:pPr>
        <w:pStyle w:val="695"/>
        <w:jc w:val="both"/>
        <w:spacing w:beforeAutospacing="0" w:afterAutospacing="0" w:line="0" w:lineRule="atLeast"/>
      </w:pPr>
      <w:r>
        <w:t xml:space="preserve"> </w:t>
      </w:r>
      <w:r/>
    </w:p>
    <w:p>
      <w:pPr>
        <w:pStyle w:val="695"/>
        <w:jc w:val="both"/>
        <w:spacing w:beforeAutospacing="0" w:afterAutospacing="0" w:line="0" w:lineRule="atLeast"/>
      </w:pPr>
      <w:r>
        <w:t xml:space="preserve"> </w:t>
      </w:r>
      <w:r/>
    </w:p>
    <w:p>
      <w:pPr>
        <w:pStyle w:val="695"/>
        <w:jc w:val="both"/>
        <w:spacing w:beforeAutospacing="0" w:afterAutospacing="0" w:line="0" w:lineRule="atLeast"/>
      </w:pPr>
      <w:r>
        <w:t xml:space="preserve"> </w:t>
      </w:r>
      <w:r/>
    </w:p>
    <w:p>
      <w:pPr>
        <w:pStyle w:val="695"/>
        <w:jc w:val="both"/>
        <w:spacing w:beforeAutospacing="0" w:afterAutospacing="0" w:line="0" w:lineRule="atLeast"/>
      </w:pPr>
      <w:r>
        <w:t xml:space="preserve"> </w:t>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t xml:space="preserve"> </w:t>
      </w:r>
      <w:r/>
    </w:p>
    <w:p>
      <w:pPr>
        <w:pStyle w:val="695"/>
        <w:jc w:val="both"/>
        <w:spacing w:beforeAutospacing="0" w:afterAutospacing="0" w:line="0" w:lineRule="atLeast"/>
      </w:pPr>
      <w:r/>
      <w:r/>
    </w:p>
    <w:p>
      <w:pPr>
        <w:pStyle w:val="695"/>
        <w:jc w:val="both"/>
        <w:spacing w:beforeAutospacing="0" w:afterAutospacing="0" w:line="0" w:lineRule="atLeast"/>
      </w:pPr>
      <w:r/>
      <w:r/>
    </w:p>
    <w:p>
      <w:pPr>
        <w:pStyle w:val="695"/>
        <w:jc w:val="both"/>
        <w:spacing w:beforeAutospacing="0" w:afterAutospacing="0" w:line="0" w:lineRule="atLeast"/>
      </w:pPr>
      <w:r>
        <w:t xml:space="preserve"> </w:t>
      </w:r>
      <w:r/>
    </w:p>
    <w:p>
      <w:pPr>
        <w:pStyle w:val="695"/>
        <w:jc w:val="both"/>
        <w:spacing w:beforeAutospacing="0" w:afterAutospacing="0"/>
      </w:pPr>
      <w:r>
        <w:t xml:space="preserve"> </w:t>
      </w:r>
      <w:r/>
    </w:p>
    <w:p>
      <w:pPr>
        <w:pStyle w:val="695"/>
        <w:numPr>
          <w:ilvl w:val="0"/>
          <w:numId w:val="11"/>
        </w:numPr>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t xml:space="preserve">投标分项报价表（分包号：***）</w:t>
      </w:r>
      <w:r/>
    </w:p>
    <w:tbl>
      <w:tblPr>
        <w:tblW w:w="5298" w:type="pct"/>
        <w:jc w:val="center"/>
        <w:tblLook w:val="04A0" w:firstRow="1" w:lastRow="0" w:firstColumn="1" w:lastColumn="0" w:noHBand="0" w:noVBand="1"/>
      </w:tblPr>
      <w:tblGrid>
        <w:gridCol w:w="1976"/>
        <w:gridCol w:w="1167"/>
        <w:gridCol w:w="1084"/>
        <w:gridCol w:w="1513"/>
        <w:gridCol w:w="1609"/>
        <w:gridCol w:w="1681"/>
      </w:tblGrid>
      <w:tr>
        <w:trPr>
          <w:jc w:val="center"/>
          <w:trHeight w:val="1059"/>
        </w:trPr>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物品名称</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型号</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投标单价（元）</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总价</w:t>
            </w:r>
            <w:r/>
          </w:p>
          <w:p>
            <w:pPr>
              <w:jc w:val="center"/>
              <w:widowControl/>
              <w:rPr>
                <w:rFonts w:hint="eastAsia" w:ascii="宋体" w:hAnsi="宋体" w:eastAsia="宋体" w:cs="宋体"/>
                <w:sz w:val="24"/>
              </w:rPr>
            </w:pPr>
            <w:r>
              <w:rPr>
                <w:rFonts w:hint="eastAsia" w:ascii="宋体" w:hAnsi="宋体" w:eastAsia="宋体" w:cs="宋体"/>
                <w:sz w:val="24"/>
                <w:lang w:bidi="ar"/>
              </w:rPr>
              <w:t xml:space="preserve">（126万元）</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主要配置或技术参数</w:t>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重组禽流感病毒 (H5+H7) 四价灭活疫苗</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widowControl/>
              <w:rPr>
                <w:rFonts w:hint="eastAsia" w:ascii="宋体" w:hAnsi="宋体" w:eastAsia="宋体" w:cs="宋体"/>
                <w:sz w:val="24"/>
              </w:rPr>
            </w:pPr>
            <w:r>
              <w:rPr>
                <w:rFonts w:hint="eastAsia" w:ascii="宋体" w:hAnsi="宋体" w:eastAsia="宋体" w:cs="宋体"/>
                <w:sz w:val="24"/>
                <w:lang w:bidi="ar"/>
              </w:rPr>
              <w:t xml:space="preserve">100、250毫升/瓶</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元/毫升</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124.2</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农业农村部规定标准</w:t>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代理服务费（不可竞争费用）</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18000</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依据《江苏省政府采购代理服务收费指导意见》的通知（</w:t>
            </w:r>
            <w:r>
              <w:rPr>
                <w:rFonts w:hint="eastAsia" w:ascii="宋体" w:hAnsi="宋体" w:eastAsia="宋体" w:cs="宋体"/>
                <w:sz w:val="24"/>
                <w:lang w:bidi="ar"/>
              </w:rPr>
              <w:t xml:space="preserve">苏政采〔2024〕</w:t>
            </w:r>
            <w:r>
              <w:rPr>
                <w:rFonts w:hint="eastAsia" w:ascii="宋体" w:hAnsi="宋体" w:eastAsia="宋体" w:cs="宋体"/>
                <w:sz w:val="24"/>
                <w:lang w:bidi="ar"/>
              </w:rPr>
              <w:t xml:space="preserve">20号）执行</w:t>
            </w:r>
            <w:r/>
          </w:p>
        </w:tc>
      </w:tr>
      <w:tr>
        <w:trPr>
          <w:jc w:val="center"/>
          <w:trHeight w:val="142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sz w:val="24"/>
                <w:lang w:bidi="ar"/>
              </w:rPr>
            </w:pPr>
            <w:r>
              <w:rPr>
                <w:rFonts w:hint="eastAsia" w:asciiTheme="minorEastAsia" w:hAnsiTheme="minorEastAsia" w:cstheme="minorEastAsia"/>
                <w:sz w:val="24"/>
              </w:rPr>
              <w:t xml:space="preserve">本采购包中提供的符合本国产品标准的产品成本之和占该采购包提供的全部产品成本之和的比例为</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w:t>
            </w:r>
            <w:r/>
          </w:p>
        </w:tc>
      </w:tr>
    </w:tbl>
    <w:p>
      <w:pPr>
        <w:pStyle w:val="695"/>
        <w:jc w:val="both"/>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备注：</w:t>
      </w:r>
      <w:r/>
    </w:p>
    <w:p>
      <w:pPr>
        <w:pStyle w:val="695"/>
        <w:numPr>
          <w:ilvl w:val="0"/>
          <w:numId w:val="12"/>
        </w:numPr>
        <w:jc w:val="both"/>
        <w:spacing w:beforeAutospacing="0" w:afterAutospacing="0"/>
        <w:rPr>
          <w:rFonts w:hint="eastAsia" w:ascii="宋体" w:hAnsi="宋体" w:eastAsia="宋体" w:cs="宋体"/>
        </w:rPr>
      </w:pPr>
      <w:r>
        <w:rPr>
          <w:rFonts w:hint="eastAsia" w:ascii="宋体" w:hAnsi="宋体" w:eastAsia="宋体" w:cs="宋体"/>
        </w:rPr>
        <w:t xml:space="preserve">投标报价</w:t>
      </w:r>
      <w:r>
        <w:rPr>
          <w:rFonts w:hint="eastAsia" w:ascii="宋体" w:hAnsi="宋体" w:eastAsia="宋体" w:cs="宋体"/>
        </w:rPr>
        <w:t xml:space="preserve">采用总</w:t>
      </w:r>
      <w:r>
        <w:rPr>
          <w:rFonts w:hint="eastAsia" w:ascii="宋体" w:hAnsi="宋体" w:eastAsia="宋体" w:cs="宋体"/>
        </w:rPr>
        <w:t xml:space="preserve">承包方式，“投标总报价”应包括所投货物（包含与货物相关的服务）费用、安装调试费、</w:t>
      </w:r>
      <w:r>
        <w:rPr>
          <w:rFonts w:hint="eastAsia" w:ascii="宋体" w:hAnsi="宋体" w:eastAsia="宋体" w:cs="宋体"/>
        </w:rPr>
        <w:t xml:space="preserve">测试验</w:t>
      </w:r>
      <w:r>
        <w:rPr>
          <w:rFonts w:hint="eastAsia" w:ascii="宋体" w:hAnsi="宋体" w:eastAsia="宋体" w:cs="宋体"/>
        </w:rPr>
        <w:t xml:space="preserve">收费、培训费、运行维护费用、税金、国际国内运输保险、报关清关、开证、办理全套免税手续费用及其他有关的为完成本项目发生的所有费用，招标文件中另有规定的除外。</w:t>
      </w:r>
      <w:r/>
    </w:p>
    <w:p>
      <w:pPr>
        <w:pStyle w:val="695"/>
        <w:numPr>
          <w:ilvl w:val="0"/>
          <w:numId w:val="12"/>
        </w:numPr>
        <w:jc w:val="both"/>
        <w:spacing w:beforeAutospacing="0" w:afterAutospacing="0"/>
        <w:rPr>
          <w:rFonts w:hint="eastAsia" w:ascii="宋体" w:hAnsi="宋体" w:eastAsia="宋体" w:cs="宋体"/>
        </w:rPr>
      </w:pPr>
      <w:r>
        <w:rPr>
          <w:rFonts w:hint="eastAsia" w:ascii="宋体" w:hAnsi="宋体" w:eastAsia="宋体" w:cs="宋体"/>
        </w:rPr>
        <w:t xml:space="preserve">最高限价，单价最高限价0.315元/毫升，超过最高限价报价的报价无效。</w:t>
      </w:r>
      <w:r/>
    </w:p>
    <w:p>
      <w:pPr>
        <w:spacing w:line="400" w:lineRule="exact"/>
        <w:rPr>
          <w:rFonts w:hint="eastAsia" w:ascii="宋体" w:hAnsi="宋体" w:eastAsia="宋体" w:cs="宋体"/>
        </w:rPr>
      </w:pPr>
      <w:r>
        <w:rPr>
          <w:rFonts w:hint="eastAsia" w:asciiTheme="minorEastAsia" w:hAnsiTheme="minorEastAsia" w:cs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center"/>
        <w:spacing w:beforeAutospacing="0" w:afterAutospacing="0"/>
      </w:pPr>
      <w:r>
        <w:t xml:space="preserve"> </w:t>
      </w:r>
      <w:r>
        <w:rPr>
          <w:rFonts w:hint="eastAsia" w:ascii="黑体" w:hAnsi="宋体" w:eastAsia="黑体" w:cs="黑体"/>
          <w:b/>
          <w:sz w:val="32"/>
          <w:szCs w:val="32"/>
        </w:rPr>
        <w:t xml:space="preserve">十四、技术要求响应及偏离表（分包号：**）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rPr>
                <w:rFonts w:hint="eastAsia" w:ascii="宋体" w:hAnsi="宋体" w:eastAsia="宋体" w:cs="宋体"/>
              </w:rPr>
              <w:t xml:space="preserve">证明</w:t>
            </w:r>
            <w:r/>
          </w:p>
          <w:p>
            <w:pPr>
              <w:pStyle w:val="695"/>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bl>
    <w:p>
      <w:pPr>
        <w:pStyle w:val="695"/>
        <w:jc w:val="both"/>
        <w:spacing w:beforeAutospacing="0" w:afterAutospacing="0"/>
      </w:pPr>
      <w:r>
        <w:rPr>
          <w:rFonts w:hint="eastAsia" w:ascii="宋体" w:hAnsi="宋体" w:eastAsia="宋体" w:cs="宋体"/>
        </w:rPr>
        <w:t xml:space="preserve">注： 行数不够，可自行添加。</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center"/>
        <w:spacing w:beforeAutospacing="0" w:afterAutospacing="0"/>
      </w:pPr>
      <w:r/>
      <w:bookmarkStart w:id="187" w:name="_Hlt26955054"/>
      <w:r>
        <w:rPr>
          <w:rFonts w:hint="eastAsia" w:ascii="黑体" w:hAnsi="宋体" w:eastAsia="黑体" w:cs="黑体"/>
          <w:b/>
          <w:sz w:val="32"/>
          <w:szCs w:val="32"/>
        </w:rPr>
        <w:t xml:space="preserve">十五、商务要求响应及偏离表（分包号：**）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bookmarkStart w:id="188" w:name="_Hlt26671343"/>
            <w:r/>
            <w:bookmarkStart w:id="189" w:name="_Hlt26671372"/>
            <w:r/>
            <w:bookmarkStart w:id="190" w:name="_Hlt26955064"/>
            <w:r/>
            <w:bookmarkStart w:id="191" w:name="_Hlt26782999"/>
            <w:r/>
            <w:bookmarkStart w:id="192" w:name="_Hlt26580838"/>
            <w:r/>
            <w:bookmarkStart w:id="193" w:name="_Hlt26955056"/>
            <w:r/>
            <w:bookmarkStart w:id="194" w:name="_Hlt26609391"/>
            <w:r/>
            <w:bookmarkStart w:id="195" w:name="_Hlt24879081"/>
            <w:r>
              <w:rPr>
                <w:rFonts w:hint="eastAsia" w:ascii="宋体" w:hAnsi="宋体" w:eastAsia="宋体" w:cs="宋体"/>
              </w:rPr>
              <w:t xml:space="preserve">序号</w:t>
            </w:r>
            <w:bookmarkEnd w:id="188"/>
            <w:bookmarkEnd w:id="189"/>
            <w:bookmarkEnd w:id="190"/>
            <w:bookmarkEnd w:id="191"/>
            <w:bookmarkEnd w:id="192"/>
            <w:bookmarkEnd w:id="193"/>
            <w:bookmarkEnd w:id="194"/>
            <w:bookmarkEnd w:id="195"/>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rPr>
                <w:rFonts w:hint="eastAsia" w:ascii="宋体" w:hAnsi="宋体" w:eastAsia="宋体" w:cs="宋体"/>
              </w:rPr>
              <w:t xml:space="preserve">证明</w:t>
            </w:r>
            <w:r/>
          </w:p>
          <w:p>
            <w:pPr>
              <w:pStyle w:val="695"/>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pPr>
            <w:r>
              <w:t xml:space="preserve"> </w:t>
            </w:r>
            <w:r/>
          </w:p>
        </w:tc>
      </w:tr>
    </w:tbl>
    <w:p>
      <w:pPr>
        <w:pStyle w:val="695"/>
        <w:jc w:val="both"/>
        <w:spacing w:beforeAutospacing="0" w:afterAutospacing="0"/>
      </w:pPr>
      <w:r>
        <w:rPr>
          <w:rFonts w:hint="eastAsia" w:ascii="宋体" w:hAnsi="宋体" w:eastAsia="宋体" w:cs="宋体"/>
        </w:rPr>
        <w:t xml:space="preserve">注： 行数不够，可自行添加。</w:t>
      </w:r>
      <w:r/>
    </w:p>
    <w:p>
      <w:pPr>
        <w:pStyle w:val="695"/>
        <w:jc w:val="both"/>
        <w:spacing w:beforeAutospacing="0" w:afterAutospacing="0" w:line="480" w:lineRule="auto"/>
      </w:pPr>
      <w:r>
        <w:t xml:space="preserve"> </w:t>
      </w:r>
      <w:r/>
    </w:p>
    <w:p>
      <w:pPr>
        <w:pStyle w:val="695"/>
        <w:jc w:val="both"/>
        <w:spacing w:beforeAutospacing="0" w:afterAutospacing="0" w:line="480" w:lineRule="auto"/>
      </w:pPr>
      <w:r>
        <w:t xml:space="preserve"> </w:t>
      </w:r>
      <w:r/>
    </w:p>
    <w:p>
      <w:pPr>
        <w:pStyle w:val="695"/>
        <w:jc w:val="center"/>
        <w:spacing w:beforeAutospacing="0" w:afterAutospacing="0"/>
      </w:pPr>
      <w:r/>
      <w:bookmarkStart w:id="196" w:name="_格式2__法定代表人授权书"/>
      <w:r/>
      <w:bookmarkStart w:id="197" w:name="_Hlt26955066"/>
      <w:r/>
      <w:bookmarkStart w:id="198" w:name="_Toc462564146"/>
      <w:r/>
      <w:bookmarkStart w:id="199" w:name="_Hlt26671374"/>
      <w:r/>
      <w:bookmarkStart w:id="200" w:name="_Hlt26609389"/>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ind w:firstLine="2570"/>
        <w:jc w:val="both"/>
        <w:spacing w:beforeAutospacing="0" w:afterAutospacing="0"/>
      </w:pPr>
      <w:r>
        <w:rPr>
          <w:rFonts w:hint="eastAsia" w:ascii="黑体" w:hAnsi="宋体" w:eastAsia="黑体" w:cs="黑体"/>
          <w:b/>
          <w:i/>
          <w:sz w:val="32"/>
          <w:szCs w:val="32"/>
          <w:u w:val="single"/>
        </w:rPr>
        <w:t xml:space="preserve">十六、开标一览表</w:t>
      </w:r>
      <w:r/>
    </w:p>
    <w:p>
      <w:pPr>
        <w:pStyle w:val="695"/>
        <w:ind w:firstLine="480"/>
        <w:jc w:val="both"/>
        <w:spacing w:beforeAutospacing="0" w:afterAutospacing="0"/>
      </w:pPr>
      <w:r>
        <w:rPr>
          <w:rFonts w:hint="eastAsia" w:ascii="宋体" w:hAnsi="宋体" w:eastAsia="宋体" w:cs="宋体"/>
        </w:rPr>
        <w:t xml:space="preserve">投标人全称（加盖CA电子签章）：</w:t>
      </w:r>
      <w:r/>
    </w:p>
    <w:p>
      <w:pPr>
        <w:pStyle w:val="695"/>
        <w:ind w:firstLine="480"/>
        <w:jc w:val="both"/>
        <w:spacing w:beforeAutospacing="0" w:afterAutospacing="0"/>
      </w:pPr>
      <w:r>
        <w:rPr>
          <w:rFonts w:hint="eastAsia" w:ascii="宋体" w:hAnsi="宋体" w:eastAsia="宋体" w:cs="宋体"/>
        </w:rPr>
        <w:t xml:space="preserve">项目名称：</w:t>
      </w:r>
      <w:r/>
    </w:p>
    <w:p>
      <w:pPr>
        <w:pStyle w:val="695"/>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  </w:t>
      </w:r>
      <w:r/>
    </w:p>
    <w:p>
      <w:pPr>
        <w:pStyle w:val="695"/>
        <w:ind w:firstLine="480"/>
        <w:jc w:val="both"/>
        <w:spacing w:beforeAutospacing="0" w:afterAutospacing="0"/>
      </w:pPr>
      <w:r>
        <w:rPr>
          <w:rFonts w:hint="eastAsia" w:ascii="宋体" w:hAnsi="宋体" w:eastAsia="宋体" w:cs="宋体"/>
        </w:rPr>
        <w:t xml:space="preserve">分包号：</w:t>
      </w:r>
      <w:r/>
    </w:p>
    <w:tbl>
      <w:tblPr>
        <w:tblW w:w="8414" w:type="dxa"/>
        <w:tblCellSpacing w:w="0" w:type="dxa"/>
        <w:tblInd w:w="118" w:type="dxa"/>
        <w:tblLayout w:type="fixed"/>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95"/>
              <w:jc w:val="center"/>
              <w:spacing w:beforeAutospacing="0" w:afterAutospacing="0"/>
            </w:pPr>
            <w:r>
              <w:rPr>
                <w:rFonts w:hint="eastAsia" w:ascii="宋体" w:hAnsi="宋体" w:eastAsia="宋体" w:cs="宋体"/>
              </w:rPr>
              <w:t xml:space="preserve">投标单价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95"/>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rPr>
                <w:rFonts w:hint="eastAsia" w:ascii="宋体" w:hAnsi="宋体" w:eastAsia="宋体" w:cs="宋体"/>
                <w:u w:val="single"/>
              </w:rPr>
              <w:t xml:space="preserve">                        </w:t>
            </w:r>
            <w:r>
              <w:rPr>
                <w:rFonts w:hint="eastAsia" w:ascii="宋体" w:hAnsi="宋体" w:eastAsia="宋体" w:cs="宋体"/>
              </w:rPr>
              <w:t xml:space="preserve"> </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95"/>
              <w:spacing w:beforeAutospacing="0" w:afterAutospacing="0" w:line="0" w:lineRule="atLeast"/>
            </w:pPr>
            <w:r>
              <w:rPr>
                <w:rFonts w:hint="eastAsia" w:ascii="宋体" w:hAnsi="宋体" w:eastAsia="宋体" w:cs="宋体"/>
              </w:rPr>
              <w:t xml:space="preserve">小写：</w:t>
            </w:r>
            <w:r>
              <w:rPr>
                <w:rFonts w:hint="eastAsia" w:ascii="宋体" w:hAnsi="宋体" w:eastAsia="宋体" w:cs="宋体"/>
                <w:u w:val="single"/>
              </w:rPr>
              <w:t xml:space="preserve">                       </w:t>
            </w:r>
            <w:r>
              <w:rPr>
                <w:rFonts w:hint="eastAsia" w:ascii="宋体" w:hAnsi="宋体" w:eastAsia="宋体" w:cs="宋体"/>
              </w:rPr>
              <w:t xml:space="preserve">  （人民币：元/毫升）</w:t>
            </w:r>
            <w:r/>
          </w:p>
        </w:tc>
      </w:tr>
    </w:tbl>
    <w:p>
      <w:pPr>
        <w:pStyle w:val="695"/>
        <w:jc w:val="both"/>
        <w:spacing w:beforeAutospacing="0" w:afterAutospacing="0"/>
      </w:pPr>
      <w:r>
        <w:t xml:space="preserve"> </w:t>
      </w:r>
      <w:r/>
    </w:p>
    <w:p>
      <w:pPr>
        <w:pStyle w:val="695"/>
        <w:ind w:firstLine="480"/>
        <w:jc w:val="both"/>
        <w:spacing w:beforeAutospacing="0" w:afterAutospacing="0"/>
        <w:rPr>
          <w:rFonts w:hint="eastAsia" w:ascii="宋体" w:hAnsi="宋体" w:eastAsia="宋体" w:cs="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95"/>
        <w:ind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695"/>
        <w:jc w:val="both"/>
        <w:spacing w:beforeAutospacing="0" w:afterAutospacing="0"/>
        <w:rPr>
          <w:rFonts w:hint="eastAsia" w:ascii="宋体" w:hAnsi="宋体" w:eastAsia="宋体" w:cs="宋体"/>
        </w:rPr>
      </w:pPr>
      <w:r>
        <w:rPr>
          <w:rFonts w:hint="eastAsia" w:ascii="宋体" w:hAnsi="宋体" w:eastAsia="宋体" w:cs="宋体"/>
        </w:rPr>
      </w:r>
      <w:r/>
    </w:p>
    <w:p>
      <w:pPr>
        <w:pStyle w:val="695"/>
        <w:jc w:val="both"/>
        <w:spacing w:beforeAutospacing="0" w:afterAutospacing="0"/>
        <w:rPr>
          <w:rFonts w:hint="eastAsia" w:ascii="宋体" w:hAnsi="宋体" w:eastAsia="宋体" w:cs="宋体"/>
          <w:i/>
          <w:iCs/>
        </w:rPr>
      </w:pPr>
      <w:r>
        <w:rPr>
          <w:rFonts w:hint="eastAsia" w:ascii="宋体" w:hAnsi="宋体" w:eastAsia="宋体" w:cs="宋体"/>
          <w:i/>
          <w:iCs/>
        </w:rPr>
        <w:t xml:space="preserve">注：最高限价，单价最高限价0.315元/毫升，超过最高限价报价的报价无效，</w:t>
      </w:r>
      <w:r>
        <w:rPr>
          <w:rFonts w:hint="eastAsia" w:ascii="宋体" w:hAnsi="宋体" w:eastAsia="宋体" w:cs="宋体"/>
          <w:i/>
          <w:iCs/>
        </w:rPr>
        <w:t xml:space="preserve">废标处理</w:t>
      </w:r>
      <w:r>
        <w:rPr>
          <w:rFonts w:hint="eastAsia" w:ascii="宋体" w:hAnsi="宋体" w:eastAsia="宋体" w:cs="宋体"/>
          <w:i/>
          <w:iCs/>
        </w:rPr>
        <w:t xml:space="preserve">。</w:t>
      </w:r>
      <w:r/>
    </w:p>
    <w:p>
      <w:pPr>
        <w:pStyle w:val="695"/>
        <w:jc w:val="both"/>
        <w:spacing w:beforeAutospacing="0" w:afterAutospacing="0"/>
        <w:rPr>
          <w:rFonts w:hint="eastAsia" w:ascii="宋体" w:hAnsi="宋体" w:eastAsia="宋体" w:cs="宋体"/>
        </w:rPr>
      </w:pPr>
      <w:r>
        <w:rPr>
          <w:rFonts w:hint="eastAsia" w:ascii="宋体" w:hAnsi="宋体" w:eastAsia="宋体" w:cs="宋体"/>
        </w:rPr>
      </w:r>
      <w:r/>
    </w:p>
    <w:p>
      <w:pPr>
        <w:pStyle w:val="695"/>
        <w:ind w:firstLine="480"/>
        <w:jc w:val="both"/>
        <w:spacing w:beforeAutospacing="0" w:afterAutospacing="0"/>
      </w:pPr>
      <w:r>
        <w:t xml:space="preserve"> </w:t>
      </w:r>
      <w:r/>
    </w:p>
    <w:p>
      <w:pPr>
        <w:pStyle w:val="695"/>
        <w:ind w:firstLine="480"/>
        <w:jc w:val="both"/>
        <w:spacing w:beforeAutospacing="0" w:afterAutospacing="0"/>
      </w:pPr>
      <w:r>
        <w:t xml:space="preserve"> </w:t>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t xml:space="preserve"> </w:t>
      </w:r>
      <w:r/>
    </w:p>
    <w:p>
      <w:pPr>
        <w:pStyle w:val="695"/>
        <w:ind w:firstLine="480"/>
        <w:jc w:val="both"/>
        <w:spacing w:beforeAutospacing="0" w:afterAutospacing="0"/>
      </w:pPr>
      <w:r>
        <w:t xml:space="preserve"> </w:t>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jc w:val="center"/>
        <w:spacing w:before="50" w:after="50"/>
        <w:widowControl/>
        <w:rPr>
          <w:rFonts w:hint="eastAsia" w:ascii="宋体" w:hAnsi="宋体" w:eastAsia="宋体" w:cs="宋体"/>
          <w:sz w:val="24"/>
        </w:rPr>
      </w:pPr>
      <w:r>
        <w:tab/>
      </w:r>
      <w:r>
        <w:rPr>
          <w:rFonts w:hint="eastAsia" w:ascii="宋体" w:hAnsi="宋体" w:eastAsia="宋体" w:cs="宋体"/>
          <w:sz w:val="32"/>
          <w:szCs w:val="32"/>
        </w:rPr>
        <w:t xml:space="preserve">十七、技术方案、服务承诺、培训承诺等</w:t>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十八、盐城市政府采购事前信用承诺书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695"/>
        <w:jc w:val="center"/>
        <w:spacing w:beforeAutospacing="0" w:afterAutospacing="0"/>
      </w:pPr>
      <w:r/>
      <w:bookmarkEnd w:id="6"/>
      <w:bookmarkEnd w:id="49"/>
      <w:bookmarkEnd w:id="96"/>
      <w:bookmarkEnd w:id="97"/>
      <w:bookmarkEnd w:id="98"/>
      <w:bookmarkEnd w:id="99"/>
      <w:bookmarkEnd w:id="100"/>
      <w:bookmarkEnd w:id="101"/>
      <w:bookmarkEnd w:id="102"/>
      <w:bookmarkEnd w:id="103"/>
      <w:bookmarkEnd w:id="112"/>
      <w:bookmarkEnd w:id="113"/>
      <w:bookmarkEnd w:id="120"/>
      <w:bookmarkEnd w:id="167"/>
      <w:bookmarkEnd w:id="176"/>
      <w:bookmarkEnd w:id="180"/>
      <w:bookmarkEnd w:id="181"/>
      <w:bookmarkEnd w:id="182"/>
      <w:bookmarkEnd w:id="183"/>
      <w:bookmarkEnd w:id="184"/>
      <w:bookmarkEnd w:id="185"/>
      <w:bookmarkEnd w:id="186"/>
      <w:bookmarkEnd w:id="187"/>
      <w:bookmarkEnd w:id="196"/>
      <w:bookmarkEnd w:id="197"/>
      <w:bookmarkEnd w:id="198"/>
      <w:bookmarkEnd w:id="199"/>
      <w:bookmarkEnd w:id="200"/>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95"/>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95"/>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w:t>
      </w:r>
      <w:r>
        <w:rPr>
          <w:rFonts w:hint="eastAsia" w:ascii="宋体" w:hAnsi="宋体" w:eastAsia="宋体" w:cs="宋体"/>
        </w:rPr>
        <w:t xml:space="preserve">质疑函应由</w:t>
      </w:r>
      <w:r>
        <w:rPr>
          <w:rFonts w:hint="eastAsia" w:ascii="宋体" w:hAnsi="宋体" w:eastAsia="宋体" w:cs="宋体"/>
        </w:rPr>
        <w:t xml:space="preserve">本人签字；质疑供应商为法人或者其他组织的，</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695"/>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
  </w:num>
  <w:num w:numId="4">
    <w:abstractNumId w:val="2"/>
  </w:num>
  <w:num w:numId="5">
    <w:abstractNumId w:val="11"/>
  </w:num>
  <w:num w:numId="6">
    <w:abstractNumId w:val="4"/>
    <w:lvlOverride w:ilvl="0">
      <w:startOverride w:val="2"/>
    </w:lvlOverride>
  </w:num>
  <w:num w:numId="7">
    <w:abstractNumId w:val="3"/>
    <w:lvlOverride w:ilvl="0">
      <w:startOverride w:val="6"/>
    </w:lvlOverride>
  </w:num>
  <w:num w:numId="8">
    <w:abstractNumId w:val="0"/>
    <w:lvlOverride w:ilvl="0">
      <w:startOverride w:val="16"/>
    </w:lvlOverride>
  </w:num>
  <w:num w:numId="9">
    <w:abstractNumId w:val="5"/>
    <w:lvlOverride w:ilvl="0">
      <w:startOverride w:val="23"/>
    </w:lvlOverride>
  </w:num>
  <w:num w:numId="10">
    <w:abstractNumId w:val="8"/>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7"/>
    <w:link w:val="12"/>
    <w:uiPriority w:val="9"/>
    <w:rPr>
      <w:rFonts w:ascii="Arial" w:hAnsi="Arial" w:eastAsia="Arial" w:cs="Arial"/>
      <w:sz w:val="40"/>
      <w:szCs w:val="40"/>
    </w:rPr>
  </w:style>
  <w:style w:type="character" w:styleId="15">
    <w:name w:val="Heading 2 Char"/>
    <w:basedOn w:val="687"/>
    <w:link w:val="684"/>
    <w:uiPriority w:val="9"/>
    <w:rPr>
      <w:rFonts w:ascii="Arial" w:hAnsi="Arial" w:eastAsia="Arial" w:cs="Arial"/>
      <w:sz w:val="34"/>
    </w:rPr>
  </w:style>
  <w:style w:type="character" w:styleId="17">
    <w:name w:val="Heading 3 Char"/>
    <w:basedOn w:val="687"/>
    <w:link w:val="685"/>
    <w:uiPriority w:val="9"/>
    <w:rPr>
      <w:rFonts w:ascii="Arial" w:hAnsi="Arial" w:eastAsia="Arial" w:cs="Arial"/>
      <w:sz w:val="30"/>
      <w:szCs w:val="30"/>
    </w:rPr>
  </w:style>
  <w:style w:type="character" w:styleId="19">
    <w:name w:val="Heading 4 Char"/>
    <w:basedOn w:val="687"/>
    <w:link w:val="686"/>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7"/>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7"/>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7"/>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7"/>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7"/>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7"/>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7"/>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7"/>
    <w:link w:val="694"/>
    <w:uiPriority w:val="99"/>
  </w:style>
  <w:style w:type="character" w:styleId="44">
    <w:name w:val="Footer Char"/>
    <w:basedOn w:val="687"/>
    <w:link w:val="693"/>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7">
    <w:name w:val="Table Grid"/>
    <w:basedOn w:val="6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7"/>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qFormat/>
    <w:pPr>
      <w:jc w:val="both"/>
      <w:widowControl w:val="off"/>
    </w:pPr>
    <w:rPr>
      <w:rFonts w:asciiTheme="minorHAnsi" w:hAnsiTheme="minorHAnsi" w:eastAsiaTheme="minorEastAsia" w:cstheme="minorBidi"/>
      <w:sz w:val="21"/>
      <w:szCs w:val="24"/>
    </w:rPr>
  </w:style>
  <w:style w:type="paragraph" w:styleId="684">
    <w:name w:val="Heading 2"/>
    <w:basedOn w:val="683"/>
    <w:next w:val="683"/>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85">
    <w:name w:val="Heading 3"/>
    <w:basedOn w:val="683"/>
    <w:next w:val="683"/>
    <w:semiHidden/>
    <w:unhideWhenUsed/>
    <w:qFormat/>
    <w:pPr>
      <w:jc w:val="left"/>
      <w:spacing w:beforeAutospacing="1" w:afterAutospacing="1"/>
      <w:outlineLvl w:val="2"/>
    </w:pPr>
    <w:rPr>
      <w:rFonts w:hint="eastAsia" w:ascii="宋体" w:hAnsi="宋体" w:eastAsia="宋体" w:cs="Times New Roman"/>
      <w:b/>
      <w:bCs/>
      <w:sz w:val="27"/>
      <w:szCs w:val="27"/>
    </w:rPr>
  </w:style>
  <w:style w:type="paragraph" w:styleId="686">
    <w:name w:val="Heading 4"/>
    <w:basedOn w:val="683"/>
    <w:next w:val="683"/>
    <w:semiHidden/>
    <w:unhideWhenUsed/>
    <w:qFormat/>
    <w:pPr>
      <w:jc w:val="left"/>
      <w:spacing w:beforeAutospacing="1" w:afterAutospacing="1"/>
      <w:outlineLvl w:val="3"/>
    </w:pPr>
    <w:rPr>
      <w:rFonts w:hint="eastAsia" w:ascii="宋体" w:hAnsi="宋体" w:eastAsia="宋体" w:cs="Times New Roman"/>
      <w:b/>
      <w:bCs/>
      <w:sz w:val="24"/>
    </w:rPr>
  </w:style>
  <w:style w:type="character" w:styleId="687" w:default="1">
    <w:name w:val="Default Paragraph Font"/>
    <w:uiPriority w:val="1"/>
    <w:semiHidden/>
    <w:unhideWhenUsed/>
  </w:style>
  <w:style w:type="table" w:styleId="688" w:default="1">
    <w:name w:val="Normal Table"/>
    <w:uiPriority w:val="99"/>
    <w:semiHidden/>
    <w:unhideWhenUsed/>
    <w:tblPr>
      <w:tblInd w:w="0" w:type="dxa"/>
      <w:tblCellMar>
        <w:left w:w="108" w:type="dxa"/>
        <w:top w:w="0" w:type="dxa"/>
        <w:right w:w="108" w:type="dxa"/>
        <w:bottom w:w="0" w:type="dxa"/>
      </w:tblCellMar>
    </w:tblPr>
  </w:style>
  <w:style w:type="numbering" w:styleId="689" w:default="1">
    <w:name w:val="No List"/>
    <w:uiPriority w:val="99"/>
    <w:semiHidden/>
    <w:unhideWhenUsed/>
  </w:style>
  <w:style w:type="paragraph" w:styleId="690">
    <w:name w:val="annotation text"/>
    <w:basedOn w:val="683"/>
    <w:qFormat/>
    <w:pPr>
      <w:jc w:val="left"/>
    </w:pPr>
  </w:style>
  <w:style w:type="paragraph" w:styleId="691">
    <w:name w:val="Body Text"/>
    <w:basedOn w:val="683"/>
    <w:unhideWhenUsed/>
    <w:qFormat/>
    <w:pPr>
      <w:spacing w:after="120"/>
    </w:pPr>
    <w:rPr>
      <w:rFonts w:ascii="Calibri" w:hAnsi="Calibri"/>
      <w:szCs w:val="22"/>
    </w:rPr>
  </w:style>
  <w:style w:type="paragraph" w:styleId="692">
    <w:name w:val="Plain Text"/>
    <w:basedOn w:val="683"/>
    <w:unhideWhenUsed/>
    <w:qFormat/>
    <w:rPr>
      <w:rFonts w:ascii="宋体" w:hAnsi="Courier New" w:cs="Courier New"/>
      <w:szCs w:val="21"/>
    </w:rPr>
  </w:style>
  <w:style w:type="paragraph" w:styleId="693">
    <w:name w:val="Footer"/>
    <w:basedOn w:val="683"/>
    <w:link w:val="700"/>
    <w:qFormat/>
    <w:pPr>
      <w:jc w:val="left"/>
      <w:tabs>
        <w:tab w:val="center" w:pos="4153" w:leader="none"/>
        <w:tab w:val="right" w:pos="8306" w:leader="none"/>
      </w:tabs>
    </w:pPr>
    <w:rPr>
      <w:sz w:val="18"/>
      <w:szCs w:val="18"/>
    </w:rPr>
  </w:style>
  <w:style w:type="paragraph" w:styleId="694">
    <w:name w:val="Header"/>
    <w:basedOn w:val="683"/>
    <w:link w:val="699"/>
    <w:qFormat/>
    <w:pPr>
      <w:jc w:val="center"/>
      <w:tabs>
        <w:tab w:val="center" w:pos="4153" w:leader="none"/>
        <w:tab w:val="right" w:pos="8306" w:leader="none"/>
      </w:tabs>
      <w:pBdr>
        <w:bottom w:val="single" w:color="auto" w:sz="6" w:space="1"/>
      </w:pBdr>
    </w:pPr>
    <w:rPr>
      <w:sz w:val="18"/>
      <w:szCs w:val="18"/>
    </w:rPr>
  </w:style>
  <w:style w:type="paragraph" w:styleId="695">
    <w:name w:val="Normal (Web)"/>
    <w:basedOn w:val="683"/>
    <w:qFormat/>
    <w:pPr>
      <w:jc w:val="left"/>
      <w:spacing w:beforeAutospacing="1" w:afterAutospacing="1"/>
    </w:pPr>
    <w:rPr>
      <w:rFonts w:cs="Times New Roman"/>
      <w:sz w:val="24"/>
    </w:rPr>
  </w:style>
  <w:style w:type="character" w:styleId="696">
    <w:name w:val="Strong"/>
    <w:basedOn w:val="687"/>
    <w:qFormat/>
    <w:rPr>
      <w:b/>
    </w:rPr>
  </w:style>
  <w:style w:type="character" w:styleId="697">
    <w:name w:val="Emphasis"/>
    <w:qFormat/>
    <w:rPr>
      <w:i/>
    </w:rPr>
  </w:style>
  <w:style w:type="paragraph" w:styleId="698" w:customStyle="1">
    <w:name w:val="Default"/>
    <w:basedOn w:val="683"/>
    <w:semiHidden/>
    <w:qFormat/>
    <w:pPr>
      <w:jc w:val="left"/>
    </w:pPr>
    <w:rPr>
      <w:rFonts w:ascii="宋体" w:hAnsi="Calibri" w:cs="宋体"/>
      <w:color w:val="000000"/>
      <w:sz w:val="24"/>
    </w:rPr>
  </w:style>
  <w:style w:type="character" w:styleId="699" w:customStyle="1">
    <w:name w:val="页眉 字符"/>
    <w:basedOn w:val="687"/>
    <w:link w:val="694"/>
    <w:qFormat/>
    <w:rPr>
      <w:rFonts w:asciiTheme="minorHAnsi" w:hAnsiTheme="minorHAnsi" w:eastAsiaTheme="minorEastAsia" w:cstheme="minorBidi"/>
      <w:sz w:val="18"/>
      <w:szCs w:val="18"/>
    </w:rPr>
  </w:style>
  <w:style w:type="character" w:styleId="700" w:customStyle="1">
    <w:name w:val="页脚 字符"/>
    <w:basedOn w:val="687"/>
    <w:link w:val="693"/>
    <w:qFormat/>
    <w:rPr>
      <w:rFonts w:asciiTheme="minorHAnsi" w:hAnsiTheme="minorHAnsi" w:eastAsiaTheme="minorEastAsia" w:cstheme="minorBidi"/>
      <w:sz w:val="18"/>
      <w:szCs w:val="18"/>
    </w:rPr>
  </w:style>
  <w:style w:type="paragraph" w:styleId="701" w:customStyle="1">
    <w:name w:val="AONormal"/>
    <w:qFormat/>
    <w:pPr>
      <w:ind w:firstLine="440"/>
      <w:spacing w:line="400" w:lineRule="exact"/>
    </w:pPr>
    <w:rPr>
      <w:rFonts w:ascii="华文楷体" w:hAnsi="华文楷体" w:eastAsia="华文楷体" w:cs="华文楷体"/>
      <w:sz w:val="22"/>
      <w:szCs w:val="21"/>
    </w:rPr>
  </w:style>
  <w:style w:type="paragraph" w:styleId="702" w:customStyle="1">
    <w:name w:val="页脚1"/>
    <w:basedOn w:val="683"/>
    <w:uiPriority w:val="99"/>
    <w:unhideWhenUsed/>
    <w:qFormat/>
    <w:pPr>
      <w:jc w:val="left"/>
      <w:tabs>
        <w:tab w:val="center" w:pos="4153" w:leader="none"/>
        <w:tab w:val="right" w:pos="8306" w:leader="none"/>
      </w:tabs>
    </w:pPr>
    <w:rPr>
      <w:sz w:val="18"/>
      <w:szCs w:val="18"/>
    </w:rPr>
  </w:style>
  <w:style w:type="paragraph" w:styleId="703" w:customStyle="1">
    <w:name w:val="普通正文"/>
    <w:basedOn w:val="683"/>
    <w:qFormat/>
    <w:pPr>
      <w:ind w:firstLine="480"/>
      <w:jc w:val="left"/>
      <w:spacing w:before="120" w:after="120" w:line="360" w:lineRule="auto"/>
    </w:pPr>
    <w:rPr>
      <w:rFonts w:ascii="Arial" w:hAnsi="Arial" w:eastAsia="等线" w:cs="Arial"/>
      <w:sz w:val="24"/>
    </w:rPr>
  </w:style>
  <w:style w:type="paragraph" w:styleId="704" w:customStyle="1">
    <w:name w:val="正文首行缩进 21"/>
    <w:basedOn w:val="705"/>
    <w:qFormat/>
    <w:pPr>
      <w:ind w:firstLine="420"/>
    </w:pPr>
  </w:style>
  <w:style w:type="paragraph" w:styleId="705" w:customStyle="1">
    <w:name w:val="正文文本缩进1"/>
    <w:basedOn w:val="683"/>
    <w:qFormat/>
    <w:pPr>
      <w:ind w:left="420"/>
      <w:spacing w:after="120"/>
    </w:pPr>
  </w:style>
  <w:style w:type="character" w:styleId="706" w:customStyle="1">
    <w:name w:val="font41"/>
    <w:basedOn w:val="687"/>
    <w:qFormat/>
    <w:rPr>
      <w:rFonts w:hint="eastAsia" w:ascii="宋体" w:hAnsi="宋体" w:eastAsia="宋体" w:cs="宋体"/>
      <w:color w:val="0000ff"/>
      <w:sz w:val="21"/>
      <w:szCs w:val="21"/>
      <w:u w:val="none"/>
    </w:rPr>
  </w:style>
  <w:style w:type="character" w:styleId="707" w:customStyle="1">
    <w:name w:val="font11"/>
    <w:basedOn w:val="687"/>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8</cp:revision>
  <dcterms:created xsi:type="dcterms:W3CDTF">2014-10-29T12:08:00Z</dcterms:created>
  <dcterms:modified xsi:type="dcterms:W3CDTF">2026-04-22T01:39:55Z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710ED99FADC74D19B25E6D186C5AE4D1_13</vt:lpwstr>
  </property>
  <property fmtid="{D5CDD505-2E9C-101B-9397-08002B2CF9AE}" pid="4" name="KSOTemplateDocerSaveRecord">
    <vt:lpwstr>eyJoZGlkIjoiMjU0NzQ2YzAyN2QxOWYzODJjODhlMjEyZWM0NTBmZWIiLCJ1c2VySWQiOiIyNTg2MjM1MDcifQ==</vt:lpwstr>
  </property>
</Properties>
</file>