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1F20B">
      <w:pPr>
        <w:widowControl w:val="0"/>
        <w:spacing w:before="120" w:beforeAutospacing="0" w:after="12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0B1BBF3D">
      <w:pPr>
        <w:widowControl w:val="0"/>
        <w:spacing w:before="120" w:beforeAutospacing="0" w:after="120" w:afterAutospacing="0" w:line="360" w:lineRule="auto"/>
        <w:jc w:val="center"/>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b/>
          <w:color w:val="auto"/>
          <w:kern w:val="0"/>
          <w:sz w:val="84"/>
          <w:szCs w:val="84"/>
          <w:highlight w:val="none"/>
          <w:lang w:val="en-US" w:eastAsia="zh-CN" w:bidi="ar-SA"/>
        </w:rPr>
        <w:t>招 标 文 件</w:t>
      </w:r>
    </w:p>
    <w:p w14:paraId="236D250C">
      <w:pPr>
        <w:widowControl w:val="0"/>
        <w:spacing w:before="120" w:beforeAutospacing="0" w:after="120" w:afterAutospacing="0" w:line="360" w:lineRule="auto"/>
        <w:jc w:val="left"/>
        <w:rPr>
          <w:rFonts w:hint="default" w:ascii="Times New Roman" w:hAnsi="Times New Roman" w:cs="Times New Roman" w:eastAsiaTheme="minorEastAsia"/>
          <w:b/>
          <w:color w:val="auto"/>
          <w:kern w:val="0"/>
          <w:sz w:val="32"/>
          <w:szCs w:val="32"/>
          <w:highlight w:val="none"/>
          <w:lang w:val="en-US" w:eastAsia="zh-CN" w:bidi="ar-SA"/>
        </w:rPr>
      </w:pPr>
    </w:p>
    <w:p w14:paraId="4DE66F96">
      <w:pPr>
        <w:widowControl w:val="0"/>
        <w:spacing w:before="120" w:beforeAutospacing="0" w:after="120" w:afterAutospacing="0" w:line="360" w:lineRule="auto"/>
        <w:jc w:val="left"/>
        <w:rPr>
          <w:rFonts w:hint="default" w:ascii="Times New Roman" w:hAnsi="Times New Roman" w:cs="Times New Roman" w:eastAsiaTheme="minorEastAsia"/>
          <w:b/>
          <w:color w:val="auto"/>
          <w:kern w:val="0"/>
          <w:sz w:val="32"/>
          <w:szCs w:val="32"/>
          <w:highlight w:val="none"/>
          <w:lang w:val="en-US" w:eastAsia="zh-CN" w:bidi="ar-SA"/>
        </w:rPr>
      </w:pPr>
    </w:p>
    <w:p w14:paraId="629BD9D1">
      <w:pPr>
        <w:widowControl w:val="0"/>
        <w:spacing w:before="120" w:beforeAutospacing="0" w:after="120" w:afterAutospacing="0" w:line="360" w:lineRule="auto"/>
        <w:jc w:val="center"/>
        <w:rPr>
          <w:rFonts w:hint="eastAsia" w:ascii="Times New Roman" w:hAnsi="Times New Roman" w:cs="Times New Roman" w:eastAsiaTheme="minorEastAsia"/>
          <w:b/>
          <w:color w:val="auto"/>
          <w:kern w:val="0"/>
          <w:sz w:val="32"/>
          <w:szCs w:val="32"/>
          <w:highlight w:val="none"/>
          <w:lang w:val="en-US" w:eastAsia="zh-CN" w:bidi="ar-SA"/>
        </w:rPr>
      </w:pPr>
      <w:r>
        <w:rPr>
          <w:rFonts w:hint="default" w:ascii="Times New Roman" w:hAnsi="Times New Roman" w:cs="Times New Roman" w:eastAsiaTheme="minorEastAsia"/>
          <w:b/>
          <w:color w:val="auto"/>
          <w:kern w:val="0"/>
          <w:sz w:val="32"/>
          <w:szCs w:val="32"/>
          <w:highlight w:val="none"/>
          <w:lang w:val="en-US" w:eastAsia="zh-CN" w:bidi="ar-SA"/>
        </w:rPr>
        <w:t>项目名称：</w:t>
      </w:r>
      <w:r>
        <w:rPr>
          <w:rFonts w:hint="eastAsia" w:ascii="Times New Roman" w:hAnsi="Times New Roman" w:cs="Times New Roman" w:eastAsiaTheme="minorEastAsia"/>
          <w:b/>
          <w:color w:val="auto"/>
          <w:kern w:val="0"/>
          <w:sz w:val="32"/>
          <w:szCs w:val="32"/>
          <w:highlight w:val="none"/>
          <w:lang w:val="en-US" w:eastAsia="zh-CN" w:bidi="ar-SA"/>
        </w:rPr>
        <w:t>盐都区2026年城市体检及城市更新</w:t>
      </w:r>
      <w:r>
        <w:rPr>
          <w:rFonts w:hint="eastAsia" w:ascii="Times New Roman" w:hAnsi="Times New Roman" w:cs="Times New Roman"/>
          <w:b/>
          <w:color w:val="auto"/>
          <w:kern w:val="0"/>
          <w:sz w:val="32"/>
          <w:szCs w:val="32"/>
          <w:highlight w:val="none"/>
          <w:lang w:val="en-US" w:eastAsia="zh-CN" w:bidi="ar-SA"/>
        </w:rPr>
        <w:t>行动方案</w:t>
      </w:r>
      <w:r>
        <w:rPr>
          <w:rFonts w:hint="eastAsia" w:ascii="Times New Roman" w:hAnsi="Times New Roman" w:cs="Times New Roman"/>
          <w:b/>
          <w:color w:val="auto"/>
          <w:kern w:val="0"/>
          <w:sz w:val="32"/>
          <w:szCs w:val="32"/>
          <w:highlight w:val="none"/>
          <w:lang w:val="en-US" w:eastAsia="zh-CN" w:bidi="ar-SA"/>
        </w:rPr>
        <w:br w:type="textWrapping"/>
      </w:r>
      <w:r>
        <w:rPr>
          <w:rFonts w:hint="eastAsia" w:ascii="Times New Roman" w:hAnsi="Times New Roman" w:cs="Times New Roman" w:eastAsiaTheme="minorEastAsia"/>
          <w:b/>
          <w:color w:val="auto"/>
          <w:kern w:val="0"/>
          <w:sz w:val="32"/>
          <w:szCs w:val="32"/>
          <w:highlight w:val="none"/>
          <w:lang w:val="en-US" w:eastAsia="zh-CN" w:bidi="ar-SA"/>
        </w:rPr>
        <w:t>编制服务项目</w:t>
      </w:r>
    </w:p>
    <w:p w14:paraId="42CCDC3F">
      <w:pPr>
        <w:widowControl w:val="0"/>
        <w:spacing w:before="120" w:beforeAutospacing="0" w:after="120" w:afterAutospacing="0" w:line="360" w:lineRule="auto"/>
        <w:jc w:val="center"/>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b/>
          <w:color w:val="auto"/>
          <w:kern w:val="0"/>
          <w:sz w:val="32"/>
          <w:szCs w:val="32"/>
          <w:highlight w:val="none"/>
          <w:lang w:val="en-US" w:eastAsia="zh-CN" w:bidi="ar-SA"/>
        </w:rPr>
        <w:t>项目编号：</w:t>
      </w:r>
      <w:r>
        <w:rPr>
          <w:rFonts w:hint="eastAsia" w:ascii="Times New Roman" w:hAnsi="Times New Roman" w:cs="Times New Roman"/>
          <w:b/>
          <w:color w:val="auto"/>
          <w:kern w:val="0"/>
          <w:sz w:val="32"/>
          <w:szCs w:val="32"/>
          <w:highlight w:val="none"/>
          <w:lang w:val="en-US" w:eastAsia="zh-CN" w:bidi="ar-SA"/>
        </w:rPr>
        <w:t>JSZC-320903-RJXM-G2026-0001</w:t>
      </w:r>
    </w:p>
    <w:p w14:paraId="2A9C023F">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5F821CF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04D37AC7">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46823A34">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19A9AE4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146680F3">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E92809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2F88F3BC">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49BED174">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01A26219">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A0454AF">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47D4CD7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FA49D73">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0E9C528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273F743">
      <w:pPr>
        <w:widowControl w:val="0"/>
        <w:spacing w:before="120" w:beforeAutospacing="0" w:after="120" w:afterAutospacing="0" w:line="360" w:lineRule="auto"/>
        <w:jc w:val="center"/>
        <w:rPr>
          <w:rFonts w:hint="default" w:ascii="Times New Roman" w:hAnsi="Times New Roman" w:cs="Times New Roman" w:eastAsiaTheme="minorEastAsia"/>
          <w:b/>
          <w:bCs w:val="0"/>
          <w:color w:val="auto"/>
          <w:kern w:val="0"/>
          <w:sz w:val="32"/>
          <w:szCs w:val="32"/>
          <w:highlight w:val="none"/>
          <w:lang w:val="en-US" w:eastAsia="zh-CN" w:bidi="ar-SA"/>
        </w:rPr>
      </w:pPr>
      <w:r>
        <w:rPr>
          <w:rFonts w:hint="eastAsia" w:ascii="Times New Roman" w:hAnsi="Times New Roman" w:cs="Times New Roman"/>
          <w:b/>
          <w:bCs w:val="0"/>
          <w:color w:val="auto"/>
          <w:kern w:val="0"/>
          <w:sz w:val="32"/>
          <w:szCs w:val="32"/>
          <w:highlight w:val="none"/>
          <w:lang w:val="en-US" w:eastAsia="zh-CN" w:bidi="ar-SA"/>
        </w:rPr>
        <w:t>盐城市盐都区住房和城乡建设局</w:t>
      </w:r>
    </w:p>
    <w:p w14:paraId="4617D305">
      <w:pPr>
        <w:widowControl w:val="0"/>
        <w:spacing w:before="120" w:beforeAutospacing="0" w:after="120" w:afterAutospacing="0" w:line="360" w:lineRule="auto"/>
        <w:jc w:val="center"/>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b/>
          <w:bCs w:val="0"/>
          <w:color w:val="auto"/>
          <w:kern w:val="0"/>
          <w:sz w:val="32"/>
          <w:szCs w:val="32"/>
          <w:highlight w:val="none"/>
          <w:lang w:val="en-US" w:eastAsia="zh-CN" w:bidi="ar-SA"/>
        </w:rPr>
        <w:t>2026年</w:t>
      </w:r>
      <w:r>
        <w:rPr>
          <w:rFonts w:hint="eastAsia" w:ascii="Times New Roman" w:hAnsi="Times New Roman" w:cs="Times New Roman"/>
          <w:b/>
          <w:bCs w:val="0"/>
          <w:color w:val="auto"/>
          <w:kern w:val="0"/>
          <w:sz w:val="32"/>
          <w:szCs w:val="32"/>
          <w:highlight w:val="none"/>
          <w:lang w:val="en-US" w:eastAsia="zh-CN" w:bidi="ar-SA"/>
        </w:rPr>
        <w:t>4</w:t>
      </w:r>
      <w:r>
        <w:rPr>
          <w:rFonts w:hint="default" w:ascii="Times New Roman" w:hAnsi="Times New Roman" w:cs="Times New Roman" w:eastAsiaTheme="minorEastAsia"/>
          <w:b/>
          <w:bCs w:val="0"/>
          <w:color w:val="auto"/>
          <w:kern w:val="0"/>
          <w:sz w:val="32"/>
          <w:szCs w:val="32"/>
          <w:highlight w:val="none"/>
          <w:lang w:val="en-US" w:eastAsia="zh-CN" w:bidi="ar-SA"/>
        </w:rPr>
        <w:t>月</w:t>
      </w:r>
    </w:p>
    <w:p w14:paraId="1D8B623B">
      <w:pPr>
        <w:widowControl w:val="0"/>
        <w:spacing w:beforeAutospacing="0" w:afterAutospacing="0" w:line="480" w:lineRule="auto"/>
        <w:jc w:val="center"/>
        <w:rPr>
          <w:rFonts w:hint="default" w:ascii="Times New Roman" w:hAnsi="Times New Roman" w:cs="Times New Roman" w:eastAsiaTheme="minorEastAsia"/>
          <w:color w:val="auto"/>
          <w:kern w:val="0"/>
          <w:sz w:val="21"/>
          <w:szCs w:val="21"/>
          <w:highlight w:val="none"/>
          <w:lang w:val="en-US" w:eastAsia="zh-CN" w:bidi="ar-SA"/>
        </w:rPr>
        <w:sectPr>
          <w:pgSz w:w="11906" w:h="16838"/>
          <w:pgMar w:top="1440" w:right="1800" w:bottom="1440" w:left="1800" w:header="851" w:footer="992" w:gutter="0"/>
          <w:cols w:space="425" w:num="1"/>
          <w:docGrid w:type="lines" w:linePitch="312" w:charSpace="0"/>
        </w:sectPr>
      </w:pPr>
    </w:p>
    <w:p w14:paraId="2F7AAB98">
      <w:pPr>
        <w:pStyle w:val="49"/>
        <w:numPr>
          <w:ilvl w:val="0"/>
          <w:numId w:val="0"/>
        </w:numPr>
        <w:tabs>
          <w:tab w:val="left" w:pos="1602"/>
        </w:tabs>
        <w:ind w:left="0" w:leftChars="0" w:firstLine="640" w:firstLineChars="200"/>
        <w:outlineLvl w:val="0"/>
        <w:rPr>
          <w:rFonts w:hint="default" w:ascii="Times New Roman" w:hAnsi="Times New Roman" w:cs="Times New Roman"/>
          <w:color w:val="auto"/>
          <w:highlight w:val="none"/>
        </w:rPr>
      </w:pPr>
      <w:bookmarkStart w:id="0" w:name="_Toc28359009"/>
      <w:r>
        <w:rPr>
          <w:rFonts w:hint="eastAsia" w:ascii="Times New Roman" w:hAnsi="Times New Roman" w:eastAsia="黑体" w:cs="Times New Roman"/>
          <w:color w:val="auto"/>
          <w:kern w:val="44"/>
          <w:sz w:val="32"/>
          <w:szCs w:val="36"/>
          <w:highlight w:val="none"/>
        </w:rPr>
        <w:t>第一章</w:t>
      </w:r>
      <w:r>
        <w:rPr>
          <w:rFonts w:hint="eastAsia" w:cs="Times New Roman"/>
          <w:color w:val="auto"/>
          <w:kern w:val="44"/>
          <w:sz w:val="32"/>
          <w:szCs w:val="36"/>
          <w:highlight w:val="none"/>
          <w:lang w:val="en-US" w:eastAsia="zh-CN"/>
        </w:rPr>
        <w:t xml:space="preserve">  </w:t>
      </w:r>
      <w:r>
        <w:rPr>
          <w:rFonts w:hint="default" w:ascii="Times New Roman" w:hAnsi="Times New Roman" w:cs="Times New Roman"/>
          <w:color w:val="auto"/>
          <w:highlight w:val="none"/>
        </w:rPr>
        <w:t>招标公告</w:t>
      </w:r>
    </w:p>
    <w:p w14:paraId="5D5715B0">
      <w:pPr>
        <w:pStyle w:val="12"/>
        <w:pBdr>
          <w:top w:val="single" w:color="000000" w:sz="4" w:space="0"/>
          <w:left w:val="single" w:color="000000" w:sz="4" w:space="0"/>
          <w:bottom w:val="single" w:color="000000" w:sz="4" w:space="0"/>
          <w:right w:val="single" w:color="000000" w:sz="4" w:space="0"/>
        </w:pBdr>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项目概况</w:t>
      </w:r>
    </w:p>
    <w:p w14:paraId="5B5AAC91">
      <w:pPr>
        <w:pStyle w:val="12"/>
        <w:pBdr>
          <w:top w:val="single" w:color="000000" w:sz="4" w:space="0"/>
          <w:left w:val="single" w:color="000000" w:sz="4" w:space="0"/>
          <w:bottom w:val="single" w:color="000000" w:sz="4" w:space="0"/>
          <w:right w:val="single" w:color="000000" w:sz="4" w:space="0"/>
        </w:pBdr>
        <w:ind w:left="0" w:leftChars="0" w:firstLine="480" w:firstLineChars="200"/>
        <w:rPr>
          <w:rFonts w:hint="default" w:ascii="Times New Roman" w:hAnsi="Times New Roman" w:cs="Times New Roman"/>
          <w:color w:val="auto"/>
          <w:highlight w:val="none"/>
        </w:rPr>
      </w:pPr>
      <w:r>
        <w:rPr>
          <w:rFonts w:hint="eastAsia" w:cs="Times New Roman"/>
          <w:color w:val="auto"/>
          <w:highlight w:val="none"/>
          <w:u w:val="single"/>
          <w:lang w:eastAsia="zh-CN"/>
        </w:rPr>
        <w:t>盐都区2026年城市体检及城市更新</w:t>
      </w:r>
      <w:r>
        <w:rPr>
          <w:rFonts w:hint="eastAsia" w:cs="Times New Roman"/>
          <w:color w:val="auto"/>
          <w:highlight w:val="none"/>
          <w:u w:val="single"/>
          <w:lang w:val="en-US" w:eastAsia="zh-CN"/>
        </w:rPr>
        <w:t>行动方案</w:t>
      </w:r>
      <w:r>
        <w:rPr>
          <w:rFonts w:hint="eastAsia" w:cs="Times New Roman"/>
          <w:color w:val="auto"/>
          <w:highlight w:val="none"/>
          <w:u w:val="single"/>
          <w:lang w:eastAsia="zh-CN"/>
        </w:rPr>
        <w:t>编制服务项目</w:t>
      </w:r>
      <w:r>
        <w:rPr>
          <w:rFonts w:hint="default" w:ascii="Times New Roman" w:hAnsi="Times New Roman" w:cs="Times New Roman"/>
          <w:color w:val="auto"/>
          <w:highlight w:val="none"/>
        </w:rPr>
        <w:t>招标项目的潜在投标人可在“苏采云”系统内免费下载（投标人必须在苏采云系统中获取采购文件，方能参与政府采购项目），并于</w:t>
      </w:r>
      <w:r>
        <w:rPr>
          <w:rFonts w:hint="default" w:ascii="Times New Roman" w:hAnsi="Times New Roman" w:cs="Times New Roman"/>
          <w:color w:val="auto"/>
          <w:highlight w:val="none"/>
          <w:u w:val="single"/>
        </w:rPr>
        <w:t>2026年</w:t>
      </w:r>
      <w:r>
        <w:rPr>
          <w:rFonts w:hint="eastAsia" w:cs="Times New Roman"/>
          <w:color w:val="auto"/>
          <w:highlight w:val="none"/>
          <w:u w:val="single"/>
          <w:lang w:val="en-US" w:eastAsia="zh-CN"/>
        </w:rPr>
        <w:t>5</w:t>
      </w:r>
      <w:r>
        <w:rPr>
          <w:rFonts w:hint="default" w:ascii="Times New Roman" w:hAnsi="Times New Roman" w:cs="Times New Roman"/>
          <w:color w:val="auto"/>
          <w:highlight w:val="none"/>
          <w:u w:val="single"/>
        </w:rPr>
        <w:t>月</w:t>
      </w:r>
      <w:r>
        <w:rPr>
          <w:rFonts w:hint="eastAsia" w:cs="Times New Roman"/>
          <w:color w:val="auto"/>
          <w:highlight w:val="none"/>
          <w:u w:val="single"/>
          <w:lang w:val="en-US" w:eastAsia="zh-CN"/>
        </w:rPr>
        <w:t>22</w:t>
      </w:r>
      <w:r>
        <w:rPr>
          <w:rFonts w:hint="default" w:ascii="Times New Roman" w:hAnsi="Times New Roman" w:cs="Times New Roman"/>
          <w:color w:val="auto"/>
          <w:highlight w:val="none"/>
          <w:u w:val="single"/>
        </w:rPr>
        <w:t>日</w:t>
      </w:r>
      <w:r>
        <w:rPr>
          <w:rFonts w:hint="eastAsia" w:cs="Times New Roman"/>
          <w:color w:val="auto"/>
          <w:highlight w:val="none"/>
          <w:u w:val="single"/>
          <w:lang w:val="en-US" w:eastAsia="zh-CN"/>
        </w:rPr>
        <w:t>15</w:t>
      </w:r>
      <w:r>
        <w:rPr>
          <w:rFonts w:hint="default" w:ascii="Times New Roman" w:hAnsi="Times New Roman" w:cs="Times New Roman"/>
          <w:color w:val="auto"/>
          <w:highlight w:val="none"/>
          <w:u w:val="single"/>
        </w:rPr>
        <w:t>点00分（</w:t>
      </w:r>
      <w:r>
        <w:rPr>
          <w:rFonts w:hint="default" w:ascii="Times New Roman" w:hAnsi="Times New Roman" w:cs="Times New Roman"/>
          <w:color w:val="auto"/>
          <w:highlight w:val="none"/>
        </w:rPr>
        <w:t>北京时间）前递交投标文件。</w:t>
      </w:r>
    </w:p>
    <w:p w14:paraId="20ABE647">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 w:name="_Toc28359079"/>
      <w:bookmarkStart w:id="2" w:name="_Toc38985263"/>
      <w:bookmarkStart w:id="3" w:name="_Toc28359002"/>
      <w:bookmarkStart w:id="4" w:name="_Hlk24379207"/>
      <w:bookmarkStart w:id="5" w:name="_Toc35393621"/>
      <w:bookmarkStart w:id="6" w:name="_Toc35393790"/>
      <w:r>
        <w:rPr>
          <w:rFonts w:hint="eastAsia" w:ascii="Times New Roman" w:hAnsi="Times New Roman" w:eastAsia="宋体" w:cs="Times New Roman"/>
          <w:b/>
          <w:bCs/>
          <w:color w:val="auto"/>
          <w:kern w:val="44"/>
          <w:sz w:val="24"/>
          <w:szCs w:val="30"/>
          <w:highlight w:val="none"/>
        </w:rPr>
        <w:t>一、</w:t>
      </w:r>
      <w:r>
        <w:rPr>
          <w:rFonts w:hint="default" w:ascii="Times New Roman" w:hAnsi="Times New Roman" w:cs="Times New Roman"/>
          <w:color w:val="auto"/>
          <w:highlight w:val="none"/>
        </w:rPr>
        <w:t>项目基本情况</w:t>
      </w:r>
      <w:bookmarkEnd w:id="1"/>
      <w:bookmarkEnd w:id="2"/>
      <w:bookmarkEnd w:id="3"/>
      <w:bookmarkEnd w:id="4"/>
      <w:bookmarkEnd w:id="5"/>
      <w:bookmarkEnd w:id="6"/>
    </w:p>
    <w:p w14:paraId="0E81ECE5">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w:t>
      </w:r>
      <w:r>
        <w:rPr>
          <w:rFonts w:hint="default" w:ascii="Times New Roman" w:hAnsi="Times New Roman" w:cs="Times New Roman"/>
          <w:color w:val="auto"/>
          <w:highlight w:val="none"/>
        </w:rPr>
        <w:t>项目编号：</w:t>
      </w:r>
      <w:r>
        <w:rPr>
          <w:rFonts w:hint="eastAsia" w:cs="Times New Roman"/>
          <w:color w:val="auto"/>
          <w:highlight w:val="none"/>
          <w:lang w:eastAsia="zh-CN"/>
        </w:rPr>
        <w:t>JSZC-320903-RJXM-G2026-0001</w:t>
      </w:r>
      <w:r>
        <w:rPr>
          <w:rFonts w:hint="default" w:ascii="Times New Roman" w:hAnsi="Times New Roman" w:cs="Times New Roman"/>
          <w:color w:val="auto"/>
          <w:highlight w:val="none"/>
        </w:rPr>
        <w:t xml:space="preserve">                    </w:t>
      </w:r>
    </w:p>
    <w:p w14:paraId="43B1C5E3">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w:t>
      </w:r>
      <w:r>
        <w:rPr>
          <w:rFonts w:hint="default" w:ascii="Times New Roman" w:hAnsi="Times New Roman" w:cs="Times New Roman"/>
          <w:color w:val="auto"/>
          <w:highlight w:val="none"/>
        </w:rPr>
        <w:t>项目名称：</w:t>
      </w:r>
      <w:r>
        <w:rPr>
          <w:rFonts w:hint="eastAsia" w:cs="Times New Roman"/>
          <w:color w:val="auto"/>
          <w:highlight w:val="none"/>
          <w:lang w:eastAsia="zh-CN"/>
        </w:rPr>
        <w:t>盐都区2026年城市体检及城市更新</w:t>
      </w:r>
      <w:r>
        <w:rPr>
          <w:rFonts w:hint="eastAsia" w:cs="Times New Roman"/>
          <w:color w:val="auto"/>
          <w:highlight w:val="none"/>
          <w:lang w:val="en-US" w:eastAsia="zh-CN"/>
        </w:rPr>
        <w:t>行动方案</w:t>
      </w:r>
      <w:r>
        <w:rPr>
          <w:rFonts w:hint="eastAsia" w:cs="Times New Roman"/>
          <w:color w:val="auto"/>
          <w:highlight w:val="none"/>
          <w:lang w:eastAsia="zh-CN"/>
        </w:rPr>
        <w:t>编制服务项目</w:t>
      </w:r>
    </w:p>
    <w:p w14:paraId="59DED730">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3.</w:t>
      </w:r>
      <w:r>
        <w:rPr>
          <w:rFonts w:hint="default" w:ascii="Times New Roman" w:hAnsi="Times New Roman" w:cs="Times New Roman"/>
          <w:color w:val="auto"/>
          <w:highlight w:val="none"/>
        </w:rPr>
        <w:t>采购方式：公开招标</w:t>
      </w:r>
    </w:p>
    <w:p w14:paraId="73BFD18A">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4.</w:t>
      </w:r>
      <w:r>
        <w:rPr>
          <w:rFonts w:hint="default" w:ascii="Times New Roman" w:hAnsi="Times New Roman" w:cs="Times New Roman"/>
          <w:color w:val="auto"/>
          <w:highlight w:val="none"/>
        </w:rPr>
        <w:t>预算金额：</w:t>
      </w:r>
      <w:r>
        <w:rPr>
          <w:rFonts w:hint="eastAsia" w:cs="Times New Roman"/>
          <w:color w:val="auto"/>
          <w:highlight w:val="none"/>
          <w:lang w:val="en-US" w:eastAsia="zh-CN"/>
        </w:rPr>
        <w:t>180</w:t>
      </w:r>
      <w:r>
        <w:rPr>
          <w:rFonts w:hint="default" w:ascii="Times New Roman" w:hAnsi="Times New Roman" w:cs="Times New Roman"/>
          <w:color w:val="auto"/>
          <w:highlight w:val="none"/>
        </w:rPr>
        <w:t>万元</w:t>
      </w:r>
    </w:p>
    <w:p w14:paraId="6A433D27">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5.</w:t>
      </w:r>
      <w:r>
        <w:rPr>
          <w:rFonts w:hint="default" w:ascii="Times New Roman" w:hAnsi="Times New Roman" w:cs="Times New Roman"/>
          <w:color w:val="auto"/>
          <w:highlight w:val="none"/>
        </w:rPr>
        <w:t>最高限价：</w:t>
      </w:r>
      <w:r>
        <w:rPr>
          <w:rFonts w:hint="eastAsia" w:cs="Times New Roman"/>
          <w:color w:val="auto"/>
          <w:highlight w:val="none"/>
          <w:lang w:val="en-US" w:eastAsia="zh-CN"/>
        </w:rPr>
        <w:t>180</w:t>
      </w:r>
      <w:r>
        <w:rPr>
          <w:rFonts w:hint="default" w:ascii="Times New Roman" w:hAnsi="Times New Roman" w:cs="Times New Roman"/>
          <w:color w:val="auto"/>
          <w:highlight w:val="none"/>
        </w:rPr>
        <w:t>万元，投标报价超过最高限价的投标无效。</w:t>
      </w:r>
    </w:p>
    <w:p w14:paraId="78B69DDA">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6.</w:t>
      </w:r>
      <w:r>
        <w:rPr>
          <w:rFonts w:hint="default" w:ascii="Times New Roman" w:hAnsi="Times New Roman" w:cs="Times New Roman"/>
          <w:color w:val="auto"/>
          <w:highlight w:val="none"/>
        </w:rPr>
        <w:t>采购需求：</w:t>
      </w:r>
      <w:r>
        <w:rPr>
          <w:rFonts w:hint="eastAsia" w:cs="Times New Roman"/>
          <w:color w:val="auto"/>
          <w:highlight w:val="none"/>
          <w:lang w:eastAsia="zh-CN"/>
        </w:rPr>
        <w:t>盐都区2026年城市体检及城市更新</w:t>
      </w:r>
      <w:r>
        <w:rPr>
          <w:rFonts w:hint="eastAsia" w:cs="Times New Roman"/>
          <w:color w:val="auto"/>
          <w:highlight w:val="none"/>
          <w:lang w:val="en-US" w:eastAsia="zh-CN"/>
        </w:rPr>
        <w:t>行动方案</w:t>
      </w:r>
      <w:r>
        <w:rPr>
          <w:rFonts w:hint="eastAsia" w:cs="Times New Roman"/>
          <w:color w:val="auto"/>
          <w:highlight w:val="none"/>
          <w:lang w:eastAsia="zh-CN"/>
        </w:rPr>
        <w:t>编制服务项目</w:t>
      </w:r>
      <w:r>
        <w:rPr>
          <w:rFonts w:hint="default" w:ascii="Times New Roman" w:hAnsi="Times New Roman" w:cs="Times New Roman"/>
          <w:color w:val="auto"/>
          <w:highlight w:val="none"/>
        </w:rPr>
        <w:t>，详细内容见本招标文件第四章采购需求。</w:t>
      </w:r>
    </w:p>
    <w:p w14:paraId="64FE5693">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7.</w:t>
      </w:r>
      <w:r>
        <w:rPr>
          <w:rFonts w:hint="default" w:ascii="Times New Roman" w:hAnsi="Times New Roman" w:cs="Times New Roman"/>
          <w:color w:val="auto"/>
          <w:highlight w:val="none"/>
        </w:rPr>
        <w:t>合同履行期限：</w:t>
      </w:r>
      <w:r>
        <w:rPr>
          <w:rFonts w:hint="eastAsia" w:cs="Times New Roman"/>
          <w:color w:val="auto"/>
          <w:highlight w:val="none"/>
          <w:lang w:val="en-US" w:eastAsia="zh-CN"/>
        </w:rPr>
        <w:t>一年六个月</w:t>
      </w:r>
      <w:r>
        <w:rPr>
          <w:rFonts w:hint="eastAsia" w:cs="Times New Roman"/>
          <w:color w:val="auto"/>
          <w:highlight w:val="none"/>
          <w:lang w:eastAsia="zh-CN"/>
        </w:rPr>
        <w:t>（</w:t>
      </w:r>
      <w:r>
        <w:rPr>
          <w:rFonts w:hint="eastAsia" w:cs="Times New Roman"/>
          <w:color w:val="auto"/>
          <w:highlight w:val="none"/>
          <w:lang w:val="en-US" w:eastAsia="zh-CN"/>
        </w:rPr>
        <w:t>自签订合同之日起180日历天内完成2026年城市体检及城市更新行动方案编制，180日历天满后提供一年业务技术指导支持服务并对2026年城市体检成果补充完善）</w:t>
      </w:r>
      <w:r>
        <w:rPr>
          <w:rFonts w:hint="default" w:ascii="Times New Roman" w:hAnsi="Times New Roman" w:cs="Times New Roman"/>
          <w:color w:val="auto"/>
          <w:highlight w:val="none"/>
        </w:rPr>
        <w:t>。</w:t>
      </w:r>
    </w:p>
    <w:p w14:paraId="0C46CA46">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7" w:name="_Toc28359003"/>
      <w:bookmarkStart w:id="8" w:name="_Toc28359080"/>
      <w:bookmarkStart w:id="9" w:name="_Toc35393791"/>
      <w:bookmarkStart w:id="10" w:name="_Toc38985264"/>
      <w:bookmarkStart w:id="11" w:name="_Toc35393622"/>
      <w:r>
        <w:rPr>
          <w:rFonts w:hint="default" w:ascii="Times New Roman" w:hAnsi="Times New Roman" w:eastAsia="宋体" w:cs="Times New Roman"/>
          <w:color w:val="auto"/>
          <w:sz w:val="24"/>
          <w:highlight w:val="none"/>
        </w:rPr>
        <w:t>8.</w:t>
      </w:r>
      <w:r>
        <w:rPr>
          <w:rFonts w:hint="eastAsia" w:ascii="Times New Roman" w:hAnsi="Times New Roman" w:cs="Times New Roman"/>
          <w:color w:val="auto"/>
          <w:highlight w:val="none"/>
          <w:lang w:val="en-US" w:eastAsia="zh-CN"/>
        </w:rPr>
        <w:t>本项目不接受联合体参与招标</w:t>
      </w:r>
      <w:r>
        <w:rPr>
          <w:rFonts w:hint="default" w:ascii="Times New Roman" w:hAnsi="Times New Roman" w:cs="Times New Roman"/>
          <w:color w:val="auto"/>
          <w:highlight w:val="none"/>
          <w:lang w:val="en-US" w:eastAsia="zh-CN"/>
        </w:rPr>
        <w:t>。</w:t>
      </w:r>
    </w:p>
    <w:p w14:paraId="52E7AE2E">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Chars="200"/>
        <w:textAlignment w:val="auto"/>
        <w:rPr>
          <w:rFonts w:hint="default" w:ascii="Times New Roman" w:hAnsi="Times New Roman" w:eastAsia="宋体" w:cs="Times New Roman"/>
          <w:b/>
          <w:bCs/>
          <w:color w:val="auto"/>
          <w:kern w:val="44"/>
          <w:sz w:val="24"/>
          <w:szCs w:val="30"/>
          <w:highlight w:val="none"/>
        </w:rPr>
      </w:pPr>
      <w:r>
        <w:rPr>
          <w:rFonts w:hint="eastAsia" w:ascii="Times New Roman" w:hAnsi="Times New Roman" w:eastAsia="宋体" w:cs="Times New Roman"/>
          <w:b/>
          <w:bCs/>
          <w:color w:val="auto"/>
          <w:kern w:val="44"/>
          <w:sz w:val="24"/>
          <w:szCs w:val="30"/>
          <w:highlight w:val="none"/>
          <w:lang w:val="en-US" w:eastAsia="zh-CN"/>
        </w:rPr>
        <w:t>二、</w:t>
      </w:r>
      <w:r>
        <w:rPr>
          <w:rFonts w:hint="default" w:ascii="Times New Roman" w:hAnsi="Times New Roman" w:eastAsia="宋体" w:cs="Times New Roman"/>
          <w:b/>
          <w:bCs/>
          <w:color w:val="auto"/>
          <w:kern w:val="44"/>
          <w:sz w:val="24"/>
          <w:szCs w:val="30"/>
          <w:highlight w:val="none"/>
        </w:rPr>
        <w:t>申请人的资格要求：</w:t>
      </w:r>
      <w:bookmarkEnd w:id="7"/>
      <w:bookmarkEnd w:id="8"/>
      <w:bookmarkEnd w:id="9"/>
      <w:bookmarkEnd w:id="10"/>
      <w:bookmarkEnd w:id="11"/>
    </w:p>
    <w:p w14:paraId="4FB8F964">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w:t>
      </w:r>
      <w:r>
        <w:rPr>
          <w:rFonts w:hint="default" w:ascii="Times New Roman" w:hAnsi="Times New Roman" w:cs="Times New Roman"/>
          <w:color w:val="auto"/>
          <w:highlight w:val="none"/>
        </w:rPr>
        <w:t>满足《中华人民共和国政府采购法》第二十二条规定，并提供下列材料：</w:t>
      </w:r>
    </w:p>
    <w:p w14:paraId="76826CFA">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1.1</w:t>
      </w:r>
      <w:r>
        <w:rPr>
          <w:rFonts w:hint="default" w:ascii="Times New Roman" w:hAnsi="Times New Roman" w:cs="Times New Roman"/>
          <w:color w:val="auto"/>
          <w:highlight w:val="none"/>
        </w:rPr>
        <w:t>法人或者其他组织的营业执照等证明文件，自然人的身份证明；</w:t>
      </w:r>
    </w:p>
    <w:p w14:paraId="75085039">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1.2</w:t>
      </w:r>
      <w:r>
        <w:rPr>
          <w:rFonts w:hint="eastAsia" w:cs="Times New Roman"/>
          <w:color w:val="auto"/>
          <w:highlight w:val="none"/>
          <w:lang w:eastAsia="zh-CN"/>
        </w:rPr>
        <w:t>上一年度或上上年度的财务状况报告</w:t>
      </w:r>
      <w:r>
        <w:rPr>
          <w:rFonts w:hint="default" w:ascii="Times New Roman" w:hAnsi="Times New Roman" w:cs="Times New Roman"/>
          <w:color w:val="auto"/>
          <w:highlight w:val="none"/>
        </w:rPr>
        <w:t>（成立不满一年无需提供）；</w:t>
      </w:r>
    </w:p>
    <w:p w14:paraId="0E347954">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1.3</w:t>
      </w:r>
      <w:r>
        <w:rPr>
          <w:rFonts w:hint="default" w:ascii="Times New Roman" w:hAnsi="Times New Roman" w:cs="Times New Roman"/>
          <w:color w:val="auto"/>
          <w:highlight w:val="none"/>
        </w:rPr>
        <w:t>具备履行合同所必需的设备和专业技术能力的书面声明；</w:t>
      </w:r>
    </w:p>
    <w:p w14:paraId="49A2B7C7">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1.4</w:t>
      </w:r>
      <w:r>
        <w:rPr>
          <w:rFonts w:hint="default" w:ascii="Times New Roman" w:hAnsi="Times New Roman" w:cs="Times New Roman"/>
          <w:color w:val="auto"/>
          <w:highlight w:val="none"/>
        </w:rPr>
        <w:t>依法缴纳税收和社会保障资金的相关材料（提供提交投标文件截止时间前一年内至少一个月依法缴纳税收及缴纳社会保障资金的证明材料。供应商依法享受缓缴、免缴税收、社会保障资金的提供证明材料。）；</w:t>
      </w:r>
    </w:p>
    <w:p w14:paraId="0069EFBF">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1.5</w:t>
      </w:r>
      <w:r>
        <w:rPr>
          <w:rFonts w:hint="default" w:ascii="Times New Roman" w:hAnsi="Times New Roman" w:cs="Times New Roman"/>
          <w:color w:val="auto"/>
          <w:highlight w:val="none"/>
        </w:rPr>
        <w:t>参加政府采购活动前3年内在经营活动中没有重大违法记录的书面声明。</w:t>
      </w:r>
    </w:p>
    <w:p w14:paraId="3D822F72">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1.6</w:t>
      </w:r>
      <w:r>
        <w:rPr>
          <w:rFonts w:hint="default" w:ascii="Times New Roman" w:hAnsi="Times New Roman" w:cs="Times New Roman"/>
          <w:color w:val="auto"/>
          <w:highlight w:val="none"/>
        </w:rPr>
        <w:t>法律、行政法规规定的其他条件。</w:t>
      </w:r>
    </w:p>
    <w:p w14:paraId="515CEBA2">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1.7</w:t>
      </w:r>
      <w:r>
        <w:rPr>
          <w:rFonts w:hint="default" w:ascii="Times New Roman" w:hAnsi="Times New Roman" w:cs="Times New Roman"/>
          <w:color w:val="auto"/>
          <w:highlight w:val="none"/>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24A0E8EC">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1.8</w:t>
      </w:r>
      <w:r>
        <w:rPr>
          <w:rFonts w:hint="default" w:ascii="Times New Roman" w:hAnsi="Times New Roman" w:cs="Times New Roman"/>
          <w:color w:val="auto"/>
          <w:highlight w:val="none"/>
        </w:rPr>
        <w:t>单位负责人为同一人或者存在直接控股、管理关系的不同供应商，不得参加同一合同项下的政府采购活动。</w:t>
      </w:r>
    </w:p>
    <w:p w14:paraId="16A9A257">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eastAsia" w:ascii="宋体" w:hAnsi="宋体" w:eastAsia="宋体" w:cs="宋体"/>
          <w:b w:val="0"/>
          <w:color w:val="auto"/>
          <w:highlight w:val="none"/>
        </w:rPr>
      </w:pPr>
      <w:r>
        <w:rPr>
          <w:rFonts w:hint="eastAsia" w:ascii="宋体" w:hAnsi="宋体" w:eastAsia="宋体" w:cs="宋体"/>
          <w:b w:val="0"/>
          <w:color w:val="auto"/>
          <w:sz w:val="24"/>
          <w:highlight w:val="none"/>
        </w:rPr>
        <w:t>2.</w:t>
      </w:r>
      <w:r>
        <w:rPr>
          <w:rFonts w:hint="eastAsia" w:ascii="宋体" w:hAnsi="宋体" w:eastAsia="宋体" w:cs="宋体"/>
          <w:color w:val="auto"/>
          <w:highlight w:val="none"/>
        </w:rPr>
        <w:t>落实政府采购政策需满足的资格要求：</w:t>
      </w:r>
      <w:r>
        <w:rPr>
          <w:rFonts w:hint="eastAsia" w:ascii="宋体" w:hAnsi="宋体" w:cs="宋体"/>
          <w:color w:val="auto"/>
          <w:highlight w:val="none"/>
          <w:lang w:val="en-US" w:eastAsia="zh-CN"/>
        </w:rPr>
        <w:t>无</w:t>
      </w:r>
      <w:r>
        <w:rPr>
          <w:rFonts w:hint="eastAsia" w:ascii="宋体" w:hAnsi="宋体" w:eastAsia="宋体" w:cs="宋体"/>
          <w:color w:val="auto"/>
          <w:highlight w:val="none"/>
        </w:rPr>
        <w:t>。</w:t>
      </w:r>
    </w:p>
    <w:p w14:paraId="19D6257E">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rPr>
        <w:t>3.本项目的特定资格要求：</w:t>
      </w:r>
      <w:r>
        <w:rPr>
          <w:rFonts w:hint="eastAsia" w:cs="Times New Roman"/>
          <w:color w:val="auto"/>
          <w:highlight w:val="none"/>
          <w:lang w:val="en-US" w:eastAsia="zh-CN"/>
        </w:rPr>
        <w:t>投标人</w:t>
      </w:r>
      <w:r>
        <w:rPr>
          <w:rFonts w:hint="eastAsia" w:ascii="Times New Roman" w:hAnsi="Times New Roman" w:cs="Times New Roman"/>
          <w:color w:val="auto"/>
          <w:highlight w:val="none"/>
        </w:rPr>
        <w:t>具有有效期内的城乡规划编制乙级及以上资质</w:t>
      </w:r>
      <w:r>
        <w:rPr>
          <w:rFonts w:hint="eastAsia" w:ascii="Times New Roman" w:hAnsi="Times New Roman" w:cs="Times New Roman"/>
          <w:color w:val="auto"/>
          <w:highlight w:val="none"/>
          <w:lang w:eastAsia="zh-CN"/>
        </w:rPr>
        <w:t>。</w:t>
      </w:r>
    </w:p>
    <w:p w14:paraId="1D1BFFE3">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eastAsia" w:ascii="Times New Roman" w:hAnsi="Times New Roman" w:eastAsia="宋体" w:cs="Times New Roman"/>
          <w:b/>
          <w:bCs/>
          <w:color w:val="auto"/>
          <w:kern w:val="44"/>
          <w:sz w:val="24"/>
          <w:szCs w:val="30"/>
          <w:highlight w:val="none"/>
        </w:rPr>
        <w:t>二、</w:t>
      </w:r>
      <w:r>
        <w:rPr>
          <w:rFonts w:hint="default" w:ascii="Times New Roman" w:hAnsi="Times New Roman" w:cs="Times New Roman"/>
          <w:color w:val="auto"/>
          <w:highlight w:val="none"/>
        </w:rPr>
        <w:t>获取招标文件</w:t>
      </w:r>
    </w:p>
    <w:p w14:paraId="65427E54">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2" w:name="_Toc35393624"/>
      <w:bookmarkStart w:id="13" w:name="_Toc28359082"/>
      <w:bookmarkStart w:id="14" w:name="_Toc35393793"/>
      <w:bookmarkStart w:id="15" w:name="_Toc28359005"/>
      <w:bookmarkStart w:id="16" w:name="_Toc38985266"/>
      <w:r>
        <w:rPr>
          <w:rFonts w:hint="default" w:ascii="Times New Roman" w:hAnsi="Times New Roman" w:eastAsia="宋体" w:cs="Times New Roman"/>
          <w:b w:val="0"/>
          <w:color w:val="auto"/>
          <w:sz w:val="24"/>
          <w:highlight w:val="none"/>
        </w:rPr>
        <w:t>1.</w:t>
      </w:r>
      <w:r>
        <w:rPr>
          <w:rFonts w:hint="default" w:ascii="Times New Roman" w:hAnsi="Times New Roman" w:cs="Times New Roman"/>
          <w:color w:val="auto"/>
          <w:highlight w:val="none"/>
        </w:rPr>
        <w:t>时间：</w:t>
      </w:r>
      <w:bookmarkEnd w:id="12"/>
      <w:bookmarkEnd w:id="13"/>
      <w:bookmarkEnd w:id="14"/>
      <w:bookmarkEnd w:id="15"/>
      <w:bookmarkEnd w:id="16"/>
      <w:r>
        <w:rPr>
          <w:rFonts w:hint="default" w:ascii="Times New Roman" w:hAnsi="Times New Roman" w:cs="Times New Roman"/>
          <w:color w:val="auto"/>
          <w:highlight w:val="none"/>
        </w:rPr>
        <w:t>自招标文件公告发布之日起5个工作日</w:t>
      </w:r>
      <w:r>
        <w:rPr>
          <w:rFonts w:hint="default" w:ascii="Times New Roman" w:hAnsi="Times New Roman" w:cs="Times New Roman"/>
          <w:color w:val="auto"/>
          <w:highlight w:val="none"/>
        </w:rPr>
        <w:tab/>
      </w:r>
    </w:p>
    <w:p w14:paraId="516A3324">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w:t>
      </w:r>
      <w:r>
        <w:rPr>
          <w:rFonts w:hint="default" w:ascii="Times New Roman" w:hAnsi="Times New Roman" w:cs="Times New Roman"/>
          <w:color w:val="auto"/>
          <w:highlight w:val="none"/>
        </w:rPr>
        <w:t>地点：“苏采云”系统内免费下载（投标人必须在苏采云系统中获取采购文件，方能参与政府采购项目）</w:t>
      </w:r>
    </w:p>
    <w:p w14:paraId="7282C23E">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3.</w:t>
      </w:r>
      <w:r>
        <w:rPr>
          <w:rFonts w:hint="default" w:ascii="Times New Roman" w:hAnsi="Times New Roman" w:cs="Times New Roman"/>
          <w:color w:val="auto"/>
          <w:highlight w:val="none"/>
        </w:rPr>
        <w:t>方式：本项目采用网上注册登记方式</w:t>
      </w:r>
    </w:p>
    <w:p w14:paraId="1F44CE81">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4.</w:t>
      </w:r>
      <w:r>
        <w:rPr>
          <w:rFonts w:hint="default" w:ascii="Times New Roman" w:hAnsi="Times New Roman" w:cs="Times New Roman"/>
          <w:color w:val="auto"/>
          <w:highlight w:val="none"/>
        </w:rPr>
        <w:t>售价：0元</w:t>
      </w:r>
    </w:p>
    <w:p w14:paraId="3D6CB799">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eastAsia" w:ascii="Times New Roman" w:hAnsi="Times New Roman" w:eastAsia="宋体" w:cs="Times New Roman"/>
          <w:b/>
          <w:bCs/>
          <w:color w:val="auto"/>
          <w:kern w:val="44"/>
          <w:sz w:val="24"/>
          <w:szCs w:val="30"/>
          <w:highlight w:val="none"/>
        </w:rPr>
        <w:t>三、</w:t>
      </w:r>
      <w:r>
        <w:rPr>
          <w:rFonts w:hint="default" w:ascii="Times New Roman" w:hAnsi="Times New Roman" w:cs="Times New Roman"/>
          <w:color w:val="auto"/>
          <w:highlight w:val="none"/>
        </w:rPr>
        <w:t>提交投标文件截止时间、开标时间和地点</w:t>
      </w:r>
    </w:p>
    <w:p w14:paraId="63A0EA7C">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1.</w:t>
      </w:r>
      <w:r>
        <w:rPr>
          <w:rFonts w:hint="default" w:ascii="Times New Roman" w:hAnsi="Times New Roman" w:cs="Times New Roman"/>
          <w:color w:val="auto"/>
          <w:highlight w:val="none"/>
        </w:rPr>
        <w:t>时间：</w:t>
      </w:r>
      <w:r>
        <w:rPr>
          <w:rFonts w:hint="default" w:ascii="Times New Roman" w:hAnsi="Times New Roman" w:cs="Times New Roman"/>
          <w:color w:val="auto"/>
          <w:highlight w:val="none"/>
          <w:u w:val="single"/>
        </w:rPr>
        <w:t>2026年</w:t>
      </w:r>
      <w:r>
        <w:rPr>
          <w:rFonts w:hint="eastAsia" w:cs="Times New Roman"/>
          <w:color w:val="auto"/>
          <w:highlight w:val="none"/>
          <w:u w:val="single"/>
          <w:lang w:val="en-US" w:eastAsia="zh-CN"/>
        </w:rPr>
        <w:t>5</w:t>
      </w:r>
      <w:r>
        <w:rPr>
          <w:rFonts w:hint="default" w:ascii="Times New Roman" w:hAnsi="Times New Roman" w:cs="Times New Roman"/>
          <w:color w:val="auto"/>
          <w:highlight w:val="none"/>
          <w:u w:val="single"/>
        </w:rPr>
        <w:t>月</w:t>
      </w:r>
      <w:r>
        <w:rPr>
          <w:rFonts w:hint="eastAsia" w:cs="Times New Roman"/>
          <w:color w:val="auto"/>
          <w:highlight w:val="none"/>
          <w:u w:val="single"/>
          <w:lang w:val="en-US" w:eastAsia="zh-CN"/>
        </w:rPr>
        <w:t>22</w:t>
      </w:r>
      <w:bookmarkStart w:id="197" w:name="_GoBack"/>
      <w:bookmarkEnd w:id="197"/>
      <w:r>
        <w:rPr>
          <w:rFonts w:hint="default" w:ascii="Times New Roman" w:hAnsi="Times New Roman" w:cs="Times New Roman"/>
          <w:color w:val="auto"/>
          <w:highlight w:val="none"/>
          <w:u w:val="single"/>
        </w:rPr>
        <w:t>日</w:t>
      </w:r>
      <w:r>
        <w:rPr>
          <w:rFonts w:hint="eastAsia" w:cs="Times New Roman"/>
          <w:color w:val="auto"/>
          <w:highlight w:val="none"/>
          <w:u w:val="single"/>
          <w:lang w:val="en-US" w:eastAsia="zh-CN"/>
        </w:rPr>
        <w:t>15</w:t>
      </w:r>
      <w:r>
        <w:rPr>
          <w:rFonts w:hint="default" w:ascii="Times New Roman" w:hAnsi="Times New Roman" w:cs="Times New Roman"/>
          <w:color w:val="auto"/>
          <w:highlight w:val="none"/>
          <w:u w:val="single"/>
        </w:rPr>
        <w:t>：00</w:t>
      </w:r>
      <w:r>
        <w:rPr>
          <w:rFonts w:hint="default" w:ascii="Times New Roman" w:hAnsi="Times New Roman" w:cs="Times New Roman"/>
          <w:color w:val="auto"/>
          <w:highlight w:val="none"/>
        </w:rPr>
        <w:t>（北京时间）。</w:t>
      </w:r>
    </w:p>
    <w:p w14:paraId="2669CFC9">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w:t>
      </w:r>
      <w:r>
        <w:rPr>
          <w:rFonts w:hint="default" w:ascii="Times New Roman" w:hAnsi="Times New Roman" w:cs="Times New Roman"/>
          <w:color w:val="auto"/>
          <w:highlight w:val="none"/>
        </w:rPr>
        <w:t>地点：苏采云“不见面”开标大厅。</w:t>
      </w:r>
    </w:p>
    <w:p w14:paraId="19AE73F0">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7" w:name="_Toc35393794"/>
      <w:bookmarkStart w:id="18" w:name="_Toc35393625"/>
      <w:bookmarkStart w:id="19" w:name="_Toc38985267"/>
      <w:bookmarkStart w:id="20" w:name="_Toc28359007"/>
      <w:bookmarkStart w:id="21" w:name="_Toc28359084"/>
      <w:r>
        <w:rPr>
          <w:rFonts w:hint="eastAsia" w:ascii="Times New Roman" w:hAnsi="Times New Roman" w:eastAsia="宋体" w:cs="Times New Roman"/>
          <w:b/>
          <w:bCs/>
          <w:color w:val="auto"/>
          <w:kern w:val="44"/>
          <w:sz w:val="24"/>
          <w:szCs w:val="30"/>
          <w:highlight w:val="none"/>
        </w:rPr>
        <w:t>四、</w:t>
      </w:r>
      <w:r>
        <w:rPr>
          <w:rFonts w:hint="default" w:ascii="Times New Roman" w:hAnsi="Times New Roman" w:cs="Times New Roman"/>
          <w:color w:val="auto"/>
          <w:highlight w:val="none"/>
        </w:rPr>
        <w:t>公告期限</w:t>
      </w:r>
      <w:bookmarkEnd w:id="17"/>
      <w:bookmarkEnd w:id="18"/>
      <w:bookmarkEnd w:id="19"/>
      <w:bookmarkEnd w:id="20"/>
      <w:bookmarkEnd w:id="21"/>
    </w:p>
    <w:p w14:paraId="74B0E512">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22" w:name="_Toc38985268"/>
      <w:bookmarkStart w:id="23" w:name="_Toc35393626"/>
      <w:bookmarkStart w:id="24" w:name="_Toc35393795"/>
      <w:r>
        <w:rPr>
          <w:rFonts w:hint="default" w:ascii="Times New Roman" w:hAnsi="Times New Roman" w:cs="Times New Roman"/>
          <w:color w:val="auto"/>
          <w:highlight w:val="none"/>
        </w:rPr>
        <w:t>自本公告发布之日起5个工作日。</w:t>
      </w:r>
      <w:bookmarkEnd w:id="22"/>
      <w:bookmarkEnd w:id="23"/>
      <w:bookmarkEnd w:id="24"/>
    </w:p>
    <w:p w14:paraId="3A96D6E7">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eastAsia" w:ascii="Times New Roman" w:hAnsi="Times New Roman" w:eastAsia="宋体" w:cs="Times New Roman"/>
          <w:b/>
          <w:bCs/>
          <w:color w:val="auto"/>
          <w:kern w:val="44"/>
          <w:sz w:val="24"/>
          <w:szCs w:val="30"/>
          <w:highlight w:val="none"/>
        </w:rPr>
        <w:t>五、</w:t>
      </w:r>
      <w:r>
        <w:rPr>
          <w:rFonts w:hint="default" w:ascii="Times New Roman" w:hAnsi="Times New Roman" w:cs="Times New Roman"/>
          <w:color w:val="auto"/>
          <w:highlight w:val="none"/>
        </w:rPr>
        <w:t>其他补充事宜</w:t>
      </w:r>
    </w:p>
    <w:p w14:paraId="2A0228E5">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25" w:name="_Toc28359018"/>
      <w:r>
        <w:rPr>
          <w:rFonts w:hint="default" w:ascii="Times New Roman" w:hAnsi="Times New Roman" w:eastAsia="宋体" w:cs="Times New Roman"/>
          <w:b w:val="0"/>
          <w:color w:val="auto"/>
          <w:sz w:val="24"/>
          <w:highlight w:val="none"/>
        </w:rPr>
        <w:t>1.</w:t>
      </w:r>
      <w:r>
        <w:rPr>
          <w:rFonts w:hint="default" w:ascii="Times New Roman" w:hAnsi="Times New Roman" w:cs="Times New Roman"/>
          <w:color w:val="auto"/>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AC79F59">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3AE087B">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w:t>
      </w:r>
      <w:r>
        <w:rPr>
          <w:rFonts w:hint="default" w:ascii="Times New Roman" w:hAnsi="Times New Roman" w:cs="Times New Roman"/>
          <w:color w:val="auto"/>
          <w:highlight w:val="none"/>
        </w:rPr>
        <w:t xml:space="preserve">潜在供应商访问电子招标响应交易平台的网络地址和方法： </w:t>
      </w:r>
    </w:p>
    <w:p w14:paraId="1F72AEBE">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2.1</w:t>
      </w:r>
      <w:r>
        <w:rPr>
          <w:rFonts w:hint="default" w:ascii="Times New Roman" w:hAnsi="Times New Roman" w:cs="Times New Roman"/>
          <w:color w:val="auto"/>
          <w:highlight w:val="none"/>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82FDDB1">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2.2</w:t>
      </w:r>
      <w:r>
        <w:rPr>
          <w:rFonts w:hint="default" w:ascii="Times New Roman" w:hAnsi="Times New Roman" w:cs="Times New Roman"/>
          <w:color w:val="auto"/>
          <w:highlight w:val="none"/>
        </w:rPr>
        <w:t xml:space="preserve">潜在投标人访问“苏采云”系统方法：江苏政府采购网首页-“苏采云”链接。 </w:t>
      </w:r>
    </w:p>
    <w:p w14:paraId="187E1D99">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2.3</w:t>
      </w:r>
      <w:r>
        <w:rPr>
          <w:rFonts w:hint="default" w:ascii="Times New Roman" w:hAnsi="Times New Roman" w:cs="Times New Roman"/>
          <w:color w:val="auto"/>
          <w:highlight w:val="none"/>
        </w:rPr>
        <w:t xml:space="preserve">采购文件（后缀名为“.kedt”）、供应商操作手册及政府采购客户端 工具可通过“苏采云”系统相应链接进行下载。 </w:t>
      </w:r>
    </w:p>
    <w:p w14:paraId="5BFFF7FA">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2.4</w:t>
      </w:r>
      <w:r>
        <w:rPr>
          <w:rFonts w:hint="default" w:ascii="Times New Roman" w:hAnsi="Times New Roman" w:cs="Times New Roman"/>
          <w:color w:val="auto"/>
          <w:highlight w:val="none"/>
        </w:rPr>
        <w:t xml:space="preserve">采购代理机构将数据电文形式的采购文件加载至“苏采云”系统，供潜在供应商下载或者查阅。 </w:t>
      </w:r>
    </w:p>
    <w:p w14:paraId="499811E8">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2.5</w:t>
      </w:r>
      <w:r>
        <w:rPr>
          <w:rFonts w:hint="default" w:ascii="Times New Roman" w:hAnsi="Times New Roman" w:cs="Times New Roman"/>
          <w:color w:val="auto"/>
          <w:highlight w:val="none"/>
        </w:rPr>
        <w:t xml:space="preserve">请潜在投标单位提前安装相应的控件（详见《“苏采云”系统供应商操作手册》）并使用谷歌浏览器登录“苏采云”系统参与不见面开评标。 </w:t>
      </w:r>
    </w:p>
    <w:p w14:paraId="15E142FD">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如潜在投标人未按上述要求操作，将自行承担所产生的风险。</w:t>
      </w:r>
    </w:p>
    <w:p w14:paraId="5A0DE2FC">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3.</w:t>
      </w:r>
      <w:r>
        <w:rPr>
          <w:rFonts w:hint="default" w:ascii="Times New Roman" w:hAnsi="Times New Roman" w:cs="Times New Roman"/>
          <w:color w:val="auto"/>
          <w:highlight w:val="none"/>
        </w:rPr>
        <w:t>有关本次招标的事项若存在变动或修改，敬请及时关注在“中国政府采购网”、“江苏政府采购网”、“盐城市政府采购网”发布的更正公告。</w:t>
      </w:r>
    </w:p>
    <w:p w14:paraId="6089D3DD">
      <w:pPr>
        <w:pStyle w:val="12"/>
        <w:keepNext w:val="0"/>
        <w:keepLines w:val="0"/>
        <w:pageBreakBefore w:val="0"/>
        <w:widowControl/>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highlight w:val="none"/>
        </w:rPr>
        <w:t>4.</w:t>
      </w:r>
      <w:r>
        <w:rPr>
          <w:rFonts w:hint="default" w:ascii="Times New Roman" w:hAnsi="Times New Roman" w:cs="Times New Roman"/>
          <w:color w:val="auto"/>
          <w:highlight w:val="none"/>
        </w:rPr>
        <w:t>本次招标不收取投标保证金，不收取质量保证金。</w:t>
      </w:r>
    </w:p>
    <w:p w14:paraId="43638987">
      <w:pPr>
        <w:pStyle w:val="2"/>
        <w:keepNext w:val="0"/>
        <w:keepLines w:val="0"/>
        <w:pageBreakBefore w:val="0"/>
        <w:widowControl/>
        <w:numPr>
          <w:ilvl w:val="0"/>
          <w:numId w:val="0"/>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eastAsia" w:ascii="Times New Roman" w:hAnsi="Times New Roman" w:eastAsia="宋体" w:cs="Times New Roman"/>
          <w:b/>
          <w:bCs/>
          <w:color w:val="auto"/>
          <w:kern w:val="44"/>
          <w:sz w:val="24"/>
          <w:szCs w:val="30"/>
          <w:highlight w:val="none"/>
        </w:rPr>
        <w:t>六、</w:t>
      </w:r>
      <w:r>
        <w:rPr>
          <w:rFonts w:hint="default" w:ascii="Times New Roman" w:hAnsi="Times New Roman" w:cs="Times New Roman"/>
          <w:color w:val="auto"/>
          <w:highlight w:val="none"/>
        </w:rPr>
        <w:t>对本次招标提出询问，请按以下方式联系。</w:t>
      </w:r>
      <w:bookmarkEnd w:id="25"/>
    </w:p>
    <w:p w14:paraId="4FA71C42">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1.采购人信息</w:t>
      </w:r>
    </w:p>
    <w:p w14:paraId="4C9E25A6">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名 称：盐城市盐都区住房和城乡建设局</w:t>
      </w:r>
    </w:p>
    <w:p w14:paraId="1124F97F">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地    址：盐城市盐都区新都路住建大厦</w:t>
      </w:r>
    </w:p>
    <w:p w14:paraId="5528EBFB">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 系 人：王先生</w:t>
      </w:r>
    </w:p>
    <w:p w14:paraId="1FE36E6E">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联系电话：13962009236</w:t>
      </w:r>
    </w:p>
    <w:p w14:paraId="59595C95">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2.采购代理机构信息</w:t>
      </w:r>
    </w:p>
    <w:p w14:paraId="72DFB01A">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名    称：江苏瑞杰项目管理顾问有限公司</w:t>
      </w:r>
    </w:p>
    <w:p w14:paraId="1F5F213F">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地　　址：盐城市盐都区盐渎路787号恩源电子商务园3#楼805、806室</w:t>
      </w:r>
    </w:p>
    <w:p w14:paraId="7C146713">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 系 人：</w:t>
      </w:r>
      <w:r>
        <w:rPr>
          <w:rFonts w:hint="default" w:ascii="Times New Roman" w:hAnsi="Times New Roman" w:eastAsia="宋体" w:cs="Times New Roman"/>
          <w:color w:val="auto"/>
          <w:highlight w:val="none"/>
          <w:lang w:val="en-US" w:eastAsia="zh-CN"/>
        </w:rPr>
        <w:t>吴先生</w:t>
      </w:r>
      <w:r>
        <w:rPr>
          <w:rFonts w:hint="default" w:ascii="Times New Roman" w:hAnsi="Times New Roman" w:eastAsia="宋体" w:cs="Times New Roman"/>
          <w:color w:val="auto"/>
          <w:highlight w:val="none"/>
        </w:rPr>
        <w:t xml:space="preserve">            </w:t>
      </w:r>
    </w:p>
    <w:p w14:paraId="3009F138">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联系电话：</w:t>
      </w:r>
      <w:r>
        <w:rPr>
          <w:rFonts w:hint="default" w:ascii="Times New Roman" w:hAnsi="Times New Roman" w:eastAsia="宋体" w:cs="Times New Roman"/>
          <w:color w:val="auto"/>
          <w:highlight w:val="none"/>
          <w:lang w:val="en-US" w:eastAsia="zh-CN"/>
        </w:rPr>
        <w:t>15351508899</w:t>
      </w:r>
    </w:p>
    <w:p w14:paraId="3CBC39C9">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3.项目联系方式</w:t>
      </w:r>
    </w:p>
    <w:p w14:paraId="2777C956">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项目联系人：</w:t>
      </w:r>
      <w:r>
        <w:rPr>
          <w:rFonts w:hint="default" w:ascii="Times New Roman" w:hAnsi="Times New Roman" w:eastAsia="宋体" w:cs="Times New Roman"/>
          <w:color w:val="auto"/>
          <w:highlight w:val="none"/>
          <w:lang w:val="en-US" w:eastAsia="zh-CN"/>
        </w:rPr>
        <w:t>吴先生</w:t>
      </w:r>
    </w:p>
    <w:p w14:paraId="5C52274C">
      <w:pPr>
        <w:pStyle w:val="12"/>
        <w:keepNext w:val="0"/>
        <w:keepLines w:val="0"/>
        <w:pageBreakBefore w:val="0"/>
        <w:widowControl/>
        <w:numPr>
          <w:ilvl w:val="0"/>
          <w:numId w:val="0"/>
        </w:numPr>
        <w:tabs>
          <w:tab w:val="left" w:pos="9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电　</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话：</w:t>
      </w:r>
      <w:r>
        <w:rPr>
          <w:rFonts w:hint="default" w:ascii="Times New Roman" w:hAnsi="Times New Roman" w:eastAsia="宋体" w:cs="Times New Roman"/>
          <w:color w:val="auto"/>
          <w:highlight w:val="none"/>
          <w:lang w:val="en-US" w:eastAsia="zh-CN"/>
        </w:rPr>
        <w:t>15351508899</w:t>
      </w:r>
      <w:r>
        <w:rPr>
          <w:rFonts w:hint="default" w:ascii="Times New Roman" w:hAnsi="Times New Roman" w:cs="Times New Roman"/>
          <w:color w:val="auto"/>
          <w:highlight w:val="none"/>
        </w:rPr>
        <w:t xml:space="preserve"> 　　　　　　　　　　  </w:t>
      </w:r>
    </w:p>
    <w:p w14:paraId="7B2C3C2F">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黑体" w:cs="Times New Roman"/>
          <w:b/>
          <w:color w:val="auto"/>
          <w:sz w:val="44"/>
          <w:szCs w:val="44"/>
          <w:highlight w:val="none"/>
        </w:rPr>
      </w:pPr>
      <w:bookmarkStart w:id="26" w:name="_Toc120614211"/>
      <w:r>
        <w:rPr>
          <w:rFonts w:hint="default" w:ascii="Times New Roman" w:hAnsi="Times New Roman" w:eastAsia="黑体" w:cs="Times New Roman"/>
          <w:b/>
          <w:color w:val="auto"/>
          <w:sz w:val="44"/>
          <w:szCs w:val="44"/>
          <w:highlight w:val="none"/>
        </w:rPr>
        <w:br w:type="page"/>
      </w:r>
    </w:p>
    <w:bookmarkEnd w:id="26"/>
    <w:p w14:paraId="7344024E">
      <w:pPr>
        <w:pStyle w:val="49"/>
        <w:keepNext w:val="0"/>
        <w:keepLines w:val="0"/>
        <w:pageBreakBefore w:val="0"/>
        <w:numPr>
          <w:ilvl w:val="0"/>
          <w:numId w:val="0"/>
        </w:numPr>
        <w:tabs>
          <w:tab w:val="left" w:pos="1602"/>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color w:val="auto"/>
          <w:highlight w:val="none"/>
        </w:rPr>
      </w:pPr>
      <w:bookmarkStart w:id="27" w:name="_Toc16938518"/>
      <w:bookmarkStart w:id="28" w:name="_Toc120614213"/>
      <w:bookmarkStart w:id="29" w:name="_Toc513029202"/>
      <w:bookmarkStart w:id="30" w:name="_Toc20823274"/>
      <w:r>
        <w:rPr>
          <w:rFonts w:hint="eastAsia" w:ascii="Times New Roman" w:hAnsi="Times New Roman" w:eastAsia="黑体" w:cs="Times New Roman"/>
          <w:color w:val="auto"/>
          <w:kern w:val="44"/>
          <w:sz w:val="32"/>
          <w:szCs w:val="36"/>
          <w:highlight w:val="none"/>
        </w:rPr>
        <w:t>第二章</w:t>
      </w:r>
      <w:r>
        <w:rPr>
          <w:rFonts w:hint="eastAsia" w:cs="Times New Roman"/>
          <w:color w:val="auto"/>
          <w:kern w:val="44"/>
          <w:sz w:val="32"/>
          <w:szCs w:val="36"/>
          <w:highlight w:val="none"/>
          <w:lang w:val="en-US" w:eastAsia="zh-CN"/>
        </w:rPr>
        <w:t xml:space="preserve">  </w:t>
      </w:r>
      <w:r>
        <w:rPr>
          <w:rFonts w:hint="default" w:ascii="Times New Roman" w:hAnsi="Times New Roman" w:cs="Times New Roman"/>
          <w:color w:val="auto"/>
          <w:highlight w:val="none"/>
        </w:rPr>
        <w:t>投标人须知</w:t>
      </w:r>
      <w:bookmarkEnd w:id="27"/>
      <w:bookmarkEnd w:id="28"/>
      <w:bookmarkEnd w:id="29"/>
      <w:bookmarkEnd w:id="30"/>
    </w:p>
    <w:p w14:paraId="33BDE369">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31" w:name="_Toc513029203"/>
      <w:bookmarkStart w:id="32" w:name="_Toc20823275"/>
      <w:bookmarkStart w:id="33" w:name="_Toc16938519"/>
      <w:bookmarkStart w:id="34" w:name="_Toc120614214"/>
      <w:r>
        <w:rPr>
          <w:rFonts w:hint="default" w:ascii="Times New Roman" w:hAnsi="Times New Roman" w:cs="Times New Roman"/>
          <w:color w:val="auto"/>
          <w:highlight w:val="none"/>
        </w:rPr>
        <w:t>总则</w:t>
      </w:r>
      <w:bookmarkEnd w:id="31"/>
      <w:bookmarkEnd w:id="32"/>
      <w:bookmarkEnd w:id="33"/>
      <w:bookmarkEnd w:id="34"/>
    </w:p>
    <w:p w14:paraId="3C4D5C37">
      <w:pPr>
        <w:pStyle w:val="3"/>
        <w:keepNext w:val="0"/>
        <w:keepLines w:val="0"/>
        <w:pageBreakBefore w:val="0"/>
        <w:numPr>
          <w:ilvl w:val="0"/>
          <w:numId w:val="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35" w:name="_Toc20823276"/>
      <w:bookmarkStart w:id="36" w:name="_Toc458694821"/>
      <w:bookmarkStart w:id="37" w:name="_Toc513029204"/>
      <w:bookmarkStart w:id="38" w:name="_Hlt16619475"/>
      <w:r>
        <w:rPr>
          <w:rFonts w:hint="default" w:ascii="Times New Roman" w:hAnsi="Times New Roman" w:cs="Times New Roman"/>
          <w:color w:val="auto"/>
          <w:highlight w:val="none"/>
        </w:rPr>
        <w:t>招标方式</w:t>
      </w:r>
      <w:bookmarkEnd w:id="35"/>
      <w:bookmarkEnd w:id="36"/>
      <w:bookmarkEnd w:id="37"/>
    </w:p>
    <w:p w14:paraId="3F82A09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1.1本次招标采取公开招标方式，本招标文件仅适用于招标公告中所述项目。</w:t>
      </w:r>
    </w:p>
    <w:p w14:paraId="55830F2D">
      <w:pPr>
        <w:pStyle w:val="3"/>
        <w:keepNext w:val="0"/>
        <w:keepLines w:val="0"/>
        <w:pageBreakBefore w:val="0"/>
        <w:numPr>
          <w:ilvl w:val="0"/>
          <w:numId w:val="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39" w:name="_Toc513029205"/>
      <w:bookmarkStart w:id="40" w:name="_Toc16938521"/>
      <w:bookmarkStart w:id="41" w:name="_Toc20823277"/>
      <w:r>
        <w:rPr>
          <w:rFonts w:hint="default" w:ascii="Times New Roman" w:hAnsi="Times New Roman" w:cs="Times New Roman"/>
          <w:color w:val="auto"/>
          <w:highlight w:val="none"/>
        </w:rPr>
        <w:t>合格的投标人</w:t>
      </w:r>
      <w:bookmarkEnd w:id="39"/>
      <w:bookmarkEnd w:id="40"/>
      <w:bookmarkEnd w:id="41"/>
    </w:p>
    <w:p w14:paraId="07966610">
      <w:pPr>
        <w:pStyle w:val="12"/>
        <w:keepNext w:val="0"/>
        <w:keepLines w:val="0"/>
        <w:pageBreakBefore w:val="0"/>
        <w:numPr>
          <w:ilvl w:val="0"/>
          <w:numId w:val="3"/>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满足招标公告中供应商的资格要求的规定。</w:t>
      </w:r>
    </w:p>
    <w:p w14:paraId="281BA281">
      <w:pPr>
        <w:pStyle w:val="12"/>
        <w:keepNext w:val="0"/>
        <w:keepLines w:val="0"/>
        <w:pageBreakBefore w:val="0"/>
        <w:numPr>
          <w:ilvl w:val="0"/>
          <w:numId w:val="3"/>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满足本文件实质性要求和条件的规定。</w:t>
      </w:r>
    </w:p>
    <w:p w14:paraId="363F291D">
      <w:pPr>
        <w:pStyle w:val="3"/>
        <w:keepNext w:val="0"/>
        <w:keepLines w:val="0"/>
        <w:pageBreakBefore w:val="0"/>
        <w:numPr>
          <w:ilvl w:val="0"/>
          <w:numId w:val="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42" w:name="_Toc16938522"/>
      <w:bookmarkStart w:id="43" w:name="_Toc20823278"/>
      <w:bookmarkStart w:id="44" w:name="_Toc513029206"/>
      <w:r>
        <w:rPr>
          <w:rFonts w:hint="default" w:ascii="Times New Roman" w:hAnsi="Times New Roman" w:cs="Times New Roman"/>
          <w:color w:val="auto"/>
          <w:highlight w:val="none"/>
        </w:rPr>
        <w:t>适用法律</w:t>
      </w:r>
      <w:bookmarkEnd w:id="42"/>
      <w:bookmarkEnd w:id="43"/>
      <w:bookmarkEnd w:id="44"/>
      <w:r>
        <w:rPr>
          <w:rFonts w:hint="default" w:ascii="Times New Roman" w:hAnsi="Times New Roman" w:cs="Times New Roman"/>
          <w:color w:val="auto"/>
          <w:highlight w:val="none"/>
        </w:rPr>
        <w:t>和标准</w:t>
      </w:r>
    </w:p>
    <w:p w14:paraId="446443C2">
      <w:pPr>
        <w:pStyle w:val="12"/>
        <w:keepNext w:val="0"/>
        <w:keepLines w:val="0"/>
        <w:pageBreakBefore w:val="0"/>
        <w:numPr>
          <w:ilvl w:val="0"/>
          <w:numId w:val="4"/>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本次招标及由此产生的合同受中华人民共和国有关的法律法规制约和保护。</w:t>
      </w:r>
    </w:p>
    <w:p w14:paraId="5548786A">
      <w:pPr>
        <w:pStyle w:val="12"/>
        <w:keepNext w:val="0"/>
        <w:keepLines w:val="0"/>
        <w:pageBreakBefore w:val="0"/>
        <w:numPr>
          <w:ilvl w:val="0"/>
          <w:numId w:val="4"/>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在本项目政府采购活动过程中，如果所执行的标准有更新的，按照最新标准执行。</w:t>
      </w:r>
    </w:p>
    <w:p w14:paraId="54260756">
      <w:pPr>
        <w:pStyle w:val="3"/>
        <w:keepNext w:val="0"/>
        <w:keepLines w:val="0"/>
        <w:pageBreakBefore w:val="0"/>
        <w:numPr>
          <w:ilvl w:val="0"/>
          <w:numId w:val="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45" w:name="_Toc513029207"/>
      <w:bookmarkStart w:id="46" w:name="_Toc462564067"/>
      <w:bookmarkStart w:id="47" w:name="_Toc20823279"/>
      <w:bookmarkStart w:id="48" w:name="_Toc16938523"/>
      <w:r>
        <w:rPr>
          <w:rFonts w:hint="default" w:ascii="Times New Roman" w:hAnsi="Times New Roman" w:cs="Times New Roman"/>
          <w:color w:val="auto"/>
          <w:highlight w:val="none"/>
        </w:rPr>
        <w:t>投标费用</w:t>
      </w:r>
      <w:bookmarkEnd w:id="45"/>
      <w:bookmarkEnd w:id="46"/>
      <w:bookmarkEnd w:id="47"/>
      <w:bookmarkEnd w:id="48"/>
    </w:p>
    <w:p w14:paraId="357A6E5F">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投标人应自行承担所有与参加投标有关的费用，无论投标过程中的做法和结果如何，采购人及采购代理机构在任何情况下均无义务和责任承担这些费用。</w:t>
      </w:r>
    </w:p>
    <w:p w14:paraId="7B637573">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ascii="宋体" w:hAnsi="宋体" w:eastAsia="宋体" w:cs="宋体"/>
          <w:color w:val="auto"/>
          <w:highlight w:val="none"/>
        </w:rPr>
        <w:t>本项目中标单位在领取中标通知书前，须向采购代理机构江苏瑞杰项目管理顾问有限公司支付招标代理服务费，招标代理服务费按苏招协[2022]002文收费标准</w:t>
      </w:r>
      <w:r>
        <w:rPr>
          <w:rFonts w:hint="eastAsia" w:ascii="宋体" w:hAnsi="宋体" w:eastAsia="宋体" w:cs="宋体"/>
          <w:color w:val="auto"/>
          <w:highlight w:val="none"/>
          <w:lang w:val="en-US" w:eastAsia="zh-CN"/>
        </w:rPr>
        <w:t>的39.98%</w:t>
      </w:r>
      <w:r>
        <w:rPr>
          <w:rFonts w:hint="eastAsia" w:ascii="宋体" w:hAnsi="宋体" w:eastAsia="宋体" w:cs="宋体"/>
          <w:color w:val="auto"/>
          <w:highlight w:val="none"/>
        </w:rPr>
        <w:t>收取，上述费用由各投标人在投标时自行综合考虑分摊在投标报价中，且不得单列，采购人不再承担上述费用</w:t>
      </w:r>
      <w:r>
        <w:rPr>
          <w:rFonts w:hint="default" w:ascii="Times New Roman" w:hAnsi="Times New Roman" w:cs="Times New Roman"/>
          <w:color w:val="auto"/>
          <w:highlight w:val="none"/>
        </w:rPr>
        <w:t>。</w:t>
      </w:r>
    </w:p>
    <w:p w14:paraId="7A81214C">
      <w:pPr>
        <w:pStyle w:val="3"/>
        <w:keepNext w:val="0"/>
        <w:keepLines w:val="0"/>
        <w:pageBreakBefore w:val="0"/>
        <w:numPr>
          <w:ilvl w:val="0"/>
          <w:numId w:val="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招标文件的约束力</w:t>
      </w:r>
    </w:p>
    <w:p w14:paraId="316F2B5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5.1投标人一旦参加本项目采购活动，即被认为接受了本招标文件的规定和约束。</w:t>
      </w:r>
    </w:p>
    <w:p w14:paraId="7B7A7C5D">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49" w:name="_Toc20823281"/>
      <w:bookmarkStart w:id="50" w:name="_Toc513029209"/>
      <w:bookmarkStart w:id="51" w:name="_Toc120614215"/>
      <w:bookmarkStart w:id="52" w:name="_Toc16938525"/>
      <w:r>
        <w:rPr>
          <w:rFonts w:hint="default" w:ascii="Times New Roman" w:hAnsi="Times New Roman" w:cs="Times New Roman"/>
          <w:color w:val="auto"/>
          <w:highlight w:val="none"/>
        </w:rPr>
        <w:t>招标文件</w:t>
      </w:r>
      <w:bookmarkEnd w:id="49"/>
      <w:bookmarkEnd w:id="50"/>
      <w:bookmarkEnd w:id="51"/>
      <w:bookmarkEnd w:id="52"/>
    </w:p>
    <w:p w14:paraId="04AFF02B">
      <w:pPr>
        <w:pStyle w:val="3"/>
        <w:keepNext w:val="0"/>
        <w:keepLines w:val="0"/>
        <w:pageBreakBefore w:val="0"/>
        <w:numPr>
          <w:ilvl w:val="0"/>
          <w:numId w:val="6"/>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53" w:name="_Toc20823282"/>
      <w:bookmarkStart w:id="54" w:name="_Toc513029210"/>
      <w:bookmarkStart w:id="55" w:name="_Toc16938526"/>
      <w:r>
        <w:rPr>
          <w:rFonts w:hint="default" w:ascii="Times New Roman" w:hAnsi="Times New Roman" w:cs="Times New Roman"/>
          <w:color w:val="auto"/>
          <w:highlight w:val="none"/>
        </w:rPr>
        <w:t>招标文件构成</w:t>
      </w:r>
      <w:bookmarkEnd w:id="53"/>
      <w:bookmarkEnd w:id="54"/>
      <w:bookmarkEnd w:id="55"/>
    </w:p>
    <w:p w14:paraId="1C88388A">
      <w:pPr>
        <w:pStyle w:val="12"/>
        <w:keepNext w:val="0"/>
        <w:keepLines w:val="0"/>
        <w:pageBreakBefore w:val="0"/>
        <w:numPr>
          <w:ilvl w:val="0"/>
          <w:numId w:val="7"/>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招标文件由以下部分组成：</w:t>
      </w:r>
    </w:p>
    <w:p w14:paraId="0518EC9E">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招标公告</w:t>
      </w:r>
    </w:p>
    <w:p w14:paraId="21D9AB23">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投标人须知</w:t>
      </w:r>
    </w:p>
    <w:p w14:paraId="3A737100">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合同文本</w:t>
      </w:r>
    </w:p>
    <w:p w14:paraId="44CFD630">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采购需求</w:t>
      </w:r>
    </w:p>
    <w:p w14:paraId="0A28BEB5">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评标方法与评标标准</w:t>
      </w:r>
    </w:p>
    <w:p w14:paraId="5D212B63">
      <w:pPr>
        <w:pStyle w:val="12"/>
        <w:keepNext w:val="0"/>
        <w:keepLines w:val="0"/>
        <w:pageBreakBefore w:val="0"/>
        <w:numPr>
          <w:ilvl w:val="0"/>
          <w:numId w:val="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投标文件格式</w:t>
      </w:r>
    </w:p>
    <w:p w14:paraId="0B02F5E3">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请仔细检查招标文件是否齐全，如有缺漏请立即与采购人联系解决。</w:t>
      </w:r>
    </w:p>
    <w:p w14:paraId="0CC06D21">
      <w:pPr>
        <w:pStyle w:val="12"/>
        <w:keepNext w:val="0"/>
        <w:keepLines w:val="0"/>
        <w:pageBreakBefore w:val="0"/>
        <w:numPr>
          <w:ilvl w:val="0"/>
          <w:numId w:val="7"/>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ABF19F">
      <w:pPr>
        <w:pStyle w:val="3"/>
        <w:keepNext w:val="0"/>
        <w:keepLines w:val="0"/>
        <w:pageBreakBefore w:val="0"/>
        <w:numPr>
          <w:ilvl w:val="0"/>
          <w:numId w:val="6"/>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56" w:name="_Toc20823283"/>
      <w:bookmarkStart w:id="57" w:name="_Toc513029211"/>
      <w:bookmarkStart w:id="58" w:name="_Toc16938527"/>
      <w:bookmarkStart w:id="59" w:name="_Toc462564070"/>
      <w:r>
        <w:rPr>
          <w:rFonts w:hint="default" w:ascii="Times New Roman" w:hAnsi="Times New Roman" w:cs="Times New Roman"/>
          <w:color w:val="auto"/>
          <w:highlight w:val="none"/>
        </w:rPr>
        <w:t>招标文件的澄清</w:t>
      </w:r>
      <w:bookmarkEnd w:id="56"/>
      <w:bookmarkEnd w:id="57"/>
      <w:bookmarkEnd w:id="58"/>
      <w:bookmarkEnd w:id="59"/>
    </w:p>
    <w:p w14:paraId="081D060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7.1任何要求对招标文件进行澄清的投标人，应在投标截止期十日前按招标公告中的通讯地址，以书面形式通知采购人。</w:t>
      </w:r>
    </w:p>
    <w:p w14:paraId="3081BAF2">
      <w:pPr>
        <w:pStyle w:val="3"/>
        <w:keepNext w:val="0"/>
        <w:keepLines w:val="0"/>
        <w:pageBreakBefore w:val="0"/>
        <w:numPr>
          <w:ilvl w:val="0"/>
          <w:numId w:val="6"/>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60" w:name="_Toc20823284"/>
      <w:bookmarkStart w:id="61" w:name="_Toc16938528"/>
      <w:bookmarkStart w:id="62" w:name="_Toc462564071"/>
      <w:bookmarkStart w:id="63" w:name="_Toc513029212"/>
      <w:r>
        <w:rPr>
          <w:rFonts w:hint="default" w:ascii="Times New Roman" w:hAnsi="Times New Roman" w:cs="Times New Roman"/>
          <w:color w:val="auto"/>
          <w:highlight w:val="none"/>
        </w:rPr>
        <w:t>招标文件的修改</w:t>
      </w:r>
      <w:bookmarkEnd w:id="60"/>
      <w:bookmarkEnd w:id="61"/>
      <w:bookmarkEnd w:id="62"/>
      <w:bookmarkEnd w:id="63"/>
    </w:p>
    <w:p w14:paraId="716506D7">
      <w:pPr>
        <w:pStyle w:val="12"/>
        <w:keepNext w:val="0"/>
        <w:keepLines w:val="0"/>
        <w:pageBreakBefore w:val="0"/>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在投标截止时间前，采购人可以对招标文件进行修改。</w:t>
      </w:r>
    </w:p>
    <w:p w14:paraId="4EEC039D">
      <w:pPr>
        <w:pStyle w:val="12"/>
        <w:keepNext w:val="0"/>
        <w:keepLines w:val="0"/>
        <w:pageBreakBefore w:val="0"/>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采购人和采购人有权按照法定的要求推迟投标截止日期和开标日期。</w:t>
      </w:r>
    </w:p>
    <w:p w14:paraId="1C15B86F">
      <w:pPr>
        <w:pStyle w:val="12"/>
        <w:keepNext w:val="0"/>
        <w:keepLines w:val="0"/>
        <w:pageBreakBefore w:val="0"/>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招标文件的修改将在“中国政府采购网”、“江苏政府采购网”、“盐城市政府采购网”公布，补充文件将作为招标文件的组成部分，并对投标人具有约束力。</w:t>
      </w:r>
    </w:p>
    <w:p w14:paraId="020C4D57">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64" w:name="_Toc462564072"/>
      <w:bookmarkStart w:id="65" w:name="_Toc513029213"/>
      <w:bookmarkStart w:id="66" w:name="_Toc16938529"/>
      <w:bookmarkStart w:id="67" w:name="_Toc20823285"/>
      <w:bookmarkStart w:id="68" w:name="_Toc120614216"/>
      <w:r>
        <w:rPr>
          <w:rFonts w:hint="default" w:ascii="Times New Roman" w:hAnsi="Times New Roman" w:cs="Times New Roman"/>
          <w:color w:val="auto"/>
          <w:highlight w:val="none"/>
        </w:rPr>
        <w:t>投标文件的编制</w:t>
      </w:r>
      <w:bookmarkEnd w:id="64"/>
      <w:bookmarkEnd w:id="65"/>
      <w:bookmarkEnd w:id="66"/>
      <w:bookmarkEnd w:id="67"/>
      <w:bookmarkEnd w:id="68"/>
    </w:p>
    <w:p w14:paraId="69819E50">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69" w:name="_Toc513029214"/>
      <w:bookmarkStart w:id="70" w:name="_Toc20823286"/>
      <w:bookmarkStart w:id="71" w:name="_Toc16938530"/>
      <w:bookmarkStart w:id="72" w:name="_Toc462564073"/>
      <w:r>
        <w:rPr>
          <w:rFonts w:hint="default" w:ascii="Times New Roman" w:hAnsi="Times New Roman" w:cs="Times New Roman"/>
          <w:color w:val="auto"/>
          <w:highlight w:val="none"/>
        </w:rPr>
        <w:t>投标文件的语言及度量衡单位</w:t>
      </w:r>
      <w:bookmarkEnd w:id="69"/>
      <w:bookmarkEnd w:id="70"/>
      <w:bookmarkEnd w:id="71"/>
      <w:bookmarkEnd w:id="72"/>
    </w:p>
    <w:p w14:paraId="679E6CC3">
      <w:pPr>
        <w:pStyle w:val="12"/>
        <w:keepNext w:val="0"/>
        <w:keepLines w:val="0"/>
        <w:pageBreakBefore w:val="0"/>
        <w:numPr>
          <w:ilvl w:val="0"/>
          <w:numId w:val="1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投标人提交的投标文件以及投标人与采购人就有关投标的所有来往通知、函件和文件均应使用</w:t>
      </w:r>
      <w:r>
        <w:rPr>
          <w:rFonts w:hint="default" w:ascii="Times New Roman" w:hAnsi="Times New Roman" w:cs="Times New Roman"/>
          <w:b/>
          <w:color w:val="auto"/>
          <w:highlight w:val="none"/>
        </w:rPr>
        <w:t>简体中文</w:t>
      </w:r>
      <w:r>
        <w:rPr>
          <w:rFonts w:hint="default" w:ascii="Times New Roman" w:hAnsi="Times New Roman" w:cs="Times New Roman"/>
          <w:color w:val="auto"/>
          <w:highlight w:val="none"/>
        </w:rPr>
        <w:t>。</w:t>
      </w:r>
    </w:p>
    <w:p w14:paraId="50575ECF">
      <w:pPr>
        <w:pStyle w:val="12"/>
        <w:keepNext w:val="0"/>
        <w:keepLines w:val="0"/>
        <w:pageBreakBefore w:val="0"/>
        <w:numPr>
          <w:ilvl w:val="0"/>
          <w:numId w:val="1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除技术性能另有规定外，投标文件所使用的度量衡单位，均须采用国家法定计量单位。</w:t>
      </w:r>
    </w:p>
    <w:p w14:paraId="288B8252">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73" w:name="_Toc513029215"/>
      <w:bookmarkStart w:id="74" w:name="_Toc462564074"/>
      <w:bookmarkStart w:id="75" w:name="_Toc20823287"/>
      <w:bookmarkStart w:id="76" w:name="_Toc16938531"/>
      <w:r>
        <w:rPr>
          <w:rFonts w:hint="default" w:ascii="Times New Roman" w:hAnsi="Times New Roman" w:cs="Times New Roman"/>
          <w:color w:val="auto"/>
          <w:highlight w:val="none"/>
        </w:rPr>
        <w:t>投标文件构成</w:t>
      </w:r>
      <w:bookmarkEnd w:id="73"/>
      <w:bookmarkEnd w:id="74"/>
      <w:bookmarkEnd w:id="75"/>
      <w:bookmarkEnd w:id="76"/>
    </w:p>
    <w:p w14:paraId="0E59CE41">
      <w:pPr>
        <w:pStyle w:val="12"/>
        <w:keepNext w:val="0"/>
        <w:keepLines w:val="0"/>
        <w:pageBreakBefore w:val="0"/>
        <w:numPr>
          <w:ilvl w:val="0"/>
          <w:numId w:val="1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投标人编写的投标文件应包括资格证明文件、符合性证明文件、投标分项报价表、技术要求响应及偏离表、商务要求响应及偏离表、其他证明文件、投标函、开标一览表等部分。</w:t>
      </w:r>
    </w:p>
    <w:p w14:paraId="24A77A08">
      <w:pPr>
        <w:pStyle w:val="12"/>
        <w:keepNext w:val="0"/>
        <w:keepLines w:val="0"/>
        <w:pageBreakBefore w:val="0"/>
        <w:numPr>
          <w:ilvl w:val="0"/>
          <w:numId w:val="1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标书制作工具中格式和内容与“中国政府采购网”、“江苏政府采购网”、“盐城市政府采购网”发布的招标文件不一致，请以“中国政府采购网”、“江苏政府采购网”、“盐城市政府采购网”发布的招标文件为准。</w:t>
      </w:r>
    </w:p>
    <w:p w14:paraId="07EE72A7">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77" w:name="_Toc49090509"/>
      <w:bookmarkStart w:id="78" w:name="_Toc14577357"/>
      <w:bookmarkStart w:id="79" w:name="_Toc513029216"/>
      <w:bookmarkStart w:id="80" w:name="_Toc14577354"/>
      <w:bookmarkStart w:id="81" w:name="_Toc513029219"/>
      <w:bookmarkStart w:id="82" w:name="_Toc49090507"/>
      <w:bookmarkStart w:id="83" w:name="_Hlt26668975"/>
      <w:bookmarkStart w:id="84" w:name="_Hlt26670360"/>
      <w:bookmarkStart w:id="85" w:name="_Hlt26954838"/>
      <w:r>
        <w:rPr>
          <w:rFonts w:hint="default" w:ascii="Times New Roman" w:hAnsi="Times New Roman" w:cs="Times New Roman"/>
          <w:color w:val="auto"/>
          <w:highlight w:val="none"/>
        </w:rPr>
        <w:t>证明投标人及投标标的符合招标文件规定的文件</w:t>
      </w:r>
      <w:bookmarkEnd w:id="77"/>
      <w:bookmarkEnd w:id="78"/>
      <w:bookmarkEnd w:id="79"/>
      <w:bookmarkEnd w:id="80"/>
      <w:bookmarkEnd w:id="81"/>
      <w:bookmarkEnd w:id="82"/>
      <w:bookmarkStart w:id="86" w:name="_Toc49090508"/>
      <w:bookmarkStart w:id="87" w:name="_Toc14577355"/>
    </w:p>
    <w:p w14:paraId="03E87E6D">
      <w:pPr>
        <w:pStyle w:val="12"/>
        <w:keepNext w:val="0"/>
        <w:keepLines w:val="0"/>
        <w:pageBreakBefore w:val="0"/>
        <w:numPr>
          <w:ilvl w:val="0"/>
          <w:numId w:val="1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投标人应按照法律、法规、规章和规范性文件以及招标文件要求提交证明文件，证明其及投标标的符合招标文件规定。</w:t>
      </w:r>
      <w:bookmarkEnd w:id="86"/>
      <w:bookmarkEnd w:id="87"/>
    </w:p>
    <w:p w14:paraId="75601E3F">
      <w:pPr>
        <w:pStyle w:val="12"/>
        <w:keepNext w:val="0"/>
        <w:keepLines w:val="0"/>
        <w:pageBreakBefore w:val="0"/>
        <w:numPr>
          <w:ilvl w:val="0"/>
          <w:numId w:val="1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招标文件对证明文件无明确形式要求的，证明文件可以以文字资料、图纸和数据等形式提交。</w:t>
      </w:r>
    </w:p>
    <w:p w14:paraId="3F41F5BC">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88" w:name="_Hlt26954731"/>
      <w:bookmarkStart w:id="89" w:name="_Hlt26670403"/>
      <w:bookmarkStart w:id="90" w:name="_Hlt26670482"/>
      <w:bookmarkStart w:id="91" w:name="_Hlt26670373"/>
      <w:bookmarkStart w:id="92" w:name="_Hlt26954844"/>
      <w:bookmarkStart w:id="93" w:name="_Hlt26954848"/>
      <w:bookmarkStart w:id="94" w:name="_Hlt26668983"/>
      <w:bookmarkStart w:id="95" w:name="_Hlt26954840"/>
      <w:bookmarkStart w:id="96" w:name="_Hlt26954846"/>
      <w:bookmarkStart w:id="97" w:name="_Hlt26670425"/>
      <w:bookmarkStart w:id="98" w:name="_Hlt26954842"/>
      <w:bookmarkStart w:id="99" w:name="_Hlt26670486"/>
      <w:bookmarkStart w:id="100" w:name="_Hlt26670399"/>
      <w:r>
        <w:rPr>
          <w:rFonts w:hint="default" w:ascii="Times New Roman" w:hAnsi="Times New Roman" w:cs="Times New Roman"/>
          <w:color w:val="auto"/>
          <w:highlight w:val="none"/>
        </w:rPr>
        <w:t>投标分项报价表</w:t>
      </w:r>
    </w:p>
    <w:p w14:paraId="336B28D1">
      <w:pPr>
        <w:pStyle w:val="12"/>
        <w:keepNext w:val="0"/>
        <w:keepLines w:val="0"/>
        <w:pageBreakBefore w:val="0"/>
        <w:numPr>
          <w:ilvl w:val="0"/>
          <w:numId w:val="1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投标人应按照招标文件规定格式填报投标分项报价表。</w:t>
      </w:r>
    </w:p>
    <w:p w14:paraId="571E01AD">
      <w:pPr>
        <w:pStyle w:val="12"/>
        <w:keepNext w:val="0"/>
        <w:keepLines w:val="0"/>
        <w:pageBreakBefore w:val="0"/>
        <w:numPr>
          <w:ilvl w:val="0"/>
          <w:numId w:val="1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投标货币。投标文件中的单价和总价无特殊规定的采用人民币报价，以元为单位标注。招标文件中另有规定的按规定执行。</w:t>
      </w:r>
    </w:p>
    <w:p w14:paraId="5D7CD127">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技术要求响应及偏离表、商务要求响应及偏离表</w:t>
      </w:r>
    </w:p>
    <w:p w14:paraId="5E8C995B">
      <w:pPr>
        <w:pStyle w:val="12"/>
        <w:keepNext w:val="0"/>
        <w:keepLines w:val="0"/>
        <w:pageBreakBefore w:val="0"/>
        <w:numPr>
          <w:ilvl w:val="0"/>
          <w:numId w:val="1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投标人需对招标文件中的技术要求与商务要求逐项作出响应或偏离，并说明原因。</w:t>
      </w:r>
    </w:p>
    <w:p w14:paraId="07915A82">
      <w:pPr>
        <w:pStyle w:val="12"/>
        <w:keepNext w:val="0"/>
        <w:keepLines w:val="0"/>
        <w:pageBreakBefore w:val="0"/>
        <w:numPr>
          <w:ilvl w:val="0"/>
          <w:numId w:val="1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投标人可在投标文件中提供认为需要的其他技术文件或说明。</w:t>
      </w:r>
    </w:p>
    <w:p w14:paraId="73CC70F0">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01" w:name="_Toc14577359"/>
      <w:bookmarkStart w:id="102" w:name="_Toc49090510"/>
      <w:r>
        <w:rPr>
          <w:rFonts w:hint="default" w:ascii="Times New Roman" w:hAnsi="Times New Roman" w:cs="Times New Roman"/>
          <w:color w:val="auto"/>
          <w:highlight w:val="none"/>
        </w:rPr>
        <w:t>投标函和开标一览表</w:t>
      </w:r>
      <w:bookmarkEnd w:id="101"/>
      <w:bookmarkEnd w:id="102"/>
    </w:p>
    <w:p w14:paraId="68D74A2A">
      <w:pPr>
        <w:pStyle w:val="12"/>
        <w:keepNext w:val="0"/>
        <w:keepLines w:val="0"/>
        <w:pageBreakBefore w:val="0"/>
        <w:numPr>
          <w:ilvl w:val="0"/>
          <w:numId w:val="1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投标人应按照招标文件中提供的格式完整、正确填写投标函、开标一览表。</w:t>
      </w:r>
    </w:p>
    <w:p w14:paraId="1F8279A8">
      <w:pPr>
        <w:pStyle w:val="12"/>
        <w:keepNext w:val="0"/>
        <w:keepLines w:val="0"/>
        <w:pageBreakBefore w:val="0"/>
        <w:numPr>
          <w:ilvl w:val="0"/>
          <w:numId w:val="1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对于采用货币报价的项目，开标一览表中的投标总报价应与投标分项报价表中的投标总报价一致，如不一致，不作为无效投标处理，但评标时按开标一览表中价格为准</w:t>
      </w:r>
      <w:r>
        <w:rPr>
          <w:rFonts w:hint="default" w:ascii="Times New Roman" w:hAnsi="Times New Roman" w:cs="Times New Roman"/>
          <w:b/>
          <w:color w:val="auto"/>
          <w:highlight w:val="none"/>
        </w:rPr>
        <w:t>。</w:t>
      </w:r>
    </w:p>
    <w:p w14:paraId="30206AB2">
      <w:pPr>
        <w:pStyle w:val="12"/>
        <w:keepNext w:val="0"/>
        <w:keepLines w:val="0"/>
        <w:pageBreakBefore w:val="0"/>
        <w:numPr>
          <w:ilvl w:val="0"/>
          <w:numId w:val="1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投标文件的大写金额和小写金额不一致的，以大写金额为准；对不同文字文本投标的解释发生异议的，以中文文本为准。</w:t>
      </w:r>
    </w:p>
    <w:p w14:paraId="1943CDD2">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03" w:name="_Toc49090511"/>
      <w:bookmarkStart w:id="104" w:name="_Toc14577360"/>
      <w:bookmarkStart w:id="105" w:name="_Hlt26954734"/>
      <w:bookmarkStart w:id="106" w:name="_Hlt26670489"/>
      <w:bookmarkStart w:id="107" w:name="_Hlt26954850"/>
      <w:r>
        <w:rPr>
          <w:rFonts w:hint="default" w:ascii="Times New Roman" w:hAnsi="Times New Roman" w:cs="Times New Roman"/>
          <w:color w:val="auto"/>
          <w:highlight w:val="none"/>
        </w:rPr>
        <w:t>投标有效期</w:t>
      </w:r>
      <w:bookmarkEnd w:id="103"/>
      <w:bookmarkEnd w:id="104"/>
    </w:p>
    <w:p w14:paraId="010ABC6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15.1投标有效期为采购人规定的开标之日后</w:t>
      </w:r>
      <w:r>
        <w:rPr>
          <w:rFonts w:hint="default" w:ascii="Times New Roman" w:hAnsi="Times New Roman" w:cs="Times New Roman"/>
          <w:b/>
          <w:color w:val="auto"/>
          <w:highlight w:val="none"/>
          <w:u w:val="single"/>
        </w:rPr>
        <w:t>九十（90）天</w:t>
      </w:r>
      <w:r>
        <w:rPr>
          <w:rFonts w:hint="default" w:ascii="Times New Roman" w:hAnsi="Times New Roman" w:cs="Times New Roman"/>
          <w:color w:val="auto"/>
          <w:highlight w:val="none"/>
        </w:rPr>
        <w:t>。投标有效期比规定短的将被视为未实质性响应招标文件而予以拒绝。</w:t>
      </w:r>
    </w:p>
    <w:p w14:paraId="718CB72E">
      <w:pPr>
        <w:pStyle w:val="3"/>
        <w:keepNext w:val="0"/>
        <w:keepLines w:val="0"/>
        <w:pageBreakBefore w:val="0"/>
        <w:numPr>
          <w:ilvl w:val="0"/>
          <w:numId w:val="1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投标有效期的延长</w:t>
      </w:r>
    </w:p>
    <w:p w14:paraId="61234781">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C4BEF23">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08" w:name="_Toc16938540"/>
      <w:bookmarkStart w:id="109" w:name="_Toc20823296"/>
      <w:bookmarkStart w:id="110" w:name="_Toc120614217"/>
      <w:bookmarkStart w:id="111" w:name="_Toc513029224"/>
      <w:bookmarkStart w:id="112" w:name="_Hlt26954852"/>
      <w:bookmarkStart w:id="113" w:name="_Hlt26954739"/>
      <w:r>
        <w:rPr>
          <w:rFonts w:hint="default" w:ascii="Times New Roman" w:hAnsi="Times New Roman" w:cs="Times New Roman"/>
          <w:color w:val="auto"/>
          <w:highlight w:val="none"/>
        </w:rPr>
        <w:t>投标文件的递交</w:t>
      </w:r>
      <w:bookmarkEnd w:id="108"/>
      <w:bookmarkEnd w:id="109"/>
      <w:bookmarkEnd w:id="110"/>
      <w:bookmarkEnd w:id="111"/>
    </w:p>
    <w:p w14:paraId="67568B85">
      <w:pPr>
        <w:pStyle w:val="3"/>
        <w:keepNext w:val="0"/>
        <w:keepLines w:val="0"/>
        <w:pageBreakBefore w:val="0"/>
        <w:numPr>
          <w:ilvl w:val="0"/>
          <w:numId w:val="1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14" w:name="_Toc20823297"/>
      <w:bookmarkStart w:id="115" w:name="_Toc462564084"/>
      <w:bookmarkStart w:id="116" w:name="_Toc16938541"/>
      <w:bookmarkStart w:id="117" w:name="_Toc513029225"/>
      <w:r>
        <w:rPr>
          <w:rFonts w:hint="default" w:ascii="Times New Roman" w:hAnsi="Times New Roman" w:cs="Times New Roman"/>
          <w:color w:val="auto"/>
          <w:highlight w:val="none"/>
        </w:rPr>
        <w:t>投标文件</w:t>
      </w:r>
      <w:bookmarkEnd w:id="114"/>
      <w:bookmarkEnd w:id="115"/>
      <w:bookmarkEnd w:id="116"/>
      <w:bookmarkEnd w:id="117"/>
      <w:r>
        <w:rPr>
          <w:rFonts w:hint="default" w:ascii="Times New Roman" w:hAnsi="Times New Roman" w:cs="Times New Roman"/>
          <w:color w:val="auto"/>
          <w:highlight w:val="none"/>
        </w:rPr>
        <w:t>的递交</w:t>
      </w:r>
    </w:p>
    <w:p w14:paraId="7915DE92">
      <w:pPr>
        <w:pStyle w:val="4"/>
        <w:keepNext w:val="0"/>
        <w:keepLines w:val="0"/>
        <w:pageBreakBefore w:val="0"/>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17.1 电子投标文件的递交</w:t>
      </w:r>
    </w:p>
    <w:p w14:paraId="023902F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投标人应当按照《操作手册》规定，在投标截止时间前制作并上传电子投标文件。</w:t>
      </w:r>
      <w:bookmarkStart w:id="118" w:name="_Toc16938542"/>
      <w:bookmarkEnd w:id="118"/>
      <w:bookmarkStart w:id="119" w:name="_Toc20823298"/>
      <w:bookmarkEnd w:id="119"/>
      <w:bookmarkStart w:id="120" w:name="_Toc513029226"/>
    </w:p>
    <w:p w14:paraId="648AD2A4">
      <w:pPr>
        <w:pStyle w:val="3"/>
        <w:keepNext w:val="0"/>
        <w:keepLines w:val="0"/>
        <w:pageBreakBefore w:val="0"/>
        <w:numPr>
          <w:ilvl w:val="0"/>
          <w:numId w:val="1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投标截止时间</w:t>
      </w:r>
    </w:p>
    <w:p w14:paraId="7605FA52">
      <w:pPr>
        <w:pStyle w:val="12"/>
        <w:keepNext w:val="0"/>
        <w:keepLines w:val="0"/>
        <w:pageBreakBefore w:val="0"/>
        <w:numPr>
          <w:ilvl w:val="0"/>
          <w:numId w:val="1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i/>
          <w:color w:val="auto"/>
          <w:highlight w:val="none"/>
          <w:u w:val="single"/>
        </w:rPr>
        <w:t>投标人上传电子投标文件的时间不得迟于招标公告中规定的投标截止时间。</w:t>
      </w:r>
    </w:p>
    <w:p w14:paraId="6C89E2A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投标人应充分考虑到网络环境、网络带宽等风险因素，如因投标人自身原因造成的电子投标文件上传不成功的按照本招标文件第二章第26.1.2条 规定做无效投标处理。</w:t>
      </w:r>
    </w:p>
    <w:p w14:paraId="6378A69C">
      <w:pPr>
        <w:pStyle w:val="12"/>
        <w:keepNext w:val="0"/>
        <w:keepLines w:val="0"/>
        <w:pageBreakBefore w:val="0"/>
        <w:numPr>
          <w:ilvl w:val="0"/>
          <w:numId w:val="1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采购人可以按照规定，通过修改招标文件酌情延长投标截止时间，在此情况下，投标人的所有权利和义务以及投标人受制的截止时间均应以延长后新的截止时间为准。</w:t>
      </w:r>
    </w:p>
    <w:p w14:paraId="086AD317">
      <w:pPr>
        <w:pStyle w:val="3"/>
        <w:keepNext w:val="0"/>
        <w:keepLines w:val="0"/>
        <w:pageBreakBefore w:val="0"/>
        <w:numPr>
          <w:ilvl w:val="0"/>
          <w:numId w:val="1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21" w:name="_Toc513029227"/>
      <w:bookmarkStart w:id="122" w:name="_Toc20823299"/>
      <w:bookmarkStart w:id="123" w:name="_Toc16938543"/>
      <w:r>
        <w:rPr>
          <w:rFonts w:hint="default" w:ascii="Times New Roman" w:hAnsi="Times New Roman" w:cs="Times New Roman"/>
          <w:color w:val="auto"/>
          <w:highlight w:val="none"/>
        </w:rPr>
        <w:t>投标文件</w:t>
      </w:r>
      <w:bookmarkEnd w:id="121"/>
      <w:bookmarkEnd w:id="122"/>
      <w:bookmarkEnd w:id="123"/>
      <w:r>
        <w:rPr>
          <w:rFonts w:hint="default" w:ascii="Times New Roman" w:hAnsi="Times New Roman" w:cs="Times New Roman"/>
          <w:color w:val="auto"/>
          <w:highlight w:val="none"/>
        </w:rPr>
        <w:t>的拒收</w:t>
      </w:r>
    </w:p>
    <w:p w14:paraId="12CC26C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19.1采购人拒绝接收在其规定的投标截止时间后上传的任何投标文件。</w:t>
      </w:r>
    </w:p>
    <w:p w14:paraId="3A0A32B5">
      <w:pPr>
        <w:pStyle w:val="3"/>
        <w:keepNext w:val="0"/>
        <w:keepLines w:val="0"/>
        <w:pageBreakBefore w:val="0"/>
        <w:numPr>
          <w:ilvl w:val="0"/>
          <w:numId w:val="1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24" w:name="_Toc20823300"/>
      <w:bookmarkStart w:id="125" w:name="_Toc16938544"/>
      <w:bookmarkStart w:id="126" w:name="_Toc513029228"/>
      <w:r>
        <w:rPr>
          <w:rFonts w:hint="default" w:ascii="Times New Roman" w:hAnsi="Times New Roman" w:cs="Times New Roman"/>
          <w:color w:val="auto"/>
          <w:highlight w:val="none"/>
        </w:rPr>
        <w:t>投标文件的撤回和修改</w:t>
      </w:r>
      <w:bookmarkEnd w:id="124"/>
      <w:bookmarkEnd w:id="125"/>
      <w:bookmarkEnd w:id="126"/>
    </w:p>
    <w:p w14:paraId="37A21091">
      <w:pPr>
        <w:pStyle w:val="4"/>
        <w:keepNext w:val="0"/>
        <w:keepLines w:val="0"/>
        <w:pageBreakBefore w:val="0"/>
        <w:numPr>
          <w:ilvl w:val="0"/>
          <w:numId w:val="19"/>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投标文件的撤回</w:t>
      </w:r>
    </w:p>
    <w:p w14:paraId="046A27C5">
      <w:pPr>
        <w:pStyle w:val="5"/>
        <w:keepNext w:val="0"/>
        <w:keepLines w:val="0"/>
        <w:pageBreakBefore w:val="0"/>
        <w:numPr>
          <w:ilvl w:val="0"/>
          <w:numId w:val="20"/>
        </w:numPr>
        <w:tabs>
          <w:tab w:val="left" w:pos="12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电子投标文件的撤回</w:t>
      </w:r>
    </w:p>
    <w:p w14:paraId="1AD00AE5">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投标人可在投标截止时间前，撤回其电子投标文件，具体操作方法见《操作手册》。</w:t>
      </w:r>
    </w:p>
    <w:p w14:paraId="5136BA0E">
      <w:pPr>
        <w:pStyle w:val="5"/>
        <w:keepNext w:val="0"/>
        <w:keepLines w:val="0"/>
        <w:pageBreakBefore w:val="0"/>
        <w:numPr>
          <w:ilvl w:val="0"/>
          <w:numId w:val="20"/>
        </w:numPr>
        <w:tabs>
          <w:tab w:val="left" w:pos="12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投标人撤回电子投标文件，则认为其不再参与本项目投标活动。</w:t>
      </w:r>
    </w:p>
    <w:p w14:paraId="6CE6F6E9">
      <w:pPr>
        <w:pStyle w:val="4"/>
        <w:keepNext w:val="0"/>
        <w:keepLines w:val="0"/>
        <w:pageBreakBefore w:val="0"/>
        <w:numPr>
          <w:ilvl w:val="0"/>
          <w:numId w:val="19"/>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投标文件的修改</w:t>
      </w:r>
    </w:p>
    <w:p w14:paraId="069523E1">
      <w:pPr>
        <w:pStyle w:val="12"/>
        <w:keepNext w:val="0"/>
        <w:keepLines w:val="0"/>
        <w:pageBreakBefore w:val="0"/>
        <w:numPr>
          <w:ilvl w:val="0"/>
          <w:numId w:val="2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投标人可在投标截止时间前，对其电子投标文件进行修改，具体操作方法见《操作手册》。</w:t>
      </w:r>
    </w:p>
    <w:p w14:paraId="0F87E2D5">
      <w:pPr>
        <w:pStyle w:val="12"/>
        <w:keepNext w:val="0"/>
        <w:keepLines w:val="0"/>
        <w:pageBreakBefore w:val="0"/>
        <w:numPr>
          <w:ilvl w:val="0"/>
          <w:numId w:val="2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在投标截止时间之后，投标人不得对其电子投标文件作任何修改。</w:t>
      </w:r>
    </w:p>
    <w:p w14:paraId="00707CC7">
      <w:pPr>
        <w:pStyle w:val="4"/>
        <w:keepNext w:val="0"/>
        <w:keepLines w:val="0"/>
        <w:pageBreakBefore w:val="0"/>
        <w:numPr>
          <w:ilvl w:val="0"/>
          <w:numId w:val="19"/>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在投标截止时间至招标文件中规定的投标有效期满之间的这段时间内，投标人不得撤回其投标。</w:t>
      </w:r>
    </w:p>
    <w:p w14:paraId="4871AB86">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27" w:name="_Toc120614218"/>
      <w:bookmarkStart w:id="128" w:name="_Toc20823301"/>
      <w:bookmarkStart w:id="129" w:name="_Toc513029229"/>
      <w:bookmarkStart w:id="130" w:name="_Toc16938545"/>
      <w:r>
        <w:rPr>
          <w:rFonts w:hint="default" w:ascii="Times New Roman" w:hAnsi="Times New Roman" w:cs="Times New Roman"/>
          <w:color w:val="auto"/>
          <w:highlight w:val="none"/>
        </w:rPr>
        <w:t>开标与评标</w:t>
      </w:r>
      <w:bookmarkEnd w:id="127"/>
      <w:bookmarkEnd w:id="128"/>
      <w:bookmarkEnd w:id="129"/>
      <w:bookmarkEnd w:id="130"/>
    </w:p>
    <w:p w14:paraId="3B0D84FD">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31" w:name="_Toc513029230"/>
      <w:bookmarkStart w:id="132" w:name="_Toc20823302"/>
      <w:bookmarkStart w:id="133" w:name="_Toc16938546"/>
      <w:r>
        <w:rPr>
          <w:rFonts w:hint="default" w:ascii="Times New Roman" w:hAnsi="Times New Roman" w:cs="Times New Roman"/>
          <w:color w:val="auto"/>
          <w:highlight w:val="none"/>
        </w:rPr>
        <w:t>开标</w:t>
      </w:r>
      <w:bookmarkEnd w:id="131"/>
      <w:bookmarkEnd w:id="132"/>
      <w:bookmarkEnd w:id="133"/>
    </w:p>
    <w:p w14:paraId="751C61E6">
      <w:pPr>
        <w:pStyle w:val="12"/>
        <w:keepNext w:val="0"/>
        <w:keepLines w:val="0"/>
        <w:pageBreakBefore w:val="0"/>
        <w:numPr>
          <w:ilvl w:val="0"/>
          <w:numId w:val="2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采购人将在招标公告中规定的时间和地点组织公开开标。投标人应当按照《操作手册》规定，参加开标活动和在苏采云系统规定的时间内对投标文件进行解密。</w:t>
      </w:r>
    </w:p>
    <w:p w14:paraId="3ACAAC0F">
      <w:pPr>
        <w:pStyle w:val="12"/>
        <w:keepNext w:val="0"/>
        <w:keepLines w:val="0"/>
        <w:pageBreakBefore w:val="0"/>
        <w:numPr>
          <w:ilvl w:val="0"/>
          <w:numId w:val="2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开标仪式由采购人组织。苏采云系统将自动对项目进行开标，并宣布各投标人名称和投标价格。</w:t>
      </w:r>
    </w:p>
    <w:p w14:paraId="06CDE465">
      <w:pPr>
        <w:pStyle w:val="12"/>
        <w:keepNext w:val="0"/>
        <w:keepLines w:val="0"/>
        <w:pageBreakBefore w:val="0"/>
        <w:numPr>
          <w:ilvl w:val="0"/>
          <w:numId w:val="2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投标人在开标过程中涉及到的投标文件解密、开标结果确认等工作，应按照《操作手册》规定执行。</w:t>
      </w:r>
    </w:p>
    <w:p w14:paraId="3904EE24">
      <w:pPr>
        <w:pStyle w:val="12"/>
        <w:keepNext w:val="0"/>
        <w:keepLines w:val="0"/>
        <w:pageBreakBefore w:val="0"/>
        <w:numPr>
          <w:ilvl w:val="0"/>
          <w:numId w:val="2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投标人如果对开标过程和开标记录有疑义，应当根据《操作手册》规定提出，如苏采云系统中《开标记录表》宣布后5分钟内未提出的，视同认可开标结果。</w:t>
      </w:r>
    </w:p>
    <w:p w14:paraId="04E7A4E6">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34" w:name="_Toc16938547"/>
      <w:bookmarkStart w:id="135" w:name="_Toc513029231"/>
      <w:bookmarkStart w:id="136" w:name="_Toc20823303"/>
      <w:r>
        <w:rPr>
          <w:rFonts w:hint="default" w:ascii="Times New Roman" w:hAnsi="Times New Roman" w:cs="Times New Roman"/>
          <w:color w:val="auto"/>
          <w:highlight w:val="none"/>
        </w:rPr>
        <w:t>评标委员会</w:t>
      </w:r>
      <w:bookmarkEnd w:id="134"/>
      <w:bookmarkEnd w:id="135"/>
      <w:bookmarkEnd w:id="136"/>
    </w:p>
    <w:p w14:paraId="0E4E74F3">
      <w:pPr>
        <w:pStyle w:val="12"/>
        <w:keepNext w:val="0"/>
        <w:keepLines w:val="0"/>
        <w:pageBreakBefore w:val="0"/>
        <w:numPr>
          <w:ilvl w:val="0"/>
          <w:numId w:val="2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开标后，采购人将立即组织评标委员会（以下简称评委会）进行评标。</w:t>
      </w:r>
    </w:p>
    <w:p w14:paraId="7CB92A1E">
      <w:pPr>
        <w:pStyle w:val="12"/>
        <w:keepNext w:val="0"/>
        <w:keepLines w:val="0"/>
        <w:pageBreakBefore w:val="0"/>
        <w:numPr>
          <w:ilvl w:val="0"/>
          <w:numId w:val="2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评委会由采购人代表和有关技术、经济等方面的专家组成，且人员构成符合政府采购有关规定。</w:t>
      </w:r>
    </w:p>
    <w:p w14:paraId="783FD103">
      <w:pPr>
        <w:pStyle w:val="12"/>
        <w:keepNext w:val="0"/>
        <w:keepLines w:val="0"/>
        <w:pageBreakBefore w:val="0"/>
        <w:numPr>
          <w:ilvl w:val="0"/>
          <w:numId w:val="2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评委会独立工作，负责评审所有投标文件并确定中标候选人。</w:t>
      </w:r>
    </w:p>
    <w:p w14:paraId="76875FDB">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评标过程的保密与公正</w:t>
      </w:r>
    </w:p>
    <w:p w14:paraId="2FD27581">
      <w:pPr>
        <w:pStyle w:val="12"/>
        <w:keepNext w:val="0"/>
        <w:keepLines w:val="0"/>
        <w:pageBreakBefore w:val="0"/>
        <w:numPr>
          <w:ilvl w:val="0"/>
          <w:numId w:val="2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凡是与审查、澄清、评价和比较投标的有关资料以及授标建议等，采购人、评委、采购人均不得向投标人或与评标无关的其他人员透露。</w:t>
      </w:r>
    </w:p>
    <w:p w14:paraId="07050776">
      <w:pPr>
        <w:pStyle w:val="12"/>
        <w:keepNext w:val="0"/>
        <w:keepLines w:val="0"/>
        <w:pageBreakBefore w:val="0"/>
        <w:numPr>
          <w:ilvl w:val="0"/>
          <w:numId w:val="2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在评标过程中，投标人不得以任何行为影响评标过程，否则其投标文件将被作为无效投标文件。</w:t>
      </w:r>
    </w:p>
    <w:p w14:paraId="13B2E980">
      <w:pPr>
        <w:pStyle w:val="12"/>
        <w:keepNext w:val="0"/>
        <w:keepLines w:val="0"/>
        <w:pageBreakBefore w:val="0"/>
        <w:numPr>
          <w:ilvl w:val="0"/>
          <w:numId w:val="2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采购人和评标委员会不向未中标的投标人解释未中标原因，也不公布评标过程中的相关细节。</w:t>
      </w:r>
    </w:p>
    <w:p w14:paraId="42A2E257">
      <w:pPr>
        <w:pStyle w:val="12"/>
        <w:keepNext w:val="0"/>
        <w:keepLines w:val="0"/>
        <w:pageBreakBefore w:val="0"/>
        <w:numPr>
          <w:ilvl w:val="0"/>
          <w:numId w:val="2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采用综合评分法的项目，未中标的投标人可于中标结果公告期限届满之日起通过苏采云系统查看自己的评审得分及排序情况。</w:t>
      </w:r>
    </w:p>
    <w:p w14:paraId="70EDAD8F">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37" w:name="_Toc16938548"/>
      <w:bookmarkStart w:id="138" w:name="_Toc513029232"/>
      <w:bookmarkStart w:id="139" w:name="_Toc20823304"/>
      <w:r>
        <w:rPr>
          <w:rFonts w:hint="default" w:ascii="Times New Roman" w:hAnsi="Times New Roman" w:cs="Times New Roman"/>
          <w:color w:val="auto"/>
          <w:highlight w:val="none"/>
        </w:rPr>
        <w:t>投标文件的澄清</w:t>
      </w:r>
      <w:bookmarkEnd w:id="137"/>
      <w:bookmarkEnd w:id="138"/>
      <w:bookmarkEnd w:id="139"/>
    </w:p>
    <w:p w14:paraId="3A6FB9E4">
      <w:pPr>
        <w:pStyle w:val="12"/>
        <w:keepNext w:val="0"/>
        <w:keepLines w:val="0"/>
        <w:pageBreakBefore w:val="0"/>
        <w:numPr>
          <w:ilvl w:val="0"/>
          <w:numId w:val="2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评标期间，评委会对投标文件中含义不明确、同类问题表述不一致或者有明显文字和计算错误的内容 ，有权要求投标人作出必要的澄清、说明或者补正。</w:t>
      </w:r>
    </w:p>
    <w:p w14:paraId="1F1F50F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投标人的澄清、说明或者补正不得超出投标文件的范围或者改变投标文件的实质性内容。</w:t>
      </w:r>
    </w:p>
    <w:p w14:paraId="69B0E23F">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评标委员会并非对每个投标人都做澄清要求。</w:t>
      </w:r>
    </w:p>
    <w:p w14:paraId="0DD754C9">
      <w:pPr>
        <w:pStyle w:val="12"/>
        <w:keepNext w:val="0"/>
        <w:keepLines w:val="0"/>
        <w:pageBreakBefore w:val="0"/>
        <w:numPr>
          <w:ilvl w:val="0"/>
          <w:numId w:val="2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E2659EA">
      <w:pPr>
        <w:pStyle w:val="12"/>
        <w:keepNext w:val="0"/>
        <w:keepLines w:val="0"/>
        <w:pageBreakBefore w:val="0"/>
        <w:numPr>
          <w:ilvl w:val="0"/>
          <w:numId w:val="2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接到评委会澄清、说明和补正要求的投标人如未按规定做出澄清、说明和补正，其风险由投标人自行承担。</w:t>
      </w:r>
    </w:p>
    <w:p w14:paraId="06D061FF">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40" w:name="_Toc513029233"/>
      <w:bookmarkStart w:id="141" w:name="_Toc20823305"/>
      <w:bookmarkStart w:id="142" w:name="_Toc16938549"/>
      <w:r>
        <w:rPr>
          <w:rFonts w:hint="default" w:ascii="Times New Roman" w:hAnsi="Times New Roman" w:cs="Times New Roman"/>
          <w:color w:val="auto"/>
          <w:highlight w:val="none"/>
        </w:rPr>
        <w:t>对投标文件的初审</w:t>
      </w:r>
      <w:bookmarkEnd w:id="140"/>
      <w:bookmarkEnd w:id="141"/>
      <w:bookmarkEnd w:id="142"/>
    </w:p>
    <w:p w14:paraId="3D1D4D7F">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投标文件初审分为资格审查和符合性审查。</w:t>
      </w:r>
    </w:p>
    <w:p w14:paraId="4285F95E">
      <w:pPr>
        <w:pStyle w:val="12"/>
        <w:keepNext w:val="0"/>
        <w:keepLines w:val="0"/>
        <w:pageBreakBefore w:val="0"/>
        <w:numPr>
          <w:ilvl w:val="0"/>
          <w:numId w:val="2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资格审查：依据法律法规和招标文件的规定，由采购人对投标文件中的资格证明文件进行审查。资格审查的结论，采购人以书面形式向评委会进行反馈。</w:t>
      </w:r>
    </w:p>
    <w:p w14:paraId="27A7F73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采购人在进行资格性审查的同时，将在“信用中国”网站（www.creditchina.gov.cn）查询投标人的信用记录，以确定投标人是否具备投标资格,查询结果留存并归档。</w:t>
      </w:r>
    </w:p>
    <w:p w14:paraId="55F5404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BD4E4EE">
      <w:pPr>
        <w:pStyle w:val="12"/>
        <w:keepNext w:val="0"/>
        <w:keepLines w:val="0"/>
        <w:pageBreakBefore w:val="0"/>
        <w:numPr>
          <w:ilvl w:val="0"/>
          <w:numId w:val="2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符合性审查：依据招标文件的规定，由评委会从投标文件的有效性、完整性和对招标文件的响应程度进行审查，以确定是否对招标文件的实质性要求作出响应。</w:t>
      </w:r>
    </w:p>
    <w:p w14:paraId="32B0F935">
      <w:pPr>
        <w:pStyle w:val="12"/>
        <w:keepNext w:val="0"/>
        <w:keepLines w:val="0"/>
        <w:pageBreakBefore w:val="0"/>
        <w:numPr>
          <w:ilvl w:val="0"/>
          <w:numId w:val="2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未通过资格审查或符合性审查的投标人，采购人将在苏采云系统中告知未通过资格审查或符合性审查的原因，评标结束后，采购人将不再告知未通过资格审查和符合性审查的原因。</w:t>
      </w:r>
    </w:p>
    <w:p w14:paraId="523A452A">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0E37438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21A0A5E">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如果投标文件实质上没有响应招标文件的要求，评委会将予以拒绝，投标人不得通过修改或撤销不符合要求的偏离或保留而使其投标成为实质性响应的投标。</w:t>
      </w:r>
    </w:p>
    <w:p w14:paraId="493DE38B">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评委会将对确定为实质性响应的投标进行进一步审核，确定其是否有计算上或累加上的算术错误，修正错误的原则如下：</w:t>
      </w:r>
    </w:p>
    <w:p w14:paraId="2AF816D2">
      <w:pPr>
        <w:pStyle w:val="12"/>
        <w:keepNext w:val="0"/>
        <w:keepLines w:val="0"/>
        <w:pageBreakBefore w:val="0"/>
        <w:numPr>
          <w:ilvl w:val="0"/>
          <w:numId w:val="2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投标文件中开标一览表内容与投标文件中相应内容不一致的，以开标一览表为准。</w:t>
      </w:r>
    </w:p>
    <w:p w14:paraId="4CCB12C0">
      <w:pPr>
        <w:pStyle w:val="12"/>
        <w:keepNext w:val="0"/>
        <w:keepLines w:val="0"/>
        <w:pageBreakBefore w:val="0"/>
        <w:numPr>
          <w:ilvl w:val="0"/>
          <w:numId w:val="2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大写金额和小写金额不一致的，以大写金额为准。</w:t>
      </w:r>
    </w:p>
    <w:p w14:paraId="738A51B5">
      <w:pPr>
        <w:pStyle w:val="12"/>
        <w:keepNext w:val="0"/>
        <w:keepLines w:val="0"/>
        <w:pageBreakBefore w:val="0"/>
        <w:numPr>
          <w:ilvl w:val="0"/>
          <w:numId w:val="2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单价金额小数点或者百分比有明显错位的，以开标一览表的总价为准，并修改单价。</w:t>
      </w:r>
    </w:p>
    <w:p w14:paraId="5B882257">
      <w:pPr>
        <w:pStyle w:val="12"/>
        <w:keepNext w:val="0"/>
        <w:keepLines w:val="0"/>
        <w:pageBreakBefore w:val="0"/>
        <w:numPr>
          <w:ilvl w:val="0"/>
          <w:numId w:val="2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总价金额与按单价汇总金额不一致的，以单价金额计算结果为准。</w:t>
      </w:r>
    </w:p>
    <w:p w14:paraId="0F61B7A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同时出现两种以上错误的，按照前款规定的顺序修正。</w:t>
      </w:r>
    </w:p>
    <w:p w14:paraId="4F760812">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评委会将按上述修正错误的方法调整投标文件中的投标报价，并通过苏采云系统告知投标人，调整后的价格应对投标人具有约束力。如果投标人不接受修正后的价格，则其投标将被拒绝。</w:t>
      </w:r>
    </w:p>
    <w:p w14:paraId="11C8A626">
      <w:pPr>
        <w:pStyle w:val="12"/>
        <w:keepNext w:val="0"/>
        <w:keepLines w:val="0"/>
        <w:pageBreakBefore w:val="0"/>
        <w:numPr>
          <w:ilvl w:val="0"/>
          <w:numId w:val="2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43" w:name="_Toc513029234"/>
      <w:bookmarkStart w:id="144" w:name="_Toc20823306"/>
      <w:bookmarkStart w:id="145" w:name="_Toc16938550"/>
      <w:r>
        <w:rPr>
          <w:rFonts w:hint="default" w:ascii="Times New Roman" w:hAnsi="Times New Roman" w:cs="Times New Roman"/>
          <w:color w:val="auto"/>
          <w:highlight w:val="none"/>
        </w:rPr>
        <w:t>投标人在开、评标全过程中应保持通信畅通，及时登录苏采云系统查阅、答复相关信息，并安排专人与采购人及评标委员会联系。</w:t>
      </w:r>
      <w:bookmarkEnd w:id="143"/>
      <w:bookmarkEnd w:id="144"/>
      <w:bookmarkEnd w:id="145"/>
    </w:p>
    <w:p w14:paraId="57C5B1DE">
      <w:pPr>
        <w:pStyle w:val="3"/>
        <w:keepNext w:val="0"/>
        <w:keepLines w:val="0"/>
        <w:pageBreakBefore w:val="0"/>
        <w:numPr>
          <w:ilvl w:val="0"/>
          <w:numId w:val="2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无效投标条款和废标条款</w:t>
      </w:r>
    </w:p>
    <w:p w14:paraId="4E0814FA">
      <w:pPr>
        <w:pStyle w:val="4"/>
        <w:keepNext w:val="0"/>
        <w:keepLines w:val="0"/>
        <w:pageBreakBefore w:val="0"/>
        <w:numPr>
          <w:ilvl w:val="0"/>
          <w:numId w:val="30"/>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46" w:name="_Toc20823307"/>
      <w:bookmarkStart w:id="147" w:name="_Toc16938551"/>
      <w:bookmarkStart w:id="148" w:name="_Toc513029235"/>
      <w:r>
        <w:rPr>
          <w:rFonts w:hint="default" w:ascii="Times New Roman" w:hAnsi="Times New Roman" w:cs="Times New Roman"/>
          <w:color w:val="auto"/>
          <w:highlight w:val="none"/>
        </w:rPr>
        <w:t>无效投标条款</w:t>
      </w:r>
      <w:bookmarkEnd w:id="146"/>
      <w:bookmarkEnd w:id="147"/>
      <w:bookmarkEnd w:id="148"/>
    </w:p>
    <w:p w14:paraId="30EA6DAF">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投标人在苏采云系统规定的时间内未成功解密电子投标文件的。</w:t>
      </w:r>
    </w:p>
    <w:p w14:paraId="580499D7">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投标人未按照招标文件要求上传电子投标文件的。</w:t>
      </w:r>
    </w:p>
    <w:p w14:paraId="2618A67A">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同一投标人提交两个（含两个）以上不同的投标报价的。</w:t>
      </w:r>
    </w:p>
    <w:p w14:paraId="11A07B89">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投标人不具备招标文件中规定资格要求的。</w:t>
      </w:r>
    </w:p>
    <w:p w14:paraId="0769D0FD">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投标人的报价超过了采购预算或最高限价的。</w:t>
      </w:r>
    </w:p>
    <w:p w14:paraId="21DE11D7">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未通过符合性审查的。</w:t>
      </w:r>
    </w:p>
    <w:p w14:paraId="5ADD9613">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不符合招标文件中规定的实质性要求和条件的（</w:t>
      </w:r>
      <w:r>
        <w:rPr>
          <w:rFonts w:hint="default" w:ascii="Times New Roman" w:hAnsi="Times New Roman" w:cs="Times New Roman"/>
          <w:i/>
          <w:color w:val="auto"/>
          <w:highlight w:val="none"/>
          <w:u w:val="single"/>
        </w:rPr>
        <w:t>本招标文件中斜体且有下划线部分为实质性要求和条件）。</w:t>
      </w:r>
    </w:p>
    <w:p w14:paraId="0D5A146B">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8EE581">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投标文件含有采购人不能接受的附加条件的。</w:t>
      </w:r>
    </w:p>
    <w:p w14:paraId="0AF3D737">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投标人不能证明其报价合理性的，评标委员会应当将其作为无效投标处理。</w:t>
      </w:r>
    </w:p>
    <w:p w14:paraId="6401C28A">
      <w:pPr>
        <w:pStyle w:val="12"/>
        <w:keepNext w:val="0"/>
        <w:keepLines w:val="0"/>
        <w:pageBreakBefore w:val="0"/>
        <w:numPr>
          <w:ilvl w:val="0"/>
          <w:numId w:val="32"/>
        </w:numPr>
        <w:tabs>
          <w:tab w:val="left" w:pos="12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评审过程中出现下列情形之一的，评标委员会应当启动异常低价投标审查程序：</w:t>
      </w:r>
    </w:p>
    <w:p w14:paraId="544F7CDD">
      <w:pPr>
        <w:pStyle w:val="12"/>
        <w:keepNext w:val="0"/>
        <w:keepLines w:val="0"/>
        <w:pageBreakBefore w:val="0"/>
        <w:numPr>
          <w:ilvl w:val="0"/>
          <w:numId w:val="3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投标（响应）报价低于全部通过符合性审查供应商投标（响应）报价平均值50%的，即投标（响应）报价&lt;全部通过符合性审查供应商投标（响应）报价平均值×50%； </w:t>
      </w:r>
    </w:p>
    <w:p w14:paraId="36ED7F6E">
      <w:pPr>
        <w:pStyle w:val="12"/>
        <w:keepNext w:val="0"/>
        <w:keepLines w:val="0"/>
        <w:pageBreakBefore w:val="0"/>
        <w:numPr>
          <w:ilvl w:val="0"/>
          <w:numId w:val="3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投标（响应）报价低于通过符合性审查的次低报价供应商投标（响应）报价50%的，即投标（响应）报价&lt;通过符合性审查的次低报价供应商投标（响应）报价×50%； </w:t>
      </w:r>
    </w:p>
    <w:p w14:paraId="356BF5E4">
      <w:pPr>
        <w:pStyle w:val="12"/>
        <w:keepNext w:val="0"/>
        <w:keepLines w:val="0"/>
        <w:pageBreakBefore w:val="0"/>
        <w:numPr>
          <w:ilvl w:val="0"/>
          <w:numId w:val="3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投标（响应）报价低于采购项目最高限价45%的，即投标（响应）报价&lt;采购项目最高限价×45%； </w:t>
      </w:r>
    </w:p>
    <w:p w14:paraId="692FEB69">
      <w:pPr>
        <w:pStyle w:val="12"/>
        <w:keepNext w:val="0"/>
        <w:keepLines w:val="0"/>
        <w:pageBreakBefore w:val="0"/>
        <w:numPr>
          <w:ilvl w:val="0"/>
          <w:numId w:val="3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评审委员会基于专业判断，认为供应商报价过低，有可能影响产品质量或者不能诚信履约的其他情形。 </w:t>
      </w:r>
    </w:p>
    <w:p w14:paraId="158114F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采购人可以结合具体项目实际情况，提高上述第1项至第3项中启动异常低价投标（响应）审查的数值标准，但是最高不得超过65%。 </w:t>
      </w:r>
    </w:p>
    <w:p w14:paraId="46C188B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相关法律法规对供应商报价有规定的，从其规定。 </w:t>
      </w:r>
    </w:p>
    <w:p w14:paraId="1A889A59">
      <w:pPr>
        <w:pStyle w:val="12"/>
        <w:keepNext w:val="0"/>
        <w:keepLines w:val="0"/>
        <w:pageBreakBefore w:val="0"/>
        <w:numPr>
          <w:ilvl w:val="0"/>
          <w:numId w:val="32"/>
        </w:numPr>
        <w:tabs>
          <w:tab w:val="left" w:pos="12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7E0190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E6B761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79E0AF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4DAEC083">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投标文件未按照招标文件要求加盖CA电子公章的。</w:t>
      </w:r>
    </w:p>
    <w:p w14:paraId="461E40EF">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其他法律、法规及本招标文件规定的属无效投标的情形。</w:t>
      </w:r>
    </w:p>
    <w:p w14:paraId="0633C07A">
      <w:pPr>
        <w:pStyle w:val="4"/>
        <w:keepNext w:val="0"/>
        <w:keepLines w:val="0"/>
        <w:pageBreakBefore w:val="0"/>
        <w:numPr>
          <w:ilvl w:val="0"/>
          <w:numId w:val="30"/>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废标条款</w:t>
      </w:r>
    </w:p>
    <w:p w14:paraId="7B0377A9">
      <w:pPr>
        <w:pStyle w:val="12"/>
        <w:keepNext w:val="0"/>
        <w:keepLines w:val="0"/>
        <w:pageBreakBefore w:val="0"/>
        <w:numPr>
          <w:ilvl w:val="0"/>
          <w:numId w:val="3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符合专业条件的供应商或者对招标文件作实质响应的供应商不足三家的。</w:t>
      </w:r>
    </w:p>
    <w:p w14:paraId="43F8EFD6">
      <w:pPr>
        <w:pStyle w:val="12"/>
        <w:keepNext w:val="0"/>
        <w:keepLines w:val="0"/>
        <w:pageBreakBefore w:val="0"/>
        <w:numPr>
          <w:ilvl w:val="0"/>
          <w:numId w:val="3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出现影响采购公正的违法、违规行为的。</w:t>
      </w:r>
    </w:p>
    <w:p w14:paraId="71AD115F">
      <w:pPr>
        <w:pStyle w:val="12"/>
        <w:keepNext w:val="0"/>
        <w:keepLines w:val="0"/>
        <w:pageBreakBefore w:val="0"/>
        <w:numPr>
          <w:ilvl w:val="0"/>
          <w:numId w:val="3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因重大变故，采购任务取消的。</w:t>
      </w:r>
    </w:p>
    <w:p w14:paraId="0FCC8095">
      <w:pPr>
        <w:pStyle w:val="12"/>
        <w:keepNext w:val="0"/>
        <w:keepLines w:val="0"/>
        <w:pageBreakBefore w:val="0"/>
        <w:numPr>
          <w:ilvl w:val="0"/>
          <w:numId w:val="3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评标委员会认定招标文件存在歧义、重大缺陷导致评审工作无法进行。</w:t>
      </w:r>
    </w:p>
    <w:p w14:paraId="6BC3517A">
      <w:pPr>
        <w:pStyle w:val="12"/>
        <w:keepNext w:val="0"/>
        <w:keepLines w:val="0"/>
        <w:pageBreakBefore w:val="0"/>
        <w:numPr>
          <w:ilvl w:val="0"/>
          <w:numId w:val="3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因苏采云系统系统故障原因造成开标不成功的。</w:t>
      </w:r>
    </w:p>
    <w:p w14:paraId="6BA9BE05">
      <w:pPr>
        <w:pStyle w:val="4"/>
        <w:keepNext w:val="0"/>
        <w:keepLines w:val="0"/>
        <w:pageBreakBefore w:val="0"/>
        <w:numPr>
          <w:ilvl w:val="0"/>
          <w:numId w:val="30"/>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投标截止时间结束后参加投标的供应商不足三家的处理：</w:t>
      </w:r>
    </w:p>
    <w:p w14:paraId="169D49E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26.3.1如出现投标截止时间结束后参加投标的供应商或者在评标期间对招标文件做出实质响应的供应商不足三家情况，按政府采购相关规定执行。</w:t>
      </w:r>
    </w:p>
    <w:p w14:paraId="2F419015">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49" w:name="_Toc120614219"/>
      <w:r>
        <w:rPr>
          <w:rFonts w:hint="default" w:ascii="Times New Roman" w:hAnsi="Times New Roman" w:cs="Times New Roman"/>
          <w:color w:val="auto"/>
          <w:highlight w:val="none"/>
        </w:rPr>
        <w:t>定标</w:t>
      </w:r>
      <w:bookmarkEnd w:id="149"/>
    </w:p>
    <w:p w14:paraId="0280C56A">
      <w:pPr>
        <w:pStyle w:val="12"/>
        <w:keepNext w:val="0"/>
        <w:keepLines w:val="0"/>
        <w:pageBreakBefore w:val="0"/>
        <w:numPr>
          <w:ilvl w:val="0"/>
          <w:numId w:val="3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50" w:name="_Toc513029238"/>
      <w:bookmarkStart w:id="151" w:name="_Toc16938554"/>
      <w:r>
        <w:rPr>
          <w:rFonts w:hint="default" w:ascii="Times New Roman" w:hAnsi="Times New Roman" w:cs="Times New Roman"/>
          <w:color w:val="auto"/>
          <w:highlight w:val="none"/>
        </w:rPr>
        <w:t>确定</w:t>
      </w:r>
      <w:bookmarkEnd w:id="150"/>
      <w:bookmarkEnd w:id="151"/>
      <w:r>
        <w:rPr>
          <w:rFonts w:hint="default" w:ascii="Times New Roman" w:hAnsi="Times New Roman" w:cs="Times New Roman"/>
          <w:color w:val="auto"/>
          <w:highlight w:val="none"/>
        </w:rPr>
        <w:t>中标单位</w:t>
      </w:r>
    </w:p>
    <w:p w14:paraId="311ED4F2">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中标候选人的选取原则和数量见招标文件第五章规定。 </w:t>
      </w:r>
    </w:p>
    <w:p w14:paraId="7E30E03C">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采购人应根据评委会推荐的中标候选人确定中标人。</w:t>
      </w:r>
    </w:p>
    <w:p w14:paraId="1DE42A0F">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采购人将在“中国政府采购网”、“江苏政府采购网”、“盐城市政府采购网”发布中标公告，公告期限为1个工作日。</w:t>
      </w:r>
    </w:p>
    <w:p w14:paraId="31BB989A">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若有充分证据证明，中标人出现下列情况之一的，一经查实，将被取消中标资格：</w:t>
      </w:r>
    </w:p>
    <w:p w14:paraId="6785F7F2">
      <w:pPr>
        <w:pStyle w:val="12"/>
        <w:keepNext w:val="0"/>
        <w:keepLines w:val="0"/>
        <w:pageBreakBefore w:val="0"/>
        <w:numPr>
          <w:ilvl w:val="0"/>
          <w:numId w:val="3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提供虚假材料谋取中标的。</w:t>
      </w:r>
    </w:p>
    <w:p w14:paraId="7F2D0F9A">
      <w:pPr>
        <w:pStyle w:val="12"/>
        <w:keepNext w:val="0"/>
        <w:keepLines w:val="0"/>
        <w:pageBreakBefore w:val="0"/>
        <w:numPr>
          <w:ilvl w:val="0"/>
          <w:numId w:val="3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向采购人、采购人行贿或者提供其他不正当利益的。</w:t>
      </w:r>
    </w:p>
    <w:p w14:paraId="602DBA36">
      <w:pPr>
        <w:pStyle w:val="12"/>
        <w:keepNext w:val="0"/>
        <w:keepLines w:val="0"/>
        <w:pageBreakBefore w:val="0"/>
        <w:numPr>
          <w:ilvl w:val="0"/>
          <w:numId w:val="3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属于本文件规定的无效条件，但在评标过程中又未被评委会发现的。</w:t>
      </w:r>
    </w:p>
    <w:p w14:paraId="3AE45E2A">
      <w:pPr>
        <w:pStyle w:val="12"/>
        <w:keepNext w:val="0"/>
        <w:keepLines w:val="0"/>
        <w:pageBreakBefore w:val="0"/>
        <w:numPr>
          <w:ilvl w:val="0"/>
          <w:numId w:val="3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与采购人或者其他供应商恶意串通的。</w:t>
      </w:r>
    </w:p>
    <w:p w14:paraId="17176740">
      <w:pPr>
        <w:pStyle w:val="12"/>
        <w:keepNext w:val="0"/>
        <w:keepLines w:val="0"/>
        <w:pageBreakBefore w:val="0"/>
        <w:numPr>
          <w:ilvl w:val="0"/>
          <w:numId w:val="3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采取不正当手段诋毁、排挤其他供应商的。</w:t>
      </w:r>
    </w:p>
    <w:p w14:paraId="5BA82D3F">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52" w:name="_Toc200451960"/>
      <w:r>
        <w:rPr>
          <w:rFonts w:hint="default" w:ascii="Times New Roman" w:hAnsi="Times New Roman" w:cs="Times New Roman"/>
          <w:color w:val="auto"/>
          <w:highlight w:val="none"/>
        </w:rPr>
        <w:t>有下列情形之一的，视为投标人串通投标，投标无效：</w:t>
      </w:r>
      <w:bookmarkEnd w:id="152"/>
    </w:p>
    <w:p w14:paraId="3933C327">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不同投标人的投标文件由同一单位或者个人编制。</w:t>
      </w:r>
    </w:p>
    <w:p w14:paraId="1C9CEE2B">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不同投标人委托同一单位或者个人办理投标事宜。</w:t>
      </w:r>
    </w:p>
    <w:p w14:paraId="7FBCC317">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不同投标人的投标文件载明的项目管理成员或者联系人员为同一人。</w:t>
      </w:r>
    </w:p>
    <w:p w14:paraId="3010DED9">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不同投标人的投标文件异常一致或者投标报价呈规律性差异。</w:t>
      </w:r>
    </w:p>
    <w:p w14:paraId="59702850">
      <w:pPr>
        <w:pStyle w:val="12"/>
        <w:keepNext w:val="0"/>
        <w:keepLines w:val="0"/>
        <w:pageBreakBefore w:val="0"/>
        <w:numPr>
          <w:ilvl w:val="0"/>
          <w:numId w:val="3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质疑处理</w:t>
      </w:r>
    </w:p>
    <w:p w14:paraId="31D2EE2F">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提出质疑的供应商应当是参与所质疑项目采购活动的供应商。潜在供应商依法获取其可质疑的采购文件的，可以对采购文件提出质疑。</w:t>
      </w:r>
    </w:p>
    <w:p w14:paraId="3D9CB921">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7118C265">
      <w:pPr>
        <w:pStyle w:val="12"/>
        <w:keepNext w:val="0"/>
        <w:keepLines w:val="0"/>
        <w:pageBreakBefore w:val="0"/>
        <w:numPr>
          <w:ilvl w:val="0"/>
          <w:numId w:val="40"/>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对可以质疑的采购文件提出质疑的，为收到采购文件之日或者采购文件公告期限届满之日；</w:t>
      </w:r>
    </w:p>
    <w:p w14:paraId="0312DF0D">
      <w:pPr>
        <w:pStyle w:val="12"/>
        <w:keepNext w:val="0"/>
        <w:keepLines w:val="0"/>
        <w:pageBreakBefore w:val="0"/>
        <w:numPr>
          <w:ilvl w:val="0"/>
          <w:numId w:val="40"/>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对采购过程提出质疑的，为各采购程序环节结束之日；</w:t>
      </w:r>
    </w:p>
    <w:p w14:paraId="3AED8EB4">
      <w:pPr>
        <w:pStyle w:val="12"/>
        <w:keepNext w:val="0"/>
        <w:keepLines w:val="0"/>
        <w:pageBreakBefore w:val="0"/>
        <w:numPr>
          <w:ilvl w:val="0"/>
          <w:numId w:val="40"/>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对中标或者成交结果提出质疑的，为中标或者成交结果公告期限届满之日。</w:t>
      </w:r>
    </w:p>
    <w:p w14:paraId="08FCA00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6C673996">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质疑函必须按照本招标文件中《质疑函范本》要求的格式和内容进行填写。供应商如组成联合体参加投标，则《质疑函范本》中要求签字、盖章、加盖公章之处，联合体各方均须按要求签字、盖章、加盖公章。</w:t>
      </w:r>
    </w:p>
    <w:p w14:paraId="7C4359C7">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供应商（含潜在供应商）对与本项目有关的所有询问、质疑均请向采购人提出，由采购人负责答复。</w:t>
      </w:r>
    </w:p>
    <w:p w14:paraId="053BF531">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采购人只接收以纸质原件形式送达的质疑,采购人不接受未填写快递运单的快件。联系地址及联系方式同招标公告。</w:t>
      </w:r>
    </w:p>
    <w:p w14:paraId="630674D1">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以下情形的质疑不予受理</w:t>
      </w:r>
    </w:p>
    <w:p w14:paraId="0F26E43B">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内容不符合《政府采购质疑和投诉办法》第十二条规定的质疑。</w:t>
      </w:r>
    </w:p>
    <w:p w14:paraId="7B9E784C">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超出政府采购法定期限的质疑。</w:t>
      </w:r>
    </w:p>
    <w:p w14:paraId="4F771FAB">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以传真、电子邮件等方式递交的非原件形式的质疑。</w:t>
      </w:r>
    </w:p>
    <w:p w14:paraId="54A6AB53">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未参加投标活动的供应商或在投标活动中自身权益未受到损害的供应商所提出的质疑。</w:t>
      </w:r>
    </w:p>
    <w:p w14:paraId="53B4E29E">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供应商组成联合体参加投标，联合体中任何一方或多方未按要求签字、盖章、加盖公章的质疑。</w:t>
      </w:r>
    </w:p>
    <w:p w14:paraId="25DB4F06">
      <w:pPr>
        <w:pStyle w:val="12"/>
        <w:keepNext w:val="0"/>
        <w:keepLines w:val="0"/>
        <w:pageBreakBefore w:val="0"/>
        <w:numPr>
          <w:ilvl w:val="0"/>
          <w:numId w:val="3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567AB68">
      <w:pPr>
        <w:pStyle w:val="12"/>
        <w:keepNext w:val="0"/>
        <w:keepLines w:val="0"/>
        <w:pageBreakBefore w:val="0"/>
        <w:numPr>
          <w:ilvl w:val="0"/>
          <w:numId w:val="3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中标通知书</w:t>
      </w:r>
    </w:p>
    <w:p w14:paraId="70444F05">
      <w:pPr>
        <w:pStyle w:val="12"/>
        <w:keepNext w:val="0"/>
        <w:keepLines w:val="0"/>
        <w:pageBreakBefore w:val="0"/>
        <w:numPr>
          <w:ilvl w:val="0"/>
          <w:numId w:val="3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l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D891B86">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5C1C1008">
      <w:pPr>
        <w:pStyle w:val="2"/>
        <w:keepNext w:val="0"/>
        <w:keepLines w:val="0"/>
        <w:pageBreakBefore w:val="0"/>
        <w:numPr>
          <w:ilvl w:val="0"/>
          <w:numId w:val="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bookmarkStart w:id="153" w:name="_Toc513029236"/>
      <w:bookmarkStart w:id="154" w:name="_Toc16938552"/>
      <w:bookmarkStart w:id="155" w:name="_Toc20823308"/>
      <w:bookmarkStart w:id="156" w:name="_Toc120614220"/>
      <w:r>
        <w:rPr>
          <w:rFonts w:hint="default" w:ascii="Times New Roman" w:hAnsi="Times New Roman" w:cs="Times New Roman"/>
          <w:color w:val="auto"/>
          <w:highlight w:val="none"/>
        </w:rPr>
        <w:t>授予合同</w:t>
      </w:r>
      <w:bookmarkEnd w:id="153"/>
      <w:bookmarkEnd w:id="154"/>
      <w:bookmarkEnd w:id="155"/>
      <w:bookmarkEnd w:id="156"/>
    </w:p>
    <w:p w14:paraId="46DCFD49">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bookmarkStart w:id="157" w:name="_Toc20823309"/>
      <w:bookmarkStart w:id="158" w:name="_Toc513029237"/>
      <w:bookmarkStart w:id="159" w:name="_Toc16938553"/>
      <w:r>
        <w:rPr>
          <w:rFonts w:hint="default" w:ascii="Times New Roman" w:hAnsi="Times New Roman" w:eastAsia="宋体" w:cs="Times New Roman"/>
          <w:b/>
          <w:color w:val="auto"/>
          <w:sz w:val="24"/>
          <w:highlight w:val="none"/>
        </w:rPr>
        <w:t>30.</w:t>
      </w:r>
      <w:r>
        <w:rPr>
          <w:rFonts w:hint="default" w:ascii="Times New Roman" w:hAnsi="Times New Roman" w:cs="Times New Roman"/>
          <w:color w:val="auto"/>
          <w:highlight w:val="none"/>
        </w:rPr>
        <w:t>签订合同</w:t>
      </w:r>
      <w:bookmarkEnd w:id="157"/>
      <w:bookmarkEnd w:id="158"/>
      <w:bookmarkEnd w:id="159"/>
    </w:p>
    <w:p w14:paraId="7B74E0E1">
      <w:pPr>
        <w:pStyle w:val="4"/>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b/>
          <w:color w:val="auto"/>
          <w:sz w:val="24"/>
          <w:highlight w:val="none"/>
        </w:rPr>
        <w:t>31.</w:t>
      </w:r>
      <w:r>
        <w:rPr>
          <w:rFonts w:hint="default" w:ascii="Times New Roman" w:hAnsi="Times New Roman" w:cs="Times New Roman"/>
          <w:color w:val="auto"/>
          <w:highlight w:val="none"/>
        </w:rPr>
        <w:t>l中标人应当在中标通知书发出之日起三十日内，按照招标文件确定的事项与采购人签订政府采购合同。</w:t>
      </w:r>
    </w:p>
    <w:p w14:paraId="465C1A39">
      <w:pPr>
        <w:pStyle w:val="12"/>
        <w:keepNext w:val="0"/>
        <w:keepLines w:val="0"/>
        <w:pageBreakBefore w:val="0"/>
        <w:numPr>
          <w:ilvl w:val="0"/>
          <w:numId w:val="4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招标文件、中标人的投标文件及招标过程中有关澄清、承诺文件均应作为合同附件。</w:t>
      </w:r>
    </w:p>
    <w:p w14:paraId="20A76AAB">
      <w:pPr>
        <w:pStyle w:val="12"/>
        <w:keepNext w:val="0"/>
        <w:keepLines w:val="0"/>
        <w:pageBreakBefore w:val="0"/>
        <w:numPr>
          <w:ilvl w:val="0"/>
          <w:numId w:val="4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签订合同后，</w:t>
      </w:r>
      <w:r>
        <w:rPr>
          <w:rFonts w:hint="default" w:ascii="Times New Roman" w:hAnsi="Times New Roman" w:cs="Times New Roman"/>
          <w:i/>
          <w:color w:val="auto"/>
          <w:highlight w:val="none"/>
          <w:u w:val="single"/>
        </w:rPr>
        <w:t>中标人不得将合同标的进行转包</w:t>
      </w:r>
      <w:r>
        <w:rPr>
          <w:rFonts w:hint="default" w:ascii="Times New Roman" w:hAnsi="Times New Roman" w:cs="Times New Roman"/>
          <w:color w:val="auto"/>
          <w:highlight w:val="none"/>
        </w:rPr>
        <w:t>。未经采购人同意，中标人也不得采用分包的形式履行合同，否则采购人有权终止合同。转包或分包造成采购人损失的，中标人应承担相应赔偿责任。</w:t>
      </w:r>
    </w:p>
    <w:p w14:paraId="649DA590">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b/>
          <w:color w:val="auto"/>
          <w:sz w:val="24"/>
          <w:highlight w:val="none"/>
        </w:rPr>
        <w:t>32.</w:t>
      </w:r>
      <w:r>
        <w:rPr>
          <w:rFonts w:hint="default" w:ascii="Times New Roman" w:hAnsi="Times New Roman" w:cs="Times New Roman"/>
          <w:color w:val="auto"/>
          <w:highlight w:val="none"/>
        </w:rPr>
        <w:t>服务（包含与服务相关的货物）的追加</w:t>
      </w:r>
    </w:p>
    <w:p w14:paraId="1E0DA2E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C21DF21">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b/>
          <w:color w:val="auto"/>
          <w:sz w:val="24"/>
          <w:highlight w:val="none"/>
        </w:rPr>
        <w:t>33.</w:t>
      </w:r>
      <w:r>
        <w:rPr>
          <w:rFonts w:hint="default" w:ascii="Times New Roman" w:hAnsi="Times New Roman" w:cs="Times New Roman"/>
          <w:color w:val="auto"/>
          <w:highlight w:val="none"/>
        </w:rPr>
        <w:t>政府采购政策功能落实</w:t>
      </w:r>
    </w:p>
    <w:p w14:paraId="4C544C03">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政府采购线上合同信用融资政策</w:t>
      </w:r>
    </w:p>
    <w:p w14:paraId="0BAA4818">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9806ADB">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进口产品</w:t>
      </w:r>
    </w:p>
    <w:p w14:paraId="23EE5F4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2B3FEFA">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中小企业、监狱企业及残疾人福利性单位</w:t>
      </w:r>
    </w:p>
    <w:p w14:paraId="6E1DAD93">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中小企业定义：</w:t>
      </w:r>
    </w:p>
    <w:p w14:paraId="22673A9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FAFF290">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供应商提供的货物、工程或者服务符合下列情形的，享受中小企业扶持政策：</w:t>
      </w:r>
    </w:p>
    <w:p w14:paraId="3F4FC375">
      <w:pPr>
        <w:pStyle w:val="12"/>
        <w:keepNext w:val="0"/>
        <w:keepLines w:val="0"/>
        <w:pageBreakBefore w:val="0"/>
        <w:numPr>
          <w:ilvl w:val="0"/>
          <w:numId w:val="45"/>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在货物采购项目中，货物由中小企业制造，即货物由中小企业生产且使用该中小企业商号或者注册商标；</w:t>
      </w:r>
    </w:p>
    <w:p w14:paraId="38E1BAEF">
      <w:pPr>
        <w:pStyle w:val="12"/>
        <w:keepNext w:val="0"/>
        <w:keepLines w:val="0"/>
        <w:pageBreakBefore w:val="0"/>
        <w:numPr>
          <w:ilvl w:val="0"/>
          <w:numId w:val="45"/>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在工程采购项目中，工程由中小企业承建，即工程施工单位为中小企业；</w:t>
      </w:r>
    </w:p>
    <w:p w14:paraId="679632A1">
      <w:pPr>
        <w:pStyle w:val="12"/>
        <w:keepNext w:val="0"/>
        <w:keepLines w:val="0"/>
        <w:pageBreakBefore w:val="0"/>
        <w:numPr>
          <w:ilvl w:val="0"/>
          <w:numId w:val="45"/>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在服务采购项目中，服务由中小企业承接，即提供服务的人员为中小企业依照《中华人民共和国劳动合同法》订立劳动合同的从业人员。</w:t>
      </w:r>
    </w:p>
    <w:p w14:paraId="21F12289">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在货物采购项目中，供应商提供的货物既有中小企业制造货物，也有大型企业制造货物的，不享受中小企业扶持政策。</w:t>
      </w:r>
    </w:p>
    <w:p w14:paraId="2DE5FD8F">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以联合体形式参加政府采购活动，联合体各方均为中小企业的，联合体视同中小企业。其中，联合体各方均为小微企业的，联合体视同小微企业。</w:t>
      </w:r>
    </w:p>
    <w:p w14:paraId="37537A5E">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04FAB">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残疾人福利单位定义：享受政府采购支持政策的残疾人福利性单位应当同时满足以下条件：</w:t>
      </w:r>
    </w:p>
    <w:p w14:paraId="79DEAD00">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安置的残疾人占本单位在职职工人数的比例不低于25%（含25%），并且安置的残疾人人数不少于10 人（含10 人）；</w:t>
      </w:r>
    </w:p>
    <w:p w14:paraId="2B3CD02D">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依法与安置的每位残疾人签订了一年以上（含一年）的劳动合同或服务协议；</w:t>
      </w:r>
    </w:p>
    <w:p w14:paraId="2DEF1A4D">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为安置的每位残疾人按月足额缴纳了基本养老保险、基本医疗保险、失业保险、工伤保险和生育保险等社会保险费；</w:t>
      </w:r>
    </w:p>
    <w:p w14:paraId="51E9A4DE">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通过银行等金融机构向安置的每位残疾人，按月支付了不低于单位所在区县适用的经省级人民政府批准的月最低工资标准的工资；</w:t>
      </w:r>
    </w:p>
    <w:p w14:paraId="46DBF52C">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提供本单位制造的货物、承担的工程或者服务（以下简称产品），或者提供其他残疾人福利性单位制造的货物（不包括使用非残疾人福利性单位注册商标的货物）；</w:t>
      </w:r>
    </w:p>
    <w:p w14:paraId="22F501E4">
      <w:pPr>
        <w:pStyle w:val="12"/>
        <w:keepNext w:val="0"/>
        <w:keepLines w:val="0"/>
        <w:pageBreakBefore w:val="0"/>
        <w:numPr>
          <w:ilvl w:val="0"/>
          <w:numId w:val="4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4A3344">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本项目是否专门面向中小企业预留采购份额见第一章《招标公告》。</w:t>
      </w:r>
    </w:p>
    <w:p w14:paraId="6CABFC67">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采购标的对应的中小企业划分标准所属行业见第四章《采购需求》。</w:t>
      </w:r>
    </w:p>
    <w:p w14:paraId="1372411C">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小微企业价格评审优惠的政策：见第五章《评标方法和评标标准》。</w:t>
      </w:r>
    </w:p>
    <w:p w14:paraId="52A6DFE4">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政府采购节能产品、环境标志产品</w:t>
      </w:r>
    </w:p>
    <w:p w14:paraId="21198AAA">
      <w:pPr>
        <w:pStyle w:val="12"/>
        <w:keepNext w:val="0"/>
        <w:keepLines w:val="0"/>
        <w:pageBreakBefore w:val="0"/>
        <w:numPr>
          <w:ilvl w:val="0"/>
          <w:numId w:val="4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375775B">
      <w:pPr>
        <w:pStyle w:val="12"/>
        <w:keepNext w:val="0"/>
        <w:keepLines w:val="0"/>
        <w:pageBreakBefore w:val="0"/>
        <w:numPr>
          <w:ilvl w:val="0"/>
          <w:numId w:val="4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BC30A7C">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绿色包装</w:t>
      </w:r>
    </w:p>
    <w:p w14:paraId="17430523">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052BF0B">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政府采购创新产品</w:t>
      </w:r>
    </w:p>
    <w:p w14:paraId="12C5018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采购人优先采购各级政府部门公开发布的有效期内的创新产品、创新服务、首台套、首购首用等《目录》的创新产品。</w:t>
      </w:r>
    </w:p>
    <w:p w14:paraId="71B47FBF">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绿色数据中心政策 </w:t>
      </w:r>
    </w:p>
    <w:p w14:paraId="3C1C00A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实施本国产品标准及相关政策</w:t>
      </w:r>
    </w:p>
    <w:p w14:paraId="510E6799">
      <w:pPr>
        <w:pStyle w:val="12"/>
        <w:keepNext w:val="0"/>
        <w:keepLines w:val="0"/>
        <w:pageBreakBefore w:val="0"/>
        <w:numPr>
          <w:ilvl w:val="0"/>
          <w:numId w:val="4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本项目对采购本国产品给予政策支持，具体内容见招标文件“第五章 评标方法与评标标准”。</w:t>
      </w:r>
    </w:p>
    <w:p w14:paraId="6E8BCEDC">
      <w:pPr>
        <w:pStyle w:val="12"/>
        <w:keepNext w:val="0"/>
        <w:keepLines w:val="0"/>
        <w:pageBreakBefore w:val="0"/>
        <w:numPr>
          <w:ilvl w:val="0"/>
          <w:numId w:val="4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10D6F6">
      <w:pPr>
        <w:pStyle w:val="12"/>
        <w:keepNext w:val="0"/>
        <w:keepLines w:val="0"/>
        <w:pageBreakBefore w:val="0"/>
        <w:numPr>
          <w:ilvl w:val="0"/>
          <w:numId w:val="4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4FA8254">
      <w:pPr>
        <w:pStyle w:val="12"/>
        <w:keepNext w:val="0"/>
        <w:keepLines w:val="0"/>
        <w:pageBreakBefore w:val="0"/>
        <w:numPr>
          <w:ilvl w:val="0"/>
          <w:numId w:val="4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684A45A6">
      <w:pPr>
        <w:pStyle w:val="4"/>
        <w:keepNext w:val="0"/>
        <w:keepLines w:val="0"/>
        <w:pageBreakBefore w:val="0"/>
        <w:numPr>
          <w:ilvl w:val="0"/>
          <w:numId w:val="4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履约保证金政策</w:t>
      </w:r>
    </w:p>
    <w:p w14:paraId="2AA60ED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确需收取履约保证金的，履约保证金的缴纳形式：</w:t>
      </w:r>
    </w:p>
    <w:p w14:paraId="391B6496">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D4471B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如以履约保函（保险）形式缴纳履约保证金，供应商可通过政府采购电子履约保函（保险）平台（www.jsdzbh.com）在线申请履约保函（保险）。</w:t>
      </w:r>
    </w:p>
    <w:p w14:paraId="191CA30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履约保证金金额为合同金额的10%，采购人对第三方信用服务机构依据标准规范评定为 AAA 级及以上的政府采购供应商（需提供信用管理部门备案的第三方信用报告）免收履约保证金、对AA评级的政府采购供应商（需提供信用管理部门备案的第三方信用报告）降低履约保证金缴纳比例（中标价的5%）。</w:t>
      </w:r>
    </w:p>
    <w:p w14:paraId="2441D637">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b/>
          <w:color w:val="auto"/>
          <w:sz w:val="24"/>
          <w:highlight w:val="none"/>
        </w:rPr>
        <w:t>34.</w:t>
      </w:r>
      <w:r>
        <w:rPr>
          <w:rFonts w:hint="default" w:ascii="Times New Roman" w:hAnsi="Times New Roman" w:cs="Times New Roman"/>
          <w:color w:val="auto"/>
          <w:highlight w:val="none"/>
        </w:rPr>
        <w:t>预付款制度</w:t>
      </w:r>
    </w:p>
    <w:p w14:paraId="1759AAC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本项目落实预付款制度，预付款比例为30%。在签订合同时，中标、成交供应商明确书面表示无需预付款或者主动要求降低预付款比例的，采购人可就预付款比例作相应调整。</w:t>
      </w:r>
    </w:p>
    <w:p w14:paraId="0A8FDB05">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br w:type="page"/>
      </w:r>
    </w:p>
    <w:p w14:paraId="3ECC0495">
      <w:pPr>
        <w:pStyle w:val="49"/>
        <w:keepNext w:val="0"/>
        <w:keepLines w:val="0"/>
        <w:pageBreakBefore w:val="0"/>
        <w:numPr>
          <w:ilvl w:val="0"/>
          <w:numId w:val="0"/>
        </w:numPr>
        <w:tabs>
          <w:tab w:val="left" w:pos="1602"/>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color w:val="auto"/>
          <w:highlight w:val="none"/>
        </w:rPr>
      </w:pPr>
      <w:r>
        <w:rPr>
          <w:rFonts w:hint="eastAsia" w:ascii="Times New Roman" w:hAnsi="Times New Roman" w:eastAsia="黑体" w:cs="Times New Roman"/>
          <w:color w:val="auto"/>
          <w:kern w:val="44"/>
          <w:sz w:val="32"/>
          <w:szCs w:val="36"/>
          <w:highlight w:val="none"/>
        </w:rPr>
        <w:t>第三章</w:t>
      </w:r>
      <w:r>
        <w:rPr>
          <w:rFonts w:hint="eastAsia" w:cs="Times New Roman"/>
          <w:color w:val="auto"/>
          <w:kern w:val="44"/>
          <w:sz w:val="32"/>
          <w:szCs w:val="36"/>
          <w:highlight w:val="none"/>
          <w:lang w:val="en-US" w:eastAsia="zh-CN"/>
        </w:rPr>
        <w:t xml:space="preserve">  </w:t>
      </w:r>
      <w:r>
        <w:rPr>
          <w:rFonts w:hint="default" w:ascii="Times New Roman" w:hAnsi="Times New Roman" w:cs="Times New Roman"/>
          <w:color w:val="auto"/>
          <w:highlight w:val="none"/>
        </w:rPr>
        <w:t>合同文本</w:t>
      </w:r>
    </w:p>
    <w:p w14:paraId="00A8459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160" w:name="_Toc513029243"/>
      <w:bookmarkStart w:id="161" w:name="_Toc16938559"/>
      <w:bookmarkStart w:id="162" w:name="_Toc20823315"/>
      <w:r>
        <w:rPr>
          <w:rFonts w:hint="default" w:ascii="Times New Roman" w:hAnsi="Times New Roman" w:cs="Times New Roman"/>
          <w:color w:val="auto"/>
          <w:highlight w:val="none"/>
        </w:rPr>
        <w:t>以下为中标后签订本项目合同的通用条款，中标人不得提出实质性的修改。</w:t>
      </w:r>
      <w:bookmarkEnd w:id="160"/>
      <w:bookmarkEnd w:id="161"/>
      <w:bookmarkEnd w:id="162"/>
    </w:p>
    <w:p w14:paraId="4A23371E">
      <w:pPr>
        <w:pStyle w:val="52"/>
        <w:keepNext w:val="0"/>
        <w:keepLines w:val="0"/>
        <w:pageBreakBefore w:val="0"/>
        <w:kinsoku/>
        <w:wordWrap/>
        <w:overflowPunct/>
        <w:topLinePunct w:val="0"/>
        <w:autoSpaceDE/>
        <w:autoSpaceDN/>
        <w:bidi w:val="0"/>
        <w:adjustRightInd/>
        <w:snapToGrid/>
        <w:spacing w:before="0" w:after="0" w:line="360" w:lineRule="exact"/>
        <w:ind w:left="0" w:leftChars="0" w:firstLine="0" w:firstLineChars="0"/>
        <w:textAlignment w:val="auto"/>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盐城市政府采购合同（服务）（合同编号）</w:t>
      </w:r>
    </w:p>
    <w:p w14:paraId="5A3F43F4">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163" w:name="_Toc479757211"/>
      <w:bookmarkStart w:id="164" w:name="_Toc20823346"/>
      <w:bookmarkStart w:id="165" w:name="_Toc462564139"/>
      <w:bookmarkStart w:id="166" w:name="_Toc16938590"/>
      <w:bookmarkStart w:id="167" w:name="_Hlt16619350"/>
      <w:bookmarkStart w:id="168" w:name="_Toc120614244"/>
      <w:bookmarkStart w:id="169" w:name="_Hlt16619369"/>
      <w:r>
        <w:rPr>
          <w:rFonts w:hint="default" w:ascii="Times New Roman" w:hAnsi="Times New Roman" w:cs="Times New Roman"/>
          <w:color w:val="auto"/>
          <w:highlight w:val="none"/>
        </w:rPr>
        <w:t>项目名称：</w:t>
      </w:r>
      <w:r>
        <w:rPr>
          <w:rFonts w:hint="eastAsia" w:cs="Times New Roman"/>
          <w:color w:val="auto"/>
          <w:highlight w:val="none"/>
          <w:lang w:eastAsia="zh-CN"/>
        </w:rPr>
        <w:t>盐都区2026年城市体检及城市更新行动方案编制服务项目</w:t>
      </w:r>
      <w:r>
        <w:rPr>
          <w:rFonts w:hint="default" w:ascii="Times New Roman" w:hAnsi="Times New Roman" w:cs="Times New Roman"/>
          <w:color w:val="auto"/>
          <w:highlight w:val="none"/>
        </w:rPr>
        <w:t xml:space="preserve">   </w:t>
      </w:r>
    </w:p>
    <w:p w14:paraId="612B09B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项目编号：</w:t>
      </w:r>
      <w:r>
        <w:rPr>
          <w:rFonts w:hint="eastAsia" w:cs="Times New Roman"/>
          <w:color w:val="auto"/>
          <w:highlight w:val="none"/>
          <w:lang w:eastAsia="zh-CN"/>
        </w:rPr>
        <w:t>JSZC-320903-RJXM-G2026-0001</w:t>
      </w:r>
      <w:r>
        <w:rPr>
          <w:rFonts w:hint="default" w:ascii="Times New Roman" w:hAnsi="Times New Roman" w:cs="Times New Roman"/>
          <w:color w:val="auto"/>
          <w:highlight w:val="none"/>
        </w:rPr>
        <w:t xml:space="preserve">            </w:t>
      </w:r>
    </w:p>
    <w:p w14:paraId="48B60B38">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甲方：（买方）</w:t>
      </w:r>
      <w:r>
        <w:rPr>
          <w:rFonts w:hint="eastAsia" w:cs="Times New Roman"/>
          <w:color w:val="auto"/>
          <w:highlight w:val="none"/>
          <w:u w:val="single"/>
          <w:lang w:eastAsia="zh-CN"/>
        </w:rPr>
        <w:t>盐城市盐都区住房和城乡建设局</w:t>
      </w:r>
    </w:p>
    <w:p w14:paraId="0BDF6C2F">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乙方：（卖方）_________________</w:t>
      </w:r>
    </w:p>
    <w:p w14:paraId="747623F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甲、乙双方根据</w:t>
      </w:r>
      <w:r>
        <w:rPr>
          <w:rFonts w:hint="eastAsia" w:cs="Times New Roman"/>
          <w:color w:val="auto"/>
          <w:highlight w:val="none"/>
          <w:u w:val="single"/>
          <w:lang w:eastAsia="zh-CN"/>
        </w:rPr>
        <w:t>盐都区2026年城市体检及城市更新行动方案编制服务项目</w:t>
      </w:r>
      <w:r>
        <w:rPr>
          <w:rFonts w:hint="default" w:ascii="Times New Roman" w:hAnsi="Times New Roman" w:cs="Times New Roman"/>
          <w:color w:val="auto"/>
          <w:highlight w:val="none"/>
        </w:rPr>
        <w:t>公开招标的结果，签署本合同。</w:t>
      </w:r>
    </w:p>
    <w:p w14:paraId="3EC2693D">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合同内容</w:t>
      </w:r>
    </w:p>
    <w:p w14:paraId="29A75734">
      <w:pPr>
        <w:pStyle w:val="12"/>
        <w:keepNext w:val="0"/>
        <w:keepLines w:val="0"/>
        <w:pageBreakBefore w:val="0"/>
        <w:numPr>
          <w:ilvl w:val="0"/>
          <w:numId w:val="50"/>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标的名称：</w:t>
      </w:r>
      <w:r>
        <w:rPr>
          <w:rFonts w:hint="eastAsia" w:cs="Times New Roman"/>
          <w:color w:val="auto"/>
          <w:highlight w:val="none"/>
          <w:lang w:eastAsia="zh-CN"/>
        </w:rPr>
        <w:t>盐都区2026年城市体检及城市更新行动方案编制服务项目</w:t>
      </w:r>
    </w:p>
    <w:p w14:paraId="55B5106E">
      <w:pPr>
        <w:pStyle w:val="12"/>
        <w:keepNext w:val="0"/>
        <w:keepLines w:val="0"/>
        <w:pageBreakBefore w:val="0"/>
        <w:numPr>
          <w:ilvl w:val="0"/>
          <w:numId w:val="0"/>
        </w:numPr>
        <w:tabs>
          <w:tab w:val="left" w:pos="7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履行时间（期限）：</w:t>
      </w:r>
      <w:r>
        <w:rPr>
          <w:rFonts w:hint="eastAsia" w:cs="Times New Roman"/>
          <w:color w:val="auto"/>
          <w:highlight w:val="none"/>
          <w:lang w:val="en-US" w:eastAsia="zh-CN"/>
        </w:rPr>
        <w:t>一年六个月</w:t>
      </w:r>
      <w:r>
        <w:rPr>
          <w:rFonts w:hint="eastAsia" w:cs="Times New Roman"/>
          <w:color w:val="auto"/>
          <w:highlight w:val="none"/>
          <w:lang w:eastAsia="zh-CN"/>
        </w:rPr>
        <w:t>（</w:t>
      </w:r>
      <w:r>
        <w:rPr>
          <w:rFonts w:hint="eastAsia" w:cs="Times New Roman"/>
          <w:color w:val="auto"/>
          <w:highlight w:val="none"/>
          <w:lang w:val="en-US" w:eastAsia="zh-CN"/>
        </w:rPr>
        <w:t>自签订合同之日起180日历天内完成2026年城市体检及城市更新</w:t>
      </w:r>
      <w:r>
        <w:rPr>
          <w:rFonts w:hint="eastAsia" w:cs="Times New Roman"/>
          <w:color w:val="auto"/>
          <w:highlight w:val="none"/>
          <w:lang w:eastAsia="zh-CN"/>
        </w:rPr>
        <w:t>行动方案</w:t>
      </w:r>
      <w:r>
        <w:rPr>
          <w:rFonts w:hint="eastAsia" w:cs="Times New Roman"/>
          <w:color w:val="auto"/>
          <w:highlight w:val="none"/>
          <w:lang w:val="en-US" w:eastAsia="zh-CN"/>
        </w:rPr>
        <w:t>编制，180日历天满后提供一年业务技术指导支持服务并对2026年城市体检成果补充完善）</w:t>
      </w:r>
      <w:r>
        <w:rPr>
          <w:rFonts w:hint="default" w:ascii="Times New Roman" w:hAnsi="Times New Roman" w:cs="Times New Roman"/>
          <w:color w:val="auto"/>
          <w:highlight w:val="none"/>
        </w:rPr>
        <w:t>。</w:t>
      </w:r>
    </w:p>
    <w:p w14:paraId="00B6916E">
      <w:pPr>
        <w:pStyle w:val="12"/>
        <w:keepNext w:val="0"/>
        <w:keepLines w:val="0"/>
        <w:pageBreakBefore w:val="0"/>
        <w:numPr>
          <w:ilvl w:val="0"/>
          <w:numId w:val="50"/>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履行方式：乙方必须完全按照国家法律法规、甲方招标文件的要求、乙方投标（响应）文件承诺等相关要求履行合同</w:t>
      </w:r>
    </w:p>
    <w:p w14:paraId="2EA87065">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合同金额</w:t>
      </w:r>
    </w:p>
    <w:p w14:paraId="7798D9D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2.1本合同金额为（大写）：_________________圆（_______________元）人民币，固定总价</w:t>
      </w:r>
      <w:r>
        <w:rPr>
          <w:rFonts w:hint="eastAsia" w:cs="Times New Roman"/>
          <w:color w:val="auto"/>
          <w:highlight w:val="none"/>
          <w:lang w:val="en-US" w:eastAsia="zh-CN"/>
        </w:rPr>
        <w:t>包干，</w:t>
      </w:r>
      <w:r>
        <w:rPr>
          <w:rFonts w:hint="default" w:ascii="Times New Roman" w:hAnsi="Times New Roman" w:cs="Times New Roman"/>
          <w:color w:val="auto"/>
          <w:highlight w:val="none"/>
        </w:rPr>
        <w:t>本合同价款包含所有乙方提供合同约定服务的报酬及乙方提供合同中服务所支出的必要费用，甲方在上述合同价款之外不再向乙方支付其他任何费用。</w:t>
      </w:r>
    </w:p>
    <w:p w14:paraId="19B6ADE3">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技术</w:t>
      </w:r>
      <w:r>
        <w:rPr>
          <w:rFonts w:hint="default" w:ascii="Times New Roman" w:hAnsi="Times New Roman" w:cs="Times New Roman"/>
          <w:color w:val="auto"/>
          <w:highlight w:val="none"/>
        </w:rPr>
        <w:t>资料</w:t>
      </w:r>
      <w:r>
        <w:rPr>
          <w:rFonts w:hint="eastAsia" w:ascii="Times New Roman" w:hAnsi="Times New Roman" w:cs="Times New Roman"/>
          <w:color w:val="auto"/>
          <w:highlight w:val="none"/>
          <w:lang w:val="en-US" w:eastAsia="zh-CN"/>
        </w:rPr>
        <w:t>及成果交付</w:t>
      </w:r>
    </w:p>
    <w:p w14:paraId="6C8D8A0F">
      <w:pPr>
        <w:spacing w:line="500" w:lineRule="exact"/>
        <w:ind w:firstLine="480"/>
        <w:rPr>
          <w:rFonts w:hint="default" w:ascii="Times New Roman" w:hAnsi="Times New Roman" w:eastAsia="宋体" w:cs="Times New Roman"/>
          <w:color w:val="auto"/>
          <w:kern w:val="0"/>
          <w:sz w:val="24"/>
          <w:szCs w:val="20"/>
          <w:highlight w:val="none"/>
        </w:rPr>
      </w:pPr>
      <w:r>
        <w:rPr>
          <w:rFonts w:hint="eastAsia" w:ascii="Times New Roman" w:hAnsi="Times New Roman" w:cs="Times New Roman"/>
          <w:color w:val="auto"/>
          <w:highlight w:val="none"/>
          <w:lang w:val="en-US" w:eastAsia="zh-CN"/>
        </w:rPr>
        <w:t>3.1</w:t>
      </w:r>
      <w:r>
        <w:rPr>
          <w:rFonts w:hint="default" w:ascii="Times New Roman" w:hAnsi="Times New Roman" w:cs="Times New Roman"/>
          <w:color w:val="auto"/>
          <w:highlight w:val="none"/>
        </w:rPr>
        <w:t>乙方应按招标文件规定的时间向甲方提供服务（包含与服务相关的货物）的有关技术资料</w:t>
      </w:r>
      <w:r>
        <w:rPr>
          <w:rFonts w:hint="eastAsia" w:cs="Times New Roman"/>
          <w:color w:val="auto"/>
          <w:highlight w:val="none"/>
          <w:lang w:val="en-US" w:eastAsia="zh-CN"/>
        </w:rPr>
        <w:t>及成果</w:t>
      </w:r>
      <w:r>
        <w:rPr>
          <w:rFonts w:hint="eastAsia" w:ascii="Times New Roman" w:hAnsi="Times New Roman" w:eastAsia="宋体" w:cs="Times New Roman"/>
          <w:color w:val="auto"/>
          <w:kern w:val="0"/>
          <w:sz w:val="24"/>
          <w:szCs w:val="20"/>
          <w:highlight w:val="none"/>
          <w:lang w:val="en-US" w:eastAsia="zh-CN"/>
        </w:rPr>
        <w:t>。</w:t>
      </w:r>
      <w:r>
        <w:rPr>
          <w:rFonts w:hint="eastAsia" w:ascii="Times New Roman" w:hAnsi="Times New Roman" w:eastAsia="宋体" w:cs="Times New Roman"/>
          <w:color w:val="auto"/>
          <w:kern w:val="0"/>
          <w:sz w:val="24"/>
          <w:szCs w:val="20"/>
          <w:highlight w:val="none"/>
        </w:rPr>
        <w:t>成果文件包括纸质文件</w:t>
      </w:r>
      <w:r>
        <w:rPr>
          <w:rFonts w:hint="eastAsia" w:ascii="Times New Roman" w:hAnsi="Times New Roman" w:eastAsia="宋体" w:cs="Times New Roman"/>
          <w:color w:val="auto"/>
          <w:kern w:val="0"/>
          <w:sz w:val="24"/>
          <w:szCs w:val="20"/>
          <w:highlight w:val="none"/>
          <w:lang w:val="en-US" w:eastAsia="zh-CN"/>
        </w:rPr>
        <w:t>六套</w:t>
      </w:r>
      <w:r>
        <w:rPr>
          <w:rFonts w:hint="eastAsia" w:ascii="Times New Roman" w:hAnsi="Times New Roman" w:eastAsia="宋体" w:cs="Times New Roman"/>
          <w:color w:val="auto"/>
          <w:kern w:val="0"/>
          <w:sz w:val="24"/>
          <w:szCs w:val="20"/>
          <w:highlight w:val="none"/>
        </w:rPr>
        <w:t>和电子文件两部分，其中电子文件综合报告、文本、说明书格式为pdf格式、图件格式为jpg或dwg格式。</w:t>
      </w:r>
    </w:p>
    <w:p w14:paraId="3AFAAEDE">
      <w:pPr>
        <w:pStyle w:val="12"/>
        <w:keepNext w:val="0"/>
        <w:keepLines w:val="0"/>
        <w:pageBreakBefore w:val="0"/>
        <w:numPr>
          <w:ilvl w:val="0"/>
          <w:numId w:val="0"/>
        </w:numPr>
        <w:tabs>
          <w:tab w:val="left" w:pos="900"/>
        </w:tabs>
        <w:kinsoku/>
        <w:wordWrap/>
        <w:overflowPunct/>
        <w:topLinePunct w:val="0"/>
        <w:autoSpaceDE/>
        <w:autoSpaceDN/>
        <w:bidi w:val="0"/>
        <w:adjustRightInd/>
        <w:snapToGrid/>
        <w:spacing w:after="0" w:line="360" w:lineRule="exact"/>
        <w:ind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val="en-US" w:eastAsia="zh-CN"/>
        </w:rPr>
        <w:t>3.2</w:t>
      </w:r>
      <w:r>
        <w:rPr>
          <w:rFonts w:hint="default" w:ascii="Times New Roman" w:hAnsi="Times New Roman" w:cs="Times New Roman"/>
          <w:color w:val="auto"/>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B3B03C8">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知识产权</w:t>
      </w:r>
    </w:p>
    <w:p w14:paraId="6BDE27DD">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7648A0DB">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产权担保</w:t>
      </w:r>
    </w:p>
    <w:p w14:paraId="60B9986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5.1乙方保证所交付的服务（包含与服务相关的货物）的所有权完全属于乙方且无任何抵押、查封等产权瑕疵。</w:t>
      </w:r>
    </w:p>
    <w:p w14:paraId="0BCA6888">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履约保证金</w:t>
      </w:r>
    </w:p>
    <w:p w14:paraId="17FBDE97">
      <w:pPr>
        <w:pStyle w:val="12"/>
        <w:keepNext w:val="0"/>
        <w:keepLines w:val="0"/>
        <w:pageBreakBefore w:val="0"/>
        <w:numPr>
          <w:ilvl w:val="0"/>
          <w:numId w:val="5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乙方交纳人民币_________元作为本合同的履约保证金。</w:t>
      </w:r>
    </w:p>
    <w:p w14:paraId="6DE04BD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备注：不得超过合同金额的10%，采购人应当对AAA评级及以上政府采购供应商（需提供信用管理部门备案的第三方信用报告）免收履约保证金、对AA评级的政府采购供应商（需提供信用管理部门备案的第三方信用报告）降低履约保证金缴纳比例（中标价的5%））</w:t>
      </w:r>
    </w:p>
    <w:p w14:paraId="4C02FCEB">
      <w:pPr>
        <w:pStyle w:val="12"/>
        <w:keepNext w:val="0"/>
        <w:keepLines w:val="0"/>
        <w:pageBreakBefore w:val="0"/>
        <w:numPr>
          <w:ilvl w:val="0"/>
          <w:numId w:val="5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确需收取履约保证金的，履约保证金的缴纳形式：</w:t>
      </w:r>
    </w:p>
    <w:p w14:paraId="2A060DED">
      <w:pPr>
        <w:pStyle w:val="12"/>
        <w:keepNext w:val="0"/>
        <w:keepLines w:val="0"/>
        <w:pageBreakBefore w:val="0"/>
        <w:numPr>
          <w:ilvl w:val="0"/>
          <w:numId w:val="52"/>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FFFD325">
      <w:pPr>
        <w:pStyle w:val="12"/>
        <w:keepNext w:val="0"/>
        <w:keepLines w:val="0"/>
        <w:pageBreakBefore w:val="0"/>
        <w:numPr>
          <w:ilvl w:val="0"/>
          <w:numId w:val="52"/>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如以履约保函（保险）形式缴纳履约保证金，供应商可通过政府采购电子履约保函（保险）平台（www.jsdzbh.com）在线申请履约保函（保险）。</w:t>
      </w:r>
    </w:p>
    <w:p w14:paraId="3561DD03">
      <w:pPr>
        <w:pStyle w:val="12"/>
        <w:keepNext w:val="0"/>
        <w:keepLines w:val="0"/>
        <w:pageBreakBefore w:val="0"/>
        <w:numPr>
          <w:ilvl w:val="0"/>
          <w:numId w:val="5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合同履行结束后，甲方应及时退还交纳的履约保证金。</w:t>
      </w:r>
    </w:p>
    <w:p w14:paraId="7B8F2F44">
      <w:pPr>
        <w:pStyle w:val="12"/>
        <w:keepNext w:val="0"/>
        <w:keepLines w:val="0"/>
        <w:pageBreakBefore w:val="0"/>
        <w:numPr>
          <w:ilvl w:val="0"/>
          <w:numId w:val="5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履约保证金的退还：</w:t>
      </w:r>
    </w:p>
    <w:p w14:paraId="758E90A8">
      <w:pPr>
        <w:pStyle w:val="12"/>
        <w:keepNext w:val="0"/>
        <w:keepLines w:val="0"/>
        <w:pageBreakBefore w:val="0"/>
        <w:numPr>
          <w:ilvl w:val="0"/>
          <w:numId w:val="5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方式：无息退还至投标人缴纳履约保证金的账户。如为保函，在到期时自行失效。</w:t>
      </w:r>
    </w:p>
    <w:p w14:paraId="067DE2A9">
      <w:pPr>
        <w:pStyle w:val="12"/>
        <w:keepNext w:val="0"/>
        <w:keepLines w:val="0"/>
        <w:pageBreakBefore w:val="0"/>
        <w:numPr>
          <w:ilvl w:val="0"/>
          <w:numId w:val="5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时间：验收合格且采购人收到发票后30日内。</w:t>
      </w:r>
    </w:p>
    <w:p w14:paraId="1D18E6FF">
      <w:pPr>
        <w:pStyle w:val="12"/>
        <w:keepNext w:val="0"/>
        <w:keepLines w:val="0"/>
        <w:pageBreakBefore w:val="0"/>
        <w:numPr>
          <w:ilvl w:val="0"/>
          <w:numId w:val="5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条件：按合同要求全部履约完成并经采购人验收合格，且采购人收到中标人出具的发票。</w:t>
      </w:r>
    </w:p>
    <w:p w14:paraId="6BF0AE81">
      <w:pPr>
        <w:pStyle w:val="12"/>
        <w:keepNext w:val="0"/>
        <w:keepLines w:val="0"/>
        <w:pageBreakBefore w:val="0"/>
        <w:numPr>
          <w:ilvl w:val="0"/>
          <w:numId w:val="5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不予退还情形：</w:t>
      </w:r>
    </w:p>
    <w:p w14:paraId="4EA1EC4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除不可抗力情况外，投标人出现下列情形之一的，其履约保证金，招标人将视情节决定不予退还或部分不予退还。</w:t>
      </w:r>
    </w:p>
    <w:p w14:paraId="6E1B2118">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中标人无正当理由拒绝签订合同的，或者在签订合同时向采购人提出附加条件或者更改合同实质性内容要求的；</w:t>
      </w:r>
    </w:p>
    <w:p w14:paraId="62B33CD6">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中标人不履行与采购人订立的合同的；</w:t>
      </w:r>
    </w:p>
    <w:p w14:paraId="2CB02A14">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中标人所供货物或服务不符合招标文件规定要求的；</w:t>
      </w:r>
    </w:p>
    <w:p w14:paraId="41B0867A">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中标人采取欺骗、弄虚作假方式投标的或与其它投标人串通投标的；</w:t>
      </w:r>
    </w:p>
    <w:p w14:paraId="70F1EE10">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中标人将合同内容转包、违法分包的；</w:t>
      </w:r>
    </w:p>
    <w:p w14:paraId="0CFEA7BC">
      <w:pPr>
        <w:pStyle w:val="12"/>
        <w:keepNext w:val="0"/>
        <w:keepLines w:val="0"/>
        <w:pageBreakBefore w:val="0"/>
        <w:numPr>
          <w:ilvl w:val="0"/>
          <w:numId w:val="5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中标人故意捏造事实或伪造证明材料，进行虚假恶意投诉或反映的。</w:t>
      </w:r>
    </w:p>
    <w:p w14:paraId="05C8C7E1">
      <w:pPr>
        <w:pStyle w:val="12"/>
        <w:keepNext w:val="0"/>
        <w:keepLines w:val="0"/>
        <w:pageBreakBefore w:val="0"/>
        <w:numPr>
          <w:ilvl w:val="0"/>
          <w:numId w:val="5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逾期退还的违约责任：采购人逾期无故未退还履约保证金的，按中国人民银行同期贷款基准利率上浮20%后的利率支付超期资金占用费，但因供应商自身原因导致无法及时退还的除外。</w:t>
      </w:r>
    </w:p>
    <w:p w14:paraId="4D9011C2">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合同转包或分包</w:t>
      </w:r>
    </w:p>
    <w:p w14:paraId="36ACB20A">
      <w:pPr>
        <w:pStyle w:val="12"/>
        <w:keepNext w:val="0"/>
        <w:keepLines w:val="0"/>
        <w:pageBreakBefore w:val="0"/>
        <w:numPr>
          <w:ilvl w:val="0"/>
          <w:numId w:val="5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乙方不得将合同标的转包给他人履行。</w:t>
      </w:r>
    </w:p>
    <w:p w14:paraId="64768C88">
      <w:pPr>
        <w:pStyle w:val="12"/>
        <w:keepNext w:val="0"/>
        <w:keepLines w:val="0"/>
        <w:pageBreakBefore w:val="0"/>
        <w:numPr>
          <w:ilvl w:val="0"/>
          <w:numId w:val="5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乙方不得将合同标的分包给他人履行。</w:t>
      </w:r>
    </w:p>
    <w:p w14:paraId="4407E50F">
      <w:pPr>
        <w:pStyle w:val="12"/>
        <w:keepNext w:val="0"/>
        <w:keepLines w:val="0"/>
        <w:pageBreakBefore w:val="0"/>
        <w:numPr>
          <w:ilvl w:val="0"/>
          <w:numId w:val="5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乙方如有转包或未经甲方同意的分包行为，甲方有权解除合同。</w:t>
      </w:r>
    </w:p>
    <w:p w14:paraId="54C10641">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合同款项支付</w:t>
      </w:r>
    </w:p>
    <w:p w14:paraId="34058ACF">
      <w:pPr>
        <w:pStyle w:val="3"/>
        <w:keepNext w:val="0"/>
        <w:keepLines w:val="0"/>
        <w:pageBreakBefore w:val="0"/>
        <w:kinsoku/>
        <w:wordWrap/>
        <w:overflowPunct/>
        <w:topLinePunct w:val="0"/>
        <w:autoSpaceDE/>
        <w:autoSpaceDN/>
        <w:bidi w:val="0"/>
        <w:adjustRightInd/>
        <w:snapToGrid/>
        <w:spacing w:after="0" w:line="360" w:lineRule="exact"/>
        <w:ind w:left="0" w:leftChars="0" w:firstLine="482" w:firstLineChars="200"/>
        <w:textAlignment w:val="auto"/>
        <w:rPr>
          <w:rFonts w:hint="default" w:eastAsiaTheme="minorEastAsia"/>
          <w:color w:val="auto"/>
          <w:highlight w:val="none"/>
          <w:lang w:val="en-US" w:eastAsia="zh-CN"/>
        </w:rPr>
      </w:pPr>
      <w:r>
        <w:rPr>
          <w:rFonts w:hint="default" w:ascii="Times New Roman" w:hAnsi="Times New Roman" w:cs="Times New Roman"/>
          <w:color w:val="auto"/>
          <w:highlight w:val="none"/>
        </w:rPr>
        <w:t>8.1合同款项的支付方式及进度安排</w:t>
      </w:r>
    </w:p>
    <w:p w14:paraId="585BE166">
      <w:pPr>
        <w:pStyle w:val="12"/>
        <w:keepNext w:val="0"/>
        <w:keepLines w:val="0"/>
        <w:pageBreakBefore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8.1.1预付款支付时间：合同签订后，</w:t>
      </w:r>
      <w:r>
        <w:rPr>
          <w:rFonts w:hint="eastAsia" w:ascii="Times New Roman" w:hAnsi="Times New Roman" w:eastAsia="宋体" w:cs="Times New Roman"/>
          <w:color w:val="auto"/>
          <w:highlight w:val="none"/>
          <w:lang w:val="en-US" w:eastAsia="zh-CN"/>
        </w:rPr>
        <w:t>甲方</w:t>
      </w:r>
      <w:r>
        <w:rPr>
          <w:rFonts w:hint="default" w:ascii="Times New Roman" w:hAnsi="Times New Roman" w:eastAsia="宋体" w:cs="Times New Roman"/>
          <w:color w:val="auto"/>
          <w:highlight w:val="none"/>
        </w:rPr>
        <w:t>收到发票后10个工作日内支付合同金额的30%（在签订合同时，中标、成交供应商明确书面表示无需预付款或者主动要求降低预付款比例的，采购人可就预付款比例作相应调整</w:t>
      </w:r>
      <w:r>
        <w:rPr>
          <w:rFonts w:hint="eastAsia" w:cs="Times New Roman"/>
          <w:color w:val="auto"/>
          <w:highlight w:val="none"/>
          <w:lang w:eastAsia="zh-CN"/>
        </w:rPr>
        <w:t>，</w:t>
      </w:r>
      <w:r>
        <w:rPr>
          <w:rFonts w:hint="eastAsia" w:cs="Times New Roman"/>
          <w:color w:val="auto"/>
          <w:highlight w:val="none"/>
          <w:lang w:val="en-US" w:eastAsia="zh-CN"/>
        </w:rPr>
        <w:t>调整部分在第二次付款补齐</w:t>
      </w:r>
      <w:r>
        <w:rPr>
          <w:rFonts w:hint="default" w:ascii="Times New Roman" w:hAnsi="Times New Roman" w:eastAsia="宋体" w:cs="Times New Roman"/>
          <w:color w:val="auto"/>
          <w:highlight w:val="none"/>
        </w:rPr>
        <w:t>）。</w:t>
      </w:r>
    </w:p>
    <w:p w14:paraId="7633AA91">
      <w:pPr>
        <w:pStyle w:val="12"/>
        <w:keepNext w:val="0"/>
        <w:keepLines w:val="0"/>
        <w:pageBreakBefore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8.1.2</w:t>
      </w:r>
      <w:r>
        <w:rPr>
          <w:rFonts w:hint="eastAsia" w:cs="Times New Roman"/>
          <w:color w:val="auto"/>
          <w:highlight w:val="none"/>
          <w:lang w:val="en-US" w:eastAsia="zh-CN"/>
        </w:rPr>
        <w:t xml:space="preserve"> </w:t>
      </w:r>
      <w:r>
        <w:rPr>
          <w:rFonts w:hint="eastAsia" w:ascii="Times New Roman" w:hAnsi="Times New Roman" w:eastAsia="宋体" w:cs="Times New Roman"/>
          <w:color w:val="auto"/>
          <w:highlight w:val="none"/>
        </w:rPr>
        <w:t>项目完成，</w:t>
      </w:r>
      <w:r>
        <w:rPr>
          <w:rFonts w:hint="eastAsia" w:ascii="Times New Roman" w:hAnsi="Times New Roman" w:eastAsia="宋体" w:cs="Times New Roman"/>
          <w:color w:val="auto"/>
          <w:highlight w:val="none"/>
          <w:lang w:val="en-US" w:eastAsia="zh-CN"/>
        </w:rPr>
        <w:t>乙方</w:t>
      </w:r>
      <w:r>
        <w:rPr>
          <w:rFonts w:hint="eastAsia" w:ascii="Times New Roman" w:hAnsi="Times New Roman" w:eastAsia="宋体" w:cs="Times New Roman"/>
          <w:color w:val="auto"/>
          <w:highlight w:val="none"/>
        </w:rPr>
        <w:t>提交全部成果并经</w:t>
      </w:r>
      <w:r>
        <w:rPr>
          <w:rFonts w:hint="eastAsia" w:ascii="Times New Roman" w:hAnsi="Times New Roman" w:eastAsia="宋体" w:cs="Times New Roman"/>
          <w:color w:val="auto"/>
          <w:highlight w:val="none"/>
          <w:lang w:val="en-US" w:eastAsia="zh-CN"/>
        </w:rPr>
        <w:t>甲方</w:t>
      </w:r>
      <w:r>
        <w:rPr>
          <w:rFonts w:hint="eastAsia" w:cs="Times New Roman"/>
          <w:color w:val="auto"/>
          <w:highlight w:val="none"/>
          <w:lang w:val="en-US" w:eastAsia="zh-CN"/>
        </w:rPr>
        <w:t>组织评审</w:t>
      </w:r>
      <w:r>
        <w:rPr>
          <w:rFonts w:hint="eastAsia" w:ascii="Times New Roman" w:hAnsi="Times New Roman" w:eastAsia="宋体" w:cs="Times New Roman"/>
          <w:color w:val="auto"/>
          <w:highlight w:val="none"/>
        </w:rPr>
        <w:t>验收后，</w:t>
      </w:r>
      <w:r>
        <w:rPr>
          <w:rFonts w:hint="eastAsia" w:ascii="Times New Roman" w:hAnsi="Times New Roman" w:eastAsia="宋体" w:cs="Times New Roman"/>
          <w:color w:val="auto"/>
          <w:highlight w:val="none"/>
          <w:lang w:val="en-US" w:eastAsia="zh-CN"/>
        </w:rPr>
        <w:t>甲方</w:t>
      </w:r>
      <w:r>
        <w:rPr>
          <w:rFonts w:hint="default" w:ascii="Times New Roman" w:hAnsi="Times New Roman" w:eastAsia="宋体" w:cs="Times New Roman"/>
          <w:color w:val="auto"/>
          <w:highlight w:val="none"/>
        </w:rPr>
        <w:t>收到发票后10个工作日内支付合同金额</w:t>
      </w:r>
      <w:r>
        <w:rPr>
          <w:rFonts w:hint="eastAsia" w:ascii="Times New Roman" w:hAnsi="Times New Roman" w:eastAsia="宋体" w:cs="Times New Roman"/>
          <w:color w:val="auto"/>
          <w:highlight w:val="none"/>
        </w:rPr>
        <w:t>的</w:t>
      </w:r>
      <w:r>
        <w:rPr>
          <w:rFonts w:hint="eastAsia" w:cs="Times New Roman"/>
          <w:color w:val="auto"/>
          <w:highlight w:val="none"/>
          <w:lang w:val="en-US" w:eastAsia="zh-CN"/>
        </w:rPr>
        <w:t>40</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w:t>
      </w:r>
    </w:p>
    <w:p w14:paraId="196026AB">
      <w:pPr>
        <w:pStyle w:val="12"/>
        <w:keepNext w:val="0"/>
        <w:keepLines w:val="0"/>
        <w:pageBreakBefore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eastAsia"/>
          <w:color w:val="auto"/>
          <w:highlight w:val="none"/>
          <w:lang w:eastAsia="zh-CN"/>
        </w:rPr>
      </w:pPr>
      <w:r>
        <w:rPr>
          <w:rFonts w:hint="default" w:ascii="Times New Roman" w:hAnsi="Times New Roman" w:eastAsia="宋体" w:cs="Times New Roman"/>
          <w:color w:val="auto"/>
          <w:highlight w:val="none"/>
        </w:rPr>
        <w:t>8.1.</w:t>
      </w:r>
      <w:r>
        <w:rPr>
          <w:rFonts w:hint="eastAsia" w:cs="Times New Roman"/>
          <w:color w:val="auto"/>
          <w:highlight w:val="none"/>
          <w:lang w:val="en-US" w:eastAsia="zh-CN"/>
        </w:rPr>
        <w:t>3</w:t>
      </w:r>
      <w:r>
        <w:rPr>
          <w:rFonts w:hint="eastAsia" w:ascii="Times New Roman" w:hAnsi="Times New Roman" w:eastAsia="宋体" w:cs="Times New Roman"/>
          <w:color w:val="auto"/>
          <w:highlight w:val="none"/>
          <w:lang w:val="en-US" w:eastAsia="zh-CN"/>
        </w:rPr>
        <w:t>乙方</w:t>
      </w:r>
      <w:r>
        <w:rPr>
          <w:rFonts w:hint="eastAsia" w:cs="Times New Roman"/>
          <w:color w:val="auto"/>
          <w:highlight w:val="none"/>
          <w:lang w:val="en-US" w:eastAsia="zh-CN"/>
        </w:rPr>
        <w:t>提供一年业务技术指导支持服务期满且提交2026年城市体检成果补充完善资料后</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甲方</w:t>
      </w:r>
      <w:r>
        <w:rPr>
          <w:rFonts w:hint="default" w:ascii="Times New Roman" w:hAnsi="Times New Roman" w:eastAsia="宋体" w:cs="Times New Roman"/>
          <w:color w:val="auto"/>
          <w:highlight w:val="none"/>
        </w:rPr>
        <w:t>收到发票后10个工作日内支付合同金额</w:t>
      </w:r>
      <w:r>
        <w:rPr>
          <w:rFonts w:hint="eastAsia" w:ascii="Times New Roman" w:hAnsi="Times New Roman" w:eastAsia="宋体" w:cs="Times New Roman"/>
          <w:color w:val="auto"/>
          <w:highlight w:val="none"/>
        </w:rPr>
        <w:t>的</w:t>
      </w:r>
      <w:r>
        <w:rPr>
          <w:rFonts w:hint="eastAsia" w:cs="Times New Roman"/>
          <w:color w:val="auto"/>
          <w:highlight w:val="none"/>
          <w:lang w:val="en-US" w:eastAsia="zh-CN"/>
        </w:rPr>
        <w:t>3</w:t>
      </w:r>
      <w:r>
        <w:rPr>
          <w:rFonts w:hint="eastAsia" w:ascii="Times New Roman" w:hAnsi="Times New Roman" w:eastAsia="宋体" w:cs="Times New Roman"/>
          <w:color w:val="auto"/>
          <w:highlight w:val="none"/>
        </w:rPr>
        <w:t>0%</w:t>
      </w:r>
      <w:r>
        <w:rPr>
          <w:rFonts w:hint="eastAsia" w:ascii="Times New Roman" w:hAnsi="Times New Roman" w:eastAsia="宋体" w:cs="Times New Roman"/>
          <w:color w:val="auto"/>
          <w:highlight w:val="none"/>
          <w:lang w:eastAsia="zh-CN"/>
        </w:rPr>
        <w:t>。</w:t>
      </w:r>
    </w:p>
    <w:p w14:paraId="1B54DA68">
      <w:pPr>
        <w:pStyle w:val="12"/>
        <w:keepNext w:val="0"/>
        <w:keepLines w:val="0"/>
        <w:pageBreakBefore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zh-CN"/>
        </w:rPr>
        <w:t>注：甲方支付款项前由乙方开具增值税专用发票以及相应付款资料，完成请款手续，甲方转账至乙方提供的账户。以上付款均无银行利息，一律通过银行结转，付款日期以甲方通知银行付款日期为准。如乙方提供的发票及其它资料存在瑕疵则由乙方重新补足提交审核，甲方的付款时间相应顺延并不负任何违约责任。</w:t>
      </w:r>
    </w:p>
    <w:p w14:paraId="0A45D2B3">
      <w:pPr>
        <w:pStyle w:val="2"/>
        <w:keepNext w:val="0"/>
        <w:keepLines w:val="0"/>
        <w:pageBreakBefore w:val="0"/>
        <w:widowControl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税费</w:t>
      </w:r>
    </w:p>
    <w:p w14:paraId="2CB4DA13">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9.1本合同执行中相关的一切税费均由乙方负担。</w:t>
      </w:r>
    </w:p>
    <w:p w14:paraId="689A5B20">
      <w:pPr>
        <w:pStyle w:val="2"/>
        <w:keepNext w:val="0"/>
        <w:keepLines w:val="0"/>
        <w:pageBreakBefore w:val="0"/>
        <w:widowControl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项目验收</w:t>
      </w:r>
    </w:p>
    <w:p w14:paraId="149063A2">
      <w:pPr>
        <w:pStyle w:val="12"/>
        <w:keepNext w:val="0"/>
        <w:keepLines w:val="0"/>
        <w:pageBreakBefore w:val="0"/>
        <w:widowControl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甲方依法组织履约验收工作。</w:t>
      </w:r>
    </w:p>
    <w:p w14:paraId="47373A6E">
      <w:pPr>
        <w:pStyle w:val="12"/>
        <w:keepNext w:val="0"/>
        <w:keepLines w:val="0"/>
        <w:pageBreakBefore w:val="0"/>
        <w:widowControl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5560A25">
      <w:pPr>
        <w:pStyle w:val="12"/>
        <w:keepNext w:val="0"/>
        <w:keepLines w:val="0"/>
        <w:pageBreakBefore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对于实际使用人和甲方分离的项目，甲方邀请实际使用人参与验收。</w:t>
      </w:r>
    </w:p>
    <w:p w14:paraId="657A5185">
      <w:pPr>
        <w:pStyle w:val="12"/>
        <w:keepNext w:val="0"/>
        <w:keepLines w:val="0"/>
        <w:pageBreakBefore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如有必要，甲方邀请参加本项目的其他供应商或第三方专业机构及专家参与验收，相关意见将作为验收书的参考资料。</w:t>
      </w:r>
    </w:p>
    <w:p w14:paraId="1A6EF87E">
      <w:pPr>
        <w:pStyle w:val="12"/>
        <w:keepNext w:val="0"/>
        <w:keepLines w:val="0"/>
        <w:pageBreakBefore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2203406">
      <w:pPr>
        <w:pStyle w:val="12"/>
        <w:keepNext w:val="0"/>
        <w:keepLines w:val="0"/>
        <w:pageBreakBefore w:val="0"/>
        <w:numPr>
          <w:ilvl w:val="0"/>
          <w:numId w:val="5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1F6EF59">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违约责任</w:t>
      </w:r>
    </w:p>
    <w:p w14:paraId="71DBE1B6">
      <w:pPr>
        <w:pStyle w:val="12"/>
        <w:keepNext w:val="0"/>
        <w:keepLines w:val="0"/>
        <w:pageBreakBefore w:val="0"/>
        <w:numPr>
          <w:ilvl w:val="0"/>
          <w:numId w:val="5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甲方无正当理由拒绝接受乙方提供服务的，甲方向乙方偿付拒绝接受服务合同价款总值</w:t>
      </w:r>
      <w:r>
        <w:rPr>
          <w:rFonts w:hint="default" w:ascii="Times New Roman" w:hAnsi="Times New Roman" w:cs="Times New Roman"/>
          <w:color w:val="auto"/>
          <w:highlight w:val="none"/>
          <w:u w:val="single"/>
        </w:rPr>
        <w:t>百分之五</w:t>
      </w:r>
      <w:r>
        <w:rPr>
          <w:rFonts w:hint="default" w:ascii="Times New Roman" w:hAnsi="Times New Roman" w:cs="Times New Roman"/>
          <w:color w:val="auto"/>
          <w:highlight w:val="none"/>
        </w:rPr>
        <w:t>的违约金。</w:t>
      </w:r>
    </w:p>
    <w:p w14:paraId="30E17E44">
      <w:pPr>
        <w:pStyle w:val="12"/>
        <w:keepNext w:val="0"/>
        <w:keepLines w:val="0"/>
        <w:pageBreakBefore w:val="0"/>
        <w:numPr>
          <w:ilvl w:val="0"/>
          <w:numId w:val="5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甲方无故逾期验收和办理合同款项支付手续的,甲方应按逾期付款总额</w:t>
      </w:r>
      <w:r>
        <w:rPr>
          <w:rFonts w:hint="default" w:ascii="Times New Roman" w:hAnsi="Times New Roman" w:cs="Times New Roman"/>
          <w:color w:val="auto"/>
          <w:highlight w:val="none"/>
          <w:u w:val="single"/>
        </w:rPr>
        <w:t>万分之一</w:t>
      </w:r>
      <w:r>
        <w:rPr>
          <w:rFonts w:hint="default" w:ascii="Times New Roman" w:hAnsi="Times New Roman" w:cs="Times New Roman"/>
          <w:color w:val="auto"/>
          <w:highlight w:val="none"/>
        </w:rPr>
        <w:t>每日向乙方支付违约金。</w:t>
      </w:r>
    </w:p>
    <w:p w14:paraId="1A10F858">
      <w:pPr>
        <w:pStyle w:val="12"/>
        <w:keepNext w:val="0"/>
        <w:keepLines w:val="0"/>
        <w:pageBreakBefore w:val="0"/>
        <w:numPr>
          <w:ilvl w:val="0"/>
          <w:numId w:val="5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乙方逾期提供服务的，乙方应按逾期提供服务合同总额每日</w:t>
      </w:r>
      <w:r>
        <w:rPr>
          <w:rFonts w:hint="default" w:ascii="Times New Roman" w:hAnsi="Times New Roman" w:cs="Times New Roman"/>
          <w:color w:val="auto"/>
          <w:highlight w:val="none"/>
          <w:u w:val="single"/>
        </w:rPr>
        <w:t>千分之六</w:t>
      </w:r>
      <w:r>
        <w:rPr>
          <w:rFonts w:hint="default" w:ascii="Times New Roman" w:hAnsi="Times New Roman" w:cs="Times New Roman"/>
          <w:color w:val="auto"/>
          <w:highlight w:val="none"/>
        </w:rPr>
        <w:t>向甲方支付违约金，由甲方从待付合同款项中扣除。逾期超过约定日期10个工作日不能提供服务的，甲方有权解除本合同。乙方因逾期提供服务或因其他违约行为导致甲方解除合同的，乙方应向甲方支付合同价款总额</w:t>
      </w:r>
      <w:r>
        <w:rPr>
          <w:rFonts w:hint="default" w:ascii="Times New Roman" w:hAnsi="Times New Roman" w:cs="Times New Roman"/>
          <w:color w:val="auto"/>
          <w:highlight w:val="none"/>
          <w:u w:val="single"/>
        </w:rPr>
        <w:t>百分之五</w:t>
      </w:r>
      <w:r>
        <w:rPr>
          <w:rFonts w:hint="default" w:ascii="Times New Roman" w:hAnsi="Times New Roman" w:cs="Times New Roman"/>
          <w:color w:val="auto"/>
          <w:highlight w:val="none"/>
        </w:rPr>
        <w:t xml:space="preserve">的违约金，如造成甲方损失超过违约金的，超出部分由乙方继续承担赔偿责任。 </w:t>
      </w:r>
    </w:p>
    <w:p w14:paraId="23E74878">
      <w:pPr>
        <w:pStyle w:val="12"/>
        <w:keepNext w:val="0"/>
        <w:keepLines w:val="0"/>
        <w:pageBreakBefore w:val="0"/>
        <w:numPr>
          <w:ilvl w:val="0"/>
          <w:numId w:val="5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乙方所提供服务的标准不符合合同规定及招标文件规定标准的，甲方有权拒绝接受服务，并可单方面解除合同。</w:t>
      </w:r>
    </w:p>
    <w:p w14:paraId="007BC25A">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不可抗力事件处理</w:t>
      </w:r>
    </w:p>
    <w:p w14:paraId="1D3724FC">
      <w:pPr>
        <w:pStyle w:val="12"/>
        <w:keepNext w:val="0"/>
        <w:keepLines w:val="0"/>
        <w:pageBreakBefore w:val="0"/>
        <w:numPr>
          <w:ilvl w:val="0"/>
          <w:numId w:val="5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在合同有效期内，任何一方因不可抗力事件导致不能履行合同，则合同履行期可延长，其延长期与不可抗力影响 期相同。</w:t>
      </w:r>
    </w:p>
    <w:p w14:paraId="32716C41">
      <w:pPr>
        <w:pStyle w:val="12"/>
        <w:keepNext w:val="0"/>
        <w:keepLines w:val="0"/>
        <w:pageBreakBefore w:val="0"/>
        <w:numPr>
          <w:ilvl w:val="0"/>
          <w:numId w:val="5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不可抗力事件发生后，应立即通知对方，并寄送有关权威机构出具的证明。</w:t>
      </w:r>
    </w:p>
    <w:p w14:paraId="6B03DA00">
      <w:pPr>
        <w:pStyle w:val="12"/>
        <w:keepNext w:val="0"/>
        <w:keepLines w:val="0"/>
        <w:pageBreakBefore w:val="0"/>
        <w:numPr>
          <w:ilvl w:val="0"/>
          <w:numId w:val="5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不可抗力事件延续120天以上，双方应通过友好协商，确定是否继续履行合同。</w:t>
      </w:r>
    </w:p>
    <w:p w14:paraId="2EC1E2C8">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解决争议的方法</w:t>
      </w:r>
    </w:p>
    <w:p w14:paraId="668998D4">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13.1双方在签订、履行合同中所发生的一切争议，应通过友好协商解决。如协商不成，由甲方住所地人民法院管辖。</w:t>
      </w:r>
    </w:p>
    <w:p w14:paraId="72DB5EF9">
      <w:pPr>
        <w:pStyle w:val="2"/>
        <w:keepNext w:val="0"/>
        <w:keepLines w:val="0"/>
        <w:pageBreakBefore w:val="0"/>
        <w:numPr>
          <w:ilvl w:val="0"/>
          <w:numId w:val="4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合同生效及其它</w:t>
      </w:r>
    </w:p>
    <w:p w14:paraId="2D7CCD0E">
      <w:pPr>
        <w:pStyle w:val="12"/>
        <w:keepNext w:val="0"/>
        <w:keepLines w:val="0"/>
        <w:pageBreakBefore w:val="0"/>
        <w:numPr>
          <w:ilvl w:val="0"/>
          <w:numId w:val="5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合同经双方法定代表人或授权委托代表人签字并加盖单位公章后生效。</w:t>
      </w:r>
    </w:p>
    <w:p w14:paraId="63D22968">
      <w:pPr>
        <w:pStyle w:val="12"/>
        <w:keepNext w:val="0"/>
        <w:keepLines w:val="0"/>
        <w:pageBreakBefore w:val="0"/>
        <w:numPr>
          <w:ilvl w:val="0"/>
          <w:numId w:val="5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本合同未尽事宜，遵照《中华人民共和国民法典》、《中华人民共和国政府采购法》有关条文执行</w:t>
      </w:r>
      <w:r>
        <w:rPr>
          <w:rFonts w:hint="eastAsia" w:cs="Times New Roman"/>
          <w:color w:val="auto"/>
          <w:highlight w:val="none"/>
          <w:lang w:eastAsia="zh-CN"/>
        </w:rPr>
        <w:t>，</w:t>
      </w:r>
      <w:r>
        <w:rPr>
          <w:rFonts w:hint="eastAsia" w:cs="Times New Roman"/>
          <w:color w:val="auto"/>
          <w:highlight w:val="none"/>
          <w:lang w:val="en-US" w:eastAsia="zh-CN"/>
        </w:rPr>
        <w:t>签订补充协议与合同具有同等法律效力</w:t>
      </w:r>
      <w:r>
        <w:rPr>
          <w:rFonts w:hint="default" w:ascii="Times New Roman" w:hAnsi="Times New Roman" w:cs="Times New Roman"/>
          <w:color w:val="auto"/>
          <w:highlight w:val="none"/>
        </w:rPr>
        <w:t>。</w:t>
      </w:r>
    </w:p>
    <w:p w14:paraId="0B869D5E">
      <w:pPr>
        <w:pStyle w:val="12"/>
        <w:keepNext w:val="0"/>
        <w:keepLines w:val="0"/>
        <w:pageBreakBefore w:val="0"/>
        <w:numPr>
          <w:ilvl w:val="0"/>
          <w:numId w:val="5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本合同正本一式捌份，具有同等法律效力，甲方、乙方各执肆份。</w:t>
      </w:r>
    </w:p>
    <w:p w14:paraId="5A19AA90">
      <w:pPr>
        <w:pStyle w:val="21"/>
        <w:keepNext w:val="0"/>
        <w:keepLines w:val="0"/>
        <w:pageBreakBefore w:val="0"/>
        <w:kinsoku/>
        <w:wordWrap/>
        <w:overflowPunct/>
        <w:topLinePunct w:val="0"/>
        <w:autoSpaceDE/>
        <w:autoSpaceDN/>
        <w:bidi w:val="0"/>
        <w:adjustRightInd/>
        <w:snapToGrid/>
        <w:spacing w:beforeAutospacing="0" w:afterAutospacing="0" w:line="360" w:lineRule="exact"/>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盖章）</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乙方</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盖章）</w:t>
      </w:r>
      <w:r>
        <w:rPr>
          <w:rFonts w:hint="default" w:ascii="Times New Roman" w:hAnsi="Times New Roman" w:eastAsia="宋体" w:cs="Times New Roman"/>
          <w:color w:val="auto"/>
          <w:sz w:val="24"/>
          <w:szCs w:val="24"/>
          <w:highlight w:val="none"/>
        </w:rPr>
        <w:t xml:space="preserve">： </w:t>
      </w:r>
    </w:p>
    <w:p w14:paraId="4D343465">
      <w:pPr>
        <w:pStyle w:val="21"/>
        <w:keepNext w:val="0"/>
        <w:keepLines w:val="0"/>
        <w:pageBreakBefore w:val="0"/>
        <w:kinsoku/>
        <w:wordWrap/>
        <w:overflowPunct/>
        <w:topLinePunct w:val="0"/>
        <w:autoSpaceDE/>
        <w:autoSpaceDN/>
        <w:bidi w:val="0"/>
        <w:adjustRightInd/>
        <w:snapToGrid/>
        <w:spacing w:beforeAutospacing="0" w:afterAutospacing="0" w:line="360" w:lineRule="exact"/>
        <w:ind w:left="480" w:leftChars="0" w:firstLine="0" w:firstLineChars="0"/>
        <w:jc w:val="both"/>
        <w:textAlignment w:val="auto"/>
        <w:rPr>
          <w:rFonts w:hint="default" w:ascii="Times New Roman" w:hAnsi="Times New Roman" w:eastAsia="仿宋" w:cs="Times New Roman"/>
          <w:color w:val="auto"/>
          <w:sz w:val="28"/>
          <w:szCs w:val="28"/>
          <w:highlight w:val="none"/>
        </w:rPr>
      </w:pP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p>
    <w:p w14:paraId="7E812BB8">
      <w:pPr>
        <w:pStyle w:val="21"/>
        <w:keepNext w:val="0"/>
        <w:keepLines w:val="0"/>
        <w:pageBreakBefore w:val="0"/>
        <w:kinsoku/>
        <w:wordWrap/>
        <w:overflowPunct/>
        <w:topLinePunct w:val="0"/>
        <w:autoSpaceDE/>
        <w:autoSpaceDN/>
        <w:bidi w:val="0"/>
        <w:adjustRightInd/>
        <w:snapToGrid/>
        <w:spacing w:beforeAutospacing="0" w:afterAutospacing="0" w:line="360" w:lineRule="exact"/>
        <w:jc w:val="both"/>
        <w:textAlignment w:val="auto"/>
        <w:rPr>
          <w:rFonts w:hint="default" w:ascii="Times New Roman" w:hAnsi="Times New Roman" w:eastAsia="宋体" w:cs="Times New Roman"/>
          <w:color w:val="auto"/>
          <w:sz w:val="24"/>
          <w:szCs w:val="28"/>
          <w:highlight w:val="none"/>
        </w:rPr>
      </w:pPr>
      <w:r>
        <w:rPr>
          <w:rFonts w:hint="default" w:ascii="Times New Roman" w:hAnsi="Times New Roman" w:eastAsia="宋体" w:cs="Times New Roman"/>
          <w:color w:val="auto"/>
          <w:sz w:val="24"/>
          <w:szCs w:val="28"/>
          <w:highlight w:val="none"/>
        </w:rPr>
        <w:t>法定代表人或授权代表</w:t>
      </w:r>
      <w:r>
        <w:rPr>
          <w:rFonts w:hint="eastAsia" w:ascii="Times New Roman" w:hAnsi="Times New Roman" w:eastAsia="宋体" w:cs="Times New Roman"/>
          <w:color w:val="auto"/>
          <w:sz w:val="24"/>
          <w:szCs w:val="28"/>
          <w:highlight w:val="none"/>
          <w:lang w:eastAsia="zh-CN"/>
        </w:rPr>
        <w:t>（</w:t>
      </w:r>
      <w:r>
        <w:rPr>
          <w:rFonts w:hint="eastAsia" w:ascii="Times New Roman" w:hAnsi="Times New Roman" w:eastAsia="宋体" w:cs="Times New Roman"/>
          <w:color w:val="auto"/>
          <w:sz w:val="24"/>
          <w:szCs w:val="28"/>
          <w:highlight w:val="none"/>
          <w:lang w:val="en-US" w:eastAsia="zh-CN"/>
        </w:rPr>
        <w:t xml:space="preserve">签字或盖章）：  </w:t>
      </w:r>
      <w:r>
        <w:rPr>
          <w:rFonts w:hint="default" w:ascii="Times New Roman" w:hAnsi="Times New Roman" w:eastAsia="宋体" w:cs="Times New Roman"/>
          <w:color w:val="auto"/>
          <w:sz w:val="24"/>
          <w:szCs w:val="28"/>
          <w:highlight w:val="none"/>
        </w:rPr>
        <w:t>法定代表人或授权代表</w:t>
      </w:r>
      <w:r>
        <w:rPr>
          <w:rFonts w:hint="eastAsia" w:ascii="Times New Roman" w:hAnsi="Times New Roman" w:eastAsia="宋体" w:cs="Times New Roman"/>
          <w:color w:val="auto"/>
          <w:sz w:val="24"/>
          <w:szCs w:val="28"/>
          <w:highlight w:val="none"/>
          <w:lang w:eastAsia="zh-CN"/>
        </w:rPr>
        <w:t>（</w:t>
      </w:r>
      <w:r>
        <w:rPr>
          <w:rFonts w:hint="eastAsia" w:ascii="Times New Roman" w:hAnsi="Times New Roman" w:eastAsia="宋体" w:cs="Times New Roman"/>
          <w:color w:val="auto"/>
          <w:sz w:val="24"/>
          <w:szCs w:val="28"/>
          <w:highlight w:val="none"/>
          <w:lang w:val="en-US" w:eastAsia="zh-CN"/>
        </w:rPr>
        <w:t>签字或盖章）</w:t>
      </w:r>
      <w:r>
        <w:rPr>
          <w:rFonts w:hint="default" w:ascii="Times New Roman" w:hAnsi="Times New Roman" w:eastAsia="宋体" w:cs="Times New Roman"/>
          <w:color w:val="auto"/>
          <w:sz w:val="24"/>
          <w:szCs w:val="28"/>
          <w:highlight w:val="none"/>
        </w:rPr>
        <w:t>：</w:t>
      </w:r>
    </w:p>
    <w:p w14:paraId="2D180239">
      <w:pPr>
        <w:pStyle w:val="21"/>
        <w:keepNext w:val="0"/>
        <w:keepLines w:val="0"/>
        <w:pageBreakBefore w:val="0"/>
        <w:kinsoku/>
        <w:wordWrap/>
        <w:overflowPunct/>
        <w:topLinePunct w:val="0"/>
        <w:autoSpaceDE/>
        <w:autoSpaceDN/>
        <w:bidi w:val="0"/>
        <w:adjustRightInd/>
        <w:snapToGrid/>
        <w:spacing w:beforeAutospacing="0" w:afterAutospacing="0" w:line="360" w:lineRule="exact"/>
        <w:ind w:left="480" w:leftChars="0" w:firstLine="0" w:firstLineChars="0"/>
        <w:jc w:val="both"/>
        <w:textAlignment w:val="auto"/>
        <w:rPr>
          <w:rFonts w:hint="eastAsia" w:ascii="Times New Roman" w:hAnsi="Times New Roman" w:eastAsia="宋体" w:cs="Times New Roman"/>
          <w:color w:val="auto"/>
          <w:sz w:val="24"/>
          <w:szCs w:val="28"/>
          <w:highlight w:val="none"/>
          <w:lang w:val="en-US" w:eastAsia="zh-CN"/>
        </w:rPr>
      </w:pPr>
      <w:r>
        <w:rPr>
          <w:rFonts w:hint="eastAsia" w:ascii="Times New Roman" w:hAnsi="Times New Roman" w:eastAsia="宋体" w:cs="Times New Roman"/>
          <w:color w:val="auto"/>
          <w:sz w:val="24"/>
          <w:szCs w:val="28"/>
          <w:highlight w:val="none"/>
          <w:lang w:val="en-US" w:eastAsia="zh-CN"/>
        </w:rPr>
        <w:t xml:space="preserve">                        </w:t>
      </w:r>
    </w:p>
    <w:p w14:paraId="5A1EDE37">
      <w:pPr>
        <w:pStyle w:val="21"/>
        <w:keepNext w:val="0"/>
        <w:keepLines w:val="0"/>
        <w:pageBreakBefore w:val="0"/>
        <w:kinsoku/>
        <w:wordWrap/>
        <w:overflowPunct/>
        <w:topLinePunct w:val="0"/>
        <w:autoSpaceDE/>
        <w:autoSpaceDN/>
        <w:bidi w:val="0"/>
        <w:adjustRightInd/>
        <w:snapToGrid/>
        <w:spacing w:beforeAutospacing="0" w:afterAutospacing="0" w:line="360" w:lineRule="exact"/>
        <w:jc w:val="right"/>
        <w:textAlignment w:val="auto"/>
        <w:rPr>
          <w:rFonts w:hint="default" w:ascii="Times New Roman" w:hAnsi="Times New Roman" w:eastAsia="宋体" w:cs="Times New Roman"/>
          <w:color w:val="auto"/>
          <w:sz w:val="24"/>
          <w:szCs w:val="28"/>
          <w:highlight w:val="none"/>
        </w:rPr>
      </w:pPr>
    </w:p>
    <w:p w14:paraId="4DAD8595">
      <w:pPr>
        <w:pStyle w:val="21"/>
        <w:keepNext w:val="0"/>
        <w:keepLines w:val="0"/>
        <w:pageBreakBefore w:val="0"/>
        <w:kinsoku/>
        <w:wordWrap/>
        <w:overflowPunct/>
        <w:topLinePunct w:val="0"/>
        <w:autoSpaceDE/>
        <w:autoSpaceDN/>
        <w:bidi w:val="0"/>
        <w:adjustRightInd/>
        <w:snapToGrid/>
        <w:spacing w:beforeAutospacing="0" w:afterAutospacing="0" w:line="360" w:lineRule="exact"/>
        <w:jc w:val="right"/>
        <w:textAlignment w:val="auto"/>
        <w:rPr>
          <w:rFonts w:hint="default" w:ascii="Times New Roman" w:hAnsi="Times New Roman" w:eastAsia="宋体" w:cs="Times New Roman"/>
          <w:color w:val="auto"/>
          <w:sz w:val="24"/>
          <w:szCs w:val="28"/>
          <w:highlight w:val="none"/>
        </w:rPr>
      </w:pPr>
    </w:p>
    <w:p w14:paraId="63B26898">
      <w:pPr>
        <w:pStyle w:val="21"/>
        <w:keepNext w:val="0"/>
        <w:keepLines w:val="0"/>
        <w:pageBreakBefore w:val="0"/>
        <w:kinsoku/>
        <w:wordWrap/>
        <w:overflowPunct/>
        <w:topLinePunct w:val="0"/>
        <w:autoSpaceDE/>
        <w:autoSpaceDN/>
        <w:bidi w:val="0"/>
        <w:adjustRightInd/>
        <w:snapToGrid/>
        <w:spacing w:beforeAutospacing="0" w:afterAutospacing="0" w:line="360" w:lineRule="exact"/>
        <w:jc w:val="right"/>
        <w:textAlignment w:val="auto"/>
        <w:rPr>
          <w:rFonts w:hint="default" w:ascii="Times New Roman" w:hAnsi="Times New Roman" w:eastAsia="宋体" w:cs="Times New Roman"/>
          <w:color w:val="auto"/>
          <w:sz w:val="24"/>
          <w:szCs w:val="28"/>
          <w:highlight w:val="none"/>
        </w:rPr>
      </w:pPr>
      <w:r>
        <w:rPr>
          <w:rFonts w:hint="default" w:ascii="Times New Roman" w:hAnsi="Times New Roman" w:eastAsia="宋体" w:cs="Times New Roman"/>
          <w:color w:val="auto"/>
          <w:sz w:val="24"/>
          <w:szCs w:val="28"/>
          <w:highlight w:val="none"/>
        </w:rPr>
        <w:t>签订日期：</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年</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月</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日</w:t>
      </w:r>
    </w:p>
    <w:p w14:paraId="6B2C5B37">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r>
    </w:p>
    <w:bookmarkEnd w:id="163"/>
    <w:p w14:paraId="64399B55">
      <w:pPr>
        <w:pStyle w:val="49"/>
        <w:keepNext w:val="0"/>
        <w:keepLines w:val="0"/>
        <w:pageBreakBefore w:val="0"/>
        <w:numPr>
          <w:ilvl w:val="0"/>
          <w:numId w:val="0"/>
        </w:numPr>
        <w:tabs>
          <w:tab w:val="left" w:pos="1602"/>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color w:val="auto"/>
          <w:highlight w:val="none"/>
        </w:rPr>
      </w:pPr>
      <w:r>
        <w:rPr>
          <w:rFonts w:hint="eastAsia" w:ascii="Times New Roman" w:hAnsi="Times New Roman" w:eastAsia="黑体" w:cs="Times New Roman"/>
          <w:color w:val="auto"/>
          <w:kern w:val="44"/>
          <w:sz w:val="32"/>
          <w:szCs w:val="36"/>
          <w:highlight w:val="none"/>
        </w:rPr>
        <w:t>第四章</w:t>
      </w:r>
      <w:r>
        <w:rPr>
          <w:rFonts w:hint="eastAsia" w:cs="Times New Roman"/>
          <w:color w:val="auto"/>
          <w:kern w:val="44"/>
          <w:sz w:val="32"/>
          <w:szCs w:val="36"/>
          <w:highlight w:val="none"/>
          <w:lang w:val="en-US" w:eastAsia="zh-CN"/>
        </w:rPr>
        <w:t xml:space="preserve">  </w:t>
      </w:r>
      <w:r>
        <w:rPr>
          <w:rFonts w:hint="default" w:ascii="Times New Roman" w:hAnsi="Times New Roman" w:cs="Times New Roman"/>
          <w:color w:val="auto"/>
          <w:highlight w:val="none"/>
        </w:rPr>
        <w:t>采购需求</w:t>
      </w:r>
      <w:bookmarkEnd w:id="164"/>
      <w:bookmarkEnd w:id="165"/>
      <w:bookmarkEnd w:id="166"/>
      <w:bookmarkEnd w:id="167"/>
      <w:bookmarkEnd w:id="168"/>
    </w:p>
    <w:p w14:paraId="501B4BF3">
      <w:pPr>
        <w:pStyle w:val="12"/>
        <w:keepNext w:val="0"/>
        <w:keepLines w:val="0"/>
        <w:pageBreakBefore w:val="0"/>
        <w:widowControl w:val="0"/>
        <w:kinsoku/>
        <w:wordWrap/>
        <w:overflowPunct/>
        <w:topLinePunct w:val="0"/>
        <w:autoSpaceDE/>
        <w:autoSpaceDN/>
        <w:bidi w:val="0"/>
        <w:adjustRightInd/>
        <w:snapToGrid/>
        <w:spacing w:after="0" w:line="500" w:lineRule="exact"/>
        <w:ind w:left="0" w:leftChars="0" w:firstLine="0" w:firstLineChars="0"/>
        <w:textAlignment w:val="auto"/>
        <w:rPr>
          <w:rFonts w:hint="eastAsia" w:ascii="宋体" w:hAnsi="宋体" w:eastAsia="宋体" w:cs="宋体"/>
          <w:color w:val="auto"/>
          <w:sz w:val="24"/>
          <w:szCs w:val="24"/>
          <w:highlight w:val="none"/>
        </w:rPr>
      </w:pPr>
      <w:bookmarkStart w:id="170" w:name="_Toc49090575"/>
      <w:bookmarkStart w:id="171" w:name="_Toc26554093"/>
      <w:bookmarkStart w:id="172" w:name="_Toc120614281"/>
      <w:r>
        <w:rPr>
          <w:rFonts w:hint="eastAsia" w:ascii="宋体" w:hAnsi="宋体" w:eastAsia="宋体" w:cs="宋体"/>
          <w:color w:val="auto"/>
          <w:sz w:val="24"/>
          <w:szCs w:val="24"/>
          <w:highlight w:val="none"/>
        </w:rPr>
        <w:t>项目属性:服务类项目。</w:t>
      </w:r>
      <w:bookmarkEnd w:id="170"/>
      <w:bookmarkEnd w:id="171"/>
    </w:p>
    <w:p w14:paraId="2A61F6CC">
      <w:pPr>
        <w:pStyle w:val="12"/>
        <w:keepNext w:val="0"/>
        <w:keepLines w:val="0"/>
        <w:pageBreakBefore w:val="0"/>
        <w:widowControl w:val="0"/>
        <w:kinsoku/>
        <w:wordWrap/>
        <w:overflowPunct/>
        <w:topLinePunct w:val="0"/>
        <w:autoSpaceDE/>
        <w:autoSpaceDN/>
        <w:bidi w:val="0"/>
        <w:adjustRightInd/>
        <w:snapToGrid/>
        <w:spacing w:after="0" w:line="50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本次采购包括</w:t>
      </w:r>
      <w:r>
        <w:rPr>
          <w:rFonts w:hint="eastAsia" w:ascii="宋体" w:hAnsi="宋体" w:eastAsia="宋体" w:cs="宋体"/>
          <w:color w:val="auto"/>
          <w:sz w:val="24"/>
          <w:szCs w:val="24"/>
          <w:highlight w:val="none"/>
          <w:lang w:eastAsia="zh-CN"/>
        </w:rPr>
        <w:t>盐都区2026年城市体检及城市更新</w:t>
      </w:r>
      <w:r>
        <w:rPr>
          <w:rFonts w:hint="eastAsia" w:cs="Times New Roman"/>
          <w:color w:val="auto"/>
          <w:highlight w:val="none"/>
          <w:u w:val="none"/>
          <w:lang w:eastAsia="zh-CN"/>
        </w:rPr>
        <w:t>行动方案</w:t>
      </w:r>
      <w:r>
        <w:rPr>
          <w:rFonts w:hint="eastAsia" w:ascii="宋体" w:hAnsi="宋体" w:eastAsia="宋体" w:cs="宋体"/>
          <w:color w:val="auto"/>
          <w:sz w:val="24"/>
          <w:szCs w:val="24"/>
          <w:highlight w:val="none"/>
          <w:lang w:eastAsia="zh-CN"/>
        </w:rPr>
        <w:t>编制服务</w:t>
      </w:r>
      <w:r>
        <w:rPr>
          <w:rFonts w:hint="eastAsia" w:ascii="宋体" w:hAnsi="宋体" w:eastAsia="宋体" w:cs="宋体"/>
          <w:color w:val="auto"/>
          <w:sz w:val="24"/>
          <w:szCs w:val="24"/>
          <w:highlight w:val="none"/>
        </w:rPr>
        <w:t>。</w:t>
      </w:r>
    </w:p>
    <w:p w14:paraId="4A751686">
      <w:pPr>
        <w:pStyle w:val="2"/>
        <w:keepNext w:val="0"/>
        <w:keepLines w:val="0"/>
        <w:pageBreakBefore w:val="0"/>
        <w:widowControl w:val="0"/>
        <w:numPr>
          <w:ilvl w:val="0"/>
          <w:numId w:val="0"/>
        </w:numPr>
        <w:tabs>
          <w:tab w:val="left" w:pos="1081"/>
        </w:tabs>
        <w:kinsoku/>
        <w:wordWrap/>
        <w:overflowPunct/>
        <w:topLinePunct w:val="0"/>
        <w:autoSpaceDE/>
        <w:autoSpaceDN/>
        <w:bidi w:val="0"/>
        <w:adjustRightInd/>
        <w:snapToGrid/>
        <w:spacing w:before="0" w:beforeLines="0" w:after="0"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44"/>
          <w:sz w:val="24"/>
          <w:szCs w:val="24"/>
          <w:highlight w:val="none"/>
        </w:rPr>
        <w:t>一、</w:t>
      </w:r>
      <w:r>
        <w:rPr>
          <w:rFonts w:hint="eastAsia" w:ascii="宋体" w:hAnsi="宋体" w:eastAsia="宋体" w:cs="宋体"/>
          <w:color w:val="auto"/>
          <w:sz w:val="24"/>
          <w:szCs w:val="24"/>
          <w:highlight w:val="none"/>
        </w:rPr>
        <w:t>项目背景</w:t>
      </w:r>
    </w:p>
    <w:p w14:paraId="10E511A8">
      <w:pPr>
        <w:pStyle w:val="2"/>
        <w:keepNext w:val="0"/>
        <w:keepLines w:val="0"/>
        <w:pageBreakBefore w:val="0"/>
        <w:widowControl w:val="0"/>
        <w:numPr>
          <w:ilvl w:val="0"/>
          <w:numId w:val="0"/>
        </w:numPr>
        <w:tabs>
          <w:tab w:val="left" w:pos="1081"/>
        </w:tabs>
        <w:kinsoku/>
        <w:wordWrap/>
        <w:overflowPunct/>
        <w:topLinePunct w:val="0"/>
        <w:autoSpaceDE/>
        <w:autoSpaceDN/>
        <w:bidi w:val="0"/>
        <w:adjustRightInd/>
        <w:snapToGrid/>
        <w:spacing w:before="0" w:beforeLines="0" w:after="0" w:line="50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依据《住房</w:t>
      </w:r>
      <w:r>
        <w:rPr>
          <w:rFonts w:hint="eastAsia"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rPr>
        <w:t>城乡建设部关于全面开展城市体检工作的指导意见》（建科〔2023〕75号）、《省住房</w:t>
      </w:r>
      <w:r>
        <w:rPr>
          <w:rFonts w:hint="eastAsia"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rPr>
        <w:t>城乡建设厅关于做好2025年城市体检工作的通知》（苏建设计〔2025〕35号）、《江苏省城市体检工作指引》、《江苏省城市更新条例》、《江苏省城市更新专项规划编制指南（试行）》等要求，推进城市体检工作，并编制城市更新</w:t>
      </w:r>
      <w:r>
        <w:rPr>
          <w:rFonts w:hint="eastAsia" w:cs="宋体"/>
          <w:b w:val="0"/>
          <w:bCs w:val="0"/>
          <w:color w:val="auto"/>
          <w:sz w:val="24"/>
          <w:szCs w:val="24"/>
          <w:highlight w:val="none"/>
          <w:lang w:val="en-US" w:eastAsia="zh-CN"/>
        </w:rPr>
        <w:t>行动方案</w:t>
      </w:r>
      <w:r>
        <w:rPr>
          <w:rFonts w:hint="eastAsia" w:ascii="宋体" w:hAnsi="宋体" w:eastAsia="宋体" w:cs="宋体"/>
          <w:b w:val="0"/>
          <w:bCs w:val="0"/>
          <w:color w:val="auto"/>
          <w:sz w:val="24"/>
          <w:szCs w:val="24"/>
          <w:highlight w:val="none"/>
          <w:lang w:eastAsia="zh-CN"/>
        </w:rPr>
        <w:t>。</w:t>
      </w:r>
    </w:p>
    <w:p w14:paraId="066FA968">
      <w:pPr>
        <w:pStyle w:val="2"/>
        <w:keepNext w:val="0"/>
        <w:keepLines w:val="0"/>
        <w:pageBreakBefore w:val="0"/>
        <w:widowControl w:val="0"/>
        <w:numPr>
          <w:ilvl w:val="0"/>
          <w:numId w:val="0"/>
        </w:numPr>
        <w:tabs>
          <w:tab w:val="left" w:pos="1081"/>
        </w:tabs>
        <w:kinsoku/>
        <w:wordWrap/>
        <w:overflowPunct/>
        <w:topLinePunct w:val="0"/>
        <w:autoSpaceDE/>
        <w:autoSpaceDN/>
        <w:bidi w:val="0"/>
        <w:adjustRightInd/>
        <w:snapToGrid/>
        <w:spacing w:before="0" w:beforeLines="0" w:after="0" w:line="5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44"/>
          <w:sz w:val="24"/>
          <w:szCs w:val="24"/>
          <w:highlight w:val="none"/>
          <w:lang w:val="en-US" w:eastAsia="zh-CN"/>
        </w:rPr>
        <w:t>二</w:t>
      </w:r>
      <w:r>
        <w:rPr>
          <w:rFonts w:hint="eastAsia" w:ascii="宋体" w:hAnsi="宋体" w:eastAsia="宋体" w:cs="宋体"/>
          <w:b/>
          <w:bCs/>
          <w:color w:val="auto"/>
          <w:kern w:val="44"/>
          <w:sz w:val="24"/>
          <w:szCs w:val="24"/>
          <w:highlight w:val="none"/>
        </w:rPr>
        <w:t>、</w:t>
      </w:r>
      <w:r>
        <w:rPr>
          <w:rFonts w:hint="eastAsia" w:ascii="宋体" w:hAnsi="宋体" w:eastAsia="宋体" w:cs="宋体"/>
          <w:color w:val="auto"/>
          <w:sz w:val="24"/>
          <w:szCs w:val="24"/>
          <w:highlight w:val="none"/>
        </w:rPr>
        <w:t>服务内容</w:t>
      </w:r>
      <w:r>
        <w:rPr>
          <w:rFonts w:hint="eastAsia" w:ascii="宋体" w:hAnsi="宋体" w:eastAsia="宋体" w:cs="宋体"/>
          <w:color w:val="auto"/>
          <w:sz w:val="24"/>
          <w:szCs w:val="24"/>
          <w:highlight w:val="none"/>
          <w:lang w:val="en-US" w:eastAsia="zh-CN"/>
        </w:rPr>
        <w:t>及要求</w:t>
      </w:r>
    </w:p>
    <w:p w14:paraId="3968FF12">
      <w:pPr>
        <w:pStyle w:val="3"/>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城市体检</w:t>
      </w:r>
    </w:p>
    <w:p w14:paraId="183CD306">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bookmarkStart w:id="173" w:name="OLE_LINK4"/>
      <w:r>
        <w:rPr>
          <w:rFonts w:hint="eastAsia" w:ascii="宋体" w:hAnsi="宋体" w:eastAsia="宋体" w:cs="宋体"/>
          <w:color w:val="auto"/>
          <w:sz w:val="24"/>
          <w:szCs w:val="24"/>
          <w:highlight w:val="none"/>
        </w:rPr>
        <w:t>1、基本要求</w:t>
      </w:r>
    </w:p>
    <w:p w14:paraId="284AB6A6">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对盐都区潘黄、盐龙、盐渎、张庄四街道城区范围开展城市体检。</w:t>
      </w:r>
      <w:r>
        <w:rPr>
          <w:rFonts w:hint="eastAsia" w:ascii="宋体" w:hAnsi="宋体" w:eastAsia="宋体" w:cs="宋体"/>
          <w:color w:val="auto"/>
          <w:sz w:val="24"/>
          <w:szCs w:val="24"/>
          <w:highlight w:val="none"/>
        </w:rPr>
        <w:t>城市体检坚持“以人为本”“条块结合，协同联动”，坚持问题导向、目标导向与结果导向统一，问题排查全面，数据统计准确，分类汇总合理，研判分析科学，更新对策建议针对性、可行性强，体检报告契合盐都城市发展需求，做到“好用”、“管用”。</w:t>
      </w:r>
    </w:p>
    <w:p w14:paraId="6290F3E7">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2、问题排查内容</w:t>
      </w:r>
    </w:p>
    <w:p w14:paraId="691B46F0">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住房、小区(社区)、街区、城区(城市)四个维度，对照部省市城市体检指标，开展城市综合体检问题排查工作，注重群众关切和民生需求，找全群众反映强烈的难点、堵点、痛点问题，找准城市可持续发展的短板弱项。</w:t>
      </w:r>
    </w:p>
    <w:p w14:paraId="2F44B034">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住房维度。原则上</w:t>
      </w:r>
      <w:r>
        <w:rPr>
          <w:rFonts w:hint="eastAsia" w:ascii="宋体" w:hAnsi="宋体" w:eastAsia="宋体" w:cs="宋体"/>
          <w:color w:val="auto"/>
          <w:sz w:val="24"/>
          <w:szCs w:val="24"/>
          <w:highlight w:val="none"/>
          <w:lang w:val="en-US" w:eastAsia="zh-CN"/>
        </w:rPr>
        <w:t>成套住宅</w:t>
      </w:r>
      <w:r>
        <w:rPr>
          <w:rFonts w:hint="eastAsia" w:ascii="宋体" w:hAnsi="宋体" w:eastAsia="宋体" w:cs="宋体"/>
          <w:color w:val="auto"/>
          <w:sz w:val="24"/>
          <w:szCs w:val="24"/>
          <w:highlight w:val="none"/>
        </w:rPr>
        <w:t>以小区为基本体检单元，非成套住宅根据实际情况合理划定体检单元，从安全耐久、功能完备、绿色智能等方面，查找房屋结构安全、管线管道、低碳节能、数字化改造等方面的问题‌。住房维度体检形成“1表1台账”，即“住房维度体检指标调查表”和以住房楼栋为单位的“住房维度体检问题台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内容包括名称、权属、数量、建成年代及建设状况、问题等，确保数据全量化、可核查。</w:t>
      </w:r>
      <w:r>
        <w:rPr>
          <w:rFonts w:hint="eastAsia" w:ascii="宋体" w:hAnsi="宋体" w:eastAsia="宋体" w:cs="宋体"/>
          <w:color w:val="auto"/>
          <w:sz w:val="24"/>
          <w:szCs w:val="24"/>
          <w:highlight w:val="none"/>
        </w:rPr>
        <w:t>其中，涉及到需进行适老化、节能化、数字化改造等住宅问题，需要结合居民意愿填报。</w:t>
      </w:r>
    </w:p>
    <w:p w14:paraId="1B4E7F46">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小区（社区）维度。按照住建部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val="en-US" w:eastAsia="zh-CN"/>
        </w:rPr>
        <w:t>居住</w:t>
      </w:r>
      <w:r>
        <w:rPr>
          <w:rFonts w:hint="eastAsia" w:ascii="宋体" w:hAnsi="宋体" w:eastAsia="宋体" w:cs="宋体"/>
          <w:color w:val="auto"/>
          <w:sz w:val="24"/>
          <w:szCs w:val="24"/>
          <w:highlight w:val="none"/>
        </w:rPr>
        <w:t>社区建设指南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，结合住宅小区现状，合理划分拟建设完整</w:t>
      </w:r>
      <w:r>
        <w:rPr>
          <w:rFonts w:hint="eastAsia" w:ascii="宋体" w:hAnsi="宋体" w:eastAsia="宋体" w:cs="宋体"/>
          <w:color w:val="auto"/>
          <w:sz w:val="24"/>
          <w:szCs w:val="24"/>
          <w:highlight w:val="none"/>
          <w:lang w:val="en-US" w:eastAsia="zh-CN"/>
        </w:rPr>
        <w:t>居住</w:t>
      </w:r>
      <w:r>
        <w:rPr>
          <w:rFonts w:hint="eastAsia" w:ascii="宋体" w:hAnsi="宋体" w:eastAsia="宋体" w:cs="宋体"/>
          <w:color w:val="auto"/>
          <w:sz w:val="24"/>
          <w:szCs w:val="24"/>
          <w:highlight w:val="none"/>
        </w:rPr>
        <w:t>社区范围，先梳理形成拟建设完整社区清单，再从设施完善、环境宜居、管理健全等方面，查找养老、托幼、停车、充电等设施缺口以及小区环境、管理、智能设施等方面的问题，并摸排小区（社区）范围内</w:t>
      </w:r>
      <w:r>
        <w:rPr>
          <w:rFonts w:hint="eastAsia" w:ascii="宋体" w:hAnsi="宋体" w:eastAsia="宋体" w:cs="宋体"/>
          <w:color w:val="auto"/>
          <w:sz w:val="24"/>
          <w:szCs w:val="24"/>
          <w:highlight w:val="none"/>
          <w:lang w:val="en-US" w:eastAsia="zh-CN"/>
        </w:rPr>
        <w:t>商铺、物业用房、</w:t>
      </w:r>
      <w:r>
        <w:rPr>
          <w:rFonts w:hint="eastAsia" w:ascii="宋体" w:hAnsi="宋体" w:eastAsia="宋体" w:cs="宋体"/>
          <w:color w:val="auto"/>
          <w:sz w:val="24"/>
          <w:szCs w:val="24"/>
          <w:highlight w:val="none"/>
        </w:rPr>
        <w:t>闲置用地和资源</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。小区（社区）维度体检形成“1表1台账”，即“小区（社区）体检指标调查表”和以小区（社区）为单位的“小区（社区）维度体检问题与资源台账”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内容包括范围、功能现状、存在问题、居民需求、潜在可盘活资源等</w:t>
      </w:r>
      <w:r>
        <w:rPr>
          <w:rFonts w:hint="eastAsia" w:ascii="宋体" w:hAnsi="宋体" w:eastAsia="宋体" w:cs="宋体"/>
          <w:color w:val="auto"/>
          <w:sz w:val="24"/>
          <w:szCs w:val="24"/>
          <w:highlight w:val="none"/>
        </w:rPr>
        <w:t>。此外，需结合各完整社区人口特征，多渠道收集居民需求，合理制定差异化体检标准，确保体检问题具有指向性。</w:t>
      </w:r>
    </w:p>
    <w:p w14:paraId="571E3BD8">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街区维度。依托街道行政边界，立足街道功能定位，衔接完整社区、15分钟生活圈建设要求，从功能完善、整洁有序、特色活力等方面，查找中学服务范围覆盖率，居民活动场地配建缺失、设施不完善、布局不均衡以及街道环境整治、老旧街厂区更新改造等方面的问题，并摸排街区范围内各类可更新资源。街区维度体检形成“1表1台账”，即“街区体检指标调查表”和“街区维度体检问题与资源台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其中，资源台账重点排查街区范围内老旧商业街区、老旧厂区、老旧街区以及低效楼宇、闲置公共建筑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公园绿地</w:t>
      </w:r>
      <w:r>
        <w:rPr>
          <w:rFonts w:hint="eastAsia" w:ascii="宋体" w:hAnsi="宋体" w:eastAsia="宋体" w:cs="宋体"/>
          <w:color w:val="auto"/>
          <w:sz w:val="24"/>
          <w:szCs w:val="24"/>
          <w:highlight w:val="none"/>
        </w:rPr>
        <w:t>等内容。</w:t>
      </w:r>
    </w:p>
    <w:p w14:paraId="554DD057">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城区维度。从生态宜居、历史文化保护、产城融合、职住平衡、安全韧性、智慧高效等方面，查找城市水体治理、公园绿地、公共服务、历史建筑保护、供水保障、地下管线、建筑消防、城市内涝等方面问题，调查城市实施城市生命线安全工程建设进展，从综合监管覆盖率、智慧监测布设水平两个方面进行衡量，评估城市生命线安全工程及早发现和管控风险隐患能力。通过实地踏勘与资料分析，识别存在的问题，提出治理路径，为后续开展专项提升工作提供导向。</w:t>
      </w:r>
    </w:p>
    <w:p w14:paraId="151D3E1A">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3、数据采集分析</w:t>
      </w:r>
    </w:p>
    <w:p w14:paraId="18500760">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座谈交流、问卷调查、实地调研、多源数据采集等多维度方法收集指标相关数据，搭建城市体检数据库，以定量、定性融合的分析方式，进行系统性与交叉性分析指标数据。数据库需要能够直观反映各类问题的数量和位置。</w:t>
      </w:r>
    </w:p>
    <w:p w14:paraId="541861A4">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座谈交流、问卷调查覆盖面广，年龄结构合理，参与比例匹配度高，内容简洁、清晰，针对性、实效性强。实地调研数据全面、图文结合、重点突出。多源数据采集要对照体检指标开展，满足客观准确分析城市发展存在短板问题需求。</w:t>
      </w:r>
    </w:p>
    <w:p w14:paraId="7F08947E">
      <w:pPr>
        <w:keepNext w:val="0"/>
        <w:keepLines w:val="0"/>
        <w:pageBreakBefore w:val="0"/>
        <w:widowControl w:val="0"/>
        <w:numPr>
          <w:ilvl w:val="0"/>
          <w:numId w:val="60"/>
        </w:numPr>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形成清单</w:t>
      </w:r>
    </w:p>
    <w:p w14:paraId="2C77B56D">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通过住房、小区（社区）、街区、城区四个维度的问题排查和数据采集分析，对体检发现的问题</w:t>
      </w:r>
      <w:r>
        <w:rPr>
          <w:rFonts w:hint="eastAsia" w:ascii="宋体" w:hAnsi="宋体" w:eastAsia="宋体" w:cs="宋体"/>
          <w:color w:val="auto"/>
          <w:sz w:val="24"/>
          <w:szCs w:val="24"/>
          <w:highlight w:val="none"/>
          <w:lang w:val="en-US" w:eastAsia="zh-CN"/>
        </w:rPr>
        <w:t>及潜在可利用、更新资源</w:t>
      </w:r>
      <w:r>
        <w:rPr>
          <w:rFonts w:hint="eastAsia" w:ascii="宋体" w:hAnsi="宋体" w:eastAsia="宋体" w:cs="宋体"/>
          <w:color w:val="auto"/>
          <w:sz w:val="24"/>
          <w:szCs w:val="24"/>
          <w:highlight w:val="none"/>
        </w:rPr>
        <w:t>进行系统梳理，形成归类清晰、内容全面、表述准确、责任划分明晰的问题清单</w:t>
      </w:r>
      <w:r>
        <w:rPr>
          <w:rFonts w:hint="eastAsia" w:ascii="宋体" w:hAnsi="宋体" w:eastAsia="宋体" w:cs="宋体"/>
          <w:color w:val="auto"/>
          <w:sz w:val="24"/>
          <w:szCs w:val="24"/>
          <w:highlight w:val="none"/>
          <w:lang w:val="en-US" w:eastAsia="zh-CN"/>
        </w:rPr>
        <w:t>和资源清单</w:t>
      </w:r>
      <w:r>
        <w:rPr>
          <w:rFonts w:hint="eastAsia" w:ascii="宋体" w:hAnsi="宋体" w:eastAsia="宋体" w:cs="宋体"/>
          <w:color w:val="auto"/>
          <w:sz w:val="24"/>
          <w:szCs w:val="24"/>
          <w:highlight w:val="none"/>
        </w:rPr>
        <w:t>。问题清单，区分开日常管护中动态反复性问题、采取工程性措施解决的问题，体现科学总分关系体系，便利分类打包组合生成项目</w:t>
      </w:r>
      <w:r>
        <w:rPr>
          <w:rFonts w:hint="eastAsia" w:ascii="宋体" w:hAnsi="宋体" w:eastAsia="宋体" w:cs="宋体"/>
          <w:color w:val="auto"/>
          <w:sz w:val="24"/>
          <w:szCs w:val="24"/>
          <w:highlight w:val="none"/>
          <w:lang w:eastAsia="zh-CN"/>
        </w:rPr>
        <w:t>。</w:t>
      </w:r>
    </w:p>
    <w:p w14:paraId="2D1957A8">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w:t>
      </w:r>
      <w:r>
        <w:rPr>
          <w:rFonts w:hint="eastAsia" w:ascii="宋体" w:hAnsi="宋体" w:eastAsia="宋体" w:cs="宋体"/>
          <w:color w:val="auto"/>
          <w:sz w:val="24"/>
          <w:szCs w:val="24"/>
          <w:highlight w:val="none"/>
        </w:rPr>
        <w:t>座谈交流、问卷调查、实地调研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摸清群众诉求意愿，形成群众诉求全面、分类科学、简洁明了的需求清单和愿景清单，保障群众诉求可转化执行落地。</w:t>
      </w:r>
    </w:p>
    <w:p w14:paraId="7BA93CE2">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依据国家、省、市相关城市更新政策，</w:t>
      </w:r>
      <w:r>
        <w:rPr>
          <w:rFonts w:hint="eastAsia" w:ascii="宋体" w:hAnsi="宋体" w:eastAsia="宋体" w:cs="宋体"/>
          <w:color w:val="auto"/>
          <w:sz w:val="24"/>
          <w:szCs w:val="24"/>
          <w:highlight w:val="none"/>
        </w:rPr>
        <w:t>对照</w:t>
      </w:r>
      <w:r>
        <w:rPr>
          <w:rFonts w:hint="eastAsia" w:ascii="宋体" w:hAnsi="宋体" w:eastAsia="宋体" w:cs="宋体"/>
          <w:color w:val="auto"/>
          <w:sz w:val="24"/>
          <w:szCs w:val="24"/>
          <w:highlight w:val="none"/>
          <w:lang w:val="en-US" w:eastAsia="zh-CN"/>
        </w:rPr>
        <w:t>上面的问题清单、资源清单、需求清单、愿景清单，结合盐都实际和</w:t>
      </w:r>
      <w:r>
        <w:rPr>
          <w:rFonts w:hint="eastAsia" w:ascii="宋体" w:hAnsi="宋体" w:eastAsia="宋体" w:cs="宋体"/>
          <w:color w:val="auto"/>
          <w:sz w:val="24"/>
          <w:szCs w:val="24"/>
          <w:highlight w:val="none"/>
        </w:rPr>
        <w:t>部门职责分工，</w:t>
      </w:r>
      <w:r>
        <w:rPr>
          <w:rFonts w:hint="eastAsia" w:ascii="宋体" w:hAnsi="宋体" w:eastAsia="宋体" w:cs="宋体"/>
          <w:color w:val="auto"/>
          <w:sz w:val="24"/>
          <w:szCs w:val="24"/>
          <w:highlight w:val="none"/>
          <w:lang w:val="en-US" w:eastAsia="zh-CN"/>
        </w:rPr>
        <w:t>形成政策清单和策略清单，为后续城市更新提供政策支撑、实施路径。</w:t>
      </w:r>
    </w:p>
    <w:p w14:paraId="0D7E5EA5">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问题轻重缓急、数量、整治难易、资金需求等情况，分类提出更新整治策略，按照“即整即改、项目统筹、规划调整”三种类型，</w:t>
      </w:r>
      <w:r>
        <w:rPr>
          <w:rFonts w:hint="eastAsia" w:ascii="宋体" w:hAnsi="宋体" w:eastAsia="宋体" w:cs="宋体"/>
          <w:color w:val="auto"/>
          <w:sz w:val="24"/>
          <w:szCs w:val="24"/>
          <w:highlight w:val="none"/>
          <w:lang w:val="en-US" w:eastAsia="zh-CN"/>
        </w:rPr>
        <w:t>形成任务清单和项目清单，保障城市更新行动有序、持续推进，也</w:t>
      </w:r>
      <w:r>
        <w:rPr>
          <w:rFonts w:hint="eastAsia" w:ascii="宋体" w:hAnsi="宋体" w:eastAsia="宋体" w:cs="宋体"/>
          <w:color w:val="auto"/>
          <w:sz w:val="24"/>
          <w:szCs w:val="24"/>
          <w:highlight w:val="none"/>
        </w:rPr>
        <w:t>为争取政策性资金做好准备。</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上述清单先各街道分别形成，再形成全区整体。</w:t>
      </w:r>
    </w:p>
    <w:p w14:paraId="313A7322">
      <w:pPr>
        <w:keepNext w:val="0"/>
        <w:keepLines w:val="0"/>
        <w:pageBreakBefore w:val="0"/>
        <w:widowControl w:val="0"/>
        <w:numPr>
          <w:ilvl w:val="0"/>
          <w:numId w:val="60"/>
        </w:numPr>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编制体检报告</w:t>
      </w:r>
    </w:p>
    <w:p w14:paraId="32005E6E">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内容包括城市体检工作的主要思路、技术方法、城市整体概况、体检指标体系和计算结果、城市发展和城市建设中的主要成效、问题以及相应的对策和建议等内容，符合国家、省相关要求，基本实现全面摸清家底、精准识别城市发展中短板问题。报告成果包括</w:t>
      </w:r>
      <w:r>
        <w:rPr>
          <w:rFonts w:hint="eastAsia" w:ascii="宋体" w:hAnsi="宋体" w:eastAsia="宋体" w:cs="宋体"/>
          <w:color w:val="auto"/>
          <w:sz w:val="24"/>
          <w:szCs w:val="24"/>
          <w:highlight w:val="none"/>
          <w:lang w:val="en-US" w:eastAsia="zh-CN"/>
        </w:rPr>
        <w:t>但不限于</w:t>
      </w:r>
      <w:r>
        <w:rPr>
          <w:rFonts w:hint="eastAsia" w:ascii="宋体" w:hAnsi="宋体" w:eastAsia="宋体" w:cs="宋体"/>
          <w:color w:val="auto"/>
          <w:sz w:val="24"/>
          <w:szCs w:val="24"/>
          <w:highlight w:val="none"/>
        </w:rPr>
        <w:t>文本、数据统计分析表格、图件等，内容应当表述清晰、准确、规范，易转化为科学决策依据，为精准治理提供方向。</w:t>
      </w:r>
    </w:p>
    <w:p w14:paraId="5070A0B3">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根据城市体检报告，编制</w:t>
      </w:r>
      <w:r>
        <w:rPr>
          <w:rFonts w:hint="eastAsia" w:ascii="宋体" w:hAnsi="宋体" w:eastAsia="宋体" w:cs="宋体"/>
          <w:color w:val="auto"/>
          <w:sz w:val="24"/>
          <w:szCs w:val="24"/>
          <w:highlight w:val="none"/>
          <w:lang w:val="en-US" w:eastAsia="zh-CN"/>
        </w:rPr>
        <w:t>问题全面直观、更新措施清晰、更新项目明确的</w:t>
      </w:r>
      <w:r>
        <w:rPr>
          <w:rFonts w:hint="eastAsia" w:ascii="宋体" w:hAnsi="宋体" w:eastAsia="宋体" w:cs="宋体"/>
          <w:color w:val="auto"/>
          <w:sz w:val="24"/>
          <w:szCs w:val="24"/>
          <w:highlight w:val="none"/>
        </w:rPr>
        <w:t>城市体检简要报告。</w:t>
      </w:r>
    </w:p>
    <w:p w14:paraId="4C02287F">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城市更新</w:t>
      </w:r>
      <w:r>
        <w:rPr>
          <w:rFonts w:hint="eastAsia" w:cs="Times New Roman"/>
          <w:color w:val="auto"/>
          <w:highlight w:val="none"/>
          <w:u w:val="none"/>
          <w:lang w:eastAsia="zh-CN"/>
        </w:rPr>
        <w:t>行动方案</w:t>
      </w:r>
    </w:p>
    <w:p w14:paraId="041E6DD5">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1、基本内容</w:t>
      </w:r>
    </w:p>
    <w:p w14:paraId="20353CFE">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落实上级城市更新要求，研究盐都区城市更新工作思路，结合体检结果分析盐都区当前存在的问题及现状，提出</w:t>
      </w:r>
      <w:r>
        <w:rPr>
          <w:rFonts w:hint="eastAsia" w:ascii="宋体" w:hAnsi="宋体" w:eastAsia="宋体" w:cs="宋体"/>
          <w:color w:val="auto"/>
          <w:sz w:val="24"/>
          <w:szCs w:val="24"/>
          <w:highlight w:val="none"/>
          <w:lang w:val="en-US" w:eastAsia="zh-CN"/>
        </w:rPr>
        <w:t>今后四年</w:t>
      </w:r>
      <w:r>
        <w:rPr>
          <w:rFonts w:hint="eastAsia" w:ascii="宋体" w:hAnsi="宋体" w:eastAsia="宋体" w:cs="宋体"/>
          <w:color w:val="auto"/>
          <w:sz w:val="24"/>
          <w:szCs w:val="24"/>
          <w:highlight w:val="none"/>
        </w:rPr>
        <w:t>城市更新的目标。围绕城市更新八大任务，明确盐都区城市更新的重点项目、片区、任务。整理城市更新相关政策制度，研究当前更新项目实施存在的难点提出优化建议。建立城市更新项目库（储备库）。</w:t>
      </w:r>
    </w:p>
    <w:p w14:paraId="1D6D72AB">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2、重点片区划定要求</w:t>
      </w:r>
    </w:p>
    <w:p w14:paraId="1E40EAD8">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合城市体检发现的问题与资源，统筹划定若干个城市更新片区，提出指引要求，根据轻重缓急确定更新时序安排。针对其中近期具备实施条件的示范片区，进行细化谋划，对资源配置、空间布局、资金平衡、重点项目等方面内容提出指导，为后续更新示范片区实施提供决策依据。</w:t>
      </w:r>
    </w:p>
    <w:p w14:paraId="6F993388">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3、项目库构建要求</w:t>
      </w:r>
    </w:p>
    <w:p w14:paraId="5C828F77">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立城市更新项目库，制定盐都区项目入库、出库的管理规则，确定项目名称、类型、规模和实施时序等。项目来源包括城市体检发现的问题点位、城市更新资源底图、各条线部门拟实施的相关项目、上级部门明确要求或部署的任务，以及城市发展战略谋划生成的重点项目等。项目库需对各项目按照类型、责任条块部门或片区位置等方式进行整合打包，便于更新项目的分类推进和资金争取，打包形成的项目组合应具有一定的灵活性，同时满足争取政策性资金的条件。</w:t>
      </w:r>
    </w:p>
    <w:p w14:paraId="6DA030C7">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4、编制成果报告</w:t>
      </w:r>
    </w:p>
    <w:p w14:paraId="257F9F00">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textAlignment w:val="auto"/>
        <w:rPr>
          <w:rFonts w:hint="eastAsia" w:ascii="仿宋_GB2312" w:hAnsi="方正仿宋_GB2312" w:eastAsia="仿宋_GB2312" w:cs="方正仿宋_GB2312"/>
          <w:color w:val="auto"/>
          <w:sz w:val="32"/>
          <w:szCs w:val="32"/>
          <w:highlight w:val="none"/>
        </w:rPr>
      </w:pPr>
      <w:r>
        <w:rPr>
          <w:rFonts w:hint="eastAsia" w:ascii="宋体" w:hAnsi="宋体" w:eastAsia="宋体" w:cs="宋体"/>
          <w:color w:val="auto"/>
          <w:sz w:val="24"/>
          <w:szCs w:val="24"/>
          <w:highlight w:val="none"/>
          <w:lang w:val="en-US" w:eastAsia="zh-CN"/>
        </w:rPr>
        <w:t>行动方案</w:t>
      </w:r>
      <w:r>
        <w:rPr>
          <w:rFonts w:hint="eastAsia" w:ascii="宋体" w:hAnsi="宋体" w:eastAsia="宋体" w:cs="宋体"/>
          <w:color w:val="auto"/>
          <w:sz w:val="24"/>
          <w:szCs w:val="24"/>
          <w:highlight w:val="none"/>
        </w:rPr>
        <w:t>编制应形成完整成果体系。主报告需全面反映</w:t>
      </w:r>
      <w:r>
        <w:rPr>
          <w:rFonts w:hint="eastAsia" w:ascii="宋体" w:hAnsi="宋体" w:eastAsia="宋体" w:cs="宋体"/>
          <w:color w:val="auto"/>
          <w:sz w:val="24"/>
          <w:szCs w:val="24"/>
          <w:highlight w:val="none"/>
          <w:lang w:val="en-US" w:eastAsia="zh-CN"/>
        </w:rPr>
        <w:t>行动方案</w:t>
      </w:r>
      <w:r>
        <w:rPr>
          <w:rFonts w:hint="eastAsia" w:ascii="宋体" w:hAnsi="宋体" w:eastAsia="宋体" w:cs="宋体"/>
          <w:color w:val="auto"/>
          <w:sz w:val="24"/>
          <w:szCs w:val="24"/>
          <w:highlight w:val="none"/>
        </w:rPr>
        <w:t>各项内容，形成结构完整</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文本。简报应提炼规划核心内容，便于快速传达和为决策提供参考。行动</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需明确</w:t>
      </w:r>
      <w:r>
        <w:rPr>
          <w:rFonts w:hint="eastAsia" w:ascii="宋体" w:hAnsi="宋体" w:eastAsia="宋体" w:cs="宋体"/>
          <w:color w:val="auto"/>
          <w:sz w:val="24"/>
          <w:szCs w:val="24"/>
          <w:highlight w:val="none"/>
          <w:lang w:val="en-US" w:eastAsia="zh-CN"/>
        </w:rPr>
        <w:t>今后各</w:t>
      </w:r>
      <w:r>
        <w:rPr>
          <w:rFonts w:hint="eastAsia" w:ascii="宋体" w:hAnsi="宋体" w:eastAsia="宋体" w:cs="宋体"/>
          <w:color w:val="auto"/>
          <w:sz w:val="24"/>
          <w:szCs w:val="24"/>
          <w:highlight w:val="none"/>
        </w:rPr>
        <w:t>年度重点工作安排、责任分工与时间节点。年度实施计划则需列出拟实施项目清单、投资计划及进度安排。</w:t>
      </w:r>
      <w:bookmarkEnd w:id="173"/>
    </w:p>
    <w:p w14:paraId="2BD1EFED">
      <w:pPr>
        <w:pStyle w:val="2"/>
        <w:keepNext w:val="0"/>
        <w:keepLines w:val="0"/>
        <w:pageBreakBefore w:val="0"/>
        <w:numPr>
          <w:ilvl w:val="0"/>
          <w:numId w:val="0"/>
        </w:numPr>
        <w:tabs>
          <w:tab w:val="left" w:pos="1081"/>
        </w:tabs>
        <w:kinsoku/>
        <w:wordWrap/>
        <w:overflowPunct/>
        <w:topLinePunct w:val="0"/>
        <w:autoSpaceDE/>
        <w:autoSpaceDN/>
        <w:bidi w:val="0"/>
        <w:adjustRightInd/>
        <w:snapToGrid/>
        <w:spacing w:before="0" w:beforeLines="0" w:after="0" w:line="360" w:lineRule="exact"/>
        <w:textAlignment w:val="auto"/>
        <w:rPr>
          <w:rFonts w:hint="default" w:ascii="Times New Roman" w:hAnsi="Times New Roman" w:cs="Times New Roman"/>
          <w:color w:val="auto"/>
          <w:highlight w:val="none"/>
        </w:rPr>
      </w:pPr>
      <w:r>
        <w:rPr>
          <w:rFonts w:hint="eastAsia" w:ascii="Times New Roman" w:hAnsi="Times New Roman" w:cs="Times New Roman"/>
          <w:b/>
          <w:bCs/>
          <w:color w:val="auto"/>
          <w:kern w:val="44"/>
          <w:sz w:val="24"/>
          <w:szCs w:val="30"/>
          <w:highlight w:val="none"/>
          <w:lang w:val="en-US" w:eastAsia="zh-CN"/>
        </w:rPr>
        <w:t>三</w:t>
      </w:r>
      <w:r>
        <w:rPr>
          <w:rFonts w:hint="eastAsia" w:ascii="Times New Roman" w:hAnsi="Times New Roman" w:eastAsia="宋体" w:cs="Times New Roman"/>
          <w:b/>
          <w:bCs/>
          <w:color w:val="auto"/>
          <w:kern w:val="44"/>
          <w:sz w:val="24"/>
          <w:szCs w:val="30"/>
          <w:highlight w:val="none"/>
        </w:rPr>
        <w:t>、</w:t>
      </w:r>
      <w:r>
        <w:rPr>
          <w:rFonts w:hint="default" w:ascii="Times New Roman" w:hAnsi="Times New Roman" w:cs="Times New Roman"/>
          <w:color w:val="auto"/>
          <w:highlight w:val="none"/>
        </w:rPr>
        <w:t>采购标的对应的中小企业划分标准所属行业一览表</w:t>
      </w:r>
    </w:p>
    <w:tbl>
      <w:tblPr>
        <w:tblStyle w:val="25"/>
        <w:tblW w:w="4998" w:type="pct"/>
        <w:tblCellSpacing w:w="0" w:type="dxa"/>
        <w:tblInd w:w="0" w:type="dxa"/>
        <w:tblLayout w:type="autofit"/>
        <w:tblCellMar>
          <w:top w:w="0" w:type="dxa"/>
          <w:left w:w="108" w:type="dxa"/>
          <w:bottom w:w="0" w:type="dxa"/>
          <w:right w:w="108" w:type="dxa"/>
        </w:tblCellMar>
      </w:tblPr>
      <w:tblGrid>
        <w:gridCol w:w="693"/>
        <w:gridCol w:w="3736"/>
        <w:gridCol w:w="4110"/>
      </w:tblGrid>
      <w:tr w14:paraId="1A1DD8BD">
        <w:tblPrEx>
          <w:tblCellMar>
            <w:top w:w="0" w:type="dxa"/>
            <w:left w:w="108" w:type="dxa"/>
            <w:bottom w:w="0" w:type="dxa"/>
            <w:right w:w="108" w:type="dxa"/>
          </w:tblCellMar>
        </w:tblPrEx>
        <w:trPr>
          <w:trHeight w:val="706" w:hRule="atLeast"/>
          <w:tblCellSpacing w:w="0" w:type="dxa"/>
        </w:trPr>
        <w:tc>
          <w:tcPr>
            <w:tcW w:w="406" w:type="pct"/>
            <w:tcBorders>
              <w:top w:val="single" w:color="000000" w:sz="4" w:space="0"/>
              <w:left w:val="single" w:color="000000" w:sz="4" w:space="0"/>
              <w:bottom w:val="single" w:color="000000" w:sz="4" w:space="0"/>
              <w:right w:val="single" w:color="000000" w:sz="4" w:space="0"/>
            </w:tcBorders>
            <w:noWrap w:val="0"/>
            <w:vAlign w:val="center"/>
          </w:tcPr>
          <w:p w14:paraId="76075916">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序号</w:t>
            </w:r>
          </w:p>
        </w:tc>
        <w:tc>
          <w:tcPr>
            <w:tcW w:w="2187" w:type="pct"/>
            <w:tcBorders>
              <w:top w:val="single" w:color="000000" w:sz="4" w:space="0"/>
              <w:left w:val="single" w:color="000000" w:sz="4" w:space="0"/>
              <w:bottom w:val="single" w:color="000000" w:sz="4" w:space="0"/>
              <w:right w:val="single" w:color="000000" w:sz="4" w:space="0"/>
            </w:tcBorders>
            <w:noWrap w:val="0"/>
            <w:vAlign w:val="center"/>
          </w:tcPr>
          <w:p w14:paraId="243CAD2C">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采购标的</w:t>
            </w:r>
          </w:p>
        </w:tc>
        <w:tc>
          <w:tcPr>
            <w:tcW w:w="2406" w:type="pct"/>
            <w:tcBorders>
              <w:top w:val="single" w:color="000000" w:sz="4" w:space="0"/>
              <w:left w:val="single" w:color="000000" w:sz="4" w:space="0"/>
              <w:bottom w:val="single" w:color="000000" w:sz="4" w:space="0"/>
              <w:right w:val="single" w:color="000000" w:sz="4" w:space="0"/>
            </w:tcBorders>
            <w:noWrap w:val="0"/>
            <w:vAlign w:val="center"/>
          </w:tcPr>
          <w:p w14:paraId="6849A63B">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对应中小企业划分标准所属行业</w:t>
            </w:r>
          </w:p>
        </w:tc>
      </w:tr>
      <w:tr w14:paraId="5392D4FF">
        <w:tblPrEx>
          <w:tblCellMar>
            <w:top w:w="0" w:type="dxa"/>
            <w:left w:w="108" w:type="dxa"/>
            <w:bottom w:w="0" w:type="dxa"/>
            <w:right w:w="108" w:type="dxa"/>
          </w:tblCellMar>
        </w:tblPrEx>
        <w:trPr>
          <w:trHeight w:val="646" w:hRule="atLeast"/>
          <w:tblCellSpacing w:w="0" w:type="dxa"/>
        </w:trPr>
        <w:tc>
          <w:tcPr>
            <w:tcW w:w="406" w:type="pct"/>
            <w:tcBorders>
              <w:top w:val="single" w:color="000000" w:sz="4" w:space="0"/>
              <w:left w:val="single" w:color="000000" w:sz="4" w:space="0"/>
              <w:bottom w:val="single" w:color="000000" w:sz="4" w:space="0"/>
              <w:right w:val="single" w:color="000000" w:sz="4" w:space="0"/>
            </w:tcBorders>
            <w:noWrap w:val="0"/>
            <w:vAlign w:val="center"/>
          </w:tcPr>
          <w:p w14:paraId="5A1FF272">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1</w:t>
            </w:r>
          </w:p>
        </w:tc>
        <w:tc>
          <w:tcPr>
            <w:tcW w:w="2187" w:type="pct"/>
            <w:tcBorders>
              <w:top w:val="single" w:color="000000" w:sz="4" w:space="0"/>
              <w:left w:val="single" w:color="000000" w:sz="4" w:space="0"/>
              <w:bottom w:val="single" w:color="000000" w:sz="4" w:space="0"/>
              <w:right w:val="single" w:color="000000" w:sz="4" w:space="0"/>
            </w:tcBorders>
            <w:noWrap w:val="0"/>
            <w:vAlign w:val="center"/>
          </w:tcPr>
          <w:p w14:paraId="67306185">
            <w:pPr>
              <w:jc w:val="center"/>
              <w:rPr>
                <w:rFonts w:hint="eastAsia" w:ascii="Times New Roman" w:hAnsi="Times New Roman" w:cs="Times New Roman" w:eastAsiaTheme="minorEastAsia"/>
                <w:b/>
                <w:bCs/>
                <w:color w:val="auto"/>
                <w:sz w:val="21"/>
                <w:szCs w:val="21"/>
                <w:highlight w:val="none"/>
                <w:shd w:val="clear" w:color="auto" w:fill="FFFFFF"/>
                <w:lang w:eastAsia="zh-CN"/>
              </w:rPr>
            </w:pPr>
            <w:r>
              <w:rPr>
                <w:rFonts w:hint="eastAsia" w:ascii="Times New Roman" w:hAnsi="Times New Roman" w:cs="Times New Roman"/>
                <w:b/>
                <w:bCs/>
                <w:color w:val="auto"/>
                <w:sz w:val="21"/>
                <w:szCs w:val="21"/>
                <w:highlight w:val="none"/>
                <w:shd w:val="clear" w:color="auto" w:fill="FFFFFF"/>
                <w:lang w:eastAsia="zh-CN"/>
              </w:rPr>
              <w:t>盐都区2026年城市体检及城市更新</w:t>
            </w:r>
            <w:r>
              <w:rPr>
                <w:rFonts w:hint="eastAsia" w:cs="Times New Roman"/>
                <w:b/>
                <w:bCs/>
                <w:color w:val="auto"/>
                <w:highlight w:val="none"/>
                <w:u w:val="none"/>
                <w:lang w:eastAsia="zh-CN"/>
              </w:rPr>
              <w:t>行动方案</w:t>
            </w:r>
            <w:r>
              <w:rPr>
                <w:rFonts w:hint="eastAsia" w:ascii="Times New Roman" w:hAnsi="Times New Roman" w:cs="Times New Roman"/>
                <w:b/>
                <w:bCs/>
                <w:color w:val="auto"/>
                <w:sz w:val="21"/>
                <w:szCs w:val="21"/>
                <w:highlight w:val="none"/>
                <w:shd w:val="clear" w:color="auto" w:fill="FFFFFF"/>
                <w:lang w:eastAsia="zh-CN"/>
              </w:rPr>
              <w:t>编制服务项目</w:t>
            </w:r>
          </w:p>
        </w:tc>
        <w:tc>
          <w:tcPr>
            <w:tcW w:w="2406" w:type="pct"/>
            <w:tcBorders>
              <w:top w:val="single" w:color="000000" w:sz="4" w:space="0"/>
              <w:left w:val="single" w:color="000000" w:sz="4" w:space="0"/>
              <w:bottom w:val="single" w:color="000000" w:sz="4" w:space="0"/>
              <w:right w:val="single" w:color="000000" w:sz="4" w:space="0"/>
            </w:tcBorders>
            <w:noWrap w:val="0"/>
            <w:vAlign w:val="center"/>
          </w:tcPr>
          <w:p w14:paraId="201A9FAA">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eastAsia="宋体" w:cs="Times New Roman"/>
                <w:b/>
                <w:bCs/>
                <w:color w:val="auto"/>
                <w:sz w:val="24"/>
                <w:szCs w:val="24"/>
                <w:highlight w:val="none"/>
                <w:u w:val="none"/>
              </w:rPr>
              <w:t>其他未列明行业</w:t>
            </w:r>
          </w:p>
        </w:tc>
      </w:tr>
    </w:tbl>
    <w:p w14:paraId="384D2440">
      <w:pPr>
        <w:pStyle w:val="21"/>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br w:type="page"/>
      </w:r>
    </w:p>
    <w:p w14:paraId="5F7C6898">
      <w:pPr>
        <w:pStyle w:val="49"/>
        <w:keepNext w:val="0"/>
        <w:keepLines w:val="0"/>
        <w:pageBreakBefore w:val="0"/>
        <w:widowControl w:val="0"/>
        <w:numPr>
          <w:ilvl w:val="0"/>
          <w:numId w:val="0"/>
        </w:numPr>
        <w:tabs>
          <w:tab w:val="left" w:pos="1602"/>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color w:val="auto"/>
          <w:highlight w:val="none"/>
        </w:rPr>
      </w:pPr>
      <w:r>
        <w:rPr>
          <w:rFonts w:hint="eastAsia" w:ascii="Times New Roman" w:hAnsi="Times New Roman" w:eastAsia="黑体" w:cs="Times New Roman"/>
          <w:color w:val="auto"/>
          <w:kern w:val="44"/>
          <w:sz w:val="32"/>
          <w:szCs w:val="36"/>
          <w:highlight w:val="none"/>
        </w:rPr>
        <w:t>第五章</w:t>
      </w:r>
      <w:r>
        <w:rPr>
          <w:rFonts w:hint="eastAsia" w:cs="Times New Roman"/>
          <w:color w:val="auto"/>
          <w:kern w:val="44"/>
          <w:sz w:val="32"/>
          <w:szCs w:val="36"/>
          <w:highlight w:val="none"/>
          <w:lang w:val="en-US" w:eastAsia="zh-CN"/>
        </w:rPr>
        <w:t xml:space="preserve">  </w:t>
      </w:r>
      <w:r>
        <w:rPr>
          <w:rFonts w:hint="default" w:ascii="Times New Roman" w:hAnsi="Times New Roman" w:cs="Times New Roman"/>
          <w:color w:val="auto"/>
          <w:highlight w:val="none"/>
        </w:rPr>
        <w:t>评标方法与评标标准</w:t>
      </w:r>
    </w:p>
    <w:p w14:paraId="2D648D58">
      <w:pPr>
        <w:pStyle w:val="21"/>
        <w:keepNext w:val="0"/>
        <w:keepLines w:val="0"/>
        <w:pageBreakBefore w:val="0"/>
        <w:widowControl w:val="0"/>
        <w:kinsoku/>
        <w:wordWrap/>
        <w:overflowPunct/>
        <w:topLinePunct w:val="0"/>
        <w:autoSpaceDE/>
        <w:autoSpaceDN/>
        <w:bidi w:val="0"/>
        <w:adjustRightInd/>
        <w:snapToGrid/>
        <w:spacing w:beforeAutospacing="0" w:afterAutospacing="0" w:line="360" w:lineRule="exact"/>
        <w:jc w:val="both"/>
        <w:textAlignment w:val="auto"/>
        <w:rPr>
          <w:rFonts w:hint="default" w:ascii="Times New Roman" w:hAnsi="Times New Roman" w:cs="Times New Roman"/>
          <w:color w:val="auto"/>
          <w:highlight w:val="none"/>
        </w:rPr>
      </w:pPr>
    </w:p>
    <w:p w14:paraId="7EAE876C">
      <w:pPr>
        <w:pStyle w:val="2"/>
        <w:keepNext w:val="0"/>
        <w:keepLines w:val="0"/>
        <w:pageBreakBefore w:val="0"/>
        <w:widowControl w:val="0"/>
        <w:numPr>
          <w:ilvl w:val="0"/>
          <w:numId w:val="6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定标原则</w:t>
      </w:r>
    </w:p>
    <w:p w14:paraId="3E0AD6E2">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本项目采用</w:t>
      </w:r>
      <w:r>
        <w:rPr>
          <w:rFonts w:hint="default" w:ascii="Times New Roman" w:hAnsi="Times New Roman" w:cs="Times New Roman"/>
          <w:color w:val="auto"/>
          <w:highlight w:val="none"/>
          <w:u w:val="single"/>
        </w:rPr>
        <w:t xml:space="preserve"> 综合评分 </w:t>
      </w:r>
      <w:r>
        <w:rPr>
          <w:rFonts w:hint="default" w:ascii="Times New Roman" w:hAnsi="Times New Roman" w:cs="Times New Roman"/>
          <w:color w:val="auto"/>
          <w:highlight w:val="none"/>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1AB78249">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政府采购政策功能落实</w:t>
      </w:r>
    </w:p>
    <w:p w14:paraId="0163100B">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1、小微型企业价格扣除</w:t>
      </w:r>
    </w:p>
    <w:p w14:paraId="1DDA306D">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（1）本项目不专门面向中小企业采购，对符合规定的小型和微型企业报价给予20%的扣除价格，用扣除后的价格参与评审。</w:t>
      </w:r>
    </w:p>
    <w:p w14:paraId="1D7F174D">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（2）供应商需按照采购文件的要求提供相应的《中小企业声明函》。</w:t>
      </w:r>
    </w:p>
    <w:p w14:paraId="394FBF32">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（3）企业标准请参照《关于印发中小企业划型标准规定的通知》（工信部联企业[2011]300号）文件规定自行填写。</w:t>
      </w:r>
    </w:p>
    <w:p w14:paraId="14C8AC20">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2、残疾人福利单位价格扣除</w:t>
      </w:r>
    </w:p>
    <w:p w14:paraId="265D6B1F">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（1）本项目对残疾人福利性单位视同小型、微型企业，给予20%的价格扣除。</w:t>
      </w:r>
    </w:p>
    <w:p w14:paraId="1E970052">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（2）残疾人福利单位需按照采购文件的要求提供《残疾人福利性单位声明函》。</w:t>
      </w:r>
    </w:p>
    <w:p w14:paraId="102ACA62">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（3）残疾人福利单位标准请参照《关于促进残疾人就业政府采购政策的通知》（财库〔2017〕141号）。</w:t>
      </w:r>
    </w:p>
    <w:p w14:paraId="7A5B91B3">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3、监狱和戒毒企业价格扣除</w:t>
      </w:r>
    </w:p>
    <w:p w14:paraId="58381137">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（1）本项目对监狱和戒毒企业（简称监狱企业）视同小型、微型企业，给予20%的价格扣除。</w:t>
      </w:r>
    </w:p>
    <w:p w14:paraId="3F13C0A4">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C33E7CA">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（3）监狱企业标准请参照《关于政府采购支持监狱企业发展有关问题的通知》（财库[2014]68号）。</w:t>
      </w:r>
    </w:p>
    <w:p w14:paraId="4E23015F">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4、残疾人福利单位、监狱企业属于小型、微型企业的，不重复享受政策。</w:t>
      </w:r>
    </w:p>
    <w:p w14:paraId="4292B00F">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5、采购本国产品的支持政策</w:t>
      </w:r>
    </w:p>
    <w:p w14:paraId="22CA88C3">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eastAsia" w:cs="Times New Roman"/>
          <w:b w:val="0"/>
          <w:color w:val="auto"/>
          <w:sz w:val="24"/>
          <w:highlight w:val="none"/>
          <w:lang w:val="en-US" w:eastAsia="zh-CN"/>
        </w:rPr>
        <w:t>5</w:t>
      </w:r>
      <w:r>
        <w:rPr>
          <w:rFonts w:hint="default" w:ascii="Times New Roman" w:hAnsi="Times New Roman" w:eastAsia="宋体" w:cs="Times New Roman"/>
          <w:b w:val="0"/>
          <w:color w:val="auto"/>
          <w:sz w:val="24"/>
          <w:highlight w:val="none"/>
        </w:rPr>
        <w:t>.1本项目政府采购活动中既有本国产品又有非本国产品参与竞争的，依法对本国产品给予价格评审优惠，对本国产品的报价给予 20%的价格扣除，用扣除后的价格参与评审。</w:t>
      </w:r>
    </w:p>
    <w:p w14:paraId="7B8EDABD">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eastAsia" w:cs="Times New Roman"/>
          <w:b w:val="0"/>
          <w:color w:val="auto"/>
          <w:sz w:val="24"/>
          <w:highlight w:val="none"/>
          <w:lang w:val="en-US" w:eastAsia="zh-CN"/>
        </w:rPr>
        <w:t>5</w:t>
      </w:r>
      <w:r>
        <w:rPr>
          <w:rFonts w:hint="default" w:ascii="Times New Roman" w:hAnsi="Times New Roman" w:eastAsia="宋体" w:cs="Times New Roman"/>
          <w:b w:val="0"/>
          <w:color w:val="auto"/>
          <w:sz w:val="24"/>
          <w:highlight w:val="none"/>
        </w:rPr>
        <w:t>.2当采购项目或者采购包中含有多种产品，供应商为该采购项目或者采购包提供的符合本国产品标准的产品成本之和占该供应商提供的全部产品成本之和的比例达到80%以上时（供应商需在“第六章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25DD010">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eastAsia" w:cs="Times New Roman"/>
          <w:b w:val="0"/>
          <w:color w:val="auto"/>
          <w:sz w:val="24"/>
          <w:highlight w:val="none"/>
          <w:lang w:val="en-US" w:eastAsia="zh-CN"/>
        </w:rPr>
        <w:t>5</w:t>
      </w:r>
      <w:r>
        <w:rPr>
          <w:rFonts w:hint="default" w:ascii="Times New Roman" w:hAnsi="Times New Roman" w:eastAsia="宋体" w:cs="Times New Roman"/>
          <w:b w:val="0"/>
          <w:color w:val="auto"/>
          <w:sz w:val="24"/>
          <w:highlight w:val="none"/>
        </w:rPr>
        <w:t>.3供应商需按照招标文件的要求提供《关于符合本国产品标准的声明函》（以下简称《声明函》），如不提供将不享受本国产品价格评审优惠。</w:t>
      </w:r>
    </w:p>
    <w:p w14:paraId="291A4B87">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eastAsia" w:cs="Times New Roman"/>
          <w:b w:val="0"/>
          <w:color w:val="auto"/>
          <w:sz w:val="24"/>
          <w:highlight w:val="none"/>
          <w:lang w:val="en-US" w:eastAsia="zh-CN"/>
        </w:rPr>
        <w:t>5</w:t>
      </w:r>
      <w:r>
        <w:rPr>
          <w:rFonts w:hint="default" w:ascii="Times New Roman" w:hAnsi="Times New Roman" w:eastAsia="宋体" w:cs="Times New Roman"/>
          <w:b w:val="0"/>
          <w:color w:val="auto"/>
          <w:sz w:val="24"/>
          <w:highlight w:val="none"/>
        </w:rPr>
        <w:t>.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4F5C9BF4">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eastAsia="宋体" w:cs="Times New Roman"/>
          <w:b w:val="0"/>
          <w:color w:val="auto"/>
          <w:sz w:val="24"/>
          <w:highlight w:val="none"/>
        </w:rPr>
      </w:pPr>
      <w:r>
        <w:rPr>
          <w:rFonts w:hint="eastAsia" w:cs="Times New Roman"/>
          <w:b w:val="0"/>
          <w:color w:val="auto"/>
          <w:sz w:val="24"/>
          <w:highlight w:val="none"/>
          <w:lang w:val="en-US" w:eastAsia="zh-CN"/>
        </w:rPr>
        <w:t>5</w:t>
      </w:r>
      <w:r>
        <w:rPr>
          <w:rFonts w:hint="default" w:ascii="Times New Roman" w:hAnsi="Times New Roman" w:eastAsia="宋体" w:cs="Times New Roman"/>
          <w:b w:val="0"/>
          <w:color w:val="auto"/>
          <w:sz w:val="24"/>
          <w:highlight w:val="none"/>
        </w:rPr>
        <w:t>.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ADB2E4B">
      <w:pPr>
        <w:pStyle w:val="12"/>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b w:val="0"/>
          <w:color w:val="auto"/>
          <w:sz w:val="24"/>
          <w:highlight w:val="none"/>
          <w:lang w:val="en-US" w:eastAsia="zh-CN"/>
        </w:rPr>
        <w:t>6</w:t>
      </w:r>
      <w:r>
        <w:rPr>
          <w:rFonts w:hint="default" w:ascii="Times New Roman" w:hAnsi="Times New Roman" w:eastAsia="宋体" w:cs="Times New Roman"/>
          <w:b w:val="0"/>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default" w:ascii="Times New Roman" w:hAnsi="Times New Roman" w:cs="Times New Roman"/>
          <w:color w:val="auto"/>
          <w:highlight w:val="none"/>
        </w:rPr>
        <w:t>。</w:t>
      </w:r>
    </w:p>
    <w:p w14:paraId="2E514285">
      <w:pPr>
        <w:pStyle w:val="2"/>
        <w:keepNext w:val="0"/>
        <w:keepLines w:val="0"/>
        <w:pageBreakBefore w:val="0"/>
        <w:widowControl w:val="0"/>
        <w:numPr>
          <w:ilvl w:val="0"/>
          <w:numId w:val="6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评标方法与评标标准</w:t>
      </w:r>
    </w:p>
    <w:p w14:paraId="4EF34176">
      <w:pPr>
        <w:tabs>
          <w:tab w:val="left" w:pos="632"/>
          <w:tab w:val="left" w:pos="2828"/>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本项目评分总分值为100分。</w:t>
      </w:r>
    </w:p>
    <w:tbl>
      <w:tblPr>
        <w:tblStyle w:val="25"/>
        <w:tblW w:w="55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9"/>
        <w:gridCol w:w="1380"/>
        <w:gridCol w:w="795"/>
        <w:gridCol w:w="6533"/>
      </w:tblGrid>
      <w:tr w14:paraId="5BF56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2119" w:type="dxa"/>
            <w:gridSpan w:val="2"/>
            <w:vAlign w:val="center"/>
          </w:tcPr>
          <w:p w14:paraId="24C1593B">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w:t>
            </w:r>
          </w:p>
        </w:tc>
        <w:tc>
          <w:tcPr>
            <w:tcW w:w="795" w:type="dxa"/>
            <w:vAlign w:val="center"/>
          </w:tcPr>
          <w:p w14:paraId="76D0FDB0">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分数</w:t>
            </w:r>
          </w:p>
        </w:tc>
        <w:tc>
          <w:tcPr>
            <w:tcW w:w="6535" w:type="dxa"/>
            <w:vAlign w:val="center"/>
          </w:tcPr>
          <w:p w14:paraId="79103689">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  容</w:t>
            </w:r>
          </w:p>
        </w:tc>
      </w:tr>
      <w:tr w14:paraId="5DB00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2119" w:type="dxa"/>
            <w:gridSpan w:val="2"/>
            <w:vAlign w:val="center"/>
          </w:tcPr>
          <w:p w14:paraId="6E78415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价格分（10分）</w:t>
            </w:r>
          </w:p>
        </w:tc>
        <w:tc>
          <w:tcPr>
            <w:tcW w:w="795" w:type="dxa"/>
            <w:vAlign w:val="center"/>
          </w:tcPr>
          <w:p w14:paraId="2945042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535" w:type="dxa"/>
            <w:vAlign w:val="center"/>
          </w:tcPr>
          <w:p w14:paraId="0B17333D">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采用低价优先法，即满足招标文件要求且投标价格最低的有效投标报价为评标基准价，其价格分为满分。</w:t>
            </w:r>
          </w:p>
          <w:p w14:paraId="5293C0EF">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其他投标人的价格分统一按下列公式计算：投标报价得分＝（评标基准价/投标报价）×10（小数点保留两位）。（有效投标报价为未被评标委员会判定为无效标的投标文件）。</w:t>
            </w:r>
          </w:p>
        </w:tc>
      </w:tr>
      <w:tr w14:paraId="7027E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jc w:val="center"/>
        </w:trPr>
        <w:tc>
          <w:tcPr>
            <w:tcW w:w="739" w:type="dxa"/>
            <w:vMerge w:val="restart"/>
            <w:vAlign w:val="center"/>
          </w:tcPr>
          <w:p w14:paraId="1C8DCFD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技术评分（45分）</w:t>
            </w:r>
          </w:p>
        </w:tc>
        <w:tc>
          <w:tcPr>
            <w:tcW w:w="1380" w:type="dxa"/>
            <w:vAlign w:val="center"/>
          </w:tcPr>
          <w:p w14:paraId="73DC5188">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项目理解认识（</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w:t>
            </w:r>
          </w:p>
        </w:tc>
        <w:tc>
          <w:tcPr>
            <w:tcW w:w="795" w:type="dxa"/>
            <w:vAlign w:val="center"/>
          </w:tcPr>
          <w:p w14:paraId="5ADD44B6">
            <w:pPr>
              <w:widowControl/>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6535" w:type="dxa"/>
            <w:vAlign w:val="center"/>
          </w:tcPr>
          <w:p w14:paraId="67ACE37A">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对城市更新和城市体检相关政策理解全面，对盐都区现状情况了解充分，对本次工作的目的认识准确，得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分；</w:t>
            </w:r>
          </w:p>
          <w:p w14:paraId="5AC3C7F9">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政策理解较为完整，基本了解盐都区现状情况，对工作目的认识基本准确，得</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分；</w:t>
            </w:r>
          </w:p>
          <w:p w14:paraId="05B4F5E3">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政策理解一般，现状情况了解一般，对工作目的理解一般，得</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分；未提供的，不得分。</w:t>
            </w:r>
          </w:p>
        </w:tc>
      </w:tr>
      <w:tr w14:paraId="7BED4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8" w:hRule="atLeast"/>
          <w:jc w:val="center"/>
        </w:trPr>
        <w:tc>
          <w:tcPr>
            <w:tcW w:w="739" w:type="dxa"/>
            <w:vMerge w:val="continue"/>
            <w:vAlign w:val="center"/>
          </w:tcPr>
          <w:p w14:paraId="60B751F7">
            <w:pPr>
              <w:widowControl/>
              <w:spacing w:line="360" w:lineRule="auto"/>
              <w:jc w:val="left"/>
              <w:rPr>
                <w:rFonts w:hint="eastAsia" w:ascii="宋体" w:hAnsi="宋体" w:eastAsia="宋体" w:cs="宋体"/>
                <w:color w:val="auto"/>
                <w:sz w:val="24"/>
                <w:szCs w:val="24"/>
                <w:highlight w:val="none"/>
              </w:rPr>
            </w:pPr>
          </w:p>
        </w:tc>
        <w:tc>
          <w:tcPr>
            <w:tcW w:w="1380" w:type="dxa"/>
            <w:tcBorders>
              <w:bottom w:val="single" w:color="auto" w:sz="4" w:space="0"/>
            </w:tcBorders>
            <w:vAlign w:val="center"/>
          </w:tcPr>
          <w:p w14:paraId="7F2D7B8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总体思路</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lang w:val="en-US" w:eastAsia="zh-CN"/>
              </w:rPr>
              <w:t>5</w:t>
            </w:r>
            <w:r>
              <w:rPr>
                <w:rFonts w:hint="eastAsia" w:ascii="宋体" w:hAnsi="宋体" w:eastAsia="宋体" w:cs="宋体"/>
                <w:color w:val="auto"/>
                <w:spacing w:val="-9"/>
                <w:sz w:val="24"/>
                <w:szCs w:val="24"/>
                <w:highlight w:val="none"/>
              </w:rPr>
              <w:t>分）</w:t>
            </w:r>
          </w:p>
        </w:tc>
        <w:tc>
          <w:tcPr>
            <w:tcW w:w="795" w:type="dxa"/>
            <w:tcBorders>
              <w:bottom w:val="single" w:color="auto" w:sz="4" w:space="0"/>
            </w:tcBorders>
            <w:vAlign w:val="center"/>
          </w:tcPr>
          <w:p w14:paraId="447F7D88">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6535" w:type="dxa"/>
            <w:tcBorders>
              <w:bottom w:val="single" w:color="auto" w:sz="4" w:space="0"/>
            </w:tcBorders>
            <w:vAlign w:val="center"/>
          </w:tcPr>
          <w:p w14:paraId="79D55424">
            <w:pPr>
              <w:pStyle w:val="53"/>
              <w:spacing w:before="117" w:line="308" w:lineRule="auto"/>
              <w:ind w:left="118" w:right="111" w:firstLine="484"/>
              <w:jc w:val="both"/>
              <w:rPr>
                <w:rFonts w:hint="eastAsia" w:ascii="宋体" w:hAnsi="宋体" w:eastAsia="宋体" w:cs="宋体"/>
                <w:color w:val="auto"/>
                <w:highlight w:val="none"/>
              </w:rPr>
            </w:pPr>
            <w:r>
              <w:rPr>
                <w:rFonts w:hint="eastAsia" w:ascii="宋体" w:hAnsi="宋体" w:eastAsia="宋体" w:cs="宋体"/>
                <w:color w:val="auto"/>
                <w:spacing w:val="4"/>
                <w:highlight w:val="none"/>
              </w:rPr>
              <w:t>结合本次城市体检和城市更新</w:t>
            </w:r>
            <w:r>
              <w:rPr>
                <w:rFonts w:hint="eastAsia" w:cs="Times New Roman"/>
                <w:color w:val="auto"/>
                <w:highlight w:val="none"/>
                <w:u w:val="none"/>
                <w:lang w:eastAsia="zh-CN"/>
              </w:rPr>
              <w:t>行动方案</w:t>
            </w:r>
            <w:r>
              <w:rPr>
                <w:rFonts w:hint="eastAsia" w:ascii="宋体" w:hAnsi="宋体" w:eastAsia="宋体" w:cs="宋体"/>
                <w:color w:val="auto"/>
                <w:spacing w:val="4"/>
                <w:highlight w:val="none"/>
                <w:lang w:val="en-US" w:eastAsia="zh-CN"/>
              </w:rPr>
              <w:t>编制</w:t>
            </w:r>
            <w:r>
              <w:rPr>
                <w:rFonts w:hint="eastAsia" w:ascii="宋体" w:hAnsi="宋体" w:eastAsia="宋体" w:cs="宋体"/>
                <w:color w:val="auto"/>
                <w:spacing w:val="4"/>
                <w:highlight w:val="none"/>
              </w:rPr>
              <w:t>的要求，提出本次工作框架思路、技术路线、技术</w:t>
            </w:r>
            <w:r>
              <w:rPr>
                <w:rFonts w:hint="eastAsia" w:ascii="宋体" w:hAnsi="宋体" w:eastAsia="宋体" w:cs="宋体"/>
                <w:color w:val="auto"/>
                <w:spacing w:val="-4"/>
                <w:highlight w:val="none"/>
              </w:rPr>
              <w:t>方法。</w:t>
            </w:r>
          </w:p>
          <w:p w14:paraId="34676FF9">
            <w:pPr>
              <w:pStyle w:val="53"/>
              <w:spacing w:before="117" w:line="308" w:lineRule="auto"/>
              <w:ind w:left="118" w:right="111" w:firstLine="484"/>
              <w:jc w:val="both"/>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框架思路清晰合理，技术路线和技术方法得当，得</w:t>
            </w:r>
            <w:r>
              <w:rPr>
                <w:rFonts w:hint="eastAsia" w:ascii="宋体" w:hAnsi="宋体" w:eastAsia="宋体" w:cs="宋体"/>
                <w:color w:val="auto"/>
                <w:spacing w:val="4"/>
                <w:highlight w:val="none"/>
                <w:lang w:val="en-US" w:eastAsia="zh-CN"/>
              </w:rPr>
              <w:t>5</w:t>
            </w:r>
            <w:r>
              <w:rPr>
                <w:rFonts w:hint="eastAsia" w:ascii="宋体" w:hAnsi="宋体" w:eastAsia="宋体" w:cs="宋体"/>
                <w:color w:val="auto"/>
                <w:spacing w:val="4"/>
                <w:highlight w:val="none"/>
              </w:rPr>
              <w:t>分；</w:t>
            </w:r>
          </w:p>
          <w:p w14:paraId="558ECD7D">
            <w:pPr>
              <w:pStyle w:val="53"/>
              <w:spacing w:before="117" w:line="308" w:lineRule="auto"/>
              <w:ind w:left="118" w:right="111" w:firstLine="484"/>
              <w:jc w:val="both"/>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框架思路合理 ，技术路线和技术方法一般，得</w:t>
            </w:r>
            <w:r>
              <w:rPr>
                <w:rFonts w:hint="eastAsia" w:ascii="宋体" w:hAnsi="宋体" w:eastAsia="宋体" w:cs="宋体"/>
                <w:color w:val="auto"/>
                <w:spacing w:val="4"/>
                <w:highlight w:val="none"/>
                <w:lang w:val="en-US" w:eastAsia="zh-CN"/>
              </w:rPr>
              <w:t>4</w:t>
            </w:r>
            <w:r>
              <w:rPr>
                <w:rFonts w:hint="eastAsia" w:ascii="宋体" w:hAnsi="宋体" w:eastAsia="宋体" w:cs="宋体"/>
                <w:color w:val="auto"/>
                <w:spacing w:val="4"/>
                <w:highlight w:val="none"/>
              </w:rPr>
              <w:t>分；</w:t>
            </w:r>
          </w:p>
          <w:p w14:paraId="74CC47FE">
            <w:pPr>
              <w:pStyle w:val="53"/>
              <w:spacing w:before="117" w:line="308" w:lineRule="auto"/>
              <w:ind w:left="118" w:right="111" w:firstLine="484"/>
              <w:jc w:val="both"/>
              <w:rPr>
                <w:rFonts w:hint="eastAsia" w:ascii="宋体" w:hAnsi="宋体" w:eastAsia="宋体" w:cs="宋体"/>
                <w:color w:val="auto"/>
                <w:sz w:val="24"/>
                <w:szCs w:val="20"/>
                <w:highlight w:val="none"/>
              </w:rPr>
            </w:pPr>
            <w:r>
              <w:rPr>
                <w:rFonts w:hint="eastAsia" w:ascii="宋体" w:hAnsi="宋体" w:eastAsia="宋体" w:cs="宋体"/>
                <w:color w:val="auto"/>
                <w:spacing w:val="4"/>
                <w:highlight w:val="none"/>
              </w:rPr>
              <w:t>框架思路欠合理，技术路线和技术方法较差，得</w:t>
            </w:r>
            <w:r>
              <w:rPr>
                <w:rFonts w:hint="eastAsia" w:ascii="宋体" w:hAnsi="宋体" w:eastAsia="宋体" w:cs="宋体"/>
                <w:color w:val="auto"/>
                <w:spacing w:val="4"/>
                <w:highlight w:val="none"/>
                <w:lang w:val="en-US" w:eastAsia="zh-CN"/>
              </w:rPr>
              <w:t>3</w:t>
            </w:r>
            <w:r>
              <w:rPr>
                <w:rFonts w:hint="eastAsia" w:ascii="宋体" w:hAnsi="宋体" w:eastAsia="宋体" w:cs="宋体"/>
                <w:color w:val="auto"/>
                <w:spacing w:val="4"/>
                <w:highlight w:val="none"/>
              </w:rPr>
              <w:t xml:space="preserve"> 分；未提供的，不得分。</w:t>
            </w:r>
          </w:p>
        </w:tc>
      </w:tr>
      <w:tr w14:paraId="48717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7" w:hRule="atLeast"/>
          <w:jc w:val="center"/>
        </w:trPr>
        <w:tc>
          <w:tcPr>
            <w:tcW w:w="739" w:type="dxa"/>
            <w:vMerge w:val="continue"/>
            <w:vAlign w:val="center"/>
          </w:tcPr>
          <w:p w14:paraId="47750A68">
            <w:pPr>
              <w:widowControl/>
              <w:spacing w:line="360" w:lineRule="auto"/>
              <w:jc w:val="left"/>
              <w:rPr>
                <w:rFonts w:hint="eastAsia" w:ascii="宋体" w:hAnsi="宋体" w:eastAsia="宋体" w:cs="宋体"/>
                <w:color w:val="auto"/>
                <w:sz w:val="24"/>
                <w:szCs w:val="24"/>
                <w:highlight w:val="none"/>
              </w:rPr>
            </w:pPr>
          </w:p>
        </w:tc>
        <w:tc>
          <w:tcPr>
            <w:tcW w:w="1380" w:type="dxa"/>
            <w:tcBorders>
              <w:top w:val="single" w:color="auto" w:sz="4" w:space="0"/>
              <w:bottom w:val="single" w:color="auto" w:sz="4" w:space="0"/>
            </w:tcBorders>
            <w:vAlign w:val="center"/>
          </w:tcPr>
          <w:p w14:paraId="758369CD">
            <w:pPr>
              <w:widowControl/>
              <w:spacing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城市体检</w:t>
            </w:r>
            <w:r>
              <w:rPr>
                <w:rFonts w:hint="eastAsia" w:ascii="宋体" w:hAnsi="宋体" w:eastAsia="宋体" w:cs="宋体"/>
                <w:color w:val="auto"/>
                <w:spacing w:val="-3"/>
                <w:sz w:val="24"/>
                <w:szCs w:val="24"/>
                <w:highlight w:val="none"/>
                <w:lang w:val="en-US" w:eastAsia="zh-CN"/>
              </w:rPr>
              <w:t>工作方案</w:t>
            </w:r>
            <w:r>
              <w:rPr>
                <w:rFonts w:hint="eastAsia" w:ascii="宋体" w:hAnsi="宋体" w:eastAsia="宋体" w:cs="宋体"/>
                <w:color w:val="auto"/>
                <w:spacing w:val="-9"/>
                <w:sz w:val="24"/>
                <w:szCs w:val="24"/>
                <w:highlight w:val="none"/>
              </w:rPr>
              <w:t>（1</w:t>
            </w:r>
            <w:r>
              <w:rPr>
                <w:rFonts w:hint="eastAsia" w:ascii="宋体" w:hAnsi="宋体" w:eastAsia="宋体" w:cs="宋体"/>
                <w:color w:val="auto"/>
                <w:spacing w:val="-9"/>
                <w:sz w:val="24"/>
                <w:szCs w:val="24"/>
                <w:highlight w:val="none"/>
                <w:lang w:val="en-US" w:eastAsia="zh-CN"/>
              </w:rPr>
              <w:t>5</w:t>
            </w:r>
            <w:r>
              <w:rPr>
                <w:rFonts w:hint="eastAsia" w:ascii="宋体" w:hAnsi="宋体" w:eastAsia="宋体" w:cs="宋体"/>
                <w:color w:val="auto"/>
                <w:spacing w:val="-9"/>
                <w:sz w:val="24"/>
                <w:szCs w:val="24"/>
                <w:highlight w:val="none"/>
              </w:rPr>
              <w:t>分）</w:t>
            </w:r>
          </w:p>
        </w:tc>
        <w:tc>
          <w:tcPr>
            <w:tcW w:w="795" w:type="dxa"/>
            <w:tcBorders>
              <w:top w:val="single" w:color="auto" w:sz="4" w:space="0"/>
              <w:bottom w:val="single" w:color="auto" w:sz="4" w:space="0"/>
            </w:tcBorders>
            <w:vAlign w:val="center"/>
          </w:tcPr>
          <w:p w14:paraId="2F6ED296">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7"/>
                <w:highlight w:val="none"/>
              </w:rPr>
              <w:t>1</w:t>
            </w:r>
            <w:r>
              <w:rPr>
                <w:rFonts w:hint="eastAsia" w:ascii="宋体" w:hAnsi="宋体" w:eastAsia="宋体" w:cs="宋体"/>
                <w:color w:val="auto"/>
                <w:spacing w:val="-7"/>
                <w:highlight w:val="none"/>
                <w:lang w:val="en-US" w:eastAsia="zh-CN"/>
              </w:rPr>
              <w:t>5</w:t>
            </w:r>
          </w:p>
        </w:tc>
        <w:tc>
          <w:tcPr>
            <w:tcW w:w="6535" w:type="dxa"/>
            <w:tcBorders>
              <w:top w:val="single" w:color="auto" w:sz="4" w:space="0"/>
              <w:bottom w:val="single" w:color="auto" w:sz="4" w:space="0"/>
            </w:tcBorders>
            <w:vAlign w:val="center"/>
          </w:tcPr>
          <w:p w14:paraId="0FBB15F1">
            <w:pPr>
              <w:pStyle w:val="53"/>
              <w:spacing w:before="3" w:line="307" w:lineRule="auto"/>
              <w:ind w:left="118" w:right="111" w:firstLine="481"/>
              <w:jc w:val="both"/>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按照城市体检要求制定工作方案，方案体现服务城市体检工作的调查问卷样式、座谈方案、实地调研方案、数据采集方式及途径、各类清单样式等内容、组织方法、进度安排。</w:t>
            </w:r>
          </w:p>
          <w:p w14:paraId="7B5D73B1">
            <w:pPr>
              <w:pStyle w:val="53"/>
              <w:spacing w:before="3" w:line="307" w:lineRule="auto"/>
              <w:ind w:left="118" w:right="111" w:firstLine="481"/>
              <w:jc w:val="both"/>
              <w:rPr>
                <w:rFonts w:hint="eastAsia" w:ascii="宋体" w:hAnsi="宋体" w:eastAsia="宋体" w:cs="宋体"/>
                <w:color w:val="auto"/>
                <w:highlight w:val="none"/>
                <w:lang w:val="en-US" w:eastAsia="zh-CN"/>
              </w:rPr>
            </w:pPr>
            <w:r>
              <w:rPr>
                <w:rFonts w:hint="eastAsia" w:ascii="宋体" w:hAnsi="宋体" w:eastAsia="宋体" w:cs="宋体"/>
                <w:color w:val="auto"/>
                <w:spacing w:val="4"/>
                <w:highlight w:val="none"/>
                <w:lang w:val="en-US" w:eastAsia="zh-CN"/>
              </w:rPr>
              <w:t>服务体检工作的内容体现</w:t>
            </w:r>
            <w:r>
              <w:rPr>
                <w:rFonts w:hint="eastAsia" w:ascii="宋体" w:hAnsi="宋体" w:eastAsia="宋体" w:cs="宋体"/>
                <w:color w:val="auto"/>
                <w:spacing w:val="4"/>
                <w:highlight w:val="none"/>
              </w:rPr>
              <w:t>全面</w:t>
            </w:r>
            <w:r>
              <w:rPr>
                <w:rFonts w:hint="eastAsia" w:ascii="宋体" w:hAnsi="宋体" w:eastAsia="宋体" w:cs="宋体"/>
                <w:color w:val="auto"/>
                <w:spacing w:val="4"/>
                <w:highlight w:val="none"/>
                <w:lang w:val="en-US" w:eastAsia="zh-CN"/>
              </w:rPr>
              <w:t>清晰</w:t>
            </w:r>
            <w:r>
              <w:rPr>
                <w:rFonts w:hint="eastAsia" w:ascii="宋体" w:hAnsi="宋体" w:eastAsia="宋体" w:cs="宋体"/>
                <w:color w:val="auto"/>
                <w:spacing w:val="4"/>
                <w:highlight w:val="none"/>
              </w:rPr>
              <w:t>，</w:t>
            </w:r>
            <w:r>
              <w:rPr>
                <w:rFonts w:hint="eastAsia" w:ascii="宋体" w:hAnsi="宋体" w:eastAsia="宋体" w:cs="宋体"/>
                <w:color w:val="auto"/>
                <w:spacing w:val="7"/>
                <w:highlight w:val="none"/>
                <w:lang w:val="en-US" w:eastAsia="zh-CN"/>
              </w:rPr>
              <w:t>方法科学可行，进度安排合理，</w:t>
            </w:r>
            <w:r>
              <w:rPr>
                <w:rFonts w:hint="eastAsia" w:ascii="宋体" w:hAnsi="宋体" w:eastAsia="宋体" w:cs="宋体"/>
                <w:color w:val="auto"/>
                <w:spacing w:val="7"/>
                <w:highlight w:val="none"/>
              </w:rPr>
              <w:t>得</w:t>
            </w:r>
            <w:r>
              <w:rPr>
                <w:rFonts w:hint="eastAsia" w:ascii="宋体" w:hAnsi="宋体" w:eastAsia="宋体" w:cs="宋体"/>
                <w:color w:val="auto"/>
                <w:spacing w:val="7"/>
                <w:highlight w:val="none"/>
                <w:lang w:val="en-US" w:eastAsia="zh-CN"/>
              </w:rPr>
              <w:t>15</w:t>
            </w:r>
            <w:r>
              <w:rPr>
                <w:rFonts w:hint="eastAsia" w:ascii="宋体" w:hAnsi="宋体" w:eastAsia="宋体" w:cs="宋体"/>
                <w:color w:val="auto"/>
                <w:spacing w:val="-6"/>
                <w:highlight w:val="none"/>
              </w:rPr>
              <w:t>分</w:t>
            </w:r>
            <w:r>
              <w:rPr>
                <w:rFonts w:hint="eastAsia" w:ascii="宋体" w:hAnsi="宋体" w:eastAsia="宋体" w:cs="宋体"/>
                <w:color w:val="auto"/>
                <w:spacing w:val="-6"/>
                <w:highlight w:val="none"/>
                <w:lang w:val="en-US" w:eastAsia="zh-CN"/>
              </w:rPr>
              <w:t>；</w:t>
            </w:r>
          </w:p>
          <w:p w14:paraId="33114E2A">
            <w:pPr>
              <w:pStyle w:val="53"/>
              <w:spacing w:before="3" w:line="307" w:lineRule="auto"/>
              <w:ind w:left="118" w:right="111" w:firstLine="481"/>
              <w:jc w:val="both"/>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服务体检工作的内容体现较全面清晰，方法较得当，进度安排较合理，得13分；</w:t>
            </w:r>
          </w:p>
          <w:p w14:paraId="39662243">
            <w:pPr>
              <w:pStyle w:val="53"/>
              <w:spacing w:before="3" w:line="307" w:lineRule="auto"/>
              <w:ind w:left="118" w:right="111" w:firstLine="481"/>
              <w:jc w:val="both"/>
              <w:rPr>
                <w:rFonts w:hint="eastAsia" w:ascii="宋体" w:hAnsi="宋体" w:eastAsia="宋体" w:cs="宋体"/>
                <w:color w:val="auto"/>
                <w:spacing w:val="-1"/>
                <w:highlight w:val="none"/>
              </w:rPr>
            </w:pPr>
            <w:r>
              <w:rPr>
                <w:rFonts w:hint="eastAsia" w:ascii="宋体" w:hAnsi="宋体" w:eastAsia="宋体" w:cs="宋体"/>
                <w:color w:val="auto"/>
                <w:spacing w:val="4"/>
                <w:highlight w:val="none"/>
                <w:lang w:val="en-US" w:eastAsia="zh-CN"/>
              </w:rPr>
              <w:t>服务体检工作的内容体现较少，方法单一，进度安排与工作开展要求不匹配，得11分；未开展的，不得分。</w:t>
            </w:r>
          </w:p>
        </w:tc>
      </w:tr>
      <w:tr w14:paraId="609F1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8" w:hRule="atLeast"/>
          <w:jc w:val="center"/>
        </w:trPr>
        <w:tc>
          <w:tcPr>
            <w:tcW w:w="739" w:type="dxa"/>
            <w:vMerge w:val="continue"/>
            <w:vAlign w:val="center"/>
          </w:tcPr>
          <w:p w14:paraId="1A9CA6BD">
            <w:pPr>
              <w:widowControl/>
              <w:spacing w:line="360" w:lineRule="auto"/>
              <w:jc w:val="left"/>
              <w:rPr>
                <w:rFonts w:hint="eastAsia" w:ascii="宋体" w:hAnsi="宋体" w:eastAsia="宋体" w:cs="宋体"/>
                <w:color w:val="auto"/>
                <w:sz w:val="24"/>
                <w:szCs w:val="24"/>
                <w:highlight w:val="none"/>
              </w:rPr>
            </w:pPr>
          </w:p>
        </w:tc>
        <w:tc>
          <w:tcPr>
            <w:tcW w:w="1380" w:type="dxa"/>
            <w:tcBorders>
              <w:top w:val="single" w:color="auto" w:sz="4" w:space="0"/>
            </w:tcBorders>
            <w:vAlign w:val="center"/>
          </w:tcPr>
          <w:p w14:paraId="329B667B">
            <w:pPr>
              <w:widowControl/>
              <w:spacing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更新</w:t>
            </w:r>
            <w:r>
              <w:rPr>
                <w:rFonts w:hint="eastAsia" w:ascii="宋体" w:hAnsi="宋体" w:eastAsia="宋体" w:cs="宋体"/>
                <w:color w:val="auto"/>
                <w:spacing w:val="-3"/>
                <w:sz w:val="24"/>
                <w:szCs w:val="24"/>
                <w:highlight w:val="none"/>
                <w:lang w:val="en-US" w:eastAsia="zh-CN"/>
              </w:rPr>
              <w:t>行动方案编制工作</w:t>
            </w:r>
            <w:r>
              <w:rPr>
                <w:rFonts w:hint="eastAsia" w:ascii="宋体" w:hAnsi="宋体" w:eastAsia="宋体" w:cs="宋体"/>
                <w:color w:val="auto"/>
                <w:spacing w:val="-3"/>
                <w:sz w:val="24"/>
                <w:szCs w:val="24"/>
                <w:highlight w:val="none"/>
              </w:rPr>
              <w:t>方</w:t>
            </w:r>
            <w:r>
              <w:rPr>
                <w:rFonts w:hint="eastAsia" w:ascii="宋体" w:hAnsi="宋体" w:eastAsia="宋体" w:cs="宋体"/>
                <w:color w:val="auto"/>
                <w:spacing w:val="-7"/>
                <w:sz w:val="24"/>
                <w:szCs w:val="24"/>
                <w:highlight w:val="none"/>
              </w:rPr>
              <w:t>案（1</w:t>
            </w:r>
            <w:r>
              <w:rPr>
                <w:rFonts w:hint="eastAsia" w:ascii="宋体" w:hAnsi="宋体" w:eastAsia="宋体" w:cs="宋体"/>
                <w:color w:val="auto"/>
                <w:spacing w:val="-7"/>
                <w:sz w:val="24"/>
                <w:szCs w:val="24"/>
                <w:highlight w:val="none"/>
                <w:lang w:val="en-US" w:eastAsia="zh-CN"/>
              </w:rPr>
              <w:t>5</w:t>
            </w:r>
            <w:r>
              <w:rPr>
                <w:rFonts w:hint="eastAsia" w:ascii="宋体" w:hAnsi="宋体" w:eastAsia="宋体" w:cs="宋体"/>
                <w:color w:val="auto"/>
                <w:spacing w:val="-7"/>
                <w:sz w:val="24"/>
                <w:szCs w:val="24"/>
                <w:highlight w:val="none"/>
              </w:rPr>
              <w:t>分）</w:t>
            </w:r>
          </w:p>
        </w:tc>
        <w:tc>
          <w:tcPr>
            <w:tcW w:w="795" w:type="dxa"/>
            <w:tcBorders>
              <w:top w:val="single" w:color="auto" w:sz="4" w:space="0"/>
            </w:tcBorders>
            <w:vAlign w:val="center"/>
          </w:tcPr>
          <w:p w14:paraId="3D4E95AD">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7"/>
                <w:highlight w:val="none"/>
              </w:rPr>
              <w:t>1</w:t>
            </w:r>
            <w:r>
              <w:rPr>
                <w:rFonts w:hint="eastAsia" w:ascii="宋体" w:hAnsi="宋体" w:eastAsia="宋体" w:cs="宋体"/>
                <w:color w:val="auto"/>
                <w:spacing w:val="-7"/>
                <w:highlight w:val="none"/>
                <w:lang w:val="en-US" w:eastAsia="zh-CN"/>
              </w:rPr>
              <w:t>5</w:t>
            </w:r>
          </w:p>
        </w:tc>
        <w:tc>
          <w:tcPr>
            <w:tcW w:w="6535" w:type="dxa"/>
            <w:tcBorders>
              <w:top w:val="single" w:color="auto" w:sz="4" w:space="0"/>
            </w:tcBorders>
            <w:vAlign w:val="center"/>
          </w:tcPr>
          <w:p w14:paraId="76D45CB7">
            <w:pPr>
              <w:pStyle w:val="53"/>
              <w:spacing w:before="3" w:line="307" w:lineRule="auto"/>
              <w:ind w:left="118" w:right="111" w:firstLine="481"/>
              <w:jc w:val="both"/>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按照城市更新</w:t>
            </w:r>
            <w:r>
              <w:rPr>
                <w:rFonts w:hint="eastAsia" w:cs="Times New Roman"/>
                <w:color w:val="auto"/>
                <w:highlight w:val="none"/>
                <w:u w:val="none"/>
                <w:lang w:eastAsia="zh-CN"/>
              </w:rPr>
              <w:t>行动方案</w:t>
            </w:r>
            <w:r>
              <w:rPr>
                <w:rFonts w:hint="eastAsia" w:ascii="宋体" w:hAnsi="宋体" w:eastAsia="宋体" w:cs="宋体"/>
                <w:color w:val="auto"/>
                <w:spacing w:val="4"/>
                <w:highlight w:val="none"/>
                <w:lang w:val="en-US" w:eastAsia="zh-CN"/>
              </w:rPr>
              <w:t>编制要求制定工作方案，方案体现确定</w:t>
            </w:r>
            <w:r>
              <w:rPr>
                <w:rFonts w:hint="eastAsia" w:cs="宋体"/>
                <w:color w:val="auto"/>
                <w:spacing w:val="4"/>
                <w:highlight w:val="none"/>
                <w:lang w:val="en-US" w:eastAsia="zh-CN"/>
              </w:rPr>
              <w:t>行动</w:t>
            </w:r>
            <w:r>
              <w:rPr>
                <w:rFonts w:hint="eastAsia" w:ascii="宋体" w:hAnsi="宋体" w:eastAsia="宋体" w:cs="宋体"/>
                <w:color w:val="auto"/>
                <w:spacing w:val="4"/>
                <w:highlight w:val="none"/>
                <w:lang w:val="en-US" w:eastAsia="zh-CN"/>
              </w:rPr>
              <w:t>目标定位方法、更新片区划定依据、任务分配方式、项目库生成路径、进度安排。</w:t>
            </w:r>
          </w:p>
          <w:p w14:paraId="441C99C0">
            <w:pPr>
              <w:pStyle w:val="53"/>
              <w:spacing w:before="3" w:line="307" w:lineRule="auto"/>
              <w:ind w:left="118" w:right="111" w:firstLine="481"/>
              <w:jc w:val="both"/>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总体目标定位方法科学，更新片区划定依据充分，任务分配原则清晰，项目库生成路径可行，进度安排合理，得15分；</w:t>
            </w:r>
          </w:p>
          <w:p w14:paraId="18FCFAE5">
            <w:pPr>
              <w:pStyle w:val="53"/>
              <w:spacing w:before="3" w:line="307" w:lineRule="auto"/>
              <w:ind w:left="118" w:right="111" w:firstLine="481"/>
              <w:jc w:val="both"/>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总体目标定位方法较科学，更新片区划定依据较充分，任务分配原则，项目库生成路径较可行，进度安排较合理，得13分；</w:t>
            </w:r>
          </w:p>
          <w:p w14:paraId="13FBC4B5">
            <w:pPr>
              <w:pStyle w:val="53"/>
              <w:spacing w:before="3" w:line="307" w:lineRule="auto"/>
              <w:ind w:left="118" w:right="111" w:firstLine="481"/>
              <w:jc w:val="both"/>
              <w:rPr>
                <w:rFonts w:hint="eastAsia" w:ascii="宋体" w:hAnsi="宋体" w:eastAsia="宋体" w:cs="宋体"/>
                <w:color w:val="auto"/>
                <w:spacing w:val="-1"/>
                <w:highlight w:val="none"/>
              </w:rPr>
            </w:pPr>
            <w:r>
              <w:rPr>
                <w:rFonts w:hint="eastAsia" w:ascii="宋体" w:hAnsi="宋体" w:eastAsia="宋体" w:cs="宋体"/>
                <w:color w:val="auto"/>
                <w:spacing w:val="4"/>
                <w:highlight w:val="none"/>
                <w:lang w:val="en-US" w:eastAsia="zh-CN"/>
              </w:rPr>
              <w:t>总体目标定位方法单一，更新片区划定依据牵强，任务分配原则不明晰，项目库生成路径矛盾，进度安排与工作开展要求不匹配，得 11分；未提供的，不得分。</w:t>
            </w:r>
          </w:p>
        </w:tc>
      </w:tr>
      <w:tr w14:paraId="5C605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0" w:hRule="atLeast"/>
          <w:jc w:val="center"/>
        </w:trPr>
        <w:tc>
          <w:tcPr>
            <w:tcW w:w="739" w:type="dxa"/>
            <w:vMerge w:val="continue"/>
            <w:vAlign w:val="center"/>
          </w:tcPr>
          <w:p w14:paraId="7F0779AF">
            <w:pPr>
              <w:widowControl/>
              <w:spacing w:line="360" w:lineRule="auto"/>
              <w:jc w:val="left"/>
              <w:rPr>
                <w:rFonts w:hint="eastAsia" w:ascii="宋体" w:hAnsi="宋体" w:eastAsia="宋体" w:cs="宋体"/>
                <w:color w:val="auto"/>
                <w:sz w:val="24"/>
                <w:szCs w:val="24"/>
                <w:highlight w:val="none"/>
              </w:rPr>
            </w:pPr>
          </w:p>
        </w:tc>
        <w:tc>
          <w:tcPr>
            <w:tcW w:w="1380" w:type="dxa"/>
            <w:vAlign w:val="center"/>
          </w:tcPr>
          <w:p w14:paraId="2E5D7D39">
            <w:pPr>
              <w:widowControl/>
              <w:spacing w:line="560" w:lineRule="exact"/>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质量保证措施、进度保障措施及后续服务（5分）</w:t>
            </w:r>
          </w:p>
        </w:tc>
        <w:tc>
          <w:tcPr>
            <w:tcW w:w="795" w:type="dxa"/>
            <w:vAlign w:val="center"/>
          </w:tcPr>
          <w:p w14:paraId="0131B180">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w:t>
            </w:r>
          </w:p>
        </w:tc>
        <w:tc>
          <w:tcPr>
            <w:tcW w:w="6535" w:type="dxa"/>
            <w:vAlign w:val="center"/>
          </w:tcPr>
          <w:p w14:paraId="0D5D6948">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质量保证措施、进度保障措施得当，后续服务响应充分，得</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分；</w:t>
            </w:r>
          </w:p>
          <w:p w14:paraId="015C20ED">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质量保证措施、进度保障措施一般，后续服务响应一般，得</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分；</w:t>
            </w:r>
          </w:p>
          <w:p w14:paraId="470DF426">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质量保证措施、进度保障措施较差，后续服务响应较差，得</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分；未提供的，不得分。</w:t>
            </w:r>
          </w:p>
        </w:tc>
      </w:tr>
      <w:tr w14:paraId="557BB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dxa"/>
            <w:vMerge w:val="restart"/>
            <w:vAlign w:val="center"/>
          </w:tcPr>
          <w:p w14:paraId="71DE0F8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商务评分（45分）</w:t>
            </w:r>
          </w:p>
        </w:tc>
        <w:tc>
          <w:tcPr>
            <w:tcW w:w="1380" w:type="dxa"/>
            <w:vMerge w:val="restart"/>
            <w:vAlign w:val="center"/>
          </w:tcPr>
          <w:p w14:paraId="02B3A795">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项目组组成</w:t>
            </w:r>
            <w:r>
              <w:rPr>
                <w:rFonts w:hint="eastAsia" w:ascii="宋体" w:hAnsi="宋体" w:eastAsia="宋体" w:cs="宋体"/>
                <w:color w:val="auto"/>
                <w:sz w:val="24"/>
                <w:szCs w:val="24"/>
                <w:highlight w:val="none"/>
                <w:lang w:bidi="ar"/>
              </w:rPr>
              <w:t>人员</w:t>
            </w:r>
          </w:p>
          <w:p w14:paraId="2A75B063">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26</w:t>
            </w:r>
            <w:r>
              <w:rPr>
                <w:rFonts w:hint="eastAsia" w:ascii="宋体" w:hAnsi="宋体" w:eastAsia="宋体" w:cs="宋体"/>
                <w:color w:val="auto"/>
                <w:sz w:val="24"/>
                <w:szCs w:val="24"/>
                <w:highlight w:val="none"/>
                <w:lang w:bidi="ar"/>
              </w:rPr>
              <w:t>分）</w:t>
            </w:r>
          </w:p>
        </w:tc>
        <w:tc>
          <w:tcPr>
            <w:tcW w:w="795" w:type="dxa"/>
            <w:vAlign w:val="center"/>
          </w:tcPr>
          <w:p w14:paraId="026D5CE3">
            <w:pPr>
              <w:widowControl/>
              <w:spacing w:line="360" w:lineRule="auto"/>
              <w:jc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8</w:t>
            </w:r>
          </w:p>
        </w:tc>
        <w:tc>
          <w:tcPr>
            <w:tcW w:w="6535" w:type="dxa"/>
            <w:vAlign w:val="center"/>
          </w:tcPr>
          <w:p w14:paraId="7B1DF2A3">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1.项目负责人</w:t>
            </w:r>
          </w:p>
          <w:p w14:paraId="381001EE">
            <w:pPr>
              <w:widowControl/>
              <w:spacing w:line="40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项目负责人具备</w:t>
            </w:r>
            <w:r>
              <w:rPr>
                <w:rFonts w:hint="eastAsia" w:ascii="宋体" w:hAnsi="宋体" w:eastAsia="宋体" w:cs="宋体"/>
                <w:color w:val="auto"/>
                <w:sz w:val="24"/>
                <w:szCs w:val="20"/>
                <w:highlight w:val="none"/>
                <w:lang w:val="en-US" w:eastAsia="zh-CN"/>
              </w:rPr>
              <w:t>正</w:t>
            </w:r>
            <w:r>
              <w:rPr>
                <w:rFonts w:hint="eastAsia" w:ascii="宋体" w:hAnsi="宋体" w:eastAsia="宋体" w:cs="宋体"/>
                <w:color w:val="auto"/>
                <w:sz w:val="24"/>
                <w:szCs w:val="20"/>
                <w:highlight w:val="none"/>
              </w:rPr>
              <w:t>高级职称得</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分，具备</w:t>
            </w:r>
            <w:r>
              <w:rPr>
                <w:rFonts w:hint="eastAsia" w:ascii="宋体" w:hAnsi="宋体" w:eastAsia="宋体" w:cs="宋体"/>
                <w:color w:val="auto"/>
                <w:sz w:val="24"/>
                <w:szCs w:val="20"/>
                <w:highlight w:val="none"/>
                <w:lang w:val="en-US" w:eastAsia="zh-CN"/>
              </w:rPr>
              <w:t>副</w:t>
            </w:r>
            <w:r>
              <w:rPr>
                <w:rFonts w:hint="eastAsia" w:ascii="宋体" w:hAnsi="宋体" w:eastAsia="宋体" w:cs="宋体"/>
                <w:color w:val="auto"/>
                <w:sz w:val="24"/>
                <w:szCs w:val="20"/>
                <w:highlight w:val="none"/>
              </w:rPr>
              <w:t>高级职称得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w:t>
            </w:r>
            <w:r>
              <w:rPr>
                <w:rFonts w:hint="eastAsia" w:ascii="宋体" w:hAnsi="宋体" w:eastAsia="宋体" w:cs="宋体"/>
                <w:color w:val="auto"/>
                <w:sz w:val="24"/>
                <w:szCs w:val="20"/>
                <w:highlight w:val="none"/>
                <w:lang w:val="en-US" w:eastAsia="zh-CN"/>
              </w:rPr>
              <w:t>具备</w:t>
            </w:r>
            <w:r>
              <w:rPr>
                <w:rFonts w:hint="eastAsia" w:ascii="宋体" w:hAnsi="宋体" w:eastAsia="宋体" w:cs="宋体"/>
                <w:color w:val="auto"/>
                <w:sz w:val="24"/>
                <w:szCs w:val="20"/>
                <w:highlight w:val="none"/>
              </w:rPr>
              <w:t>中级职称得1分；兼有</w:t>
            </w:r>
            <w:r>
              <w:rPr>
                <w:rFonts w:hint="eastAsia" w:ascii="宋体" w:hAnsi="宋体" w:eastAsia="宋体" w:cs="宋体"/>
                <w:color w:val="auto"/>
                <w:sz w:val="24"/>
                <w:szCs w:val="20"/>
                <w:highlight w:val="none"/>
                <w:lang w:val="en-US" w:eastAsia="zh-CN"/>
              </w:rPr>
              <w:t>在有效期内的</w:t>
            </w:r>
            <w:r>
              <w:rPr>
                <w:rFonts w:hint="eastAsia" w:ascii="宋体" w:hAnsi="宋体" w:eastAsia="宋体" w:cs="宋体"/>
                <w:color w:val="auto"/>
                <w:sz w:val="24"/>
                <w:szCs w:val="20"/>
                <w:highlight w:val="none"/>
              </w:rPr>
              <w:t>注册城</w:t>
            </w:r>
            <w:r>
              <w:rPr>
                <w:rFonts w:hint="eastAsia" w:ascii="宋体" w:hAnsi="宋体" w:eastAsia="宋体" w:cs="宋体"/>
                <w:color w:val="auto"/>
                <w:sz w:val="24"/>
                <w:szCs w:val="20"/>
                <w:highlight w:val="none"/>
                <w:lang w:val="en-US" w:eastAsia="zh-CN"/>
              </w:rPr>
              <w:t>市（</w:t>
            </w:r>
            <w:r>
              <w:rPr>
                <w:rFonts w:hint="eastAsia" w:ascii="宋体" w:hAnsi="宋体" w:eastAsia="宋体" w:cs="宋体"/>
                <w:color w:val="auto"/>
                <w:sz w:val="24"/>
                <w:szCs w:val="20"/>
                <w:highlight w:val="none"/>
              </w:rPr>
              <w:t>乡</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 xml:space="preserve">规划师证书得2分。 </w:t>
            </w:r>
            <w:r>
              <w:rPr>
                <w:rFonts w:hint="eastAsia" w:ascii="宋体" w:hAnsi="宋体" w:eastAsia="宋体" w:cs="宋体"/>
                <w:color w:val="auto"/>
                <w:sz w:val="24"/>
                <w:szCs w:val="20"/>
                <w:highlight w:val="none"/>
                <w:lang w:val="en-US" w:eastAsia="zh-CN"/>
              </w:rPr>
              <w:t>最高得5分。</w:t>
            </w:r>
          </w:p>
          <w:p w14:paraId="2CE27828">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项目负责人2022年1月至今</w:t>
            </w:r>
            <w:r>
              <w:rPr>
                <w:rFonts w:hint="eastAsia" w:ascii="宋体" w:hAnsi="宋体" w:eastAsia="宋体" w:cs="宋体"/>
                <w:color w:val="auto"/>
                <w:sz w:val="24"/>
                <w:szCs w:val="20"/>
                <w:highlight w:val="none"/>
              </w:rPr>
              <w:t>（以合同签订时间为准）</w:t>
            </w:r>
            <w:r>
              <w:rPr>
                <w:rFonts w:hint="eastAsia" w:ascii="宋体" w:hAnsi="宋体" w:eastAsia="宋体" w:cs="宋体"/>
                <w:bCs/>
                <w:color w:val="auto"/>
                <w:sz w:val="24"/>
                <w:szCs w:val="24"/>
                <w:highlight w:val="none"/>
              </w:rPr>
              <w:t>所承担的</w:t>
            </w:r>
            <w:r>
              <w:rPr>
                <w:rFonts w:hint="eastAsia" w:ascii="宋体" w:hAnsi="宋体" w:eastAsia="宋体" w:cs="宋体"/>
                <w:color w:val="auto"/>
                <w:sz w:val="24"/>
                <w:szCs w:val="24"/>
                <w:highlight w:val="none"/>
              </w:rPr>
              <w:t>类似</w:t>
            </w:r>
            <w:r>
              <w:rPr>
                <w:rFonts w:hint="eastAsia" w:ascii="宋体" w:hAnsi="宋体" w:eastAsia="宋体" w:cs="宋体"/>
                <w:bCs/>
                <w:color w:val="auto"/>
                <w:sz w:val="24"/>
                <w:szCs w:val="24"/>
                <w:highlight w:val="none"/>
              </w:rPr>
              <w:t>项目业绩获得市级及以上的行政主管部门颁发的奖项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国家级有一项得3分，省级</w:t>
            </w:r>
            <w:r>
              <w:rPr>
                <w:rFonts w:hint="eastAsia" w:ascii="宋体" w:hAnsi="宋体" w:eastAsia="宋体" w:cs="宋体"/>
                <w:bCs/>
                <w:color w:val="auto"/>
                <w:sz w:val="24"/>
                <w:szCs w:val="24"/>
                <w:highlight w:val="none"/>
              </w:rPr>
              <w:t>有一项得2分，</w:t>
            </w:r>
            <w:r>
              <w:rPr>
                <w:rFonts w:hint="eastAsia" w:ascii="宋体" w:hAnsi="宋体" w:eastAsia="宋体" w:cs="宋体"/>
                <w:bCs/>
                <w:color w:val="auto"/>
                <w:sz w:val="24"/>
                <w:szCs w:val="24"/>
                <w:highlight w:val="none"/>
                <w:lang w:val="en-US" w:eastAsia="zh-CN"/>
              </w:rPr>
              <w:t>市级得1分，</w:t>
            </w:r>
            <w:r>
              <w:rPr>
                <w:rFonts w:hint="eastAsia" w:ascii="宋体" w:hAnsi="宋体" w:eastAsia="宋体" w:cs="宋体"/>
                <w:bCs/>
                <w:color w:val="auto"/>
                <w:sz w:val="24"/>
                <w:szCs w:val="24"/>
                <w:highlight w:val="none"/>
              </w:rPr>
              <w:t>最</w:t>
            </w:r>
            <w:r>
              <w:rPr>
                <w:rFonts w:hint="eastAsia" w:ascii="宋体" w:hAnsi="宋体" w:eastAsia="宋体" w:cs="宋体"/>
                <w:bCs/>
                <w:color w:val="auto"/>
                <w:sz w:val="24"/>
                <w:szCs w:val="24"/>
                <w:highlight w:val="none"/>
                <w:lang w:val="en-US" w:eastAsia="zh-CN"/>
              </w:rPr>
              <w:t>高</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分（提供证书复印件并加盖公章，未提供不得分）。</w:t>
            </w:r>
          </w:p>
          <w:p w14:paraId="08EE28A4">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本项最</w:t>
            </w:r>
            <w:r>
              <w:rPr>
                <w:rFonts w:hint="eastAsia" w:ascii="宋体" w:hAnsi="宋体" w:eastAsia="宋体" w:cs="宋体"/>
                <w:color w:val="auto"/>
                <w:sz w:val="24"/>
                <w:szCs w:val="20"/>
                <w:highlight w:val="none"/>
                <w:lang w:val="en-US" w:eastAsia="zh-CN"/>
              </w:rPr>
              <w:t>高</w:t>
            </w:r>
            <w:r>
              <w:rPr>
                <w:rFonts w:hint="eastAsia" w:ascii="宋体" w:hAnsi="宋体" w:eastAsia="宋体" w:cs="宋体"/>
                <w:color w:val="auto"/>
                <w:sz w:val="24"/>
                <w:szCs w:val="20"/>
                <w:highlight w:val="none"/>
              </w:rPr>
              <w:t>得</w:t>
            </w: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分。</w:t>
            </w:r>
          </w:p>
          <w:p w14:paraId="17B74DB6">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注：以提供证书复印件加盖单位公章和本单位为其缴纳的从202</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年</w:t>
            </w: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月至投标截止日当月其中的任意一个月的社保证明材料为准。未提供的，不得分。</w:t>
            </w:r>
          </w:p>
        </w:tc>
      </w:tr>
      <w:tr w14:paraId="0D813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dxa"/>
            <w:vMerge w:val="continue"/>
            <w:vAlign w:val="center"/>
          </w:tcPr>
          <w:p w14:paraId="63007F76">
            <w:pPr>
              <w:widowControl/>
              <w:spacing w:line="360" w:lineRule="auto"/>
              <w:jc w:val="left"/>
              <w:rPr>
                <w:rFonts w:hint="eastAsia" w:ascii="宋体" w:hAnsi="宋体" w:eastAsia="宋体" w:cs="宋体"/>
                <w:color w:val="auto"/>
                <w:sz w:val="24"/>
                <w:szCs w:val="24"/>
                <w:highlight w:val="none"/>
              </w:rPr>
            </w:pPr>
          </w:p>
        </w:tc>
        <w:tc>
          <w:tcPr>
            <w:tcW w:w="1380" w:type="dxa"/>
            <w:vMerge w:val="continue"/>
            <w:vAlign w:val="center"/>
          </w:tcPr>
          <w:p w14:paraId="3AAF4A7A">
            <w:pPr>
              <w:widowControl/>
              <w:spacing w:line="360" w:lineRule="auto"/>
              <w:jc w:val="center"/>
              <w:rPr>
                <w:rFonts w:hint="eastAsia" w:ascii="宋体" w:hAnsi="宋体" w:eastAsia="宋体" w:cs="宋体"/>
                <w:color w:val="auto"/>
                <w:sz w:val="24"/>
                <w:szCs w:val="24"/>
                <w:highlight w:val="none"/>
                <w:lang w:bidi="ar"/>
              </w:rPr>
            </w:pPr>
          </w:p>
        </w:tc>
        <w:tc>
          <w:tcPr>
            <w:tcW w:w="795" w:type="dxa"/>
            <w:vAlign w:val="center"/>
          </w:tcPr>
          <w:p w14:paraId="37CD2B4A">
            <w:pPr>
              <w:widowControl/>
              <w:spacing w:line="360" w:lineRule="auto"/>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18</w:t>
            </w:r>
          </w:p>
        </w:tc>
        <w:tc>
          <w:tcPr>
            <w:tcW w:w="6535" w:type="dxa"/>
            <w:vAlign w:val="center"/>
          </w:tcPr>
          <w:p w14:paraId="2874E6B1">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2.其他主要技术人员</w:t>
            </w:r>
          </w:p>
          <w:p w14:paraId="379CE3E2">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除项目负责人以外，拟投入本项目的其他项目组成员具有建筑、地理信息、市政、规划</w:t>
            </w:r>
            <w:r>
              <w:rPr>
                <w:rFonts w:hint="eastAsia" w:ascii="宋体" w:hAnsi="宋体" w:eastAsia="宋体" w:cs="宋体"/>
                <w:color w:val="auto"/>
                <w:sz w:val="24"/>
                <w:szCs w:val="20"/>
                <w:highlight w:val="none"/>
                <w:lang w:val="en-US" w:eastAsia="zh-CN"/>
              </w:rPr>
              <w:t>等其他可服务于城市体检、规划编制</w:t>
            </w:r>
            <w:r>
              <w:rPr>
                <w:rFonts w:hint="eastAsia" w:ascii="宋体" w:hAnsi="宋体" w:eastAsia="宋体" w:cs="宋体"/>
                <w:color w:val="auto"/>
                <w:sz w:val="24"/>
                <w:szCs w:val="20"/>
                <w:highlight w:val="none"/>
              </w:rPr>
              <w:t>专业高级职称的每个得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w:t>
            </w:r>
            <w:r>
              <w:rPr>
                <w:rFonts w:hint="eastAsia" w:ascii="宋体" w:hAnsi="宋体" w:eastAsia="宋体" w:cs="宋体"/>
                <w:color w:val="auto"/>
                <w:sz w:val="24"/>
                <w:szCs w:val="20"/>
                <w:highlight w:val="none"/>
                <w:lang w:val="en-US" w:eastAsia="zh-CN"/>
              </w:rPr>
              <w:t>中级职称的每个得1分，</w:t>
            </w:r>
            <w:r>
              <w:rPr>
                <w:rFonts w:hint="eastAsia" w:ascii="宋体" w:hAnsi="宋体" w:eastAsia="宋体" w:cs="宋体"/>
                <w:color w:val="auto"/>
                <w:sz w:val="24"/>
                <w:szCs w:val="20"/>
                <w:highlight w:val="none"/>
              </w:rPr>
              <w:t>最高得</w:t>
            </w:r>
            <w:r>
              <w:rPr>
                <w:rFonts w:hint="eastAsia" w:ascii="宋体" w:hAnsi="宋体" w:eastAsia="宋体" w:cs="宋体"/>
                <w:color w:val="auto"/>
                <w:sz w:val="24"/>
                <w:szCs w:val="20"/>
                <w:highlight w:val="none"/>
                <w:lang w:val="en-US" w:eastAsia="zh-CN"/>
              </w:rPr>
              <w:t>14</w:t>
            </w:r>
            <w:r>
              <w:rPr>
                <w:rFonts w:hint="eastAsia" w:ascii="宋体" w:hAnsi="宋体" w:eastAsia="宋体" w:cs="宋体"/>
                <w:color w:val="auto"/>
                <w:sz w:val="24"/>
                <w:szCs w:val="20"/>
                <w:highlight w:val="none"/>
              </w:rPr>
              <w:t>分。</w:t>
            </w:r>
          </w:p>
          <w:p w14:paraId="1F833BAD">
            <w:pPr>
              <w:widowControl/>
              <w:spacing w:line="400" w:lineRule="exact"/>
              <w:ind w:firstLine="480" w:firstLineChars="20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项目组成员</w:t>
            </w:r>
            <w:r>
              <w:rPr>
                <w:rFonts w:hint="eastAsia" w:ascii="宋体" w:hAnsi="宋体" w:eastAsia="宋体" w:cs="宋体"/>
                <w:color w:val="auto"/>
                <w:sz w:val="24"/>
                <w:szCs w:val="20"/>
                <w:highlight w:val="none"/>
              </w:rPr>
              <w:t>具有</w:t>
            </w:r>
            <w:r>
              <w:rPr>
                <w:rFonts w:hint="eastAsia" w:ascii="宋体" w:hAnsi="宋体" w:eastAsia="宋体" w:cs="宋体"/>
                <w:color w:val="auto"/>
                <w:sz w:val="24"/>
                <w:szCs w:val="20"/>
                <w:highlight w:val="none"/>
                <w:lang w:val="en-US" w:eastAsia="zh-CN"/>
              </w:rPr>
              <w:t>在有效期内的</w:t>
            </w:r>
            <w:r>
              <w:rPr>
                <w:rFonts w:hint="eastAsia" w:ascii="宋体" w:hAnsi="宋体" w:eastAsia="宋体" w:cs="宋体"/>
                <w:color w:val="auto"/>
                <w:sz w:val="24"/>
                <w:szCs w:val="20"/>
                <w:highlight w:val="none"/>
              </w:rPr>
              <w:t>注册城市（乡）规划师</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一级注册建筑师</w:t>
            </w:r>
            <w:r>
              <w:rPr>
                <w:rFonts w:hint="eastAsia" w:ascii="宋体" w:hAnsi="宋体" w:eastAsia="宋体" w:cs="宋体"/>
                <w:color w:val="auto"/>
                <w:sz w:val="24"/>
                <w:szCs w:val="20"/>
                <w:highlight w:val="none"/>
              </w:rPr>
              <w:t>证书的得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分，最高得</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分。</w:t>
            </w:r>
          </w:p>
          <w:p w14:paraId="499A8E4D">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注：同一人员</w:t>
            </w:r>
            <w:r>
              <w:rPr>
                <w:rFonts w:hint="eastAsia" w:ascii="宋体" w:hAnsi="宋体" w:eastAsia="宋体" w:cs="宋体"/>
                <w:color w:val="auto"/>
                <w:sz w:val="24"/>
                <w:szCs w:val="20"/>
                <w:highlight w:val="none"/>
                <w:lang w:val="en-US" w:eastAsia="zh-CN"/>
              </w:rPr>
              <w:t>多职称只计分一次，同一人员多注册证书</w:t>
            </w:r>
            <w:r>
              <w:rPr>
                <w:rFonts w:hint="eastAsia" w:ascii="宋体" w:hAnsi="宋体" w:eastAsia="宋体" w:cs="宋体"/>
                <w:color w:val="auto"/>
                <w:sz w:val="24"/>
                <w:szCs w:val="20"/>
                <w:highlight w:val="none"/>
              </w:rPr>
              <w:t>只</w:t>
            </w:r>
            <w:r>
              <w:rPr>
                <w:rFonts w:hint="eastAsia" w:ascii="宋体" w:hAnsi="宋体" w:eastAsia="宋体" w:cs="宋体"/>
                <w:color w:val="auto"/>
                <w:sz w:val="24"/>
                <w:szCs w:val="20"/>
                <w:highlight w:val="none"/>
                <w:lang w:val="en-US" w:eastAsia="zh-CN"/>
              </w:rPr>
              <w:t>计分1次</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同一人员职称与注册证书可兼得分</w:t>
            </w:r>
            <w:r>
              <w:rPr>
                <w:rFonts w:hint="eastAsia" w:ascii="宋体" w:hAnsi="宋体" w:eastAsia="宋体" w:cs="宋体"/>
                <w:color w:val="auto"/>
                <w:sz w:val="24"/>
                <w:szCs w:val="20"/>
                <w:highlight w:val="none"/>
              </w:rPr>
              <w:t>。以提供证书复印件加盖单位公章和本单位为其缴纳的从202</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年</w:t>
            </w: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月至投标截止日当月其中的任意一个月的社保证明材料为准。未提供的，不得分。</w:t>
            </w:r>
          </w:p>
        </w:tc>
      </w:tr>
      <w:tr w14:paraId="38ACC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dxa"/>
            <w:vMerge w:val="continue"/>
            <w:vAlign w:val="center"/>
          </w:tcPr>
          <w:p w14:paraId="2ED24DCE">
            <w:pPr>
              <w:widowControl/>
              <w:spacing w:line="360" w:lineRule="auto"/>
              <w:jc w:val="left"/>
              <w:rPr>
                <w:rFonts w:hint="eastAsia" w:ascii="宋体" w:hAnsi="宋体" w:eastAsia="宋体" w:cs="宋体"/>
                <w:color w:val="auto"/>
                <w:sz w:val="24"/>
                <w:szCs w:val="24"/>
                <w:highlight w:val="none"/>
              </w:rPr>
            </w:pPr>
          </w:p>
        </w:tc>
        <w:tc>
          <w:tcPr>
            <w:tcW w:w="1380" w:type="dxa"/>
            <w:vAlign w:val="center"/>
          </w:tcPr>
          <w:p w14:paraId="46CD4B44">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业绩</w:t>
            </w:r>
          </w:p>
          <w:p w14:paraId="5BA41901">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10</w:t>
            </w:r>
            <w:r>
              <w:rPr>
                <w:rFonts w:hint="eastAsia" w:ascii="宋体" w:hAnsi="宋体" w:eastAsia="宋体" w:cs="宋体"/>
                <w:color w:val="auto"/>
                <w:sz w:val="24"/>
                <w:szCs w:val="24"/>
                <w:highlight w:val="none"/>
                <w:lang w:bidi="ar"/>
              </w:rPr>
              <w:t>分）</w:t>
            </w:r>
          </w:p>
        </w:tc>
        <w:tc>
          <w:tcPr>
            <w:tcW w:w="795" w:type="dxa"/>
            <w:vAlign w:val="center"/>
          </w:tcPr>
          <w:p w14:paraId="633CA83D">
            <w:pPr>
              <w:widowControl/>
              <w:spacing w:line="360" w:lineRule="auto"/>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10</w:t>
            </w:r>
          </w:p>
        </w:tc>
        <w:tc>
          <w:tcPr>
            <w:tcW w:w="6535" w:type="dxa"/>
            <w:vAlign w:val="center"/>
          </w:tcPr>
          <w:p w14:paraId="4F54F8EB">
            <w:pPr>
              <w:widowControl/>
              <w:spacing w:line="400" w:lineRule="exact"/>
              <w:ind w:firstLine="480"/>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202</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年1月1日至今（以合同签订时间为准），投标人承担过城市体检</w:t>
            </w:r>
            <w:r>
              <w:rPr>
                <w:rFonts w:hint="eastAsia" w:ascii="宋体" w:hAnsi="宋体" w:eastAsia="宋体" w:cs="宋体"/>
                <w:color w:val="auto"/>
                <w:sz w:val="24"/>
                <w:szCs w:val="20"/>
                <w:highlight w:val="none"/>
                <w:lang w:val="en-US" w:eastAsia="zh-CN"/>
              </w:rPr>
              <w:t>相关类似项目</w:t>
            </w:r>
            <w:r>
              <w:rPr>
                <w:rFonts w:hint="eastAsia" w:ascii="宋体" w:hAnsi="宋体" w:eastAsia="宋体" w:cs="宋体"/>
                <w:color w:val="auto"/>
                <w:sz w:val="24"/>
                <w:szCs w:val="20"/>
                <w:highlight w:val="none"/>
              </w:rPr>
              <w:t>，每有一项得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分，最</w:t>
            </w:r>
            <w:r>
              <w:rPr>
                <w:rFonts w:hint="eastAsia" w:ascii="宋体" w:hAnsi="宋体" w:eastAsia="宋体" w:cs="宋体"/>
                <w:color w:val="auto"/>
                <w:sz w:val="24"/>
                <w:szCs w:val="20"/>
                <w:highlight w:val="none"/>
                <w:lang w:val="en-US" w:eastAsia="zh-CN"/>
              </w:rPr>
              <w:t>高</w:t>
            </w:r>
            <w:r>
              <w:rPr>
                <w:rFonts w:hint="eastAsia" w:ascii="宋体" w:hAnsi="宋体" w:eastAsia="宋体" w:cs="宋体"/>
                <w:color w:val="auto"/>
                <w:sz w:val="24"/>
                <w:szCs w:val="20"/>
                <w:highlight w:val="none"/>
              </w:rPr>
              <w:t>得</w:t>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分，未承担过不得分</w:t>
            </w:r>
            <w:r>
              <w:rPr>
                <w:rFonts w:hint="eastAsia" w:ascii="宋体" w:hAnsi="宋体" w:eastAsia="宋体" w:cs="宋体"/>
                <w:color w:val="auto"/>
                <w:sz w:val="24"/>
                <w:szCs w:val="20"/>
                <w:highlight w:val="none"/>
                <w:lang w:eastAsia="zh-CN"/>
              </w:rPr>
              <w:t>。</w:t>
            </w:r>
          </w:p>
          <w:p w14:paraId="7398B6D5">
            <w:pPr>
              <w:widowControl/>
              <w:spacing w:line="400" w:lineRule="exact"/>
              <w:ind w:firstLine="480"/>
              <w:jc w:val="left"/>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202</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年1月1日至今（以合同签订时间为准），投标人承担过城市更新规划相关</w:t>
            </w:r>
            <w:r>
              <w:rPr>
                <w:rFonts w:hint="eastAsia" w:ascii="宋体" w:hAnsi="宋体" w:eastAsia="宋体" w:cs="宋体"/>
                <w:color w:val="auto"/>
                <w:sz w:val="24"/>
                <w:szCs w:val="20"/>
                <w:highlight w:val="none"/>
                <w:lang w:val="en-US" w:eastAsia="zh-CN"/>
              </w:rPr>
              <w:t>类似</w:t>
            </w:r>
            <w:r>
              <w:rPr>
                <w:rFonts w:hint="eastAsia" w:ascii="宋体" w:hAnsi="宋体" w:eastAsia="宋体" w:cs="宋体"/>
                <w:color w:val="auto"/>
                <w:sz w:val="24"/>
                <w:szCs w:val="20"/>
                <w:highlight w:val="none"/>
              </w:rPr>
              <w:t>项目，每有一项得</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分，最</w:t>
            </w:r>
            <w:r>
              <w:rPr>
                <w:rFonts w:hint="eastAsia" w:ascii="宋体" w:hAnsi="宋体" w:eastAsia="宋体" w:cs="宋体"/>
                <w:color w:val="auto"/>
                <w:sz w:val="24"/>
                <w:szCs w:val="20"/>
                <w:highlight w:val="none"/>
                <w:lang w:val="en-US" w:eastAsia="zh-CN"/>
              </w:rPr>
              <w:t>高</w:t>
            </w:r>
            <w:r>
              <w:rPr>
                <w:rFonts w:hint="eastAsia" w:ascii="宋体" w:hAnsi="宋体" w:eastAsia="宋体" w:cs="宋体"/>
                <w:color w:val="auto"/>
                <w:sz w:val="24"/>
                <w:szCs w:val="20"/>
                <w:highlight w:val="none"/>
              </w:rPr>
              <w:t>得</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分，未承担过不得分</w:t>
            </w:r>
            <w:r>
              <w:rPr>
                <w:rFonts w:hint="eastAsia" w:ascii="宋体" w:hAnsi="宋体" w:eastAsia="宋体" w:cs="宋体"/>
                <w:color w:val="auto"/>
                <w:sz w:val="24"/>
                <w:szCs w:val="20"/>
                <w:highlight w:val="none"/>
                <w:lang w:eastAsia="zh-CN"/>
              </w:rPr>
              <w:t>。</w:t>
            </w:r>
          </w:p>
          <w:p w14:paraId="06854887">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w:t>
            </w:r>
            <w:r>
              <w:rPr>
                <w:rFonts w:hint="eastAsia" w:ascii="宋体" w:hAnsi="宋体" w:eastAsia="宋体" w:cs="宋体"/>
                <w:color w:val="auto"/>
                <w:sz w:val="24"/>
                <w:szCs w:val="20"/>
                <w:highlight w:val="none"/>
                <w:lang w:val="en-US" w:eastAsia="zh-CN"/>
              </w:rPr>
              <w:t>同一项目满足上述两项要求可同时计分，投标时需</w:t>
            </w:r>
            <w:r>
              <w:rPr>
                <w:rFonts w:hint="eastAsia" w:ascii="宋体" w:hAnsi="宋体" w:eastAsia="宋体" w:cs="宋体"/>
                <w:color w:val="auto"/>
                <w:sz w:val="24"/>
                <w:szCs w:val="20"/>
                <w:highlight w:val="none"/>
              </w:rPr>
              <w:t>提供业绩合同扫描件作为证明材料，否则不得分</w:t>
            </w:r>
            <w:r>
              <w:rPr>
                <w:rFonts w:hint="eastAsia" w:ascii="宋体" w:hAnsi="宋体" w:eastAsia="宋体" w:cs="宋体"/>
                <w:color w:val="auto"/>
                <w:sz w:val="24"/>
                <w:szCs w:val="20"/>
                <w:highlight w:val="none"/>
                <w:lang w:eastAsia="zh-CN"/>
              </w:rPr>
              <w:t>。</w:t>
            </w:r>
          </w:p>
        </w:tc>
      </w:tr>
      <w:tr w14:paraId="600C1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dxa"/>
            <w:vMerge w:val="continue"/>
            <w:vAlign w:val="center"/>
          </w:tcPr>
          <w:p w14:paraId="68D17405">
            <w:pPr>
              <w:widowControl/>
              <w:spacing w:line="360" w:lineRule="auto"/>
              <w:jc w:val="left"/>
              <w:rPr>
                <w:rFonts w:hint="eastAsia" w:ascii="宋体" w:hAnsi="宋体" w:eastAsia="宋体" w:cs="宋体"/>
                <w:color w:val="auto"/>
                <w:sz w:val="24"/>
                <w:szCs w:val="24"/>
                <w:highlight w:val="none"/>
              </w:rPr>
            </w:pPr>
          </w:p>
        </w:tc>
        <w:tc>
          <w:tcPr>
            <w:tcW w:w="1380" w:type="dxa"/>
            <w:vAlign w:val="center"/>
          </w:tcPr>
          <w:p w14:paraId="30A8B35C">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综合实力</w:t>
            </w:r>
          </w:p>
          <w:p w14:paraId="320238D2">
            <w:pPr>
              <w:widowControl/>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9</w:t>
            </w:r>
            <w:r>
              <w:rPr>
                <w:rFonts w:hint="eastAsia" w:ascii="宋体" w:hAnsi="宋体" w:eastAsia="宋体" w:cs="宋体"/>
                <w:color w:val="auto"/>
                <w:sz w:val="24"/>
                <w:szCs w:val="24"/>
                <w:highlight w:val="none"/>
                <w:lang w:bidi="ar"/>
              </w:rPr>
              <w:t>分）</w:t>
            </w:r>
          </w:p>
        </w:tc>
        <w:tc>
          <w:tcPr>
            <w:tcW w:w="795" w:type="dxa"/>
            <w:vAlign w:val="center"/>
          </w:tcPr>
          <w:p w14:paraId="49C6A9D6">
            <w:pPr>
              <w:widowControl/>
              <w:spacing w:line="360" w:lineRule="auto"/>
              <w:jc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0"/>
                <w:highlight w:val="none"/>
                <w:lang w:val="en-US" w:eastAsia="zh-CN"/>
              </w:rPr>
              <w:t>9</w:t>
            </w:r>
          </w:p>
        </w:tc>
        <w:tc>
          <w:tcPr>
            <w:tcW w:w="6535" w:type="dxa"/>
            <w:vAlign w:val="center"/>
          </w:tcPr>
          <w:p w14:paraId="5417A016">
            <w:pPr>
              <w:widowControl/>
              <w:spacing w:line="400" w:lineRule="exact"/>
              <w:ind w:firstLine="480"/>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投标人具有</w:t>
            </w:r>
            <w:r>
              <w:rPr>
                <w:rFonts w:hint="eastAsia" w:ascii="宋体" w:hAnsi="宋体" w:eastAsia="宋体" w:cs="宋体"/>
                <w:color w:val="auto"/>
                <w:sz w:val="24"/>
                <w:szCs w:val="20"/>
                <w:highlight w:val="none"/>
                <w:lang w:val="en-US" w:eastAsia="zh-CN"/>
              </w:rPr>
              <w:t>有效期内的</w:t>
            </w:r>
            <w:r>
              <w:rPr>
                <w:rFonts w:hint="eastAsia" w:ascii="宋体" w:hAnsi="宋体" w:eastAsia="宋体" w:cs="宋体"/>
                <w:color w:val="auto"/>
                <w:sz w:val="24"/>
                <w:szCs w:val="20"/>
                <w:highlight w:val="none"/>
              </w:rPr>
              <w:t>质量管理体系认证证书</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职业健康安全管理体系认证证书</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环境管理体系认证证书</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 xml:space="preserve">信息安全管理体系认证证书，每有一项得 1 分，本项最高得 </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分， 不提供的不得分</w:t>
            </w:r>
            <w:r>
              <w:rPr>
                <w:rFonts w:hint="eastAsia" w:ascii="宋体" w:hAnsi="宋体" w:eastAsia="宋体" w:cs="宋体"/>
                <w:color w:val="auto"/>
                <w:sz w:val="24"/>
                <w:szCs w:val="20"/>
                <w:highlight w:val="none"/>
                <w:lang w:eastAsia="zh-CN"/>
              </w:rPr>
              <w:t>。</w:t>
            </w:r>
          </w:p>
          <w:p w14:paraId="2C6CDEBA">
            <w:pPr>
              <w:widowControl/>
              <w:spacing w:line="40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注：提供证书复印件加盖单位公章。</w:t>
            </w:r>
          </w:p>
          <w:p w14:paraId="30E20080">
            <w:pPr>
              <w:widowControl/>
              <w:spacing w:line="40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2、2022年1月1日至今（以颁发时间为准），投标人承担过城市体检相关类似项目获得过市级及以上的行政主管部门颁发的奖项，国家级每有一项得3分，省级每有一项得2分，市级每有一项得1分，最高得3分；2022年1月1日至今（以颁发时间为准），投标人承担过</w:t>
            </w:r>
            <w:r>
              <w:rPr>
                <w:rFonts w:hint="eastAsia" w:ascii="宋体" w:hAnsi="宋体" w:eastAsia="宋体" w:cs="宋体"/>
                <w:color w:val="auto"/>
                <w:sz w:val="24"/>
                <w:szCs w:val="20"/>
                <w:highlight w:val="none"/>
              </w:rPr>
              <w:t>城市更新规划相关</w:t>
            </w:r>
            <w:r>
              <w:rPr>
                <w:rFonts w:hint="eastAsia" w:ascii="宋体" w:hAnsi="宋体" w:eastAsia="宋体" w:cs="宋体"/>
                <w:color w:val="auto"/>
                <w:sz w:val="24"/>
                <w:szCs w:val="20"/>
                <w:highlight w:val="none"/>
                <w:lang w:val="en-US" w:eastAsia="zh-CN"/>
              </w:rPr>
              <w:t>类似</w:t>
            </w:r>
            <w:r>
              <w:rPr>
                <w:rFonts w:hint="eastAsia" w:ascii="宋体" w:hAnsi="宋体" w:eastAsia="宋体" w:cs="宋体"/>
                <w:color w:val="auto"/>
                <w:sz w:val="24"/>
                <w:szCs w:val="20"/>
                <w:highlight w:val="none"/>
              </w:rPr>
              <w:t>项目</w:t>
            </w:r>
            <w:r>
              <w:rPr>
                <w:rFonts w:hint="eastAsia" w:ascii="宋体" w:hAnsi="宋体" w:eastAsia="宋体" w:cs="宋体"/>
                <w:color w:val="auto"/>
                <w:sz w:val="24"/>
                <w:szCs w:val="20"/>
                <w:highlight w:val="none"/>
                <w:lang w:val="en-US" w:eastAsia="zh-CN"/>
              </w:rPr>
              <w:t>获得过市级及以上的行政主管部门颁发的奖项，国家级每有一项得3分，省级每有一项得2分，市级每有一项得1分，最高得3分。</w:t>
            </w:r>
          </w:p>
          <w:p w14:paraId="19B99291">
            <w:pPr>
              <w:widowControl/>
              <w:spacing w:line="400" w:lineRule="exact"/>
              <w:ind w:firstLine="480"/>
              <w:jc w:val="left"/>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本项最高得6分。</w:t>
            </w:r>
          </w:p>
          <w:p w14:paraId="595CE9C6">
            <w:pPr>
              <w:widowControl/>
              <w:spacing w:line="40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注：</w:t>
            </w:r>
            <w:r>
              <w:rPr>
                <w:rFonts w:hint="eastAsia" w:ascii="宋体" w:hAnsi="宋体" w:eastAsia="宋体" w:cs="宋体"/>
                <w:color w:val="auto"/>
                <w:sz w:val="24"/>
                <w:szCs w:val="20"/>
                <w:highlight w:val="none"/>
                <w:lang w:val="en-US" w:eastAsia="zh-CN"/>
              </w:rPr>
              <w:t>同一项目满足上述两项要求可同时计分，投标时需</w:t>
            </w:r>
            <w:r>
              <w:rPr>
                <w:rFonts w:hint="eastAsia" w:ascii="宋体" w:hAnsi="宋体" w:eastAsia="宋体" w:cs="宋体"/>
                <w:color w:val="auto"/>
                <w:sz w:val="24"/>
                <w:szCs w:val="20"/>
                <w:highlight w:val="none"/>
              </w:rPr>
              <w:t>获奖</w:t>
            </w:r>
            <w:r>
              <w:rPr>
                <w:rFonts w:hint="eastAsia" w:ascii="宋体" w:hAnsi="宋体" w:eastAsia="宋体" w:cs="宋体"/>
                <w:color w:val="auto"/>
                <w:sz w:val="24"/>
                <w:szCs w:val="20"/>
                <w:highlight w:val="none"/>
                <w:lang w:val="en-US" w:eastAsia="zh-CN"/>
              </w:rPr>
              <w:t>证明材料</w:t>
            </w:r>
            <w:r>
              <w:rPr>
                <w:rFonts w:hint="eastAsia" w:ascii="宋体" w:hAnsi="宋体" w:eastAsia="宋体" w:cs="宋体"/>
                <w:color w:val="auto"/>
                <w:sz w:val="24"/>
                <w:szCs w:val="20"/>
                <w:highlight w:val="none"/>
              </w:rPr>
              <w:t>复印件并加盖公章，否则不得分。</w:t>
            </w:r>
          </w:p>
        </w:tc>
      </w:tr>
    </w:tbl>
    <w:p w14:paraId="445D7732">
      <w:pPr>
        <w:jc w:val="center"/>
        <w:rPr>
          <w:rFonts w:hint="default" w:ascii="Times New Roman" w:hAnsi="Times New Roman" w:cs="Times New Roman"/>
          <w:color w:val="auto"/>
          <w:highlight w:val="none"/>
        </w:rPr>
      </w:pPr>
    </w:p>
    <w:p w14:paraId="399906FD">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注：以上投标人提供的评分材料，需真实有效，中标后2个工作日内提供原件由采购人逐一核查材料的真实性，若经发现存在弄虚作假行为，取消中标人中标资格，同时追究其法律赔偿与责任。</w:t>
      </w:r>
    </w:p>
    <w:p w14:paraId="607140F3">
      <w:pPr>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br w:type="page"/>
      </w:r>
    </w:p>
    <w:p w14:paraId="6ED91C23">
      <w:pPr>
        <w:pStyle w:val="49"/>
        <w:numPr>
          <w:ilvl w:val="0"/>
          <w:numId w:val="62"/>
        </w:numPr>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投标文件格式 </w:t>
      </w:r>
    </w:p>
    <w:p w14:paraId="5DE60FAA">
      <w:pPr>
        <w:widowControl w:val="0"/>
        <w:spacing w:beforeAutospacing="0" w:afterAutospacing="0"/>
        <w:jc w:val="center"/>
        <w:outlineLvl w:val="9"/>
        <w:rPr>
          <w:rFonts w:hint="default" w:ascii="Times New Roman" w:hAnsi="Times New Roman" w:eastAsia="宋体" w:cs="Times New Roman"/>
          <w:b/>
          <w:color w:val="auto"/>
          <w:kern w:val="0"/>
          <w:sz w:val="72"/>
          <w:szCs w:val="72"/>
          <w:highlight w:val="none"/>
          <w:lang w:val="en-US" w:eastAsia="zh-CN" w:bidi="ar-SA"/>
        </w:rPr>
      </w:pPr>
      <w:bookmarkStart w:id="174" w:name="_Toc26554094"/>
      <w:bookmarkEnd w:id="174"/>
      <w:bookmarkStart w:id="175" w:name="_Hlt26671244"/>
      <w:bookmarkEnd w:id="175"/>
      <w:bookmarkStart w:id="176" w:name="_Hlt26955039"/>
      <w:bookmarkEnd w:id="176"/>
      <w:bookmarkStart w:id="177" w:name="_Toc120614282"/>
      <w:bookmarkStart w:id="178" w:name="_Toc49090576"/>
    </w:p>
    <w:p w14:paraId="36129105">
      <w:pPr>
        <w:widowControl w:val="0"/>
        <w:spacing w:beforeAutospacing="0" w:afterAutospacing="0"/>
        <w:jc w:val="center"/>
        <w:outlineLvl w:val="9"/>
        <w:rPr>
          <w:rFonts w:hint="default" w:ascii="Times New Roman" w:hAnsi="Times New Roman" w:eastAsia="宋体" w:cs="Times New Roman"/>
          <w:b/>
          <w:color w:val="auto"/>
          <w:kern w:val="0"/>
          <w:sz w:val="72"/>
          <w:szCs w:val="72"/>
          <w:highlight w:val="none"/>
          <w:lang w:val="en-US" w:eastAsia="zh-CN" w:bidi="ar-SA"/>
        </w:rPr>
      </w:pPr>
    </w:p>
    <w:p w14:paraId="56B19F88">
      <w:pPr>
        <w:widowControl w:val="0"/>
        <w:adjustRightInd w:val="0"/>
        <w:spacing w:before="100" w:after="100" w:line="240" w:lineRule="auto"/>
        <w:jc w:val="center"/>
        <w:outlineLvl w:val="0"/>
        <w:rPr>
          <w:rFonts w:hint="default" w:ascii="Times New Roman" w:hAnsi="Times New Roman" w:eastAsia="黑体" w:cs="Times New Roman"/>
          <w:color w:val="auto"/>
          <w:kern w:val="2"/>
          <w:sz w:val="52"/>
          <w:szCs w:val="52"/>
          <w:highlight w:val="none"/>
          <w:lang w:bidi="ar-SA"/>
        </w:rPr>
      </w:pPr>
      <w:r>
        <w:rPr>
          <w:rFonts w:hint="default" w:ascii="Times New Roman" w:hAnsi="Times New Roman" w:eastAsia="黑体" w:cs="Times New Roman"/>
          <w:color w:val="auto"/>
          <w:kern w:val="2"/>
          <w:sz w:val="52"/>
          <w:szCs w:val="52"/>
          <w:highlight w:val="none"/>
          <w:lang w:bidi="ar-SA"/>
        </w:rPr>
        <w:t>投  标  文  件</w:t>
      </w:r>
    </w:p>
    <w:p w14:paraId="567C6B4D">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4D493C40">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266BF702">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137CE618">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5B09C8C9">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58DBE0BA">
      <w:pPr>
        <w:widowControl w:val="0"/>
        <w:spacing w:beforeAutospacing="0" w:afterAutospacing="0"/>
        <w:ind w:firstLine="1084"/>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项目 名 称：</w:t>
      </w:r>
      <w:r>
        <w:rPr>
          <w:rFonts w:hint="default" w:ascii="Times New Roman" w:hAnsi="Times New Roman" w:eastAsia="宋体" w:cs="Times New Roman"/>
          <w:b/>
          <w:color w:val="auto"/>
          <w:kern w:val="0"/>
          <w:sz w:val="36"/>
          <w:szCs w:val="36"/>
          <w:highlight w:val="none"/>
          <w:u w:val="single"/>
          <w:lang w:val="en-US" w:eastAsia="zh-CN" w:bidi="ar-SA"/>
        </w:rPr>
        <w:t xml:space="preserve">               </w:t>
      </w:r>
    </w:p>
    <w:p w14:paraId="5E9D8A6D">
      <w:pPr>
        <w:widowControl w:val="0"/>
        <w:spacing w:beforeAutospacing="0" w:afterAutospacing="0"/>
        <w:ind w:firstLine="1084"/>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项目 编 号：</w:t>
      </w:r>
      <w:r>
        <w:rPr>
          <w:rFonts w:hint="default" w:ascii="Times New Roman" w:hAnsi="Times New Roman" w:eastAsia="宋体" w:cs="Times New Roman"/>
          <w:b/>
          <w:color w:val="auto"/>
          <w:kern w:val="0"/>
          <w:sz w:val="36"/>
          <w:szCs w:val="36"/>
          <w:highlight w:val="none"/>
          <w:u w:val="single"/>
          <w:lang w:val="en-US" w:eastAsia="zh-CN" w:bidi="ar-SA"/>
        </w:rPr>
        <w:t xml:space="preserve">               </w:t>
      </w:r>
    </w:p>
    <w:p w14:paraId="63597D06">
      <w:pPr>
        <w:widowControl w:val="0"/>
        <w:spacing w:beforeAutospacing="0" w:afterAutospacing="0"/>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   投标人名称 ：</w:t>
      </w:r>
      <w:r>
        <w:rPr>
          <w:rFonts w:hint="default" w:ascii="Times New Roman" w:hAnsi="Times New Roman" w:eastAsia="宋体" w:cs="Times New Roman"/>
          <w:b/>
          <w:color w:val="auto"/>
          <w:kern w:val="0"/>
          <w:sz w:val="36"/>
          <w:szCs w:val="36"/>
          <w:highlight w:val="none"/>
          <w:u w:val="single"/>
          <w:lang w:val="en-US" w:eastAsia="zh-CN" w:bidi="ar-SA"/>
        </w:rPr>
        <w:t xml:space="preserve">（加盖CA电子公章）        </w:t>
      </w:r>
    </w:p>
    <w:p w14:paraId="4C487FBE">
      <w:pPr>
        <w:widowControl w:val="0"/>
        <w:spacing w:beforeAutospacing="0" w:afterAutospacing="0"/>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  </w:t>
      </w:r>
      <w:r>
        <w:rPr>
          <w:rFonts w:hint="eastAsia" w:ascii="Times New Roman" w:hAnsi="Times New Roman" w:eastAsia="宋体" w:cs="Times New Roman"/>
          <w:b/>
          <w:color w:val="auto"/>
          <w:kern w:val="0"/>
          <w:sz w:val="36"/>
          <w:szCs w:val="36"/>
          <w:highlight w:val="none"/>
          <w:lang w:val="en-US" w:eastAsia="zh-CN" w:bidi="ar-SA"/>
        </w:rPr>
        <w:t xml:space="preserve">     </w:t>
      </w:r>
      <w:r>
        <w:rPr>
          <w:rFonts w:hint="default" w:ascii="Times New Roman" w:hAnsi="Times New Roman" w:eastAsia="宋体" w:cs="Times New Roman"/>
          <w:b/>
          <w:color w:val="auto"/>
          <w:kern w:val="0"/>
          <w:sz w:val="36"/>
          <w:szCs w:val="36"/>
          <w:highlight w:val="none"/>
          <w:lang w:val="en-US" w:eastAsia="zh-CN" w:bidi="ar-SA"/>
        </w:rPr>
        <w:t> 日   期 ：</w:t>
      </w:r>
      <w:r>
        <w:rPr>
          <w:rFonts w:hint="default" w:ascii="Times New Roman" w:hAnsi="Times New Roman" w:eastAsia="宋体" w:cs="Times New Roman"/>
          <w:b/>
          <w:color w:val="auto"/>
          <w:kern w:val="0"/>
          <w:sz w:val="36"/>
          <w:szCs w:val="36"/>
          <w:highlight w:val="none"/>
          <w:u w:val="single"/>
          <w:lang w:val="en-US" w:eastAsia="zh-CN" w:bidi="ar-SA"/>
        </w:rPr>
        <w:t>                     </w:t>
      </w:r>
    </w:p>
    <w:p w14:paraId="163E2FAD">
      <w:pPr>
        <w:widowControl w:val="0"/>
        <w:spacing w:beforeAutospacing="0" w:afterAutospacing="0" w:line="0" w:lineRule="atLeast"/>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49033232">
      <w:pPr>
        <w:widowControl w:val="0"/>
        <w:spacing w:beforeAutospacing="0" w:afterAutospacing="0" w:line="0" w:lineRule="atLeast"/>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53205827">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013F367D">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56D7C529">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6BC2A1CC">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68CF97D7">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1C50440D">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0A43C70B">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7E52F7E9">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7385157E">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6E2ADE94">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3D77E5BC">
      <w:pPr>
        <w:pStyle w:val="48"/>
        <w:rPr>
          <w:rFonts w:hint="default" w:ascii="Times New Roman" w:hAnsi="Times New Roman" w:cs="Times New Roman"/>
          <w:color w:val="auto"/>
          <w:highlight w:val="none"/>
        </w:rPr>
      </w:pPr>
      <w:r>
        <w:rPr>
          <w:rFonts w:hint="default" w:ascii="Times New Roman" w:hAnsi="Times New Roman" w:cs="Times New Roman"/>
          <w:color w:val="auto"/>
          <w:highlight w:val="none"/>
        </w:rPr>
        <w:t>投标文件目录</w:t>
      </w:r>
    </w:p>
    <w:p w14:paraId="15190CC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E265CB3">
      <w:pPr>
        <w:pStyle w:val="21"/>
        <w:numPr>
          <w:ilvl w:val="0"/>
          <w:numId w:val="0"/>
        </w:numPr>
        <w:topLinePunct w:val="0"/>
        <w:spacing w:beforeAutospacing="0" w:afterAutospacing="0"/>
        <w:ind w:left="0" w:leftChars="0" w:firstLine="480" w:firstLineChars="0"/>
        <w:jc w:val="both"/>
        <w:rPr>
          <w:rFonts w:hint="default" w:ascii="Times New Roman" w:hAnsi="Times New Roman" w:eastAsia="宋体" w:cs="Times New Roman"/>
          <w:b w:val="0"/>
          <w:i/>
          <w:color w:val="auto"/>
          <w:highlight w:val="none"/>
          <w:u w:val="single"/>
        </w:rPr>
      </w:pPr>
      <w:r>
        <w:rPr>
          <w:rFonts w:hint="eastAsia" w:ascii="Times New Roman" w:hAnsi="Times New Roman" w:eastAsia="宋体" w:cs="Times New Roman"/>
          <w:b w:val="0"/>
          <w:i/>
          <w:color w:val="auto"/>
          <w:kern w:val="0"/>
          <w:sz w:val="24"/>
          <w:szCs w:val="24"/>
          <w:highlight w:val="none"/>
          <w:lang w:val="en-US" w:eastAsia="zh-CN" w:bidi="ar-SA"/>
        </w:rPr>
        <w:t>一、</w:t>
      </w:r>
      <w:r>
        <w:rPr>
          <w:rFonts w:hint="default" w:ascii="Times New Roman" w:hAnsi="Times New Roman" w:eastAsia="宋体" w:cs="Times New Roman"/>
          <w:i/>
          <w:color w:val="auto"/>
          <w:highlight w:val="none"/>
          <w:u w:val="single"/>
        </w:rPr>
        <w:t>法人或者其他组织的营业执照等证明文件，自然人的身份证明</w:t>
      </w:r>
    </w:p>
    <w:p w14:paraId="328B68C3">
      <w:pPr>
        <w:pStyle w:val="21"/>
        <w:numPr>
          <w:ilvl w:val="0"/>
          <w:numId w:val="0"/>
        </w:numPr>
        <w:topLinePunct w:val="0"/>
        <w:spacing w:beforeAutospacing="0" w:afterAutospacing="0"/>
        <w:ind w:left="0" w:leftChars="0" w:firstLine="480" w:firstLineChars="0"/>
        <w:jc w:val="both"/>
        <w:rPr>
          <w:rFonts w:hint="default" w:ascii="Times New Roman" w:hAnsi="Times New Roman" w:eastAsia="宋体" w:cs="Times New Roman"/>
          <w:b w:val="0"/>
          <w:i/>
          <w:color w:val="auto"/>
          <w:highlight w:val="none"/>
          <w:u w:val="single"/>
        </w:rPr>
      </w:pPr>
      <w:r>
        <w:rPr>
          <w:rFonts w:hint="eastAsia" w:ascii="Times New Roman" w:hAnsi="Times New Roman" w:eastAsia="宋体" w:cs="Times New Roman"/>
          <w:b w:val="0"/>
          <w:i/>
          <w:color w:val="auto"/>
          <w:kern w:val="0"/>
          <w:sz w:val="24"/>
          <w:szCs w:val="24"/>
          <w:highlight w:val="none"/>
          <w:lang w:val="en-US" w:eastAsia="zh-CN" w:bidi="ar-SA"/>
        </w:rPr>
        <w:t>二、</w:t>
      </w:r>
      <w:r>
        <w:rPr>
          <w:rFonts w:hint="eastAsia" w:ascii="Times New Roman" w:hAnsi="Times New Roman" w:eastAsia="宋体" w:cs="Times New Roman"/>
          <w:i/>
          <w:color w:val="auto"/>
          <w:highlight w:val="none"/>
          <w:u w:val="single"/>
          <w:lang w:eastAsia="zh-CN"/>
        </w:rPr>
        <w:t>上一年度或上上年度的财务状况报告</w:t>
      </w:r>
      <w:r>
        <w:rPr>
          <w:rFonts w:hint="default" w:ascii="Times New Roman" w:hAnsi="Times New Roman" w:eastAsia="宋体" w:cs="Times New Roman"/>
          <w:i/>
          <w:color w:val="auto"/>
          <w:highlight w:val="none"/>
          <w:u w:val="single"/>
        </w:rPr>
        <w:t>（至少提供资产负债表、利润表、现金流量表，投标人成立不满一年无需提供）</w:t>
      </w:r>
    </w:p>
    <w:p w14:paraId="08B3E8E2">
      <w:pPr>
        <w:pStyle w:val="21"/>
        <w:numPr>
          <w:ilvl w:val="0"/>
          <w:numId w:val="0"/>
        </w:numPr>
        <w:topLinePunct w:val="0"/>
        <w:spacing w:beforeAutospacing="0" w:afterAutospacing="0"/>
        <w:ind w:left="0" w:leftChars="0" w:firstLine="480" w:firstLineChars="0"/>
        <w:jc w:val="both"/>
        <w:rPr>
          <w:rFonts w:hint="default" w:ascii="Times New Roman" w:hAnsi="Times New Roman" w:eastAsia="宋体" w:cs="Times New Roman"/>
          <w:b w:val="0"/>
          <w:i/>
          <w:color w:val="auto"/>
          <w:highlight w:val="none"/>
          <w:u w:val="single"/>
        </w:rPr>
      </w:pPr>
      <w:r>
        <w:rPr>
          <w:rFonts w:hint="eastAsia" w:ascii="Times New Roman" w:hAnsi="Times New Roman" w:eastAsia="宋体" w:cs="Times New Roman"/>
          <w:b w:val="0"/>
          <w:i/>
          <w:color w:val="auto"/>
          <w:kern w:val="0"/>
          <w:sz w:val="24"/>
          <w:szCs w:val="24"/>
          <w:highlight w:val="none"/>
          <w:lang w:val="en-US" w:eastAsia="zh-CN" w:bidi="ar-SA"/>
        </w:rPr>
        <w:t>三、</w:t>
      </w:r>
      <w:r>
        <w:rPr>
          <w:rFonts w:hint="default" w:ascii="Times New Roman" w:hAnsi="Times New Roman" w:eastAsia="宋体" w:cs="Times New Roman"/>
          <w:i/>
          <w:color w:val="auto"/>
          <w:highlight w:val="none"/>
          <w:u w:val="single"/>
        </w:rPr>
        <w:t>具备履行合同所必需的设备和专业技术能力的书面声明</w:t>
      </w:r>
    </w:p>
    <w:p w14:paraId="71460692">
      <w:pPr>
        <w:pStyle w:val="12"/>
        <w:numPr>
          <w:ilvl w:val="0"/>
          <w:numId w:val="0"/>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eastAsia" w:ascii="Times New Roman" w:hAnsi="Times New Roman" w:eastAsia="宋体" w:cs="Times New Roman"/>
          <w:b w:val="0"/>
          <w:i/>
          <w:color w:val="auto"/>
          <w:sz w:val="24"/>
          <w:highlight w:val="none"/>
        </w:rPr>
        <w:t>四、</w:t>
      </w:r>
      <w:r>
        <w:rPr>
          <w:rFonts w:hint="default" w:ascii="Times New Roman" w:hAnsi="Times New Roman" w:cs="Times New Roman"/>
          <w:i/>
          <w:color w:val="auto"/>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0E8FA5B1">
      <w:pPr>
        <w:pStyle w:val="12"/>
        <w:numPr>
          <w:ilvl w:val="0"/>
          <w:numId w:val="0"/>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eastAsia" w:ascii="Times New Roman" w:hAnsi="Times New Roman" w:eastAsia="宋体" w:cs="Times New Roman"/>
          <w:b w:val="0"/>
          <w:i/>
          <w:color w:val="auto"/>
          <w:sz w:val="24"/>
          <w:highlight w:val="none"/>
        </w:rPr>
        <w:t>五、</w:t>
      </w:r>
      <w:r>
        <w:rPr>
          <w:rFonts w:hint="default" w:ascii="Times New Roman" w:hAnsi="Times New Roman" w:cs="Times New Roman"/>
          <w:i/>
          <w:color w:val="auto"/>
          <w:highlight w:val="none"/>
          <w:u w:val="single"/>
        </w:rPr>
        <w:t>参加政府采购活动前 3 年内在经营活动中没有重大违法记录的书面声明</w:t>
      </w:r>
    </w:p>
    <w:p w14:paraId="2E2BA629">
      <w:pPr>
        <w:pStyle w:val="12"/>
        <w:numPr>
          <w:ilvl w:val="0"/>
          <w:numId w:val="0"/>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eastAsia" w:ascii="Times New Roman" w:hAnsi="Times New Roman" w:eastAsia="宋体" w:cs="Times New Roman"/>
          <w:b w:val="0"/>
          <w:i/>
          <w:color w:val="auto"/>
          <w:sz w:val="24"/>
          <w:highlight w:val="none"/>
        </w:rPr>
        <w:t>六、</w:t>
      </w:r>
      <w:r>
        <w:rPr>
          <w:rFonts w:hint="default" w:ascii="Times New Roman" w:hAnsi="Times New Roman" w:cs="Times New Roman"/>
          <w:i/>
          <w:color w:val="auto"/>
          <w:highlight w:val="none"/>
          <w:u w:val="single"/>
        </w:rPr>
        <w:t>特定资格要求的证明文件（如果本项目设置特定资格要求，则需要提供）</w:t>
      </w:r>
    </w:p>
    <w:p w14:paraId="7CAB76BD">
      <w:pPr>
        <w:pStyle w:val="12"/>
        <w:numPr>
          <w:ilvl w:val="0"/>
          <w:numId w:val="0"/>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eastAsia" w:ascii="Times New Roman" w:hAnsi="Times New Roman" w:eastAsia="宋体" w:cs="Times New Roman"/>
          <w:b w:val="0"/>
          <w:i/>
          <w:color w:val="auto"/>
          <w:sz w:val="24"/>
          <w:highlight w:val="none"/>
        </w:rPr>
        <w:t>七、</w:t>
      </w:r>
      <w:r>
        <w:rPr>
          <w:rFonts w:hint="default" w:ascii="Times New Roman" w:hAnsi="Times New Roman" w:cs="Times New Roman"/>
          <w:i/>
          <w:color w:val="auto"/>
          <w:highlight w:val="none"/>
          <w:u w:val="single"/>
        </w:rPr>
        <w:t>法人授权书</w:t>
      </w:r>
    </w:p>
    <w:p w14:paraId="21001ED9">
      <w:pPr>
        <w:pStyle w:val="12"/>
        <w:numPr>
          <w:ilvl w:val="0"/>
          <w:numId w:val="0"/>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eastAsia" w:ascii="Times New Roman" w:hAnsi="Times New Roman" w:eastAsia="宋体" w:cs="Times New Roman"/>
          <w:b w:val="0"/>
          <w:i/>
          <w:color w:val="auto"/>
          <w:sz w:val="24"/>
          <w:highlight w:val="none"/>
        </w:rPr>
        <w:t>八、</w:t>
      </w:r>
      <w:r>
        <w:rPr>
          <w:rFonts w:hint="default" w:ascii="Times New Roman" w:hAnsi="Times New Roman" w:cs="Times New Roman"/>
          <w:i/>
          <w:color w:val="auto"/>
          <w:highlight w:val="none"/>
          <w:u w:val="single"/>
        </w:rPr>
        <w:t>投标函</w:t>
      </w:r>
    </w:p>
    <w:p w14:paraId="21E14643">
      <w:pPr>
        <w:pStyle w:val="12"/>
        <w:numPr>
          <w:ilvl w:val="0"/>
          <w:numId w:val="0"/>
        </w:numPr>
        <w:tabs>
          <w:tab w:val="left" w:pos="960"/>
        </w:tabs>
        <w:ind w:left="0" w:leftChars="0" w:firstLine="480" w:firstLineChars="200"/>
        <w:rPr>
          <w:rFonts w:hint="default" w:ascii="Times New Roman" w:hAnsi="Times New Roman" w:cs="Times New Roman"/>
          <w:b w:val="0"/>
          <w:color w:val="auto"/>
          <w:highlight w:val="none"/>
        </w:rPr>
      </w:pPr>
      <w:r>
        <w:rPr>
          <w:rFonts w:hint="eastAsia" w:ascii="Times New Roman" w:hAnsi="Times New Roman" w:eastAsia="宋体" w:cs="Times New Roman"/>
          <w:b w:val="0"/>
          <w:color w:val="auto"/>
          <w:sz w:val="24"/>
          <w:highlight w:val="none"/>
        </w:rPr>
        <w:t>九、</w:t>
      </w:r>
      <w:r>
        <w:rPr>
          <w:rFonts w:hint="default" w:ascii="Times New Roman" w:hAnsi="Times New Roman" w:cs="Times New Roman"/>
          <w:color w:val="auto"/>
          <w:highlight w:val="none"/>
        </w:rPr>
        <w:t>中小企业声明函</w:t>
      </w:r>
    </w:p>
    <w:p w14:paraId="719F7EE9">
      <w:pPr>
        <w:pStyle w:val="12"/>
        <w:numPr>
          <w:ilvl w:val="0"/>
          <w:numId w:val="0"/>
        </w:numPr>
        <w:tabs>
          <w:tab w:val="left" w:pos="960"/>
        </w:tabs>
        <w:ind w:left="0" w:leftChars="0" w:firstLine="480" w:firstLineChars="200"/>
        <w:rPr>
          <w:rFonts w:hint="default" w:ascii="Times New Roman" w:hAnsi="Times New Roman" w:cs="Times New Roman"/>
          <w:b w:val="0"/>
          <w:color w:val="auto"/>
          <w:highlight w:val="none"/>
        </w:rPr>
      </w:pPr>
      <w:r>
        <w:rPr>
          <w:rFonts w:hint="eastAsia" w:ascii="Times New Roman" w:hAnsi="Times New Roman" w:eastAsia="宋体" w:cs="Times New Roman"/>
          <w:b w:val="0"/>
          <w:color w:val="auto"/>
          <w:sz w:val="24"/>
          <w:highlight w:val="none"/>
        </w:rPr>
        <w:t>十、</w:t>
      </w:r>
      <w:r>
        <w:rPr>
          <w:rFonts w:hint="default" w:ascii="Times New Roman" w:hAnsi="Times New Roman" w:cs="Times New Roman"/>
          <w:color w:val="auto"/>
          <w:highlight w:val="none"/>
        </w:rPr>
        <w:t>残疾人福利性单位声明函</w:t>
      </w:r>
    </w:p>
    <w:p w14:paraId="5A16B8B8">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十一、</w:t>
      </w:r>
      <w:r>
        <w:rPr>
          <w:rFonts w:hint="default" w:ascii="Times New Roman" w:hAnsi="Times New Roman" w:cs="Times New Roman"/>
          <w:i w:val="0"/>
          <w:color w:val="auto"/>
          <w:highlight w:val="none"/>
          <w:u w:val="none"/>
        </w:rPr>
        <w:t>关于符合本国产品标准的声明函</w:t>
      </w:r>
    </w:p>
    <w:p w14:paraId="36EABC97">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十二、</w:t>
      </w:r>
      <w:r>
        <w:rPr>
          <w:rFonts w:hint="default" w:ascii="Times New Roman" w:hAnsi="Times New Roman" w:cs="Times New Roman"/>
          <w:i w:val="0"/>
          <w:color w:val="auto"/>
          <w:highlight w:val="none"/>
          <w:u w:val="none"/>
        </w:rPr>
        <w:t>投标分项报价表</w:t>
      </w:r>
    </w:p>
    <w:p w14:paraId="260078DA">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w:t>
      </w:r>
      <w:r>
        <w:rPr>
          <w:rFonts w:hint="eastAsia" w:cs="Times New Roman"/>
          <w:b w:val="0"/>
          <w:i w:val="0"/>
          <w:color w:val="auto"/>
          <w:sz w:val="24"/>
          <w:highlight w:val="none"/>
          <w:lang w:val="en-US" w:eastAsia="zh-CN"/>
        </w:rPr>
        <w:t>三</w:t>
      </w:r>
      <w:r>
        <w:rPr>
          <w:rFonts w:hint="eastAsia" w:ascii="Times New Roman" w:hAnsi="Times New Roman" w:eastAsia="宋体" w:cs="Times New Roman"/>
          <w:b w:val="0"/>
          <w:i w:val="0"/>
          <w:color w:val="auto"/>
          <w:sz w:val="24"/>
          <w:highlight w:val="none"/>
        </w:rPr>
        <w:t>、</w:t>
      </w:r>
      <w:r>
        <w:rPr>
          <w:rFonts w:hint="default" w:ascii="Times New Roman" w:hAnsi="Times New Roman" w:cs="Times New Roman"/>
          <w:i w:val="0"/>
          <w:color w:val="auto"/>
          <w:highlight w:val="none"/>
          <w:u w:val="none"/>
        </w:rPr>
        <w:t>技术要求响应及偏离表</w:t>
      </w:r>
    </w:p>
    <w:p w14:paraId="7D69B72A">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w:t>
      </w:r>
      <w:r>
        <w:rPr>
          <w:rFonts w:hint="eastAsia" w:cs="Times New Roman"/>
          <w:b w:val="0"/>
          <w:i w:val="0"/>
          <w:color w:val="auto"/>
          <w:sz w:val="24"/>
          <w:highlight w:val="none"/>
          <w:lang w:val="en-US" w:eastAsia="zh-CN"/>
        </w:rPr>
        <w:t>四</w:t>
      </w:r>
      <w:r>
        <w:rPr>
          <w:rFonts w:hint="eastAsia" w:ascii="Times New Roman" w:hAnsi="Times New Roman" w:eastAsia="宋体" w:cs="Times New Roman"/>
          <w:b w:val="0"/>
          <w:i w:val="0"/>
          <w:color w:val="auto"/>
          <w:sz w:val="24"/>
          <w:highlight w:val="none"/>
        </w:rPr>
        <w:t>、</w:t>
      </w:r>
      <w:r>
        <w:rPr>
          <w:rFonts w:hint="default" w:ascii="Times New Roman" w:hAnsi="Times New Roman" w:cs="Times New Roman"/>
          <w:i w:val="0"/>
          <w:color w:val="auto"/>
          <w:highlight w:val="none"/>
          <w:u w:val="none"/>
        </w:rPr>
        <w:t>商务要求响应及偏离表</w:t>
      </w:r>
    </w:p>
    <w:p w14:paraId="48EFFF5A">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w:t>
      </w:r>
      <w:r>
        <w:rPr>
          <w:rFonts w:hint="eastAsia" w:cs="Times New Roman"/>
          <w:b w:val="0"/>
          <w:i w:val="0"/>
          <w:color w:val="auto"/>
          <w:sz w:val="24"/>
          <w:highlight w:val="none"/>
          <w:lang w:val="en-US" w:eastAsia="zh-CN"/>
        </w:rPr>
        <w:t>五</w:t>
      </w:r>
      <w:r>
        <w:rPr>
          <w:rFonts w:hint="eastAsia" w:ascii="Times New Roman" w:hAnsi="Times New Roman" w:eastAsia="宋体" w:cs="Times New Roman"/>
          <w:b w:val="0"/>
          <w:i w:val="0"/>
          <w:color w:val="auto"/>
          <w:sz w:val="24"/>
          <w:highlight w:val="none"/>
        </w:rPr>
        <w:t>、</w:t>
      </w:r>
      <w:r>
        <w:rPr>
          <w:rFonts w:hint="default" w:ascii="Times New Roman" w:hAnsi="Times New Roman" w:cs="Times New Roman"/>
          <w:i w:val="0"/>
          <w:color w:val="auto"/>
          <w:highlight w:val="none"/>
          <w:u w:val="none"/>
        </w:rPr>
        <w:t>开标一览表</w:t>
      </w:r>
    </w:p>
    <w:p w14:paraId="161CCAB1">
      <w:pPr>
        <w:pStyle w:val="12"/>
        <w:widowControl/>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w:t>
      </w:r>
      <w:r>
        <w:rPr>
          <w:rFonts w:hint="eastAsia" w:cs="Times New Roman"/>
          <w:b w:val="0"/>
          <w:i w:val="0"/>
          <w:color w:val="auto"/>
          <w:sz w:val="24"/>
          <w:highlight w:val="none"/>
          <w:lang w:val="en-US" w:eastAsia="zh-CN"/>
        </w:rPr>
        <w:t>六</w:t>
      </w:r>
      <w:r>
        <w:rPr>
          <w:rFonts w:hint="eastAsia" w:ascii="Times New Roman" w:hAnsi="Times New Roman" w:eastAsia="宋体" w:cs="Times New Roman"/>
          <w:b w:val="0"/>
          <w:i w:val="0"/>
          <w:color w:val="auto"/>
          <w:sz w:val="24"/>
          <w:highlight w:val="none"/>
        </w:rPr>
        <w:t>、</w:t>
      </w:r>
      <w:r>
        <w:rPr>
          <w:rFonts w:hint="default" w:ascii="Times New Roman" w:hAnsi="Times New Roman" w:cs="Times New Roman"/>
          <w:i w:val="0"/>
          <w:color w:val="auto"/>
          <w:highlight w:val="none"/>
          <w:u w:val="none"/>
        </w:rPr>
        <w:t>技术方案、服务承诺、培训承诺等</w:t>
      </w:r>
    </w:p>
    <w:p w14:paraId="138E25DE">
      <w:pPr>
        <w:pStyle w:val="12"/>
        <w:numPr>
          <w:ilvl w:val="0"/>
          <w:numId w:val="0"/>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eastAsia" w:ascii="Times New Roman" w:hAnsi="Times New Roman" w:eastAsia="宋体" w:cs="Times New Roman"/>
          <w:b w:val="0"/>
          <w:i w:val="0"/>
          <w:color w:val="auto"/>
          <w:sz w:val="24"/>
          <w:highlight w:val="none"/>
        </w:rPr>
        <w:t>十</w:t>
      </w:r>
      <w:r>
        <w:rPr>
          <w:rFonts w:hint="eastAsia" w:cs="Times New Roman"/>
          <w:b w:val="0"/>
          <w:i w:val="0"/>
          <w:color w:val="auto"/>
          <w:sz w:val="24"/>
          <w:highlight w:val="none"/>
          <w:lang w:val="en-US" w:eastAsia="zh-CN"/>
        </w:rPr>
        <w:t>七</w:t>
      </w:r>
      <w:r>
        <w:rPr>
          <w:rFonts w:hint="eastAsia" w:ascii="Times New Roman" w:hAnsi="Times New Roman" w:eastAsia="宋体" w:cs="Times New Roman"/>
          <w:b w:val="0"/>
          <w:i w:val="0"/>
          <w:color w:val="auto"/>
          <w:sz w:val="24"/>
          <w:highlight w:val="none"/>
        </w:rPr>
        <w:t>、</w:t>
      </w:r>
      <w:r>
        <w:rPr>
          <w:rFonts w:hint="default" w:ascii="Times New Roman" w:hAnsi="Times New Roman" w:cs="Times New Roman"/>
          <w:i w:val="0"/>
          <w:color w:val="auto"/>
          <w:highlight w:val="none"/>
          <w:u w:val="none"/>
        </w:rPr>
        <w:t>盐城市政府采购事前信用承诺书</w:t>
      </w:r>
    </w:p>
    <w:p w14:paraId="1779DF20">
      <w:pPr>
        <w:pStyle w:val="21"/>
        <w:spacing w:beforeAutospacing="0" w:afterAutospacing="0" w:line="0" w:lineRule="atLeast"/>
        <w:ind w:firstLine="480"/>
        <w:jc w:val="both"/>
        <w:rPr>
          <w:rFonts w:hint="default" w:ascii="Times New Roman" w:hAnsi="Times New Roman" w:eastAsia="宋体" w:cs="Times New Roman"/>
          <w:color w:val="auto"/>
          <w:highlight w:val="none"/>
        </w:rPr>
      </w:pPr>
    </w:p>
    <w:p w14:paraId="5903C966">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6632A8E">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EC0847A">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0FC6746">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3BB8FC6F">
      <w:pPr>
        <w:pStyle w:val="51"/>
        <w:numPr>
          <w:ilvl w:val="0"/>
          <w:numId w:val="63"/>
        </w:numPr>
        <w:tabs>
          <w:tab w:val="left" w:pos="1121"/>
        </w:tabs>
        <w:topLinePunct w:val="0"/>
        <w:ind w:left="0" w:leftChars="0" w:firstLine="482" w:firstLineChars="200"/>
        <w:outlineLvl w:val="0"/>
        <w:rPr>
          <w:rFonts w:hint="default" w:ascii="Times New Roman" w:hAnsi="Times New Roman" w:eastAsia="宋体" w:cs="Times New Roman"/>
          <w:b/>
          <w:color w:val="auto"/>
          <w:highlight w:val="none"/>
        </w:rPr>
      </w:pPr>
      <w:r>
        <w:rPr>
          <w:rFonts w:hint="default" w:ascii="Times New Roman" w:hAnsi="Times New Roman" w:cs="Times New Roman"/>
          <w:color w:val="auto"/>
          <w:highlight w:val="none"/>
          <w:u w:val="single"/>
        </w:rPr>
        <w:t>法人或者其他组织的营业执照等证明文件，自然人的身份证明</w:t>
      </w:r>
    </w:p>
    <w:p w14:paraId="4FB38960">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0A58CBD">
      <w:pPr>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br w:type="page"/>
      </w:r>
    </w:p>
    <w:p w14:paraId="22A166EE">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rPr>
      </w:pPr>
      <w:r>
        <w:rPr>
          <w:rFonts w:hint="eastAsia" w:ascii="Times New Roman" w:hAnsi="Times New Roman" w:cs="Times New Roman"/>
          <w:color w:val="auto"/>
          <w:highlight w:val="none"/>
          <w:u w:val="single"/>
          <w:lang w:eastAsia="zh-CN"/>
        </w:rPr>
        <w:t>上一年度或上上年度的财务状况报告</w:t>
      </w:r>
    </w:p>
    <w:p w14:paraId="786A257F">
      <w:pPr>
        <w:pStyle w:val="12"/>
        <w:ind w:left="0" w:leftChars="0" w:firstLine="480" w:firstLineChars="200"/>
        <w:rPr>
          <w:rFonts w:hint="default" w:ascii="Times New Roman" w:hAnsi="Times New Roman" w:cs="Times New Roman"/>
          <w:i/>
          <w:color w:val="auto"/>
          <w:highlight w:val="none"/>
          <w:u w:val="single"/>
        </w:rPr>
      </w:pPr>
      <w:r>
        <w:rPr>
          <w:rFonts w:hint="default" w:ascii="Times New Roman" w:hAnsi="Times New Roman" w:cs="Times New Roman"/>
          <w:i/>
          <w:color w:val="auto"/>
          <w:highlight w:val="none"/>
          <w:u w:val="single"/>
        </w:rPr>
        <w:t>（至少提供资产负债表、利润表、现金流量表，投标人成立不满一年无需提供）</w:t>
      </w:r>
    </w:p>
    <w:p w14:paraId="70E1D49A">
      <w:pPr>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br w:type="page"/>
      </w:r>
    </w:p>
    <w:p w14:paraId="34FEDEC4">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t>具备履行合同所必需的设备和专业技术能力的书面声明</w:t>
      </w:r>
    </w:p>
    <w:p w14:paraId="3E1CFC31">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我单位郑重声明：我单位具备履行本项采购合同所必需的设备和专业技术能力，为履行本项采购合同我公司具备如下主要设备和主要专业技术能力：</w:t>
      </w:r>
    </w:p>
    <w:p w14:paraId="6FB804B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主要设备有：</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w:t>
      </w:r>
    </w:p>
    <w:p w14:paraId="514EF44D">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主要专业技术能力有：</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w:t>
      </w:r>
    </w:p>
    <w:p w14:paraId="5EBA1ADC">
      <w:pPr>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br w:type="page"/>
      </w:r>
    </w:p>
    <w:p w14:paraId="1804CB82">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t>依法缴纳税收和社会保障资金的相关材料</w:t>
      </w:r>
    </w:p>
    <w:p w14:paraId="462B13A2">
      <w:pPr>
        <w:pStyle w:val="12"/>
        <w:ind w:left="0" w:leftChars="0" w:firstLine="480" w:firstLineChars="200"/>
        <w:rPr>
          <w:rFonts w:hint="default" w:ascii="Times New Roman" w:hAnsi="Times New Roman" w:cs="Times New Roman"/>
          <w:color w:val="auto"/>
          <w:highlight w:val="none"/>
        </w:rPr>
      </w:pPr>
      <w:bookmarkStart w:id="179" w:name="_Toc120614284"/>
      <w:r>
        <w:rPr>
          <w:rFonts w:hint="default" w:ascii="Times New Roman" w:hAnsi="Times New Roman" w:cs="Times New Roman"/>
          <w:color w:val="auto"/>
          <w:highlight w:val="none"/>
        </w:rPr>
        <w:t>提供提交投标文件截止时间前一年内至少一个月依法缴纳税收及缴纳社会保障资金的证明材料。投标人依法享受缓缴、免缴税收、社会保障资金的提供证明材料。</w:t>
      </w:r>
      <w:bookmarkEnd w:id="179"/>
    </w:p>
    <w:p w14:paraId="25A12A5F">
      <w:pPr>
        <w:rPr>
          <w:rFonts w:hint="default" w:ascii="Times New Roman" w:hAnsi="Times New Roman" w:cs="Times New Roman"/>
          <w:color w:val="auto"/>
          <w:highlight w:val="none"/>
          <w:u w:val="single"/>
        </w:rPr>
      </w:pPr>
      <w:r>
        <w:rPr>
          <w:rFonts w:hint="default" w:ascii="Times New Roman" w:hAnsi="Times New Roman" w:cs="Times New Roman"/>
          <w:color w:val="auto"/>
          <w:highlight w:val="none"/>
          <w:u w:val="single"/>
        </w:rPr>
        <w:br w:type="page"/>
      </w:r>
    </w:p>
    <w:p w14:paraId="399F01C8">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u w:val="single"/>
        </w:rPr>
        <w:t>参加政府采购活动前 3 年内在经营活动中没有重大违法记录的书面声明</w:t>
      </w:r>
    </w:p>
    <w:p w14:paraId="4E664B14">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CE2D667">
      <w:pPr>
        <w:pStyle w:val="50"/>
        <w:ind w:left="0" w:leftChars="0" w:firstLine="0" w:firstLineChars="0"/>
        <w:outlineLvl w:val="9"/>
        <w:rPr>
          <w:rFonts w:hint="default" w:ascii="Times New Roman" w:hAnsi="Times New Roman" w:cs="Times New Roman"/>
          <w:color w:val="auto"/>
          <w:highlight w:val="none"/>
        </w:rPr>
      </w:pPr>
      <w:r>
        <w:rPr>
          <w:rFonts w:hint="default" w:ascii="Times New Roman" w:hAnsi="Times New Roman" w:cs="Times New Roman"/>
          <w:color w:val="auto"/>
          <w:highlight w:val="none"/>
        </w:rPr>
        <w:t>声 明</w:t>
      </w:r>
    </w:p>
    <w:p w14:paraId="576C044A">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我单位郑重声明：参加本次政府采购活动前 3 年内，我单位在经营活动中没有因违法经营受到刑事处罚或者责令停产停业、吊销许可证或者执照、较大数额罚款等行政处罚。</w:t>
      </w:r>
    </w:p>
    <w:p w14:paraId="6BB59A96">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241E593">
      <w:pPr>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br w:type="page"/>
      </w:r>
    </w:p>
    <w:p w14:paraId="22CB6886">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t>特定资格要求的证明文件</w:t>
      </w:r>
    </w:p>
    <w:p w14:paraId="2E01792F">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如果本项目申请人的特定资格要求中要求提供的，必须提供。</w:t>
      </w:r>
    </w:p>
    <w:p w14:paraId="5084459D">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AB16DA7">
      <w:pPr>
        <w:pStyle w:val="21"/>
        <w:spacing w:beforeAutospacing="0" w:afterAutospacing="0"/>
        <w:jc w:val="center"/>
        <w:rPr>
          <w:rFonts w:hint="default" w:ascii="Times New Roman" w:hAnsi="Times New Roman" w:eastAsia="黑体" w:cs="Times New Roman"/>
          <w:i/>
          <w:color w:val="auto"/>
          <w:sz w:val="32"/>
          <w:szCs w:val="32"/>
          <w:highlight w:val="none"/>
          <w:u w:val="single"/>
        </w:rPr>
      </w:pPr>
    </w:p>
    <w:p w14:paraId="404E2016">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br w:type="page"/>
      </w:r>
    </w:p>
    <w:p w14:paraId="3E9B23E9">
      <w:pPr>
        <w:pStyle w:val="51"/>
        <w:numPr>
          <w:ilvl w:val="0"/>
          <w:numId w:val="63"/>
        </w:numPr>
        <w:tabs>
          <w:tab w:val="left" w:pos="1121"/>
        </w:tabs>
        <w:topLinePunct w:val="0"/>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法人授权书</w:t>
      </w:r>
    </w:p>
    <w:p w14:paraId="1A5940F3">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本授权书声明：____________（投标人名称）授权________________（被授权人的姓名）为我方就</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号项目采购活动的合法代理人，以本单位名义全权处理一切与该项目采购有关的事务。</w:t>
      </w:r>
    </w:p>
    <w:p w14:paraId="709404A9">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本授权书于______年____月____日起生效，特此声明。</w:t>
      </w:r>
    </w:p>
    <w:p w14:paraId="6EB68325">
      <w:pPr>
        <w:pStyle w:val="21"/>
        <w:tabs>
          <w:tab w:val="left" w:pos="360"/>
        </w:tabs>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被授权人身份证号码：</w:t>
      </w:r>
      <w:r>
        <w:rPr>
          <w:rFonts w:hint="default" w:ascii="Times New Roman" w:hAnsi="Times New Roman" w:eastAsia="宋体" w:cs="Times New Roman"/>
          <w:color w:val="auto"/>
          <w:sz w:val="24"/>
          <w:szCs w:val="24"/>
          <w:highlight w:val="none"/>
          <w:u w:val="single"/>
        </w:rPr>
        <w:t xml:space="preserve">                              </w:t>
      </w:r>
    </w:p>
    <w:p w14:paraId="16E3163C">
      <w:pPr>
        <w:pStyle w:val="21"/>
        <w:tabs>
          <w:tab w:val="left" w:pos="360"/>
        </w:tabs>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被授权人联系电话：（手机）</w:t>
      </w:r>
      <w:r>
        <w:rPr>
          <w:rFonts w:hint="default" w:ascii="Times New Roman" w:hAnsi="Times New Roman" w:eastAsia="宋体" w:cs="Times New Roman"/>
          <w:color w:val="auto"/>
          <w:sz w:val="24"/>
          <w:szCs w:val="24"/>
          <w:highlight w:val="none"/>
          <w:u w:val="single"/>
        </w:rPr>
        <w:t xml:space="preserve">                          </w:t>
      </w:r>
    </w:p>
    <w:p w14:paraId="23CAAEDE">
      <w:pPr>
        <w:pStyle w:val="21"/>
        <w:tabs>
          <w:tab w:val="left" w:pos="360"/>
        </w:tabs>
        <w:spacing w:beforeAutospacing="0" w:after="120" w:afterAutospacing="0" w:line="360" w:lineRule="auto"/>
        <w:ind w:firstLine="1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授权单位名称：</w:t>
      </w:r>
      <w:r>
        <w:rPr>
          <w:rFonts w:hint="default" w:ascii="Times New Roman" w:hAnsi="Times New Roman" w:eastAsia="宋体" w:cs="Times New Roman"/>
          <w:color w:val="auto"/>
          <w:sz w:val="24"/>
          <w:szCs w:val="24"/>
          <w:highlight w:val="none"/>
          <w:u w:val="single"/>
        </w:rPr>
        <w:t>（加盖CA电子公章）</w:t>
      </w:r>
    </w:p>
    <w:p w14:paraId="02D72DCC">
      <w:pPr>
        <w:pStyle w:val="21"/>
        <w:tabs>
          <w:tab w:val="left" w:pos="360"/>
        </w:tabs>
        <w:spacing w:beforeAutospacing="0" w:after="120" w:afterAutospacing="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单位地址：</w:t>
      </w:r>
      <w:r>
        <w:rPr>
          <w:rFonts w:hint="default" w:ascii="Times New Roman" w:hAnsi="Times New Roman" w:eastAsia="宋体" w:cs="Times New Roman"/>
          <w:color w:val="auto"/>
          <w:sz w:val="24"/>
          <w:szCs w:val="24"/>
          <w:highlight w:val="none"/>
          <w:u w:val="single"/>
        </w:rPr>
        <w:t xml:space="preserve">                                         </w:t>
      </w:r>
    </w:p>
    <w:p w14:paraId="5F2B9D8D">
      <w:pPr>
        <w:pStyle w:val="21"/>
        <w:tabs>
          <w:tab w:val="left" w:pos="360"/>
        </w:tabs>
        <w:spacing w:beforeAutospacing="0" w:after="120" w:afterAutospacing="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日期：</w:t>
      </w:r>
      <w:bookmarkStart w:id="180" w:name="_格式3__银行出具的资信证明"/>
      <w:bookmarkStart w:id="181" w:name="_Hlt26671380"/>
      <w:bookmarkStart w:id="182" w:name="_Hlt26955070"/>
      <w:r>
        <w:rPr>
          <w:rFonts w:hint="default" w:ascii="Times New Roman" w:hAnsi="Times New Roman" w:eastAsia="宋体" w:cs="Times New Roman"/>
          <w:color w:val="auto"/>
          <w:sz w:val="24"/>
          <w:szCs w:val="24"/>
          <w:highlight w:val="none"/>
          <w:u w:val="single"/>
        </w:rPr>
        <w:t xml:space="preserve">                                         </w:t>
      </w:r>
    </w:p>
    <w:p w14:paraId="41F9C582">
      <w:pPr>
        <w:pStyle w:val="21"/>
        <w:spacing w:beforeAutospacing="0" w:afterAutospacing="0"/>
        <w:ind w:firstLine="42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62563498">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36EA024">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B83043C">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11F57FA">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r>
        <w:rPr>
          <w:rFonts w:hint="default" w:ascii="Times New Roman" w:hAnsi="Times New Roman" w:cs="Times New Roman"/>
          <w:color w:val="auto"/>
          <w:highlight w:val="none"/>
        </w:rPr>
        <w:t>八、投标函</w:t>
      </w:r>
    </w:p>
    <w:p w14:paraId="7787FAAB">
      <w:pPr>
        <w:pStyle w:val="12"/>
        <w:ind w:left="0" w:leftChars="0" w:firstLine="480" w:firstLineChars="200"/>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致：</w:t>
      </w:r>
      <w:r>
        <w:rPr>
          <w:rFonts w:hint="eastAsia" w:cs="Times New Roman"/>
          <w:color w:val="auto"/>
          <w:highlight w:val="none"/>
          <w:lang w:eastAsia="zh-CN"/>
        </w:rPr>
        <w:t>盐城市盐都区住房和城乡建设局</w:t>
      </w:r>
    </w:p>
    <w:p w14:paraId="460D70D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根据贵方的</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none"/>
        </w:rPr>
        <w:t>号</w:t>
      </w:r>
      <w:r>
        <w:rPr>
          <w:rFonts w:hint="default" w:ascii="Times New Roman" w:hAnsi="Times New Roman" w:cs="Times New Roman"/>
          <w:color w:val="auto"/>
          <w:highlight w:val="none"/>
        </w:rPr>
        <w:t>招标文件，正式授权下述签字人______(姓名)代表我方______________（投标人的名称），全权处理本次项目投标的有关事宜。</w:t>
      </w:r>
    </w:p>
    <w:p w14:paraId="3D99D967">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据此函，__________签字人兹宣布同意如下：</w:t>
      </w:r>
    </w:p>
    <w:p w14:paraId="0296FC99">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按招标文件规定的各项要求，向买方提供所需服务（包含与服务相关的货物）。</w:t>
      </w:r>
    </w:p>
    <w:p w14:paraId="712A756D">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我们完全理解贵方不一定将合同授予最低报价的投标人。</w:t>
      </w:r>
    </w:p>
    <w:p w14:paraId="1C1596AE">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我们已详细审核全部招标文件及其有效补充文件，我们知道必须放弃提出含糊不清或误解问题的权利。</w:t>
      </w:r>
    </w:p>
    <w:p w14:paraId="2ECE1662">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我们同意从规定的开标日期起遵循本投标文件，并在规定的投标有效期期满之前均具有约束力。</w:t>
      </w:r>
    </w:p>
    <w:p w14:paraId="5D1E06CE">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同意向贵方提供贵方可能另外要求的与投标有关的任何证据或资料，并保证我方已提供和将要提供的文件是真实的、准确的。</w:t>
      </w:r>
    </w:p>
    <w:p w14:paraId="6DCB6B10">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一旦我方中标,我方将根据招标文件的规定，严格履行合同的责任和义务,并保证在招标文件规定的时间完成项目，交付买方验收、使用。</w:t>
      </w:r>
    </w:p>
    <w:p w14:paraId="60CFD457">
      <w:pPr>
        <w:pStyle w:val="12"/>
        <w:numPr>
          <w:ilvl w:val="0"/>
          <w:numId w:val="64"/>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与本投标有关的正式通讯地址为：</w:t>
      </w:r>
    </w:p>
    <w:p w14:paraId="65210B73">
      <w:pPr>
        <w:pStyle w:val="12"/>
        <w:ind w:left="482"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地址：</w:t>
      </w:r>
    </w:p>
    <w:p w14:paraId="5E1CACA6">
      <w:pPr>
        <w:pStyle w:val="12"/>
        <w:ind w:left="482"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邮编：</w:t>
      </w:r>
    </w:p>
    <w:p w14:paraId="4A7F9658">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w:t>
      </w:r>
    </w:p>
    <w:p w14:paraId="5AF6DC56">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传真：</w:t>
      </w:r>
    </w:p>
    <w:p w14:paraId="4CE066C9">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投标人开户行：</w:t>
      </w:r>
    </w:p>
    <w:p w14:paraId="5831478F">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账号： </w:t>
      </w:r>
    </w:p>
    <w:p w14:paraId="3AEF64CF">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日期：________年____月____日</w:t>
      </w:r>
    </w:p>
    <w:p w14:paraId="651E1465">
      <w:pPr>
        <w:pStyle w:val="21"/>
        <w:spacing w:beforeAutospacing="0" w:afterAutospacing="0" w:line="0" w:lineRule="atLeast"/>
        <w:ind w:firstLine="24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AB6A22A">
      <w:pPr>
        <w:pStyle w:val="21"/>
        <w:spacing w:beforeAutospacing="0" w:afterAutospacing="0" w:line="0" w:lineRule="atLeast"/>
        <w:ind w:firstLine="24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5339749">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33B6696B">
      <w:pPr>
        <w:pStyle w:val="51"/>
        <w:tabs>
          <w:tab w:val="left" w:pos="482"/>
        </w:tabs>
        <w:ind w:left="0" w:leftChars="0" w:firstLine="0" w:firstLineChars="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九、中小企业声明函（服务）</w:t>
      </w:r>
    </w:p>
    <w:p w14:paraId="3F9086A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本公司（联合体）郑重声明，根据《政府采购促进中小企业发展管理办法》(财库[2020]46号)的规定，本公司（联合体）参加</w:t>
      </w:r>
      <w:r>
        <w:rPr>
          <w:rFonts w:hint="default" w:ascii="Times New Roman" w:hAnsi="Times New Roman" w:cs="Times New Roman"/>
          <w:color w:val="auto"/>
          <w:highlight w:val="none"/>
          <w:u w:val="single"/>
        </w:rPr>
        <w:t>（单位名称）</w:t>
      </w:r>
      <w:r>
        <w:rPr>
          <w:rFonts w:hint="default" w:ascii="Times New Roman" w:hAnsi="Times New Roman" w:cs="Times New Roman"/>
          <w:color w:val="auto"/>
          <w:highlight w:val="none"/>
        </w:rPr>
        <w:t>采购编号为</w:t>
      </w:r>
      <w:r>
        <w:rPr>
          <w:rFonts w:hint="default" w:ascii="Times New Roman" w:hAnsi="Times New Roman" w:cs="Times New Roman"/>
          <w:color w:val="auto"/>
          <w:highlight w:val="none"/>
          <w:u w:val="single"/>
        </w:rPr>
        <w:t>***</w:t>
      </w:r>
      <w:r>
        <w:rPr>
          <w:rFonts w:hint="default" w:ascii="Times New Roman" w:hAnsi="Times New Roman" w:cs="Times New Roman"/>
          <w:color w:val="auto"/>
          <w:highlight w:val="none"/>
        </w:rPr>
        <w:t>，</w:t>
      </w:r>
      <w:r>
        <w:rPr>
          <w:rFonts w:hint="default" w:ascii="Times New Roman" w:hAnsi="Times New Roman" w:cs="Times New Roman"/>
          <w:color w:val="auto"/>
          <w:highlight w:val="none"/>
          <w:u w:val="single"/>
        </w:rPr>
        <w:t>（项目名称）</w:t>
      </w:r>
      <w:r>
        <w:rPr>
          <w:rFonts w:hint="default" w:ascii="Times New Roman" w:hAnsi="Times New Roman" w:cs="Times New Roman"/>
          <w:color w:val="auto"/>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微企业）的具体情况如下：</w:t>
      </w:r>
    </w:p>
    <w:p w14:paraId="6D6167AF">
      <w:pPr>
        <w:pStyle w:val="12"/>
        <w:numPr>
          <w:ilvl w:val="0"/>
          <w:numId w:val="65"/>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u w:val="single"/>
        </w:rPr>
        <w:t>（标的名称）</w:t>
      </w:r>
      <w:r>
        <w:rPr>
          <w:rFonts w:hint="default" w:ascii="Times New Roman" w:hAnsi="Times New Roman" w:cs="Times New Roman"/>
          <w:i/>
          <w:color w:val="auto"/>
          <w:highlight w:val="none"/>
        </w:rPr>
        <w:t>，</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行业；承接企业为</w:t>
      </w:r>
      <w:r>
        <w:rPr>
          <w:rFonts w:hint="default" w:ascii="Times New Roman" w:hAnsi="Times New Roman" w:cs="Times New Roman"/>
          <w:color w:val="auto"/>
          <w:highlight w:val="none"/>
          <w:u w:val="single"/>
        </w:rPr>
        <w:t>（企业名称）</w:t>
      </w:r>
      <w:r>
        <w:rPr>
          <w:rFonts w:hint="default" w:ascii="Times New Roman" w:hAnsi="Times New Roman" w:cs="Times New Roman"/>
          <w:color w:val="auto"/>
          <w:highlight w:val="none"/>
        </w:rPr>
        <w:t>，从业人员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w:t>
      </w:r>
      <w:r>
        <w:rPr>
          <w:rFonts w:hint="default" w:ascii="Times New Roman" w:hAnsi="Times New Roman" w:cs="Times New Roman"/>
          <w:color w:val="auto"/>
          <w:highlight w:val="none"/>
          <w:vertAlign w:val="superscript"/>
        </w:rPr>
        <w:t>1</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（中型企业、小型企业、微型企业）；</w:t>
      </w:r>
    </w:p>
    <w:p w14:paraId="159C45E7">
      <w:pPr>
        <w:pStyle w:val="12"/>
        <w:numPr>
          <w:ilvl w:val="0"/>
          <w:numId w:val="65"/>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u w:val="single"/>
        </w:rPr>
        <w:t>（标的名称）</w:t>
      </w:r>
      <w:r>
        <w:rPr>
          <w:rFonts w:hint="default" w:ascii="Times New Roman" w:hAnsi="Times New Roman" w:cs="Times New Roman"/>
          <w:i/>
          <w:color w:val="auto"/>
          <w:highlight w:val="none"/>
        </w:rPr>
        <w:t>，</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行业；承接企业为</w:t>
      </w:r>
      <w:r>
        <w:rPr>
          <w:rFonts w:hint="default" w:ascii="Times New Roman" w:hAnsi="Times New Roman" w:cs="Times New Roman"/>
          <w:color w:val="auto"/>
          <w:highlight w:val="none"/>
          <w:u w:val="single"/>
        </w:rPr>
        <w:t>（企业名称）</w:t>
      </w:r>
      <w:r>
        <w:rPr>
          <w:rFonts w:hint="default" w:ascii="Times New Roman" w:hAnsi="Times New Roman" w:cs="Times New Roman"/>
          <w:color w:val="auto"/>
          <w:highlight w:val="none"/>
        </w:rPr>
        <w:t>，从业人员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w:t>
      </w:r>
      <w:r>
        <w:rPr>
          <w:rFonts w:hint="default" w:ascii="Times New Roman" w:hAnsi="Times New Roman" w:cs="Times New Roman"/>
          <w:color w:val="auto"/>
          <w:highlight w:val="none"/>
          <w:vertAlign w:val="superscript"/>
        </w:rPr>
        <w:t>1</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（中型企业、小型企业、微型企业）；</w:t>
      </w:r>
    </w:p>
    <w:p w14:paraId="2830D4B3">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p w14:paraId="5C4CB715">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以上企业，不属于大企业的分支机构，不存在控股股东为大企业的情形，也不存在与大企业的负责人为同一人的情形。</w:t>
      </w:r>
    </w:p>
    <w:p w14:paraId="7EC51861">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本企业对上述声明内容的真实性负责。如有虚假，将依法承担相应责任</w:t>
      </w:r>
    </w:p>
    <w:p w14:paraId="53229AE0">
      <w:pPr>
        <w:pStyle w:val="21"/>
        <w:spacing w:beforeAutospacing="0" w:afterAutospacing="0" w:line="0" w:lineRule="atLeast"/>
        <w:ind w:right="72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3F78299">
      <w:pPr>
        <w:pStyle w:val="21"/>
        <w:spacing w:beforeAutospacing="0" w:after="120" w:afterAutospacing="0" w:line="360" w:lineRule="auto"/>
        <w:ind w:right="180" w:firstLine="360"/>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企业名称（加盖CA电子公章）：</w:t>
      </w:r>
    </w:p>
    <w:p w14:paraId="6485535E">
      <w:pPr>
        <w:pStyle w:val="21"/>
        <w:spacing w:beforeAutospacing="0" w:after="120" w:afterAutospacing="0" w:line="360" w:lineRule="auto"/>
        <w:ind w:right="480" w:firstLine="54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  期：</w:t>
      </w:r>
    </w:p>
    <w:p w14:paraId="792F5903">
      <w:pPr>
        <w:pStyle w:val="21"/>
        <w:spacing w:beforeAutospacing="0" w:afterAutospacing="0" w:line="0" w:lineRule="atLeast"/>
        <w:ind w:firstLine="24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BD840F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备注1：从业人员、营业收入、资产总额填报上一年度数据，无上一年度数据的新成立企业可不填报。</w:t>
      </w:r>
    </w:p>
    <w:p w14:paraId="3CBFFE2B">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备注2：供应商如不提供此声明函，价格将不做相应扣除（如项目全面面向中小企业，则资格审查不通过）。</w:t>
      </w:r>
    </w:p>
    <w:p w14:paraId="2F7049BF">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r>
        <w:rPr>
          <w:rFonts w:hint="default" w:ascii="Times New Roman" w:hAnsi="Times New Roman" w:cs="Times New Roman"/>
          <w:color w:val="auto"/>
          <w:highlight w:val="none"/>
        </w:rPr>
        <w:t>十、残疾人福利性单位声明函</w:t>
      </w:r>
    </w:p>
    <w:p w14:paraId="41670CC8">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项目采购活动由本单位提供服务。</w:t>
      </w:r>
    </w:p>
    <w:p w14:paraId="71A5D92F">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本单位对上述声明的真实性负责。如有虚假，将依法承担相应责任。</w:t>
      </w:r>
    </w:p>
    <w:p w14:paraId="05B6D7F5">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CAE76AA">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（备注：1、供应商如不提供此声明函，价格将不做相应扣除（如项目全面面向中小企业，则资格审查不通过）。2、中标人为残疾人福利单位的，此声明函将随中标结果同时公告，接受社会监督）</w:t>
      </w:r>
    </w:p>
    <w:p w14:paraId="368DEBBD">
      <w:pPr>
        <w:pStyle w:val="21"/>
        <w:spacing w:beforeAutospacing="0" w:afterAutospacing="0" w:line="0" w:lineRule="atLeast"/>
        <w:ind w:firstLine="624"/>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E09C217">
      <w:pPr>
        <w:pStyle w:val="21"/>
        <w:tabs>
          <w:tab w:val="left" w:pos="4864"/>
        </w:tabs>
        <w:spacing w:beforeAutospacing="0" w:after="120" w:afterAutospacing="0" w:line="360" w:lineRule="auto"/>
        <w:ind w:right="1560" w:firstLine="624"/>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供应商全称（加盖CA电子公章）：</w:t>
      </w:r>
    </w:p>
    <w:p w14:paraId="2232185B">
      <w:pPr>
        <w:pStyle w:val="21"/>
        <w:tabs>
          <w:tab w:val="left" w:pos="4864"/>
        </w:tabs>
        <w:spacing w:beforeAutospacing="0" w:after="120" w:afterAutospacing="0" w:line="360" w:lineRule="auto"/>
        <w:ind w:right="1560" w:firstLine="48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日  期：</w:t>
      </w:r>
    </w:p>
    <w:p w14:paraId="5B86FBA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52EA9A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6AE0964">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B2167E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6DA06ED6">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F892D0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48908C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8E0EC94">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2BAE9F23">
      <w:pPr>
        <w:pStyle w:val="21"/>
        <w:spacing w:beforeAutospacing="0" w:afterAutospacing="0" w:line="0" w:lineRule="atLeast"/>
        <w:jc w:val="center"/>
        <w:rPr>
          <w:rFonts w:hint="default" w:ascii="Times New Roman" w:hAnsi="Times New Roman" w:cs="Times New Roman"/>
          <w:color w:val="auto"/>
          <w:highlight w:val="none"/>
        </w:rPr>
      </w:pPr>
    </w:p>
    <w:p w14:paraId="51D75F66">
      <w:pPr>
        <w:pStyle w:val="21"/>
        <w:spacing w:beforeAutospacing="0" w:afterAutospacing="0" w:line="0" w:lineRule="atLeast"/>
        <w:jc w:val="center"/>
        <w:rPr>
          <w:rFonts w:hint="default" w:ascii="Times New Roman" w:hAnsi="Times New Roman" w:cs="Times New Roman"/>
          <w:color w:val="auto"/>
          <w:highlight w:val="none"/>
        </w:rPr>
      </w:pPr>
    </w:p>
    <w:p w14:paraId="40F6A71A">
      <w:pPr>
        <w:pStyle w:val="21"/>
        <w:spacing w:beforeAutospacing="0" w:afterAutospacing="0" w:line="0" w:lineRule="atLeast"/>
        <w:jc w:val="center"/>
        <w:rPr>
          <w:rFonts w:hint="default" w:ascii="Times New Roman" w:hAnsi="Times New Roman" w:cs="Times New Roman"/>
          <w:color w:val="auto"/>
          <w:highlight w:val="none"/>
        </w:rPr>
      </w:pPr>
    </w:p>
    <w:p w14:paraId="494A6B4E">
      <w:pPr>
        <w:pStyle w:val="21"/>
        <w:spacing w:beforeAutospacing="0" w:afterAutospacing="0" w:line="0" w:lineRule="atLeast"/>
        <w:jc w:val="center"/>
        <w:rPr>
          <w:rFonts w:hint="default" w:ascii="Times New Roman" w:hAnsi="Times New Roman" w:cs="Times New Roman"/>
          <w:color w:val="auto"/>
          <w:highlight w:val="none"/>
        </w:rPr>
      </w:pPr>
    </w:p>
    <w:p w14:paraId="54820F39">
      <w:pPr>
        <w:pStyle w:val="21"/>
        <w:spacing w:beforeAutospacing="0" w:afterAutospacing="0" w:line="0" w:lineRule="atLeast"/>
        <w:jc w:val="center"/>
        <w:rPr>
          <w:rFonts w:hint="default" w:ascii="Times New Roman" w:hAnsi="Times New Roman" w:cs="Times New Roman"/>
          <w:color w:val="auto"/>
          <w:highlight w:val="none"/>
        </w:rPr>
      </w:pPr>
    </w:p>
    <w:p w14:paraId="7A37864E">
      <w:pPr>
        <w:pStyle w:val="21"/>
        <w:spacing w:beforeAutospacing="0" w:afterAutospacing="0" w:line="0" w:lineRule="atLeast"/>
        <w:jc w:val="center"/>
        <w:rPr>
          <w:rFonts w:hint="default" w:ascii="Times New Roman" w:hAnsi="Times New Roman" w:cs="Times New Roman"/>
          <w:color w:val="auto"/>
          <w:highlight w:val="none"/>
        </w:rPr>
      </w:pPr>
    </w:p>
    <w:p w14:paraId="4B8AE178">
      <w:pPr>
        <w:pStyle w:val="21"/>
        <w:spacing w:beforeAutospacing="0" w:afterAutospacing="0" w:line="0" w:lineRule="atLeast"/>
        <w:jc w:val="center"/>
        <w:rPr>
          <w:rFonts w:hint="default" w:ascii="Times New Roman" w:hAnsi="Times New Roman" w:cs="Times New Roman"/>
          <w:color w:val="auto"/>
          <w:highlight w:val="none"/>
        </w:rPr>
      </w:pPr>
    </w:p>
    <w:p w14:paraId="745070DF">
      <w:pPr>
        <w:pStyle w:val="21"/>
        <w:spacing w:beforeAutospacing="0" w:afterAutospacing="0" w:line="0" w:lineRule="atLeast"/>
        <w:jc w:val="center"/>
        <w:rPr>
          <w:rFonts w:hint="default" w:ascii="Times New Roman" w:hAnsi="Times New Roman" w:cs="Times New Roman"/>
          <w:color w:val="auto"/>
          <w:highlight w:val="none"/>
        </w:rPr>
      </w:pPr>
    </w:p>
    <w:p w14:paraId="3CEB066A">
      <w:pPr>
        <w:pStyle w:val="21"/>
        <w:spacing w:beforeAutospacing="0" w:afterAutospacing="0" w:line="0" w:lineRule="atLeast"/>
        <w:jc w:val="center"/>
        <w:rPr>
          <w:rFonts w:hint="default" w:ascii="Times New Roman" w:hAnsi="Times New Roman" w:cs="Times New Roman"/>
          <w:color w:val="auto"/>
          <w:highlight w:val="none"/>
        </w:rPr>
      </w:pPr>
    </w:p>
    <w:p w14:paraId="298BC17A">
      <w:pPr>
        <w:pStyle w:val="21"/>
        <w:spacing w:beforeAutospacing="0" w:afterAutospacing="0" w:line="0" w:lineRule="atLeast"/>
        <w:jc w:val="center"/>
        <w:rPr>
          <w:rFonts w:hint="default" w:ascii="Times New Roman" w:hAnsi="Times New Roman" w:cs="Times New Roman"/>
          <w:color w:val="auto"/>
          <w:highlight w:val="none"/>
        </w:rPr>
      </w:pPr>
    </w:p>
    <w:p w14:paraId="1BCB410C">
      <w:pPr>
        <w:pStyle w:val="21"/>
        <w:spacing w:beforeAutospacing="0" w:afterAutospacing="0" w:line="0" w:lineRule="atLeast"/>
        <w:jc w:val="center"/>
        <w:rPr>
          <w:rFonts w:hint="default" w:ascii="Times New Roman" w:hAnsi="Times New Roman" w:cs="Times New Roman"/>
          <w:color w:val="auto"/>
          <w:highlight w:val="none"/>
        </w:rPr>
      </w:pPr>
    </w:p>
    <w:p w14:paraId="230EDB1C">
      <w:pPr>
        <w:pStyle w:val="21"/>
        <w:spacing w:beforeAutospacing="0" w:afterAutospacing="0" w:line="0" w:lineRule="atLeast"/>
        <w:jc w:val="center"/>
        <w:rPr>
          <w:rFonts w:hint="default" w:ascii="Times New Roman" w:hAnsi="Times New Roman" w:cs="Times New Roman"/>
          <w:color w:val="auto"/>
          <w:highlight w:val="none"/>
        </w:rPr>
      </w:pPr>
    </w:p>
    <w:p w14:paraId="5148D040">
      <w:pPr>
        <w:pStyle w:val="21"/>
        <w:spacing w:beforeAutospacing="0" w:afterAutospacing="0" w:line="0" w:lineRule="atLeast"/>
        <w:jc w:val="center"/>
        <w:rPr>
          <w:rFonts w:hint="default" w:ascii="Times New Roman" w:hAnsi="Times New Roman" w:cs="Times New Roman"/>
          <w:color w:val="auto"/>
          <w:highlight w:val="none"/>
        </w:rPr>
      </w:pPr>
    </w:p>
    <w:p w14:paraId="46FC1044">
      <w:pPr>
        <w:pStyle w:val="21"/>
        <w:spacing w:beforeAutospacing="0" w:afterAutospacing="0" w:line="0" w:lineRule="atLeast"/>
        <w:jc w:val="center"/>
        <w:rPr>
          <w:rFonts w:hint="default" w:ascii="Times New Roman" w:hAnsi="Times New Roman" w:cs="Times New Roman"/>
          <w:color w:val="auto"/>
          <w:highlight w:val="none"/>
        </w:rPr>
      </w:pPr>
    </w:p>
    <w:p w14:paraId="52AC1B97">
      <w:pPr>
        <w:pStyle w:val="21"/>
        <w:spacing w:beforeAutospacing="0" w:afterAutospacing="0" w:line="0" w:lineRule="atLeast"/>
        <w:jc w:val="center"/>
        <w:rPr>
          <w:rFonts w:hint="default" w:ascii="Times New Roman" w:hAnsi="Times New Roman" w:cs="Times New Roman"/>
          <w:color w:val="auto"/>
          <w:highlight w:val="none"/>
        </w:rPr>
      </w:pPr>
    </w:p>
    <w:p w14:paraId="10BEE863">
      <w:pPr>
        <w:pStyle w:val="21"/>
        <w:spacing w:beforeAutospacing="0" w:afterAutospacing="0" w:line="0" w:lineRule="atLeast"/>
        <w:jc w:val="center"/>
        <w:rPr>
          <w:rFonts w:hint="default" w:ascii="Times New Roman" w:hAnsi="Times New Roman" w:cs="Times New Roman"/>
          <w:color w:val="auto"/>
          <w:highlight w:val="none"/>
        </w:rPr>
      </w:pPr>
    </w:p>
    <w:p w14:paraId="70555320">
      <w:pPr>
        <w:pStyle w:val="21"/>
        <w:spacing w:beforeAutospacing="0" w:afterAutospacing="0" w:line="0" w:lineRule="atLeast"/>
        <w:jc w:val="center"/>
        <w:rPr>
          <w:rFonts w:hint="default" w:ascii="Times New Roman" w:hAnsi="Times New Roman" w:cs="Times New Roman"/>
          <w:color w:val="auto"/>
          <w:highlight w:val="none"/>
        </w:rPr>
      </w:pPr>
    </w:p>
    <w:p w14:paraId="19739137">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76905E6">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十一、关于符合本国产品标准的声明函（如有）</w:t>
      </w:r>
    </w:p>
    <w:p w14:paraId="3D48EB6C">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w:t>
      </w:r>
    </w:p>
    <w:p w14:paraId="311B4E85">
      <w:pPr>
        <w:pStyle w:val="12"/>
        <w:pBdr>
          <w:top w:val="none" w:color="auto" w:sz="0" w:space="0"/>
          <w:left w:val="none" w:color="auto" w:sz="0" w:space="0"/>
          <w:bottom w:val="none" w:color="auto" w:sz="0" w:space="0"/>
          <w:right w:val="none" w:color="auto" w:sz="0" w:space="0"/>
        </w:pBdr>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pStyle w:val="12"/>
        <w:numPr>
          <w:ilvl w:val="0"/>
          <w:numId w:val="66"/>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u w:val="single"/>
        </w:rPr>
        <w:t>（产品名称1）</w:t>
      </w:r>
      <w:r>
        <w:rPr>
          <w:rFonts w:hint="default" w:ascii="Times New Roman" w:hAnsi="Times New Roman" w:cs="Times New Roman"/>
          <w:b/>
          <w:color w:val="auto"/>
          <w:highlight w:val="none"/>
          <w:vertAlign w:val="superscript"/>
        </w:rPr>
        <w:t>1</w:t>
      </w:r>
      <w:r>
        <w:rPr>
          <w:rFonts w:hint="default" w:ascii="Times New Roman" w:hAnsi="Times New Roman" w:cs="Times New Roman"/>
          <w:b/>
          <w:color w:val="auto"/>
          <w:highlight w:val="none"/>
        </w:rPr>
        <w:t>，生产厂为</w:t>
      </w:r>
      <w:r>
        <w:rPr>
          <w:rFonts w:hint="default" w:ascii="Times New Roman" w:hAnsi="Times New Roman" w:cs="Times New Roman"/>
          <w:b/>
          <w:color w:val="auto"/>
          <w:highlight w:val="none"/>
          <w:u w:val="single"/>
        </w:rPr>
        <w:t>（厂名）</w:t>
      </w:r>
      <w:r>
        <w:rPr>
          <w:rFonts w:hint="default" w:ascii="Times New Roman" w:hAnsi="Times New Roman" w:cs="Times New Roman"/>
          <w:b/>
          <w:color w:val="auto"/>
          <w:highlight w:val="none"/>
          <w:vertAlign w:val="superscript"/>
        </w:rPr>
        <w:t>2</w:t>
      </w:r>
      <w:r>
        <w:rPr>
          <w:rFonts w:hint="default" w:ascii="Times New Roman" w:hAnsi="Times New Roman" w:cs="Times New Roman"/>
          <w:b/>
          <w:color w:val="auto"/>
          <w:highlight w:val="none"/>
        </w:rPr>
        <w:t>，厂址为</w:t>
      </w:r>
      <w:r>
        <w:rPr>
          <w:rFonts w:hint="default" w:ascii="Times New Roman" w:hAnsi="Times New Roman" w:cs="Times New Roman"/>
          <w:b/>
          <w:color w:val="auto"/>
          <w:highlight w:val="none"/>
          <w:u w:val="single"/>
        </w:rPr>
        <w:t>（生产厂址）</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 （产品名称1）</w:t>
      </w:r>
      <w:r>
        <w:rPr>
          <w:rFonts w:hint="default" w:ascii="Times New Roman" w:hAnsi="Times New Roman" w:cs="Times New Roman"/>
          <w:b/>
          <w:color w:val="auto"/>
          <w:highlight w:val="none"/>
          <w:u w:val="single"/>
        </w:rPr>
        <w:t> </w:t>
      </w:r>
      <w:r>
        <w:rPr>
          <w:rFonts w:hint="default" w:ascii="Times New Roman" w:hAnsi="Times New Roman" w:cs="Times New Roman"/>
          <w:b/>
          <w:color w:val="auto"/>
          <w:highlight w:val="none"/>
        </w:rPr>
        <w:t>的中国境内生产的组件成本占比≥</w:t>
      </w:r>
      <w:r>
        <w:rPr>
          <w:rFonts w:hint="default" w:ascii="Times New Roman" w:hAnsi="Times New Roman" w:cs="Times New Roman"/>
          <w:b/>
          <w:strike/>
          <w:dstrike w:val="0"/>
          <w:color w:val="auto"/>
          <w:highlight w:val="none"/>
          <w:u w:val="single"/>
        </w:rPr>
        <w:t>（规定比例）</w:t>
      </w:r>
      <w:r>
        <w:rPr>
          <w:rFonts w:hint="default" w:ascii="Times New Roman" w:hAnsi="Times New Roman" w:cs="Times New Roman"/>
          <w:b/>
          <w:strike/>
          <w:dstrike w:val="0"/>
          <w:color w:val="auto"/>
          <w:highlight w:val="none"/>
          <w:vertAlign w:val="superscript"/>
        </w:rPr>
        <w:t>3</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（产品名称1）</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（关键组件）</w:t>
      </w:r>
      <w:r>
        <w:rPr>
          <w:rFonts w:hint="default" w:ascii="Times New Roman" w:hAnsi="Times New Roman" w:cs="Times New Roman"/>
          <w:b/>
          <w:strike/>
          <w:dstrike w:val="0"/>
          <w:color w:val="auto"/>
          <w:highlight w:val="none"/>
          <w:vertAlign w:val="superscript"/>
        </w:rPr>
        <w:t>4</w:t>
      </w:r>
      <w:r>
        <w:rPr>
          <w:rFonts w:hint="default" w:ascii="Times New Roman" w:hAnsi="Times New Roman" w:cs="Times New Roman"/>
          <w:b/>
          <w:color w:val="auto"/>
          <w:highlight w:val="none"/>
        </w:rPr>
        <w:t>在中国境内生产。</w:t>
      </w:r>
      <w:r>
        <w:rPr>
          <w:rFonts w:hint="default" w:ascii="Times New Roman" w:hAnsi="Times New Roman" w:cs="Times New Roman"/>
          <w:b/>
          <w:strike/>
          <w:dstrike w:val="0"/>
          <w:color w:val="auto"/>
          <w:highlight w:val="none"/>
          <w:u w:val="single"/>
        </w:rPr>
        <w:t>（产品名称1）</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（关键工序）</w:t>
      </w:r>
      <w:r>
        <w:rPr>
          <w:rFonts w:hint="default" w:ascii="Times New Roman" w:hAnsi="Times New Roman" w:cs="Times New Roman"/>
          <w:b/>
          <w:strike/>
          <w:dstrike w:val="0"/>
          <w:color w:val="auto"/>
          <w:highlight w:val="none"/>
          <w:vertAlign w:val="superscript"/>
        </w:rPr>
        <w:t>5</w:t>
      </w:r>
      <w:r>
        <w:rPr>
          <w:rFonts w:hint="default" w:ascii="Times New Roman" w:hAnsi="Times New Roman" w:cs="Times New Roman"/>
          <w:b/>
          <w:color w:val="auto"/>
          <w:highlight w:val="none"/>
        </w:rPr>
        <w:t>在中国境内完成。</w:t>
      </w:r>
    </w:p>
    <w:p w14:paraId="20758D95">
      <w:pPr>
        <w:pStyle w:val="12"/>
        <w:numPr>
          <w:ilvl w:val="0"/>
          <w:numId w:val="66"/>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u w:val="single"/>
        </w:rPr>
        <w:t>（产品名称2）</w:t>
      </w:r>
      <w:r>
        <w:rPr>
          <w:rFonts w:hint="default" w:ascii="Times New Roman" w:hAnsi="Times New Roman" w:cs="Times New Roman"/>
          <w:b/>
          <w:color w:val="auto"/>
          <w:highlight w:val="none"/>
        </w:rPr>
        <w:t>，生产厂为</w:t>
      </w:r>
      <w:r>
        <w:rPr>
          <w:rFonts w:hint="default" w:ascii="Times New Roman" w:hAnsi="Times New Roman" w:cs="Times New Roman"/>
          <w:b/>
          <w:color w:val="auto"/>
          <w:highlight w:val="none"/>
          <w:u w:val="single"/>
        </w:rPr>
        <w:t>（厂名）</w:t>
      </w:r>
      <w:r>
        <w:rPr>
          <w:rFonts w:hint="default" w:ascii="Times New Roman" w:hAnsi="Times New Roman" w:cs="Times New Roman"/>
          <w:b/>
          <w:color w:val="auto"/>
          <w:highlight w:val="none"/>
        </w:rPr>
        <w:t>，厂址为</w:t>
      </w:r>
      <w:r>
        <w:rPr>
          <w:rFonts w:hint="default" w:ascii="Times New Roman" w:hAnsi="Times New Roman" w:cs="Times New Roman"/>
          <w:b/>
          <w:color w:val="auto"/>
          <w:highlight w:val="none"/>
          <w:u w:val="single"/>
        </w:rPr>
        <w:t>（生产厂址）</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（产品名称2）</w:t>
      </w:r>
      <w:r>
        <w:rPr>
          <w:rFonts w:hint="default" w:ascii="Times New Roman" w:hAnsi="Times New Roman" w:cs="Times New Roman"/>
          <w:b/>
          <w:color w:val="auto"/>
          <w:highlight w:val="none"/>
        </w:rPr>
        <w:t>的中国境内生产的组件成本占比≥</w:t>
      </w:r>
      <w:r>
        <w:rPr>
          <w:rFonts w:hint="default" w:ascii="Times New Roman" w:hAnsi="Times New Roman" w:cs="Times New Roman"/>
          <w:b/>
          <w:strike/>
          <w:dstrike w:val="0"/>
          <w:color w:val="auto"/>
          <w:highlight w:val="none"/>
          <w:u w:val="single"/>
        </w:rPr>
        <w:t>（规定比例）</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（产品名称2）</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（关键组件）</w:t>
      </w:r>
      <w:r>
        <w:rPr>
          <w:rFonts w:hint="default" w:ascii="Times New Roman" w:hAnsi="Times New Roman" w:cs="Times New Roman"/>
          <w:b/>
          <w:color w:val="auto"/>
          <w:highlight w:val="none"/>
        </w:rPr>
        <w:t>在中国境内生产。</w:t>
      </w:r>
      <w:r>
        <w:rPr>
          <w:rFonts w:hint="default" w:ascii="Times New Roman" w:hAnsi="Times New Roman" w:cs="Times New Roman"/>
          <w:b/>
          <w:strike/>
          <w:dstrike w:val="0"/>
          <w:color w:val="auto"/>
          <w:highlight w:val="none"/>
          <w:u w:val="single"/>
        </w:rPr>
        <w:t>（产品名称1）</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（关键工序）</w:t>
      </w:r>
      <w:r>
        <w:rPr>
          <w:rFonts w:hint="default" w:ascii="Times New Roman" w:hAnsi="Times New Roman" w:cs="Times New Roman"/>
          <w:b/>
          <w:color w:val="auto"/>
          <w:highlight w:val="none"/>
        </w:rPr>
        <w:t>在中国境内完成。</w:t>
      </w:r>
    </w:p>
    <w:p w14:paraId="519DADE7">
      <w:pPr>
        <w:pStyle w:val="12"/>
        <w:pBdr>
          <w:top w:val="none" w:color="auto" w:sz="0" w:space="0"/>
          <w:left w:val="none" w:color="auto" w:sz="0" w:space="0"/>
          <w:bottom w:val="none" w:color="auto" w:sz="0" w:space="0"/>
          <w:right w:val="none" w:color="auto" w:sz="0" w:space="0"/>
        </w:pBdr>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w:t>
      </w:r>
    </w:p>
    <w:p w14:paraId="2898E24F">
      <w:pPr>
        <w:pStyle w:val="12"/>
        <w:pBdr>
          <w:top w:val="none" w:color="auto" w:sz="0" w:space="0"/>
          <w:left w:val="none" w:color="auto" w:sz="0" w:space="0"/>
          <w:bottom w:val="none" w:color="auto" w:sz="0" w:space="0"/>
          <w:right w:val="none" w:color="auto" w:sz="0" w:space="0"/>
        </w:pBdr>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本公司（单位）对上述声明内容的真实性负责。如有虚假，愿承担相应法律责任。</w:t>
      </w:r>
    </w:p>
    <w:p w14:paraId="1CAC866F">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Times New Roman" w:hAnsi="Times New Roman" w:cs="Times New Roman"/>
          <w:b/>
          <w:bCs/>
          <w:color w:val="auto"/>
          <w:highlight w:val="none"/>
        </w:rPr>
      </w:pPr>
      <w:r>
        <w:rPr>
          <w:rFonts w:hint="default" w:ascii="Times New Roman" w:hAnsi="Times New Roman" w:eastAsia="宋体" w:cs="Times New Roman"/>
          <w:b/>
          <w:bCs/>
          <w:color w:val="auto"/>
          <w:sz w:val="24"/>
          <w:szCs w:val="24"/>
          <w:highlight w:val="none"/>
        </w:rPr>
        <w:t> </w:t>
      </w:r>
    </w:p>
    <w:p w14:paraId="4B7D6087">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120" w:afterAutospacing="0" w:line="360" w:lineRule="auto"/>
        <w:ind w:left="0" w:right="480" w:firstLine="3720"/>
        <w:jc w:val="both"/>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shd w:val="clear" w:fill="FFFFFF"/>
        </w:rPr>
        <w:t>公司（单位）名称（盖章）：　</w:t>
      </w:r>
    </w:p>
    <w:p w14:paraId="4B86CD8E">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120" w:afterAutospacing="0"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shd w:val="clear" w:fill="FFFFFF"/>
        </w:rPr>
        <w:t>                                日期：　   年　  月　  日         </w:t>
      </w:r>
    </w:p>
    <w:p w14:paraId="563751CB">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Times New Roman" w:hAnsi="Times New Roman" w:cs="Times New Roman"/>
          <w:b/>
          <w:bCs/>
          <w:color w:val="auto"/>
          <w:highlight w:val="none"/>
        </w:rPr>
      </w:pPr>
      <w:r>
        <w:rPr>
          <w:rFonts w:hint="default" w:ascii="Times New Roman" w:hAnsi="Times New Roman" w:eastAsia="宋体" w:cs="Times New Roman"/>
          <w:b/>
          <w:bCs/>
          <w:color w:val="auto"/>
          <w:sz w:val="24"/>
          <w:szCs w:val="24"/>
          <w:highlight w:val="none"/>
          <w:shd w:val="clear" w:fill="FFFFFF"/>
        </w:rPr>
        <w:t>__________________</w:t>
      </w:r>
    </w:p>
    <w:p w14:paraId="0D130BF1">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产品如有型号，请在“产品名称”栏一并填写。</w:t>
      </w:r>
    </w:p>
    <w:p w14:paraId="3BE63DDD">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生产厂名与厂址应与生产厂营业执照载明的相关信息保持一致。</w:t>
      </w:r>
    </w:p>
    <w:p w14:paraId="187E10C6">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该产品的中国境内生产的组件成本占比相关要求实施前，“规定比例”栏可不填，下同。</w:t>
      </w:r>
    </w:p>
    <w:p w14:paraId="3267BE6A">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该产品的关键组件要求实施前，“关键组件”栏可不填，下同。</w:t>
      </w:r>
    </w:p>
    <w:p w14:paraId="2E60DA6D">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该产品的关键工序要求实施前，“关键工序”栏可不填，下同。</w:t>
      </w:r>
    </w:p>
    <w:p w14:paraId="2039D937">
      <w:pPr>
        <w:pStyle w:val="12"/>
        <w:numPr>
          <w:ilvl w:val="0"/>
          <w:numId w:val="67"/>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用横线划除的地方无需填写。</w:t>
      </w:r>
    </w:p>
    <w:p w14:paraId="2272348F">
      <w:pPr>
        <w:pStyle w:val="12"/>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b/>
          <w:color w:val="auto"/>
          <w:highlight w:val="none"/>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default" w:ascii="Times New Roman" w:hAnsi="Times New Roman" w:cs="Times New Roman"/>
          <w:b/>
          <w:color w:val="auto"/>
          <w:highlight w:val="none"/>
          <w:u w:val="single"/>
        </w:rPr>
        <w:t>故，如供应商所提供产品为本国产品的，应当对其提供的产品出具《关于符合本国产品标准的声明函》（以下简称《声明函》），不出具《声明函》的，不享受政府采购对本国产品的支持政策。</w:t>
      </w:r>
    </w:p>
    <w:p w14:paraId="73BAEA7E">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0F9D6EE9">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十二、投标分项报价表</w:t>
      </w:r>
    </w:p>
    <w:tbl>
      <w:tblPr>
        <w:tblStyle w:val="25"/>
        <w:tblW w:w="4998" w:type="pct"/>
        <w:tblCellSpacing w:w="0" w:type="dxa"/>
        <w:tblInd w:w="0" w:type="dxa"/>
        <w:tblLayout w:type="autofit"/>
        <w:tblCellMar>
          <w:top w:w="0" w:type="dxa"/>
          <w:left w:w="108" w:type="dxa"/>
          <w:bottom w:w="0" w:type="dxa"/>
          <w:right w:w="108" w:type="dxa"/>
        </w:tblCellMar>
      </w:tblPr>
      <w:tblGrid>
        <w:gridCol w:w="923"/>
        <w:gridCol w:w="1220"/>
        <w:gridCol w:w="1208"/>
        <w:gridCol w:w="880"/>
        <w:gridCol w:w="1131"/>
        <w:gridCol w:w="1510"/>
        <w:gridCol w:w="1667"/>
      </w:tblGrid>
      <w:tr w14:paraId="758A5F5A">
        <w:tblPrEx>
          <w:tblCellMar>
            <w:top w:w="0" w:type="dxa"/>
            <w:left w:w="108" w:type="dxa"/>
            <w:bottom w:w="0" w:type="dxa"/>
            <w:right w:w="108" w:type="dxa"/>
          </w:tblCellMar>
        </w:tblPrEx>
        <w:trPr>
          <w:trHeight w:val="544" w:hRule="atLeast"/>
          <w:tblCellSpacing w:w="0" w:type="dxa"/>
        </w:trPr>
        <w:tc>
          <w:tcPr>
            <w:tcW w:w="5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序号</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1</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2</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3</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4</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5</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6</w:t>
            </w:r>
          </w:p>
        </w:tc>
      </w:tr>
      <w:tr w14:paraId="37407F45">
        <w:tblPrEx>
          <w:tblCellMar>
            <w:top w:w="0" w:type="dxa"/>
            <w:left w:w="108" w:type="dxa"/>
            <w:bottom w:w="0" w:type="dxa"/>
            <w:right w:w="108" w:type="dxa"/>
          </w:tblCellMar>
        </w:tblPrEx>
        <w:trPr>
          <w:trHeight w:val="294" w:hRule="atLeast"/>
          <w:tblCellSpacing w:w="0" w:type="dxa"/>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hint="default" w:ascii="Times New Roman" w:hAnsi="Times New Roman" w:cs="Times New Roman"/>
                <w:color w:val="auto"/>
                <w:sz w:val="24"/>
                <w:highlight w:val="none"/>
              </w:rPr>
            </w:pP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分项服务名称</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交付期</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分项单位</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数量</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w:t>
            </w:r>
          </w:p>
          <w:p w14:paraId="04CE5FC7">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单价</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w:t>
            </w:r>
          </w:p>
          <w:p w14:paraId="0FEC4C6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总价</w:t>
            </w:r>
          </w:p>
        </w:tc>
      </w:tr>
      <w:tr w14:paraId="051188F1">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1</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38B54F89">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2</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7F8E46F">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3</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775547D">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6E902B74">
        <w:tblPrEx>
          <w:tblCellMar>
            <w:top w:w="0" w:type="dxa"/>
            <w:left w:w="108" w:type="dxa"/>
            <w:bottom w:w="0" w:type="dxa"/>
            <w:right w:w="108" w:type="dxa"/>
          </w:tblCellMar>
        </w:tblPrEx>
        <w:trPr>
          <w:trHeight w:val="487" w:hRule="atLeast"/>
          <w:tblCellSpacing w:w="0" w:type="dxa"/>
        </w:trPr>
        <w:tc>
          <w:tcPr>
            <w:tcW w:w="4023"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投标总报价（人民币：元）</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14:paraId="36F4F46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49B2EC56">
      <w:pPr>
        <w:widowControl/>
        <w:spacing w:line="360" w:lineRule="auto"/>
        <w:jc w:val="lef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br w:type="page"/>
      </w:r>
    </w:p>
    <w:p w14:paraId="3136C0B8">
      <w:pPr>
        <w:pStyle w:val="21"/>
        <w:spacing w:beforeAutospacing="0" w:afterAutospacing="0"/>
        <w:jc w:val="center"/>
        <w:rPr>
          <w:rFonts w:hint="default" w:ascii="Times New Roman" w:hAnsi="Times New Roman" w:eastAsia="黑体" w:cs="Times New Roman"/>
          <w:b/>
          <w:color w:val="auto"/>
          <w:sz w:val="32"/>
          <w:szCs w:val="32"/>
          <w:highlight w:val="none"/>
        </w:rPr>
        <w:sectPr>
          <w:footerReference r:id="rId3" w:type="default"/>
          <w:type w:val="continuous"/>
          <w:pgSz w:w="11906" w:h="16838"/>
          <w:pgMar w:top="1440" w:right="1800" w:bottom="1440" w:left="1800" w:header="851" w:footer="992" w:gutter="0"/>
          <w:cols w:space="425" w:num="1"/>
          <w:docGrid w:type="lines" w:linePitch="312" w:charSpace="0"/>
        </w:sectPr>
      </w:pPr>
    </w:p>
    <w:p w14:paraId="7C6FF856">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eastAsia" w:ascii="Times New Roman" w:hAnsi="Times New Roman" w:cs="Times New Roman"/>
          <w:color w:val="auto"/>
          <w:highlight w:val="none"/>
          <w:lang w:val="en-US" w:eastAsia="zh-CN"/>
        </w:rPr>
        <w:t>三</w:t>
      </w:r>
      <w:r>
        <w:rPr>
          <w:rFonts w:hint="default" w:ascii="Times New Roman" w:hAnsi="Times New Roman" w:cs="Times New Roman"/>
          <w:color w:val="auto"/>
          <w:highlight w:val="none"/>
        </w:rPr>
        <w:t>、技术要求响应及偏离表</w:t>
      </w:r>
    </w:p>
    <w:tbl>
      <w:tblPr>
        <w:tblStyle w:val="25"/>
        <w:tblW w:w="4998" w:type="pct"/>
        <w:tblCellSpacing w:w="0" w:type="dxa"/>
        <w:tblInd w:w="0" w:type="dxa"/>
        <w:tblLayout w:type="autofit"/>
        <w:tblCellMar>
          <w:top w:w="0" w:type="dxa"/>
          <w:left w:w="108" w:type="dxa"/>
          <w:bottom w:w="0" w:type="dxa"/>
          <w:right w:w="108" w:type="dxa"/>
        </w:tblCellMar>
      </w:tblPr>
      <w:tblGrid>
        <w:gridCol w:w="537"/>
        <w:gridCol w:w="3035"/>
        <w:gridCol w:w="2616"/>
        <w:gridCol w:w="1249"/>
        <w:gridCol w:w="1102"/>
      </w:tblGrid>
      <w:tr w14:paraId="03E7ADFF">
        <w:tblPrEx>
          <w:tblCellMar>
            <w:top w:w="0" w:type="dxa"/>
            <w:left w:w="108" w:type="dxa"/>
            <w:bottom w:w="0" w:type="dxa"/>
            <w:right w:w="108" w:type="dxa"/>
          </w:tblCellMar>
        </w:tblPrEx>
        <w:trPr>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1EF3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序号</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8DF2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招标文件要求</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C8AA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投标响应情况</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D976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超出、符合或偏离</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6721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证明</w:t>
            </w:r>
          </w:p>
          <w:p w14:paraId="15D24F3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材料</w:t>
            </w:r>
          </w:p>
        </w:tc>
      </w:tr>
      <w:tr w14:paraId="649FEBAF">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28AE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5298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5096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9586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ED9C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34414CD2">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917B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5011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1395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FBCF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1620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6C78A84A">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4762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7C87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483A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2234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87E2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673AA70">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5FCC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E6F7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36E9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A958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E78C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78AF3C9B">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EDF7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CAA4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DB76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98E1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7232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347E9E7">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C0527">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F0DF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EAF0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9C45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320E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26D64765">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3759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F4B0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ABF0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4F02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F3D3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8EAA3DE">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3BD9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D72E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3F98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1BCB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6A3A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14:paraId="1B5791B4">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注： 行数不够，可自行添加。</w:t>
      </w:r>
    </w:p>
    <w:p w14:paraId="0FED5EC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154A54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27DCF6E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E391D77">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0AC29E3">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D5D9037">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806FECD">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73FD20A">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E35948B">
      <w:pPr>
        <w:rPr>
          <w:rFonts w:hint="default" w:ascii="Times New Roman" w:hAnsi="Times New Roman" w:cs="Times New Roman"/>
          <w:color w:val="auto"/>
          <w:highlight w:val="none"/>
        </w:rPr>
      </w:pPr>
      <w:bookmarkStart w:id="183" w:name="_Hlt26955054"/>
      <w:r>
        <w:rPr>
          <w:rFonts w:hint="default" w:ascii="Times New Roman" w:hAnsi="Times New Roman" w:cs="Times New Roman"/>
          <w:color w:val="auto"/>
          <w:highlight w:val="none"/>
        </w:rPr>
        <w:br w:type="page"/>
      </w:r>
    </w:p>
    <w:p w14:paraId="0777E23F">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eastAsia" w:ascii="Times New Roman" w:hAnsi="Times New Roman" w:cs="Times New Roman"/>
          <w:color w:val="auto"/>
          <w:highlight w:val="none"/>
          <w:lang w:val="en-US" w:eastAsia="zh-CN"/>
        </w:rPr>
        <w:t>四</w:t>
      </w:r>
      <w:r>
        <w:rPr>
          <w:rFonts w:hint="default" w:ascii="Times New Roman" w:hAnsi="Times New Roman" w:cs="Times New Roman"/>
          <w:color w:val="auto"/>
          <w:highlight w:val="none"/>
        </w:rPr>
        <w:t>、商务要求响应及偏离表</w:t>
      </w:r>
    </w:p>
    <w:tbl>
      <w:tblPr>
        <w:tblStyle w:val="25"/>
        <w:tblW w:w="4998" w:type="pct"/>
        <w:tblCellSpacing w:w="0" w:type="dxa"/>
        <w:tblInd w:w="0" w:type="dxa"/>
        <w:tblLayout w:type="autofit"/>
        <w:tblCellMar>
          <w:top w:w="0" w:type="dxa"/>
          <w:left w:w="108" w:type="dxa"/>
          <w:bottom w:w="0" w:type="dxa"/>
          <w:right w:w="108" w:type="dxa"/>
        </w:tblCellMar>
      </w:tblPr>
      <w:tblGrid>
        <w:gridCol w:w="661"/>
        <w:gridCol w:w="2475"/>
        <w:gridCol w:w="2651"/>
        <w:gridCol w:w="1248"/>
        <w:gridCol w:w="1504"/>
      </w:tblGrid>
      <w:tr w14:paraId="08B5EFB8">
        <w:tblPrEx>
          <w:tblCellMar>
            <w:top w:w="0" w:type="dxa"/>
            <w:left w:w="108" w:type="dxa"/>
            <w:bottom w:w="0" w:type="dxa"/>
            <w:right w:w="108" w:type="dxa"/>
          </w:tblCellMar>
        </w:tblPrEx>
        <w:trPr>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B135F">
            <w:pPr>
              <w:pStyle w:val="21"/>
              <w:spacing w:beforeAutospacing="0" w:afterAutospacing="0"/>
              <w:jc w:val="center"/>
              <w:rPr>
                <w:rFonts w:hint="default" w:ascii="Times New Roman" w:hAnsi="Times New Roman" w:cs="Times New Roman"/>
                <w:color w:val="auto"/>
                <w:highlight w:val="none"/>
              </w:rPr>
            </w:pPr>
            <w:bookmarkStart w:id="184" w:name="_Hlt26580838"/>
            <w:bookmarkStart w:id="185" w:name="_Hlt24879081"/>
            <w:bookmarkStart w:id="186" w:name="_Hlt26955056"/>
            <w:bookmarkStart w:id="187" w:name="_Hlt26955064"/>
            <w:bookmarkStart w:id="188" w:name="_Hlt26609391"/>
            <w:bookmarkStart w:id="189" w:name="_Hlt26671372"/>
            <w:bookmarkStart w:id="190" w:name="_Hlt26671343"/>
            <w:bookmarkStart w:id="191" w:name="_Hlt26782999"/>
            <w:r>
              <w:rPr>
                <w:rFonts w:hint="default" w:ascii="Times New Roman" w:hAnsi="Times New Roman" w:eastAsia="宋体" w:cs="Times New Roman"/>
                <w:color w:val="auto"/>
                <w:highlight w:val="none"/>
              </w:rPr>
              <w:t>序号</w:t>
            </w:r>
          </w:p>
          <w:bookmarkEnd w:id="184"/>
          <w:bookmarkEnd w:id="185"/>
          <w:bookmarkEnd w:id="186"/>
          <w:bookmarkEnd w:id="187"/>
          <w:bookmarkEnd w:id="188"/>
          <w:bookmarkEnd w:id="189"/>
          <w:bookmarkEnd w:id="190"/>
          <w:bookmarkEnd w:id="191"/>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6C7E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招标文件要求</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6948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投标响应情况</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81CC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超出、符合或偏离</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E50C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证明</w:t>
            </w:r>
          </w:p>
          <w:p w14:paraId="5C403C0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材料</w:t>
            </w:r>
          </w:p>
        </w:tc>
      </w:tr>
      <w:tr w14:paraId="63A41661">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7B3F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1ED6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5F67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E9B2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B857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4EF95561">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1C357">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E95C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E38F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F228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4C07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3D74BB0">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2D78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21D7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BCA9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8DE6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7AC2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32E9B7B2">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1FA0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4205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48BF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0F01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153C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4B2717D8">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7F8D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57AF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A8D3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513F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241C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0519FFB7">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A4CE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3E55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72B0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F534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BEC0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621244C0">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6128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63AD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E37A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F4D3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2628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5669B8AB">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B7FA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CC3F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0084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C0E4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6CAE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14:paraId="2A7875C8">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注： 行数不够，可自行添加。</w:t>
      </w:r>
    </w:p>
    <w:p w14:paraId="0189D6BF">
      <w:pPr>
        <w:pStyle w:val="21"/>
        <w:spacing w:beforeAutospacing="0" w:afterAutospacing="0" w:line="480" w:lineRule="auto"/>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7B8885B">
      <w:pPr>
        <w:pStyle w:val="21"/>
        <w:spacing w:beforeAutospacing="0" w:afterAutospacing="0" w:line="480" w:lineRule="auto"/>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FDC7C44">
      <w:pPr>
        <w:pStyle w:val="21"/>
        <w:spacing w:beforeAutospacing="0" w:afterAutospacing="0"/>
        <w:jc w:val="center"/>
        <w:rPr>
          <w:rFonts w:hint="default" w:ascii="Times New Roman" w:hAnsi="Times New Roman" w:cs="Times New Roman"/>
          <w:color w:val="auto"/>
          <w:highlight w:val="none"/>
        </w:rPr>
      </w:pPr>
      <w:bookmarkStart w:id="192" w:name="_Toc462564146"/>
      <w:bookmarkStart w:id="193" w:name="_Hlt26671374"/>
      <w:bookmarkStart w:id="194" w:name="_Hlt26955066"/>
      <w:bookmarkStart w:id="195" w:name="_格式2__法定代表人授权书"/>
      <w:bookmarkStart w:id="196" w:name="_Hlt26609389"/>
      <w:r>
        <w:rPr>
          <w:rFonts w:hint="default" w:ascii="Times New Roman" w:hAnsi="Times New Roman" w:cs="Times New Roman"/>
          <w:color w:val="auto"/>
          <w:highlight w:val="none"/>
        </w:rPr>
        <w:t> </w:t>
      </w:r>
    </w:p>
    <w:p w14:paraId="7DFC7EF3">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627F219">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C7164AB">
      <w:pPr>
        <w:pStyle w:val="21"/>
        <w:spacing w:beforeAutospacing="0" w:afterAutospacing="0"/>
        <w:jc w:val="both"/>
        <w:rPr>
          <w:rFonts w:hint="default" w:ascii="Times New Roman" w:hAnsi="Times New Roman" w:cs="Times New Roman"/>
          <w:color w:val="auto"/>
          <w:highlight w:val="none"/>
        </w:rPr>
      </w:pPr>
    </w:p>
    <w:p w14:paraId="5F0E1B9B">
      <w:pPr>
        <w:pStyle w:val="21"/>
        <w:spacing w:beforeAutospacing="0" w:afterAutospacing="0"/>
        <w:jc w:val="both"/>
        <w:rPr>
          <w:rFonts w:hint="default" w:ascii="Times New Roman" w:hAnsi="Times New Roman" w:cs="Times New Roman"/>
          <w:color w:val="auto"/>
          <w:highlight w:val="none"/>
        </w:rPr>
      </w:pPr>
    </w:p>
    <w:p w14:paraId="75AFED91">
      <w:pPr>
        <w:pStyle w:val="21"/>
        <w:spacing w:beforeAutospacing="0" w:afterAutospacing="0"/>
        <w:jc w:val="both"/>
        <w:rPr>
          <w:rFonts w:hint="default" w:ascii="Times New Roman" w:hAnsi="Times New Roman" w:cs="Times New Roman"/>
          <w:color w:val="auto"/>
          <w:highlight w:val="none"/>
        </w:rPr>
      </w:pPr>
    </w:p>
    <w:p w14:paraId="65C0BA42">
      <w:pPr>
        <w:pStyle w:val="21"/>
        <w:spacing w:beforeAutospacing="0" w:afterAutospacing="0"/>
        <w:jc w:val="both"/>
        <w:rPr>
          <w:rFonts w:hint="default" w:ascii="Times New Roman" w:hAnsi="Times New Roman" w:cs="Times New Roman"/>
          <w:color w:val="auto"/>
          <w:highlight w:val="none"/>
        </w:rPr>
      </w:pPr>
    </w:p>
    <w:p w14:paraId="76744F58">
      <w:pPr>
        <w:pStyle w:val="21"/>
        <w:spacing w:beforeAutospacing="0" w:afterAutospacing="0"/>
        <w:jc w:val="both"/>
        <w:rPr>
          <w:rFonts w:hint="default" w:ascii="Times New Roman" w:hAnsi="Times New Roman" w:cs="Times New Roman"/>
          <w:color w:val="auto"/>
          <w:highlight w:val="none"/>
        </w:rPr>
      </w:pPr>
    </w:p>
    <w:p w14:paraId="3D64817B">
      <w:pPr>
        <w:pStyle w:val="21"/>
        <w:spacing w:beforeAutospacing="0" w:afterAutospacing="0"/>
        <w:jc w:val="both"/>
        <w:rPr>
          <w:rFonts w:hint="default" w:ascii="Times New Roman" w:hAnsi="Times New Roman" w:cs="Times New Roman"/>
          <w:color w:val="auto"/>
          <w:highlight w:val="none"/>
        </w:rPr>
      </w:pPr>
    </w:p>
    <w:p w14:paraId="1825274C">
      <w:pPr>
        <w:pStyle w:val="21"/>
        <w:spacing w:beforeAutospacing="0" w:afterAutospacing="0"/>
        <w:jc w:val="both"/>
        <w:rPr>
          <w:rFonts w:hint="default" w:ascii="Times New Roman" w:hAnsi="Times New Roman" w:cs="Times New Roman"/>
          <w:color w:val="auto"/>
          <w:highlight w:val="none"/>
        </w:rPr>
      </w:pPr>
    </w:p>
    <w:p w14:paraId="7BE3F65A">
      <w:pPr>
        <w:pStyle w:val="21"/>
        <w:spacing w:beforeAutospacing="0" w:afterAutospacing="0"/>
        <w:jc w:val="both"/>
        <w:rPr>
          <w:rFonts w:hint="default" w:ascii="Times New Roman" w:hAnsi="Times New Roman" w:cs="Times New Roman"/>
          <w:color w:val="auto"/>
          <w:highlight w:val="none"/>
        </w:rPr>
      </w:pPr>
    </w:p>
    <w:p w14:paraId="6E929167">
      <w:pPr>
        <w:pStyle w:val="21"/>
        <w:spacing w:beforeAutospacing="0" w:afterAutospacing="0"/>
        <w:jc w:val="both"/>
        <w:rPr>
          <w:rFonts w:hint="default" w:ascii="Times New Roman" w:hAnsi="Times New Roman" w:cs="Times New Roman"/>
          <w:color w:val="auto"/>
          <w:highlight w:val="none"/>
        </w:rPr>
      </w:pPr>
    </w:p>
    <w:p w14:paraId="73ACF181">
      <w:pPr>
        <w:pStyle w:val="21"/>
        <w:spacing w:beforeAutospacing="0" w:afterAutospacing="0"/>
        <w:jc w:val="both"/>
        <w:rPr>
          <w:rFonts w:hint="default" w:ascii="Times New Roman" w:hAnsi="Times New Roman" w:cs="Times New Roman"/>
          <w:color w:val="auto"/>
          <w:highlight w:val="none"/>
        </w:rPr>
      </w:pPr>
    </w:p>
    <w:p w14:paraId="3E2DED04">
      <w:pPr>
        <w:pStyle w:val="21"/>
        <w:spacing w:beforeAutospacing="0" w:afterAutospacing="0"/>
        <w:jc w:val="both"/>
        <w:rPr>
          <w:rFonts w:hint="default" w:ascii="Times New Roman" w:hAnsi="Times New Roman" w:cs="Times New Roman"/>
          <w:color w:val="auto"/>
          <w:highlight w:val="none"/>
        </w:rPr>
      </w:pPr>
    </w:p>
    <w:p w14:paraId="336C6F8A">
      <w:pPr>
        <w:pStyle w:val="21"/>
        <w:spacing w:beforeAutospacing="0" w:afterAutospacing="0"/>
        <w:jc w:val="both"/>
        <w:rPr>
          <w:rFonts w:hint="default" w:ascii="Times New Roman" w:hAnsi="Times New Roman" w:cs="Times New Roman"/>
          <w:color w:val="auto"/>
          <w:highlight w:val="none"/>
        </w:rPr>
      </w:pPr>
    </w:p>
    <w:p w14:paraId="18A9B162">
      <w:pPr>
        <w:pStyle w:val="21"/>
        <w:spacing w:beforeAutospacing="0" w:afterAutospacing="0"/>
        <w:jc w:val="both"/>
        <w:rPr>
          <w:rFonts w:hint="default" w:ascii="Times New Roman" w:hAnsi="Times New Roman" w:cs="Times New Roman"/>
          <w:color w:val="auto"/>
          <w:highlight w:val="none"/>
        </w:rPr>
      </w:pPr>
    </w:p>
    <w:p w14:paraId="7B6DE2CC">
      <w:pPr>
        <w:rPr>
          <w:rFonts w:hint="default" w:ascii="Times New Roman" w:hAnsi="Times New Roman" w:eastAsia="黑体" w:cs="Times New Roman"/>
          <w:b/>
          <w:i/>
          <w:color w:val="auto"/>
          <w:sz w:val="32"/>
          <w:szCs w:val="32"/>
          <w:highlight w:val="none"/>
          <w:u w:val="single"/>
        </w:rPr>
      </w:pPr>
      <w:r>
        <w:rPr>
          <w:rFonts w:hint="default" w:ascii="Times New Roman" w:hAnsi="Times New Roman" w:eastAsia="黑体" w:cs="Times New Roman"/>
          <w:b/>
          <w:i/>
          <w:color w:val="auto"/>
          <w:sz w:val="32"/>
          <w:szCs w:val="32"/>
          <w:highlight w:val="none"/>
          <w:u w:val="single"/>
        </w:rPr>
        <w:br w:type="page"/>
      </w:r>
    </w:p>
    <w:p w14:paraId="1BB508CB">
      <w:pPr>
        <w:pStyle w:val="51"/>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eastAsia" w:ascii="Times New Roman" w:hAnsi="Times New Roman" w:cs="Times New Roman"/>
          <w:color w:val="auto"/>
          <w:highlight w:val="none"/>
          <w:lang w:val="en-US" w:eastAsia="zh-CN"/>
        </w:rPr>
        <w:t>五</w:t>
      </w:r>
      <w:r>
        <w:rPr>
          <w:rFonts w:hint="default" w:ascii="Times New Roman" w:hAnsi="Times New Roman" w:cs="Times New Roman"/>
          <w:color w:val="auto"/>
          <w:highlight w:val="none"/>
        </w:rPr>
        <w:t>、开标一览表</w:t>
      </w:r>
    </w:p>
    <w:p w14:paraId="2D9349A9">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投标人全称（加盖CA电子签章）：</w:t>
      </w:r>
    </w:p>
    <w:p w14:paraId="5935BE7A">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项目名称：</w:t>
      </w:r>
    </w:p>
    <w:p w14:paraId="68E56E46">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招标编号：  </w:t>
      </w:r>
    </w:p>
    <w:p w14:paraId="310491DE">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分包号：</w:t>
      </w:r>
    </w:p>
    <w:tbl>
      <w:tblPr>
        <w:tblStyle w:val="25"/>
        <w:tblW w:w="8206" w:type="dxa"/>
        <w:tblCellSpacing w:w="0" w:type="dxa"/>
        <w:tblInd w:w="118" w:type="dxa"/>
        <w:tblLayout w:type="fixed"/>
        <w:tblCellMar>
          <w:top w:w="0" w:type="dxa"/>
          <w:left w:w="108" w:type="dxa"/>
          <w:bottom w:w="0" w:type="dxa"/>
          <w:right w:w="108" w:type="dxa"/>
        </w:tblCellMar>
      </w:tblPr>
      <w:tblGrid>
        <w:gridCol w:w="8206"/>
      </w:tblGrid>
      <w:tr w14:paraId="27DC4B8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45CE">
            <w:pPr>
              <w:pStyle w:val="21"/>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投标总报价</w:t>
            </w:r>
          </w:p>
        </w:tc>
      </w:tr>
      <w:tr w14:paraId="7DE755B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5396">
            <w:pPr>
              <w:pStyle w:val="21"/>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小写：                  （人民币：元）</w:t>
            </w:r>
          </w:p>
        </w:tc>
      </w:tr>
    </w:tbl>
    <w:p w14:paraId="61EAFA82">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4EAD37D">
      <w:pPr>
        <w:pStyle w:val="21"/>
        <w:spacing w:beforeAutospacing="0" w:after="120" w:afterAutospacing="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日期：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441C73C3">
      <w:pPr>
        <w:pStyle w:val="21"/>
        <w:spacing w:beforeAutospacing="0" w:afterAutospacing="0"/>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C8D912B">
      <w:pPr>
        <w:widowControl/>
        <w:spacing w:before="50" w:after="5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ab/>
      </w:r>
    </w:p>
    <w:p w14:paraId="3C363430">
      <w:pPr>
        <w:widowControl/>
        <w:spacing w:before="50" w:after="50"/>
        <w:jc w:val="center"/>
        <w:rPr>
          <w:rFonts w:hint="default" w:ascii="Times New Roman" w:hAnsi="Times New Roman" w:cs="Times New Roman"/>
          <w:color w:val="auto"/>
          <w:highlight w:val="none"/>
        </w:rPr>
      </w:pPr>
    </w:p>
    <w:p w14:paraId="2ACDE56A">
      <w:pPr>
        <w:widowControl/>
        <w:spacing w:before="50" w:after="50"/>
        <w:jc w:val="center"/>
        <w:rPr>
          <w:rFonts w:hint="default" w:ascii="Times New Roman" w:hAnsi="Times New Roman" w:cs="Times New Roman"/>
          <w:color w:val="auto"/>
          <w:highlight w:val="none"/>
        </w:rPr>
      </w:pPr>
    </w:p>
    <w:p w14:paraId="6C9FE14D">
      <w:pPr>
        <w:widowControl/>
        <w:spacing w:before="50" w:after="50"/>
        <w:jc w:val="center"/>
        <w:rPr>
          <w:rFonts w:hint="default" w:ascii="Times New Roman" w:hAnsi="Times New Roman" w:cs="Times New Roman"/>
          <w:color w:val="auto"/>
          <w:highlight w:val="none"/>
        </w:rPr>
      </w:pPr>
    </w:p>
    <w:p w14:paraId="5C0D5099">
      <w:pPr>
        <w:widowControl/>
        <w:spacing w:before="50" w:after="50"/>
        <w:jc w:val="center"/>
        <w:rPr>
          <w:rFonts w:hint="default" w:ascii="Times New Roman" w:hAnsi="Times New Roman" w:cs="Times New Roman"/>
          <w:color w:val="auto"/>
          <w:highlight w:val="none"/>
        </w:rPr>
      </w:pPr>
    </w:p>
    <w:p w14:paraId="3723C5AA">
      <w:pPr>
        <w:widowControl/>
        <w:spacing w:before="50" w:after="50"/>
        <w:jc w:val="center"/>
        <w:rPr>
          <w:rFonts w:hint="default" w:ascii="Times New Roman" w:hAnsi="Times New Roman" w:cs="Times New Roman"/>
          <w:color w:val="auto"/>
          <w:highlight w:val="none"/>
        </w:rPr>
      </w:pPr>
    </w:p>
    <w:p w14:paraId="3DF9496F">
      <w:pP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r>
    </w:p>
    <w:p w14:paraId="18198E95">
      <w:pPr>
        <w:pStyle w:val="51"/>
        <w:widowControl/>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eastAsia" w:ascii="Times New Roman" w:hAnsi="Times New Roman" w:cs="Times New Roman"/>
          <w:color w:val="auto"/>
          <w:highlight w:val="none"/>
          <w:lang w:val="en-US" w:eastAsia="zh-CN"/>
        </w:rPr>
        <w:t>六</w:t>
      </w:r>
      <w:r>
        <w:rPr>
          <w:rFonts w:hint="default" w:ascii="Times New Roman" w:hAnsi="Times New Roman" w:cs="Times New Roman"/>
          <w:color w:val="auto"/>
          <w:highlight w:val="none"/>
        </w:rPr>
        <w:t>、技术方案、服务承诺、培训承诺等</w:t>
      </w:r>
    </w:p>
    <w:p w14:paraId="74A2A739">
      <w:pPr>
        <w:widowControl/>
        <w:spacing w:line="499" w:lineRule="atLeast"/>
        <w:ind w:firstLine="1600"/>
        <w:rPr>
          <w:rFonts w:hint="default" w:ascii="Times New Roman" w:hAnsi="Times New Roman" w:eastAsia="宋体" w:cs="Times New Roman"/>
          <w:color w:val="auto"/>
          <w:sz w:val="32"/>
          <w:szCs w:val="32"/>
          <w:highlight w:val="none"/>
        </w:rPr>
      </w:pPr>
    </w:p>
    <w:p w14:paraId="6A85A1D4">
      <w:pPr>
        <w:widowControl/>
        <w:spacing w:line="499" w:lineRule="atLeast"/>
        <w:ind w:firstLine="1600"/>
        <w:rPr>
          <w:rFonts w:hint="default" w:ascii="Times New Roman" w:hAnsi="Times New Roman" w:eastAsia="宋体" w:cs="Times New Roman"/>
          <w:color w:val="auto"/>
          <w:sz w:val="32"/>
          <w:szCs w:val="32"/>
          <w:highlight w:val="none"/>
        </w:rPr>
      </w:pPr>
    </w:p>
    <w:p w14:paraId="393DB9C4">
      <w:pPr>
        <w:widowControl/>
        <w:spacing w:line="499" w:lineRule="atLeast"/>
        <w:ind w:firstLine="1600"/>
        <w:rPr>
          <w:rFonts w:hint="default" w:ascii="Times New Roman" w:hAnsi="Times New Roman" w:eastAsia="宋体" w:cs="Times New Roman"/>
          <w:color w:val="auto"/>
          <w:sz w:val="32"/>
          <w:szCs w:val="32"/>
          <w:highlight w:val="none"/>
        </w:rPr>
      </w:pPr>
    </w:p>
    <w:p w14:paraId="7ECDE9C8">
      <w:pPr>
        <w:widowControl/>
        <w:spacing w:line="499" w:lineRule="atLeast"/>
        <w:ind w:firstLine="1600"/>
        <w:rPr>
          <w:rFonts w:hint="default" w:ascii="Times New Roman" w:hAnsi="Times New Roman" w:eastAsia="宋体" w:cs="Times New Roman"/>
          <w:color w:val="auto"/>
          <w:sz w:val="32"/>
          <w:szCs w:val="32"/>
          <w:highlight w:val="none"/>
        </w:rPr>
      </w:pPr>
    </w:p>
    <w:p w14:paraId="542A04DB">
      <w:pPr>
        <w:widowControl/>
        <w:spacing w:line="499" w:lineRule="atLeast"/>
        <w:ind w:firstLine="1600"/>
        <w:rPr>
          <w:rFonts w:hint="default" w:ascii="Times New Roman" w:hAnsi="Times New Roman" w:eastAsia="宋体" w:cs="Times New Roman"/>
          <w:color w:val="auto"/>
          <w:sz w:val="32"/>
          <w:szCs w:val="32"/>
          <w:highlight w:val="none"/>
        </w:rPr>
      </w:pPr>
    </w:p>
    <w:p w14:paraId="7C783D9B">
      <w:pPr>
        <w:widowControl/>
        <w:spacing w:line="499" w:lineRule="atLeast"/>
        <w:ind w:firstLine="1600"/>
        <w:rPr>
          <w:rFonts w:hint="default" w:ascii="Times New Roman" w:hAnsi="Times New Roman" w:eastAsia="宋体" w:cs="Times New Roman"/>
          <w:color w:val="auto"/>
          <w:sz w:val="32"/>
          <w:szCs w:val="32"/>
          <w:highlight w:val="none"/>
        </w:rPr>
      </w:pPr>
    </w:p>
    <w:p w14:paraId="417E7B1D">
      <w:pPr>
        <w:widowControl/>
        <w:spacing w:line="499" w:lineRule="atLeast"/>
        <w:ind w:firstLine="1600"/>
        <w:rPr>
          <w:rFonts w:hint="default" w:ascii="Times New Roman" w:hAnsi="Times New Roman" w:eastAsia="宋体" w:cs="Times New Roman"/>
          <w:color w:val="auto"/>
          <w:sz w:val="32"/>
          <w:szCs w:val="32"/>
          <w:highlight w:val="none"/>
        </w:rPr>
      </w:pPr>
    </w:p>
    <w:p w14:paraId="04D33EDA">
      <w:pPr>
        <w:widowControl/>
        <w:spacing w:line="499" w:lineRule="atLeast"/>
        <w:ind w:firstLine="1600"/>
        <w:rPr>
          <w:rFonts w:hint="default" w:ascii="Times New Roman" w:hAnsi="Times New Roman" w:eastAsia="宋体" w:cs="Times New Roman"/>
          <w:color w:val="auto"/>
          <w:sz w:val="32"/>
          <w:szCs w:val="32"/>
          <w:highlight w:val="none"/>
        </w:rPr>
      </w:pPr>
    </w:p>
    <w:p w14:paraId="725C80E8">
      <w:pPr>
        <w:widowControl/>
        <w:spacing w:line="499" w:lineRule="atLeast"/>
        <w:ind w:firstLine="1600"/>
        <w:rPr>
          <w:rFonts w:hint="default" w:ascii="Times New Roman" w:hAnsi="Times New Roman" w:eastAsia="宋体" w:cs="Times New Roman"/>
          <w:color w:val="auto"/>
          <w:sz w:val="32"/>
          <w:szCs w:val="32"/>
          <w:highlight w:val="none"/>
        </w:rPr>
      </w:pPr>
    </w:p>
    <w:p w14:paraId="2DADBFBF">
      <w:pPr>
        <w:widowControl/>
        <w:spacing w:line="499" w:lineRule="atLeast"/>
        <w:ind w:firstLine="1600"/>
        <w:rPr>
          <w:rFonts w:hint="default" w:ascii="Times New Roman" w:hAnsi="Times New Roman" w:eastAsia="宋体" w:cs="Times New Roman"/>
          <w:color w:val="auto"/>
          <w:sz w:val="32"/>
          <w:szCs w:val="32"/>
          <w:highlight w:val="none"/>
        </w:rPr>
      </w:pPr>
    </w:p>
    <w:p w14:paraId="03FC0510">
      <w:pPr>
        <w:widowControl/>
        <w:spacing w:line="499" w:lineRule="atLeast"/>
        <w:ind w:firstLine="1600"/>
        <w:rPr>
          <w:rFonts w:hint="default" w:ascii="Times New Roman" w:hAnsi="Times New Roman" w:eastAsia="宋体" w:cs="Times New Roman"/>
          <w:color w:val="auto"/>
          <w:sz w:val="32"/>
          <w:szCs w:val="32"/>
          <w:highlight w:val="none"/>
        </w:rPr>
      </w:pPr>
    </w:p>
    <w:p w14:paraId="20C588AD">
      <w:pPr>
        <w:widowControl/>
        <w:spacing w:line="499" w:lineRule="atLeast"/>
        <w:ind w:firstLine="1600"/>
        <w:rPr>
          <w:rFonts w:hint="default" w:ascii="Times New Roman" w:hAnsi="Times New Roman" w:eastAsia="宋体" w:cs="Times New Roman"/>
          <w:color w:val="auto"/>
          <w:sz w:val="32"/>
          <w:szCs w:val="32"/>
          <w:highlight w:val="none"/>
        </w:rPr>
      </w:pPr>
    </w:p>
    <w:p w14:paraId="326BCDC2">
      <w:pPr>
        <w:widowControl/>
        <w:spacing w:line="499" w:lineRule="atLeast"/>
        <w:ind w:firstLine="1600"/>
        <w:rPr>
          <w:rFonts w:hint="default" w:ascii="Times New Roman" w:hAnsi="Times New Roman" w:eastAsia="宋体" w:cs="Times New Roman"/>
          <w:color w:val="auto"/>
          <w:sz w:val="32"/>
          <w:szCs w:val="32"/>
          <w:highlight w:val="none"/>
        </w:rPr>
      </w:pPr>
    </w:p>
    <w:p w14:paraId="15A31552">
      <w:pPr>
        <w:widowControl/>
        <w:spacing w:line="499" w:lineRule="atLeast"/>
        <w:ind w:firstLine="1600"/>
        <w:rPr>
          <w:rFonts w:hint="default" w:ascii="Times New Roman" w:hAnsi="Times New Roman" w:eastAsia="宋体" w:cs="Times New Roman"/>
          <w:color w:val="auto"/>
          <w:sz w:val="32"/>
          <w:szCs w:val="32"/>
          <w:highlight w:val="none"/>
        </w:rPr>
      </w:pPr>
    </w:p>
    <w:p w14:paraId="7D9CDC2F">
      <w:pPr>
        <w:widowControl/>
        <w:spacing w:line="499" w:lineRule="atLeast"/>
        <w:ind w:firstLine="1600"/>
        <w:rPr>
          <w:rFonts w:hint="default" w:ascii="Times New Roman" w:hAnsi="Times New Roman" w:eastAsia="宋体" w:cs="Times New Roman"/>
          <w:color w:val="auto"/>
          <w:sz w:val="32"/>
          <w:szCs w:val="32"/>
          <w:highlight w:val="none"/>
        </w:rPr>
      </w:pPr>
    </w:p>
    <w:p w14:paraId="3F859832">
      <w:pPr>
        <w:widowControl/>
        <w:spacing w:line="499" w:lineRule="atLeast"/>
        <w:rPr>
          <w:rFonts w:hint="default" w:ascii="Times New Roman" w:hAnsi="Times New Roman" w:eastAsia="宋体" w:cs="Times New Roman"/>
          <w:color w:val="auto"/>
          <w:sz w:val="32"/>
          <w:szCs w:val="32"/>
          <w:highlight w:val="none"/>
        </w:rPr>
      </w:pPr>
    </w:p>
    <w:p w14:paraId="6550BC38">
      <w:pPr>
        <w:widowControl/>
        <w:spacing w:line="499" w:lineRule="atLeast"/>
        <w:ind w:firstLine="1600"/>
        <w:rPr>
          <w:rFonts w:hint="default" w:ascii="Times New Roman" w:hAnsi="Times New Roman" w:eastAsia="宋体" w:cs="Times New Roman"/>
          <w:color w:val="auto"/>
          <w:sz w:val="32"/>
          <w:szCs w:val="32"/>
          <w:highlight w:val="none"/>
        </w:rPr>
      </w:pPr>
    </w:p>
    <w:p w14:paraId="662610B9">
      <w:pP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r>
    </w:p>
    <w:p w14:paraId="277D0B34">
      <w:pPr>
        <w:pStyle w:val="51"/>
        <w:widowControl/>
        <w:tabs>
          <w:tab w:val="left" w:pos="482"/>
        </w:tabs>
        <w:ind w:left="0" w:leftChars="0" w:firstLine="482" w:firstLineChars="200"/>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eastAsia" w:ascii="Times New Roman" w:hAnsi="Times New Roman" w:cs="Times New Roman"/>
          <w:color w:val="auto"/>
          <w:highlight w:val="none"/>
          <w:lang w:val="en-US" w:eastAsia="zh-CN"/>
        </w:rPr>
        <w:t>七</w:t>
      </w:r>
      <w:r>
        <w:rPr>
          <w:rFonts w:hint="default" w:ascii="Times New Roman" w:hAnsi="Times New Roman" w:cs="Times New Roman"/>
          <w:color w:val="auto"/>
          <w:highlight w:val="none"/>
        </w:rPr>
        <w:t>、盐都区政府采购事前信用承诺书</w:t>
      </w:r>
    </w:p>
    <w:p w14:paraId="2A2C3A9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为营造我市公开、公平、公正、诚实守信的政府采购交易环境，树立诚信守法的投标人形象，本人代表本单位作出以下承诺：</w:t>
      </w:r>
    </w:p>
    <w:p w14:paraId="23249375">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EB43483">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本单位无涉及政府采购活动的违法、违规不良记录，我公司及相关负责人无因存在重大隐患整改不力、发生有重大社会影响生产安全事故或其他严重违法违规行为而被列入失信联合惩戒的不良记录；</w:t>
      </w:r>
    </w:p>
    <w:p w14:paraId="0FF6F38A">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严格依照国家和省、市关于政府采购的法律、法规、规章、规范性文件，参加政府采购投标活动；积极履行社会责任，促进廉政建设； </w:t>
      </w:r>
    </w:p>
    <w:p w14:paraId="67E614B6">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严格遵守即时信息公示规定，及时维护和更新盐城市政府采购网中与本单位相关的信息；</w:t>
      </w:r>
    </w:p>
    <w:p w14:paraId="27D5CB74">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自我约束、自我管理，守合同、重信用，自觉维护政府采购交易的良好秩序，与参与本次政府采购活动的其他供应商不存在直接控股或管理关系，不参与围标串标、弄虚作假、骗取中标、干扰评标、违约毁约等行为；</w:t>
      </w:r>
    </w:p>
    <w:p w14:paraId="5F682684">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自觉接受政府、行业组织、社会公众、新闻舆论的监督；</w:t>
      </w:r>
    </w:p>
    <w:p w14:paraId="0C6AF14D">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8E26259">
      <w:pPr>
        <w:pStyle w:val="12"/>
        <w:numPr>
          <w:ilvl w:val="0"/>
          <w:numId w:val="68"/>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本人已认真阅读了上述承诺，并向本单位员工作了宣传教育。</w:t>
      </w:r>
    </w:p>
    <w:p w14:paraId="767FF0BB">
      <w:pPr>
        <w:pageBreakBefore w:val="0"/>
        <w:kinsoku/>
        <w:wordWrap/>
        <w:overflowPunct/>
        <w:topLinePunct w:val="0"/>
        <w:autoSpaceDE/>
        <w:autoSpaceDN/>
        <w:bidi w:val="0"/>
        <w:adjustRightInd/>
        <w:snapToGrid/>
        <w:spacing w:after="120" w:afterAutospacing="0" w:line="360" w:lineRule="auto"/>
        <w:ind w:left="0" w:leftChars="0" w:right="0" w:rightChars="0" w:firstLine="468" w:firstLineChars="200"/>
        <w:textAlignment w:val="auto"/>
        <w:rPr>
          <w:rFonts w:hint="default" w:ascii="Times New Roman" w:hAnsi="Times New Roman" w:eastAsia="宋体" w:cs="Times New Roman"/>
          <w:color w:val="auto"/>
          <w:spacing w:val="-3"/>
          <w:sz w:val="24"/>
          <w:szCs w:val="24"/>
          <w:highlight w:val="none"/>
          <w:lang w:bidi="zh-CN"/>
          <w14:ligatures w14:val="standardContextual"/>
        </w:rPr>
      </w:pPr>
      <w:r>
        <w:rPr>
          <w:rFonts w:hint="default" w:ascii="Times New Roman" w:hAnsi="Times New Roman" w:eastAsia="宋体" w:cs="Times New Roman"/>
          <w:color w:val="auto"/>
          <w:spacing w:val="-3"/>
          <w:sz w:val="24"/>
          <w:szCs w:val="24"/>
          <w:highlight w:val="none"/>
          <w:lang w:bidi="zh-CN"/>
          <w14:ligatures w14:val="standardContextual"/>
        </w:rPr>
        <w:t>                  法定代表人签名：</w:t>
      </w:r>
    </w:p>
    <w:p w14:paraId="53773852">
      <w:pPr>
        <w:pageBreakBefore w:val="0"/>
        <w:kinsoku/>
        <w:wordWrap/>
        <w:overflowPunct/>
        <w:topLinePunct w:val="0"/>
        <w:autoSpaceDE/>
        <w:autoSpaceDN/>
        <w:bidi w:val="0"/>
        <w:adjustRightInd/>
        <w:snapToGrid/>
        <w:spacing w:after="120" w:afterAutospacing="0" w:line="360" w:lineRule="auto"/>
        <w:ind w:left="0" w:leftChars="0" w:right="0" w:rightChars="0" w:firstLine="468" w:firstLineChars="200"/>
        <w:textAlignment w:val="auto"/>
        <w:rPr>
          <w:rFonts w:hint="default" w:ascii="Times New Roman" w:hAnsi="Times New Roman" w:eastAsia="宋体" w:cs="Times New Roman"/>
          <w:color w:val="auto"/>
          <w:spacing w:val="-3"/>
          <w:sz w:val="24"/>
          <w:szCs w:val="24"/>
          <w:highlight w:val="none"/>
          <w:lang w:bidi="zh-CN"/>
          <w14:ligatures w14:val="standardContextual"/>
        </w:rPr>
      </w:pPr>
      <w:r>
        <w:rPr>
          <w:rFonts w:hint="default" w:ascii="Times New Roman" w:hAnsi="Times New Roman" w:eastAsia="宋体" w:cs="Times New Roman"/>
          <w:color w:val="auto"/>
          <w:spacing w:val="-3"/>
          <w:sz w:val="24"/>
          <w:szCs w:val="24"/>
          <w:highlight w:val="none"/>
          <w:lang w:bidi="zh-CN"/>
          <w14:ligatures w14:val="standardContextual"/>
        </w:rPr>
        <w:t>                  单位名称（盖章）：</w:t>
      </w:r>
    </w:p>
    <w:p w14:paraId="188A903A">
      <w:pPr>
        <w:pageBreakBefore w:val="0"/>
        <w:kinsoku/>
        <w:wordWrap/>
        <w:overflowPunct/>
        <w:topLinePunct w:val="0"/>
        <w:autoSpaceDE/>
        <w:autoSpaceDN/>
        <w:bidi w:val="0"/>
        <w:adjustRightInd/>
        <w:snapToGrid/>
        <w:spacing w:after="120" w:afterAutospacing="0" w:line="360" w:lineRule="auto"/>
        <w:ind w:left="0" w:leftChars="0" w:right="0" w:rightChars="0" w:firstLine="468" w:firstLineChars="200"/>
        <w:textAlignment w:val="auto"/>
        <w:rPr>
          <w:rFonts w:hint="default" w:ascii="Times New Roman" w:hAnsi="Times New Roman" w:eastAsia="宋体" w:cs="Times New Roman"/>
          <w:color w:val="auto"/>
          <w:spacing w:val="-3"/>
          <w:sz w:val="24"/>
          <w:szCs w:val="24"/>
          <w:highlight w:val="none"/>
          <w:lang w:bidi="zh-CN"/>
          <w14:ligatures w14:val="standardContextual"/>
        </w:rPr>
      </w:pPr>
      <w:r>
        <w:rPr>
          <w:rFonts w:hint="default" w:ascii="Times New Roman" w:hAnsi="Times New Roman" w:eastAsia="宋体" w:cs="Times New Roman"/>
          <w:color w:val="auto"/>
          <w:spacing w:val="-3"/>
          <w:sz w:val="24"/>
          <w:szCs w:val="24"/>
          <w:highlight w:val="none"/>
          <w:lang w:bidi="zh-CN"/>
          <w14:ligatures w14:val="standardContextual"/>
        </w:rPr>
        <w:t>                      年月日</w:t>
      </w:r>
    </w:p>
    <w:p w14:paraId="5973AECD">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default" w:ascii="Times New Roman" w:hAnsi="Times New Roman" w:cs="Times New Roman"/>
          <w:color w:val="auto"/>
          <w:highlight w:val="none"/>
        </w:rPr>
      </w:pPr>
    </w:p>
    <w:bookmarkEnd w:id="0"/>
    <w:bookmarkEnd w:id="38"/>
    <w:bookmarkEnd w:id="83"/>
    <w:bookmarkEnd w:id="84"/>
    <w:bookmarkEnd w:id="85"/>
    <w:bookmarkEnd w:id="88"/>
    <w:bookmarkEnd w:id="89"/>
    <w:bookmarkEnd w:id="90"/>
    <w:bookmarkEnd w:id="91"/>
    <w:bookmarkEnd w:id="92"/>
    <w:bookmarkEnd w:id="93"/>
    <w:bookmarkEnd w:id="94"/>
    <w:bookmarkEnd w:id="95"/>
    <w:bookmarkEnd w:id="96"/>
    <w:bookmarkEnd w:id="97"/>
    <w:bookmarkEnd w:id="98"/>
    <w:bookmarkEnd w:id="99"/>
    <w:bookmarkEnd w:id="100"/>
    <w:bookmarkEnd w:id="105"/>
    <w:bookmarkEnd w:id="106"/>
    <w:bookmarkEnd w:id="107"/>
    <w:bookmarkEnd w:id="112"/>
    <w:bookmarkEnd w:id="113"/>
    <w:bookmarkEnd w:id="120"/>
    <w:bookmarkEnd w:id="169"/>
    <w:bookmarkEnd w:id="172"/>
    <w:bookmarkEnd w:id="177"/>
    <w:bookmarkEnd w:id="178"/>
    <w:bookmarkEnd w:id="180"/>
    <w:bookmarkEnd w:id="181"/>
    <w:bookmarkEnd w:id="182"/>
    <w:bookmarkEnd w:id="183"/>
    <w:bookmarkEnd w:id="192"/>
    <w:bookmarkEnd w:id="193"/>
    <w:bookmarkEnd w:id="194"/>
    <w:bookmarkEnd w:id="195"/>
    <w:bookmarkEnd w:id="196"/>
    <w:p w14:paraId="455A4139">
      <w:pPr>
        <w:pStyle w:val="22"/>
        <w:outlineLvl w:val="0"/>
        <w:rPr>
          <w:rFonts w:hint="default" w:ascii="Times New Roman" w:hAnsi="Times New Roman" w:cs="Times New Roman"/>
          <w:color w:val="auto"/>
          <w:highlight w:val="none"/>
        </w:rPr>
      </w:pPr>
      <w:r>
        <w:rPr>
          <w:rFonts w:hint="default" w:ascii="Times New Roman" w:hAnsi="Times New Roman" w:cs="Times New Roman"/>
          <w:color w:val="auto"/>
          <w:highlight w:val="none"/>
        </w:rPr>
        <w:t>质疑函范本</w:t>
      </w:r>
    </w:p>
    <w:p w14:paraId="5CE2F8A0">
      <w:pPr>
        <w:pStyle w:val="3"/>
        <w:numPr>
          <w:ilvl w:val="0"/>
          <w:numId w:val="69"/>
        </w:numPr>
        <w:tabs>
          <w:tab w:val="left" w:pos="963"/>
        </w:tabs>
        <w:topLinePunct w:val="0"/>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质疑供应商基本信息</w:t>
      </w:r>
    </w:p>
    <w:p w14:paraId="07E5D83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质疑供应商：</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577E1A8D">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地址：</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w:t>
      </w:r>
    </w:p>
    <w:p w14:paraId="6C2BF6D3">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邮编：</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71DBBAC5">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联系人：</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3645650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联系电话：</w:t>
      </w:r>
      <w:r>
        <w:rPr>
          <w:rFonts w:hint="default" w:ascii="Times New Roman" w:hAnsi="Times New Roman" w:cs="Times New Roman"/>
          <w:color w:val="auto"/>
          <w:highlight w:val="none"/>
          <w:u w:val="single"/>
        </w:rPr>
        <w:t xml:space="preserve">                                           </w:t>
      </w:r>
    </w:p>
    <w:p w14:paraId="09F6694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授权代表：</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691133A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联系电话：</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01BE9E22">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地址： </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4002AF0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邮编：</w:t>
      </w:r>
      <w:r>
        <w:rPr>
          <w:rFonts w:hint="default" w:ascii="Times New Roman" w:hAnsi="Times New Roman" w:cs="Times New Roman"/>
          <w:color w:val="auto"/>
          <w:highlight w:val="none"/>
          <w:u w:val="single"/>
        </w:rPr>
        <w:t xml:space="preserve">                                </w:t>
      </w:r>
    </w:p>
    <w:p w14:paraId="01017C9D">
      <w:pPr>
        <w:pStyle w:val="3"/>
        <w:numPr>
          <w:ilvl w:val="0"/>
          <w:numId w:val="69"/>
        </w:numPr>
        <w:tabs>
          <w:tab w:val="left" w:pos="963"/>
        </w:tabs>
        <w:topLinePunct w:val="0"/>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质疑项目基本情况</w:t>
      </w:r>
    </w:p>
    <w:p w14:paraId="067AFCB6">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质疑项目的名称：</w:t>
      </w:r>
      <w:r>
        <w:rPr>
          <w:rFonts w:hint="default" w:ascii="Times New Roman" w:hAnsi="Times New Roman" w:cs="Times New Roman"/>
          <w:color w:val="auto"/>
          <w:highlight w:val="none"/>
          <w:u w:val="single"/>
        </w:rPr>
        <w:t xml:space="preserve">                            </w:t>
      </w:r>
    </w:p>
    <w:p w14:paraId="20388830">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质疑项目的编号：</w:t>
      </w:r>
      <w:r>
        <w:rPr>
          <w:rFonts w:hint="default" w:ascii="Times New Roman" w:hAnsi="Times New Roman" w:cs="Times New Roman"/>
          <w:color w:val="auto"/>
          <w:highlight w:val="none"/>
          <w:u w:val="single"/>
        </w:rPr>
        <w:t xml:space="preserve">                          </w:t>
      </w:r>
    </w:p>
    <w:p w14:paraId="6F4BD9E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包号：</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6265647A">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采购人名称：</w:t>
      </w:r>
      <w:r>
        <w:rPr>
          <w:rFonts w:hint="default" w:ascii="Times New Roman" w:hAnsi="Times New Roman" w:cs="Times New Roman"/>
          <w:color w:val="auto"/>
          <w:highlight w:val="none"/>
          <w:u w:val="single"/>
        </w:rPr>
        <w:t xml:space="preserve">                            </w:t>
      </w:r>
    </w:p>
    <w:p w14:paraId="407116E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采购文件获取日期：</w:t>
      </w:r>
      <w:r>
        <w:rPr>
          <w:rFonts w:hint="default" w:ascii="Times New Roman" w:hAnsi="Times New Roman" w:cs="Times New Roman"/>
          <w:color w:val="auto"/>
          <w:highlight w:val="none"/>
          <w:u w:val="single"/>
        </w:rPr>
        <w:t xml:space="preserve">                             </w:t>
      </w:r>
    </w:p>
    <w:p w14:paraId="69EA744F">
      <w:pPr>
        <w:pStyle w:val="3"/>
        <w:numPr>
          <w:ilvl w:val="0"/>
          <w:numId w:val="69"/>
        </w:numPr>
        <w:tabs>
          <w:tab w:val="left" w:pos="963"/>
        </w:tabs>
        <w:topLinePunct w:val="0"/>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质疑事项具体内容</w:t>
      </w:r>
    </w:p>
    <w:p w14:paraId="7EA1A11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质疑事项1：</w:t>
      </w:r>
      <w:r>
        <w:rPr>
          <w:rFonts w:hint="default" w:ascii="Times New Roman" w:hAnsi="Times New Roman" w:cs="Times New Roman"/>
          <w:color w:val="auto"/>
          <w:highlight w:val="none"/>
          <w:u w:val="single"/>
        </w:rPr>
        <w:t xml:space="preserve">                             </w:t>
      </w:r>
    </w:p>
    <w:p w14:paraId="0984C797">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事实依据：</w:t>
      </w:r>
      <w:r>
        <w:rPr>
          <w:rFonts w:hint="default" w:ascii="Times New Roman" w:hAnsi="Times New Roman" w:cs="Times New Roman"/>
          <w:color w:val="auto"/>
          <w:highlight w:val="none"/>
          <w:u w:val="single"/>
        </w:rPr>
        <w:t xml:space="preserve">                                                   </w:t>
      </w:r>
    </w:p>
    <w:p w14:paraId="7137CF55">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法律依据：</w:t>
      </w:r>
      <w:r>
        <w:rPr>
          <w:rFonts w:hint="default" w:ascii="Times New Roman" w:hAnsi="Times New Roman" w:cs="Times New Roman"/>
          <w:color w:val="auto"/>
          <w:highlight w:val="none"/>
          <w:u w:val="single"/>
        </w:rPr>
        <w:t xml:space="preserve">                                                    </w:t>
      </w:r>
    </w:p>
    <w:p w14:paraId="49682AC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质疑事项2</w:t>
      </w:r>
    </w:p>
    <w:p w14:paraId="7DC77106">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p w14:paraId="679AF682">
      <w:pPr>
        <w:pStyle w:val="3"/>
        <w:numPr>
          <w:ilvl w:val="0"/>
          <w:numId w:val="69"/>
        </w:numPr>
        <w:tabs>
          <w:tab w:val="left" w:pos="963"/>
        </w:tabs>
        <w:topLinePunct w:val="0"/>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与质疑事项相关的质疑请求</w:t>
      </w:r>
    </w:p>
    <w:p w14:paraId="5D7E44CD">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请求：</w:t>
      </w:r>
      <w:r>
        <w:rPr>
          <w:rFonts w:hint="default" w:ascii="Times New Roman" w:hAnsi="Times New Roman" w:cs="Times New Roman"/>
          <w:color w:val="auto"/>
          <w:highlight w:val="none"/>
          <w:u w:val="single"/>
        </w:rPr>
        <w:t xml:space="preserve">                                                          </w:t>
      </w:r>
    </w:p>
    <w:p w14:paraId="7D72B05D">
      <w:pPr>
        <w:pStyle w:val="21"/>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签字(签章)：                 公章：               日期：    </w:t>
      </w:r>
    </w:p>
    <w:p w14:paraId="4B172D1F">
      <w:pPr>
        <w:pStyle w:val="12"/>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b/>
          <w:color w:val="auto"/>
          <w:highlight w:val="none"/>
        </w:rPr>
        <w:t>质疑函制作说明：</w:t>
      </w:r>
    </w:p>
    <w:p w14:paraId="3518BBA1">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供应商提出质疑时，应提交质疑函和必要的证明材料。</w:t>
      </w:r>
    </w:p>
    <w:p w14:paraId="1EC846F0">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8F200EE">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质疑供应商若对项目的某一分包进行质疑，质疑函中应列明具体分包号。</w:t>
      </w:r>
    </w:p>
    <w:p w14:paraId="4DA3DA81">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质疑函的质疑事项应具体、明确，并有必要的事实依据和法律依据。</w:t>
      </w:r>
    </w:p>
    <w:p w14:paraId="0137BDF1">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质疑函的质疑请求应与质疑事项相关。</w:t>
      </w:r>
    </w:p>
    <w:p w14:paraId="4B892349">
      <w:pPr>
        <w:pStyle w:val="12"/>
        <w:numPr>
          <w:ilvl w:val="0"/>
          <w:numId w:val="7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质疑供应商为自然人的，质疑函应由本人签字；质疑供应商为法人或者其他组织的，质疑函应由法定代表人、主要负责人，或者其授权代表签字或者盖章，并加盖公章。</w:t>
      </w:r>
    </w:p>
    <w:p w14:paraId="12121408">
      <w:pPr>
        <w:pageBreakBefore w:val="0"/>
        <w:kinsoku/>
        <w:wordWrap/>
        <w:overflowPunct/>
        <w:topLinePunct w:val="0"/>
        <w:autoSpaceDE/>
        <w:autoSpaceDN/>
        <w:bidi w:val="0"/>
        <w:adjustRightInd/>
        <w:snapToGrid/>
        <w:spacing w:line="360" w:lineRule="auto"/>
        <w:ind w:left="0" w:leftChars="0" w:right="0" w:rightChars="0" w:firstLine="468" w:firstLineChars="200"/>
        <w:textAlignment w:val="auto"/>
        <w:rPr>
          <w:rFonts w:hint="default" w:ascii="Times New Roman" w:hAnsi="Times New Roman" w:cs="Times New Roman"/>
          <w:color w:val="auto"/>
          <w:spacing w:val="-3"/>
          <w:sz w:val="24"/>
          <w:highlight w:val="none"/>
          <w:lang w:bidi="zh-CN"/>
          <w14:ligatures w14:val="standardContextual"/>
        </w:rPr>
      </w:pPr>
      <w:r>
        <w:rPr>
          <w:rFonts w:hint="default" w:ascii="Times New Roman" w:hAnsi="Times New Roman" w:cs="Times New Roman"/>
          <w:color w:val="auto"/>
          <w:spacing w:val="-3"/>
          <w:sz w:val="24"/>
          <w:highlight w:val="none"/>
          <w:lang w:bidi="zh-CN"/>
          <w14:ligatures w14:val="standardContextual"/>
        </w:rPr>
        <w:t> </w:t>
      </w:r>
    </w:p>
    <w:p w14:paraId="3BB3C224">
      <w:pPr>
        <w:rPr>
          <w:rFonts w:hint="default" w:ascii="Times New Roman" w:hAnsi="Times New Roman" w:cs="Times New Roman"/>
          <w:color w:val="auto"/>
          <w:highlight w:val="none"/>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embedRegular r:id="rId1" w:fontKey="{72D6F428-6701-4313-BF9F-F15E54CDAC2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2" w:fontKey="{1A4A83EB-F476-4272-82A3-92EE5D39BC51}"/>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embedRegular r:id="rId3" w:fontKey="{D866AF44-C30B-47C6-952E-972EEF0E3EE6}"/>
  </w:font>
  <w:font w:name="方正仿宋_GB2312">
    <w:panose1 w:val="02000000000000000000"/>
    <w:charset w:val="86"/>
    <w:family w:val="auto"/>
    <w:pitch w:val="default"/>
    <w:sig w:usb0="A00002BF" w:usb1="184F6CFA" w:usb2="00000012" w:usb3="00000000" w:csb0="00040001" w:csb1="00000000"/>
    <w:embedRegular r:id="rId4" w:fontKey="{DC763210-9723-4023-9B4C-6C09226F265F}"/>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4E953">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0C382A">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70C382A">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DA29E"/>
    <w:multiLevelType w:val="singleLevel"/>
    <w:tmpl w:val="830DA29E"/>
    <w:lvl w:ilvl="0" w:tentative="0">
      <w:start w:val="1"/>
      <w:numFmt w:val="decimal"/>
      <w:lvlText w:val="32.%1"/>
      <w:lvlJc w:val="left"/>
      <w:pPr>
        <w:tabs>
          <w:tab w:val="left" w:pos="210"/>
        </w:tabs>
        <w:ind w:left="0" w:firstLine="0"/>
      </w:pPr>
      <w:rPr>
        <w:rFonts w:hint="default"/>
      </w:rPr>
    </w:lvl>
  </w:abstractNum>
  <w:abstractNum w:abstractNumId="1">
    <w:nsid w:val="84EBA45A"/>
    <w:multiLevelType w:val="singleLevel"/>
    <w:tmpl w:val="84EBA45A"/>
    <w:lvl w:ilvl="0" w:tentative="0">
      <w:start w:val="1"/>
      <w:numFmt w:val="decimal"/>
      <w:lvlText w:val="10.%1"/>
      <w:lvlJc w:val="left"/>
      <w:pPr>
        <w:tabs>
          <w:tab w:val="left" w:pos="210"/>
        </w:tabs>
        <w:ind w:left="0" w:firstLine="480"/>
      </w:pPr>
      <w:rPr>
        <w:rFonts w:hint="default"/>
      </w:rPr>
    </w:lvl>
  </w:abstractNum>
  <w:abstractNum w:abstractNumId="2">
    <w:nsid w:val="8860BA94"/>
    <w:multiLevelType w:val="singleLevel"/>
    <w:tmpl w:val="8860BA94"/>
    <w:lvl w:ilvl="0" w:tentative="0">
      <w:start w:val="1"/>
      <w:numFmt w:val="decimal"/>
      <w:suff w:val="nothing"/>
      <w:lvlText w:val="（%1）"/>
      <w:lvlJc w:val="left"/>
      <w:pPr>
        <w:ind w:left="0" w:firstLine="480"/>
      </w:pPr>
      <w:rPr>
        <w:rFonts w:hint="default"/>
      </w:rPr>
    </w:lvl>
  </w:abstractNum>
  <w:abstractNum w:abstractNumId="3">
    <w:nsid w:val="89D44ACB"/>
    <w:multiLevelType w:val="singleLevel"/>
    <w:tmpl w:val="89D44ACB"/>
    <w:lvl w:ilvl="0" w:tentative="0">
      <w:start w:val="27"/>
      <w:numFmt w:val="decimal"/>
      <w:suff w:val="nothing"/>
      <w:lvlText w:val="%1、"/>
      <w:lvlJc w:val="left"/>
      <w:pPr>
        <w:ind w:left="0" w:firstLine="0"/>
      </w:pPr>
      <w:rPr>
        <w:rFonts w:hint="default"/>
      </w:rPr>
    </w:lvl>
  </w:abstractNum>
  <w:abstractNum w:abstractNumId="4">
    <w:nsid w:val="909AE366"/>
    <w:multiLevelType w:val="singleLevel"/>
    <w:tmpl w:val="909AE366"/>
    <w:lvl w:ilvl="0" w:tentative="0">
      <w:start w:val="1"/>
      <w:numFmt w:val="decimal"/>
      <w:lvlText w:val="%1."/>
      <w:lvlJc w:val="left"/>
      <w:pPr>
        <w:tabs>
          <w:tab w:val="left" w:pos="210"/>
        </w:tabs>
        <w:ind w:left="0" w:firstLine="480"/>
      </w:pPr>
      <w:rPr>
        <w:rFonts w:hint="default"/>
      </w:rPr>
    </w:lvl>
  </w:abstractNum>
  <w:abstractNum w:abstractNumId="5">
    <w:nsid w:val="9479090D"/>
    <w:multiLevelType w:val="singleLevel"/>
    <w:tmpl w:val="9479090D"/>
    <w:lvl w:ilvl="0" w:tentative="0">
      <w:start w:val="1"/>
      <w:numFmt w:val="decimal"/>
      <w:lvlText w:val="%1."/>
      <w:lvlJc w:val="left"/>
      <w:pPr>
        <w:tabs>
          <w:tab w:val="left" w:pos="210"/>
        </w:tabs>
        <w:ind w:left="0" w:firstLine="480"/>
      </w:pPr>
      <w:rPr>
        <w:rFonts w:hint="default"/>
      </w:rPr>
    </w:lvl>
  </w:abstractNum>
  <w:abstractNum w:abstractNumId="6">
    <w:nsid w:val="A019132A"/>
    <w:multiLevelType w:val="singleLevel"/>
    <w:tmpl w:val="A019132A"/>
    <w:lvl w:ilvl="0" w:tentative="0">
      <w:start w:val="1"/>
      <w:numFmt w:val="decimal"/>
      <w:lvlText w:val="11.%1"/>
      <w:lvlJc w:val="left"/>
      <w:pPr>
        <w:tabs>
          <w:tab w:val="left" w:pos="210"/>
        </w:tabs>
        <w:ind w:left="0" w:firstLine="480"/>
      </w:pPr>
      <w:rPr>
        <w:rFonts w:hint="default"/>
      </w:rPr>
    </w:lvl>
  </w:abstractNum>
  <w:abstractNum w:abstractNumId="7">
    <w:nsid w:val="A5674BBD"/>
    <w:multiLevelType w:val="singleLevel"/>
    <w:tmpl w:val="A5674BBD"/>
    <w:lvl w:ilvl="0" w:tentative="0">
      <w:start w:val="1"/>
      <w:numFmt w:val="decimal"/>
      <w:lvlText w:val="14.%1"/>
      <w:lvlJc w:val="left"/>
      <w:pPr>
        <w:tabs>
          <w:tab w:val="left" w:pos="210"/>
        </w:tabs>
        <w:ind w:left="0" w:firstLine="480"/>
      </w:pPr>
      <w:rPr>
        <w:rFonts w:hint="default"/>
      </w:rPr>
    </w:lvl>
  </w:abstractNum>
  <w:abstractNum w:abstractNumId="8">
    <w:nsid w:val="AC9193DB"/>
    <w:multiLevelType w:val="singleLevel"/>
    <w:tmpl w:val="AC9193DB"/>
    <w:lvl w:ilvl="0" w:tentative="0">
      <w:start w:val="1"/>
      <w:numFmt w:val="decimal"/>
      <w:lvlText w:val="4.%1"/>
      <w:lvlJc w:val="left"/>
      <w:pPr>
        <w:tabs>
          <w:tab w:val="left" w:pos="210"/>
        </w:tabs>
        <w:ind w:left="0" w:firstLine="480"/>
      </w:pPr>
      <w:rPr>
        <w:rFonts w:hint="default"/>
      </w:rPr>
    </w:lvl>
  </w:abstractNum>
  <w:abstractNum w:abstractNumId="9">
    <w:nsid w:val="ACEDC47E"/>
    <w:multiLevelType w:val="singleLevel"/>
    <w:tmpl w:val="ACEDC47E"/>
    <w:lvl w:ilvl="0" w:tentative="0">
      <w:start w:val="1"/>
      <w:numFmt w:val="chineseCounting"/>
      <w:suff w:val="nothing"/>
      <w:lvlText w:val="（%1）"/>
      <w:lvlJc w:val="left"/>
      <w:pPr>
        <w:ind w:left="0" w:firstLine="480"/>
      </w:pPr>
      <w:rPr>
        <w:rFonts w:hint="eastAsia"/>
      </w:rPr>
    </w:lvl>
  </w:abstractNum>
  <w:abstractNum w:abstractNumId="10">
    <w:nsid w:val="AE338BEA"/>
    <w:multiLevelType w:val="singleLevel"/>
    <w:tmpl w:val="AE338BEA"/>
    <w:lvl w:ilvl="0" w:tentative="0">
      <w:start w:val="1"/>
      <w:numFmt w:val="decimal"/>
      <w:lvlText w:val="%1."/>
      <w:lvlJc w:val="left"/>
      <w:pPr>
        <w:tabs>
          <w:tab w:val="left" w:pos="210"/>
        </w:tabs>
        <w:ind w:left="0" w:firstLine="480"/>
      </w:pPr>
      <w:rPr>
        <w:rFonts w:hint="default"/>
      </w:rPr>
    </w:lvl>
  </w:abstractNum>
  <w:abstractNum w:abstractNumId="11">
    <w:nsid w:val="B195CB9B"/>
    <w:multiLevelType w:val="singleLevel"/>
    <w:tmpl w:val="B195CB9B"/>
    <w:lvl w:ilvl="0" w:tentative="0">
      <w:start w:val="1"/>
      <w:numFmt w:val="decimal"/>
      <w:lvlText w:val="6.%1"/>
      <w:lvlJc w:val="left"/>
      <w:pPr>
        <w:tabs>
          <w:tab w:val="left" w:pos="210"/>
        </w:tabs>
        <w:ind w:left="0" w:firstLine="480"/>
      </w:pPr>
      <w:rPr>
        <w:rFonts w:hint="default"/>
      </w:rPr>
    </w:lvl>
  </w:abstractNum>
  <w:abstractNum w:abstractNumId="12">
    <w:nsid w:val="B4CA1425"/>
    <w:multiLevelType w:val="singleLevel"/>
    <w:tmpl w:val="B4CA1425"/>
    <w:lvl w:ilvl="0" w:tentative="0">
      <w:start w:val="1"/>
      <w:numFmt w:val="decimal"/>
      <w:lvlText w:val="20.1.%1"/>
      <w:lvlJc w:val="left"/>
      <w:pPr>
        <w:tabs>
          <w:tab w:val="left" w:pos="210"/>
        </w:tabs>
        <w:ind w:left="0" w:firstLine="0"/>
      </w:pPr>
      <w:rPr>
        <w:rFonts w:hint="default"/>
      </w:rPr>
    </w:lvl>
  </w:abstractNum>
  <w:abstractNum w:abstractNumId="13">
    <w:nsid w:val="B9453C10"/>
    <w:multiLevelType w:val="singleLevel"/>
    <w:tmpl w:val="B9453C10"/>
    <w:lvl w:ilvl="0" w:tentative="0">
      <w:start w:val="1"/>
      <w:numFmt w:val="decimal"/>
      <w:lvlText w:val="27.4.%1"/>
      <w:lvlJc w:val="left"/>
      <w:pPr>
        <w:tabs>
          <w:tab w:val="left" w:pos="210"/>
        </w:tabs>
        <w:ind w:left="0" w:firstLine="480"/>
      </w:pPr>
      <w:rPr>
        <w:rFonts w:hint="default"/>
      </w:rPr>
    </w:lvl>
  </w:abstractNum>
  <w:abstractNum w:abstractNumId="14">
    <w:nsid w:val="BE18D80E"/>
    <w:multiLevelType w:val="singleLevel"/>
    <w:tmpl w:val="BE18D80E"/>
    <w:lvl w:ilvl="0" w:tentative="0">
      <w:start w:val="1"/>
      <w:numFmt w:val="decimal"/>
      <w:lvlText w:val="3.%1"/>
      <w:lvlJc w:val="left"/>
      <w:pPr>
        <w:tabs>
          <w:tab w:val="left" w:pos="210"/>
        </w:tabs>
        <w:ind w:left="0" w:firstLine="480"/>
      </w:pPr>
      <w:rPr>
        <w:rFonts w:hint="default"/>
      </w:rPr>
    </w:lvl>
  </w:abstractNum>
  <w:abstractNum w:abstractNumId="15">
    <w:nsid w:val="BF2E5040"/>
    <w:multiLevelType w:val="singleLevel"/>
    <w:tmpl w:val="BF2E5040"/>
    <w:lvl w:ilvl="0" w:tentative="0">
      <w:start w:val="1"/>
      <w:numFmt w:val="decimal"/>
      <w:lvlText w:val="%1."/>
      <w:lvlJc w:val="left"/>
      <w:pPr>
        <w:tabs>
          <w:tab w:val="left" w:pos="210"/>
        </w:tabs>
        <w:ind w:left="0" w:firstLine="482"/>
      </w:pPr>
      <w:rPr>
        <w:rFonts w:hint="default"/>
      </w:rPr>
    </w:lvl>
  </w:abstractNum>
  <w:abstractNum w:abstractNumId="16">
    <w:nsid w:val="BF46BEED"/>
    <w:multiLevelType w:val="singleLevel"/>
    <w:tmpl w:val="BF46BEED"/>
    <w:lvl w:ilvl="0" w:tentative="0">
      <w:start w:val="1"/>
      <w:numFmt w:val="decimal"/>
      <w:lvlText w:val="%1."/>
      <w:lvlJc w:val="left"/>
      <w:pPr>
        <w:tabs>
          <w:tab w:val="left" w:pos="210"/>
        </w:tabs>
        <w:ind w:left="0" w:firstLine="482"/>
      </w:pPr>
      <w:rPr>
        <w:rFonts w:hint="default"/>
      </w:rPr>
    </w:lvl>
  </w:abstractNum>
  <w:abstractNum w:abstractNumId="17">
    <w:nsid w:val="C1C91AFF"/>
    <w:multiLevelType w:val="singleLevel"/>
    <w:tmpl w:val="C1C91AFF"/>
    <w:lvl w:ilvl="0" w:tentative="0">
      <w:start w:val="6"/>
      <w:numFmt w:val="decimal"/>
      <w:suff w:val="nothing"/>
      <w:lvlText w:val="%1、"/>
      <w:lvlJc w:val="left"/>
      <w:pPr>
        <w:ind w:left="0" w:firstLine="0"/>
      </w:pPr>
      <w:rPr>
        <w:rFonts w:hint="default"/>
      </w:rPr>
    </w:lvl>
  </w:abstractNum>
  <w:abstractNum w:abstractNumId="18">
    <w:nsid w:val="C9F9F2BB"/>
    <w:multiLevelType w:val="singleLevel"/>
    <w:tmpl w:val="C9F9F2BB"/>
    <w:lvl w:ilvl="0" w:tentative="0">
      <w:start w:val="1"/>
      <w:numFmt w:val="decimal"/>
      <w:lvlText w:val="21.%1"/>
      <w:lvlJc w:val="left"/>
      <w:pPr>
        <w:tabs>
          <w:tab w:val="left" w:pos="210"/>
        </w:tabs>
        <w:ind w:left="0" w:firstLine="480"/>
      </w:pPr>
      <w:rPr>
        <w:rFonts w:hint="default"/>
      </w:rPr>
    </w:lvl>
  </w:abstractNum>
  <w:abstractNum w:abstractNumId="19">
    <w:nsid w:val="D23FAF0A"/>
    <w:multiLevelType w:val="singleLevel"/>
    <w:tmpl w:val="D23FAF0A"/>
    <w:lvl w:ilvl="0" w:tentative="0">
      <w:start w:val="1"/>
      <w:numFmt w:val="chineseCounting"/>
      <w:suff w:val="nothing"/>
      <w:lvlText w:val="%1、"/>
      <w:lvlJc w:val="left"/>
      <w:pPr>
        <w:ind w:left="0" w:firstLine="0"/>
      </w:pPr>
      <w:rPr>
        <w:rFonts w:hint="eastAsia"/>
      </w:rPr>
    </w:lvl>
  </w:abstractNum>
  <w:abstractNum w:abstractNumId="20">
    <w:nsid w:val="D814E7F9"/>
    <w:multiLevelType w:val="singleLevel"/>
    <w:tmpl w:val="D814E7F9"/>
    <w:lvl w:ilvl="0" w:tentative="0">
      <w:start w:val="1"/>
      <w:numFmt w:val="decimal"/>
      <w:lvlText w:val="32.3.%1"/>
      <w:lvlJc w:val="left"/>
      <w:pPr>
        <w:tabs>
          <w:tab w:val="left" w:pos="210"/>
        </w:tabs>
        <w:ind w:left="0" w:firstLine="480"/>
      </w:pPr>
      <w:rPr>
        <w:rFonts w:hint="default"/>
      </w:rPr>
    </w:lvl>
  </w:abstractNum>
  <w:abstractNum w:abstractNumId="21">
    <w:nsid w:val="D8AFDD9C"/>
    <w:multiLevelType w:val="singleLevel"/>
    <w:tmpl w:val="D8AFDD9C"/>
    <w:lvl w:ilvl="0" w:tentative="0">
      <w:start w:val="1"/>
      <w:numFmt w:val="decimal"/>
      <w:suff w:val="nothing"/>
      <w:lvlText w:val="（%1）"/>
      <w:lvlJc w:val="left"/>
      <w:pPr>
        <w:ind w:left="0" w:firstLine="480"/>
      </w:pPr>
      <w:rPr>
        <w:rFonts w:hint="default"/>
      </w:rPr>
    </w:lvl>
  </w:abstractNum>
  <w:abstractNum w:abstractNumId="22">
    <w:nsid w:val="D8FCD430"/>
    <w:multiLevelType w:val="singleLevel"/>
    <w:tmpl w:val="D8FCD430"/>
    <w:lvl w:ilvl="0" w:tentative="0">
      <w:start w:val="1"/>
      <w:numFmt w:val="decimal"/>
      <w:lvlText w:val="9.%1"/>
      <w:lvlJc w:val="left"/>
      <w:pPr>
        <w:tabs>
          <w:tab w:val="left" w:pos="210"/>
        </w:tabs>
        <w:ind w:left="0" w:firstLine="480"/>
      </w:pPr>
      <w:rPr>
        <w:rFonts w:hint="default"/>
      </w:rPr>
    </w:lvl>
  </w:abstractNum>
  <w:abstractNum w:abstractNumId="23">
    <w:nsid w:val="DC52E1B3"/>
    <w:multiLevelType w:val="singleLevel"/>
    <w:tmpl w:val="DC52E1B3"/>
    <w:lvl w:ilvl="0" w:tentative="0">
      <w:start w:val="1"/>
      <w:numFmt w:val="decimal"/>
      <w:lvlText w:val="23.%1"/>
      <w:lvlJc w:val="left"/>
      <w:pPr>
        <w:tabs>
          <w:tab w:val="left" w:pos="210"/>
        </w:tabs>
        <w:ind w:left="0" w:firstLine="480"/>
      </w:pPr>
      <w:rPr>
        <w:rFonts w:hint="default"/>
      </w:rPr>
    </w:lvl>
  </w:abstractNum>
  <w:abstractNum w:abstractNumId="24">
    <w:nsid w:val="E85A43A8"/>
    <w:multiLevelType w:val="singleLevel"/>
    <w:tmpl w:val="E85A43A8"/>
    <w:lvl w:ilvl="0" w:tentative="0">
      <w:start w:val="1"/>
      <w:numFmt w:val="decimal"/>
      <w:lvlText w:val="12.%1"/>
      <w:lvlJc w:val="left"/>
      <w:pPr>
        <w:tabs>
          <w:tab w:val="left" w:pos="210"/>
        </w:tabs>
        <w:ind w:left="0" w:firstLine="480"/>
      </w:pPr>
      <w:rPr>
        <w:rFonts w:hint="default"/>
      </w:rPr>
    </w:lvl>
  </w:abstractNum>
  <w:abstractNum w:abstractNumId="25">
    <w:nsid w:val="EA7B9175"/>
    <w:multiLevelType w:val="singleLevel"/>
    <w:tmpl w:val="EA7B9175"/>
    <w:lvl w:ilvl="0" w:tentative="0">
      <w:start w:val="1"/>
      <w:numFmt w:val="decimal"/>
      <w:lvlText w:val="6.2.%1"/>
      <w:lvlJc w:val="left"/>
      <w:pPr>
        <w:tabs>
          <w:tab w:val="left" w:pos="210"/>
        </w:tabs>
        <w:ind w:left="0" w:firstLine="480"/>
      </w:pPr>
      <w:rPr>
        <w:rFonts w:hint="default"/>
      </w:rPr>
    </w:lvl>
  </w:abstractNum>
  <w:abstractNum w:abstractNumId="26">
    <w:nsid w:val="F0FCB8A0"/>
    <w:multiLevelType w:val="singleLevel"/>
    <w:tmpl w:val="F0FCB8A0"/>
    <w:lvl w:ilvl="0" w:tentative="0">
      <w:start w:val="1"/>
      <w:numFmt w:val="decimal"/>
      <w:lvlText w:val="28.5.%1"/>
      <w:lvlJc w:val="left"/>
      <w:pPr>
        <w:tabs>
          <w:tab w:val="left" w:pos="210"/>
        </w:tabs>
        <w:ind w:left="0" w:firstLine="480"/>
      </w:pPr>
      <w:rPr>
        <w:rFonts w:hint="default"/>
      </w:rPr>
    </w:lvl>
  </w:abstractNum>
  <w:abstractNum w:abstractNumId="27">
    <w:nsid w:val="F3151E33"/>
    <w:multiLevelType w:val="singleLevel"/>
    <w:tmpl w:val="F3151E33"/>
    <w:lvl w:ilvl="0" w:tentative="0">
      <w:start w:val="1"/>
      <w:numFmt w:val="chineseCounting"/>
      <w:suff w:val="nothing"/>
      <w:lvlText w:val="%1、"/>
      <w:lvlJc w:val="left"/>
      <w:pPr>
        <w:ind w:left="0" w:firstLine="482"/>
      </w:pPr>
      <w:rPr>
        <w:rFonts w:hint="eastAsia"/>
      </w:rPr>
    </w:lvl>
  </w:abstractNum>
  <w:abstractNum w:abstractNumId="28">
    <w:nsid w:val="F5804EC1"/>
    <w:multiLevelType w:val="singleLevel"/>
    <w:tmpl w:val="F5804EC1"/>
    <w:lvl w:ilvl="0" w:tentative="0">
      <w:start w:val="1"/>
      <w:numFmt w:val="decimal"/>
      <w:lvlText w:val="25.1.%1"/>
      <w:lvlJc w:val="left"/>
      <w:pPr>
        <w:tabs>
          <w:tab w:val="left" w:pos="210"/>
        </w:tabs>
        <w:ind w:left="0" w:firstLine="480"/>
      </w:pPr>
      <w:rPr>
        <w:rFonts w:hint="default"/>
      </w:rPr>
    </w:lvl>
  </w:abstractNum>
  <w:abstractNum w:abstractNumId="29">
    <w:nsid w:val="F6243B19"/>
    <w:multiLevelType w:val="singleLevel"/>
    <w:tmpl w:val="F6243B19"/>
    <w:lvl w:ilvl="0" w:tentative="0">
      <w:start w:val="1"/>
      <w:numFmt w:val="decimal"/>
      <w:suff w:val="nothing"/>
      <w:lvlText w:val="（%1）"/>
      <w:lvlJc w:val="left"/>
      <w:pPr>
        <w:ind w:left="0" w:firstLine="480"/>
      </w:pPr>
      <w:rPr>
        <w:rFonts w:hint="default"/>
      </w:rPr>
    </w:lvl>
  </w:abstractNum>
  <w:abstractNum w:abstractNumId="30">
    <w:nsid w:val="FAFA2562"/>
    <w:multiLevelType w:val="singleLevel"/>
    <w:tmpl w:val="FAFA2562"/>
    <w:lvl w:ilvl="0" w:tentative="0">
      <w:start w:val="1"/>
      <w:numFmt w:val="decimal"/>
      <w:lvlText w:val="1.%1"/>
      <w:lvlJc w:val="left"/>
      <w:pPr>
        <w:tabs>
          <w:tab w:val="left" w:pos="210"/>
        </w:tabs>
        <w:ind w:left="0" w:firstLine="480"/>
      </w:pPr>
      <w:rPr>
        <w:rFonts w:hint="default"/>
      </w:rPr>
    </w:lvl>
  </w:abstractNum>
  <w:abstractNum w:abstractNumId="31">
    <w:nsid w:val="FF72F395"/>
    <w:multiLevelType w:val="singleLevel"/>
    <w:tmpl w:val="FF72F395"/>
    <w:lvl w:ilvl="0" w:tentative="0">
      <w:start w:val="1"/>
      <w:numFmt w:val="decimal"/>
      <w:lvlText w:val="14.%1"/>
      <w:lvlJc w:val="left"/>
      <w:pPr>
        <w:tabs>
          <w:tab w:val="left" w:pos="210"/>
        </w:tabs>
        <w:ind w:left="0" w:firstLine="480"/>
      </w:pPr>
      <w:rPr>
        <w:rFonts w:hint="default"/>
      </w:rPr>
    </w:lvl>
  </w:abstractNum>
  <w:abstractNum w:abstractNumId="32">
    <w:nsid w:val="FFD67525"/>
    <w:multiLevelType w:val="singleLevel"/>
    <w:tmpl w:val="FFD67525"/>
    <w:lvl w:ilvl="0" w:tentative="0">
      <w:start w:val="1"/>
      <w:numFmt w:val="decimal"/>
      <w:lvlText w:val="26.1.%1"/>
      <w:lvlJc w:val="left"/>
      <w:pPr>
        <w:tabs>
          <w:tab w:val="left" w:pos="210"/>
        </w:tabs>
        <w:ind w:left="0" w:firstLine="480"/>
      </w:pPr>
      <w:rPr>
        <w:rFonts w:hint="default"/>
      </w:rPr>
    </w:lvl>
  </w:abstractNum>
  <w:abstractNum w:abstractNumId="33">
    <w:nsid w:val="FFD93BB1"/>
    <w:multiLevelType w:val="singleLevel"/>
    <w:tmpl w:val="FFD93BB1"/>
    <w:lvl w:ilvl="0" w:tentative="0">
      <w:start w:val="1"/>
      <w:numFmt w:val="chineseCounting"/>
      <w:suff w:val="nothing"/>
      <w:lvlText w:val="%1、"/>
      <w:lvlJc w:val="left"/>
      <w:pPr>
        <w:ind w:left="0" w:firstLine="0"/>
      </w:pPr>
      <w:rPr>
        <w:rFonts w:hint="eastAsia"/>
      </w:rPr>
    </w:lvl>
  </w:abstractNum>
  <w:abstractNum w:abstractNumId="34">
    <w:nsid w:val="0581FD81"/>
    <w:multiLevelType w:val="singleLevel"/>
    <w:tmpl w:val="0581FD81"/>
    <w:lvl w:ilvl="0" w:tentative="0">
      <w:start w:val="1"/>
      <w:numFmt w:val="decimal"/>
      <w:lvlText w:val="26.2.%1"/>
      <w:lvlJc w:val="left"/>
      <w:pPr>
        <w:tabs>
          <w:tab w:val="left" w:pos="210"/>
        </w:tabs>
        <w:ind w:left="0" w:firstLine="480"/>
      </w:pPr>
      <w:rPr>
        <w:rFonts w:hint="default"/>
      </w:rPr>
    </w:lvl>
  </w:abstractNum>
  <w:abstractNum w:abstractNumId="35">
    <w:nsid w:val="081E5652"/>
    <w:multiLevelType w:val="singleLevel"/>
    <w:tmpl w:val="081E5652"/>
    <w:lvl w:ilvl="0" w:tentative="0">
      <w:start w:val="1"/>
      <w:numFmt w:val="decimal"/>
      <w:lvlText w:val="32.3.6.%1"/>
      <w:lvlJc w:val="left"/>
      <w:pPr>
        <w:tabs>
          <w:tab w:val="left" w:pos="210"/>
        </w:tabs>
        <w:ind w:left="0" w:firstLine="480"/>
      </w:pPr>
      <w:rPr>
        <w:rFonts w:hint="default"/>
      </w:rPr>
    </w:lvl>
  </w:abstractNum>
  <w:abstractNum w:abstractNumId="36">
    <w:nsid w:val="08EC69B8"/>
    <w:multiLevelType w:val="singleLevel"/>
    <w:tmpl w:val="08EC69B8"/>
    <w:lvl w:ilvl="0" w:tentative="0">
      <w:start w:val="17"/>
      <w:numFmt w:val="decimal"/>
      <w:suff w:val="nothing"/>
      <w:lvlText w:val="%1、"/>
      <w:lvlJc w:val="left"/>
      <w:pPr>
        <w:ind w:left="0" w:firstLine="0"/>
      </w:pPr>
      <w:rPr>
        <w:rFonts w:hint="default"/>
      </w:rPr>
    </w:lvl>
  </w:abstractNum>
  <w:abstractNum w:abstractNumId="37">
    <w:nsid w:val="0DDA364F"/>
    <w:multiLevelType w:val="singleLevel"/>
    <w:tmpl w:val="0DDA364F"/>
    <w:lvl w:ilvl="0" w:tentative="0">
      <w:start w:val="1"/>
      <w:numFmt w:val="decimal"/>
      <w:lvlText w:val="6.4.%1"/>
      <w:lvlJc w:val="left"/>
      <w:pPr>
        <w:tabs>
          <w:tab w:val="left" w:pos="210"/>
        </w:tabs>
        <w:ind w:left="0" w:firstLine="480"/>
      </w:pPr>
      <w:rPr>
        <w:rFonts w:hint="default"/>
      </w:rPr>
    </w:lvl>
  </w:abstractNum>
  <w:abstractNum w:abstractNumId="38">
    <w:nsid w:val="0FE601F6"/>
    <w:multiLevelType w:val="singleLevel"/>
    <w:tmpl w:val="0FE601F6"/>
    <w:lvl w:ilvl="0" w:tentative="0">
      <w:start w:val="1"/>
      <w:numFmt w:val="decimal"/>
      <w:lvlText w:val="10.%1"/>
      <w:lvlJc w:val="left"/>
      <w:pPr>
        <w:tabs>
          <w:tab w:val="left" w:pos="210"/>
        </w:tabs>
        <w:ind w:left="0" w:firstLine="480"/>
      </w:pPr>
      <w:rPr>
        <w:rFonts w:hint="default"/>
      </w:rPr>
    </w:lvl>
  </w:abstractNum>
  <w:abstractNum w:abstractNumId="39">
    <w:nsid w:val="11986BE0"/>
    <w:multiLevelType w:val="singleLevel"/>
    <w:tmpl w:val="11986BE0"/>
    <w:lvl w:ilvl="0" w:tentative="0">
      <w:start w:val="2"/>
      <w:numFmt w:val="decimal"/>
      <w:lvlText w:val="30.%1"/>
      <w:lvlJc w:val="left"/>
      <w:pPr>
        <w:tabs>
          <w:tab w:val="left" w:pos="210"/>
        </w:tabs>
        <w:ind w:left="0" w:firstLine="480"/>
      </w:pPr>
      <w:rPr>
        <w:rFonts w:hint="default"/>
      </w:rPr>
    </w:lvl>
  </w:abstractNum>
  <w:abstractNum w:abstractNumId="40">
    <w:nsid w:val="15142C9C"/>
    <w:multiLevelType w:val="singleLevel"/>
    <w:tmpl w:val="15142C9C"/>
    <w:lvl w:ilvl="0" w:tentative="0">
      <w:start w:val="1"/>
      <w:numFmt w:val="decimal"/>
      <w:lvlText w:val="20.%1"/>
      <w:lvlJc w:val="left"/>
      <w:pPr>
        <w:tabs>
          <w:tab w:val="left" w:pos="210"/>
        </w:tabs>
        <w:ind w:left="0" w:firstLine="0"/>
      </w:pPr>
      <w:rPr>
        <w:rFonts w:hint="default"/>
      </w:rPr>
    </w:lvl>
  </w:abstractNum>
  <w:abstractNum w:abstractNumId="41">
    <w:nsid w:val="16C63E94"/>
    <w:multiLevelType w:val="singleLevel"/>
    <w:tmpl w:val="16C63E94"/>
    <w:lvl w:ilvl="0" w:tentative="0">
      <w:start w:val="21"/>
      <w:numFmt w:val="decimal"/>
      <w:suff w:val="nothing"/>
      <w:lvlText w:val="%1、"/>
      <w:lvlJc w:val="left"/>
      <w:pPr>
        <w:ind w:left="0" w:firstLine="0"/>
      </w:pPr>
      <w:rPr>
        <w:rFonts w:hint="default"/>
      </w:rPr>
    </w:lvl>
  </w:abstractNum>
  <w:abstractNum w:abstractNumId="42">
    <w:nsid w:val="1E882106"/>
    <w:multiLevelType w:val="singleLevel"/>
    <w:tmpl w:val="1E882106"/>
    <w:lvl w:ilvl="0" w:tentative="0">
      <w:start w:val="4"/>
      <w:numFmt w:val="decimal"/>
      <w:suff w:val="nothing"/>
      <w:lvlText w:val="%1、"/>
      <w:lvlJc w:val="left"/>
    </w:lvl>
  </w:abstractNum>
  <w:abstractNum w:abstractNumId="43">
    <w:nsid w:val="2B9389FB"/>
    <w:multiLevelType w:val="singleLevel"/>
    <w:tmpl w:val="2B9389FB"/>
    <w:lvl w:ilvl="0" w:tentative="0">
      <w:start w:val="1"/>
      <w:numFmt w:val="decimal"/>
      <w:lvlText w:val="%1."/>
      <w:lvlJc w:val="left"/>
      <w:pPr>
        <w:tabs>
          <w:tab w:val="left" w:pos="210"/>
        </w:tabs>
        <w:ind w:left="0" w:firstLine="480"/>
      </w:pPr>
      <w:rPr>
        <w:rFonts w:hint="default"/>
      </w:rPr>
    </w:lvl>
  </w:abstractNum>
  <w:abstractNum w:abstractNumId="44">
    <w:nsid w:val="2DB688C9"/>
    <w:multiLevelType w:val="singleLevel"/>
    <w:tmpl w:val="2DB688C9"/>
    <w:lvl w:ilvl="0" w:tentative="0">
      <w:start w:val="1"/>
      <w:numFmt w:val="chineseCounting"/>
      <w:suff w:val="nothing"/>
      <w:lvlText w:val="%1、"/>
      <w:lvlJc w:val="left"/>
      <w:pPr>
        <w:ind w:left="0" w:firstLine="0"/>
      </w:pPr>
      <w:rPr>
        <w:rFonts w:hint="eastAsia"/>
      </w:rPr>
    </w:lvl>
  </w:abstractNum>
  <w:abstractNum w:abstractNumId="45">
    <w:nsid w:val="2ECEEAAD"/>
    <w:multiLevelType w:val="singleLevel"/>
    <w:tmpl w:val="2ECEEAAD"/>
    <w:lvl w:ilvl="0" w:tentative="0">
      <w:start w:val="1"/>
      <w:numFmt w:val="decimal"/>
      <w:lvlText w:val="13.%1"/>
      <w:lvlJc w:val="left"/>
      <w:pPr>
        <w:tabs>
          <w:tab w:val="left" w:pos="210"/>
        </w:tabs>
        <w:ind w:left="0" w:firstLine="480"/>
      </w:pPr>
      <w:rPr>
        <w:rFonts w:hint="default"/>
      </w:rPr>
    </w:lvl>
  </w:abstractNum>
  <w:abstractNum w:abstractNumId="46">
    <w:nsid w:val="2ED41432"/>
    <w:multiLevelType w:val="singleLevel"/>
    <w:tmpl w:val="2ED41432"/>
    <w:lvl w:ilvl="0" w:tentative="0">
      <w:start w:val="1"/>
      <w:numFmt w:val="decimal"/>
      <w:lvlText w:val="11.%1"/>
      <w:lvlJc w:val="left"/>
      <w:pPr>
        <w:tabs>
          <w:tab w:val="left" w:pos="210"/>
        </w:tabs>
        <w:ind w:left="0" w:firstLine="480"/>
      </w:pPr>
      <w:rPr>
        <w:rFonts w:hint="default"/>
      </w:rPr>
    </w:lvl>
  </w:abstractNum>
  <w:abstractNum w:abstractNumId="47">
    <w:nsid w:val="322B667A"/>
    <w:multiLevelType w:val="singleLevel"/>
    <w:tmpl w:val="322B667A"/>
    <w:lvl w:ilvl="0" w:tentative="0">
      <w:start w:val="1"/>
      <w:numFmt w:val="decimal"/>
      <w:lvlText w:val="18.%1"/>
      <w:lvlJc w:val="left"/>
      <w:pPr>
        <w:tabs>
          <w:tab w:val="left" w:pos="210"/>
        </w:tabs>
        <w:ind w:left="0" w:firstLine="480"/>
      </w:pPr>
      <w:rPr>
        <w:rFonts w:hint="default"/>
      </w:rPr>
    </w:lvl>
  </w:abstractNum>
  <w:abstractNum w:abstractNumId="48">
    <w:nsid w:val="3270E3A9"/>
    <w:multiLevelType w:val="singleLevel"/>
    <w:tmpl w:val="3270E3A9"/>
    <w:lvl w:ilvl="0" w:tentative="0">
      <w:start w:val="1"/>
      <w:numFmt w:val="decimal"/>
      <w:lvlText w:val="28.%1"/>
      <w:lvlJc w:val="left"/>
      <w:pPr>
        <w:tabs>
          <w:tab w:val="left" w:pos="210"/>
        </w:tabs>
        <w:ind w:left="0" w:firstLine="480"/>
      </w:pPr>
      <w:rPr>
        <w:rFonts w:hint="default"/>
      </w:rPr>
    </w:lvl>
  </w:abstractNum>
  <w:abstractNum w:abstractNumId="49">
    <w:nsid w:val="371B941B"/>
    <w:multiLevelType w:val="singleLevel"/>
    <w:tmpl w:val="371B941B"/>
    <w:lvl w:ilvl="0" w:tentative="0">
      <w:start w:val="1"/>
      <w:numFmt w:val="chineseCounting"/>
      <w:suff w:val="nothing"/>
      <w:lvlText w:val="%1、"/>
      <w:lvlJc w:val="left"/>
      <w:pPr>
        <w:ind w:left="0" w:firstLine="0"/>
      </w:pPr>
      <w:rPr>
        <w:rFonts w:hint="eastAsia"/>
      </w:rPr>
    </w:lvl>
  </w:abstractNum>
  <w:abstractNum w:abstractNumId="50">
    <w:nsid w:val="383DA84C"/>
    <w:multiLevelType w:val="singleLevel"/>
    <w:tmpl w:val="383DA84C"/>
    <w:lvl w:ilvl="0" w:tentative="0">
      <w:start w:val="1"/>
      <w:numFmt w:val="decimal"/>
      <w:suff w:val="nothing"/>
      <w:lvlText w:val="%1、"/>
      <w:lvlJc w:val="left"/>
      <w:pPr>
        <w:ind w:left="0" w:firstLine="0"/>
      </w:pPr>
      <w:rPr>
        <w:rFonts w:hint="default"/>
      </w:rPr>
    </w:lvl>
  </w:abstractNum>
  <w:abstractNum w:abstractNumId="51">
    <w:nsid w:val="3B9DA9A8"/>
    <w:multiLevelType w:val="singleLevel"/>
    <w:tmpl w:val="3B9DA9A8"/>
    <w:lvl w:ilvl="0" w:tentative="0">
      <w:start w:val="1"/>
      <w:numFmt w:val="decimal"/>
      <w:lvlText w:val="20.2.%1"/>
      <w:lvlJc w:val="left"/>
      <w:pPr>
        <w:tabs>
          <w:tab w:val="left" w:pos="210"/>
        </w:tabs>
        <w:ind w:left="0" w:firstLine="480"/>
      </w:pPr>
      <w:rPr>
        <w:rFonts w:hint="default"/>
      </w:rPr>
    </w:lvl>
  </w:abstractNum>
  <w:abstractNum w:abstractNumId="52">
    <w:nsid w:val="3EBBDC16"/>
    <w:multiLevelType w:val="singleLevel"/>
    <w:tmpl w:val="3EBBDC16"/>
    <w:lvl w:ilvl="0" w:tentative="0">
      <w:start w:val="1"/>
      <w:numFmt w:val="decimal"/>
      <w:lvlText w:val="27.%1"/>
      <w:lvlJc w:val="left"/>
      <w:pPr>
        <w:tabs>
          <w:tab w:val="left" w:pos="210"/>
        </w:tabs>
        <w:ind w:left="0" w:firstLine="480"/>
      </w:pPr>
      <w:rPr>
        <w:rFonts w:hint="default"/>
      </w:rPr>
    </w:lvl>
  </w:abstractNum>
  <w:abstractNum w:abstractNumId="53">
    <w:nsid w:val="46585E45"/>
    <w:multiLevelType w:val="singleLevel"/>
    <w:tmpl w:val="46585E45"/>
    <w:lvl w:ilvl="0" w:tentative="0">
      <w:start w:val="1"/>
      <w:numFmt w:val="decimal"/>
      <w:lvlText w:val="7.%1"/>
      <w:lvlJc w:val="left"/>
      <w:pPr>
        <w:tabs>
          <w:tab w:val="left" w:pos="210"/>
        </w:tabs>
        <w:ind w:left="0" w:firstLine="480"/>
      </w:pPr>
      <w:rPr>
        <w:rFonts w:hint="default"/>
      </w:rPr>
    </w:lvl>
  </w:abstractNum>
  <w:abstractNum w:abstractNumId="54">
    <w:nsid w:val="48EE3DDB"/>
    <w:multiLevelType w:val="singleLevel"/>
    <w:tmpl w:val="48EE3DDB"/>
    <w:lvl w:ilvl="0" w:tentative="0">
      <w:start w:val="9"/>
      <w:numFmt w:val="decimal"/>
      <w:suff w:val="nothing"/>
      <w:lvlText w:val="%1、"/>
      <w:lvlJc w:val="left"/>
      <w:pPr>
        <w:ind w:left="0" w:firstLine="0"/>
      </w:pPr>
      <w:rPr>
        <w:rFonts w:hint="default"/>
      </w:rPr>
    </w:lvl>
  </w:abstractNum>
  <w:abstractNum w:abstractNumId="55">
    <w:nsid w:val="4B2B0F21"/>
    <w:multiLevelType w:val="singleLevel"/>
    <w:tmpl w:val="4B2B0F21"/>
    <w:lvl w:ilvl="0" w:tentative="0">
      <w:start w:val="1"/>
      <w:numFmt w:val="decimal"/>
      <w:lvlText w:val="6.%1"/>
      <w:lvlJc w:val="left"/>
      <w:pPr>
        <w:tabs>
          <w:tab w:val="left" w:pos="210"/>
        </w:tabs>
        <w:ind w:left="0" w:firstLine="480"/>
      </w:pPr>
      <w:rPr>
        <w:rFonts w:hint="default"/>
      </w:rPr>
    </w:lvl>
  </w:abstractNum>
  <w:abstractNum w:abstractNumId="56">
    <w:nsid w:val="52B1D5EC"/>
    <w:multiLevelType w:val="singleLevel"/>
    <w:tmpl w:val="52B1D5EC"/>
    <w:lvl w:ilvl="0" w:tentative="0">
      <w:start w:val="1"/>
      <w:numFmt w:val="decimal"/>
      <w:lvlText w:val="27.5.%1"/>
      <w:lvlJc w:val="left"/>
      <w:pPr>
        <w:tabs>
          <w:tab w:val="left" w:pos="210"/>
        </w:tabs>
        <w:ind w:left="0" w:firstLine="480"/>
      </w:pPr>
      <w:rPr>
        <w:rFonts w:hint="default"/>
      </w:rPr>
    </w:lvl>
  </w:abstractNum>
  <w:abstractNum w:abstractNumId="57">
    <w:nsid w:val="561E5ECD"/>
    <w:multiLevelType w:val="singleLevel"/>
    <w:tmpl w:val="561E5ECD"/>
    <w:lvl w:ilvl="0" w:tentative="0">
      <w:start w:val="1"/>
      <w:numFmt w:val="chineseCounting"/>
      <w:suff w:val="nothing"/>
      <w:lvlText w:val="（%1）"/>
      <w:lvlJc w:val="left"/>
      <w:pPr>
        <w:ind w:left="0" w:firstLine="480"/>
      </w:pPr>
      <w:rPr>
        <w:rFonts w:hint="eastAsia"/>
      </w:rPr>
    </w:lvl>
  </w:abstractNum>
  <w:abstractNum w:abstractNumId="58">
    <w:nsid w:val="57839719"/>
    <w:multiLevelType w:val="singleLevel"/>
    <w:tmpl w:val="57839719"/>
    <w:lvl w:ilvl="0" w:tentative="0">
      <w:start w:val="1"/>
      <w:numFmt w:val="decimal"/>
      <w:lvlText w:val="12.%1"/>
      <w:lvlJc w:val="left"/>
      <w:pPr>
        <w:tabs>
          <w:tab w:val="left" w:pos="210"/>
        </w:tabs>
        <w:ind w:left="0" w:firstLine="480"/>
      </w:pPr>
      <w:rPr>
        <w:rFonts w:hint="default"/>
      </w:rPr>
    </w:lvl>
  </w:abstractNum>
  <w:abstractNum w:abstractNumId="59">
    <w:nsid w:val="5B84DA8F"/>
    <w:multiLevelType w:val="singleLevel"/>
    <w:tmpl w:val="5B84DA8F"/>
    <w:lvl w:ilvl="0" w:tentative="0">
      <w:start w:val="1"/>
      <w:numFmt w:val="decimal"/>
      <w:lvlText w:val="25.%1"/>
      <w:lvlJc w:val="left"/>
      <w:pPr>
        <w:tabs>
          <w:tab w:val="left" w:pos="210"/>
        </w:tabs>
        <w:ind w:left="0" w:firstLine="480"/>
      </w:pPr>
      <w:rPr>
        <w:rFonts w:hint="default"/>
      </w:rPr>
    </w:lvl>
  </w:abstractNum>
  <w:abstractNum w:abstractNumId="60">
    <w:nsid w:val="5FD54058"/>
    <w:multiLevelType w:val="singleLevel"/>
    <w:tmpl w:val="5FD54058"/>
    <w:lvl w:ilvl="0" w:tentative="0">
      <w:start w:val="1"/>
      <w:numFmt w:val="decimal"/>
      <w:lvlText w:val="28.2.%1"/>
      <w:lvlJc w:val="left"/>
      <w:pPr>
        <w:tabs>
          <w:tab w:val="left" w:pos="210"/>
        </w:tabs>
        <w:ind w:left="0" w:firstLine="480"/>
      </w:pPr>
      <w:rPr>
        <w:rFonts w:hint="default"/>
      </w:rPr>
    </w:lvl>
  </w:abstractNum>
  <w:abstractNum w:abstractNumId="61">
    <w:nsid w:val="60056C9A"/>
    <w:multiLevelType w:val="singleLevel"/>
    <w:tmpl w:val="60056C9A"/>
    <w:lvl w:ilvl="0" w:tentative="0">
      <w:start w:val="4"/>
      <w:numFmt w:val="chineseCounting"/>
      <w:suff w:val="space"/>
      <w:lvlText w:val="第%1章"/>
      <w:lvlJc w:val="left"/>
      <w:pPr>
        <w:ind w:left="0" w:firstLine="0"/>
      </w:pPr>
      <w:rPr>
        <w:rFonts w:hint="eastAsia"/>
      </w:rPr>
    </w:lvl>
  </w:abstractNum>
  <w:abstractNum w:abstractNumId="62">
    <w:nsid w:val="67384EA9"/>
    <w:multiLevelType w:val="singleLevel"/>
    <w:tmpl w:val="67384EA9"/>
    <w:lvl w:ilvl="0" w:tentative="0">
      <w:start w:val="1"/>
      <w:numFmt w:val="decimal"/>
      <w:lvlText w:val="32.4.%1"/>
      <w:lvlJc w:val="left"/>
      <w:pPr>
        <w:tabs>
          <w:tab w:val="left" w:pos="210"/>
        </w:tabs>
        <w:ind w:left="0" w:firstLine="480"/>
      </w:pPr>
      <w:rPr>
        <w:rFonts w:hint="default"/>
      </w:rPr>
    </w:lvl>
  </w:abstractNum>
  <w:abstractNum w:abstractNumId="63">
    <w:nsid w:val="6B7DD9C5"/>
    <w:multiLevelType w:val="singleLevel"/>
    <w:tmpl w:val="6B7DD9C5"/>
    <w:lvl w:ilvl="0" w:tentative="0">
      <w:start w:val="1"/>
      <w:numFmt w:val="decimal"/>
      <w:lvlText w:val="2.%1"/>
      <w:lvlJc w:val="left"/>
      <w:pPr>
        <w:tabs>
          <w:tab w:val="left" w:pos="210"/>
        </w:tabs>
        <w:ind w:left="0" w:firstLine="480"/>
      </w:pPr>
      <w:rPr>
        <w:rFonts w:hint="default"/>
      </w:rPr>
    </w:lvl>
  </w:abstractNum>
  <w:abstractNum w:abstractNumId="64">
    <w:nsid w:val="6C02F7F1"/>
    <w:multiLevelType w:val="singleLevel"/>
    <w:tmpl w:val="6C02F7F1"/>
    <w:lvl w:ilvl="0" w:tentative="0">
      <w:start w:val="1"/>
      <w:numFmt w:val="decimal"/>
      <w:lvlText w:val="26.%1"/>
      <w:lvlJc w:val="left"/>
      <w:pPr>
        <w:tabs>
          <w:tab w:val="left" w:pos="210"/>
        </w:tabs>
        <w:ind w:left="0" w:firstLine="0"/>
      </w:pPr>
      <w:rPr>
        <w:rFonts w:hint="default"/>
      </w:rPr>
    </w:lvl>
  </w:abstractNum>
  <w:abstractNum w:abstractNumId="65">
    <w:nsid w:val="6FE99107"/>
    <w:multiLevelType w:val="singleLevel"/>
    <w:tmpl w:val="6FE99107"/>
    <w:lvl w:ilvl="0" w:tentative="0">
      <w:start w:val="1"/>
      <w:numFmt w:val="decimal"/>
      <w:lvlText w:val="22.%1"/>
      <w:lvlJc w:val="left"/>
      <w:pPr>
        <w:tabs>
          <w:tab w:val="left" w:pos="210"/>
        </w:tabs>
        <w:ind w:left="0" w:firstLine="480"/>
      </w:pPr>
      <w:rPr>
        <w:rFonts w:hint="default"/>
      </w:rPr>
    </w:lvl>
  </w:abstractNum>
  <w:abstractNum w:abstractNumId="66">
    <w:nsid w:val="7286ECEB"/>
    <w:multiLevelType w:val="singleLevel"/>
    <w:tmpl w:val="7286ECEB"/>
    <w:lvl w:ilvl="0" w:tentative="0">
      <w:start w:val="1"/>
      <w:numFmt w:val="decimal"/>
      <w:lvlText w:val="%1."/>
      <w:lvlJc w:val="left"/>
      <w:pPr>
        <w:tabs>
          <w:tab w:val="left" w:pos="210"/>
        </w:tabs>
        <w:ind w:left="0" w:firstLine="480"/>
      </w:pPr>
      <w:rPr>
        <w:rFonts w:hint="default"/>
      </w:rPr>
    </w:lvl>
  </w:abstractNum>
  <w:abstractNum w:abstractNumId="67">
    <w:nsid w:val="741806E1"/>
    <w:multiLevelType w:val="singleLevel"/>
    <w:tmpl w:val="741806E1"/>
    <w:lvl w:ilvl="0" w:tentative="0">
      <w:start w:val="1"/>
      <w:numFmt w:val="decimal"/>
      <w:lvlText w:val="32.3.2.%1"/>
      <w:lvlJc w:val="left"/>
      <w:pPr>
        <w:tabs>
          <w:tab w:val="left" w:pos="210"/>
        </w:tabs>
        <w:ind w:left="0" w:firstLine="480"/>
      </w:pPr>
      <w:rPr>
        <w:rFonts w:hint="default"/>
      </w:rPr>
    </w:lvl>
  </w:abstractNum>
  <w:abstractNum w:abstractNumId="68">
    <w:nsid w:val="7CE79B9A"/>
    <w:multiLevelType w:val="singleLevel"/>
    <w:tmpl w:val="7CE79B9A"/>
    <w:lvl w:ilvl="0" w:tentative="0">
      <w:start w:val="1"/>
      <w:numFmt w:val="decimal"/>
      <w:lvlText w:val="8.%1"/>
      <w:lvlJc w:val="left"/>
      <w:pPr>
        <w:tabs>
          <w:tab w:val="left" w:pos="210"/>
        </w:tabs>
        <w:ind w:left="0" w:firstLine="480"/>
      </w:pPr>
      <w:rPr>
        <w:rFonts w:hint="default"/>
      </w:rPr>
    </w:lvl>
  </w:abstractNum>
  <w:abstractNum w:abstractNumId="69">
    <w:nsid w:val="7E36EA8A"/>
    <w:multiLevelType w:val="singleLevel"/>
    <w:tmpl w:val="7E36EA8A"/>
    <w:lvl w:ilvl="0" w:tentative="0">
      <w:start w:val="1"/>
      <w:numFmt w:val="decimal"/>
      <w:lvlText w:val="24.%1"/>
      <w:lvlJc w:val="left"/>
      <w:pPr>
        <w:tabs>
          <w:tab w:val="left" w:pos="210"/>
        </w:tabs>
        <w:ind w:left="0" w:firstLine="480"/>
      </w:pPr>
      <w:rPr>
        <w:rFonts w:hint="default"/>
      </w:rPr>
    </w:lvl>
  </w:abstractNum>
  <w:num w:numId="1">
    <w:abstractNumId w:val="33"/>
  </w:num>
  <w:num w:numId="2">
    <w:abstractNumId w:val="50"/>
  </w:num>
  <w:num w:numId="3">
    <w:abstractNumId w:val="63"/>
  </w:num>
  <w:num w:numId="4">
    <w:abstractNumId w:val="14"/>
  </w:num>
  <w:num w:numId="5">
    <w:abstractNumId w:val="8"/>
  </w:num>
  <w:num w:numId="6">
    <w:abstractNumId w:val="17"/>
  </w:num>
  <w:num w:numId="7">
    <w:abstractNumId w:val="11"/>
  </w:num>
  <w:num w:numId="8">
    <w:abstractNumId w:val="2"/>
  </w:num>
  <w:num w:numId="9">
    <w:abstractNumId w:val="68"/>
  </w:num>
  <w:num w:numId="10">
    <w:abstractNumId w:val="54"/>
  </w:num>
  <w:num w:numId="11">
    <w:abstractNumId w:val="22"/>
  </w:num>
  <w:num w:numId="12">
    <w:abstractNumId w:val="1"/>
  </w:num>
  <w:num w:numId="13">
    <w:abstractNumId w:val="6"/>
  </w:num>
  <w:num w:numId="14">
    <w:abstractNumId w:val="24"/>
  </w:num>
  <w:num w:numId="15">
    <w:abstractNumId w:val="45"/>
  </w:num>
  <w:num w:numId="16">
    <w:abstractNumId w:val="31"/>
  </w:num>
  <w:num w:numId="17">
    <w:abstractNumId w:val="36"/>
  </w:num>
  <w:num w:numId="18">
    <w:abstractNumId w:val="47"/>
  </w:num>
  <w:num w:numId="19">
    <w:abstractNumId w:val="40"/>
  </w:num>
  <w:num w:numId="20">
    <w:abstractNumId w:val="12"/>
  </w:num>
  <w:num w:numId="21">
    <w:abstractNumId w:val="51"/>
  </w:num>
  <w:num w:numId="22">
    <w:abstractNumId w:val="41"/>
  </w:num>
  <w:num w:numId="23">
    <w:abstractNumId w:val="18"/>
  </w:num>
  <w:num w:numId="24">
    <w:abstractNumId w:val="65"/>
  </w:num>
  <w:num w:numId="25">
    <w:abstractNumId w:val="23"/>
  </w:num>
  <w:num w:numId="26">
    <w:abstractNumId w:val="69"/>
  </w:num>
  <w:num w:numId="27">
    <w:abstractNumId w:val="59"/>
  </w:num>
  <w:num w:numId="28">
    <w:abstractNumId w:val="28"/>
  </w:num>
  <w:num w:numId="29">
    <w:abstractNumId w:val="29"/>
  </w:num>
  <w:num w:numId="30">
    <w:abstractNumId w:val="64"/>
  </w:num>
  <w:num w:numId="31">
    <w:abstractNumId w:val="32"/>
  </w:num>
  <w:num w:numId="32">
    <w:abstractNumId w:val="57"/>
  </w:num>
  <w:num w:numId="33">
    <w:abstractNumId w:val="66"/>
  </w:num>
  <w:num w:numId="34">
    <w:abstractNumId w:val="34"/>
  </w:num>
  <w:num w:numId="35">
    <w:abstractNumId w:val="3"/>
  </w:num>
  <w:num w:numId="36">
    <w:abstractNumId w:val="52"/>
  </w:num>
  <w:num w:numId="37">
    <w:abstractNumId w:val="13"/>
  </w:num>
  <w:num w:numId="38">
    <w:abstractNumId w:val="56"/>
  </w:num>
  <w:num w:numId="39">
    <w:abstractNumId w:val="48"/>
  </w:num>
  <w:num w:numId="40">
    <w:abstractNumId w:val="60"/>
  </w:num>
  <w:num w:numId="41">
    <w:abstractNumId w:val="26"/>
  </w:num>
  <w:num w:numId="42">
    <w:abstractNumId w:val="39"/>
  </w:num>
  <w:num w:numId="43">
    <w:abstractNumId w:val="0"/>
  </w:num>
  <w:num w:numId="44">
    <w:abstractNumId w:val="20"/>
  </w:num>
  <w:num w:numId="45">
    <w:abstractNumId w:val="67"/>
  </w:num>
  <w:num w:numId="46">
    <w:abstractNumId w:val="35"/>
  </w:num>
  <w:num w:numId="47">
    <w:abstractNumId w:val="62"/>
  </w:num>
  <w:num w:numId="48">
    <w:abstractNumId w:val="10"/>
  </w:num>
  <w:num w:numId="49">
    <w:abstractNumId w:val="49"/>
  </w:num>
  <w:num w:numId="50">
    <w:abstractNumId w:val="30"/>
  </w:num>
  <w:num w:numId="51">
    <w:abstractNumId w:val="55"/>
  </w:num>
  <w:num w:numId="52">
    <w:abstractNumId w:val="25"/>
  </w:num>
  <w:num w:numId="53">
    <w:abstractNumId w:val="37"/>
  </w:num>
  <w:num w:numId="54">
    <w:abstractNumId w:val="21"/>
  </w:num>
  <w:num w:numId="55">
    <w:abstractNumId w:val="53"/>
  </w:num>
  <w:num w:numId="56">
    <w:abstractNumId w:val="38"/>
  </w:num>
  <w:num w:numId="57">
    <w:abstractNumId w:val="46"/>
  </w:num>
  <w:num w:numId="58">
    <w:abstractNumId w:val="58"/>
  </w:num>
  <w:num w:numId="59">
    <w:abstractNumId w:val="7"/>
  </w:num>
  <w:num w:numId="60">
    <w:abstractNumId w:val="42"/>
  </w:num>
  <w:num w:numId="61">
    <w:abstractNumId w:val="19"/>
  </w:num>
  <w:num w:numId="62">
    <w:abstractNumId w:val="61"/>
  </w:num>
  <w:num w:numId="63">
    <w:abstractNumId w:val="27"/>
  </w:num>
  <w:num w:numId="64">
    <w:abstractNumId w:val="5"/>
  </w:num>
  <w:num w:numId="65">
    <w:abstractNumId w:val="4"/>
  </w:num>
  <w:num w:numId="66">
    <w:abstractNumId w:val="15"/>
  </w:num>
  <w:num w:numId="67">
    <w:abstractNumId w:val="16"/>
  </w:num>
  <w:num w:numId="68">
    <w:abstractNumId w:val="9"/>
  </w:num>
  <w:num w:numId="69">
    <w:abstractNumId w:val="44"/>
  </w:num>
  <w:num w:numId="7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jYzRmMGJmNTNmYjJkNmJkNjhjMjEwOTQ4YzI5NWMifQ=="/>
    <w:docVar w:name="KSO_WPS_MARK_KEY" w:val="6ba5770c-3a17-4152-bbdf-e5d4216a2f2c"/>
  </w:docVars>
  <w:rsids>
    <w:rsidRoot w:val="004C5600"/>
    <w:rsid w:val="001C5EE0"/>
    <w:rsid w:val="003F55C5"/>
    <w:rsid w:val="004C5331"/>
    <w:rsid w:val="004C5600"/>
    <w:rsid w:val="004D5BCE"/>
    <w:rsid w:val="005902D3"/>
    <w:rsid w:val="005919D3"/>
    <w:rsid w:val="00641DF0"/>
    <w:rsid w:val="00740591"/>
    <w:rsid w:val="007D0A5A"/>
    <w:rsid w:val="00884654"/>
    <w:rsid w:val="00A80FAB"/>
    <w:rsid w:val="00B87CC8"/>
    <w:rsid w:val="00D63A57"/>
    <w:rsid w:val="00DC54F3"/>
    <w:rsid w:val="00EB66BD"/>
    <w:rsid w:val="00ED128E"/>
    <w:rsid w:val="00F3774C"/>
    <w:rsid w:val="01092E43"/>
    <w:rsid w:val="016D0648"/>
    <w:rsid w:val="01B7433E"/>
    <w:rsid w:val="01C43576"/>
    <w:rsid w:val="01D7576C"/>
    <w:rsid w:val="0200793B"/>
    <w:rsid w:val="02306DE2"/>
    <w:rsid w:val="024352EF"/>
    <w:rsid w:val="026E7947"/>
    <w:rsid w:val="0288421F"/>
    <w:rsid w:val="028B27F7"/>
    <w:rsid w:val="02986DD2"/>
    <w:rsid w:val="033231F8"/>
    <w:rsid w:val="035148F2"/>
    <w:rsid w:val="038A1BB2"/>
    <w:rsid w:val="03944F6A"/>
    <w:rsid w:val="0397607D"/>
    <w:rsid w:val="039E43E0"/>
    <w:rsid w:val="03EA376B"/>
    <w:rsid w:val="03F274A2"/>
    <w:rsid w:val="03FC11ED"/>
    <w:rsid w:val="04651CD8"/>
    <w:rsid w:val="047768CF"/>
    <w:rsid w:val="04C74740"/>
    <w:rsid w:val="04EC4F54"/>
    <w:rsid w:val="0515698F"/>
    <w:rsid w:val="05185DCF"/>
    <w:rsid w:val="05573D16"/>
    <w:rsid w:val="05603532"/>
    <w:rsid w:val="05991F64"/>
    <w:rsid w:val="05E35235"/>
    <w:rsid w:val="062E2E2E"/>
    <w:rsid w:val="063D464A"/>
    <w:rsid w:val="064962E3"/>
    <w:rsid w:val="06783F44"/>
    <w:rsid w:val="06B64A6C"/>
    <w:rsid w:val="06BB23A8"/>
    <w:rsid w:val="06F061D0"/>
    <w:rsid w:val="07035B49"/>
    <w:rsid w:val="070F49A2"/>
    <w:rsid w:val="073E518E"/>
    <w:rsid w:val="07CA6288"/>
    <w:rsid w:val="08136986"/>
    <w:rsid w:val="084911BB"/>
    <w:rsid w:val="08564CB9"/>
    <w:rsid w:val="08654420"/>
    <w:rsid w:val="08766BA9"/>
    <w:rsid w:val="087D77EC"/>
    <w:rsid w:val="08B6067C"/>
    <w:rsid w:val="08E60E2C"/>
    <w:rsid w:val="093A1985"/>
    <w:rsid w:val="09781064"/>
    <w:rsid w:val="09811362"/>
    <w:rsid w:val="09930631"/>
    <w:rsid w:val="099C43EE"/>
    <w:rsid w:val="09DC2A3C"/>
    <w:rsid w:val="09DE3D12"/>
    <w:rsid w:val="0A127883"/>
    <w:rsid w:val="0A62232D"/>
    <w:rsid w:val="0A6C0264"/>
    <w:rsid w:val="0ACF434F"/>
    <w:rsid w:val="0AF344E1"/>
    <w:rsid w:val="0B0264D2"/>
    <w:rsid w:val="0B353D08"/>
    <w:rsid w:val="0B3D750A"/>
    <w:rsid w:val="0B4611F7"/>
    <w:rsid w:val="0B4E7969"/>
    <w:rsid w:val="0B5B3F0C"/>
    <w:rsid w:val="0B753148"/>
    <w:rsid w:val="0B7D7388"/>
    <w:rsid w:val="0B811AED"/>
    <w:rsid w:val="0BC71BE8"/>
    <w:rsid w:val="0C002831"/>
    <w:rsid w:val="0C0A1AE2"/>
    <w:rsid w:val="0C1464BD"/>
    <w:rsid w:val="0C9515FD"/>
    <w:rsid w:val="0CF915E6"/>
    <w:rsid w:val="0D10137A"/>
    <w:rsid w:val="0D2C08E5"/>
    <w:rsid w:val="0D611BD6"/>
    <w:rsid w:val="0D6E7E4F"/>
    <w:rsid w:val="0D8B3E92"/>
    <w:rsid w:val="0DE10621"/>
    <w:rsid w:val="0E024951"/>
    <w:rsid w:val="0E28072B"/>
    <w:rsid w:val="0E412116"/>
    <w:rsid w:val="0ED85EC8"/>
    <w:rsid w:val="0EE161E4"/>
    <w:rsid w:val="0F0071CD"/>
    <w:rsid w:val="0F1B7B63"/>
    <w:rsid w:val="0F3052F1"/>
    <w:rsid w:val="0F9242C9"/>
    <w:rsid w:val="0F953DB9"/>
    <w:rsid w:val="0FD03043"/>
    <w:rsid w:val="0FD04AF8"/>
    <w:rsid w:val="101D790A"/>
    <w:rsid w:val="107F6265"/>
    <w:rsid w:val="10961B97"/>
    <w:rsid w:val="10A76007"/>
    <w:rsid w:val="11427949"/>
    <w:rsid w:val="114A41D7"/>
    <w:rsid w:val="11823EC9"/>
    <w:rsid w:val="11BC7F56"/>
    <w:rsid w:val="11D861DF"/>
    <w:rsid w:val="12021AC7"/>
    <w:rsid w:val="12217339"/>
    <w:rsid w:val="12927533"/>
    <w:rsid w:val="12BE7183"/>
    <w:rsid w:val="12ED454F"/>
    <w:rsid w:val="131808AA"/>
    <w:rsid w:val="13C26B66"/>
    <w:rsid w:val="13DD7283"/>
    <w:rsid w:val="13F943AE"/>
    <w:rsid w:val="13F97C06"/>
    <w:rsid w:val="13FF2FDC"/>
    <w:rsid w:val="14294AD0"/>
    <w:rsid w:val="144B7496"/>
    <w:rsid w:val="1485091A"/>
    <w:rsid w:val="156E26D0"/>
    <w:rsid w:val="15F66C34"/>
    <w:rsid w:val="16254881"/>
    <w:rsid w:val="16351328"/>
    <w:rsid w:val="166E6F3D"/>
    <w:rsid w:val="16817B25"/>
    <w:rsid w:val="1686445B"/>
    <w:rsid w:val="16C64858"/>
    <w:rsid w:val="16E64EFA"/>
    <w:rsid w:val="16EA49EA"/>
    <w:rsid w:val="16ED44DA"/>
    <w:rsid w:val="171530A7"/>
    <w:rsid w:val="172F68A1"/>
    <w:rsid w:val="17E72CD8"/>
    <w:rsid w:val="183B2B5A"/>
    <w:rsid w:val="186B1B5B"/>
    <w:rsid w:val="189D783A"/>
    <w:rsid w:val="18C43019"/>
    <w:rsid w:val="18CE28C0"/>
    <w:rsid w:val="18E04888"/>
    <w:rsid w:val="18FF04F5"/>
    <w:rsid w:val="19206EF6"/>
    <w:rsid w:val="19597DE2"/>
    <w:rsid w:val="19F33BB6"/>
    <w:rsid w:val="1A0072A2"/>
    <w:rsid w:val="1A0C211E"/>
    <w:rsid w:val="1A38665C"/>
    <w:rsid w:val="1A930EF5"/>
    <w:rsid w:val="1AD70716"/>
    <w:rsid w:val="1AF726B9"/>
    <w:rsid w:val="1AFF7E9E"/>
    <w:rsid w:val="1B0342CC"/>
    <w:rsid w:val="1B721452"/>
    <w:rsid w:val="1B952491"/>
    <w:rsid w:val="1BB15E7B"/>
    <w:rsid w:val="1BD9327F"/>
    <w:rsid w:val="1BF73705"/>
    <w:rsid w:val="1C026332"/>
    <w:rsid w:val="1C297D63"/>
    <w:rsid w:val="1C2C1048"/>
    <w:rsid w:val="1C3F69E4"/>
    <w:rsid w:val="1C590694"/>
    <w:rsid w:val="1C5F19D6"/>
    <w:rsid w:val="1C7217BC"/>
    <w:rsid w:val="1C880A5C"/>
    <w:rsid w:val="1C961170"/>
    <w:rsid w:val="1CD16D35"/>
    <w:rsid w:val="1D485C20"/>
    <w:rsid w:val="1D8A2A83"/>
    <w:rsid w:val="1DA31316"/>
    <w:rsid w:val="1DB25B36"/>
    <w:rsid w:val="1DDA18CD"/>
    <w:rsid w:val="1E1F733C"/>
    <w:rsid w:val="1E2C37B9"/>
    <w:rsid w:val="1E2F6AC2"/>
    <w:rsid w:val="1EC743FA"/>
    <w:rsid w:val="1F073C5F"/>
    <w:rsid w:val="1F0B09FE"/>
    <w:rsid w:val="1F3F5AEF"/>
    <w:rsid w:val="1FA35CFB"/>
    <w:rsid w:val="1FCD4EA9"/>
    <w:rsid w:val="2033757A"/>
    <w:rsid w:val="20C31E08"/>
    <w:rsid w:val="20CE712B"/>
    <w:rsid w:val="20E00C0C"/>
    <w:rsid w:val="21073D19"/>
    <w:rsid w:val="210B785C"/>
    <w:rsid w:val="21274C73"/>
    <w:rsid w:val="21612471"/>
    <w:rsid w:val="21E12E8E"/>
    <w:rsid w:val="21F3172C"/>
    <w:rsid w:val="22032E04"/>
    <w:rsid w:val="224A05B8"/>
    <w:rsid w:val="224D22D1"/>
    <w:rsid w:val="226B0DAB"/>
    <w:rsid w:val="2284785A"/>
    <w:rsid w:val="22D93B65"/>
    <w:rsid w:val="23173028"/>
    <w:rsid w:val="23181B28"/>
    <w:rsid w:val="23467AF0"/>
    <w:rsid w:val="23BE1723"/>
    <w:rsid w:val="23DB6542"/>
    <w:rsid w:val="23EF08D9"/>
    <w:rsid w:val="243E1407"/>
    <w:rsid w:val="24714BD6"/>
    <w:rsid w:val="247840E5"/>
    <w:rsid w:val="24924C8F"/>
    <w:rsid w:val="24AD2696"/>
    <w:rsid w:val="24F536AF"/>
    <w:rsid w:val="25125890"/>
    <w:rsid w:val="25203CCD"/>
    <w:rsid w:val="254259F1"/>
    <w:rsid w:val="25D643AB"/>
    <w:rsid w:val="26144E5E"/>
    <w:rsid w:val="2670658E"/>
    <w:rsid w:val="26761529"/>
    <w:rsid w:val="26842BB5"/>
    <w:rsid w:val="26AE1196"/>
    <w:rsid w:val="26BE19EF"/>
    <w:rsid w:val="26E1123A"/>
    <w:rsid w:val="27147861"/>
    <w:rsid w:val="273B4DEE"/>
    <w:rsid w:val="27602AA7"/>
    <w:rsid w:val="27B8643F"/>
    <w:rsid w:val="27F51441"/>
    <w:rsid w:val="27FA0805"/>
    <w:rsid w:val="281178FD"/>
    <w:rsid w:val="28155353"/>
    <w:rsid w:val="281713B7"/>
    <w:rsid w:val="28201DDD"/>
    <w:rsid w:val="28770089"/>
    <w:rsid w:val="28905912"/>
    <w:rsid w:val="28981947"/>
    <w:rsid w:val="28CB0306"/>
    <w:rsid w:val="28E70D52"/>
    <w:rsid w:val="28E765DD"/>
    <w:rsid w:val="28EA3406"/>
    <w:rsid w:val="292A336C"/>
    <w:rsid w:val="29BA486A"/>
    <w:rsid w:val="29CC61D1"/>
    <w:rsid w:val="29D820DA"/>
    <w:rsid w:val="29E452C9"/>
    <w:rsid w:val="2A3D1912"/>
    <w:rsid w:val="2A9C2048"/>
    <w:rsid w:val="2A9F38E6"/>
    <w:rsid w:val="2ABF60CD"/>
    <w:rsid w:val="2AD63CED"/>
    <w:rsid w:val="2B5951B9"/>
    <w:rsid w:val="2B6D2E3C"/>
    <w:rsid w:val="2B9D3E9D"/>
    <w:rsid w:val="2BC635BF"/>
    <w:rsid w:val="2BD521D1"/>
    <w:rsid w:val="2BE5357A"/>
    <w:rsid w:val="2C5011A6"/>
    <w:rsid w:val="2C60016F"/>
    <w:rsid w:val="2C6724E0"/>
    <w:rsid w:val="2C7E6A0F"/>
    <w:rsid w:val="2CC15D95"/>
    <w:rsid w:val="2CC338BC"/>
    <w:rsid w:val="2CD535EF"/>
    <w:rsid w:val="2CE85ECD"/>
    <w:rsid w:val="2D003E6F"/>
    <w:rsid w:val="2D4332A5"/>
    <w:rsid w:val="2D8C0151"/>
    <w:rsid w:val="2D8E2E4A"/>
    <w:rsid w:val="2DEA6EED"/>
    <w:rsid w:val="2E0917A2"/>
    <w:rsid w:val="2E5C55AE"/>
    <w:rsid w:val="2E61338C"/>
    <w:rsid w:val="2E8F138D"/>
    <w:rsid w:val="2E9077CD"/>
    <w:rsid w:val="2E927EFC"/>
    <w:rsid w:val="2EE363F4"/>
    <w:rsid w:val="2EFB77C4"/>
    <w:rsid w:val="2F43024C"/>
    <w:rsid w:val="2F4B2593"/>
    <w:rsid w:val="2FA71273"/>
    <w:rsid w:val="2FFE4C0B"/>
    <w:rsid w:val="303625F7"/>
    <w:rsid w:val="30676AE4"/>
    <w:rsid w:val="307E0A13"/>
    <w:rsid w:val="309D2027"/>
    <w:rsid w:val="309F63EE"/>
    <w:rsid w:val="30D065A7"/>
    <w:rsid w:val="30D372B7"/>
    <w:rsid w:val="30ED53AB"/>
    <w:rsid w:val="30F878AC"/>
    <w:rsid w:val="31532D34"/>
    <w:rsid w:val="31684A32"/>
    <w:rsid w:val="31AD7DF1"/>
    <w:rsid w:val="31BC4D7D"/>
    <w:rsid w:val="32081D71"/>
    <w:rsid w:val="321921D0"/>
    <w:rsid w:val="322E7A29"/>
    <w:rsid w:val="32560D2E"/>
    <w:rsid w:val="32826233"/>
    <w:rsid w:val="32876A90"/>
    <w:rsid w:val="328C0BF4"/>
    <w:rsid w:val="32B73EB2"/>
    <w:rsid w:val="336E20A7"/>
    <w:rsid w:val="33745057"/>
    <w:rsid w:val="337C2A16"/>
    <w:rsid w:val="33C30645"/>
    <w:rsid w:val="33C61EE3"/>
    <w:rsid w:val="33CA3782"/>
    <w:rsid w:val="34034C43"/>
    <w:rsid w:val="3422503E"/>
    <w:rsid w:val="343706EB"/>
    <w:rsid w:val="3482419A"/>
    <w:rsid w:val="34B460F1"/>
    <w:rsid w:val="34CA155F"/>
    <w:rsid w:val="35080D00"/>
    <w:rsid w:val="350902DA"/>
    <w:rsid w:val="352E7D40"/>
    <w:rsid w:val="35337105"/>
    <w:rsid w:val="353535E0"/>
    <w:rsid w:val="35661288"/>
    <w:rsid w:val="35860857"/>
    <w:rsid w:val="359236C7"/>
    <w:rsid w:val="35B30FF6"/>
    <w:rsid w:val="35B35DCF"/>
    <w:rsid w:val="360946F7"/>
    <w:rsid w:val="36366780"/>
    <w:rsid w:val="364610BA"/>
    <w:rsid w:val="364F4412"/>
    <w:rsid w:val="3673475E"/>
    <w:rsid w:val="368D390B"/>
    <w:rsid w:val="368D6CA9"/>
    <w:rsid w:val="36A54032"/>
    <w:rsid w:val="36A5527A"/>
    <w:rsid w:val="36E25286"/>
    <w:rsid w:val="37441A9D"/>
    <w:rsid w:val="379448FB"/>
    <w:rsid w:val="37A2019E"/>
    <w:rsid w:val="380D63FD"/>
    <w:rsid w:val="389A756D"/>
    <w:rsid w:val="38AC1155"/>
    <w:rsid w:val="38BE13DB"/>
    <w:rsid w:val="38F77B0B"/>
    <w:rsid w:val="38F77C64"/>
    <w:rsid w:val="391C6F31"/>
    <w:rsid w:val="393467AB"/>
    <w:rsid w:val="39367522"/>
    <w:rsid w:val="39B70940"/>
    <w:rsid w:val="39DC7D6B"/>
    <w:rsid w:val="3A0D6176"/>
    <w:rsid w:val="3A3169B0"/>
    <w:rsid w:val="3A563FC1"/>
    <w:rsid w:val="3A59585F"/>
    <w:rsid w:val="3A63048C"/>
    <w:rsid w:val="3A775CE5"/>
    <w:rsid w:val="3A9E6883"/>
    <w:rsid w:val="3AC23405"/>
    <w:rsid w:val="3AE03A6E"/>
    <w:rsid w:val="3AEC0481"/>
    <w:rsid w:val="3AFC5601"/>
    <w:rsid w:val="3AFC7CF6"/>
    <w:rsid w:val="3B1630AC"/>
    <w:rsid w:val="3B211535"/>
    <w:rsid w:val="3B4D60F6"/>
    <w:rsid w:val="3BA96372"/>
    <w:rsid w:val="3BAE1BDB"/>
    <w:rsid w:val="3C263DBE"/>
    <w:rsid w:val="3C574020"/>
    <w:rsid w:val="3C94492D"/>
    <w:rsid w:val="3CC75CC4"/>
    <w:rsid w:val="3CCB2319"/>
    <w:rsid w:val="3CE05DC4"/>
    <w:rsid w:val="3CE273B8"/>
    <w:rsid w:val="3CE41382"/>
    <w:rsid w:val="3D1B504E"/>
    <w:rsid w:val="3D1B6DFC"/>
    <w:rsid w:val="3D26644E"/>
    <w:rsid w:val="3D4C5207"/>
    <w:rsid w:val="3D515C28"/>
    <w:rsid w:val="3D6F750E"/>
    <w:rsid w:val="3D74650C"/>
    <w:rsid w:val="3D987765"/>
    <w:rsid w:val="3DAA05A5"/>
    <w:rsid w:val="3EA1684F"/>
    <w:rsid w:val="3ED3286E"/>
    <w:rsid w:val="3F0B353D"/>
    <w:rsid w:val="3F88629F"/>
    <w:rsid w:val="3F892743"/>
    <w:rsid w:val="3FFB1573"/>
    <w:rsid w:val="401F6C03"/>
    <w:rsid w:val="40830F63"/>
    <w:rsid w:val="40880B2A"/>
    <w:rsid w:val="4093314D"/>
    <w:rsid w:val="40F251A3"/>
    <w:rsid w:val="419B52B3"/>
    <w:rsid w:val="41C455E5"/>
    <w:rsid w:val="42277FF1"/>
    <w:rsid w:val="42334364"/>
    <w:rsid w:val="42383FAC"/>
    <w:rsid w:val="425A3F23"/>
    <w:rsid w:val="429A6A15"/>
    <w:rsid w:val="42CB3072"/>
    <w:rsid w:val="4380661D"/>
    <w:rsid w:val="439873F8"/>
    <w:rsid w:val="439F6551"/>
    <w:rsid w:val="43B458B4"/>
    <w:rsid w:val="43EC445A"/>
    <w:rsid w:val="44112D07"/>
    <w:rsid w:val="44290050"/>
    <w:rsid w:val="44307631"/>
    <w:rsid w:val="444A39F2"/>
    <w:rsid w:val="446B1BC1"/>
    <w:rsid w:val="448E25A9"/>
    <w:rsid w:val="44A75419"/>
    <w:rsid w:val="44AB2ECC"/>
    <w:rsid w:val="44BA15F0"/>
    <w:rsid w:val="44D47212"/>
    <w:rsid w:val="45050BD8"/>
    <w:rsid w:val="45285930"/>
    <w:rsid w:val="45413CC6"/>
    <w:rsid w:val="455C26A8"/>
    <w:rsid w:val="4565155C"/>
    <w:rsid w:val="45B11BFE"/>
    <w:rsid w:val="45E34778"/>
    <w:rsid w:val="45E7257A"/>
    <w:rsid w:val="46696E2A"/>
    <w:rsid w:val="466F1F67"/>
    <w:rsid w:val="46B04006"/>
    <w:rsid w:val="46B5664E"/>
    <w:rsid w:val="46E93AC7"/>
    <w:rsid w:val="47060B1D"/>
    <w:rsid w:val="47376F28"/>
    <w:rsid w:val="47394A4E"/>
    <w:rsid w:val="47600426"/>
    <w:rsid w:val="477F61D9"/>
    <w:rsid w:val="47C419AD"/>
    <w:rsid w:val="47FC38A8"/>
    <w:rsid w:val="48286A07"/>
    <w:rsid w:val="48357040"/>
    <w:rsid w:val="4839282C"/>
    <w:rsid w:val="483D40CA"/>
    <w:rsid w:val="48483794"/>
    <w:rsid w:val="48570659"/>
    <w:rsid w:val="48625723"/>
    <w:rsid w:val="488564A6"/>
    <w:rsid w:val="489B7043"/>
    <w:rsid w:val="48D72771"/>
    <w:rsid w:val="492B07D8"/>
    <w:rsid w:val="493914B1"/>
    <w:rsid w:val="49521DF7"/>
    <w:rsid w:val="49747682"/>
    <w:rsid w:val="49903799"/>
    <w:rsid w:val="499F0DB5"/>
    <w:rsid w:val="49BD6505"/>
    <w:rsid w:val="49C00C61"/>
    <w:rsid w:val="49D00F6E"/>
    <w:rsid w:val="49DE098A"/>
    <w:rsid w:val="49E36EF3"/>
    <w:rsid w:val="4A431740"/>
    <w:rsid w:val="4A691D4C"/>
    <w:rsid w:val="4A706FB0"/>
    <w:rsid w:val="4A7364C9"/>
    <w:rsid w:val="4AA743C5"/>
    <w:rsid w:val="4AAB3384"/>
    <w:rsid w:val="4AC40AD3"/>
    <w:rsid w:val="4B557DB4"/>
    <w:rsid w:val="4B5736F5"/>
    <w:rsid w:val="4B606CD6"/>
    <w:rsid w:val="4BDC6EAE"/>
    <w:rsid w:val="4BE53273"/>
    <w:rsid w:val="4BF25D04"/>
    <w:rsid w:val="4C3B4DC5"/>
    <w:rsid w:val="4C416139"/>
    <w:rsid w:val="4CE20FF8"/>
    <w:rsid w:val="4CEC6690"/>
    <w:rsid w:val="4D1D271C"/>
    <w:rsid w:val="4D6C27F8"/>
    <w:rsid w:val="4D896004"/>
    <w:rsid w:val="4DA16EA9"/>
    <w:rsid w:val="4DD677E1"/>
    <w:rsid w:val="4DEFA82F"/>
    <w:rsid w:val="4DFD6D8A"/>
    <w:rsid w:val="4E1D2666"/>
    <w:rsid w:val="4E6600F3"/>
    <w:rsid w:val="4E766588"/>
    <w:rsid w:val="4EE259CC"/>
    <w:rsid w:val="4EE31289"/>
    <w:rsid w:val="4EFE0523"/>
    <w:rsid w:val="4F111E0D"/>
    <w:rsid w:val="4F9C201E"/>
    <w:rsid w:val="50616DC4"/>
    <w:rsid w:val="508407FB"/>
    <w:rsid w:val="509E5BDF"/>
    <w:rsid w:val="50C86E43"/>
    <w:rsid w:val="50CC6933"/>
    <w:rsid w:val="50E61077"/>
    <w:rsid w:val="50E7376D"/>
    <w:rsid w:val="511D2CEB"/>
    <w:rsid w:val="51454B7E"/>
    <w:rsid w:val="51463280"/>
    <w:rsid w:val="51627812"/>
    <w:rsid w:val="51786C85"/>
    <w:rsid w:val="51886C26"/>
    <w:rsid w:val="51954F77"/>
    <w:rsid w:val="51956EAA"/>
    <w:rsid w:val="519A258E"/>
    <w:rsid w:val="5218468F"/>
    <w:rsid w:val="522D0E9F"/>
    <w:rsid w:val="526606C2"/>
    <w:rsid w:val="52943481"/>
    <w:rsid w:val="52B40BC7"/>
    <w:rsid w:val="52C82DE5"/>
    <w:rsid w:val="52EF1860"/>
    <w:rsid w:val="53034162"/>
    <w:rsid w:val="531E71EE"/>
    <w:rsid w:val="532E73C1"/>
    <w:rsid w:val="537E1A3B"/>
    <w:rsid w:val="53AD28DE"/>
    <w:rsid w:val="53B84F4D"/>
    <w:rsid w:val="53BB4A3D"/>
    <w:rsid w:val="54027B86"/>
    <w:rsid w:val="543640C4"/>
    <w:rsid w:val="54463F45"/>
    <w:rsid w:val="549B7CA5"/>
    <w:rsid w:val="54B020C8"/>
    <w:rsid w:val="54F71AA5"/>
    <w:rsid w:val="551B1C37"/>
    <w:rsid w:val="55683F6A"/>
    <w:rsid w:val="55704ABA"/>
    <w:rsid w:val="559F4336"/>
    <w:rsid w:val="55C23F1B"/>
    <w:rsid w:val="55C4779B"/>
    <w:rsid w:val="560A5808"/>
    <w:rsid w:val="562C577E"/>
    <w:rsid w:val="56326586"/>
    <w:rsid w:val="56623148"/>
    <w:rsid w:val="568E6439"/>
    <w:rsid w:val="569A57B0"/>
    <w:rsid w:val="56A8574D"/>
    <w:rsid w:val="56B9490A"/>
    <w:rsid w:val="56BE0ACC"/>
    <w:rsid w:val="56FE711B"/>
    <w:rsid w:val="570F757A"/>
    <w:rsid w:val="571B3010"/>
    <w:rsid w:val="57383B85"/>
    <w:rsid w:val="575B27BF"/>
    <w:rsid w:val="576F0018"/>
    <w:rsid w:val="57A37CC2"/>
    <w:rsid w:val="57AD5FE6"/>
    <w:rsid w:val="57D6726A"/>
    <w:rsid w:val="57E44C23"/>
    <w:rsid w:val="57ED06D1"/>
    <w:rsid w:val="57F734DD"/>
    <w:rsid w:val="581C7E94"/>
    <w:rsid w:val="58395B37"/>
    <w:rsid w:val="5868748F"/>
    <w:rsid w:val="588F22CB"/>
    <w:rsid w:val="58E32A6C"/>
    <w:rsid w:val="58EB1921"/>
    <w:rsid w:val="59030FC0"/>
    <w:rsid w:val="59371389"/>
    <w:rsid w:val="596352CB"/>
    <w:rsid w:val="599C6117"/>
    <w:rsid w:val="59C30384"/>
    <w:rsid w:val="59E4069D"/>
    <w:rsid w:val="59EF5441"/>
    <w:rsid w:val="5A490F26"/>
    <w:rsid w:val="5A492DA3"/>
    <w:rsid w:val="5A4C63EF"/>
    <w:rsid w:val="5A5B2AD6"/>
    <w:rsid w:val="5A79327D"/>
    <w:rsid w:val="5A9008BF"/>
    <w:rsid w:val="5AB83A84"/>
    <w:rsid w:val="5AC93EE4"/>
    <w:rsid w:val="5ADA1C4D"/>
    <w:rsid w:val="5B0B1A9E"/>
    <w:rsid w:val="5B124891"/>
    <w:rsid w:val="5B4B77BA"/>
    <w:rsid w:val="5B4D743E"/>
    <w:rsid w:val="5B5524EB"/>
    <w:rsid w:val="5B7C4AB2"/>
    <w:rsid w:val="5BD20B76"/>
    <w:rsid w:val="5BEA5EBF"/>
    <w:rsid w:val="5C097F96"/>
    <w:rsid w:val="5C423F4D"/>
    <w:rsid w:val="5C5767C2"/>
    <w:rsid w:val="5C82259C"/>
    <w:rsid w:val="5D1A034E"/>
    <w:rsid w:val="5D375134"/>
    <w:rsid w:val="5D3A4C25"/>
    <w:rsid w:val="5D3C26CC"/>
    <w:rsid w:val="5D6A44E6"/>
    <w:rsid w:val="5DAE407C"/>
    <w:rsid w:val="5DB26EB1"/>
    <w:rsid w:val="5DB46785"/>
    <w:rsid w:val="5DCA244C"/>
    <w:rsid w:val="5DCA41FA"/>
    <w:rsid w:val="5E011217"/>
    <w:rsid w:val="5EA71D5F"/>
    <w:rsid w:val="5F0123C0"/>
    <w:rsid w:val="5F1722B5"/>
    <w:rsid w:val="5F7E484B"/>
    <w:rsid w:val="5F844F80"/>
    <w:rsid w:val="5F9A2B8C"/>
    <w:rsid w:val="5FCD7FD2"/>
    <w:rsid w:val="604C141E"/>
    <w:rsid w:val="606A409A"/>
    <w:rsid w:val="606F4B42"/>
    <w:rsid w:val="607448F1"/>
    <w:rsid w:val="609F2776"/>
    <w:rsid w:val="60C04DBB"/>
    <w:rsid w:val="60D86C2E"/>
    <w:rsid w:val="61841DA9"/>
    <w:rsid w:val="619012B7"/>
    <w:rsid w:val="61EB26CA"/>
    <w:rsid w:val="62740BD9"/>
    <w:rsid w:val="62BA3765"/>
    <w:rsid w:val="630A5C98"/>
    <w:rsid w:val="63251104"/>
    <w:rsid w:val="63367DB4"/>
    <w:rsid w:val="634C712A"/>
    <w:rsid w:val="635D341B"/>
    <w:rsid w:val="635F2C96"/>
    <w:rsid w:val="6367429A"/>
    <w:rsid w:val="63824DDA"/>
    <w:rsid w:val="639C03E7"/>
    <w:rsid w:val="63D00091"/>
    <w:rsid w:val="641D69ED"/>
    <w:rsid w:val="64616AAE"/>
    <w:rsid w:val="646A3FF9"/>
    <w:rsid w:val="647C1FC7"/>
    <w:rsid w:val="64992B79"/>
    <w:rsid w:val="64E750B0"/>
    <w:rsid w:val="652D6555"/>
    <w:rsid w:val="652F2B95"/>
    <w:rsid w:val="653A1489"/>
    <w:rsid w:val="654C1999"/>
    <w:rsid w:val="65534AB2"/>
    <w:rsid w:val="655C6080"/>
    <w:rsid w:val="658729D1"/>
    <w:rsid w:val="663C7C5F"/>
    <w:rsid w:val="66467401"/>
    <w:rsid w:val="669272D6"/>
    <w:rsid w:val="66FE4F15"/>
    <w:rsid w:val="670C16C0"/>
    <w:rsid w:val="675B2367"/>
    <w:rsid w:val="67713D60"/>
    <w:rsid w:val="6837667E"/>
    <w:rsid w:val="683A60A0"/>
    <w:rsid w:val="68945B31"/>
    <w:rsid w:val="68AB69D7"/>
    <w:rsid w:val="691E1836"/>
    <w:rsid w:val="697414BE"/>
    <w:rsid w:val="69C6056C"/>
    <w:rsid w:val="69D60F58"/>
    <w:rsid w:val="69D637DF"/>
    <w:rsid w:val="6A6932BA"/>
    <w:rsid w:val="6A965682"/>
    <w:rsid w:val="6AAA4E8C"/>
    <w:rsid w:val="6AC76C5B"/>
    <w:rsid w:val="6AEB69D2"/>
    <w:rsid w:val="6AED777A"/>
    <w:rsid w:val="6B006F4B"/>
    <w:rsid w:val="6B0A20DA"/>
    <w:rsid w:val="6B5E4C86"/>
    <w:rsid w:val="6BAC6D7A"/>
    <w:rsid w:val="6BBB33D4"/>
    <w:rsid w:val="6BF95CAB"/>
    <w:rsid w:val="6BFD579B"/>
    <w:rsid w:val="6C0E4A66"/>
    <w:rsid w:val="6C474F23"/>
    <w:rsid w:val="6C4909E0"/>
    <w:rsid w:val="6C5A0556"/>
    <w:rsid w:val="6C7C7008"/>
    <w:rsid w:val="6C911353"/>
    <w:rsid w:val="6C9C3206"/>
    <w:rsid w:val="6CC313AB"/>
    <w:rsid w:val="6CC52DC2"/>
    <w:rsid w:val="6CC91B21"/>
    <w:rsid w:val="6CD26C28"/>
    <w:rsid w:val="6CE150BD"/>
    <w:rsid w:val="6D0A375E"/>
    <w:rsid w:val="6D374CDD"/>
    <w:rsid w:val="6DB433C6"/>
    <w:rsid w:val="6DBB0967"/>
    <w:rsid w:val="6E105C5A"/>
    <w:rsid w:val="6E1F7C4B"/>
    <w:rsid w:val="6EF371D4"/>
    <w:rsid w:val="6F1218C9"/>
    <w:rsid w:val="6F166241"/>
    <w:rsid w:val="6F654466"/>
    <w:rsid w:val="6F9502CD"/>
    <w:rsid w:val="6FB47A1C"/>
    <w:rsid w:val="6FCC61CE"/>
    <w:rsid w:val="702B5B7A"/>
    <w:rsid w:val="704333C0"/>
    <w:rsid w:val="705D4A5A"/>
    <w:rsid w:val="705F2643"/>
    <w:rsid w:val="713C43F6"/>
    <w:rsid w:val="71651E5C"/>
    <w:rsid w:val="71877260"/>
    <w:rsid w:val="71AC41A1"/>
    <w:rsid w:val="71FD72EC"/>
    <w:rsid w:val="720B208F"/>
    <w:rsid w:val="72147C38"/>
    <w:rsid w:val="72323CC5"/>
    <w:rsid w:val="72331F17"/>
    <w:rsid w:val="72383300"/>
    <w:rsid w:val="72414F83"/>
    <w:rsid w:val="72655E48"/>
    <w:rsid w:val="726E4910"/>
    <w:rsid w:val="727D3AE3"/>
    <w:rsid w:val="728A3B13"/>
    <w:rsid w:val="72F86CBC"/>
    <w:rsid w:val="735B24FB"/>
    <w:rsid w:val="73674D66"/>
    <w:rsid w:val="736A5E0C"/>
    <w:rsid w:val="737177C6"/>
    <w:rsid w:val="73880040"/>
    <w:rsid w:val="743F3744"/>
    <w:rsid w:val="744877CF"/>
    <w:rsid w:val="745B5405"/>
    <w:rsid w:val="746A1E3C"/>
    <w:rsid w:val="74864AE5"/>
    <w:rsid w:val="74DF05F2"/>
    <w:rsid w:val="74DF5321"/>
    <w:rsid w:val="75B74C0D"/>
    <w:rsid w:val="76377AFB"/>
    <w:rsid w:val="763C15B6"/>
    <w:rsid w:val="76426BCC"/>
    <w:rsid w:val="765353AD"/>
    <w:rsid w:val="76593502"/>
    <w:rsid w:val="76874EE2"/>
    <w:rsid w:val="76C03F95"/>
    <w:rsid w:val="770976EA"/>
    <w:rsid w:val="77361517"/>
    <w:rsid w:val="779416A9"/>
    <w:rsid w:val="77C17BD0"/>
    <w:rsid w:val="77CB499F"/>
    <w:rsid w:val="78177C7A"/>
    <w:rsid w:val="781D2A23"/>
    <w:rsid w:val="78393FFF"/>
    <w:rsid w:val="7843265A"/>
    <w:rsid w:val="784C1F84"/>
    <w:rsid w:val="78512C75"/>
    <w:rsid w:val="786C2BB5"/>
    <w:rsid w:val="788C29FF"/>
    <w:rsid w:val="78D93C31"/>
    <w:rsid w:val="78FB5758"/>
    <w:rsid w:val="792C5912"/>
    <w:rsid w:val="792C6836"/>
    <w:rsid w:val="795F1843"/>
    <w:rsid w:val="7961380D"/>
    <w:rsid w:val="796D0251"/>
    <w:rsid w:val="79884EF0"/>
    <w:rsid w:val="79A96F62"/>
    <w:rsid w:val="7A045D70"/>
    <w:rsid w:val="7A7F1A71"/>
    <w:rsid w:val="7B0D0C43"/>
    <w:rsid w:val="7B407452"/>
    <w:rsid w:val="7B593EE5"/>
    <w:rsid w:val="7BBD4F47"/>
    <w:rsid w:val="7BC40083"/>
    <w:rsid w:val="7BDA2BFE"/>
    <w:rsid w:val="7BDC22F5"/>
    <w:rsid w:val="7C136FD3"/>
    <w:rsid w:val="7C1E59E5"/>
    <w:rsid w:val="7C2E19A1"/>
    <w:rsid w:val="7C490589"/>
    <w:rsid w:val="7C4D0079"/>
    <w:rsid w:val="7C857813"/>
    <w:rsid w:val="7CA42F06"/>
    <w:rsid w:val="7CB26E8E"/>
    <w:rsid w:val="7CB57759"/>
    <w:rsid w:val="7CB65C1E"/>
    <w:rsid w:val="7CC93986"/>
    <w:rsid w:val="7CE00EED"/>
    <w:rsid w:val="7D621902"/>
    <w:rsid w:val="7D795594"/>
    <w:rsid w:val="7DA87C00"/>
    <w:rsid w:val="7DEF02C8"/>
    <w:rsid w:val="7DFA4230"/>
    <w:rsid w:val="7E5C033A"/>
    <w:rsid w:val="7E795155"/>
    <w:rsid w:val="7EC363D0"/>
    <w:rsid w:val="7EDC56E4"/>
    <w:rsid w:val="7F12733D"/>
    <w:rsid w:val="7F1959CD"/>
    <w:rsid w:val="7FA562B4"/>
    <w:rsid w:val="7FA65EE1"/>
    <w:rsid w:val="7FAD7948"/>
    <w:rsid w:val="7FC02C83"/>
    <w:rsid w:val="7FC76394"/>
    <w:rsid w:val="CE750396"/>
    <w:rsid w:val="DF7D35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val="0"/>
      <w:keepLines w:val="0"/>
      <w:widowControl w:val="0"/>
      <w:spacing w:before="240" w:beforeLines="0" w:after="120" w:line="360" w:lineRule="auto"/>
      <w:jc w:val="left"/>
      <w:outlineLvl w:val="0"/>
    </w:pPr>
    <w:rPr>
      <w:rFonts w:ascii="宋体" w:hAnsi="宋体" w:eastAsia="宋体" w:cs="宋体"/>
      <w:b/>
      <w:bCs/>
      <w:kern w:val="44"/>
      <w:sz w:val="24"/>
      <w:szCs w:val="30"/>
    </w:rPr>
  </w:style>
  <w:style w:type="paragraph" w:styleId="3">
    <w:name w:val="heading 2"/>
    <w:basedOn w:val="1"/>
    <w:next w:val="1"/>
    <w:unhideWhenUsed/>
    <w:qFormat/>
    <w:uiPriority w:val="0"/>
    <w:pPr>
      <w:keepNext w:val="0"/>
      <w:keepLines w:val="0"/>
      <w:widowControl w:val="0"/>
      <w:spacing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next w:val="1"/>
    <w:qFormat/>
    <w:uiPriority w:val="99"/>
    <w:pPr>
      <w:keepNext w:val="0"/>
      <w:keepLines w:val="0"/>
      <w:widowControl w:val="0"/>
      <w:spacing w:beforeAutospacing="0" w:after="120" w:afterAutospacing="0" w:line="360" w:lineRule="auto"/>
      <w:jc w:val="left"/>
      <w:outlineLvl w:val="2"/>
    </w:pPr>
    <w:rPr>
      <w:rFonts w:ascii="Times New Roman" w:hAnsi="Times New Roman" w:eastAsia="宋体" w:cs="Times New Roman"/>
      <w:b/>
      <w:sz w:val="24"/>
    </w:rPr>
  </w:style>
  <w:style w:type="paragraph" w:styleId="5">
    <w:name w:val="heading 4"/>
    <w:next w:val="1"/>
    <w:unhideWhenUsed/>
    <w:qFormat/>
    <w:uiPriority w:val="0"/>
    <w:pPr>
      <w:keepNext w:val="0"/>
      <w:keepLines w:val="0"/>
      <w:widowControl w:val="0"/>
      <w:spacing w:beforeAutospacing="0" w:after="120" w:afterAutospacing="0" w:line="360" w:lineRule="auto"/>
      <w:outlineLvl w:val="3"/>
    </w:pPr>
    <w:rPr>
      <w:rFonts w:ascii="Times New Roman" w:hAnsi="Times New Roman" w:eastAsia="宋体" w:cs="Times New Roman"/>
      <w:sz w:val="24"/>
    </w:rPr>
  </w:style>
  <w:style w:type="paragraph" w:styleId="6">
    <w:name w:val="heading 5"/>
    <w:next w:val="1"/>
    <w:unhideWhenUsed/>
    <w:qFormat/>
    <w:uiPriority w:val="0"/>
    <w:pPr>
      <w:keepNext w:val="0"/>
      <w:keepLines w:val="0"/>
      <w:widowControl w:val="0"/>
      <w:spacing w:beforeLines="0" w:beforeAutospacing="0" w:after="120" w:afterLines="0" w:afterAutospacing="0" w:line="440" w:lineRule="exact"/>
      <w:jc w:val="left"/>
      <w:outlineLvl w:val="4"/>
    </w:pPr>
    <w:rPr>
      <w:rFonts w:ascii="Times New Roman" w:hAnsi="Times New Roman" w:eastAsia="宋体" w:cs="Times New Roman"/>
      <w:sz w:val="24"/>
    </w:rPr>
  </w:style>
  <w:style w:type="paragraph" w:styleId="7">
    <w:name w:val="heading 6"/>
    <w:next w:val="1"/>
    <w:semiHidden/>
    <w:unhideWhenUsed/>
    <w:qFormat/>
    <w:uiPriority w:val="0"/>
    <w:pPr>
      <w:keepNext w:val="0"/>
      <w:keepLines w:val="0"/>
      <w:widowControl w:val="0"/>
      <w:spacing w:beforeLines="0" w:beforeAutospacing="0" w:after="120" w:afterLines="0" w:afterAutospacing="0" w:line="36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0"/>
    <w:pPr>
      <w:keepNext w:val="0"/>
      <w:keepLines w:val="0"/>
      <w:widowControl w:val="0"/>
      <w:spacing w:beforeLines="0" w:beforeAutospacing="0" w:after="120" w:afterLines="0" w:afterAutospacing="0" w:line="36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0"/>
    <w:pPr>
      <w:keepNext w:val="0"/>
      <w:keepLines w:val="0"/>
      <w:widowControl w:val="0"/>
      <w:spacing w:beforeLines="0" w:beforeAutospacing="0" w:after="120" w:afterLines="0" w:afterAutospacing="0" w:line="36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0"/>
    <w:pPr>
      <w:keepNext w:val="0"/>
      <w:keepLines w:val="0"/>
      <w:widowControl w:val="0"/>
      <w:spacing w:beforeLines="0" w:beforeAutospacing="0" w:after="120" w:afterLines="0" w:afterAutospacing="0" w:line="360" w:lineRule="auto"/>
      <w:jc w:val="left"/>
      <w:outlineLvl w:val="8"/>
    </w:pPr>
    <w:rPr>
      <w:rFonts w:ascii="Times New Roman" w:hAnsi="Times New Roman" w:eastAsia="宋体" w:cs="Times New Roman"/>
      <w:sz w:val="24"/>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0"/>
    <w:pPr>
      <w:ind w:firstLine="420"/>
    </w:pPr>
  </w:style>
  <w:style w:type="paragraph" w:styleId="12">
    <w:name w:val="Body Text"/>
    <w:next w:val="13"/>
    <w:qFormat/>
    <w:uiPriority w:val="99"/>
    <w:pPr>
      <w:widowControl w:val="0"/>
      <w:spacing w:after="120" w:afterAutospacing="0" w:line="360" w:lineRule="auto"/>
      <w:ind w:firstLine="420" w:firstLineChars="200"/>
    </w:pPr>
    <w:rPr>
      <w:rFonts w:ascii="Times New Roman" w:hAnsi="Times New Roman" w:eastAsia="宋体" w:cs="Times New Roman"/>
      <w:sz w:val="24"/>
    </w:rPr>
  </w:style>
  <w:style w:type="paragraph" w:customStyle="1" w:styleId="13">
    <w:name w:val="_Style 2"/>
    <w:basedOn w:val="1"/>
    <w:next w:val="1"/>
    <w:autoRedefine/>
    <w:qFormat/>
    <w:uiPriority w:val="0"/>
    <w:pPr>
      <w:ind w:firstLine="420"/>
    </w:pPr>
  </w:style>
  <w:style w:type="paragraph" w:styleId="14">
    <w:name w:val="Body Text Indent"/>
    <w:basedOn w:val="1"/>
    <w:qFormat/>
    <w:uiPriority w:val="0"/>
    <w:pPr>
      <w:ind w:firstLine="645"/>
    </w:pPr>
    <w:rPr>
      <w:rFonts w:ascii="楷体_GB2312" w:eastAsia="楷体_GB2312"/>
      <w:sz w:val="32"/>
      <w:szCs w:val="32"/>
    </w:rPr>
  </w:style>
  <w:style w:type="paragraph" w:styleId="15">
    <w:name w:val="Plain Text"/>
    <w:basedOn w:val="1"/>
    <w:next w:val="1"/>
    <w:qFormat/>
    <w:uiPriority w:val="99"/>
    <w:rPr>
      <w:rFonts w:ascii="宋体" w:hAnsi="Courier New" w:cs="Courier New"/>
    </w:rPr>
  </w:style>
  <w:style w:type="paragraph" w:styleId="16">
    <w:name w:val="footer"/>
    <w:basedOn w:val="1"/>
    <w:link w:val="34"/>
    <w:qFormat/>
    <w:uiPriority w:val="0"/>
    <w:pPr>
      <w:tabs>
        <w:tab w:val="center" w:pos="4153"/>
        <w:tab w:val="right" w:pos="8306"/>
      </w:tabs>
      <w:snapToGrid w:val="0"/>
      <w:jc w:val="left"/>
    </w:pPr>
    <w:rPr>
      <w:sz w:val="18"/>
      <w:szCs w:val="18"/>
    </w:rPr>
  </w:style>
  <w:style w:type="paragraph" w:styleId="17">
    <w:name w:val="header"/>
    <w:basedOn w:val="1"/>
    <w:link w:val="33"/>
    <w:qFormat/>
    <w:uiPriority w:val="0"/>
    <w:pPr>
      <w:pBdr>
        <w:bottom w:val="single" w:color="auto" w:sz="6" w:space="1"/>
      </w:pBdr>
      <w:tabs>
        <w:tab w:val="center" w:pos="4153"/>
        <w:tab w:val="right" w:pos="8306"/>
      </w:tabs>
      <w:snapToGrid w:val="0"/>
      <w:jc w:val="center"/>
    </w:pPr>
    <w:rPr>
      <w:sz w:val="18"/>
      <w:szCs w:val="18"/>
    </w:rPr>
  </w:style>
  <w:style w:type="paragraph" w:styleId="18">
    <w:name w:val="Subtitle"/>
    <w:qFormat/>
    <w:uiPriority w:val="0"/>
    <w:pPr>
      <w:widowControl w:val="0"/>
      <w:spacing w:beforeLines="0" w:beforeAutospacing="0" w:after="240" w:afterLines="0" w:afterAutospacing="0" w:line="240" w:lineRule="auto"/>
      <w:jc w:val="center"/>
      <w:outlineLvl w:val="9"/>
    </w:pPr>
    <w:rPr>
      <w:rFonts w:ascii="Times New Roman" w:hAnsi="Times New Roman" w:eastAsia="宋体" w:cs="Times New Roman"/>
      <w:kern w:val="28"/>
      <w:sz w:val="21"/>
    </w:rPr>
  </w:style>
  <w:style w:type="paragraph" w:styleId="19">
    <w:name w:val="Body Text Indent 3"/>
    <w:basedOn w:val="1"/>
    <w:qFormat/>
    <w:uiPriority w:val="0"/>
    <w:pPr>
      <w:ind w:left="645" w:firstLine="645"/>
    </w:pPr>
    <w:rPr>
      <w:rFonts w:ascii="Arial" w:hAnsi="Arial" w:eastAsia="仿宋_GB2312" w:cs="Arial"/>
      <w:color w:val="FFFF00"/>
      <w:sz w:val="32"/>
      <w:szCs w:val="32"/>
    </w:r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1">
    <w:name w:val="Normal (Web)"/>
    <w:basedOn w:val="1"/>
    <w:qFormat/>
    <w:uiPriority w:val="0"/>
    <w:pPr>
      <w:spacing w:beforeAutospacing="1" w:afterAutospacing="1"/>
      <w:jc w:val="left"/>
    </w:pPr>
    <w:rPr>
      <w:rFonts w:cs="Times New Roman"/>
      <w:kern w:val="0"/>
      <w:sz w:val="24"/>
    </w:rPr>
  </w:style>
  <w:style w:type="paragraph" w:styleId="22">
    <w:name w:val="Title"/>
    <w:qFormat/>
    <w:uiPriority w:val="0"/>
    <w:pPr>
      <w:spacing w:before="240" w:beforeAutospacing="0" w:after="240" w:afterAutospacing="0" w:line="240" w:lineRule="auto"/>
      <w:jc w:val="center"/>
      <w:outlineLvl w:val="9"/>
    </w:pPr>
    <w:rPr>
      <w:rFonts w:ascii="Times New Roman" w:hAnsi="Times New Roman" w:eastAsia="宋体" w:cs="Times New Roman"/>
      <w:b/>
      <w:sz w:val="32"/>
    </w:rPr>
  </w:style>
  <w:style w:type="paragraph" w:styleId="23">
    <w:name w:val="Body Text First Indent"/>
    <w:basedOn w:val="12"/>
    <w:unhideWhenUsed/>
    <w:qFormat/>
    <w:uiPriority w:val="99"/>
    <w:pPr>
      <w:ind w:firstLine="420"/>
    </w:pPr>
    <w:rPr>
      <w:rFonts w:ascii="Times New Roman" w:hAnsi="Times New Roman" w:eastAsia="宋体" w:cs="Times New Roman"/>
    </w:rPr>
  </w:style>
  <w:style w:type="paragraph" w:styleId="24">
    <w:name w:val="Body Text First Indent 2"/>
    <w:basedOn w:val="14"/>
    <w:qFormat/>
    <w:uiPriority w:val="0"/>
    <w:pPr>
      <w:spacing w:line="360" w:lineRule="auto"/>
      <w:ind w:firstLine="420" w:firstLineChars="200"/>
    </w:pPr>
    <w:rPr>
      <w:rFonts w:ascii="宋体" w:hAnsi="宋体" w:eastAsia="宋体"/>
      <w:sz w:val="21"/>
      <w:szCs w:val="20"/>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
    <w:name w:val="正文1"/>
    <w:basedOn w:val="29"/>
    <w:qFormat/>
    <w:uiPriority w:val="0"/>
    <w:pPr>
      <w:spacing w:line="500" w:lineRule="exact"/>
      <w:ind w:firstLine="0"/>
    </w:pPr>
    <w:rPr>
      <w:rFonts w:hAnsi="新宋体"/>
    </w:rPr>
  </w:style>
  <w:style w:type="paragraph" w:customStyle="1" w:styleId="29">
    <w:name w:val="正文缩进1"/>
    <w:basedOn w:val="1"/>
    <w:qFormat/>
    <w:uiPriority w:val="0"/>
    <w:pPr>
      <w:ind w:firstLine="420"/>
    </w:pPr>
    <w:rPr>
      <w:szCs w:val="21"/>
    </w:rPr>
  </w:style>
  <w:style w:type="paragraph" w:customStyle="1" w:styleId="3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1">
    <w:name w:val="4"/>
    <w:basedOn w:val="1"/>
    <w:next w:val="19"/>
    <w:qFormat/>
    <w:uiPriority w:val="0"/>
    <w:pPr>
      <w:spacing w:line="360" w:lineRule="auto"/>
      <w:ind w:firstLine="420"/>
    </w:pPr>
    <w:rPr>
      <w:color w:val="FF0000"/>
      <w:sz w:val="24"/>
    </w:rPr>
  </w:style>
  <w:style w:type="paragraph" w:customStyle="1" w:styleId="32">
    <w:name w:val="纯文本1"/>
    <w:basedOn w:val="1"/>
    <w:qFormat/>
    <w:uiPriority w:val="0"/>
    <w:pPr>
      <w:adjustRightInd w:val="0"/>
    </w:pPr>
    <w:rPr>
      <w:rFonts w:ascii="宋体" w:hAnsi="Courier New" w:eastAsia="楷体_GB2312"/>
      <w:sz w:val="28"/>
      <w:szCs w:val="20"/>
    </w:rPr>
  </w:style>
  <w:style w:type="character" w:customStyle="1" w:styleId="33">
    <w:name w:val="页眉 Char"/>
    <w:basedOn w:val="27"/>
    <w:link w:val="17"/>
    <w:qFormat/>
    <w:uiPriority w:val="0"/>
    <w:rPr>
      <w:kern w:val="2"/>
      <w:sz w:val="18"/>
      <w:szCs w:val="18"/>
    </w:rPr>
  </w:style>
  <w:style w:type="character" w:customStyle="1" w:styleId="34">
    <w:name w:val="页脚 Char"/>
    <w:basedOn w:val="27"/>
    <w:link w:val="16"/>
    <w:qFormat/>
    <w:uiPriority w:val="0"/>
    <w:rPr>
      <w:kern w:val="2"/>
      <w:sz w:val="18"/>
      <w:szCs w:val="18"/>
    </w:rPr>
  </w:style>
  <w:style w:type="character" w:customStyle="1" w:styleId="35">
    <w:name w:val="NormalCharacter"/>
    <w:qFormat/>
    <w:uiPriority w:val="99"/>
    <w:rPr>
      <w:rFonts w:ascii="Calibri" w:hAnsi="Calibri" w:eastAsia="宋体"/>
    </w:rPr>
  </w:style>
  <w:style w:type="paragraph" w:customStyle="1" w:styleId="36">
    <w:name w:val="普通正文"/>
    <w:basedOn w:val="1"/>
    <w:qFormat/>
    <w:uiPriority w:val="0"/>
    <w:pPr>
      <w:spacing w:before="120" w:after="120" w:line="360" w:lineRule="auto"/>
      <w:ind w:firstLine="480"/>
      <w:jc w:val="left"/>
    </w:pPr>
    <w:rPr>
      <w:rFonts w:ascii="Arial" w:hAnsi="Arial" w:eastAsia="等线" w:cs="Arial"/>
      <w:kern w:val="0"/>
      <w:sz w:val="24"/>
    </w:rPr>
  </w:style>
  <w:style w:type="paragraph" w:styleId="37">
    <w:name w:val="List Paragraph"/>
    <w:basedOn w:val="1"/>
    <w:qFormat/>
    <w:uiPriority w:val="34"/>
    <w:pPr>
      <w:widowControl/>
      <w:ind w:firstLine="420" w:firstLineChars="200"/>
      <w:jc w:val="left"/>
    </w:pPr>
    <w:rPr>
      <w:rFonts w:eastAsia="仿宋" w:cs="宋体"/>
      <w:color w:val="000000"/>
      <w:sz w:val="28"/>
    </w:rPr>
  </w:style>
  <w:style w:type="paragraph" w:customStyle="1" w:styleId="38">
    <w:name w:val="普通(网站)1111"/>
    <w:basedOn w:val="1"/>
    <w:qFormat/>
    <w:uiPriority w:val="0"/>
    <w:pPr>
      <w:widowControl/>
      <w:spacing w:before="100" w:beforeAutospacing="1" w:after="100" w:afterAutospacing="1"/>
      <w:jc w:val="left"/>
    </w:pPr>
    <w:rPr>
      <w:rFonts w:ascii="宋体" w:hAnsi="宋体" w:cs="宋体"/>
      <w:sz w:val="24"/>
    </w:rPr>
  </w:style>
  <w:style w:type="paragraph" w:customStyle="1" w:styleId="39">
    <w:name w:val="正文首行缩进1"/>
    <w:basedOn w:val="1"/>
    <w:next w:val="1"/>
    <w:autoRedefine/>
    <w:qFormat/>
    <w:uiPriority w:val="0"/>
    <w:pPr>
      <w:ind w:firstLine="420"/>
    </w:pPr>
    <w:rPr>
      <w:szCs w:val="24"/>
    </w:rPr>
  </w:style>
  <w:style w:type="character" w:customStyle="1" w:styleId="40">
    <w:name w:val="NormalCharacter1"/>
    <w:autoRedefine/>
    <w:qFormat/>
    <w:uiPriority w:val="99"/>
    <w:rPr>
      <w:rFonts w:ascii="Calibri" w:hAnsi="Calibri" w:eastAsia="宋体"/>
    </w:rPr>
  </w:style>
  <w:style w:type="paragraph" w:customStyle="1" w:styleId="41">
    <w:name w:val="标题 41"/>
    <w:basedOn w:val="1"/>
    <w:next w:val="29"/>
    <w:qFormat/>
    <w:uiPriority w:val="0"/>
    <w:pPr>
      <w:keepNext/>
      <w:keepLines/>
      <w:spacing w:before="280" w:after="290" w:line="376" w:lineRule="auto"/>
      <w:outlineLvl w:val="3"/>
    </w:pPr>
    <w:rPr>
      <w:rFonts w:ascii="Arial" w:hAnsi="Arial" w:eastAsia="黑体" w:cs="Arial"/>
      <w:b/>
      <w:bCs/>
      <w:szCs w:val="28"/>
    </w:rPr>
  </w:style>
  <w:style w:type="paragraph" w:customStyle="1" w:styleId="42">
    <w:name w:val="列出段落"/>
    <w:basedOn w:val="1"/>
    <w:autoRedefine/>
    <w:qFormat/>
    <w:uiPriority w:val="0"/>
    <w:pPr>
      <w:ind w:firstLine="420"/>
    </w:pPr>
    <w:rPr>
      <w:rFonts w:ascii="Calibri" w:hAnsi="Calibri"/>
      <w:szCs w:val="22"/>
    </w:rPr>
  </w:style>
  <w:style w:type="paragraph" w:customStyle="1" w:styleId="43">
    <w:name w:val="Table Paragraph"/>
    <w:basedOn w:val="1"/>
    <w:qFormat/>
    <w:uiPriority w:val="1"/>
  </w:style>
  <w:style w:type="table" w:customStyle="1" w:styleId="44">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45">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46">
    <w:name w:val="章标题"/>
    <w:next w:val="1"/>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bidi="ar-SA"/>
    </w:rPr>
  </w:style>
  <w:style w:type="paragraph" w:customStyle="1" w:styleId="47">
    <w:name w:val="文档说明标题"/>
    <w:next w:val="1"/>
    <w:qFormat/>
    <w:uiPriority w:val="0"/>
    <w:pPr>
      <w:widowControl w:val="0"/>
      <w:adjustRightInd w:val="0"/>
      <w:spacing w:before="100" w:after="100" w:line="240" w:lineRule="auto"/>
      <w:jc w:val="center"/>
      <w:outlineLvl w:val="9"/>
    </w:pPr>
    <w:rPr>
      <w:rFonts w:ascii="Times New Roman" w:hAnsi="Times New Roman" w:eastAsia="黑体" w:cs="Times New Roman"/>
      <w:kern w:val="2"/>
      <w:sz w:val="52"/>
      <w:szCs w:val="52"/>
      <w:lang w:bidi="ar-SA"/>
    </w:rPr>
  </w:style>
  <w:style w:type="paragraph" w:customStyle="1" w:styleId="48">
    <w:name w:val="章前标题"/>
    <w:next w:val="1"/>
    <w:qFormat/>
    <w:uiPriority w:val="0"/>
    <w:pPr>
      <w:keepNext w:val="0"/>
      <w:keepLines w:val="0"/>
      <w:pageBreakBefore w:val="0"/>
      <w:widowControl w:val="0"/>
      <w:kinsoku/>
      <w:wordWrap/>
      <w:overflowPunct/>
      <w:topLinePunct w:val="0"/>
      <w:autoSpaceDE/>
      <w:autoSpaceDN/>
      <w:bidi w:val="0"/>
      <w:adjustRightInd/>
      <w:spacing w:before="240" w:after="240" w:line="240" w:lineRule="auto"/>
      <w:jc w:val="center"/>
      <w:textAlignment w:val="auto"/>
      <w:outlineLvl w:val="9"/>
    </w:pPr>
    <w:rPr>
      <w:rFonts w:ascii="黑体" w:hAnsi="黑体" w:eastAsia="黑体" w:cs="黑体"/>
      <w:kern w:val="44"/>
      <w:sz w:val="32"/>
      <w:szCs w:val="36"/>
    </w:rPr>
  </w:style>
  <w:style w:type="paragraph" w:customStyle="1" w:styleId="49">
    <w:name w:val="章节标题"/>
    <w:next w:val="1"/>
    <w:qFormat/>
    <w:uiPriority w:val="0"/>
    <w:pPr>
      <w:pageBreakBefore w:val="0"/>
      <w:widowControl w:val="0"/>
      <w:spacing w:before="240" w:beforeLines="0" w:after="240" w:line="240" w:lineRule="auto"/>
      <w:jc w:val="center"/>
      <w:outlineLvl w:val="0"/>
    </w:pPr>
    <w:rPr>
      <w:rFonts w:ascii="Times New Roman" w:hAnsi="Times New Roman" w:eastAsia="黑体" w:cs="Times New Roman"/>
      <w:kern w:val="44"/>
      <w:sz w:val="32"/>
      <w:szCs w:val="36"/>
    </w:rPr>
  </w:style>
  <w:style w:type="paragraph" w:customStyle="1" w:styleId="50">
    <w:name w:val="内嵌文档标题1"/>
    <w:next w:val="1"/>
    <w:qFormat/>
    <w:uiPriority w:val="0"/>
    <w:pPr>
      <w:widowControl w:val="0"/>
      <w:spacing w:before="240" w:after="240" w:line="360" w:lineRule="auto"/>
      <w:jc w:val="center"/>
      <w:outlineLvl w:val="0"/>
    </w:pPr>
    <w:rPr>
      <w:rFonts w:ascii="Times New Roman" w:hAnsi="Times New Roman" w:eastAsia="宋体" w:cs="Times New Roman"/>
      <w:b/>
      <w:kern w:val="2"/>
      <w:sz w:val="24"/>
    </w:rPr>
  </w:style>
  <w:style w:type="paragraph" w:customStyle="1" w:styleId="51">
    <w:name w:val="强调标题"/>
    <w:next w:val="1"/>
    <w:qFormat/>
    <w:uiPriority w:val="0"/>
    <w:pPr>
      <w:spacing w:after="120" w:line="360" w:lineRule="auto"/>
      <w:ind w:firstLine="420" w:firstLineChars="200"/>
      <w:outlineLvl w:val="0"/>
    </w:pPr>
    <w:rPr>
      <w:rFonts w:ascii="Calibri" w:hAnsi="Calibri" w:eastAsia="宋体" w:cs="Times New Roman"/>
      <w:b/>
      <w:sz w:val="24"/>
    </w:rPr>
  </w:style>
  <w:style w:type="paragraph" w:customStyle="1" w:styleId="52">
    <w:name w:val="内嵌文档标题2"/>
    <w:next w:val="1"/>
    <w:qFormat/>
    <w:uiPriority w:val="0"/>
    <w:pPr>
      <w:widowControl w:val="0"/>
      <w:shd w:val="clear" w:color="auto" w:fill="FFFFFF"/>
      <w:spacing w:before="240" w:after="240" w:line="360" w:lineRule="auto"/>
      <w:jc w:val="center"/>
      <w:outlineLvl w:val="0"/>
    </w:pPr>
    <w:rPr>
      <w:rFonts w:ascii="宋体" w:hAnsi="宋体" w:eastAsia="宋体" w:cs="宋体"/>
      <w:b/>
      <w:bCs/>
      <w:kern w:val="0"/>
      <w:sz w:val="24"/>
      <w:szCs w:val="30"/>
    </w:rPr>
  </w:style>
  <w:style w:type="paragraph" w:customStyle="1" w:styleId="53">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52</Pages>
  <Words>68</Words>
  <Characters>100</Characters>
  <Lines>272</Lines>
  <Paragraphs>76</Paragraphs>
  <TotalTime>11</TotalTime>
  <ScaleCrop>false</ScaleCrop>
  <LinksUpToDate>false</LinksUpToDate>
  <CharactersWithSpaces>122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2024-07-20T02:42:00Z</dcterms:created>
  <dc:creator>Administrator</dc:creator>
  <cp:lastModifiedBy>万涛</cp:lastModifiedBy>
  <cp:lastPrinted>2026-03-19T03:04:00Z</cp:lastPrinted>
  <dcterms:modified xsi:type="dcterms:W3CDTF">2026-04-30T00:39:26Z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F9A1F222DAF74C0F93EA97D51E88690D_13</vt:lpwstr>
  </property>
  <property fmtid="{D5CDD505-2E9C-101B-9397-08002B2CF9AE}" pid="4" name="KSOTemplateDocerSaveRecord">
    <vt:lpwstr>eyJoZGlkIjoiNTA2NzlkMzQ3YzU4MjljYmEzZDEzY2RmNjc2YmNlMTYiLCJ1c2VySWQiOiI2MDY2NDg1NjUifQ==</vt:lpwstr>
  </property>
</Properties>
</file>