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spacing w:before="120" w:beforeAutospacing="0" w:after="120" w:afterAutospacing="0" w:line="360" w:lineRule="auto"/>
        <w:rPr>
          <w:color w:val="auto"/>
        </w:rPr>
      </w:pPr>
      <w:r>
        <w:rPr>
          <w:color w:val="auto"/>
        </w:rPr>
        <w:t xml:space="preserve"> </w:t>
      </w:r>
      <w:r/>
    </w:p>
    <w:p>
      <w:pPr>
        <w:pStyle w:val="852"/>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852"/>
        <w:ind w:hanging="284"/>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52"/>
        <w:ind w:left="2244" w:right="745" w:hanging="1606"/>
        <w:spacing w:before="120" w:beforeAutospacing="0" w:after="120" w:afterAutospacing="0" w:line="360" w:lineRule="auto"/>
        <w:rPr>
          <w:color w:val="auto"/>
        </w:rPr>
      </w:pPr>
      <w:r>
        <w:rPr>
          <w:rFonts w:ascii="Arial" w:hAnsi="Arial" w:cs="Arial"/>
          <w:b/>
          <w:color w:val="auto"/>
          <w:sz w:val="32"/>
          <w:szCs w:val="32"/>
        </w:rPr>
        <w:t xml:space="preserve">项目名称：</w:t>
      </w:r>
      <w:r>
        <w:rPr>
          <w:rFonts w:hint="eastAsia" w:ascii="Arial" w:hAnsi="Arial" w:cs="Arial"/>
          <w:b/>
          <w:color w:val="auto"/>
          <w:sz w:val="32"/>
          <w:szCs w:val="32"/>
        </w:rPr>
        <w:t xml:space="preserve">江苏省盐城技师学院数字媒体、人工智能产业学院建设项目</w:t>
      </w:r>
      <w:r/>
    </w:p>
    <w:p>
      <w:pPr>
        <w:pStyle w:val="852"/>
        <w:ind w:firstLine="709"/>
        <w:jc w:val="both"/>
        <w:spacing w:before="120" w:beforeAutospacing="0" w:after="120" w:afterAutospacing="0" w:line="360" w:lineRule="auto"/>
        <w:rPr>
          <w:color w:val="auto"/>
        </w:rPr>
      </w:pPr>
      <w:r>
        <w:rPr>
          <w:rFonts w:ascii="Arial" w:hAnsi="Arial" w:cs="Arial"/>
          <w:b/>
          <w:color w:val="auto"/>
          <w:sz w:val="32"/>
          <w:szCs w:val="32"/>
        </w:rPr>
        <w:t xml:space="preserve">项目编号：JSZC-320900-ZBZA-G2026-0003</w:t>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t xml:space="preserve"> </w:t>
      </w:r>
      <w:r/>
    </w:p>
    <w:p>
      <w:pPr>
        <w:pStyle w:val="852"/>
        <w:spacing w:beforeAutospacing="0" w:afterAutospacing="0" w:line="360" w:lineRule="auto"/>
        <w:rPr>
          <w:color w:val="auto"/>
        </w:rPr>
      </w:pPr>
      <w:r>
        <w:rPr>
          <w:color w:val="auto"/>
        </w:rPr>
        <w:t xml:space="preserve"> </w:t>
      </w:r>
      <w:r/>
    </w:p>
    <w:p>
      <w:pPr>
        <w:pStyle w:val="852"/>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rPr>
        <w:t xml:space="preserve">江苏省盐城技师学院</w:t>
      </w:r>
      <w:r/>
    </w:p>
    <w:p>
      <w:pPr>
        <w:pStyle w:val="852"/>
        <w:jc w:val="center"/>
        <w:spacing w:before="120" w:beforeAutospacing="0" w:after="120" w:afterAutospacing="0" w:line="360" w:lineRule="auto"/>
        <w:rPr>
          <w:color w:val="auto"/>
        </w:rPr>
      </w:pPr>
      <w:r>
        <w:rPr>
          <w:rFonts w:ascii="Arial" w:hAnsi="Arial" w:cs="Arial"/>
          <w:b/>
          <w:color w:val="auto"/>
          <w:sz w:val="32"/>
          <w:szCs w:val="32"/>
        </w:rPr>
        <w:t xml:space="preserve">2026年</w:t>
      </w:r>
      <w:r>
        <w:rPr>
          <w:rFonts w:ascii="Arial" w:hAnsi="Arial" w:cs="Arial"/>
          <w:b/>
          <w:color w:val="auto"/>
          <w:sz w:val="32"/>
          <w:szCs w:val="32"/>
        </w:rPr>
        <w:t xml:space="preserve">9</w:t>
      </w:r>
      <w:r>
        <w:rPr>
          <w:rFonts w:ascii="Arial" w:hAnsi="Arial" w:cs="Arial"/>
          <w:b/>
          <w:color w:val="auto"/>
          <w:sz w:val="32"/>
          <w:szCs w:val="32"/>
        </w:rPr>
        <w:t xml:space="preserve">月</w:t>
      </w:r>
      <w:r/>
    </w:p>
    <w:p>
      <w:pPr>
        <w:pStyle w:val="852"/>
        <w:jc w:val="center"/>
        <w:spacing w:before="120" w:beforeAutospacing="0" w:after="120" w:afterAutospacing="0" w:line="360" w:lineRule="auto"/>
        <w:rPr>
          <w:color w:val="auto"/>
        </w:rPr>
      </w:pPr>
      <w:r>
        <w:rPr>
          <w:color w:val="auto"/>
        </w:rPr>
        <w:t xml:space="preserve"> </w:t>
      </w:r>
      <w:r>
        <w:rPr>
          <w:rFonts w:ascii="Times New Roman" w:hAnsi="Times New Roman"/>
          <w:color w:val="auto"/>
          <w:sz w:val="21"/>
          <w:szCs w:val="21"/>
        </w:rPr>
        <w:br w:type="page" w:clear="all"/>
      </w:r>
      <w:r/>
    </w:p>
    <w:p>
      <w:pPr>
        <w:pStyle w:val="852"/>
        <w:jc w:val="both"/>
        <w:spacing w:beforeAutospacing="0" w:afterAutospacing="0"/>
        <w:rPr>
          <w:color w:val="auto"/>
        </w:rPr>
      </w:pPr>
      <w:r>
        <w:rPr>
          <w:color w:val="auto"/>
        </w:rPr>
      </w:r>
      <w:r/>
    </w:p>
    <w:sdt>
      <w:sdtPr>
        <w15:appearance w15:val="boundingBox"/>
        <w:id w:val="-593088384"/>
        <w:docPartObj>
          <w:docPartGallery w:val="Table of Contents"/>
          <w:docPartUnique w:val="true"/>
        </w:docPartObj>
        <w:rPr>
          <w:rFonts w:ascii="黑体" w:hAnsi="黑体" w:eastAsia="黑体" w:cstheme="minorBidi"/>
          <w:color w:val="auto"/>
          <w:sz w:val="44"/>
          <w:szCs w:val="44"/>
          <w:lang w:val="zh-CN"/>
        </w:rPr>
      </w:sdtPr>
      <w:sdtContent>
        <w:p>
          <w:pPr>
            <w:pStyle w:val="870"/>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 xml:space="preserve">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 xml:space="preserve">录</w:t>
          </w:r>
          <w:r>
            <w:rPr>
              <w:rFonts w:hint="eastAsia" w:ascii="黑体" w:hAnsi="黑体" w:eastAsia="黑体"/>
              <w:color w:val="auto"/>
              <w:sz w:val="44"/>
              <w:szCs w:val="44"/>
              <w:lang w:val="zh-CN"/>
            </w:rPr>
            <w:t xml:space="preserve"> </w:t>
          </w:r>
          <w:r/>
        </w:p>
        <w:p>
          <w:pPr>
            <w:pStyle w:val="850"/>
            <w:tabs>
              <w:tab w:val="right" w:pos="8296" w:leader="dot"/>
            </w:tabs>
            <w:rPr>
              <w:rFonts w:ascii="黑体" w:hAnsi="黑体" w:eastAsia="黑体" w:cstheme="minorBidi"/>
              <w:color w:val="auto"/>
              <w:sz w:val="32"/>
              <w:szCs w:val="32"/>
            </w:rPr>
          </w:pPr>
          <w:r>
            <w:rPr>
              <w:rFonts w:ascii="黑体" w:hAnsi="黑体" w:eastAsia="黑体"/>
              <w:color w:val="auto"/>
              <w:sz w:val="32"/>
              <w:szCs w:val="32"/>
            </w:rPr>
            <w:fldChar w:fldCharType="begin"/>
          </w:r>
          <w:r>
            <w:rPr>
              <w:rFonts w:ascii="黑体" w:hAnsi="黑体" w:eastAsia="黑体"/>
              <w:color w:val="auto"/>
              <w:sz w:val="32"/>
              <w:szCs w:val="32"/>
            </w:rPr>
            <w:instrText xml:space="preserve"> TOC \o "1-3" \h \z \u </w:instrText>
          </w:r>
          <w:r>
            <w:rPr>
              <w:rFonts w:ascii="黑体" w:hAnsi="黑体" w:eastAsia="黑体"/>
              <w:color w:val="auto"/>
              <w:sz w:val="32"/>
              <w:szCs w:val="32"/>
            </w:rPr>
            <w:fldChar w:fldCharType="separate"/>
          </w:r>
          <w:r>
            <w:rPr>
              <w:color w:val="auto"/>
            </w:rPr>
            <w:fldChar w:fldCharType="begin"/>
          </w:r>
          <w:r>
            <w:rPr>
              <w:color w:val="auto"/>
            </w:rPr>
            <w:instrText xml:space="preserve"> HYPERLINK \l "_Toc234256913" </w:instrText>
          </w:r>
          <w:r>
            <w:rPr>
              <w:color w:val="auto"/>
            </w:rPr>
            <w:fldChar w:fldCharType="separate"/>
          </w:r>
          <w:r>
            <w:rPr>
              <w:rStyle w:val="859"/>
              <w:rFonts w:ascii="黑体" w:hAnsi="黑体" w:eastAsia="黑体"/>
              <w:color w:val="auto"/>
              <w:sz w:val="32"/>
              <w:szCs w:val="32"/>
            </w:rPr>
            <w:t xml:space="preserve">第一章</w:t>
          </w:r>
          <w:r>
            <w:rPr>
              <w:rStyle w:val="859"/>
              <w:rFonts w:ascii="Calibri" w:hAnsi="Calibri" w:eastAsia="黑体" w:cs="Calibri"/>
              <w:color w:val="auto"/>
              <w:sz w:val="32"/>
              <w:szCs w:val="32"/>
            </w:rPr>
            <w:t xml:space="preserve"> </w:t>
          </w:r>
          <w:r>
            <w:rPr>
              <w:rStyle w:val="859"/>
              <w:rFonts w:ascii="黑体" w:hAnsi="黑体" w:eastAsia="黑体"/>
              <w:color w:val="auto"/>
              <w:sz w:val="32"/>
              <w:szCs w:val="32"/>
            </w:rPr>
            <w:t xml:space="preserve">招标公告</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_Toc234256913 \h </w:instrText>
          </w:r>
          <w:r>
            <w:rPr>
              <w:rFonts w:ascii="黑体" w:hAnsi="黑体" w:eastAsia="黑体"/>
              <w:color w:val="auto"/>
              <w:sz w:val="32"/>
              <w:szCs w:val="32"/>
            </w:rPr>
            <w:fldChar w:fldCharType="separate"/>
          </w:r>
          <w:r>
            <w:rPr>
              <w:rFonts w:ascii="黑体" w:hAnsi="黑体" w:eastAsia="黑体"/>
              <w:color w:val="auto"/>
              <w:sz w:val="32"/>
              <w:szCs w:val="32"/>
            </w:rPr>
            <w:t xml:space="preserve">3</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850"/>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"_Toc234256914" </w:instrText>
          </w:r>
          <w:r>
            <w:rPr>
              <w:color w:val="auto"/>
            </w:rPr>
            <w:fldChar w:fldCharType="separate"/>
          </w:r>
          <w:r>
            <w:rPr>
              <w:rStyle w:val="859"/>
              <w:rFonts w:ascii="黑体" w:hAnsi="黑体" w:eastAsia="黑体"/>
              <w:color w:val="auto"/>
              <w:sz w:val="32"/>
              <w:szCs w:val="32"/>
            </w:rPr>
            <w:t xml:space="preserve">第二章</w:t>
          </w:r>
          <w:r>
            <w:rPr>
              <w:rStyle w:val="859"/>
              <w:rFonts w:ascii="Calibri" w:hAnsi="Calibri" w:eastAsia="黑体" w:cs="Calibri"/>
              <w:color w:val="auto"/>
              <w:sz w:val="32"/>
              <w:szCs w:val="32"/>
            </w:rPr>
            <w:t xml:space="preserve"> </w:t>
          </w:r>
          <w:r>
            <w:rPr>
              <w:rStyle w:val="859"/>
              <w:rFonts w:ascii="黑体" w:hAnsi="黑体" w:eastAsia="黑体"/>
              <w:color w:val="auto"/>
              <w:sz w:val="32"/>
              <w:szCs w:val="32"/>
            </w:rPr>
            <w:t xml:space="preserve"> 投标人须知</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_Toc234256914 \h </w:instrText>
          </w:r>
          <w:r>
            <w:rPr>
              <w:rFonts w:ascii="黑体" w:hAnsi="黑体" w:eastAsia="黑体"/>
              <w:color w:val="auto"/>
              <w:sz w:val="32"/>
              <w:szCs w:val="32"/>
            </w:rPr>
            <w:fldChar w:fldCharType="separate"/>
          </w:r>
          <w:r>
            <w:rPr>
              <w:rFonts w:ascii="黑体" w:hAnsi="黑体" w:eastAsia="黑体"/>
              <w:color w:val="auto"/>
              <w:sz w:val="32"/>
              <w:szCs w:val="32"/>
            </w:rPr>
            <w:t xml:space="preserve">7</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850"/>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"_Toc234256915" </w:instrText>
          </w:r>
          <w:r>
            <w:rPr>
              <w:color w:val="auto"/>
            </w:rPr>
            <w:fldChar w:fldCharType="separate"/>
          </w:r>
          <w:r>
            <w:rPr>
              <w:rStyle w:val="859"/>
              <w:rFonts w:ascii="黑体" w:hAnsi="黑体" w:eastAsia="黑体"/>
              <w:color w:val="auto"/>
              <w:sz w:val="32"/>
              <w:szCs w:val="32"/>
            </w:rPr>
            <w:t xml:space="preserve">第三章  合同条款</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_Toc234256915 \h </w:instrText>
          </w:r>
          <w:r>
            <w:rPr>
              <w:rFonts w:ascii="黑体" w:hAnsi="黑体" w:eastAsia="黑体"/>
              <w:color w:val="auto"/>
              <w:sz w:val="32"/>
              <w:szCs w:val="32"/>
            </w:rPr>
            <w:fldChar w:fldCharType="separate"/>
          </w:r>
          <w:r>
            <w:rPr>
              <w:rFonts w:ascii="黑体" w:hAnsi="黑体" w:eastAsia="黑体"/>
              <w:color w:val="auto"/>
              <w:sz w:val="32"/>
              <w:szCs w:val="32"/>
            </w:rPr>
            <w:t xml:space="preserve">24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850"/>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"_Toc234256916" </w:instrText>
          </w:r>
          <w:r>
            <w:rPr>
              <w:color w:val="auto"/>
            </w:rPr>
            <w:fldChar w:fldCharType="separate"/>
          </w:r>
          <w:r>
            <w:rPr>
              <w:rStyle w:val="859"/>
              <w:rFonts w:ascii="黑体" w:hAnsi="黑体" w:eastAsia="黑体"/>
              <w:color w:val="auto"/>
              <w:sz w:val="32"/>
              <w:szCs w:val="32"/>
            </w:rPr>
            <w:t xml:space="preserve">第四章 采购需求</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_Toc234256916 \h </w:instrText>
          </w:r>
          <w:r>
            <w:rPr>
              <w:rFonts w:ascii="黑体" w:hAnsi="黑体" w:eastAsia="黑体"/>
              <w:color w:val="auto"/>
              <w:sz w:val="32"/>
              <w:szCs w:val="32"/>
            </w:rPr>
            <w:fldChar w:fldCharType="separate"/>
          </w:r>
          <w:r>
            <w:rPr>
              <w:rFonts w:ascii="黑体" w:hAnsi="黑体" w:eastAsia="黑体"/>
              <w:color w:val="auto"/>
              <w:sz w:val="32"/>
              <w:szCs w:val="32"/>
            </w:rPr>
            <w:t xml:space="preserve">30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850"/>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"_Toc234256917" </w:instrText>
          </w:r>
          <w:r>
            <w:rPr>
              <w:color w:val="auto"/>
            </w:rPr>
            <w:fldChar w:fldCharType="separate"/>
          </w:r>
          <w:r>
            <w:rPr>
              <w:rStyle w:val="859"/>
              <w:rFonts w:ascii="黑体" w:hAnsi="黑体" w:eastAsia="黑体"/>
              <w:color w:val="auto"/>
              <w:sz w:val="32"/>
              <w:szCs w:val="32"/>
            </w:rPr>
            <w:t xml:space="preserve">第五章</w:t>
          </w:r>
          <w:r>
            <w:rPr>
              <w:rStyle w:val="859"/>
              <w:rFonts w:ascii="Calibri" w:hAnsi="Calibri" w:eastAsia="黑体" w:cs="Calibri"/>
              <w:color w:val="auto"/>
              <w:sz w:val="32"/>
              <w:szCs w:val="32"/>
            </w:rPr>
            <w:t xml:space="preserve"> </w:t>
          </w:r>
          <w:r>
            <w:rPr>
              <w:rStyle w:val="859"/>
              <w:rFonts w:ascii="黑体" w:hAnsi="黑体" w:eastAsia="黑体"/>
              <w:color w:val="auto"/>
              <w:sz w:val="32"/>
              <w:szCs w:val="32"/>
            </w:rPr>
            <w:t xml:space="preserve"> 评标方法与评标标准</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_Toc234256917 \h </w:instrText>
          </w:r>
          <w:r>
            <w:rPr>
              <w:rFonts w:ascii="黑体" w:hAnsi="黑体" w:eastAsia="黑体"/>
              <w:color w:val="auto"/>
              <w:sz w:val="32"/>
              <w:szCs w:val="32"/>
            </w:rPr>
            <w:fldChar w:fldCharType="separate"/>
          </w:r>
          <w:r>
            <w:rPr>
              <w:rFonts w:ascii="黑体" w:hAnsi="黑体" w:eastAsia="黑体"/>
              <w:color w:val="auto"/>
              <w:sz w:val="32"/>
              <w:szCs w:val="32"/>
            </w:rPr>
            <w:t xml:space="preserve">94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850"/>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"_Toc234256918" </w:instrText>
          </w:r>
          <w:r>
            <w:rPr>
              <w:color w:val="auto"/>
            </w:rPr>
            <w:fldChar w:fldCharType="separate"/>
          </w:r>
          <w:r>
            <w:rPr>
              <w:rStyle w:val="859"/>
              <w:rFonts w:ascii="黑体" w:hAnsi="黑体" w:eastAsia="黑体"/>
              <w:color w:val="auto"/>
              <w:sz w:val="32"/>
              <w:szCs w:val="32"/>
            </w:rPr>
            <w:t xml:space="preserve">第六章</w:t>
          </w:r>
          <w:r>
            <w:rPr>
              <w:rStyle w:val="859"/>
              <w:rFonts w:ascii="Calibri" w:hAnsi="Calibri" w:eastAsia="黑体" w:cs="Calibri"/>
              <w:color w:val="auto"/>
              <w:sz w:val="32"/>
              <w:szCs w:val="32"/>
            </w:rPr>
            <w:t xml:space="preserve"> </w:t>
          </w:r>
          <w:r>
            <w:rPr>
              <w:rStyle w:val="859"/>
              <w:rFonts w:ascii="黑体" w:hAnsi="黑体" w:eastAsia="黑体"/>
              <w:color w:val="auto"/>
              <w:sz w:val="32"/>
              <w:szCs w:val="32"/>
            </w:rPr>
            <w:t xml:space="preserve"> 投标文件格式</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_Toc234256918 \h </w:instrText>
          </w:r>
          <w:r>
            <w:rPr>
              <w:rFonts w:ascii="黑体" w:hAnsi="黑体" w:eastAsia="黑体"/>
              <w:color w:val="auto"/>
              <w:sz w:val="32"/>
              <w:szCs w:val="32"/>
            </w:rPr>
            <w:fldChar w:fldCharType="separate"/>
          </w:r>
          <w:r>
            <w:rPr>
              <w:rFonts w:ascii="黑体" w:hAnsi="黑体" w:eastAsia="黑体"/>
              <w:color w:val="auto"/>
              <w:sz w:val="32"/>
              <w:szCs w:val="32"/>
            </w:rPr>
            <w:t xml:space="preserve">100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rPr>
              <w:rFonts w:ascii="黑体" w:hAnsi="黑体" w:eastAsia="黑体"/>
              <w:color w:val="auto"/>
              <w:sz w:val="32"/>
              <w:szCs w:val="32"/>
            </w:rPr>
          </w:pPr>
          <w:r>
            <w:rPr>
              <w:rFonts w:ascii="黑体" w:hAnsi="黑体" w:eastAsia="黑体"/>
              <w:b/>
              <w:bCs/>
              <w:color w:val="auto"/>
              <w:sz w:val="32"/>
              <w:szCs w:val="32"/>
              <w:lang w:val="zh-CN"/>
            </w:rPr>
            <w:fldChar w:fldCharType="end"/>
          </w:r>
          <w:r/>
        </w:p>
      </w:sdtContent>
    </w:sdt>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71"/>
        <w:rPr>
          <w:color w:val="auto"/>
        </w:rPr>
      </w:pPr>
      <w:r/>
      <w:bookmarkStart w:id="0" w:name="_Toc234256913"/>
      <w:r/>
      <w:bookmarkStart w:id="1" w:name="_Toc28359086"/>
      <w:r>
        <w:rPr>
          <w:rFonts w:hint="eastAsia"/>
          <w:color w:val="auto"/>
        </w:rPr>
        <w:t xml:space="preserve">第一章 招标公告</w:t>
      </w:r>
      <w:bookmarkEnd w:id="0"/>
      <w:r/>
      <w:r/>
    </w:p>
    <w:p>
      <w:pPr>
        <w:pStyle w:val="852"/>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852"/>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江苏省盐城技师学院数字媒体、人工智能产业学院建设项目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 2026年9月</w:t>
      </w:r>
      <w:r>
        <w:rPr>
          <w:rFonts w:hint="eastAsia" w:ascii="宋体" w:hAnsi="宋体" w:eastAsia="宋体" w:cs="宋体"/>
          <w:color w:val="auto"/>
          <w:u w:val="single"/>
        </w:rPr>
        <w:t xml:space="preserve">2</w:t>
      </w:r>
      <w:r>
        <w:rPr>
          <w:rFonts w:ascii="宋体" w:hAnsi="宋体" w:eastAsia="宋体" w:cs="宋体"/>
          <w:color w:val="auto"/>
          <w:u w:val="single"/>
        </w:rPr>
        <w:t xml:space="preserve">4</w:t>
      </w:r>
      <w:r>
        <w:rPr>
          <w:rFonts w:hint="eastAsia" w:ascii="宋体" w:hAnsi="宋体" w:eastAsia="宋体" w:cs="宋体"/>
          <w:color w:val="auto"/>
          <w:u w:val="single"/>
        </w:rPr>
        <w:t xml:space="preserve">日9点30分（</w:t>
      </w:r>
      <w:r>
        <w:rPr>
          <w:rFonts w:hint="eastAsia" w:ascii="宋体" w:hAnsi="宋体" w:eastAsia="宋体" w:cs="宋体"/>
          <w:color w:val="auto"/>
        </w:rPr>
        <w:t xml:space="preserve">北京时间）前递交投标文件。</w:t>
      </w:r>
      <w:r/>
    </w:p>
    <w:p>
      <w:pPr>
        <w:pStyle w:val="852"/>
        <w:ind w:firstLine="498"/>
        <w:jc w:val="both"/>
        <w:keepLines/>
        <w:keepNext/>
        <w:spacing w:beforeAutospacing="0" w:afterAutospacing="0" w:line="360" w:lineRule="auto"/>
        <w:rPr>
          <w:rFonts w:ascii="宋体" w:hAnsi="宋体" w:eastAsia="宋体" w:cs="宋体"/>
          <w:color w:val="auto"/>
        </w:rPr>
      </w:pPr>
      <w:r/>
      <w:bookmarkStart w:id="2" w:name="_Toc38985263"/>
      <w:r/>
      <w:bookmarkStart w:id="3" w:name="_Toc28359002"/>
      <w:r/>
      <w:bookmarkStart w:id="4" w:name="_Hlk24379207"/>
      <w:r/>
      <w:bookmarkStart w:id="5" w:name="_Toc28359079"/>
      <w:r/>
      <w:bookmarkStart w:id="6" w:name="_Toc35393621"/>
      <w:r/>
      <w:bookmarkStart w:id="7" w:name="_Toc35393790"/>
      <w:r>
        <w:rPr>
          <w:rFonts w:hint="eastAsia" w:ascii="宋体" w:hAnsi="宋体" w:eastAsia="宋体" w:cs="宋体"/>
          <w:b/>
          <w:color w:val="auto"/>
        </w:rPr>
        <w:t xml:space="preserve">一、项目基本情况</w:t>
      </w:r>
      <w:bookmarkEnd w:id="2"/>
      <w:r/>
      <w:bookmarkEnd w:id="3"/>
      <w:r/>
      <w:bookmarkEnd w:id="4"/>
      <w:r/>
      <w:bookmarkEnd w:id="5"/>
      <w:r/>
      <w:bookmarkEnd w:id="6"/>
      <w:r/>
      <w:bookmarkEnd w:id="7"/>
      <w:r/>
      <w:r/>
    </w:p>
    <w:p>
      <w:pPr>
        <w:pStyle w:val="852"/>
        <w:ind w:firstLine="480"/>
        <w:jc w:val="both"/>
        <w:spacing w:beforeAutospacing="0" w:afterAutospacing="0" w:line="360" w:lineRule="auto"/>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1.项目编号：</w:t>
      </w:r>
      <w:r>
        <w:rPr>
          <w:rFonts w:ascii="宋体" w:hAnsi="宋体" w:eastAsia="宋体" w:cs="宋体"/>
          <w:color w:val="auto"/>
          <w:shd w:val="clear" w:color="auto" w:fill="ffffff"/>
        </w:rPr>
        <w:t xml:space="preserve">JSZC-320900-ZBZA-G2026-0003</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2.项目名称：江苏省盐城技师学院数字媒体、人工智能产业学院建设项目</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shd w:val="clear" w:color="auto" w:fill="ffffff"/>
        </w:rPr>
        <w:t xml:space="preserve">3.采购方式：公开招标 </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4.预算金额：515.97万元</w:t>
      </w:r>
      <w:r/>
    </w:p>
    <w:p>
      <w:pPr>
        <w:pStyle w:val="852"/>
        <w:ind w:firstLine="480"/>
        <w:jc w:val="both"/>
        <w:spacing w:beforeAutospacing="0" w:afterAutospacing="0" w:line="360" w:lineRule="auto"/>
        <w:rPr>
          <w:rFonts w:ascii="宋体" w:hAnsi="宋体" w:eastAsia="宋体" w:cs="宋体"/>
          <w:color w:val="auto"/>
          <w:shd w:val="clear" w:color="ffffff" w:fill="d9d9d9"/>
        </w:rPr>
      </w:pPr>
      <w:r>
        <w:rPr>
          <w:rFonts w:hint="eastAsia" w:ascii="宋体" w:hAnsi="宋体" w:eastAsia="宋体" w:cs="宋体"/>
          <w:color w:val="auto"/>
          <w:shd w:val="clear" w:color="auto" w:fill="ffffff"/>
        </w:rPr>
        <w:t xml:space="preserve">5.最高限价（如有）：</w:t>
      </w:r>
      <w:r>
        <w:rPr>
          <w:rFonts w:ascii="宋体" w:hAnsi="宋体" w:eastAsia="宋体" w:cs="宋体"/>
          <w:color w:val="auto"/>
          <w:shd w:val="clear" w:color="auto" w:fill="ffffff"/>
        </w:rPr>
        <w:t xml:space="preserve">504.6761万元</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6.采购需求（简介）：江苏省盐城技师学院数字媒体、人工智能产业学院建设项目，详见本招标文件第四章采购需求。</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7.合同履行期限：必须在合同签订后60个日历天内完成到货、安装、调试工作并交付使用，中标价包括安装调试过程中产生的一切费用。</w:t>
      </w:r>
      <w:r/>
    </w:p>
    <w:p>
      <w:pPr>
        <w:pStyle w:val="852"/>
        <w:ind w:firstLine="480"/>
        <w:jc w:val="both"/>
        <w:spacing w:beforeAutospacing="0" w:afterAutospacing="0" w:line="360" w:lineRule="auto"/>
        <w:rPr>
          <w:rFonts w:ascii="宋体" w:hAnsi="宋体" w:eastAsia="宋体" w:cs="宋体"/>
          <w:color w:val="auto"/>
          <w:shd w:val="clear" w:color="auto" w:fill="ffff00"/>
        </w:rPr>
      </w:pPr>
      <w:r>
        <w:rPr>
          <w:rFonts w:hint="eastAsia" w:ascii="宋体" w:hAnsi="宋体" w:eastAsia="宋体" w:cs="宋体"/>
          <w:color w:val="auto"/>
          <w:shd w:val="clear" w:color="auto" w:fill="ffffff"/>
        </w:rPr>
        <w:t xml:space="preserve">8.本项目（</w:t>
      </w:r>
      <w:r>
        <w:rPr>
          <w:rFonts w:hint="eastAsia" w:ascii="宋体" w:hAnsi="宋体" w:eastAsia="宋体" w:cs="宋体"/>
          <w:i/>
          <w:iCs/>
          <w:color w:val="auto"/>
          <w:shd w:val="clear" w:color="auto" w:fill="ffffff"/>
        </w:rPr>
        <w:t xml:space="preserve">是/否</w:t>
      </w:r>
      <w:r>
        <w:rPr>
          <w:rFonts w:hint="eastAsia" w:ascii="宋体" w:hAnsi="宋体" w:eastAsia="宋体" w:cs="宋体"/>
          <w:color w:val="auto"/>
          <w:shd w:val="clear" w:color="auto" w:fill="ffffff"/>
        </w:rPr>
        <w:t xml:space="preserve">）接受联合体</w:t>
      </w:r>
      <w:r>
        <w:rPr>
          <w:rFonts w:hint="eastAsia" w:ascii="宋体" w:hAnsi="宋体" w:eastAsia="宋体" w:cs="宋体"/>
          <w:color w:val="auto"/>
        </w:rPr>
        <w:t xml:space="preserve">：否。</w:t>
      </w:r>
      <w:r/>
    </w:p>
    <w:p>
      <w:pPr>
        <w:pStyle w:val="852"/>
        <w:ind w:firstLine="498"/>
        <w:jc w:val="both"/>
        <w:keepLines/>
        <w:keepNext/>
        <w:spacing w:beforeAutospacing="0" w:afterAutospacing="0" w:line="360" w:lineRule="auto"/>
        <w:rPr>
          <w:rFonts w:ascii="宋体" w:hAnsi="宋体" w:eastAsia="宋体" w:cs="宋体"/>
          <w:color w:val="auto"/>
        </w:rPr>
      </w:pPr>
      <w:r/>
      <w:bookmarkStart w:id="8" w:name="_Toc38985264"/>
      <w:r/>
      <w:bookmarkStart w:id="9" w:name="_Toc35393622"/>
      <w:r/>
      <w:bookmarkStart w:id="10" w:name="_Toc28359003"/>
      <w:r/>
      <w:bookmarkStart w:id="11" w:name="_Toc28359080"/>
      <w:r/>
      <w:bookmarkStart w:id="12" w:name="_Toc35393791"/>
      <w:r>
        <w:rPr>
          <w:rFonts w:hint="eastAsia" w:ascii="宋体" w:hAnsi="宋体" w:eastAsia="宋体" w:cs="宋体"/>
          <w:b/>
          <w:color w:val="auto"/>
        </w:rPr>
        <w:t xml:space="preserve">二、申请人的资格要求：</w:t>
      </w:r>
      <w:bookmarkEnd w:id="8"/>
      <w:r/>
      <w:bookmarkEnd w:id="9"/>
      <w:r/>
      <w:bookmarkEnd w:id="10"/>
      <w:r/>
      <w:bookmarkEnd w:id="11"/>
      <w:r/>
      <w:bookmarkEnd w:id="12"/>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（一）满足《中华人民共和国政府采购法》第二十二条规定，并提供下列材料：</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1.法人或者其他组织的营业执照等证明文件，自然人的身份证明。</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2.上一年度的财务状况报告（成立不满一年不需提供）。</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3.具备履行合同所必需的设备和专业技术能力的书面声明。</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5.参加政府采购活动前3年内在经营活动中没有重大违法记录的书面声明。</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6.法律、行政法规规定的其他条件。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8.单位负责人为同一人或者存在直接控股、管理关系的不同供应商，不得参加同一合同项下的政府采购活动。</w:t>
      </w:r>
      <w:r/>
    </w:p>
    <w:p>
      <w:pPr>
        <w:pStyle w:val="852"/>
        <w:ind w:firstLine="480"/>
        <w:jc w:val="both"/>
        <w:spacing w:beforeAutospacing="0" w:afterAutospacing="0" w:line="360" w:lineRule="auto"/>
        <w:rPr>
          <w:rFonts w:ascii="宋体" w:hAnsi="宋体" w:eastAsia="宋体" w:cs="宋体"/>
          <w:color w:val="auto"/>
          <w:highlight w:val="yellow"/>
        </w:rPr>
      </w:pPr>
      <w:r>
        <w:rPr>
          <w:rFonts w:hint="eastAsia" w:ascii="宋体" w:hAnsi="宋体" w:eastAsia="宋体" w:cs="宋体"/>
          <w:color w:val="auto"/>
        </w:rPr>
        <w:t xml:space="preserve">（二）落实政府采购政策需满足的资格要求：无。</w:t>
      </w:r>
      <w:r/>
    </w:p>
    <w:p>
      <w:pPr>
        <w:pStyle w:val="852"/>
        <w:ind w:firstLine="56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（三）本项目的特定资格要求：</w:t>
      </w:r>
      <w:r>
        <w:rPr>
          <w:rFonts w:hint="eastAsia" w:ascii="宋体" w:hAnsi="宋体" w:eastAsia="宋体" w:cs="宋体"/>
          <w:i/>
          <w:iCs/>
          <w:color w:val="auto"/>
          <w:u w:val="single"/>
        </w:rPr>
        <w:t xml:space="preserve">无。</w:t>
      </w:r>
      <w:r/>
    </w:p>
    <w:p>
      <w:pPr>
        <w:pStyle w:val="852"/>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三、获取招标文件</w:t>
      </w:r>
      <w:r/>
    </w:p>
    <w:p>
      <w:pPr>
        <w:pStyle w:val="852"/>
        <w:ind w:firstLine="540"/>
        <w:jc w:val="both"/>
        <w:spacing w:beforeAutospacing="0" w:afterAutospacing="0" w:line="360" w:lineRule="auto"/>
        <w:shd w:val="clear" w:color="auto" w:fill="ffffff"/>
        <w:widowControl/>
        <w:rPr>
          <w:rFonts w:ascii="宋体" w:hAnsi="宋体" w:eastAsia="宋体" w:cs="宋体"/>
          <w:color w:val="auto"/>
        </w:rPr>
      </w:pPr>
      <w:r/>
      <w:bookmarkStart w:id="13" w:name="_Toc38985266"/>
      <w:r/>
      <w:bookmarkStart w:id="14" w:name="_Toc28359005"/>
      <w:r/>
      <w:bookmarkStart w:id="15" w:name="_Toc35393624"/>
      <w:r/>
      <w:bookmarkStart w:id="16" w:name="_Toc28359082"/>
      <w:r/>
      <w:bookmarkStart w:id="17" w:name="_Toc35393793"/>
      <w:r>
        <w:rPr>
          <w:rFonts w:hint="eastAsia" w:ascii="宋体" w:hAnsi="宋体" w:eastAsia="宋体" w:cs="宋体"/>
          <w:color w:val="auto"/>
        </w:rPr>
        <w:t xml:space="preserve">1.时间：</w:t>
      </w:r>
      <w:bookmarkEnd w:id="13"/>
      <w:r/>
      <w:bookmarkEnd w:id="14"/>
      <w:r/>
      <w:bookmarkEnd w:id="15"/>
      <w:r/>
      <w:bookmarkEnd w:id="16"/>
      <w:r/>
      <w:bookmarkEnd w:id="17"/>
      <w:r>
        <w:rPr>
          <w:rFonts w:hint="eastAsia" w:ascii="宋体" w:hAnsi="宋体" w:eastAsia="宋体" w:cs="宋体"/>
          <w:color w:val="auto"/>
        </w:rPr>
        <w:t xml:space="preserve">自招标文件公告发布之日起5个工作日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2.地点：“苏采云”系统内免费下载（投标人必须在苏采云系统中获取采购文件，方能参与政府采购项目）；</w:t>
      </w:r>
      <w:r/>
    </w:p>
    <w:p>
      <w:pPr>
        <w:pStyle w:val="852"/>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4.售价：0元</w:t>
      </w:r>
      <w:r/>
    </w:p>
    <w:p>
      <w:pPr>
        <w:pStyle w:val="852"/>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852"/>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1.时间：</w:t>
      </w:r>
      <w:r>
        <w:rPr>
          <w:rFonts w:hint="eastAsia" w:ascii="宋体" w:hAnsi="宋体" w:eastAsia="宋体" w:cs="宋体"/>
          <w:color w:val="auto"/>
          <w:u w:val="single"/>
        </w:rPr>
        <w:t xml:space="preserve">2026年9月</w:t>
      </w:r>
      <w:r>
        <w:rPr>
          <w:rFonts w:hint="eastAsia" w:ascii="宋体" w:hAnsi="宋体" w:eastAsia="宋体" w:cs="宋体"/>
          <w:color w:val="auto"/>
          <w:u w:val="single"/>
        </w:rPr>
        <w:t xml:space="preserve">2</w:t>
      </w:r>
      <w:r>
        <w:rPr>
          <w:rFonts w:ascii="宋体" w:hAnsi="宋体" w:eastAsia="宋体" w:cs="宋体"/>
          <w:color w:val="auto"/>
          <w:u w:val="single"/>
        </w:rPr>
        <w:t xml:space="preserve">4</w:t>
      </w:r>
      <w:r>
        <w:rPr>
          <w:rFonts w:hint="eastAsia" w:ascii="宋体" w:hAnsi="宋体" w:eastAsia="宋体" w:cs="宋体"/>
          <w:color w:val="auto"/>
          <w:u w:val="single"/>
        </w:rPr>
        <w:t xml:space="preserve">日9：30</w:t>
      </w:r>
      <w:r>
        <w:rPr>
          <w:rFonts w:hint="eastAsia" w:ascii="宋体" w:hAnsi="宋体" w:eastAsia="宋体" w:cs="宋体"/>
          <w:color w:val="auto"/>
        </w:rPr>
        <w:t xml:space="preserve">（北京时间）。</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852"/>
        <w:ind w:firstLine="498"/>
        <w:jc w:val="both"/>
        <w:keepLines/>
        <w:keepNext/>
        <w:spacing w:beforeAutospacing="0" w:afterAutospacing="0" w:line="360" w:lineRule="auto"/>
        <w:rPr>
          <w:rFonts w:ascii="宋体" w:hAnsi="宋体" w:eastAsia="宋体" w:cs="宋体"/>
          <w:color w:val="auto"/>
        </w:rPr>
      </w:pPr>
      <w:r/>
      <w:bookmarkStart w:id="18" w:name="_Toc28359084"/>
      <w:r/>
      <w:bookmarkStart w:id="19" w:name="_Toc28359007"/>
      <w:r/>
      <w:bookmarkStart w:id="20" w:name="_Toc38985267"/>
      <w:r/>
      <w:bookmarkStart w:id="21" w:name="_Toc35393625"/>
      <w:r/>
      <w:bookmarkStart w:id="22" w:name="_Toc35393794"/>
      <w:r>
        <w:rPr>
          <w:rFonts w:hint="eastAsia" w:ascii="宋体" w:hAnsi="宋体" w:eastAsia="宋体" w:cs="宋体"/>
          <w:b/>
          <w:color w:val="auto"/>
        </w:rPr>
        <w:t xml:space="preserve">五、公告期限</w:t>
      </w:r>
      <w:bookmarkEnd w:id="18"/>
      <w:r/>
      <w:bookmarkEnd w:id="19"/>
      <w:r/>
      <w:bookmarkEnd w:id="20"/>
      <w:r/>
      <w:bookmarkEnd w:id="21"/>
      <w:r/>
      <w:bookmarkEnd w:id="22"/>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3" w:name="_Toc35393795"/>
      <w:r/>
      <w:bookmarkStart w:id="24" w:name="_Toc38985268"/>
      <w:r/>
      <w:bookmarkStart w:id="25" w:name="_Toc35393626"/>
      <w:r>
        <w:rPr>
          <w:rFonts w:hint="eastAsia" w:ascii="宋体" w:hAnsi="宋体" w:eastAsia="宋体" w:cs="宋体"/>
          <w:color w:val="auto"/>
          <w:shd w:val="clear" w:color="auto" w:fill="ffffff"/>
        </w:rPr>
        <w:t xml:space="preserve">自本公告发布之日起5个工作日。</w:t>
      </w:r>
      <w:bookmarkEnd w:id="23"/>
      <w:r/>
      <w:bookmarkEnd w:id="24"/>
      <w:r/>
      <w:bookmarkEnd w:id="25"/>
      <w:r/>
      <w:r/>
    </w:p>
    <w:p>
      <w:pPr>
        <w:pStyle w:val="852"/>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六、其他补充事宜</w:t>
      </w:r>
      <w:r/>
    </w:p>
    <w:p>
      <w:pPr>
        <w:ind w:firstLine="480"/>
        <w:jc w:val="left"/>
        <w:spacing w:line="360" w:lineRule="auto"/>
        <w:widowControl/>
        <w:rPr>
          <w:rFonts w:ascii="宋体" w:hAnsi="宋体" w:eastAsia="宋体" w:cs="宋体"/>
          <w:color w:val="auto"/>
          <w:sz w:val="24"/>
        </w:rPr>
      </w:pPr>
      <w:r/>
      <w:bookmarkStart w:id="26" w:name="_Toc28359018"/>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领取CA和办理电子签章（</w:t>
      </w:r>
      <w:r>
        <w:rPr>
          <w:rFonts w:hint="eastAsia" w:ascii="宋体" w:hAnsi="宋体" w:eastAsia="宋体" w:cs="宋体"/>
          <w:b/>
          <w:bCs/>
          <w:color w:val="auto"/>
          <w:sz w:val="24"/>
        </w:rPr>
        <w:t xml:space="preserve">请至盐城市府西路1号盐城市公共资源交易中心四楼大厅10号，11号窗口办理</w:t>
      </w:r>
      <w:r>
        <w:rPr>
          <w:rFonts w:hint="eastAsia" w:ascii="宋体" w:hAnsi="宋体" w:eastAsia="宋体" w:cs="宋体"/>
          <w:color w:val="auto"/>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3.有关本次招标的事项若存在变动或修改，敬请及时关注采购人在“中国政府采购网”、“江苏政府采购网”、“盐城市政府采购网”发布的更正公告。</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rPr>
        <w:t xml:space="preserve">4.本次招标不收取投标保证金，不收取质量保证金。</w:t>
      </w:r>
      <w:r/>
    </w:p>
    <w:p>
      <w:pPr>
        <w:pStyle w:val="852"/>
        <w:ind w:firstLine="498"/>
        <w:jc w:val="both"/>
        <w:keepLines/>
        <w:keepNext/>
        <w:spacing w:beforeAutospacing="0" w:afterAutospacing="0" w:line="360" w:lineRule="auto"/>
        <w:rPr>
          <w:rFonts w:ascii="宋体" w:hAnsi="宋体" w:eastAsia="宋体" w:cs="宋体"/>
          <w:b/>
          <w:color w:val="auto"/>
        </w:rPr>
      </w:pPr>
      <w:r>
        <w:rPr>
          <w:rFonts w:hint="eastAsia" w:ascii="宋体" w:hAnsi="宋体" w:eastAsia="宋体" w:cs="宋体"/>
          <w:b/>
          <w:color w:val="auto"/>
        </w:rPr>
        <w:t xml:space="preserve">七、对本次招标提出询问，请按以下方式联系。</w:t>
      </w:r>
      <w:bookmarkEnd w:id="26"/>
      <w:r/>
      <w:r/>
    </w:p>
    <w:p>
      <w:pPr>
        <w:pStyle w:val="852"/>
        <w:ind w:firstLine="60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称：江苏省盐城技师学院</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地址：盐城市盐都区海洋路29号</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联系人：王老师</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r>
        <w:rPr>
          <w:rFonts w:ascii="宋体" w:hAnsi="宋体" w:eastAsia="宋体" w:cs="宋体"/>
          <w:color w:val="auto"/>
          <w:shd w:val="clear" w:color="auto" w:fill="ffffff"/>
        </w:rPr>
        <w:t xml:space="preserve">13056150848</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称：指北针项目管理（江苏）有限公司</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 址：盐城经济技术开发区新都东路31号涌鑫经贸中心1幢2024室</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联系人：王工</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联系方式：1</w:t>
      </w:r>
      <w:r>
        <w:rPr>
          <w:rFonts w:ascii="宋体" w:hAnsi="宋体" w:eastAsia="宋体" w:cs="宋体"/>
          <w:color w:val="auto"/>
          <w:shd w:val="clear" w:color="auto" w:fill="ffffff"/>
        </w:rPr>
        <w:t xml:space="preserve">5961975866</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7" w:name="_Toc28359021"/>
      <w:r>
        <w:rPr>
          <w:rFonts w:hint="eastAsia" w:ascii="宋体" w:hAnsi="宋体" w:eastAsia="宋体" w:cs="宋体"/>
          <w:color w:val="auto"/>
          <w:shd w:val="clear" w:color="auto" w:fill="ffffff"/>
        </w:rPr>
        <w:t xml:space="preserve">3.</w:t>
      </w:r>
      <w:bookmarkEnd w:id="27"/>
      <w:r>
        <w:rPr>
          <w:rFonts w:hint="eastAsia" w:ascii="宋体" w:hAnsi="宋体" w:eastAsia="宋体" w:cs="宋体"/>
          <w:color w:val="auto"/>
          <w:shd w:val="clear" w:color="auto" w:fill="ffffff"/>
        </w:rPr>
        <w:t xml:space="preserve">项目联系方式</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项目联系人：王老师</w:t>
      </w:r>
      <w:r/>
    </w:p>
    <w:p>
      <w:pPr>
        <w:pStyle w:val="852"/>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电　　 话：</w:t>
      </w:r>
      <w:r>
        <w:rPr>
          <w:rFonts w:ascii="宋体" w:hAnsi="宋体" w:eastAsia="宋体" w:cs="宋体"/>
          <w:color w:val="auto"/>
          <w:shd w:val="clear" w:color="auto" w:fill="ffffff"/>
        </w:rPr>
        <w:t xml:space="preserve">13056150848</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28" w:name="_Toc120614211"/>
      <w:r/>
      <w:r/>
    </w:p>
    <w:p>
      <w:pPr>
        <w:pStyle w:val="871"/>
        <w:rPr>
          <w:color w:val="auto"/>
        </w:rPr>
      </w:pPr>
      <w:r/>
      <w:bookmarkStart w:id="29" w:name="_Toc234256914"/>
      <w:r>
        <w:rPr>
          <w:rFonts w:hint="eastAsia"/>
          <w:color w:val="auto"/>
        </w:rPr>
        <w:t xml:space="preserve">第二章  </w:t>
      </w:r>
      <w:bookmarkEnd w:id="28"/>
      <w:r/>
      <w:bookmarkStart w:id="30" w:name="_Toc120614213"/>
      <w:r/>
      <w:bookmarkStart w:id="31" w:name="_Toc513029202"/>
      <w:r/>
      <w:bookmarkStart w:id="32" w:name="_Toc16938518"/>
      <w:r/>
      <w:bookmarkStart w:id="33" w:name="_Toc20823274"/>
      <w:r>
        <w:rPr>
          <w:rFonts w:hint="eastAsia"/>
          <w:color w:val="auto"/>
        </w:rPr>
        <w:t xml:space="preserve">投标人须知</w:t>
      </w:r>
      <w:bookmarkEnd w:id="29"/>
      <w:r/>
      <w:bookmarkEnd w:id="30"/>
      <w:r/>
      <w:bookmarkEnd w:id="31"/>
      <w:r/>
      <w:bookmarkEnd w:id="32"/>
      <w:r/>
      <w:bookmarkEnd w:id="33"/>
      <w:r/>
      <w:r/>
    </w:p>
    <w:p>
      <w:pPr>
        <w:pStyle w:val="852"/>
        <w:ind w:firstLine="498"/>
        <w:jc w:val="both"/>
        <w:keepLines/>
        <w:keepNext/>
        <w:spacing w:beforeAutospacing="0" w:afterAutospacing="0" w:line="360" w:lineRule="auto"/>
        <w:rPr>
          <w:rFonts w:ascii="宋体" w:hAnsi="宋体" w:eastAsia="宋体" w:cs="宋体"/>
          <w:color w:val="auto"/>
        </w:rPr>
      </w:pPr>
      <w:r/>
      <w:bookmarkStart w:id="34" w:name="_Toc513029203"/>
      <w:r/>
      <w:bookmarkStart w:id="35" w:name="_Toc16938519"/>
      <w:r/>
      <w:bookmarkStart w:id="36" w:name="_Toc20823275"/>
      <w:r/>
      <w:bookmarkStart w:id="37" w:name="_Toc120614214"/>
      <w:r>
        <w:rPr>
          <w:rFonts w:hint="eastAsia" w:ascii="宋体" w:hAnsi="宋体" w:eastAsia="宋体" w:cs="宋体"/>
          <w:b/>
          <w:color w:val="auto"/>
        </w:rPr>
        <w:t xml:space="preserve">一、总则</w:t>
      </w:r>
      <w:bookmarkEnd w:id="34"/>
      <w:r/>
      <w:bookmarkEnd w:id="35"/>
      <w:r/>
      <w:bookmarkEnd w:id="36"/>
      <w:r/>
      <w:bookmarkEnd w:id="37"/>
      <w:r/>
      <w:r/>
    </w:p>
    <w:p>
      <w:pPr>
        <w:pStyle w:val="852"/>
        <w:ind w:firstLine="420"/>
        <w:jc w:val="both"/>
        <w:keepLines/>
        <w:keepNext/>
        <w:spacing w:beforeAutospacing="0" w:afterAutospacing="0" w:line="360" w:lineRule="auto"/>
        <w:rPr>
          <w:rFonts w:ascii="宋体" w:hAnsi="宋体" w:eastAsia="宋体" w:cs="宋体"/>
          <w:color w:val="auto"/>
        </w:rPr>
      </w:pPr>
      <w:r/>
      <w:bookmarkStart w:id="38" w:name="_Toc20823276"/>
      <w:r/>
      <w:bookmarkStart w:id="39" w:name="_Toc16938520"/>
      <w:r/>
      <w:bookmarkStart w:id="40" w:name="_Toc513029204"/>
      <w:r/>
      <w:bookmarkStart w:id="41" w:name="_Toc458694821"/>
      <w:r/>
      <w:bookmarkStart w:id="42" w:name="_Hlt16619475"/>
      <w:r>
        <w:rPr>
          <w:rFonts w:hint="eastAsia" w:ascii="宋体" w:hAnsi="宋体" w:eastAsia="宋体" w:cs="宋体"/>
          <w:color w:val="auto"/>
        </w:rPr>
        <w:t xml:space="preserve">1</w:t>
      </w:r>
      <w:bookmarkEnd w:id="38"/>
      <w:r>
        <w:rPr>
          <w:rFonts w:hint="eastAsia" w:ascii="宋体" w:hAnsi="宋体" w:eastAsia="宋体" w:cs="宋体"/>
          <w:color w:val="auto"/>
        </w:rPr>
        <w:t xml:space="preserve">、招标方式</w:t>
      </w:r>
      <w:bookmarkEnd w:id="39"/>
      <w:r/>
      <w:bookmarkEnd w:id="40"/>
      <w:r/>
      <w:bookmarkEnd w:id="41"/>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852"/>
        <w:ind w:firstLine="420"/>
        <w:jc w:val="both"/>
        <w:keepLines/>
        <w:keepNext/>
        <w:spacing w:beforeAutospacing="0" w:afterAutospacing="0" w:line="360" w:lineRule="auto"/>
        <w:rPr>
          <w:rFonts w:ascii="宋体" w:hAnsi="宋体" w:eastAsia="宋体" w:cs="宋体"/>
          <w:color w:val="auto"/>
        </w:rPr>
      </w:pPr>
      <w:r/>
      <w:bookmarkStart w:id="43" w:name="_Toc16938521"/>
      <w:r/>
      <w:bookmarkStart w:id="44" w:name="_Toc20823277"/>
      <w:r/>
      <w:bookmarkStart w:id="45" w:name="_Toc513029205"/>
      <w:r>
        <w:rPr>
          <w:rFonts w:hint="eastAsia" w:ascii="宋体" w:hAnsi="宋体" w:eastAsia="宋体" w:cs="宋体"/>
          <w:color w:val="auto"/>
        </w:rPr>
        <w:t xml:space="preserve">2、合格的投标人</w:t>
      </w:r>
      <w:bookmarkEnd w:id="43"/>
      <w:r/>
      <w:bookmarkEnd w:id="44"/>
      <w:r/>
      <w:bookmarkEnd w:id="45"/>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ind w:firstLine="420"/>
        <w:spacing w:line="360" w:lineRule="auto"/>
        <w:rPr>
          <w:rFonts w:ascii="宋体" w:hAnsi="宋体" w:eastAsia="宋体" w:cs="方正魏碑_GBK"/>
          <w:color w:val="auto"/>
          <w:sz w:val="24"/>
          <w:szCs w:val="21"/>
        </w:rPr>
      </w:pPr>
      <w:r/>
      <w:bookmarkStart w:id="46" w:name="_Toc16938522"/>
      <w:r/>
      <w:bookmarkStart w:id="47" w:name="_Toc20823278"/>
      <w:r/>
      <w:bookmarkStart w:id="48" w:name="_Toc513029206"/>
      <w:r>
        <w:rPr>
          <w:rFonts w:hint="eastAsia" w:ascii="宋体" w:hAnsi="宋体" w:eastAsia="宋体" w:cs="方正魏碑_GBK"/>
          <w:color w:val="auto"/>
          <w:sz w:val="24"/>
          <w:szCs w:val="21"/>
        </w:rPr>
        <w:t xml:space="preserve">3、适用法律</w:t>
      </w:r>
      <w:bookmarkEnd w:id="46"/>
      <w:r/>
      <w:bookmarkEnd w:id="47"/>
      <w:r/>
      <w:bookmarkEnd w:id="48"/>
      <w:r>
        <w:rPr>
          <w:rFonts w:hint="eastAsia" w:ascii="宋体" w:hAnsi="宋体" w:eastAsia="宋体" w:cs="方正魏碑_GBK"/>
          <w:color w:val="auto"/>
          <w:sz w:val="24"/>
          <w:szCs w:val="21"/>
        </w:rPr>
        <w:t xml:space="preserve">和标准</w:t>
      </w:r>
      <w:r/>
    </w:p>
    <w:p>
      <w:pPr>
        <w:pStyle w:val="852"/>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ind w:firstLine="420"/>
        <w:spacing w:line="360" w:lineRule="auto"/>
        <w:rPr>
          <w:rFonts w:ascii="宋体" w:hAnsi="宋体" w:eastAsia="宋体" w:cs="宋体"/>
          <w:color w:val="auto"/>
          <w:sz w:val="24"/>
        </w:rPr>
      </w:pPr>
      <w:r>
        <w:rPr>
          <w:rFonts w:hint="eastAsia" w:ascii="宋体" w:hAnsi="宋体" w:eastAsia="宋体" w:cs="方正魏碑_GBK"/>
          <w:color w:val="auto"/>
          <w:sz w:val="24"/>
          <w:szCs w:val="21"/>
        </w:rPr>
        <w:t xml:space="preserve">3.2 在本项目政府采购活动过程中，如果所执行的标准有更新的，按照最新标准执行。</w:t>
      </w:r>
      <w:r/>
    </w:p>
    <w:p>
      <w:pPr>
        <w:pStyle w:val="852"/>
        <w:ind w:firstLine="420"/>
        <w:jc w:val="both"/>
        <w:keepLines/>
        <w:keepNext/>
        <w:spacing w:beforeAutospacing="0" w:afterAutospacing="0" w:line="360" w:lineRule="auto"/>
        <w:rPr>
          <w:rFonts w:ascii="宋体" w:hAnsi="宋体" w:eastAsia="宋体" w:cs="宋体"/>
          <w:color w:val="auto"/>
        </w:rPr>
      </w:pPr>
      <w:r/>
      <w:bookmarkStart w:id="49" w:name="_Toc20823279"/>
      <w:r/>
      <w:bookmarkStart w:id="50" w:name="_Toc513029207"/>
      <w:r/>
      <w:bookmarkStart w:id="51" w:name="_Toc16938523"/>
      <w:r/>
      <w:bookmarkStart w:id="52" w:name="_Toc462564067"/>
      <w:r>
        <w:rPr>
          <w:rFonts w:hint="eastAsia" w:ascii="宋体" w:hAnsi="宋体" w:eastAsia="宋体" w:cs="宋体"/>
          <w:color w:val="auto"/>
        </w:rPr>
        <w:t xml:space="preserve">4、投标费用</w:t>
      </w:r>
      <w:bookmarkEnd w:id="49"/>
      <w:r/>
      <w:bookmarkEnd w:id="50"/>
      <w:r/>
      <w:bookmarkEnd w:id="51"/>
      <w:r/>
      <w:bookmarkEnd w:id="52"/>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4.1 投标人应自行承担所有与参加投标有关的费用，无论投标过程中的做法和结果如何，指北针项目管理（江苏）有限公司（以下简称代理机构）在任何情况下均无义务和责任承担这些费用。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4.2本项目招标代理服务费按《关于印发江苏省政府采购代理服务收费指导意见》(苏政采协[2024]20号）收费标准45%计取；项目结束后，由采购人支付给代理机构,</w:t>
      </w:r>
      <w:r>
        <w:rPr>
          <w:rFonts w:hint="eastAsia" w:ascii="宋体" w:hAnsi="宋体" w:eastAsia="宋体" w:cs="宋体"/>
          <w:b/>
          <w:bCs/>
          <w:color w:val="auto"/>
        </w:rPr>
        <w:t xml:space="preserve">投标人无需考虑该项费用。</w:t>
      </w:r>
      <w:r/>
    </w:p>
    <w:p>
      <w:pPr>
        <w:pStyle w:val="852"/>
        <w:ind w:firstLine="602"/>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852"/>
        <w:ind w:firstLine="321"/>
        <w:jc w:val="both"/>
        <w:keepLines/>
        <w:keepNext/>
        <w:spacing w:beforeAutospacing="0" w:afterAutospacing="0" w:line="360" w:lineRule="auto"/>
        <w:rPr>
          <w:rFonts w:ascii="宋体" w:hAnsi="宋体" w:eastAsia="宋体" w:cs="宋体"/>
          <w:color w:val="auto"/>
        </w:rPr>
      </w:pPr>
      <w:r/>
      <w:bookmarkStart w:id="53" w:name="_Toc20823281"/>
      <w:r/>
      <w:bookmarkStart w:id="54" w:name="_Toc120614215"/>
      <w:r/>
      <w:bookmarkStart w:id="55" w:name="_Toc16938525"/>
      <w:r/>
      <w:bookmarkStart w:id="56" w:name="_Toc513029209"/>
      <w:r>
        <w:rPr>
          <w:rFonts w:hint="eastAsia" w:ascii="宋体" w:hAnsi="宋体" w:eastAsia="宋体" w:cs="宋体"/>
          <w:b/>
          <w:color w:val="auto"/>
        </w:rPr>
        <w:t xml:space="preserve">二、招标文件</w:t>
      </w:r>
      <w:bookmarkEnd w:id="53"/>
      <w:r/>
      <w:bookmarkEnd w:id="54"/>
      <w:r/>
      <w:bookmarkEnd w:id="55"/>
      <w:r/>
      <w:bookmarkEnd w:id="56"/>
      <w:r/>
      <w:r/>
    </w:p>
    <w:p>
      <w:pPr>
        <w:pStyle w:val="852"/>
        <w:ind w:firstLine="420"/>
        <w:jc w:val="both"/>
        <w:keepLines/>
        <w:keepNext/>
        <w:spacing w:beforeAutospacing="0" w:afterAutospacing="0" w:line="360" w:lineRule="auto"/>
        <w:rPr>
          <w:rFonts w:ascii="宋体" w:hAnsi="宋体" w:eastAsia="宋体" w:cs="宋体"/>
          <w:color w:val="auto"/>
        </w:rPr>
      </w:pPr>
      <w:r/>
      <w:bookmarkStart w:id="57" w:name="_Toc16938526"/>
      <w:r/>
      <w:bookmarkStart w:id="58" w:name="_Toc513029210"/>
      <w:r/>
      <w:bookmarkStart w:id="59" w:name="_Toc20823282"/>
      <w:r>
        <w:rPr>
          <w:rFonts w:hint="eastAsia" w:ascii="宋体" w:hAnsi="宋体" w:eastAsia="宋体" w:cs="宋体"/>
          <w:color w:val="auto"/>
        </w:rPr>
        <w:t xml:space="preserve">6、招标文件构成</w:t>
      </w:r>
      <w:bookmarkEnd w:id="57"/>
      <w:r/>
      <w:bookmarkEnd w:id="58"/>
      <w:r/>
      <w:bookmarkEnd w:id="59"/>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（1）招标公告</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（2）投标人须知</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（3）合同文本</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（4）采购需求</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（5）评标方法与评标标准</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（6）投标文件格式</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请仔细检查招标文件是否齐全，如有缺漏请立即与代理机构联系解决。</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jc w:val="both"/>
        <w:keepLines/>
        <w:keepNext/>
        <w:spacing w:beforeAutospacing="0" w:afterAutospacing="0" w:line="360" w:lineRule="auto"/>
        <w:rPr>
          <w:rFonts w:ascii="宋体" w:hAnsi="宋体" w:eastAsia="宋体" w:cs="宋体"/>
          <w:color w:val="auto"/>
        </w:rPr>
      </w:pPr>
      <w:r/>
      <w:bookmarkStart w:id="60" w:name="_Toc513029211"/>
      <w:r/>
      <w:bookmarkStart w:id="61" w:name="_Toc462564070"/>
      <w:r/>
      <w:bookmarkStart w:id="62" w:name="_Toc20823283"/>
      <w:r/>
      <w:bookmarkStart w:id="63" w:name="_Toc16938527"/>
      <w:r>
        <w:rPr>
          <w:rFonts w:hint="eastAsia" w:ascii="宋体" w:hAnsi="宋体" w:eastAsia="宋体" w:cs="宋体"/>
          <w:color w:val="auto"/>
        </w:rPr>
        <w:t xml:space="preserve">7、招标文件的澄清</w:t>
      </w:r>
      <w:bookmarkEnd w:id="60"/>
      <w:r/>
      <w:bookmarkEnd w:id="61"/>
      <w:r/>
      <w:bookmarkEnd w:id="62"/>
      <w:r/>
      <w:bookmarkEnd w:id="63"/>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前按招标公告中的通讯地址，以书面形式通知代理机构。</w:t>
      </w:r>
      <w:r/>
    </w:p>
    <w:p>
      <w:pPr>
        <w:pStyle w:val="852"/>
        <w:ind w:firstLine="560"/>
        <w:jc w:val="both"/>
        <w:keepLines/>
        <w:keepNext/>
        <w:spacing w:beforeAutospacing="0" w:afterAutospacing="0" w:line="360" w:lineRule="auto"/>
        <w:rPr>
          <w:rFonts w:ascii="宋体" w:hAnsi="宋体" w:eastAsia="宋体" w:cs="宋体"/>
          <w:color w:val="auto"/>
        </w:rPr>
      </w:pPr>
      <w:r/>
      <w:bookmarkStart w:id="64" w:name="_Toc16938528"/>
      <w:r/>
      <w:bookmarkStart w:id="65" w:name="_Toc462564071"/>
      <w:r/>
      <w:bookmarkStart w:id="66" w:name="_Toc20823284"/>
      <w:r/>
      <w:bookmarkStart w:id="67" w:name="_Toc513029212"/>
      <w:r>
        <w:rPr>
          <w:rFonts w:hint="eastAsia" w:ascii="宋体" w:hAnsi="宋体" w:eastAsia="宋体" w:cs="宋体"/>
          <w:color w:val="auto"/>
        </w:rPr>
        <w:t xml:space="preserve">8、招标文件的修改</w:t>
      </w:r>
      <w:bookmarkEnd w:id="64"/>
      <w:r/>
      <w:bookmarkEnd w:id="65"/>
      <w:r/>
      <w:bookmarkEnd w:id="66"/>
      <w:r/>
      <w:bookmarkEnd w:id="67"/>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8.1 在投标截止时间前，代理机构可以对招标文件进行修改。</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8.2 代理机构有权按照法定的要求推迟投标截止日期和开标日期。</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852"/>
        <w:ind w:firstLine="482"/>
        <w:jc w:val="both"/>
        <w:keepLines/>
        <w:keepNext/>
        <w:spacing w:beforeAutospacing="0" w:afterAutospacing="0" w:line="360" w:lineRule="auto"/>
        <w:rPr>
          <w:rFonts w:ascii="宋体" w:hAnsi="宋体" w:eastAsia="宋体" w:cs="宋体"/>
          <w:color w:val="auto"/>
        </w:rPr>
      </w:pPr>
      <w:r/>
      <w:bookmarkStart w:id="68" w:name="_Toc20823285"/>
      <w:r/>
      <w:bookmarkStart w:id="69" w:name="_Toc16938529"/>
      <w:r/>
      <w:bookmarkStart w:id="70" w:name="_Toc462564072"/>
      <w:r/>
      <w:bookmarkStart w:id="71" w:name="_Toc120614216"/>
      <w:r/>
      <w:bookmarkStart w:id="72" w:name="_Toc513029213"/>
      <w:r>
        <w:rPr>
          <w:rFonts w:hint="eastAsia" w:ascii="宋体" w:hAnsi="宋体" w:eastAsia="宋体" w:cs="宋体"/>
          <w:b/>
          <w:color w:val="auto"/>
        </w:rPr>
        <w:t xml:space="preserve">三、投标文件的编制</w:t>
      </w:r>
      <w:bookmarkEnd w:id="68"/>
      <w:r/>
      <w:bookmarkEnd w:id="69"/>
      <w:r/>
      <w:bookmarkEnd w:id="70"/>
      <w:r/>
      <w:bookmarkEnd w:id="71"/>
      <w:r/>
      <w:bookmarkEnd w:id="72"/>
      <w:r/>
      <w:r/>
    </w:p>
    <w:p>
      <w:pPr>
        <w:pStyle w:val="852"/>
        <w:ind w:firstLine="560"/>
        <w:jc w:val="both"/>
        <w:keepLines/>
        <w:keepNext/>
        <w:spacing w:beforeAutospacing="0" w:afterAutospacing="0" w:line="360" w:lineRule="auto"/>
        <w:rPr>
          <w:rFonts w:ascii="宋体" w:hAnsi="宋体" w:eastAsia="宋体" w:cs="宋体"/>
          <w:color w:val="auto"/>
        </w:rPr>
      </w:pPr>
      <w:r/>
      <w:bookmarkStart w:id="73" w:name="_Toc20823286"/>
      <w:r/>
      <w:bookmarkStart w:id="74" w:name="_Toc462564073"/>
      <w:r/>
      <w:bookmarkStart w:id="75" w:name="_Toc513029214"/>
      <w:r/>
      <w:bookmarkStart w:id="76" w:name="_Toc16938530"/>
      <w:r>
        <w:rPr>
          <w:rFonts w:hint="eastAsia" w:ascii="宋体" w:hAnsi="宋体" w:eastAsia="宋体" w:cs="宋体"/>
          <w:color w:val="auto"/>
        </w:rPr>
        <w:t xml:space="preserve">9、投标文件的语言及度量衡单位</w:t>
      </w:r>
      <w:bookmarkEnd w:id="73"/>
      <w:r/>
      <w:bookmarkEnd w:id="74"/>
      <w:r/>
      <w:bookmarkEnd w:id="75"/>
      <w:r/>
      <w:bookmarkEnd w:id="76"/>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9.1 投标人提交的投标文件以及投标人与代理机构就有关投标的所有来往通知、函件和文件均应使用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852"/>
        <w:ind w:firstLine="420"/>
        <w:jc w:val="both"/>
        <w:keepLines/>
        <w:keepNext/>
        <w:spacing w:beforeAutospacing="0" w:afterAutospacing="0" w:line="360" w:lineRule="auto"/>
        <w:rPr>
          <w:rFonts w:ascii="宋体" w:hAnsi="宋体" w:eastAsia="宋体" w:cs="宋体"/>
          <w:color w:val="auto"/>
        </w:rPr>
      </w:pPr>
      <w:r/>
      <w:bookmarkStart w:id="77" w:name="_Toc462564074"/>
      <w:r/>
      <w:bookmarkStart w:id="78" w:name="_Toc16938531"/>
      <w:r/>
      <w:bookmarkStart w:id="79" w:name="_Toc513029215"/>
      <w:r/>
      <w:bookmarkStart w:id="80" w:name="_Toc20823287"/>
      <w:r>
        <w:rPr>
          <w:rFonts w:hint="eastAsia" w:ascii="宋体" w:hAnsi="宋体" w:eastAsia="宋体" w:cs="宋体"/>
          <w:color w:val="auto"/>
        </w:rPr>
        <w:t xml:space="preserve">10、投标文件构成</w:t>
      </w:r>
      <w:bookmarkEnd w:id="77"/>
      <w:r/>
      <w:bookmarkEnd w:id="78"/>
      <w:r/>
      <w:bookmarkEnd w:id="79"/>
      <w:r/>
      <w:bookmarkEnd w:id="80"/>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852"/>
        <w:ind w:firstLine="420"/>
        <w:jc w:val="both"/>
        <w:keepLines/>
        <w:keepNext/>
        <w:spacing w:beforeAutospacing="0" w:afterAutospacing="0" w:line="360" w:lineRule="auto"/>
        <w:rPr>
          <w:rFonts w:ascii="宋体" w:hAnsi="宋体" w:eastAsia="宋体" w:cs="宋体"/>
          <w:color w:val="auto"/>
        </w:rPr>
      </w:pPr>
      <w:r/>
      <w:bookmarkStart w:id="81" w:name="_Toc513029219"/>
      <w:r/>
      <w:bookmarkStart w:id="82" w:name="_Toc49090507"/>
      <w:r/>
      <w:bookmarkStart w:id="83" w:name="_Toc14577354"/>
      <w:r/>
      <w:bookmarkStart w:id="84" w:name="_Toc513029216"/>
      <w:r/>
      <w:bookmarkStart w:id="85" w:name="_Toc49090509"/>
      <w:r/>
      <w:bookmarkStart w:id="86" w:name="_Toc14577357"/>
      <w:r/>
      <w:bookmarkStart w:id="87" w:name="_Toc14577355"/>
      <w:r/>
      <w:bookmarkStart w:id="88" w:name="_Toc49090508"/>
      <w:r/>
      <w:bookmarkStart w:id="89" w:name="_Hlt26954838"/>
      <w:r/>
      <w:bookmarkStart w:id="90" w:name="_Hlt26670360"/>
      <w:r/>
      <w:bookmarkStart w:id="91" w:name="_Hlt26668975"/>
      <w:r>
        <w:rPr>
          <w:rFonts w:hint="eastAsia" w:ascii="宋体" w:hAnsi="宋体" w:eastAsia="宋体" w:cs="宋体"/>
          <w:color w:val="auto"/>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11.1 投标人应按照招标文件要求提交证明文件，证明其及投标标的符合招标文件规定。</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12、投标分项报价表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852"/>
        <w:ind w:firstLine="420"/>
        <w:jc w:val="both"/>
        <w:keepLines/>
        <w:keepNext/>
        <w:spacing w:beforeAutospacing="0" w:afterAutospacing="0" w:line="360" w:lineRule="auto"/>
        <w:rPr>
          <w:rFonts w:ascii="宋体" w:hAnsi="宋体" w:eastAsia="宋体" w:cs="宋体"/>
          <w:color w:val="auto"/>
        </w:rPr>
      </w:pPr>
      <w:r/>
      <w:bookmarkStart w:id="92" w:name="_Hlt26670482"/>
      <w:r/>
      <w:bookmarkStart w:id="93" w:name="_Hlt26670486"/>
      <w:r/>
      <w:bookmarkStart w:id="94" w:name="_Hlt26954846"/>
      <w:r/>
      <w:bookmarkStart w:id="95" w:name="_Hlt26954731"/>
      <w:r/>
      <w:bookmarkStart w:id="96" w:name="_Hlt26954848"/>
      <w:r>
        <w:rPr>
          <w:rFonts w:hint="eastAsia" w:ascii="宋体" w:hAnsi="宋体" w:eastAsia="宋体" w:cs="宋体"/>
          <w:color w:val="auto"/>
        </w:rPr>
        <w:t xml:space="preserve">13、技术要求响应及偏离表、商务要求响应及偏离表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14、服务承诺、培训计划、人员安排及其他</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14.3  投标人需根据招标文件要求提供所投标的的主要组成部分、功能设计、实现思路及关键技术等。</w:t>
      </w:r>
      <w:r/>
    </w:p>
    <w:p>
      <w:pPr>
        <w:pStyle w:val="852"/>
        <w:ind w:firstLine="420"/>
        <w:jc w:val="both"/>
        <w:keepLines/>
        <w:keepNext/>
        <w:spacing w:beforeAutospacing="0" w:afterAutospacing="0" w:line="360" w:lineRule="auto"/>
        <w:rPr>
          <w:rFonts w:ascii="宋体" w:hAnsi="宋体" w:eastAsia="宋体" w:cs="宋体"/>
          <w:color w:val="auto"/>
        </w:rPr>
      </w:pPr>
      <w:r/>
      <w:bookmarkStart w:id="97" w:name="_Toc14577359"/>
      <w:r/>
      <w:bookmarkStart w:id="98" w:name="_Toc49090510"/>
      <w:r>
        <w:rPr>
          <w:rFonts w:hint="eastAsia" w:ascii="宋体" w:hAnsi="宋体" w:eastAsia="宋体" w:cs="宋体"/>
          <w:color w:val="auto"/>
        </w:rPr>
        <w:t xml:space="preserve">15、投标函和开标一览表</w:t>
      </w:r>
      <w:bookmarkEnd w:id="97"/>
      <w:r/>
      <w:bookmarkEnd w:id="98"/>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852"/>
        <w:ind w:firstLine="420"/>
        <w:jc w:val="both"/>
        <w:keepLines/>
        <w:keepNext/>
        <w:spacing w:beforeAutospacing="0" w:afterAutospacing="0" w:line="360" w:lineRule="auto"/>
        <w:rPr>
          <w:rFonts w:ascii="宋体" w:hAnsi="宋体" w:eastAsia="宋体" w:cs="宋体"/>
          <w:color w:val="auto"/>
        </w:rPr>
      </w:pPr>
      <w:r/>
      <w:bookmarkStart w:id="99" w:name="_Toc14577360"/>
      <w:r/>
      <w:bookmarkStart w:id="100" w:name="_Toc49090511"/>
      <w:r>
        <w:rPr>
          <w:rFonts w:hint="eastAsia" w:ascii="宋体" w:hAnsi="宋体" w:eastAsia="宋体" w:cs="宋体"/>
          <w:color w:val="auto"/>
        </w:rPr>
        <w:t xml:space="preserve">16、投标有效期</w:t>
      </w:r>
      <w:bookmarkEnd w:id="99"/>
      <w:r/>
      <w:bookmarkEnd w:id="100"/>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16.1投标有效期为代理机构规定的开标之日后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17、投标有效期的延长</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52"/>
        <w:jc w:val="both"/>
        <w:keepLines/>
        <w:keepNext/>
        <w:spacing w:beforeAutospacing="0" w:afterAutospacing="0" w:line="360" w:lineRule="auto"/>
        <w:rPr>
          <w:rFonts w:ascii="宋体" w:hAnsi="宋体" w:eastAsia="宋体" w:cs="宋体"/>
          <w:color w:val="auto"/>
        </w:rPr>
      </w:pPr>
      <w:r/>
      <w:bookmarkStart w:id="101" w:name="_Toc16938540"/>
      <w:r/>
      <w:bookmarkStart w:id="102" w:name="_Toc20823296"/>
      <w:r/>
      <w:bookmarkStart w:id="103" w:name="_Toc513029224"/>
      <w:r/>
      <w:bookmarkStart w:id="104" w:name="_Toc120614217"/>
      <w:r/>
      <w:bookmarkStart w:id="105" w:name="_Hlt26954739"/>
      <w:r/>
      <w:bookmarkStart w:id="106" w:name="_Hlt26954852"/>
      <w:r>
        <w:rPr>
          <w:rFonts w:hint="eastAsia" w:ascii="宋体" w:hAnsi="宋体" w:eastAsia="宋体" w:cs="宋体"/>
          <w:b/>
          <w:color w:val="auto"/>
        </w:rPr>
        <w:t xml:space="preserve">四、投标文件的递交</w:t>
      </w:r>
      <w:bookmarkEnd w:id="101"/>
      <w:r/>
      <w:bookmarkEnd w:id="102"/>
      <w:r/>
      <w:bookmarkEnd w:id="103"/>
      <w:r/>
      <w:bookmarkEnd w:id="104"/>
      <w:r/>
      <w:r/>
    </w:p>
    <w:p>
      <w:pPr>
        <w:pStyle w:val="852"/>
        <w:ind w:firstLine="420"/>
        <w:jc w:val="both"/>
        <w:keepLines/>
        <w:keepNext/>
        <w:spacing w:beforeAutospacing="0" w:afterAutospacing="0" w:line="360" w:lineRule="auto"/>
        <w:rPr>
          <w:rFonts w:ascii="宋体" w:hAnsi="宋体" w:eastAsia="宋体" w:cs="宋体"/>
          <w:color w:val="auto"/>
        </w:rPr>
      </w:pPr>
      <w:r/>
      <w:bookmarkStart w:id="107" w:name="_Toc20823297"/>
      <w:r/>
      <w:bookmarkStart w:id="108" w:name="_Toc513029225"/>
      <w:r/>
      <w:bookmarkStart w:id="109" w:name="_Toc16938541"/>
      <w:r/>
      <w:bookmarkStart w:id="110" w:name="_Toc462564084"/>
      <w:r>
        <w:rPr>
          <w:rFonts w:hint="eastAsia" w:ascii="宋体" w:hAnsi="宋体" w:eastAsia="宋体" w:cs="宋体"/>
          <w:color w:val="auto"/>
        </w:rPr>
        <w:t xml:space="preserve">18、电子投标文件</w:t>
      </w:r>
      <w:bookmarkEnd w:id="107"/>
      <w:r/>
      <w:bookmarkEnd w:id="108"/>
      <w:r/>
      <w:bookmarkEnd w:id="109"/>
      <w:r/>
      <w:bookmarkEnd w:id="110"/>
      <w:r>
        <w:rPr>
          <w:rFonts w:hint="eastAsia" w:ascii="宋体" w:hAnsi="宋体" w:eastAsia="宋体" w:cs="宋体"/>
          <w:color w:val="auto"/>
        </w:rPr>
        <w:t xml:space="preserve">的递交</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文件。</w:t>
      </w:r>
      <w:bookmarkStart w:id="111" w:name="_Toc20823298"/>
      <w:r/>
      <w:bookmarkEnd w:id="111"/>
      <w:r/>
      <w:bookmarkStart w:id="112" w:name="_Toc16938542"/>
      <w:r/>
      <w:bookmarkEnd w:id="112"/>
      <w:r/>
      <w:bookmarkStart w:id="113" w:name="_Toc513029226"/>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19、投标截止日期</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19.2 代理机构可以按照规定，通过修改招标文件酌情延长投标截止日期，在此情况下，投标人的所有权利和义务以及投标人受制的截止日期均应以延长后新的截止日期为准。</w:t>
      </w:r>
      <w:r/>
    </w:p>
    <w:p>
      <w:pPr>
        <w:pStyle w:val="852"/>
        <w:ind w:firstLine="420"/>
        <w:jc w:val="both"/>
        <w:keepLines/>
        <w:keepNext/>
        <w:spacing w:beforeAutospacing="0" w:afterAutospacing="0" w:line="360" w:lineRule="auto"/>
        <w:rPr>
          <w:rFonts w:ascii="宋体" w:hAnsi="宋体" w:eastAsia="宋体" w:cs="宋体"/>
          <w:color w:val="auto"/>
        </w:rPr>
      </w:pPr>
      <w:r/>
      <w:bookmarkStart w:id="114" w:name="_Toc16938543"/>
      <w:r/>
      <w:bookmarkStart w:id="115" w:name="_Toc20823299"/>
      <w:r/>
      <w:bookmarkStart w:id="116" w:name="_Toc513029227"/>
      <w:r>
        <w:rPr>
          <w:rFonts w:hint="eastAsia" w:ascii="宋体" w:hAnsi="宋体" w:eastAsia="宋体" w:cs="宋体"/>
          <w:color w:val="auto"/>
        </w:rPr>
        <w:t xml:space="preserve">20、投标文件</w:t>
      </w:r>
      <w:bookmarkEnd w:id="114"/>
      <w:r/>
      <w:bookmarkEnd w:id="115"/>
      <w:r/>
      <w:bookmarkEnd w:id="116"/>
      <w:r>
        <w:rPr>
          <w:rFonts w:hint="eastAsia" w:ascii="宋体" w:hAnsi="宋体" w:eastAsia="宋体" w:cs="宋体"/>
          <w:color w:val="auto"/>
        </w:rPr>
        <w:t xml:space="preserve">的拒收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20.1 代理机构拒绝接收在其规定的投标截止时间后上传的任何投标文件。</w:t>
      </w:r>
      <w:r/>
    </w:p>
    <w:p>
      <w:pPr>
        <w:pStyle w:val="852"/>
        <w:ind w:firstLine="420"/>
        <w:jc w:val="both"/>
        <w:keepLines/>
        <w:keepNext/>
        <w:spacing w:beforeAutospacing="0" w:afterAutospacing="0" w:line="360" w:lineRule="auto"/>
        <w:rPr>
          <w:rFonts w:ascii="宋体" w:hAnsi="宋体" w:eastAsia="宋体" w:cs="宋体"/>
          <w:color w:val="auto"/>
        </w:rPr>
      </w:pPr>
      <w:r/>
      <w:bookmarkStart w:id="117" w:name="_Toc513029228"/>
      <w:r/>
      <w:bookmarkStart w:id="118" w:name="_Toc20823300"/>
      <w:r/>
      <w:bookmarkStart w:id="119" w:name="_Toc16938544"/>
      <w:r>
        <w:rPr>
          <w:rFonts w:hint="eastAsia" w:ascii="宋体" w:hAnsi="宋体" w:eastAsia="宋体" w:cs="宋体"/>
          <w:color w:val="auto"/>
        </w:rPr>
        <w:t xml:space="preserve">21、投标文件的撤回和修改</w:t>
      </w:r>
      <w:bookmarkEnd w:id="117"/>
      <w:r/>
      <w:bookmarkEnd w:id="118"/>
      <w:r/>
      <w:bookmarkEnd w:id="119"/>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 投标文件的撤回</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21.1.1 电子投标文件的撤回</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 投标文件的修改</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852"/>
        <w:ind w:firstLine="482"/>
        <w:jc w:val="both"/>
        <w:keepLines/>
        <w:keepNext/>
        <w:spacing w:beforeAutospacing="0" w:afterAutospacing="0" w:line="360" w:lineRule="auto"/>
        <w:rPr>
          <w:rFonts w:ascii="宋体" w:hAnsi="宋体" w:eastAsia="宋体" w:cs="宋体"/>
          <w:color w:val="auto"/>
        </w:rPr>
      </w:pPr>
      <w:r/>
      <w:bookmarkStart w:id="120" w:name="_Toc120614218"/>
      <w:r/>
      <w:bookmarkStart w:id="121" w:name="_Toc20823301"/>
      <w:r/>
      <w:bookmarkStart w:id="122" w:name="_Toc513029229"/>
      <w:r/>
      <w:bookmarkStart w:id="123" w:name="_Toc16938545"/>
      <w:r>
        <w:rPr>
          <w:rFonts w:hint="eastAsia" w:ascii="宋体" w:hAnsi="宋体" w:eastAsia="宋体" w:cs="宋体"/>
          <w:b/>
          <w:color w:val="auto"/>
        </w:rPr>
        <w:t xml:space="preserve">五、开标与评标</w:t>
      </w:r>
      <w:bookmarkEnd w:id="120"/>
      <w:r/>
      <w:bookmarkEnd w:id="121"/>
      <w:r/>
      <w:bookmarkEnd w:id="122"/>
      <w:r/>
      <w:bookmarkEnd w:id="123"/>
      <w:r/>
      <w:r/>
    </w:p>
    <w:p>
      <w:pPr>
        <w:pStyle w:val="852"/>
        <w:ind w:firstLine="420"/>
        <w:jc w:val="both"/>
        <w:keepLines/>
        <w:keepNext/>
        <w:spacing w:beforeAutospacing="0" w:afterAutospacing="0" w:line="360" w:lineRule="auto"/>
        <w:rPr>
          <w:rFonts w:ascii="宋体" w:hAnsi="宋体" w:eastAsia="宋体" w:cs="宋体"/>
          <w:color w:val="auto"/>
        </w:rPr>
      </w:pPr>
      <w:r/>
      <w:bookmarkStart w:id="124" w:name="_Toc16938546"/>
      <w:r/>
      <w:bookmarkStart w:id="125" w:name="_Toc20823302"/>
      <w:r/>
      <w:bookmarkStart w:id="126" w:name="_Toc513029230"/>
      <w:r>
        <w:rPr>
          <w:rFonts w:hint="eastAsia" w:ascii="宋体" w:hAnsi="宋体" w:eastAsia="宋体" w:cs="宋体"/>
          <w:color w:val="auto"/>
        </w:rPr>
        <w:t xml:space="preserve">22、开标</w:t>
      </w:r>
      <w:bookmarkEnd w:id="124"/>
      <w:r/>
      <w:bookmarkEnd w:id="125"/>
      <w:r/>
      <w:bookmarkEnd w:id="126"/>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22.1 代理机构将在招标公告中规定的时间和地点组织公开开标。投标人应当按照《操作手册》规定，参加开标活动和在苏采云系统规定的时间内对投标文件进行解密。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22.2开标仪式由代理机构组织。苏采云系统将自动对项目进行开标，并宣布各投标人名称和投标价格。</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852"/>
        <w:ind w:firstLine="420"/>
        <w:jc w:val="both"/>
        <w:keepLines/>
        <w:keepNext/>
        <w:spacing w:beforeAutospacing="0" w:afterAutospacing="0" w:line="360" w:lineRule="auto"/>
        <w:rPr>
          <w:rFonts w:ascii="宋体" w:hAnsi="宋体" w:eastAsia="宋体" w:cs="宋体"/>
          <w:color w:val="auto"/>
        </w:rPr>
      </w:pPr>
      <w:r/>
      <w:bookmarkStart w:id="127" w:name="_Toc513029231"/>
      <w:r/>
      <w:bookmarkStart w:id="128" w:name="_Toc20823303"/>
      <w:r/>
      <w:bookmarkStart w:id="129" w:name="_Toc16938547"/>
      <w:r>
        <w:rPr>
          <w:rFonts w:hint="eastAsia" w:ascii="宋体" w:hAnsi="宋体" w:eastAsia="宋体" w:cs="宋体"/>
          <w:color w:val="auto"/>
        </w:rPr>
        <w:t xml:space="preserve">23、评标委员会</w:t>
      </w:r>
      <w:bookmarkEnd w:id="127"/>
      <w:r/>
      <w:bookmarkEnd w:id="128"/>
      <w:r/>
      <w:bookmarkEnd w:id="129"/>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开标后，代理机构将立即组织评标委员会（以下简称评委会）进行评标。</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24．评标过程的保密与公正</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24.1凡是与审查、澄清、评价和比较投标的有关资料以及授标建议等，采购人、评委、代理机构均不得向投标人或与评标无关的其他人员透露。</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24.3 代理机构和评标委员会不向未中标的投标人解释未中标原因，也不公布评标过程中的相关细节。</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852"/>
        <w:ind w:firstLine="420"/>
        <w:jc w:val="both"/>
        <w:keepLines/>
        <w:keepNext/>
        <w:spacing w:beforeAutospacing="0" w:afterAutospacing="0" w:line="360" w:lineRule="auto"/>
        <w:rPr>
          <w:rFonts w:ascii="宋体" w:hAnsi="宋体" w:eastAsia="宋体" w:cs="宋体"/>
          <w:color w:val="auto"/>
        </w:rPr>
      </w:pPr>
      <w:r/>
      <w:bookmarkStart w:id="130" w:name="_Toc16938548"/>
      <w:r/>
      <w:bookmarkStart w:id="131" w:name="_Toc513029232"/>
      <w:r/>
      <w:bookmarkStart w:id="132" w:name="_Toc20823304"/>
      <w:r>
        <w:rPr>
          <w:rFonts w:hint="eastAsia" w:ascii="宋体" w:hAnsi="宋体" w:eastAsia="宋体" w:cs="宋体"/>
          <w:color w:val="auto"/>
        </w:rPr>
        <w:t xml:space="preserve">25．投标文件的澄清</w:t>
      </w:r>
      <w:bookmarkEnd w:id="130"/>
      <w:r/>
      <w:bookmarkEnd w:id="131"/>
      <w:r/>
      <w:bookmarkEnd w:id="132"/>
      <w:r/>
      <w:r/>
    </w:p>
    <w:p>
      <w:pPr>
        <w:pStyle w:val="852"/>
        <w:ind w:firstLine="480"/>
        <w:jc w:val="both"/>
        <w:spacing w:beforeAutospacing="0" w:afterAutospacing="0" w:line="360" w:lineRule="auto"/>
        <w:rPr>
          <w:rFonts w:ascii="宋体" w:hAnsi="宋体" w:eastAsia="宋体" w:cs="宋体"/>
          <w:color w:val="auto"/>
        </w:rPr>
      </w:pPr>
      <w:r/>
      <w:bookmarkStart w:id="133" w:name="_Toc20823305"/>
      <w:r/>
      <w:bookmarkStart w:id="134" w:name="_Toc16938549"/>
      <w:r/>
      <w:bookmarkStart w:id="135" w:name="_Toc513029233"/>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接到评委会澄清、说明和补正要求的投标人如未按规定作出澄清、说明和补正，其风险由投标人自行承担。</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26、对投标文件的初审</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52"/>
        <w:ind w:firstLine="480"/>
        <w:jc w:val="both"/>
        <w:spacing w:beforeAutospacing="0" w:afterAutospacing="0" w:line="360" w:lineRule="auto"/>
        <w:rPr>
          <w:rFonts w:ascii="宋体" w:hAnsi="宋体" w:eastAsia="宋体" w:cs="宋体"/>
          <w:color w:val="auto"/>
        </w:rPr>
      </w:pPr>
      <w:r/>
      <w:bookmarkStart w:id="136" w:name="_Toc20823306"/>
      <w:r/>
      <w:bookmarkStart w:id="137" w:name="_Toc16938550"/>
      <w:r/>
      <w:bookmarkStart w:id="138" w:name="_Toc513029234"/>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2"/>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852"/>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26.7投标人在开、评标全过程中应保持通信畅通，及时登录苏采云系统查阅、答复相关信息，并安排专人与代理机构及评标委员会联系。</w:t>
      </w:r>
      <w:r/>
    </w:p>
    <w:p>
      <w:pPr>
        <w:pStyle w:val="852"/>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852"/>
        <w:jc w:val="both"/>
        <w:spacing w:beforeAutospacing="0" w:afterAutospacing="0" w:line="360" w:lineRule="auto"/>
        <w:rPr>
          <w:rFonts w:ascii="宋体" w:hAnsi="宋体" w:eastAsia="宋体" w:cs="宋体"/>
          <w:color w:val="auto"/>
        </w:rPr>
      </w:pPr>
      <w:r/>
      <w:bookmarkStart w:id="139" w:name="_Toc20823307"/>
      <w:r/>
      <w:bookmarkStart w:id="140" w:name="_Toc16938551"/>
      <w:r/>
      <w:bookmarkStart w:id="141" w:name="_Toc513029235"/>
      <w:r>
        <w:rPr>
          <w:rFonts w:hint="eastAsia" w:ascii="宋体" w:hAnsi="宋体" w:eastAsia="宋体" w:cs="宋体"/>
          <w:color w:val="auto"/>
        </w:rPr>
        <w:t xml:space="preserve">27.1无效投标条款</w:t>
      </w:r>
      <w:bookmarkEnd w:id="139"/>
      <w:r/>
      <w:bookmarkEnd w:id="140"/>
      <w:r/>
      <w:bookmarkEnd w:id="141"/>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27.1.6未通过符合性审查的。</w:t>
      </w:r>
      <w:r/>
    </w:p>
    <w:p>
      <w:pPr>
        <w:pStyle w:val="852"/>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27.1.10投标人不能证明其报价合理性的，评标委员会应当将其作为无效投标处理。</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3.投标（响应）报价低于采购项目最高限价45%的，即投标（响应）报价&lt;采购项目最高限价×45%；</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852"/>
        <w:ind w:firstLine="480"/>
        <w:jc w:val="both"/>
        <w:spacing w:beforeAutospacing="0" w:afterAutospacing="0" w:line="360" w:lineRule="auto"/>
        <w:rPr>
          <w:rFonts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2"/>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27.2废标条款</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27.2.1符合专业条件的供应商或者对招标文件作实质响应的供应商不足三家的。27.2.2出现影响采购公正的违法、违规行为的。</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852"/>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852"/>
        <w:ind w:firstLine="482"/>
        <w:jc w:val="both"/>
        <w:keepLines/>
        <w:keepNext/>
        <w:spacing w:beforeAutospacing="0" w:afterAutospacing="0" w:line="360" w:lineRule="auto"/>
        <w:rPr>
          <w:rFonts w:ascii="宋体" w:hAnsi="宋体" w:eastAsia="宋体" w:cs="宋体"/>
          <w:color w:val="auto"/>
        </w:rPr>
      </w:pPr>
      <w:r/>
      <w:bookmarkStart w:id="142" w:name="_Toc120614219"/>
      <w:r>
        <w:rPr>
          <w:rFonts w:hint="eastAsia" w:ascii="宋体" w:hAnsi="宋体" w:eastAsia="宋体" w:cs="宋体"/>
          <w:b/>
          <w:color w:val="auto"/>
        </w:rPr>
        <w:t xml:space="preserve">六、定标</w:t>
      </w:r>
      <w:bookmarkEnd w:id="142"/>
      <w:r/>
      <w:r/>
    </w:p>
    <w:p>
      <w:pPr>
        <w:pStyle w:val="852"/>
        <w:ind w:firstLine="600"/>
        <w:jc w:val="both"/>
        <w:keepLines/>
        <w:keepNext/>
        <w:spacing w:beforeAutospacing="0" w:afterAutospacing="0" w:line="360" w:lineRule="auto"/>
        <w:rPr>
          <w:rFonts w:ascii="宋体" w:hAnsi="宋体" w:eastAsia="宋体" w:cs="宋体"/>
          <w:color w:val="auto"/>
        </w:rPr>
      </w:pPr>
      <w:r/>
      <w:bookmarkStart w:id="143" w:name="_Toc20823310"/>
      <w:r/>
      <w:bookmarkStart w:id="144" w:name="_Toc513029238"/>
      <w:r/>
      <w:bookmarkStart w:id="145" w:name="_Toc16938554"/>
      <w:r>
        <w:rPr>
          <w:rFonts w:hint="eastAsia" w:ascii="宋体" w:hAnsi="宋体" w:eastAsia="宋体" w:cs="宋体"/>
          <w:color w:val="auto"/>
        </w:rPr>
        <w:t xml:space="preserve">28、</w:t>
      </w:r>
      <w:bookmarkEnd w:id="143"/>
      <w:r>
        <w:rPr>
          <w:rFonts w:hint="eastAsia" w:ascii="宋体" w:hAnsi="宋体" w:eastAsia="宋体" w:cs="宋体"/>
          <w:color w:val="auto"/>
        </w:rPr>
        <w:t xml:space="preserve">确定</w:t>
      </w:r>
      <w:bookmarkEnd w:id="144"/>
      <w:r/>
      <w:bookmarkEnd w:id="145"/>
      <w:r>
        <w:rPr>
          <w:rFonts w:hint="eastAsia" w:ascii="宋体" w:hAnsi="宋体" w:eastAsia="宋体" w:cs="宋体"/>
          <w:color w:val="auto"/>
        </w:rPr>
        <w:t xml:space="preserve">中标单位</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28.3 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28.4.2向采购人、代理机构行贿或者提供其他不正当利益的。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852"/>
        <w:ind w:firstLine="480"/>
        <w:jc w:val="both"/>
        <w:spacing w:beforeAutospacing="0" w:afterAutospacing="0" w:line="360" w:lineRule="auto"/>
        <w:rPr>
          <w:rFonts w:ascii="宋体" w:hAnsi="宋体" w:eastAsia="宋体" w:cs="宋体"/>
          <w:color w:val="auto"/>
        </w:rPr>
      </w:pPr>
      <w:r/>
      <w:bookmarkStart w:id="146" w:name="_Toc200451960"/>
      <w:r>
        <w:rPr>
          <w:rFonts w:hint="eastAsia" w:ascii="宋体" w:hAnsi="宋体" w:eastAsia="宋体" w:cs="宋体"/>
          <w:color w:val="auto"/>
        </w:rPr>
        <w:t xml:space="preserve">28.5. 有下列情形之一的，视为投标人串通投标，投标无效：</w:t>
      </w:r>
      <w:bookmarkEnd w:id="146"/>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852"/>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29、质疑处理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852"/>
        <w:ind w:firstLine="468"/>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2"/>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30、中标通知书</w:t>
      </w:r>
      <w:r/>
    </w:p>
    <w:p>
      <w:pPr>
        <w:pStyle w:val="852"/>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2"/>
        <w:jc w:val="both"/>
        <w:keepLines/>
        <w:keepNext/>
        <w:spacing w:beforeAutospacing="0" w:afterAutospacing="0" w:line="360" w:lineRule="auto"/>
        <w:rPr>
          <w:rFonts w:ascii="宋体" w:hAnsi="宋体" w:eastAsia="宋体" w:cs="宋体"/>
          <w:color w:val="auto"/>
        </w:rPr>
      </w:pPr>
      <w:r/>
      <w:bookmarkStart w:id="147" w:name="_Toc513029236"/>
      <w:r/>
      <w:bookmarkStart w:id="148" w:name="_Toc120614220"/>
      <w:r/>
      <w:bookmarkStart w:id="149" w:name="_Toc16938552"/>
      <w:r/>
      <w:bookmarkStart w:id="150" w:name="_Toc20823308"/>
      <w:r>
        <w:rPr>
          <w:rFonts w:hint="eastAsia" w:ascii="宋体" w:hAnsi="宋体" w:eastAsia="宋体" w:cs="宋体"/>
          <w:b/>
          <w:color w:val="auto"/>
        </w:rPr>
        <w:t xml:space="preserve">七、授予合同</w:t>
      </w:r>
      <w:bookmarkEnd w:id="147"/>
      <w:r/>
      <w:bookmarkEnd w:id="148"/>
      <w:r/>
      <w:bookmarkEnd w:id="149"/>
      <w:r/>
      <w:bookmarkEnd w:id="150"/>
      <w:r/>
      <w:r/>
    </w:p>
    <w:p>
      <w:pPr>
        <w:pStyle w:val="852"/>
        <w:ind w:firstLine="600"/>
        <w:jc w:val="both"/>
        <w:keepLines/>
        <w:keepNext/>
        <w:spacing w:beforeAutospacing="0" w:afterAutospacing="0" w:line="360" w:lineRule="auto"/>
        <w:rPr>
          <w:rFonts w:ascii="宋体" w:hAnsi="宋体" w:eastAsia="宋体" w:cs="宋体"/>
          <w:color w:val="auto"/>
        </w:rPr>
      </w:pPr>
      <w:r/>
      <w:bookmarkStart w:id="151" w:name="_Toc513029237"/>
      <w:r/>
      <w:bookmarkStart w:id="152" w:name="_Toc20823309"/>
      <w:r/>
      <w:bookmarkStart w:id="153" w:name="_Toc16938553"/>
      <w:r>
        <w:rPr>
          <w:rFonts w:hint="eastAsia" w:ascii="宋体" w:hAnsi="宋体" w:eastAsia="宋体" w:cs="宋体"/>
          <w:color w:val="auto"/>
        </w:rPr>
        <w:t xml:space="preserve">31. 签订合同</w:t>
      </w:r>
      <w:bookmarkEnd w:id="151"/>
      <w:r/>
      <w:bookmarkEnd w:id="152"/>
      <w:r/>
      <w:bookmarkEnd w:id="153"/>
      <w:r/>
      <w:r/>
    </w:p>
    <w:p>
      <w:pPr>
        <w:pStyle w:val="852"/>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852"/>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852"/>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852"/>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33.政府采购政策功能落实</w:t>
      </w:r>
      <w:r/>
    </w:p>
    <w:p>
      <w:pPr>
        <w:pStyle w:val="852"/>
        <w:ind w:firstLine="48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852"/>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33.4.1</w:t>
      </w:r>
      <w:r>
        <w:rPr>
          <w:rFonts w:hint="eastAsia" w:ascii="宋体" w:hAnsi="宋体" w:eastAsia="宋体" w:cs="宋体"/>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33.4.2</w:t>
      </w:r>
      <w:r>
        <w:rPr>
          <w:rFonts w:hint="eastAsia" w:ascii="宋体" w:hAnsi="宋体" w:eastAsia="宋体" w:cs="宋体"/>
          <w:color w:val="auto"/>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78"/>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rPr>
          <w:rFonts w:hint="eastAsia" w:ascii="宋体" w:hAnsi="宋体" w:eastAsia="宋体" w:cs="宋体"/>
          <w:color w:val="auto"/>
          <w:sz w:val="24"/>
        </w:rPr>
        <w:t xml:space="preserve">。</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33.8实施本国产品标准及相关政策</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33.9履约保证金政策</w:t>
      </w:r>
      <w:r/>
    </w:p>
    <w:p>
      <w:pPr>
        <w:pStyle w:val="867"/>
        <w:ind w:left="0" w:firstLine="560"/>
        <w:spacing w:after="0" w:line="360" w:lineRule="auto"/>
        <w:rPr>
          <w:rFonts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b/>
          <w:bCs/>
          <w:color w:val="auto"/>
          <w:sz w:val="24"/>
        </w:rPr>
        <w:t xml:space="preserve">降低履约保证金缴纳比例为</w:t>
      </w:r>
      <w:r>
        <w:rPr>
          <w:rFonts w:hint="eastAsia" w:ascii="宋体" w:hAnsi="宋体" w:cs="宋体"/>
          <w:b/>
          <w:bCs/>
          <w:color w:val="auto"/>
          <w:sz w:val="24"/>
          <w:u w:val="single"/>
        </w:rPr>
        <w:t xml:space="preserve">5%</w:t>
      </w:r>
      <w:r>
        <w:rPr>
          <w:rFonts w:hint="eastAsia" w:ascii="宋体" w:hAnsi="宋体" w:eastAsia="宋体" w:cs="宋体"/>
          <w:color w:val="auto"/>
          <w:sz w:val="24"/>
        </w:rPr>
        <w:t xml:space="preserve">。</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本项目落实预付款制度，预付款比例为_</w:t>
      </w:r>
      <w:r>
        <w:rPr>
          <w:rFonts w:ascii="宋体" w:hAnsi="宋体" w:eastAsia="宋体" w:cs="宋体"/>
          <w:color w:val="auto"/>
          <w:sz w:val="24"/>
          <w:u w:val="single"/>
        </w:rPr>
        <w:t xml:space="preserve">30</w:t>
      </w:r>
      <w:r>
        <w:rPr>
          <w:rFonts w:hint="eastAsia" w:ascii="宋体" w:hAnsi="宋体" w:eastAsia="宋体" w:cs="宋体"/>
          <w:color w:val="auto"/>
          <w:sz w:val="24"/>
        </w:rPr>
        <w:t xml:space="preserve">_%（原则上不低于合同金额的30%）。在签订合同时，中标、成交供应商明确书面表示无需预付款或者主动要求降低预付款比例的，采购人可就预付款比例作相应调整。</w:t>
      </w:r>
      <w:r/>
    </w:p>
    <w:p>
      <w:pPr>
        <w:pStyle w:val="867"/>
        <w:ind w:left="0" w:firstLine="560"/>
        <w:spacing w:after="0" w:line="520" w:lineRule="exact"/>
        <w:rPr>
          <w:rFonts w:ascii="宋体" w:hAnsi="宋体" w:eastAsia="宋体" w:cs="宋体"/>
          <w:color w:val="auto"/>
          <w:sz w:val="24"/>
        </w:rPr>
      </w:pPr>
      <w:r>
        <w:rPr>
          <w:rFonts w:ascii="宋体" w:hAnsi="宋体" w:eastAsia="宋体" w:cs="宋体"/>
          <w:color w:val="auto"/>
          <w:sz w:val="24"/>
        </w:rPr>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line="0" w:lineRule="atLeast"/>
        <w:rPr>
          <w:color w:val="auto"/>
        </w:rPr>
      </w:pPr>
      <w:r>
        <w:rPr>
          <w:color w:val="auto"/>
        </w:rPr>
        <w:t xml:space="preserve"> </w:t>
      </w:r>
      <w:r/>
    </w:p>
    <w:p>
      <w:pPr>
        <w:pStyle w:val="852"/>
        <w:jc w:val="both"/>
        <w:spacing w:beforeAutospacing="0" w:afterAutospacing="0" w:line="0" w:lineRule="atLeast"/>
        <w:rPr>
          <w:color w:val="auto"/>
        </w:rPr>
      </w:pPr>
      <w:r>
        <w:rPr>
          <w:color w:val="auto"/>
        </w:rPr>
        <w:t xml:space="preserve"> </w:t>
      </w:r>
      <w:r/>
    </w:p>
    <w:p>
      <w:pPr>
        <w:pStyle w:val="852"/>
        <w:jc w:val="both"/>
        <w:spacing w:beforeAutospacing="0" w:afterAutospacing="0" w:line="0" w:lineRule="atLeast"/>
        <w:rPr>
          <w:color w:val="auto"/>
        </w:rPr>
      </w:pPr>
      <w:r>
        <w:rPr>
          <w:color w:val="auto"/>
        </w:rPr>
        <w:t xml:space="preserve"> </w:t>
      </w:r>
      <w:r/>
    </w:p>
    <w:p>
      <w:pPr>
        <w:jc w:val="center"/>
        <w:spacing w:line="360" w:lineRule="auto"/>
        <w:widowControl/>
        <w:rPr>
          <w:color w:val="auto"/>
          <w:sz w:val="36"/>
          <w:szCs w:val="44"/>
        </w:rPr>
      </w:pPr>
      <w:r>
        <w:rPr>
          <w:color w:val="auto"/>
          <w:sz w:val="36"/>
          <w:szCs w:val="44"/>
        </w:rPr>
        <w:t xml:space="preserve"> </w:t>
      </w:r>
      <w:bookmarkStart w:id="154" w:name="_Toc479757211"/>
      <w:r/>
      <w:bookmarkStart w:id="155" w:name="_Toc16938590"/>
      <w:r/>
      <w:bookmarkStart w:id="156" w:name="_Toc120614244"/>
      <w:r/>
      <w:bookmarkStart w:id="157" w:name="_Hlt16619350"/>
      <w:r/>
      <w:bookmarkStart w:id="158" w:name="_Toc20823346"/>
      <w:r/>
      <w:bookmarkStart w:id="159" w:name="_Toc462564139"/>
      <w:r/>
      <w:bookmarkStart w:id="160" w:name="_Hlt16619369"/>
      <w:r/>
      <w:r/>
    </w:p>
    <w:p>
      <w:pPr>
        <w:rPr>
          <w:color w:val="auto"/>
          <w:sz w:val="36"/>
          <w:szCs w:val="44"/>
        </w:rPr>
      </w:pPr>
      <w:r>
        <w:rPr>
          <w:color w:val="auto"/>
          <w:sz w:val="36"/>
          <w:szCs w:val="44"/>
        </w:rPr>
        <w:br w:type="page" w:clear="all"/>
      </w:r>
      <w:r/>
    </w:p>
    <w:p>
      <w:pPr>
        <w:pStyle w:val="871"/>
        <w:rPr>
          <w:color w:val="auto"/>
        </w:rPr>
      </w:pPr>
      <w:r/>
      <w:bookmarkStart w:id="161" w:name="_Toc234256915"/>
      <w:r>
        <w:rPr>
          <w:rFonts w:hint="eastAsia"/>
          <w:color w:val="auto"/>
        </w:rPr>
        <w:t xml:space="preserve">第三章  合同条款</w:t>
      </w:r>
      <w:bookmarkEnd w:id="161"/>
      <w:r/>
      <w:r/>
    </w:p>
    <w:p>
      <w:pPr>
        <w:rPr>
          <w:rFonts w:ascii="宋体" w:hAnsi="宋体" w:cs="宋体"/>
          <w:color w:val="auto"/>
        </w:rPr>
      </w:pPr>
      <w:r/>
      <w:bookmarkStart w:id="162" w:name="EB6d2006462e294de090c16e672cecc3bd"/>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color w:val="auto"/>
          <w:sz w:val="30"/>
          <w:szCs w:val="20"/>
        </w:rPr>
        <w:outlineLvl w:val="0"/>
      </w:pPr>
      <w:r>
        <w:rPr>
          <w:rFonts w:hint="eastAsia" w:ascii="宋体" w:hAnsi="宋体" w:eastAsia="宋体" w:cs="Times New Roman"/>
          <w:b/>
          <w:color w:val="auto"/>
          <w:sz w:val="30"/>
          <w:szCs w:val="21"/>
        </w:rPr>
        <w:t xml:space="preserve">政府采购合同</w:t>
      </w:r>
      <w:r/>
    </w:p>
    <w:p>
      <w:pPr>
        <w:ind w:firstLine="480"/>
        <w:spacing w:line="500" w:lineRule="exact"/>
        <w:rPr>
          <w:rFonts w:ascii="宋体" w:hAnsi="Times New Roman" w:eastAsia="宋体" w:cs="Times New Roman"/>
          <w:bCs/>
          <w:color w:val="auto"/>
          <w:sz w:val="24"/>
        </w:rPr>
      </w:pPr>
      <w:r>
        <w:rPr>
          <w:rFonts w:hint="eastAsia" w:ascii="宋体" w:hAnsi="宋体" w:eastAsia="宋体" w:cs="Times New Roman"/>
          <w:bCs/>
          <w:color w:val="auto"/>
          <w:sz w:val="24"/>
          <w:szCs w:val="21"/>
        </w:rPr>
        <w:t xml:space="preserve">项目编号：</w:t>
      </w:r>
      <w:r>
        <w:rPr>
          <w:rFonts w:ascii="宋体" w:hAnsi="宋体" w:eastAsia="宋体" w:cs="Times New Roman"/>
          <w:bCs/>
          <w:color w:val="auto"/>
          <w:sz w:val="24"/>
          <w:szCs w:val="21"/>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项目名称：江苏省盐城技师学院数字媒体、人工智能产业学院建设项目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甲方：（</w:t>
      </w:r>
      <w:r>
        <w:rPr>
          <w:rFonts w:hint="eastAsia" w:ascii="宋体" w:hAnsi="宋体" w:eastAsia="宋体" w:cs="宋体"/>
          <w:bCs/>
          <w:color w:val="auto"/>
          <w:sz w:val="24"/>
        </w:rPr>
        <w:t xml:space="preserve">委托方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u w:val="single"/>
        </w:rPr>
      </w:pPr>
      <w:r>
        <w:rPr>
          <w:rFonts w:hint="eastAsia" w:ascii="宋体" w:hAnsi="宋体" w:eastAsia="宋体" w:cs="Times New Roman"/>
          <w:bCs/>
          <w:color w:val="auto"/>
          <w:sz w:val="24"/>
          <w:szCs w:val="21"/>
        </w:rPr>
        <w:t xml:space="preserve">乙方：（</w:t>
      </w:r>
      <w:r>
        <w:rPr>
          <w:rFonts w:hint="eastAsia" w:ascii="宋体" w:hAnsi="宋体" w:eastAsia="宋体" w:cs="宋体"/>
          <w:bCs/>
          <w:color w:val="auto"/>
          <w:sz w:val="24"/>
        </w:rPr>
        <w:t xml:space="preserve">承接方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甲乙双方根据</w:t>
      </w:r>
      <w:r>
        <w:rPr>
          <w:rFonts w:hint="eastAsia" w:ascii="宋体" w:hAnsi="宋体" w:eastAsia="宋体" w:cs="宋体"/>
          <w:color w:val="auto"/>
          <w:sz w:val="24"/>
          <w:u w:val="single"/>
        </w:rPr>
        <w:t xml:space="preserve">江苏省盐城技师学院数字媒体、人工智能产业学院建设项目</w:t>
      </w:r>
      <w:r>
        <w:rPr>
          <w:rFonts w:hint="eastAsia" w:ascii="宋体" w:hAnsi="宋体" w:eastAsia="宋体" w:cs="Times New Roman"/>
          <w:bCs/>
          <w:color w:val="auto"/>
          <w:sz w:val="24"/>
          <w:szCs w:val="21"/>
        </w:rPr>
        <w:t xml:space="preserve">公开招标的结果，签署本合同。</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一、采购标的</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1.1货物名称：</w:t>
      </w:r>
      <w:r>
        <w:rPr>
          <w:rFonts w:hint="eastAsia" w:ascii="宋体" w:hAnsi="宋体" w:eastAsia="宋体" w:cs="Times New Roman"/>
          <w:bCs/>
          <w:color w:val="auto"/>
          <w:sz w:val="24"/>
          <w:szCs w:val="21"/>
        </w:rPr>
        <w:t xml:space="preserve">江苏省盐城技师学院数字媒体、人工智能产业学院建设项目</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1.2型号规格：详按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1.3数量（单位）：详按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二、合同金额</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bCs/>
          <w:color w:val="auto"/>
          <w:sz w:val="24"/>
          <w:szCs w:val="21"/>
        </w:rPr>
        <w:t xml:space="preserve">本合同金额为（大写）：________元（_______________元）人民币或其他币种。</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三、技术资料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3.1乙方应按招标文件规定的时间向甲方提供有关技术资料。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四、知识产权</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五、产权担保</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乙方保证所交付的货物的所有权完全属于乙方且无任何抵押、查封等产权瑕疵。</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lang w:val="zh-CN"/>
        </w:rPr>
        <w:t xml:space="preserve">六、履约保证金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6.1乙方交纳人民币_________元作为本合同的履约保证金。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（备注：</w:t>
      </w:r>
      <w:bookmarkStart w:id="163" w:name="OLE_LINK3"/>
      <w:r>
        <w:rPr>
          <w:rFonts w:hint="eastAsia" w:ascii="宋体" w:hAnsi="宋体" w:eastAsia="宋体" w:cs="Times New Roman"/>
          <w:bCs/>
          <w:color w:val="auto"/>
          <w:sz w:val="24"/>
          <w:szCs w:val="21"/>
          <w:lang w:val="zh-CN"/>
        </w:rPr>
        <w:t xml:space="preserve">履约保证金为</w:t>
      </w:r>
      <w:r>
        <w:rPr>
          <w:rFonts w:hint="eastAsia" w:ascii="宋体" w:hAnsi="宋体" w:eastAsia="宋体" w:cs="Times New Roman"/>
          <w:bCs/>
          <w:color w:val="auto"/>
          <w:sz w:val="24"/>
          <w:szCs w:val="21"/>
        </w:rPr>
        <w:t xml:space="preserve">合同金额的10%，采购人应当对AA评级及以上政府采购供应商（需提供信用管理部门备案的第三方信用报告）降低5%履约保证金缴纳比例。</w:t>
      </w:r>
      <w:bookmarkEnd w:id="163"/>
      <w:r>
        <w:rPr>
          <w:rFonts w:hint="eastAsia" w:ascii="宋体" w:hAnsi="宋体" w:eastAsia="宋体" w:cs="Times New Roman"/>
          <w:bCs/>
          <w:color w:val="auto"/>
          <w:sz w:val="24"/>
          <w:szCs w:val="21"/>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2确需收取履约保证金的，</w:t>
      </w:r>
      <w:r>
        <w:rPr>
          <w:rFonts w:hint="eastAsia" w:ascii="宋体" w:hAnsi="宋体" w:eastAsia="宋体" w:cs="Times New Roman"/>
          <w:bCs/>
          <w:color w:val="auto"/>
          <w:sz w:val="24"/>
          <w:szCs w:val="21"/>
          <w:lang w:val="zh-CN"/>
        </w:rPr>
        <w:t xml:space="preserve">履约保证金的缴纳形式：</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rPr>
        <w:t xml:space="preserve">6.2.1</w:t>
      </w:r>
      <w:r>
        <w:rPr>
          <w:rFonts w:hint="eastAsia" w:ascii="宋体" w:hAnsi="宋体" w:eastAsia="宋体" w:cs="Times New Roman"/>
          <w:bCs/>
          <w:color w:val="auto"/>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3</w:t>
      </w:r>
      <w:r>
        <w:rPr>
          <w:rFonts w:hint="eastAsia" w:ascii="宋体" w:hAnsi="宋体" w:eastAsia="宋体" w:cs="Times New Roman"/>
          <w:bCs/>
          <w:color w:val="auto"/>
          <w:sz w:val="24"/>
          <w:szCs w:val="21"/>
          <w:lang w:val="zh-CN"/>
        </w:rPr>
        <w:t xml:space="preserve">合同履行结束后，甲方应及时退还交纳的履约保证金。</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履约保证金的退还：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.1方式：无息退还至投标人缴纳履约保证金的账户。如为保函，在到期时自行失效。</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.2时间：验收合格且采购人收到发票后30日内。</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.3条件：按合同要求全部履约完成并经采购人验收合格，且采购人收到中标人出具的发票。</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.4不予退还情形：</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（2）中标人不履行与采购人订立的合同的；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（3）中标人所供货物或服务不符合招标文件规定要求的；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（4）中标人采取欺骗、弄虚作假方式投标的或与其它投标人串通投标的；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（5）中标人将合同内容转包、违法分包的；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（6）中标人故意捏造事实或伪造证明材料，进行虚假恶意投诉或反映的。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rPr>
        <w:t xml:space="preserve">七、</w:t>
      </w:r>
      <w:r>
        <w:rPr>
          <w:rFonts w:ascii="宋体" w:hAnsi="宋体" w:eastAsia="宋体" w:cs="Times New Roman"/>
          <w:b/>
          <w:color w:val="auto"/>
          <w:sz w:val="24"/>
          <w:szCs w:val="21"/>
          <w:lang w:val="zh-CN"/>
        </w:rPr>
        <w:t xml:space="preserve">转包或分包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7.1本合同范围的货物，应由乙方直接供应，不得转让他人供应；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7.2 除非得到甲方的书面同意，乙方不得部分分包给他人供应。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7.3如有转让和未经甲方同意的分包行为，甲方有权给予终止合同。</w:t>
      </w:r>
      <w:r/>
    </w:p>
    <w:p>
      <w:pPr>
        <w:ind w:firstLine="482"/>
        <w:spacing w:line="500" w:lineRule="exact"/>
        <w:rPr>
          <w:rFonts w:ascii="Times New Roman" w:hAnsi="Times New Roman" w:eastAsia="宋体" w:cs="Times New Roman"/>
          <w:color w:val="auto"/>
          <w:szCs w:val="21"/>
        </w:rPr>
      </w:pPr>
      <w:r>
        <w:rPr>
          <w:rFonts w:ascii="宋体" w:hAnsi="宋体" w:eastAsia="宋体" w:cs="Times New Roman"/>
          <w:b/>
          <w:color w:val="auto"/>
          <w:sz w:val="24"/>
          <w:szCs w:val="21"/>
          <w:lang w:val="zh-CN"/>
        </w:rPr>
        <w:t xml:space="preserve">八、</w:t>
      </w:r>
      <w:r>
        <w:rPr>
          <w:rFonts w:hint="eastAsia" w:ascii="宋体" w:hAnsi="宋体" w:eastAsia="宋体" w:cs="Times New Roman"/>
          <w:b/>
          <w:color w:val="auto"/>
          <w:sz w:val="24"/>
          <w:szCs w:val="21"/>
        </w:rPr>
        <w:t xml:space="preserve">合同款</w:t>
      </w:r>
      <w:r>
        <w:rPr>
          <w:rFonts w:ascii="宋体" w:hAnsi="宋体" w:eastAsia="宋体" w:cs="Times New Roman"/>
          <w:b/>
          <w:color w:val="auto"/>
          <w:sz w:val="24"/>
          <w:szCs w:val="21"/>
          <w:lang w:val="zh-CN"/>
        </w:rPr>
        <w:t xml:space="preserve">支付</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w:t>
      </w:r>
      <w:r>
        <w:rPr>
          <w:rFonts w:hint="eastAsia" w:ascii="宋体" w:hAnsi="宋体" w:eastAsia="宋体" w:cs="Times New Roman"/>
          <w:bCs/>
          <w:color w:val="auto"/>
          <w:sz w:val="24"/>
          <w:szCs w:val="21"/>
          <w:lang w:val="zh-CN"/>
        </w:rPr>
        <w:t xml:space="preserve">合同款项的支付方式及进度安排：</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.1.1</w:t>
      </w:r>
      <w:r>
        <w:rPr>
          <w:rFonts w:hint="eastAsia" w:ascii="宋体" w:hAnsi="宋体" w:eastAsia="宋体" w:cs="Times New Roman"/>
          <w:bCs/>
          <w:color w:val="auto"/>
          <w:sz w:val="24"/>
          <w:szCs w:val="21"/>
          <w:lang w:val="zh-CN"/>
        </w:rPr>
        <w:t xml:space="preserve">预付款支付时间：自合同签订生效之日起，收到乙方发票10个工作日内，预付款支付比例：</w:t>
      </w:r>
      <w:r>
        <w:rPr>
          <w:rFonts w:hint="eastAsia" w:ascii="宋体" w:hAnsi="宋体" w:eastAsia="宋体" w:cs="Times New Roman"/>
          <w:bCs/>
          <w:color w:val="auto"/>
          <w:sz w:val="24"/>
          <w:szCs w:val="21"/>
          <w:u w:val="single"/>
          <w:lang w:val="zh-CN"/>
        </w:rPr>
        <w:t xml:space="preserve">合同金额的30%</w:t>
      </w:r>
      <w:r>
        <w:rPr>
          <w:rFonts w:hint="eastAsia" w:ascii="宋体" w:hAnsi="宋体" w:eastAsia="宋体" w:cs="Times New Roman"/>
          <w:bCs/>
          <w:color w:val="auto"/>
          <w:sz w:val="24"/>
          <w:szCs w:val="21"/>
          <w:lang w:val="zh-CN"/>
        </w:rPr>
        <w:t xml:space="preserve">。（</w:t>
      </w:r>
      <w:r>
        <w:rPr>
          <w:rFonts w:hint="eastAsia" w:ascii="宋体" w:hAnsi="宋体" w:eastAsia="宋体" w:cs="宋体"/>
          <w:color w:val="auto"/>
          <w:sz w:val="24"/>
        </w:rPr>
        <w:t xml:space="preserve">在签订合同时，供应商明确表示无需预付款或者主动要求降低预付款比例的，采购人可不适用前述规定</w:t>
      </w:r>
      <w:r>
        <w:rPr>
          <w:rFonts w:hint="eastAsia"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.1.2</w:t>
      </w:r>
      <w:r>
        <w:rPr>
          <w:rFonts w:hint="eastAsia" w:ascii="宋体" w:hAnsi="宋体" w:eastAsia="宋体" w:cs="Times New Roman"/>
          <w:bCs/>
          <w:color w:val="auto"/>
          <w:sz w:val="24"/>
          <w:szCs w:val="21"/>
          <w:lang w:val="zh-CN"/>
        </w:rPr>
        <w:t xml:space="preserve">尾款支付时间：产品验收通过,采购人收到发票后10个工作日内，尾款支付比例：</w:t>
      </w:r>
      <w:r>
        <w:rPr>
          <w:rFonts w:hint="eastAsia" w:ascii="宋体" w:hAnsi="宋体" w:eastAsia="宋体" w:cs="Times New Roman"/>
          <w:bCs/>
          <w:color w:val="auto"/>
          <w:sz w:val="24"/>
          <w:szCs w:val="21"/>
          <w:u w:val="single"/>
          <w:lang w:val="zh-CN"/>
        </w:rPr>
        <w:t xml:space="preserve">合同金额的70%</w:t>
      </w:r>
      <w:r>
        <w:rPr>
          <w:rFonts w:hint="eastAsia" w:ascii="宋体" w:hAnsi="宋体" w:eastAsia="宋体" w:cs="Times New Roman"/>
          <w:bCs/>
          <w:color w:val="auto"/>
          <w:sz w:val="24"/>
          <w:szCs w:val="21"/>
          <w:lang w:val="zh-CN"/>
        </w:rPr>
        <w:t xml:space="preserve">。</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rPr>
        <w:t xml:space="preserve">九</w:t>
      </w:r>
      <w:r>
        <w:rPr>
          <w:rFonts w:ascii="宋体" w:hAnsi="宋体" w:eastAsia="宋体" w:cs="Times New Roman"/>
          <w:b/>
          <w:color w:val="auto"/>
          <w:sz w:val="24"/>
          <w:szCs w:val="21"/>
        </w:rPr>
        <w:t xml:space="preserve">、</w:t>
      </w:r>
      <w:r>
        <w:rPr>
          <w:rFonts w:ascii="宋体" w:hAnsi="宋体" w:eastAsia="宋体" w:cs="Times New Roman"/>
          <w:b/>
          <w:color w:val="auto"/>
          <w:sz w:val="24"/>
          <w:szCs w:val="21"/>
          <w:lang w:val="zh-CN"/>
        </w:rPr>
        <w:t xml:space="preserve">税费</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本合同执行中相关的一切税费均由乙方负担。</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十、质量保证及售后服务</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.1乙方应按招标文件规定的货物性能、技术要求、质量标准向甲方提供未经使用的全新产品。</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.2乙方提供的货物在质保期内因货物本身的质量问题发生故障，乙方应负责免费更换。对达不到技术要求者，根据实际情况，经双方协商，可按以下办法处理：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）更换：由乙方承担所发生的全部费用。</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）贬值处理：由甲乙双方合议定价。</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）退货处理：乙方应退还甲方支付的合同款，同时应承担该货物的直接费用（运输、保险、检验、货款利息及银行手续费等）。</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.3如在使用过程中发生质量问题，乙方在接到甲方通知后在</w:t>
      </w:r>
      <w:r>
        <w:rPr>
          <w:rFonts w:hint="eastAsia" w:ascii="宋体" w:hAnsi="宋体" w:eastAsia="宋体" w:cs="Times New Roman"/>
          <w:bCs/>
          <w:color w:val="auto"/>
          <w:sz w:val="24"/>
          <w:szCs w:val="21"/>
        </w:rPr>
        <w:t xml:space="preserve">24</w:t>
      </w:r>
      <w:r>
        <w:rPr>
          <w:rFonts w:ascii="宋体" w:hAnsi="宋体" w:eastAsia="宋体" w:cs="Times New Roman"/>
          <w:bCs/>
          <w:color w:val="auto"/>
          <w:sz w:val="24"/>
          <w:szCs w:val="21"/>
          <w:lang w:val="zh-CN"/>
        </w:rPr>
        <w:t xml:space="preserve">小时内到达甲方现场。</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.4在质保期内，乙方应对货物出现的质量及安全问题负责处理解决并承担一切费</w:t>
      </w:r>
      <w:r>
        <w:rPr>
          <w:rFonts w:hint="eastAsia" w:ascii="宋体" w:hAnsi="宋体" w:eastAsia="宋体" w:cs="Times New Roman"/>
          <w:bCs/>
          <w:color w:val="auto"/>
          <w:sz w:val="24"/>
          <w:szCs w:val="21"/>
        </w:rPr>
        <w:t xml:space="preserve">用。</w:t>
      </w:r>
      <w:r/>
    </w:p>
    <w:p>
      <w:pPr>
        <w:ind w:firstLine="480"/>
        <w:spacing w:line="500" w:lineRule="exact"/>
        <w:rPr>
          <w:rFonts w:ascii="Times New Roman" w:hAnsi="Times New Roman" w:eastAsia="宋体" w:cs="Times New Roman"/>
          <w:color w:val="auto"/>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.5</w:t>
      </w:r>
      <w:r>
        <w:rPr>
          <w:rFonts w:hint="eastAsia" w:ascii="宋体" w:hAnsi="宋体" w:eastAsia="宋体" w:cs="Times New Roman"/>
          <w:bCs/>
          <w:color w:val="auto"/>
          <w:sz w:val="24"/>
          <w:szCs w:val="21"/>
          <w:lang w:val="zh-CN"/>
        </w:rPr>
        <w:t xml:space="preserve">上述的货物免费保修期为</w:t>
      </w:r>
      <w:r>
        <w:rPr>
          <w:rFonts w:hint="eastAsia" w:ascii="宋体" w:hAnsi="宋体" w:eastAsia="宋体" w:cs="Times New Roman"/>
          <w:bCs/>
          <w:color w:val="auto"/>
          <w:sz w:val="24"/>
          <w:szCs w:val="21"/>
          <w:u w:val="single"/>
        </w:rPr>
        <w:t xml:space="preserve"> 3 </w:t>
      </w:r>
      <w:r>
        <w:rPr>
          <w:rFonts w:hint="eastAsia" w:ascii="宋体" w:hAnsi="宋体" w:eastAsia="宋体" w:cs="Times New Roman"/>
          <w:bCs/>
          <w:color w:val="auto"/>
          <w:sz w:val="24"/>
          <w:szCs w:val="21"/>
          <w:lang w:val="zh-CN"/>
        </w:rPr>
        <w:t xml:space="preserve">年，因人为因素出现的故障不在免费保修范围内。超过保修期的机器设备，终生维修，维修时只收部件成本费。</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一</w:t>
      </w:r>
      <w:r>
        <w:rPr>
          <w:rFonts w:ascii="宋体" w:hAnsi="宋体" w:eastAsia="宋体" w:cs="Times New Roman"/>
          <w:b/>
          <w:color w:val="auto"/>
          <w:sz w:val="24"/>
          <w:szCs w:val="21"/>
          <w:lang w:val="zh-CN"/>
        </w:rPr>
        <w:t xml:space="preserve">、调试和验收</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一）、验收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.2乙方交货前应对产品作出全面检查和对验收文件进行整理，并列出清单，作为甲方收货验收和使用的技术条件依据，检验的结果应随货物交甲方。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.3对技术复杂的货物，甲方可请国家认可的专业检测机构参与初步验收及最终验收，并由其出具质量检测报告。</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.4验收时乙方必须在现场，验收完毕后作出验收结果报告；</w:t>
      </w:r>
      <w:r>
        <w:rPr>
          <w:rFonts w:hint="eastAsia" w:ascii="宋体" w:hAnsi="宋体" w:eastAsia="宋体" w:cs="Times New Roman"/>
          <w:bCs/>
          <w:color w:val="auto"/>
          <w:sz w:val="24"/>
          <w:szCs w:val="21"/>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二）、调试</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.5甲方对乙方提供的货物在使用前进行调试时，乙方需负责安装并培训甲方的使用操作人员，并协助甲方一起调试，直到符合技术要求，甲方才做最终验收。</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二</w:t>
      </w:r>
      <w:r>
        <w:rPr>
          <w:rFonts w:ascii="宋体" w:hAnsi="宋体" w:eastAsia="宋体" w:cs="Times New Roman"/>
          <w:b/>
          <w:color w:val="auto"/>
          <w:sz w:val="24"/>
          <w:szCs w:val="21"/>
          <w:lang w:val="zh-CN"/>
        </w:rPr>
        <w:t xml:space="preserve">、货物包装、发运及运输</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.1乙方应在货物发运前对其进行满足运输距离、防潮、防震、防锈和防破损装卸等要求包装，以保证货物安全运达甲方指定地点。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.2使用说明书、质量检验证明书、随配附件和工具以及清单一并附于货物内。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.3乙方在货物发运手续办理完毕后24小时内或货到甲方48小时前通知甲方，以准备接货。</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.4货物在交付甲方前发生的风险均由乙方负责。</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.5货物在规定的交付期限内由乙方送达甲方指定的地点视为交付，乙方同时需通知甲方货物已送达。</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三</w:t>
      </w:r>
      <w:r>
        <w:rPr>
          <w:rFonts w:ascii="宋体" w:hAnsi="宋体" w:eastAsia="宋体" w:cs="Times New Roman"/>
          <w:b/>
          <w:color w:val="auto"/>
          <w:sz w:val="24"/>
          <w:szCs w:val="21"/>
          <w:lang w:val="zh-CN"/>
        </w:rPr>
        <w:t xml:space="preserve">、违约责任</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.1甲方无正当理由拒收货物的，甲方向乙方偿付拒收货款总值的百分之五违约金。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.2甲方无故逾期验收和办理货款支付手续的，甲方应按逾期付款总额每日万分之五向乙方支付违约金。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.3乙方逾期交付货物的，乙方应按逾期交货总额每日</w:t>
      </w:r>
      <w:r>
        <w:rPr>
          <w:rFonts w:hint="eastAsia" w:ascii="宋体" w:hAnsi="宋体" w:eastAsia="宋体" w:cs="Times New Roman"/>
          <w:bCs/>
          <w:color w:val="auto"/>
          <w:sz w:val="24"/>
          <w:szCs w:val="21"/>
          <w:lang w:val="zh-CN"/>
        </w:rPr>
        <w:t xml:space="preserve">万分之五</w:t>
      </w:r>
      <w:r>
        <w:rPr>
          <w:rFonts w:ascii="宋体" w:hAnsi="宋体" w:eastAsia="宋体" w:cs="Times New Roman"/>
          <w:bCs/>
          <w:color w:val="auto"/>
          <w:sz w:val="24"/>
          <w:szCs w:val="21"/>
          <w:lang w:val="zh-CN"/>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四</w:t>
      </w:r>
      <w:r>
        <w:rPr>
          <w:rFonts w:ascii="宋体" w:hAnsi="宋体" w:eastAsia="宋体" w:cs="Times New Roman"/>
          <w:b/>
          <w:color w:val="auto"/>
          <w:sz w:val="24"/>
          <w:szCs w:val="21"/>
          <w:lang w:val="zh-CN"/>
        </w:rPr>
        <w:t xml:space="preserve">、不可抗力事件处理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.2不可抗力事件发生后，应立即通知对方，并寄送有关权威机构出具的证明。</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.3不可抗力事件延续120天以上，双方应通过友好协商，确定是否继续履行合同。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五</w:t>
      </w:r>
      <w:r>
        <w:rPr>
          <w:rFonts w:ascii="宋体" w:hAnsi="宋体" w:eastAsia="宋体" w:cs="Times New Roman"/>
          <w:b/>
          <w:color w:val="auto"/>
          <w:sz w:val="24"/>
          <w:szCs w:val="21"/>
          <w:lang w:val="zh-CN"/>
        </w:rPr>
        <w:t xml:space="preserve">、诉讼</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双方在执行合同中所发生的一切争议，应通过协商解决。如协商不成，可向合同签订地法院起诉，合同签订地在此约定为盐城市。</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六</w:t>
      </w:r>
      <w:r>
        <w:rPr>
          <w:rFonts w:ascii="宋体" w:hAnsi="宋体" w:eastAsia="宋体" w:cs="Times New Roman"/>
          <w:b/>
          <w:color w:val="auto"/>
          <w:sz w:val="24"/>
          <w:szCs w:val="21"/>
          <w:lang w:val="zh-CN"/>
        </w:rPr>
        <w:t xml:space="preserve">、合同生效及其它</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.1合同经双方法定代表人或授权委托代表人签字并加盖单位公章后生效。</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.2本合同未尽事宜，遵照</w:t>
      </w:r>
      <w:r>
        <w:rPr>
          <w:rFonts w:ascii="宋体" w:hAnsi="宋体" w:eastAsia="宋体" w:cs="Times New Roman"/>
          <w:color w:val="auto"/>
          <w:sz w:val="24"/>
          <w:szCs w:val="21"/>
        </w:rPr>
        <w:t xml:space="preserve">《中华人民共和国民法典》</w:t>
      </w:r>
      <w:r>
        <w:rPr>
          <w:rFonts w:ascii="宋体" w:hAnsi="宋体" w:eastAsia="宋体" w:cs="Times New Roman"/>
          <w:bCs/>
          <w:color w:val="auto"/>
          <w:sz w:val="24"/>
          <w:szCs w:val="21"/>
          <w:lang w:val="zh-CN"/>
        </w:rPr>
        <w:t xml:space="preserve">有关条文执行。</w:t>
      </w:r>
      <w:r/>
    </w:p>
    <w:p>
      <w:pPr>
        <w:ind w:firstLine="480"/>
        <w:spacing w:line="500" w:lineRule="exact"/>
        <w:rPr>
          <w:rFonts w:ascii="Times New Roman" w:hAnsi="宋体" w:eastAsia="宋体" w:cs="Times New Roman"/>
          <w:color w:val="auto"/>
          <w:sz w:val="24"/>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.3本合同正本一式</w:t>
      </w:r>
      <w:r>
        <w:rPr>
          <w:rFonts w:hint="eastAsia" w:ascii="宋体" w:hAnsi="宋体" w:eastAsia="宋体" w:cs="Times New Roman"/>
          <w:bCs/>
          <w:color w:val="auto"/>
          <w:sz w:val="24"/>
          <w:szCs w:val="21"/>
        </w:rPr>
        <w:t xml:space="preserve">二</w:t>
      </w:r>
      <w:r>
        <w:rPr>
          <w:rFonts w:ascii="宋体" w:hAnsi="宋体" w:eastAsia="宋体" w:cs="Times New Roman"/>
          <w:bCs/>
          <w:color w:val="auto"/>
          <w:sz w:val="24"/>
          <w:szCs w:val="21"/>
          <w:lang w:val="zh-CN"/>
        </w:rPr>
        <w:t xml:space="preserve">份，具有同等法律效力，甲方、乙方各执</w:t>
      </w:r>
      <w:r>
        <w:rPr>
          <w:rFonts w:hint="eastAsia" w:ascii="宋体" w:hAnsi="宋体" w:eastAsia="宋体" w:cs="Times New Roman"/>
          <w:bCs/>
          <w:color w:val="auto"/>
          <w:sz w:val="24"/>
          <w:szCs w:val="21"/>
        </w:rPr>
        <w:t xml:space="preserve">一</w:t>
      </w:r>
      <w:r>
        <w:rPr>
          <w:rFonts w:ascii="宋体" w:hAnsi="宋体" w:eastAsia="宋体" w:cs="Times New Roman"/>
          <w:bCs/>
          <w:color w:val="auto"/>
          <w:sz w:val="24"/>
          <w:szCs w:val="21"/>
          <w:lang w:val="zh-CN"/>
        </w:rPr>
        <w:t xml:space="preserve">份。</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甲 方：                                 乙 方：</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地 址：                                 地 址：</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法定代表人或授权代表：                  法定代表人或授权代表：</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电 话：                                 电 话：</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日 期：      年  月  日</w:t>
      </w:r>
      <w:r/>
    </w:p>
    <w:p>
      <w:pPr>
        <w:rPr>
          <w:rFonts w:ascii="宋体" w:hAnsi="宋体" w:cs="宋体"/>
          <w:color w:val="auto"/>
        </w:rPr>
      </w:pPr>
      <w:r>
        <w:rPr>
          <w:rFonts w:ascii="宋体" w:hAnsi="宋体" w:cs="宋体"/>
          <w:color w:val="auto"/>
        </w:rPr>
      </w:r>
      <w:bookmarkEnd w:id="162"/>
      <w:r/>
      <w:r/>
    </w:p>
    <w:p>
      <w:pPr>
        <w:jc w:val="center"/>
        <w:rPr>
          <w:rFonts w:ascii="宋体" w:hAnsi="宋体" w:cs="宋体"/>
          <w:b/>
          <w:bCs/>
          <w:color w:val="auto"/>
          <w:spacing w:val="-20"/>
          <w:sz w:val="48"/>
          <w:szCs w:val="48"/>
        </w:rPr>
      </w:pPr>
      <w:r/>
      <w:bookmarkStart w:id="164" w:name="_Toc3995"/>
      <w:r/>
      <w:bookmarkEnd w:id="164"/>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52"/>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71"/>
        <w:rPr>
          <w:color w:val="auto"/>
        </w:rPr>
      </w:pPr>
      <w:r>
        <w:rPr>
          <w:rFonts w:hint="eastAsia"/>
          <w:color w:val="auto"/>
        </w:rPr>
        <w:t xml:space="preserve"> </w:t>
      </w:r>
      <w:bookmarkStart w:id="165" w:name="_Toc234256916"/>
      <w:r>
        <w:rPr>
          <w:rFonts w:hint="eastAsia"/>
          <w:color w:val="auto"/>
        </w:rPr>
        <w:t xml:space="preserve">第</w:t>
      </w:r>
      <w:bookmarkEnd w:id="154"/>
      <w:r>
        <w:rPr>
          <w:rFonts w:hint="eastAsia"/>
          <w:color w:val="auto"/>
        </w:rPr>
        <w:t xml:space="preserve">四章 采购需求</w:t>
      </w:r>
      <w:bookmarkEnd w:id="155"/>
      <w:r/>
      <w:bookmarkEnd w:id="156"/>
      <w:r/>
      <w:bookmarkEnd w:id="157"/>
      <w:r/>
      <w:bookmarkEnd w:id="158"/>
      <w:r/>
      <w:bookmarkEnd w:id="159"/>
      <w:r/>
      <w:bookmarkEnd w:id="165"/>
      <w:r/>
      <w:r/>
    </w:p>
    <w:p>
      <w:pPr>
        <w:pStyle w:val="852"/>
        <w:jc w:val="both"/>
        <w:spacing w:beforeAutospacing="0" w:afterAutospacing="0" w:line="360" w:lineRule="auto"/>
        <w:rPr>
          <w:rFonts w:ascii="宋体" w:hAnsi="宋体" w:eastAsia="宋体" w:cs="宋体"/>
          <w:color w:val="auto"/>
        </w:rPr>
      </w:pPr>
      <w:r/>
      <w:bookmarkStart w:id="166" w:name="_Toc49090575"/>
      <w:r/>
      <w:bookmarkStart w:id="167" w:name="_Toc26554093"/>
      <w:r>
        <w:rPr>
          <w:rFonts w:hint="eastAsia" w:ascii="宋体" w:hAnsi="宋体" w:eastAsia="宋体" w:cs="宋体"/>
          <w:color w:val="auto"/>
        </w:rPr>
        <w:t xml:space="preserve">项目属性:货物类项目。</w:t>
      </w:r>
      <w:bookmarkEnd w:id="166"/>
      <w:r/>
      <w:bookmarkEnd w:id="167"/>
      <w:r/>
      <w:r/>
    </w:p>
    <w:p>
      <w:pPr>
        <w:pStyle w:val="852"/>
        <w:jc w:val="both"/>
        <w:spacing w:beforeAutospacing="0" w:afterAutospacing="0" w:line="360" w:lineRule="auto"/>
        <w:rPr>
          <w:rFonts w:ascii="宋体" w:hAnsi="宋体" w:eastAsia="宋体"/>
          <w:b/>
          <w:color w:val="auto"/>
          <w:szCs w:val="21"/>
        </w:rPr>
      </w:pPr>
      <w:r>
        <w:rPr>
          <w:rFonts w:hint="eastAsia" w:ascii="宋体" w:hAnsi="宋体" w:eastAsia="宋体"/>
          <w:b/>
          <w:color w:val="auto"/>
          <w:szCs w:val="21"/>
          <w:lang w:val="zh-CN"/>
        </w:rPr>
        <w:t xml:space="preserve">一、</w:t>
      </w:r>
      <w:r>
        <w:rPr>
          <w:rFonts w:hint="eastAsia" w:ascii="宋体" w:hAnsi="宋体" w:eastAsia="宋体"/>
          <w:b/>
          <w:color w:val="auto"/>
          <w:szCs w:val="21"/>
        </w:rPr>
        <w:t xml:space="preserve">项目概况</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1.项目名称：江苏省盐城技师学院数字媒体、人工智能产业学院建设项目</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2.预算金额及最高限价：504.6761万元</w:t>
      </w:r>
      <w:r/>
    </w:p>
    <w:p>
      <w:pPr>
        <w:spacing w:line="360" w:lineRule="auto"/>
        <w:rPr>
          <w:rFonts w:ascii="宋体" w:hAnsi="宋体" w:eastAsia="宋体" w:cs="宋体"/>
          <w:bCs/>
          <w:color w:val="auto"/>
          <w:sz w:val="24"/>
          <w:szCs w:val="21"/>
        </w:rPr>
      </w:pPr>
      <w:r>
        <w:rPr>
          <w:rFonts w:hint="eastAsia" w:ascii="宋体" w:hAnsi="宋体" w:eastAsia="宋体" w:cs="Times New Roman"/>
          <w:bCs/>
          <w:color w:val="auto"/>
          <w:sz w:val="24"/>
          <w:szCs w:val="21"/>
        </w:rPr>
        <w:t xml:space="preserve">3.采购内容</w:t>
      </w:r>
      <w:r>
        <w:rPr>
          <w:rFonts w:hint="eastAsia" w:ascii="宋体" w:hAnsi="宋体" w:eastAsia="宋体" w:cs="宋体"/>
          <w:bCs/>
          <w:color w:val="auto"/>
          <w:sz w:val="24"/>
          <w:szCs w:val="21"/>
        </w:rPr>
        <w:t xml:space="preserve">：江苏省盐城技师学院数字媒体、人工智能产业学院建设项目</w:t>
      </w:r>
      <w:r>
        <w:rPr>
          <w:rFonts w:hint="eastAsia" w:ascii="宋体" w:hAnsi="宋体" w:eastAsia="宋体" w:cs="宋体"/>
          <w:color w:val="auto"/>
          <w:sz w:val="24"/>
        </w:rPr>
        <w:t xml:space="preserve">。</w:t>
      </w:r>
      <w:r/>
    </w:p>
    <w:p>
      <w:pPr>
        <w:pStyle w:val="852"/>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szCs w:val="21"/>
        </w:rPr>
        <w:t xml:space="preserve">4.</w:t>
      </w:r>
      <w:r>
        <w:rPr>
          <w:rFonts w:hint="eastAsia" w:ascii="宋体" w:hAnsi="宋体" w:eastAsia="宋体" w:cs="宋体"/>
          <w:color w:val="auto"/>
          <w:lang w:bidi="ar"/>
        </w:rPr>
        <w:t xml:space="preserve">必须在合同签订后60个日历天内完成到货、安装、调试工作并交付使用，中标价包括安装调试过程中产生的一切费用</w:t>
      </w:r>
      <w:r>
        <w:rPr>
          <w:rFonts w:hint="eastAsia" w:ascii="宋体" w:hAnsi="宋体" w:eastAsia="宋体" w:cs="宋体"/>
          <w:bCs/>
          <w:color w:val="auto"/>
        </w:rPr>
        <w:t xml:space="preserve">。</w:t>
      </w:r>
      <w:r/>
    </w:p>
    <w:p>
      <w:pPr>
        <w:pStyle w:val="852"/>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rPr>
        <w:t xml:space="preserve">5.核心产品：虚拟制片UNREAL背景资源平台、3D惯性动作捕捉设备、智能机器人。</w:t>
      </w:r>
      <w:r/>
    </w:p>
    <w:p>
      <w:pPr>
        <w:pStyle w:val="852"/>
        <w:jc w:val="both"/>
        <w:spacing w:beforeAutospacing="0" w:afterAutospacing="0"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lang w:val="zh-CN"/>
        </w:rPr>
        <w:t xml:space="preserve">二、</w:t>
      </w:r>
      <w:r>
        <w:rPr>
          <w:rFonts w:hint="eastAsia" w:ascii="宋体" w:hAnsi="宋体" w:eastAsia="宋体" w:cs="Times New Roman"/>
          <w:b/>
          <w:color w:val="auto"/>
          <w:sz w:val="24"/>
          <w:szCs w:val="21"/>
        </w:rPr>
        <w:t xml:space="preserve">项目</w:t>
      </w:r>
      <w:r>
        <w:rPr>
          <w:rFonts w:ascii="宋体" w:hAnsi="宋体" w:eastAsia="宋体" w:cs="Times New Roman"/>
          <w:b/>
          <w:color w:val="auto"/>
          <w:sz w:val="24"/>
          <w:szCs w:val="21"/>
        </w:rPr>
        <w:t xml:space="preserve">明细表</w:t>
      </w:r>
      <w:r/>
    </w:p>
    <w:p>
      <w:pPr>
        <w:pStyle w:val="852"/>
        <w:numPr>
          <w:ilvl w:val="0"/>
          <w:numId w:val="1"/>
        </w:numPr>
        <w:jc w:val="both"/>
        <w:spacing w:beforeAutospacing="0" w:afterAutospacing="0" w:line="0" w:lineRule="atLeast"/>
        <w:rPr>
          <w:rFonts w:ascii="宋体" w:hAnsi="宋体" w:eastAsia="宋体"/>
          <w:b/>
          <w:color w:val="auto"/>
          <w:szCs w:val="21"/>
        </w:rPr>
      </w:pPr>
      <w:r>
        <w:rPr>
          <w:rFonts w:hint="eastAsia" w:ascii="宋体" w:hAnsi="宋体" w:eastAsia="宋体"/>
          <w:b/>
          <w:color w:val="auto"/>
          <w:szCs w:val="21"/>
        </w:rPr>
        <w:t xml:space="preserve">数字媒体</w:t>
      </w:r>
      <w:r/>
    </w:p>
    <w:tbl>
      <w:tblPr>
        <w:tblStyle w:val="840"/>
        <w:tblW w:w="4876" w:type="pct"/>
        <w:jc w:val="center"/>
        <w:tblLayout w:type="fixed"/>
        <w:tblCellMar>
          <w:left w:w="64" w:type="dxa"/>
          <w:top w:w="32" w:type="dxa"/>
          <w:right w:w="64" w:type="dxa"/>
          <w:bottom w:w="32" w:type="dxa"/>
        </w:tblCellMar>
        <w:tblLook w:val="04A0" w:firstRow="1" w:lastRow="0" w:firstColumn="1" w:lastColumn="0" w:noHBand="0" w:noVBand="1"/>
      </w:tblPr>
      <w:tblGrid>
        <w:gridCol w:w="534"/>
        <w:gridCol w:w="467"/>
        <w:gridCol w:w="535"/>
        <w:gridCol w:w="5591"/>
        <w:gridCol w:w="461"/>
        <w:gridCol w:w="637"/>
      </w:tblGrid>
      <w:tr>
        <w:trPr>
          <w:jc w:val="center"/>
        </w:trPr>
        <w:tc>
          <w:tcPr>
            <w:shd w:val="clear" w:color="auto" w:fill="auto"/>
            <w:tcBorders>
              <w:top w:val="single" w:color="000000" w:sz="4" w:space="0"/>
              <w:left w:val="single" w:color="000000" w:sz="4" w:space="0"/>
              <w:bottom w:val="single" w:color="auto" w:sz="4" w:space="0"/>
              <w:right w:val="single" w:color="auto" w:sz="4" w:space="0"/>
            </w:tcBorders>
            <w:tcW w:w="32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实训室</w:t>
            </w:r>
            <w:r/>
          </w:p>
        </w:tc>
        <w:tc>
          <w:tcPr>
            <w:shd w:val="clear" w:color="auto" w:fill="auto"/>
            <w:tcBorders>
              <w:top w:val="single" w:color="auto" w:sz="4" w:space="0"/>
              <w:left w:val="single" w:color="auto" w:sz="4" w:space="0"/>
              <w:bottom w:val="single" w:color="000000" w:sz="4" w:space="0"/>
              <w:right w:val="single" w:color="000000" w:sz="4" w:space="0"/>
            </w:tcBorders>
            <w:tcW w:w="28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325"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设备名称</w:t>
            </w:r>
            <w:r/>
          </w:p>
        </w:tc>
        <w:tc>
          <w:tcPr>
            <w:shd w:val="clear" w:color="auto" w:fill="auto"/>
            <w:tcBorders>
              <w:top w:val="single" w:color="auto" w:sz="4" w:space="0"/>
              <w:left w:val="single" w:color="000000" w:sz="4" w:space="0"/>
              <w:bottom w:val="single" w:color="000000" w:sz="4" w:space="0"/>
              <w:right w:val="single" w:color="auto" w:sz="4" w:space="0"/>
            </w:tcBorders>
            <w:tcW w:w="3398"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数量</w:t>
            </w:r>
            <w:r/>
          </w:p>
        </w:tc>
      </w:tr>
      <w:tr>
        <w:trPr>
          <w:jc w:val="center"/>
          <w:trHeight w:val="312"/>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数字音频录编实训室（2间）1005</w:t>
            </w:r>
            <w:r/>
          </w:p>
        </w:tc>
        <w:tc>
          <w:tcPr>
            <w:shd w:val="clear" w:color="auto" w:fill="auto"/>
            <w:tcBorders>
              <w:top w:val="single" w:color="000000" w:sz="4" w:space="0"/>
              <w:left w:val="single" w:color="auto" w:sz="4" w:space="0"/>
              <w:right w:val="single" w:color="000000" w:sz="4" w:space="0"/>
            </w:tcBorders>
            <w:tcW w:w="284" w:type="pct"/>
            <w:vAlign w:val="center"/>
            <w:vMerge w:val="restart"/>
            <w:textDirection w:val="lrTb"/>
            <w:noWrap/>
          </w:tcPr>
          <w:p>
            <w:pPr>
              <w:jc w:val="center"/>
              <w:rPr>
                <w:color w:val="auto"/>
              </w:rPr>
            </w:pPr>
            <w:r>
              <w:rPr>
                <w:rFonts w:hint="eastAsia" w:ascii="微软雅黑" w:hAnsi="微软雅黑" w:eastAsia="微软雅黑" w:cs="微软雅黑"/>
                <w:color w:val="auto"/>
                <w:sz w:val="16"/>
                <w:szCs w:val="16"/>
                <w:lang w:bidi="ar"/>
              </w:rPr>
              <w:t xml:space="preserve">1</w:t>
            </w:r>
            <w:r/>
          </w:p>
        </w:tc>
        <w:tc>
          <w:tcPr>
            <w:shd w:val="clear" w:color="auto" w:fill="auto"/>
            <w:tcBorders>
              <w:top w:val="single" w:color="000000"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音频控制设备</w:t>
            </w:r>
            <w:r/>
          </w:p>
        </w:tc>
        <w:tc>
          <w:tcPr>
            <w:shd w:val="clear" w:color="auto" w:fill="auto"/>
            <w:tcBorders>
              <w:top w:val="single" w:color="000000" w:sz="4" w:space="0"/>
              <w:left w:val="single" w:color="000000" w:sz="4" w:space="0"/>
              <w:bottom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一、控制台面</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1.输入通道≥10路（含话筒、线路及乐器输入）；</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2.内置多轨录音功能，支持SD卡直接录音，采样率 ≥24bit/48kHz；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3.100mm推子≥8个，支持通道电平精确调节；</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4.内置DSP效果器，含混响、延时、合唱等效果；</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5.配备全金属外壳，坚固耐用，适合专业使用；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6.内置USB音频接口，支持与DAW录音软件联机使用；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7.支持MIDI同步及传输，含MIDI输入/输出接口；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8.内置监听控制功能及独立耳机输出；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9.配备倒带轮（Transport Control），可控制播放/录音；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10.支持扩展使用，可与其他设备级联；</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11.内置蓝牙功能，可接收无线音频信号。</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二、专业输入处理设备</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1.双通道 USB 音频接口；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2.支持不低于 24-bit / 192 kHz 高解析度 AD/DA 转换；</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3.内置不少于2 路话筒/线路/乐器输入，采用经典变压器平衡话放；</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4.每通道具备独立增益控制，增益范围≥ 60 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 48V 幻象电源、Pad 衰减、相位反转等功能；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不少于2 路平衡线路输出、不少于1 路高功率耳机输出；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7.配置USB 3.0 接口，支持低延迟音频传输，兼容 Mac 与 Windows 系统；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8.全金属外壳设计，坚固耐用，适合专业录音棚与移动录音；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9.支持 MIDI I/O 接口，用于外部设备同步与控制；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10.可直接连接 DAW 软件，实现高品质录音与回放。</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三、音频工作站配套软件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1.音频轨道：≥2048；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乐器轨道：≥512；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MIDI 轨道：≥1024；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辅助轨道/路由文件夹：≥1024/1024；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 VCA 轨道：≥128；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6.主轨道：≥512；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7.视频轨道：≥64；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 同时录制输入：≥256 (Core Audio、ASIO)、192 (HDX Hybrid Engine、HDX Classic)、64 (HD Native)；</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9.多通道混音：支持立体声、环绕声、Dolby Atmos、高保真立体声音响；</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四、音频处理监看电视设备</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运行内存</w:t>
            </w:r>
            <w:r>
              <w:rPr>
                <w:rFonts w:ascii="微软雅黑" w:hAnsi="微软雅黑" w:eastAsia="微软雅黑" w:cs="微软雅黑"/>
                <w:color w:val="auto"/>
                <w:sz w:val="16"/>
                <w:szCs w:val="16"/>
                <w:lang w:bidi="ar"/>
              </w:rPr>
              <w:t xml:space="preserve">/RAM</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发声单元个数：≥</w:t>
            </w:r>
            <w:r>
              <w:rPr>
                <w:rFonts w:ascii="微软雅黑" w:hAnsi="微软雅黑" w:eastAsia="微软雅黑" w:cs="微软雅黑"/>
                <w:color w:val="auto"/>
                <w:sz w:val="16"/>
                <w:szCs w:val="16"/>
                <w:lang w:bidi="ar"/>
              </w:rPr>
              <w:t xml:space="preserve">2</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存储内存：≥</w:t>
            </w:r>
            <w:r>
              <w:rPr>
                <w:rFonts w:ascii="微软雅黑" w:hAnsi="微软雅黑" w:eastAsia="微软雅黑" w:cs="微软雅黑"/>
                <w:color w:val="auto"/>
                <w:sz w:val="16"/>
                <w:szCs w:val="16"/>
                <w:lang w:bidi="ar"/>
              </w:rPr>
              <w:t xml:space="preserve">64GB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色域标准：</w:t>
            </w:r>
            <w:r>
              <w:rPr>
                <w:rFonts w:ascii="微软雅黑" w:hAnsi="微软雅黑" w:eastAsia="微软雅黑" w:cs="微软雅黑"/>
                <w:color w:val="auto"/>
                <w:sz w:val="16"/>
                <w:szCs w:val="16"/>
                <w:lang w:bidi="ar"/>
              </w:rPr>
              <w:t xml:space="preserve">DCI-P3</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屏幕尺寸：</w:t>
            </w:r>
            <w:r>
              <w:rPr>
                <w:rFonts w:ascii="微软雅黑" w:hAnsi="微软雅黑" w:eastAsia="微软雅黑" w:cs="微软雅黑"/>
                <w:color w:val="auto"/>
                <w:sz w:val="16"/>
                <w:szCs w:val="16"/>
                <w:lang w:bidi="ar"/>
              </w:rPr>
              <w:t xml:space="preserve">70-77</w:t>
            </w:r>
            <w:r>
              <w:rPr>
                <w:rFonts w:hint="eastAsia" w:ascii="微软雅黑" w:hAnsi="微软雅黑" w:eastAsia="微软雅黑" w:cs="微软雅黑"/>
                <w:color w:val="auto"/>
                <w:sz w:val="16"/>
                <w:szCs w:val="16"/>
                <w:lang w:bidi="ar"/>
              </w:rPr>
              <w:t xml:space="preserve">英寸</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屏幕分辨率：超高清</w:t>
            </w:r>
            <w:r>
              <w:rPr>
                <w:rFonts w:ascii="微软雅黑" w:hAnsi="微软雅黑" w:eastAsia="微软雅黑" w:cs="微软雅黑"/>
                <w:color w:val="auto"/>
                <w:sz w:val="16"/>
                <w:szCs w:val="16"/>
                <w:lang w:bidi="ar"/>
              </w:rPr>
              <w:t xml:space="preserve">4K</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背光方式：直下式</w:t>
            </w:r>
            <w:r>
              <w:rPr>
                <w:rFonts w:ascii="微软雅黑" w:hAnsi="微软雅黑" w:eastAsia="微软雅黑" w:cs="微软雅黑"/>
                <w:color w:val="auto"/>
                <w:sz w:val="16"/>
                <w:szCs w:val="16"/>
                <w:lang w:bidi="ar"/>
              </w:rPr>
              <w:t xml:space="preserve">/DLED</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能效等级：相当于或优于一级能效</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9.CPU架构：相当或优于四核， 频率≥1.5GHz </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10.</w:t>
            </w:r>
            <w:r>
              <w:rPr>
                <w:rFonts w:hint="eastAsia" w:ascii="微软雅黑" w:hAnsi="微软雅黑" w:eastAsia="微软雅黑" w:cs="微软雅黑"/>
                <w:color w:val="auto"/>
                <w:sz w:val="16"/>
                <w:szCs w:val="16"/>
                <w:lang w:bidi="ar"/>
              </w:rPr>
              <w:t xml:space="preserve">刷新率：≥</w:t>
            </w:r>
            <w:r>
              <w:rPr>
                <w:rFonts w:ascii="微软雅黑" w:hAnsi="微软雅黑" w:eastAsia="微软雅黑" w:cs="微软雅黑"/>
                <w:color w:val="auto"/>
                <w:sz w:val="16"/>
                <w:szCs w:val="16"/>
                <w:lang w:bidi="ar"/>
              </w:rPr>
              <w:t xml:space="preserve">288Hz</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11.WIFI</w:t>
            </w:r>
            <w:r>
              <w:rPr>
                <w:rFonts w:hint="eastAsia" w:ascii="微软雅黑" w:hAnsi="微软雅黑" w:eastAsia="微软雅黑" w:cs="微软雅黑"/>
                <w:color w:val="auto"/>
                <w:sz w:val="16"/>
                <w:szCs w:val="16"/>
                <w:lang w:bidi="ar"/>
              </w:rPr>
              <w:t xml:space="preserve">频段：</w:t>
            </w:r>
            <w:r>
              <w:rPr>
                <w:rFonts w:ascii="微软雅黑" w:hAnsi="微软雅黑" w:eastAsia="微软雅黑" w:cs="微软雅黑"/>
                <w:color w:val="auto"/>
                <w:sz w:val="16"/>
                <w:szCs w:val="16"/>
                <w:lang w:bidi="ar"/>
              </w:rPr>
              <w:t xml:space="preserve">2.4G&amp;5G</w:t>
            </w:r>
            <w:r/>
          </w:p>
          <w:p>
            <w:pPr>
              <w:jc w:val="left"/>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12.</w:t>
            </w:r>
            <w:r>
              <w:rPr>
                <w:rFonts w:hint="eastAsia" w:ascii="微软雅黑" w:hAnsi="微软雅黑" w:eastAsia="微软雅黑" w:cs="微软雅黑"/>
                <w:color w:val="auto"/>
                <w:sz w:val="16"/>
                <w:szCs w:val="16"/>
                <w:lang w:bidi="ar"/>
              </w:rPr>
              <w:t xml:space="preserve">电动遥控升降移动支架</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五、智能摄像设备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1.传感器：≥800万像素CMOS；</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2.分辨率：≥4K超清；</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3.网络：双频Wi-Fi 6（2.4GHz/5GHz）；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4.接口：Type-C供电（5V/2A），无数据接口；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5.音频：双向语音通话（内置麦克风+扬声器）；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6.电源输入：5V/2A USB适配器；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7.功耗：≤5W；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18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六、音频插件套装</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1.音频插件≥32个；</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2.模拟VCF滤波器≥30种；</w:t>
            </w:r>
            <w:r/>
          </w:p>
          <w:p>
            <w:pPr>
              <w:jc w:val="left"/>
              <w:widowControl/>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3.支持平台：电脑、手机等系统；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6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2"/>
              </w:num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监听音箱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1.音箱类型:二分频;有源音响;</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2.功放类别:D 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3.功率:高频≥40W;低频≥60W;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4.高音单元：≥1英寸；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5.低音单元：≥8英寸；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6.频率响应(-10 dB):不低于37Hz - 25kHz;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7.频率范围(±3 dB): 不低于45Hz - 21kHz;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8.最大声压级:≥117dB;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9.总谐波失真:≤2.5% (90dB SPL @1m);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372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二、超低音音箱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1.工作类型：有源；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2.功放等级：D类功率放大器;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 ≥1000W；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4.低音单元：≥2 x 6.5 英寸高冲程低音扬声器；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5.频率响应(-10 dB）：不低于27Hz - 200Hz；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6.频率范围(±3 dB）：不低于31.5Hz - 180Hz；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7.最大声压级：≥120dB；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8.系统谐波失真：≤2% (90dB SPL @1m)；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包含音箱支架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1.高度可自由调节（可升高度820mm-1165mm）；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2.升降柱体与套管柱体采用分离式设计；</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3.顶盘为可角度型托盘角度1-15度之间；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07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三、录音师监听耳机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1.工作室参考级开放式动圈耳机；</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2.磁铁类型：钕；</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3.传感器类型：动圈；≥50mm；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4.频率响应：不低于5Hz - 22kHz；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5.阻抗：≥32欧姆-适用于所有设备；</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6.耳罩尺寸：≥95mm（外径）；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7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封闭式监听耳机：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 Hz - 20 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2.阻抗：≥38 Ω；</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3.灵敏度：≥107 dB SPL/mW；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4.最大输入功率：≤500 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5.驱动单元：≥40 mm 动圈驱动；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6.耳罩类型：封闭式；</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7.线缆长度：≥2 m 直线缆；</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8.插头类型：3.5 mm 插头，带 6.3 mm 转接头；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五、耳机放大器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1.提供不少于8路独立高功率立体声功放，每路均配备8位数字LED输出表；</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2.可实时监测信号电平；</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3.支持通过MAIN 1/MAIN 2开关快速切换两路主输入信号，满足多音源监听；</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4.主频部分配置五段LED输出表及独立电平调节旋钮，精准控制输入信号强度；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5.后面板设置1/4英寸输出端、输入端及XLR平衡输入接口，兼容多种设备连接；</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包含耳机放大器定制安装架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1.匹配耳机放大器；</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2.支架尺寸范围：70 - 76mm 毫米；</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8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3</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音频录入设备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1.单通道话放模块；</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2.采用全离散 Class-A 电路设计，具备高保真放大特性；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70 dB，适用于各种话筒；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 配备不少于3段 EQ 语音滤波（Air / Punch / Warm），可快速调音；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5.输入阻抗可切换，适配动圈、电容及带状话筒；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不低于15 dB Pad衰减；</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7.输出设有独立 Trim 控制，保证最佳电平匹配；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8.机壳采用全金属屏蔽设计，抗干扰性能强；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59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1.单通道电子管话放模块；</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2.内置 12AX7 真空管放大电路，提供温暖、顺滑的声音特性；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55 dB，适合多种麦克风使用；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4.配备输入阻抗切换，支持动圈、电容及履带话筒；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5.内置不少于15 dB Pad衰减、反相开关及 48V 幻象电源；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6.输出设有独立 Trim 电平调节，优化后级匹配；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7.前面板配有峰值 LED 电平指示，便于监测；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8.全金属机壳，具备屏蔽设计，降低噪声干扰；</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4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三、母带压缩处理器 </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1.VCA立体声压缩器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2.频率响应优于：不低于20Hz - 20kHz(0.1dB);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 + N：≤0.008%(1kHz，0dBu)（WET); ≤0.004%(1kHz，0dBu)（Dry)；</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4.最大增益：≥24dB;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四、母带均衡处理器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1.双通道参量均衡器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2.频率响应:不低于10Hz - 150kHz(-2dB);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3.总谐波失真:≤0.003%(1kHz，0dBu); ≤0.15%(1kHz，0dBu);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4.最大信号电平:≥+24dBu;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五、机架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1.插槽数量: ≥ 11 个插槽；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2.技术支持: ISP（独立插槽电源）技术；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3.内置功能: 立体声链路开关；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4.电源要求:不低于5A 的功率；</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0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六、ADDA 转换器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1.输入ADC；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3.THD+N:≥-108 dB (0.0004%)；</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4.动态范围：≥116dB；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5.输出DAC；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7.THD+N:≥-105 dB (0.0005%)；</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8.动态范围：≥115dB；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9.输入电平：+4 dBu/-10 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10.最大输入电平：≥+20 dBu；</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11.允许数字控制和独立的模拟电路控制；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4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3"/>
              </w:num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多功能电容话筒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1.频率响应：不低于20Hz – 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2.最大声压级：≥128 dB ( 1% THD at 1kHz); 140dB (-12dB 1% THD at 1kHz);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3.灵敏度：≥15mV/Pa (± 1dB)1kHz;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4.等效噪声级：≤21dB ( IEC 179-A);</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5.指向类型：心形；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55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八、大振膜电子管话筒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1.麦克风类型: 电子管；</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2.指向形: 不少于9种指向选择；</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 :≥-35dBV；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4.频响范围：不低于20Hz-20kHz；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5.声压级：≥ 144dB SPL；</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6.配备带金属锁扣木质便携箱; 配备大型减震架，带有航空级悬挂环；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九、大振膜 FET 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1.大振膜 FET 电容话筒，振膜厚度≤34mm/3µm；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2.≥3 种可选极性指向模式：心形、8 字形、全向；</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3.配备大型减震架，带有航空级悬挂环；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4.配备便携箱；</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5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十、有源动圈话筒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1.指向形:心形；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2.频率响应：≥20Hz-20kHz；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3.等效噪声:≤3.8dB /A-加权；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 ≥12mV/Pa；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5.最大声压级:≥132dB；</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bottom w:val="none" w:color="000000" w:sz="4" w:space="0"/>
              <w:right w:val="single" w:color="auto" w:sz="4" w:space="0"/>
            </w:tcBorders>
            <w:tcW w:w="324" w:type="pct"/>
            <w:vAlign w:val="center"/>
            <w:vMerge w:val="continue"/>
            <w:textDirection w:val="lrTb"/>
            <w:noWrap/>
          </w:tcPr>
          <w:p>
            <w:pP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十一、话筒防喷罩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1.材料：高密度海绵；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2.适用话筒：圆头话筒；</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3.直径≥3cm；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1332"/>
        </w:trPr>
        <w:tc>
          <w:tcPr>
            <w:shd w:val="clear" w:color="auto" w:fill="auto"/>
            <w:tcBorders>
              <w:top w:val="none" w:color="000000"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十二、话筒防潮箱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1.话筒防潮箱，≥50L；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2.显示方式:微电脑LED温湿度显示器；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3.湿度显示范围:≥1%RH-99%RH；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4.输入电压:5V直流电输入(无安全隐患)；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5.箱体材质:优质冷轧钢板≥1毫米；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6.除湿范围:≥25%RH-70%RH；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十三、话筒落地支架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1.横杆长度:≥70cm；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2.适用范围:24-45mm麦克风；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3.高度范围:97cm-182cm；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4</w:t>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音频线材及隔音附件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一、空气净化器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1.额定功率：≥130W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2.额定电压：220V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3.支持语音控制；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4.运行模式：自动模式、睡眠模式；</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能效等级</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二级能效</w:t>
            </w:r>
            <w:r>
              <w:rPr>
                <w:rFonts w:hint="eastAsia" w:ascii="微软雅黑" w:hAnsi="微软雅黑" w:eastAsia="微软雅黑" w:cs="微软雅黑"/>
                <w:color w:val="auto"/>
                <w:sz w:val="16"/>
                <w:szCs w:val="16"/>
                <w:lang w:bidi="ar"/>
              </w:rPr>
              <w:t xml:space="preserve">及以上；</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6.适用面积：≥60㎡；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二、视频线材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1.AV线类型：一分三转接线莲花头；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2.AV线长度≥10米；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3.HDMI数字高清线长度≥10米；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4.屏蔽类型：双屏蔽；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91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三、音频线材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音响功放连接线类型：二对二双莲花头rca信号线；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2.音响功放连接线长度≥20米；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3.HDMI转DVI连接线长度≥20米；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4.Type-C转3.5mm音频转接线长度≥20米；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6.线材导体:精炼无氧铜；</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36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四、时序电源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1.通道数量:≥10路；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2.辅助通道数量: ≥2路；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3.通道额定电流: ≥13A；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4.通道最大电流: ≥30A；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5.通道总功率: ≥3500W；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音频工作台套件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一、录音棚控制桌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1.桌面尺寸：长度≥2.4米 宽度：1米  高度0.8米；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2.键盘抽屉: 长≥1.4米，宽≥0.35米，高≥0.15米；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3.材质：冷轧钢板、板材；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4.冷轧钢板厚度：≥1.5毫米；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5.桌面板材厚度：≥2.5cm；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二、滑轮式人体工程学座椅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适配教学实训机房日常办公、长时间上机作业场景，整体采用人体工学结构设计，带移动滑轮结构，各项结构及配件参数满足以下全部要求：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1.头部支撑组件：配置宽幅曲面3D结构头枕，可贴合人体头颈曲线完成头部支撑；</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2.座椅椅背：一体式固定椅背结构，椅背角度不可调节；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3.腰部支撑组件：配置复合弹性骶骨支撑腰枕，可针对性支撑人体腰骶部位；</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4.座椅扶手：配置四向可调式多功能扶手；扶手水平旋转角度不大于360°，扶手向上翻转角度不大于90°；</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5.座椅坐垫：采用全网状透气一体式坐垫结构；</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6.座椅底盘：配备机械式旋钮控制底盘，可手动调节座椅后仰回弹阻尼力度；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7.座椅后仰功能：支持三档后仰角度锁定，座椅最大后仰角度不大于135°；</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8.座椅网布面料：接触面采用波浪密纹高强度透气网布材质，耐磨透气、抗形变；</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三、房间声学吸声板套装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1.吸音板核心材料为高密度玻璃纤维（密度 ≈ 6 lb/ft³ 或 96 kg/m³）；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2.面板厚度：≥50 mm（2 英寸），具有优异的宽频吸音特性；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3.表面包裹透声聚酯织物，耐用且美观；</w:t>
            </w:r>
            <w:r/>
          </w:p>
          <w:p>
            <w:pPr>
              <w:jc w:val="left"/>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4.提供三种面板类型，合计不少于44 块吸音板：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 块 Broadband Panels（24″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2)≥16 块 Control Columns（12″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≥24 块 Scatter Blocks（12″ × 12″ × 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5.标配安装硬件，包括≥56 个 Surface Impalers 和≥16 个 Corner Impalers，以及墙面锚定件与紧固螺丝；</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6.模块化设计，支持灵活布置，可快速安装与调整；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7.吸音系数优异，覆盖广频段（125 Hz–20 kHz），优化房间声学性能；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8.通过 ASTM E84 / CAN/ULC-S102 等国际防火安全认证；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9.适用于专业录音棚、播音室、家庭影院、控制室等环境；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35"/>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隔音静音舱</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一、隔音静音舱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1.尺寸规格：外部尺寸≥6m（长）×2.4m（宽）×2.7m（高），内部有效使用面积≥3.5㎡，适合中小型会议场景。舱体采用模块化设计，通过钢结构框架与双层钢化玻璃组合，既保证结构强度又兼顾透光性；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2.隔音性能：采用多层复合隔音材料，包括≥12mm 隔音棉、阻尼隔音板及密封胶条，可实现≥45-50dB 的隔音效果（实验室数据），能有效隔绝外界日常办公噪音（如键盘声、交谈声），舱内背景噪＜30dB；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3.通风系统：配备主动式新风系统，每小时换气量达≥80m³；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4.电力与智能控制：内置 220V， 电源插座≥4 个、USB 接口≥2 个及 LED 照明系统，支持手机 APP 远程控制舱内温度（18-28℃可调）、灯光亮度及换气频率。舱门配备智能锁，可通过指纹、密码或刷卡解锁；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5.框架钢材厚度：≥1.5mm；</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6.玻璃类型 夹胶隔音玻璃；</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7.双层真空玻璃厚度：≥6mm+6mm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8.玻璃透光率：≥ 75%；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151"/>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实训室监控设备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一、门窗传感器2</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1.门窗开关状态监测（磁感应，间距≤18mm有效）；</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2.光照强弱判断（新增光敏传感器，支持明暗两档检测）；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3.支持智能联动；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4.OTA升级（支持固件远程更新）；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5.超时未关提醒（可设置10秒至5分钟）；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6.通信方式： 蓝牙5.1（需搭配蓝牙网关实现远程控制）；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二、人在传感器1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1.传感器类型：24GHz毫米波雷达 + PIR红外传感器（双模检测）；</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2.检测范围：动态感知：≥6米（人体移动）静态感知：≥4米（静止状态）；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3.检测角度：130°广角覆盖；</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三、人在传感器2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1.动态追踪：≥7米（移动目标）；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2.静态侦测：≥4米（静止人体）；</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3.检测角度：≥110°广角覆盖；</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4.分区能力：支持最多12个独立分区（最小0.5m×0.5m），无交叉干扰；</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5.多目标追踪：可同时追踪不少于3个人体目标；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6.供电方式：USB-C；</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905"/>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数字绘画实训室（1002）</w:t>
            </w:r>
            <w:r/>
          </w:p>
        </w:tc>
        <w:tc>
          <w:tcPr>
            <w:shd w:val="clear" w:color="auto" w:fill="auto"/>
            <w:tcBorders>
              <w:top w:val="single" w:color="auto" w:sz="4" w:space="0"/>
              <w:left w:val="single" w:color="auto" w:sz="4" w:space="0"/>
              <w:bottom w:val="none" w:color="000000"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8</w:t>
            </w:r>
            <w:r/>
          </w:p>
        </w:tc>
        <w:tc>
          <w:tcPr>
            <w:shd w:val="clear" w:color="auto" w:fill="auto"/>
            <w:tcBorders>
              <w:top w:val="single" w:color="auto" w:sz="4" w:space="0"/>
              <w:left w:val="single" w:color="000000" w:sz="4" w:space="0"/>
              <w:bottom w:val="non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数字绘画实训包</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实训包6套，每套包含数字绘画输入设备不少于6套，每套不少于11片手绘输入设备；实训平台课程不少于9门、实训资源36套。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一、数字绘画输入设备参数：</w:t>
            </w:r>
            <w:r/>
          </w:p>
          <w:p>
            <w:pPr>
              <w:widowControl/>
              <w:rPr>
                <w:rFonts w:ascii="微软雅黑" w:hAnsi="微软雅黑" w:eastAsia="微软雅黑" w:cs="微软雅黑"/>
                <w:strike/>
                <w:color w:val="auto"/>
                <w:sz w:val="16"/>
                <w:szCs w:val="16"/>
                <w:highlight w:val="yellow"/>
                <w:lang w:bidi="ar"/>
              </w:rPr>
            </w:pPr>
            <w:r>
              <w:rPr>
                <w:rFonts w:hint="eastAsia" w:ascii="微软雅黑" w:hAnsi="微软雅黑" w:eastAsia="微软雅黑" w:cs="微软雅黑"/>
                <w:color w:val="auto"/>
                <w:sz w:val="16"/>
                <w:szCs w:val="16"/>
                <w:lang w:bidi="ar"/>
              </w:rPr>
              <w:t xml:space="preserve">1.感应区域：≥260 x 140 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2.压感笔技术：有物理橡皮擦和系绳孔；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3.具备高达 32K 压感灵敏8度的采样性能以 8,192 级压感输出；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4.跟笔报点率：≥300 rps（次/秒）；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5.侧锋倾：支持 ±60°倾斜感应及侧锋笔刷效果2 ；倾斜后笔尖及坐标位置始终保持精准；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6.快捷键：五向分</w:t>
            </w:r>
            <w:r>
              <w:rPr>
                <w:rFonts w:hint="eastAsia" w:ascii="微软雅黑" w:hAnsi="微软雅黑" w:eastAsia="微软雅黑" w:cs="微软雅黑"/>
                <w:color w:val="auto"/>
                <w:sz w:val="16"/>
                <w:szCs w:val="16"/>
                <w:lang w:bidi="ar"/>
              </w:rPr>
              <w:t xml:space="preserve">布的快捷</w:t>
            </w:r>
            <w:r>
              <w:rPr>
                <w:rFonts w:hint="eastAsia" w:ascii="微软雅黑" w:hAnsi="微软雅黑" w:eastAsia="微软雅黑" w:cs="微软雅黑"/>
                <w:color w:val="auto"/>
                <w:sz w:val="16"/>
                <w:szCs w:val="16"/>
                <w:lang w:bidi="ar"/>
              </w:rPr>
              <w:t xml:space="preserve">键及机械拨盘 2 组；位于数位板顶部位置两侧方便非利手配合键盘操作或惯用手单手操作；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7.快捷键功能：支持各种自定义功能包括感应区域的切换显示映射、调整笔刷大小、开启精准模式、启用径向菜单和网格菜单、自定义按键组合等；</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8.支持蓝牙 5.3 低功耗或 USB 有线连接方式；共具备不少于 3 个连接频道（2 x 蓝牙、1 x 有线），可方便切换不同设备提高效率；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9.每套数位板不少于10片、压感笔不少于11支；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二、数字绘画在线课程及实训平台：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1.实训平台功能参数：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该平台须具备以下基础功能模块：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[学生档案功能]建立学生职业档案，包含学生完成项目情况及作业，平台包含课程相关数字资源；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[移动学习功能]能随时随地观看教学视频，支持电脑、IPAD、手机等移动平台学习；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[教学功能]可对学生进行学习行为管理和对学生学习结果给出评估报告和建议。针对学生学习过程、任务完成度、理论考试分数、实训作业完成度、学生考勤等方面进行评估；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3.平台详细功能需包含：</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1)平台前台功能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①首页具备基本的展示和顶部导航功能；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②具有[学习中心]和[手机端]，可随时通过点击进入手机端登录平台；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③学生账号注册等相关功能；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④个人主页和信息维护等设置；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①教师端：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[创建课程]、[试卷批阅]展示相关课程开放期间的所有试卷批阅情况。[作业批改]展示相关课程开放期间的所有作业；</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②学生端：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我的课程]，[我的考试]具备小组讨论功能，能够展示我加入的小组，我发起的话题，我回复的话题以及我收藏的话题，并可点击对相关内容进行操作；[我的考试]展示我参与的考试，包括未批阅/已批阅/未交卷。通过教学成绩评估系统进行成绩反馈；</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3)录播专区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①在学课程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课程基本信息]显示课程的分类，课程名称，教学计划名称，课程二维码。[课程目录]展示课程的目录列表，显示课程下各个学习任务的标题、类型、状态。直播活动会提示直播状态。[讨论区]展示该课程的讨论内容（问题和话题）。[资料区]展示该课程下的所有资料，供学生下载。[学生动态]可显示该课程学生的学习课程情况，包括开始学习，加入课程，收藏课程等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②课程学习界面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标题区]展示该学习任务在课程中的位置，例如第一章第一节。[学习区]显示主要的学习区域，展示课件（视频音频播放，图文浏览等）。[目录]展示章/节/任务，并显示任务的学习状态。[问答]展示该学习任务下的问题列表，也可在此进行提问，并且提问时可以上传云附件。[笔记]在此可以撰写自己的上课笔记，并可选择是否分享给学友，若选择分享则该笔记会展示在课程详细页的笔记区。[作业反馈、预约反馈]在此可以给学生上传的作业进行反馈、预约反馈和打分；</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③[游戏美术、影视动画类反馈机制]在此可以给学生上传的游戏美术、影视动画类作品进行反馈、预约反馈和打分；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4)课程管理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①创建课程：[在教课程列表]可对所有课程进行统一管理；[创建课程]可新创建课程，选择创建何种类型的课程；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②管理课程：[发布课程]未发布的课程的管理页，会有[发布课程]按钮，点击可将课程发布到平台前台，使得学生可看到该课程。[预览课程]可以预览课程，检查以确认课程的显示效果；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③课程资源：[课程文件]可批量上传/删除课件或资料；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④题目管理：[创建题目]，[题目搜索]可对题型，题目从属作为筛选条件，以关键词进行搜索，选择出最终结果。[题目操作]可进行预览，编辑和删除操作；</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该课程管理产品须具有中华人民共和国计算机软件著作权登记证书（提供证书复印件并加盖供应商公章）；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4.平台后台管理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1)管理中心面板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[公告]可查看官方最新的消息，包括升级信息和其他的信息会在此处发布；[数据统计]查看当前在线/登录人数；详细列表中查看今日/昨日和历史的数据；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2)教务管理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[添加新学生]后台手动添加新学生，需填写的字段有邮箱地址，学生名，密码，确认密码以及学生权限[批量导入]支持从 Excel 文件导入学生信息，按照实例说明文件进行导入操作；导入前需要设置：遇到系统已存在的学生，忽略跳过或者覆盖更新；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[修改学生头像]超级管理员可以修改学生头像，可用于上传头像的图片格式为 JPG、GIF 或 PNG 格式。[修改密码]超级管理员可通过修改密码为指定学生重置密码；</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3)数据统计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据统计查询]可指定时间段（本月/上月/近三月），或指定起止时间观察某一指定数据类型的走势和明细。[数据统计——趋势]通过折线图进行数据分析，用于分析网站的具体运维情况[数据统计——明细]以列表的形式，展示详细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三、配套实训课程及资源参数：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1.开发不少于8门线上视频课程，分辨率 不低于1080P；</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AIGC基础课程不少于1.5小时；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StableDiffusion综合应用课程不少于12小时；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AI生成图像课程不少于2.5小时；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AI生成视频课程不少于3小时；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数字绘画软件基础课程不少于3小时；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Zbrush3D数字雕刻课程不少于6小时；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角色设计基础课程不少于2小时；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场景绘画课程不少于 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9)</w:t>
            </w:r>
            <w:r>
              <w:rPr>
                <w:rFonts w:hint="eastAsia" w:ascii="微软雅黑" w:hAnsi="微软雅黑" w:eastAsia="微软雅黑" w:cs="微软雅黑"/>
                <w:color w:val="auto"/>
                <w:sz w:val="16"/>
                <w:szCs w:val="16"/>
                <w:lang w:bidi="ar"/>
              </w:rPr>
              <w:t xml:space="preserve">PBR次世代角色课程不少于5小时；（演示不少于2课时，每课时不少于30分钟。）</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2.配套数字绘画实训资源工程文件：总数量不少于36套，每门课程不少于4套；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p>
        </w:tc>
      </w:tr>
      <w:tr>
        <w:trPr>
          <w:jc w:val="center"/>
          <w:trHeight w:val="30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9</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AI图视频本地部署算力服务器算力卡</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总线接口标准：支持 PCI-E 5.0；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显存规格：等效频率相当于或优于48GHz，显存容量不低于 16GB，显存位宽不低于 256bit；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输出接口：具备 HDMI 接口、DP 视频输出接口；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供电接口：采用 12VHPWR 供电接口；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散热配置：搭载散热风扇数量不少于 3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配套供电要求：整机配置电源额定功率不低于 800W；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设备用途：适用于 AI 图像、视频本地部署推理、算力加速。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w:t>
            </w:r>
            <w:r/>
          </w:p>
        </w:tc>
      </w:tr>
      <w:tr>
        <w:trPr>
          <w:jc w:val="center"/>
          <w:trHeight w:val="406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10</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数字绘画图形图像输出设备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大幅面数字字图形图像输出设备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1.打印尺寸：≥1.5米；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2.颜色：CMYK 4色；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3.墨水兼容：水性/弱溶剂/热升华等；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4.水性材料：PP背胶/灯片/相纸/可移背胶/写真布；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5.油性材料：车贴/灯布/单孔透/刀刮布/旗织布；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6.印花材料：热转印纸/纯棉；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7.特种材料：墙纸/油画布/宣纸/网格布；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8.打印精度：≥1440 dpi；</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9.喷头清洗：自动；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10.加热方式：前/后；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11.烘干方式：风扇；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12.自动收料系统：有；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13.平台吸风调节：有；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14.打印接口：网线；</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441"/>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虚拟制片实验室1003</w:t>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1</w:t>
            </w:r>
            <w:r>
              <w:rPr>
                <w:rFonts w:hint="eastAsia" w:ascii="微软雅黑" w:hAnsi="微软雅黑" w:eastAsia="微软雅黑" w:cs="微软雅黑"/>
                <w:color w:val="auto"/>
                <w:sz w:val="16"/>
                <w:szCs w:val="16"/>
              </w:rPr>
              <w:t xml:space="preserve">1</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影像采集输入系统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一、AI自动跟踪4K摄像机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1.采用尺寸不小于1英寸、像素不小于9MP 超高清 CMOS 传感器；（提供能体现该参数的厂家彩页资料并加盖投标人公章）；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2.变焦功能：支持不少于20倍光学变倍；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3.支持多种输出接口：RJ45(LAN), HDMI, 12G-SDI, 3G-SDI,USB Type-C，SFP+接口；支持同步锁相G/L IN接口；（提供能体现该参数的厂家彩页资料并加盖投标人公章）；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4.支持通过RJ45(LAN)、12G-SDI、HDMI和SFP+接口可同时输出分辨率不小于3840×2160 P60视频信号；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5.支持信号输出格式：12G-SDI：≥3840×2160 P60，SFP+：≥3840×2160 P60，HDMI：≥3840×2160 P60；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6.支持NDI /NDI|HX：主码流: ≥3840×2160P15~60；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7.具备技术PDAF相位对焦，实现≥4K60超高清画质与精准追焦；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8.搭配≥四档可变ND滤镜，该滤镜支持精确调控光线透射率，覆盖≥1.6%、6.3%、25%及100%四个档位。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9.具备同步锁相功能，支持其在复杂的广播级视频制作和直播设置中与其他摄像机实现精确的视频同步；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10.音频输入功能：支持3.5mm音频输入和平衡式Mini XLR音频输入，XLR输入支持48V幻象电源；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11支持摄像机追踪数据输出，兼容FreeD或等效开放追踪协议（如UE LiveLink、ARKit/ARCore位姿数据等），能够探索动态拍摄角度和视角，实现现实视频和虚拟平台无缝融合；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12.内置AI自动跟踪功能，无需任何第三方软件或设备辅助，支持在WebUI上一键开启，搭配遥控器即可实现跟踪目标；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13.自带 MicroSD 卡插槽，可用于固件更新及本地录制。允许直接录制视频到摄像机上，在网络中断时仍可按照设置进行视频录制，支持访问录制视频文件，无需依赖远程服务器访问；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14.支持协议：NDI|HX,SRT, HTTP, RTSP, RTMP, ONVIF, VISCA over IP(TCP&amp;UDP), VISCA, 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15.支持POE++供电，一条网线可以解决供电、视频、控制等所有功能，同时提供高性能的视频编码；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16.支持菜单中设置IP地址，码流分辨率和码流大小；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17.自带Tally指示灯，可以通过指示灯的状态显示直播的开启或关闭；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18.可手动或定时录制≥3840×2160 60帧/秒（视频传输率最高120Mbps）MP4文件；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19.跟踪功能打开时，具备人脸和运动轨迹分析能力，被跟踪人员在多人环境下，始终能够实现锁定目标准确跟踪；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20.支持多样构图模式与细节调整，目标位置可选择呈现在中心位置或左右位置；支持目标比例多种方式可选，可调整人体比例，并可实现全身位显示跟踪；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21.可设置目标丢失时间，目标离开限定区域后超过限定丢失时间，摄像机自动回到中心位置；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22.具备倍率锁定、俯仰锁定功能，以避免演讲者在临界区域时可能导致俯仰和变倍来回移动的问题；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23.支持跟踪目标选定，可通过左右按键切换跟踪目标；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24.具备双白板区域设置功能，演讲者在白板区域小范围移动，不会触发云台跟踪，保证云台跟踪的舒适性；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25.支持12G SDI与3G SDI同时输出一个全景画面和一个特写画面；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二、4K超高清专业输入设备1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搭载三片 1/2 英寸背照式 CMOS 图像传感器；支持 4K 50P/60P 录制，具备 12G-SDI 4K 视频信号输出；内置无级可变 ND 滤镜，调节范围 1/4ND 至 1/128ND；配备不低于 17 倍光学变焦镜头，具备人脸检测自动对焦功能。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配备双高速存储介质插槽，内置 2.4GHz、5GHz 双频段 WiFi 与近场通信功能，支持 12G-SDI 高速传输，设置双多功能通用热靴。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出厂标配：机身镜头一体化主机、镜头遮光罩、寻像器眼罩、配套锂电池、电源适配器 / 充电器、电源线、USB 数据线、肩带、产品保修资料。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额外配套供货：铝合金防护箱 1 个；128GB、读取速度≥200MB/s 高速存储介质 2 张；大容量备用电池 2 块；适配读卡器 2 个；专业机头麦克风 1 个；摄像三脚架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三、4K超高清专业输入设备2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1.传感器：搭载 1.0 英寸背照式 CMOS 图像传感器，具备优异降噪能力，弱光成像效果优异；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2.拍摄性能：支持 4K（3840×2160）超高清分辨率拍摄，画面成像细腻清晰；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3.镜头配置：配备专业摄像镜头，具备光学变焦能力，适配多场景拍摄作业；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4.录制规格：支持多种主流专业视频录制格式，素材后期兼容性强、画质存储质量高；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5.设备特性：配备丰富外设拓展接口，支持手持、肩扛拍摄，操作便捷、适配场景广泛；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6.配套设备：含专业铝箱 1 个、128GB/200MB/s 及以上高速存储介质 2 张、大容量备用电池 2 块、高速读卡器 2 个、专业机头麦克风 1 个、专业三脚架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四、专业影像采集设备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1.图像传感器：采用全画幅图像传感器；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2.有效像素不低于 2400 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3.对焦系统：相位检测对焦点数量不少于 700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4.取景器：搭载高规格 OLED 电子取景器；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5.连拍能力：高速连拍模式最高连拍速度≥120 张 / 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6.静态图像：支持 3:2 全画幅输出，支持无压缩 RAW 原始图像格式存储；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7.视频编码：支持 H.264、H.265（HEVC）主流专业视频编码格式；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8.视频录制：支持 4K（3840×2160）、4:2:0、10bit 色深高码率视频录制；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9.实时对焦：具备每秒≥120 次 AF/AE 高速检测运算能力；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10.高帧率功能：支持传感器原生无裁切 4K 120p 高帧率视频拍摄；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11.无线功能：内置无线网络模块，支持 FTP 文件传输、智能手机无线连接、电脑远程操控拍摄。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五、数字运动输入设备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1.设备功能：支持直播推流、语音控制、延时摄影、循环录像、视频直播；具备裸机防水、电子防抖、触屏操作功能；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2.视频规格：支持 4K/2.7K/1080P 多分辨率、多档位高帧率录制，包含 4K 120P、1080P 240P 等全规格拍摄模式；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3.分辨率：最高拍摄分辨率≥4K；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4.防护性能：裸机防水深度≥20 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5.成像配置：主镜头像素≥4000 万，支持广角拍摄，搭载电子防抖系统；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6.续航配置：续航时长≥240 分钟，电池支持可拆卸更换；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7.机身材质：采用高强度工程塑料；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8.存储规格：视频输出为 MP4 通用格式，支持 TF（MicroSD）存储卡存储；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六、影视图传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1.视频输入接口:HDMI 1.4b及以上 +SDI(支持3G及以上)；</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2.视频输出接口:HDMI 1.4b及以上 +SDI(支持3G及以上)；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3.监听接口:3.5mm耳机孔；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4.升级接口:USB Type-C(支持USB 2.0 OTG及以上)SD卡槽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5.屏幕尺寸:≥7寸触摸屏（内嵌）；</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6.屏幕分辨率:≥1920x1200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7.工作频率:5.1~5.8GHz;2.412~2.484GHZ；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8.发射功率:≤23dBm；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9.接收灵敏度:≤-80dBm；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10.显示延时:≤50ms；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11.传输延时:≤60ms；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2483"/>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七、稳定器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1.配件接口：支持NATO 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2.1/4”-20 安装孔；</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3.容量：≥3000 毫安时；</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4.待机时长：≥10 小时；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5.AI跟拍：带AI跟拍；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6.云台类型：三轴云台；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7.适用机型：单反、微单、手机；</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8.彩色LCD触摸屏：≥1.4英寸（内嵌）；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bookmarkStart w:id="168" w:name="_Hlk237699117"/>
            <w:r>
              <w:rPr>
                <w:rFonts w:hint="eastAsia" w:ascii="微软雅黑" w:hAnsi="微软雅黑" w:eastAsia="微软雅黑" w:cs="微软雅黑"/>
                <w:color w:val="auto"/>
                <w:sz w:val="16"/>
                <w:szCs w:val="16"/>
                <w:lang w:bidi="ar"/>
              </w:rPr>
              <w:t xml:space="preserve">虚拟拍摄核心控制系统</w:t>
            </w:r>
            <w:bookmarkEnd w:id="168"/>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一、摄像机控制盘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1.支持多种协议，NDI、VISCA over IP、VISCA TCP、ONVIF、PELCO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2.提供≥128个预置位并可通过数字键区进行设置、调用和清除；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3.支持≥7台摄像机的菊花链控制；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4.支持四维操纵杆控制器，可对摄像机的全方位旋转和镜头变倍进行流畅控制；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5.具有自动跟踪功能，支持开关及设置功能；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6.OLED屏幕：≥3英寸（内嵌）；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二、4K现场导控台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1.一体式设计支持≥4K &amp; HD移动演播室；</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2.视频格式支持 Input: ≥3840x2160p；</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3.Output: ≥3840x2160p；</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4.视频内部处理SDI支持: 4:2:2 10-bit；HDMI支持: YUV 4:2:2 10-bit, RGB: 4:4:4 8/10-bit，或等效视频处理能力；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5.支持输入交叉设置（XPT）；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6.视频输入接口支持≥8 x 12G-SDI和≥4 x HDMI并向下兼容3G和HD格式；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7.视频输出支持≥4 x 12G-SDI和4 x HDMI并每个输出均能单独设置 Multiview, PGM, PVW, PGM+DSK, Clean PGM, Clean PVW, Input 1-12；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8.支持音频输入≥4 x Analogue XLR与音频输出≥2 x Analogue XLR，支持音频轨数≥Input 4 channels, Output 4 channels；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9.音频延迟支持不低于Up to 16 fields or 8 frames per channel；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10.支持不少于视频4组key键抠像，≥2组下游键字幕，≥2个画中画功能，内置≥两组logo，可实现静态或动态logo显示；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11.配备≥5" Touchscreen Display功能，菜单功能可通过在屏幕上触控设置；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12.内置液晶监视器≥17寸 分辨率：≥3840*2160 dot，能监看到各路输入输出信号以及PGM信号；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13.内置4K高清编码器，实现H.265和H.264的编码录制，RTMP/RTSP等推流功能，并且单独设置推流及录制的码率从512Kbps~15Mbps可设置；</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3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三、4k虚拟拍摄系统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1.XR新媒体数据计算服务器性能要求：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（1）服务器主核心性能指标：        </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中央处理核心数：≥24核；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线程数量：≥32线程；</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内存：≥32GB；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SATA 3.0固态硬盘：≥256GB；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机械硬盘：≥4TB；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图形处理核心主频：≥2520MHz；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图形加速专用显存：≥24GB；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处理器基础主频：≥3.0GHz；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处理器最大睿频：≥3.8GHz；显卡位宽：≥384bit；</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整机散热模式：风冷散热；</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网卡配置：双千兆以太网卡；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（2）服务器机体技术规格指标：</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液晶屏面板尺寸：≥13寸；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液晶面部分辨率：≥1920*1080像素；</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扩展槽：≥7个全高扩展槽；</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硬盘拓展：≥3个3.5寸；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机架式液晶显示器尺寸：≥17寸；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机架式液晶显示器分辨率：≥1920x1080；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2.虚拟角色演播系统配套软件性能要求：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动态接入动捕数据实现虚拟角色与演员动作同步，包含面部、身体、手指动作，具备实时编辑3D场景功能，支持对物体的坐标、旋转、大小进行实时动态编辑；支持虚拟数字人、虚拟场景的自定义导入功能；支持接入摄像机轨道追踪系统(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（2）支持面部表情捕捉，演员与虚拟数字人面部表情实时同步；支持自动匹配，一键式技术，自动跟踪识别，眼球运动捕捉等肌肉运动并生成表情动画；</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（3）支持一键切换AR增强现实效果，实现虚拟数字人与真实世界的实时融合；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（4）支持背景画面设置及一键切换，包括本地图片视频、纯色背景、数字化3D场景等；支持对虚拟场景内的光效实时调整，包括光照方向、强度、色温等属性(提供功能截图加盖公章)；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编辑光照方案，可动态添加点光源、射灯等不同灯光类型；支持自定义视角方案编辑，包含对方案进行增加、删除、修改等操作，可针对不同场景、不同方案自定义机位并记录保存，实现快速一键切换效果(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3.动作批量化处理插件性能要求：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（1）支持批量处理角色动作和模型，支持自动为非标准</w:t>
            </w:r>
            <w:r>
              <w:rPr>
                <w:rFonts w:hint="eastAsia" w:ascii="微软雅黑" w:hAnsi="微软雅黑" w:eastAsia="微软雅黑" w:cs="微软雅黑"/>
                <w:color w:val="auto"/>
                <w:sz w:val="16"/>
                <w:szCs w:val="16"/>
                <w:lang w:bidi="ar"/>
              </w:rPr>
              <w:t xml:space="preserve">bip骨骼开启Bone ON。支持导出单个max档的多个模型、贴图、动作数据，支持批量导出多个max档的所有数据；自动查找模型贴图并对贴图进行标准化命名；（2）导出子骨骼动画时支持自动断开链接、自动归零到世界中心，批量化导出时实时显示导出进度和日志、系统记录导出导出路径及导出状态、支持实时预览不同的动作序列、自动把bip动作数据匹配到角色的每一根骨骼；并实现自动加载关键帧、批量化把多个原始max文件中的角色动作导出；存为标准bip动作数据、批量化把蒙好皮的角色，据已有bip动作数据自动识别骨骼并与角色匹配；</w:t>
            </w:r>
            <w:r/>
          </w:p>
          <w:p>
            <w:pPr>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4.AR开发编辑平台软件性能要求：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（1）平台整体功能指标：系统电脑，手机，IPad端，教师可以在学校或家里进行云端备课，教师直接调用客户端就可以使用简易实用编辑工具，分学科海量资源库</w:t>
            </w:r>
            <w:r>
              <w:rPr>
                <w:rFonts w:hint="eastAsia"/>
                <w:color w:val="auto"/>
              </w:rPr>
              <w:t xml:space="preserve">、</w:t>
            </w:r>
            <w:r>
              <w:rPr>
                <w:rFonts w:hint="eastAsia" w:ascii="微软雅黑" w:hAnsi="微软雅黑" w:eastAsia="微软雅黑" w:cs="微软雅黑"/>
                <w:color w:val="auto"/>
                <w:sz w:val="16"/>
                <w:szCs w:val="16"/>
                <w:lang w:bidi="ar"/>
              </w:rPr>
              <w:t xml:space="preserve">自主制作AR教学应用 、支持教学资源分类存储，资源支持含3D，视频，图片等、支持云资源检索和预览、课前制作AR(提供功能截图加盖公章)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a.添加课本底图或直接调用摄像头拍照，作为AR识别图。支持直接调用展示各科资源，可直接插入图片、视频、透明视频、3D、链接、文字等功能；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插入内容后可以对AR展示内容进行移动，旋转，缩放，删除等； 课件保存后，支持通过分享课件二维码到教师手机微信或QQ上；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c.教学随时调用系统自带的学科，相关AR知识点课件，上课直接使用，同时支持课中教学；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（2）系统模块化功能指标：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系统采用多层架构，后台管理采用B/S架构，AR客户端采用C/S架构、支持目前通用的各类操作系统环境，包括windows server,Linux, Unix等主流操作系统。Web应用服务器支持主流中间件产品，如Nginx, Tomcat等；数据库支持SQL server、MySQL、系统交互界面友好，支持中英文界面、菜单及文档、支持在线账号认证。可与其他系统进行认证互通、提供共享AR资源库，提供平台用户使用便捷性，支持对资源进行检索；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 系统提供多级管理后台:一级后台面向系统管理员，负责管理（增/删/改）所有共享AR资源、作品集、用户账号；二级后台面向大众用户，负责管理（增/删/改）个人AR资源、作品集及作品；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提供完善的资源管理功能，根据资源类型进行灵活的存储，包含图片库、视频库、模型库等，可自定义资源类别、子类别，至少支持三级类别。系统提供基于WEBGL的AR应用在线可视化编辑系统，能快速进行AR场景的编辑，AR作品的发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 支持多种主流浏览器的访问、支持对AR资源进行移动、缩放、旋转操作。支持添加多个AR资源，支持“Android/IOS，APP应用包”活跃人数的统计；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（3）支持AR应用的一键部署：支持ARKit、ARCore AR技术、提供Android、IOS版本AR客户端，支持主流机型安装与使用、支持云/本地混合识别，实现图像目标识别与追踪、提供完整的SDK，包括IOS、Android、PC版本(提供功能截图加盖公章)；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5.数字角色动作资源系统性能要求：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（1）资源库包含1000种人物常用动作可供下载、鼠标悬停窗口播放对应动作效果、可直接将动作应用于角色预览，支持720度全方位视角查看、动作库自带分类，如战斗、冒险、运动、舞蹈、日常等；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（2）显示界面显示信息包括：动作持续时长、帧率、数据类型等、主流的动作文件，可应用于3DMax、Maya、MotionBuilder、Unity3D、UnrealEngine4等主流3D软件及开发引擎使用；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6.数字场景实时交互平台性能要求：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（1）平台内置若干虚拟角色和场景以供选择、可任意切换虚拟角色及场景、支持自定义角色模型导入(提供功能截图加盖公章)；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（2）支持Realtime实时光照，呈现实时的光影效果、支持自定义制定环境光颜色、支持区域灯光开关控制、支持VR模式沉浸式体验(提供功能截图加盖公章)；</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78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四、虚拟演播室软件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1.场景广场：场景广场包含场景推荐、场景库2个模块，用户可以在场景广场中浏览、下载自己想要的场景进行使用，详细说明如下：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推荐：系统支持以海报自动轮播的方式进行场景推荐展示，同时支持一键下载功能，用户可以通过简单的一键操作立即下载他们感兴趣的场景。断点续传：系统支持断点续存功能，若在下载过程中发生中断，用户下次再次点击下载时可以从中断处继续下载，而无需重新开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场景库：系统自带场景库，涵盖发布会、教育、电商、自然、卡通、娱乐、党建、艺术等不同领域，以满足用户在多种场景下的创作需求。场景预览：系统支持场景预览功能，每个场景都包含预览图，为用户提供了直观的场景外观和风格信息，用户能够在场景选择过程中更加直观和明晰，确保他们下载的场景符合他们的期望和创作方向。一键下载：系统支持场景一键下载，用户可快速下载部署使用，无需从零开始创建，节省了时间和创作成本。分类筛选：系统支持单个或多个场景分类进行筛选，以便快速找出符合他们创作方向或项目要求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收藏场景：系统提供了场景收藏功能，用户可以方便地收藏自己喜欢的场景，以便随时查找和使用，详细说明如下：个性化收藏：系统支持一键收藏场景功能，使用户能够轻松地将当前浏览或使用的场景添加到他们的收藏夹中。快速访问：支持快速访问功能，收藏场景页提供一个快速访问的入口，使用户能够直接在该界面直接访问使用收藏的场景，无需再返回浏览场景库。信息同步：系统支持收藏场景信息同步功能，使用户在不同设备上都能够访问和管理他们收藏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我的场景："我的场景"功能为用户提供了高度定制化的场景管理选项，实时编辑：系统支持自定义编辑场景，用户可以在虚拟场景中实时编辑播放多媒体素材；素材类型支持：系统支持添加、修改、删除视频、图片、文字、PPT等元素；实时预览：用户在编辑过程中可能能够实时预览场景的呈现效果，确保编辑的元素能够达到期望的效果。数据保存：系统支持场景自定义保存，用户可以根据自己的创意和需求，在系统中创建和编辑自定义场景，并通过一键操作将这些场景保存为数据文件，方便在后续的创作中快速加载和使用（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画面源输入输出：任意数量的输入源支持：系统在电脑性能充足的情况下提供任意数量的输入源支持，系统支持动态添加或删除输入源，无论是视频采集卡，还是窗口捕获输入，系统都能够适应并管理多个输入源。采集卡输入：系统兼容多种视频采集卡，如用户可以直接通过这些采集卡接入外部设备，如摄像头</w:t>
            </w:r>
            <w:r>
              <w:rPr>
                <w:rFonts w:hint="eastAsia" w:ascii="微软雅黑" w:hAnsi="微软雅黑" w:eastAsia="微软雅黑" w:cs="微软雅黑"/>
                <w:color w:val="auto"/>
                <w:sz w:val="16"/>
                <w:szCs w:val="16"/>
                <w:lang w:bidi="ar"/>
              </w:rPr>
              <w:t xml:space="preserve">、录像机等，实现高质量视频输入。窗口捕获输入：系统支持窗口捕获，用户可以选择捕获屏幕上的特定窗口或应用程序，将其作为输入源，方便进行软件操作或演示的录制。输入源切换：在系统中方便地切换和管理不同的输入源，以满足不同的制作需求。用户可选类型：窗口捕获；分辨率：支持1920*1080、2048*1080、3840*2160等多种不同分辨率；接口：支持采集卡接口的输入；标准：支持Progressive、Interlaced双模式；帧率：支持根据所接入的专业视频采集设备自动识别并实时获取输入帧率，提供可配置的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5.输出模式：系统提供多种输出模式，以满足用户在不同场景下的需求，其中包括显示器输出和兼容主流专业级采集卡输出。显示器输出：系统支持将虚拟</w:t>
            </w:r>
            <w:r>
              <w:rPr>
                <w:rFonts w:hint="eastAsia" w:ascii="微软雅黑" w:hAnsi="微软雅黑" w:eastAsia="微软雅黑" w:cs="微软雅黑"/>
                <w:color w:val="auto"/>
                <w:sz w:val="16"/>
                <w:szCs w:val="16"/>
                <w:lang w:bidi="ar"/>
              </w:rPr>
              <w:t xml:space="preserve">场景内容通过HDMI、DP接口直接输出到显示器上，使用户能够实时预览虚拟场景的效果。采集卡输出：系统兼容主流专业级视频采集卡，用户可以选择将虚拟场景输出到这些采集卡上，以便进行高质量的视频采集。输出参数属性：分辨率：支持1920*1080、2048*1080、3840*2160等多种不同分辨率；帧率：支持自动识别并配置输入视频的帧率，提供可配置的参数；标准：支持Progressive、Interlaced双模式；输出类型：Fill；连接目标：SingleLink；参考信号：External、FreeRun。</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虚拟机位设置：虚拟机位：系统内置了多种机位选项，包括近景机位、中景机位、远景机位、左机位、右机位、人物特写机位、PPT展示机位。机位切换功能：系统分别支持“闪切”、“缓动”两种模式的机位切换方式，不同机位之间实现动态无缝切换，提高场景呈现的视觉吸引力和表现力。特写机位展现：系统支持人物特写机位，使用户能够更详细地展现虚拟场景中的人物，增加场景的情感表</w:t>
            </w:r>
            <w:r>
              <w:rPr>
                <w:rFonts w:hint="eastAsia" w:ascii="微软雅黑" w:hAnsi="微软雅黑" w:eastAsia="微软雅黑" w:cs="微软雅黑"/>
                <w:color w:val="auto"/>
                <w:sz w:val="16"/>
                <w:szCs w:val="16"/>
                <w:lang w:bidi="ar"/>
              </w:rPr>
              <w:t xml:space="preserve">达和互动性。PPT展示机位：系统提供专门的PPT展示机位，用户可以在虚拟场景中灵活展示PPT内容，支持不同格式的文本内容，包含但不限于Word、PDF、PPTX等格式；运镜方式：系统提供专业级的影视摄像机运镜效果，包括推拉运镜、摇头运镜、左、右环绕运镜等；机位编辑：系统内嵌机位编辑功能，允许用户自定义虚拟场景中不同机位的位置和状态。机位控制状态菜单面板：系统提供直观的机位控制状态菜单面板，包括下降、上升、前进、后退、左移、右移、旋转等操作进行机位位置设定，支持一键复位功能，使用户可以轻松操作和调整机位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抠像功能：人物面片设置：系统提供了人物面片设置功能，允许用户对虚拟场景中的人物面片进行高度自定义设定。输入源选择：支持多输入源选择，以满足不同创作需求；画面镜像翻转：系统支持人物画面的镜像翻转，以改变人物朝向适应不同场景。旋转调整：支持对人物面片进行顺时针和逆时针旋转，以调整面片在虚拟场景中的方向。位置调整：支持人物画面缩放、支持在多个方向上对人物画面进行实时调整，包括左右、前后、上下，使用户能够精确控制人物在场景中的位置。复位：支持参数设置一键复位使其恢复为默认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抠像设置：系统支持实时抠像，使用户能够在虚拟场景中准确地选择和提取人物或物体，实</w:t>
            </w:r>
            <w:r>
              <w:rPr>
                <w:rFonts w:hint="eastAsia" w:ascii="微软雅黑" w:hAnsi="微软雅黑" w:eastAsia="微软雅黑" w:cs="微软雅黑"/>
                <w:color w:val="auto"/>
                <w:sz w:val="16"/>
                <w:szCs w:val="16"/>
                <w:lang w:bidi="ar"/>
              </w:rPr>
              <w:t xml:space="preserve">现虚拟合成效果。抠像颜色：系统支持多种取色方式，包括但不限于：取色笔取色、R、G、B、A数值输入、H、S、V数值输入，系统还支持Color Wheel和Color Spectrum两种不同的抠像颜色选择模式；透明阈值可调范围：-5~5；透明偏移可调范围：-5~5；红权重可调范围：-5~5；蓝权重可调范围：0~1；黑色截断可调范围：0~5；白色截断可调范围：0~5；KernalSize可调范围：-5~5；Samples可调范围：0~100；DebAlpha可调范围：0~1；溢色：可选激活、支持一键复位；Met</w:t>
            </w:r>
            <w:r>
              <w:rPr>
                <w:rFonts w:hint="eastAsia" w:ascii="微软雅黑" w:hAnsi="微软雅黑" w:eastAsia="微软雅黑" w:cs="微软雅黑"/>
                <w:color w:val="auto"/>
                <w:sz w:val="16"/>
                <w:szCs w:val="16"/>
                <w:lang w:bidi="ar"/>
              </w:rPr>
              <w:t xml:space="preserve">hod可调范围:0~1；Amount可调范围:0~1；HueRange可调范围:-5~5；颜色校正：可选激活、支持一键复位；对比度可调范围:-10~10；饱和度可调范围:-10~10；色相偏移可调范围:-10~10；明亮度可调范围:-10~10；支持高光调整、中间调、暗部调整；画面裁切：系统支持画面裁切，使用户能够调整抠像元素的画面范围，以适应不同的显示或设计需求。裁切参数包含：左裁切可调范围0~1；右裁切可调范围0~1；上裁切可调范围0~1；下裁切可调范围0~1；支持一键复位（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8.场景画布：场景画布：系统支持自定义编辑</w:t>
            </w:r>
            <w:r>
              <w:rPr>
                <w:rFonts w:hint="eastAsia" w:ascii="微软雅黑" w:hAnsi="微软雅黑" w:eastAsia="微软雅黑" w:cs="微软雅黑"/>
                <w:color w:val="auto"/>
                <w:sz w:val="16"/>
                <w:szCs w:val="16"/>
                <w:lang w:bidi="ar"/>
              </w:rPr>
              <w:t xml:space="preserve">画布的功能，用户可以根据需要自定义画布的尺寸和位置，以适应不同的创作需求。画布编辑：系统支持用户从画布素材库动态添加或删除场景画布，素材库包含多种不同比例画布，包括但不限于16:9、9:16、1:1、4:1；展示素材类型：系统支持展示多种素材类型，包括但不限于图片、视频等多媒体素材；素材管理：系统支持单个画布上显示数十个素材，用户可以通过素材面板方便地管理和控制播放、展示这些素材。实时预览和切换：系统提供实时预览功能，用户可以在素材面板上看到素材的缩略图，实时切换和预览素材内容（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9.3D文字添加：3D文字添加：系统支持用户在虚拟场景中添加3D文字元素，以增添场景的立体感和创意。文字位置设定：系统支持用户对文字进行多方位的设定，包括前后、左右、上下位置、旋转角度、大小缩放等；文字动画：系统提供文字动画功能，用户可以为文字元素添加各种动画效果；实时预览：系统支持实时预览功能，用户可以在编辑过程中即时查看文字位置设定和动画效果，以满足创作需求（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PPT素材：PPT素材导入：系统支持用户自定义PPT素材导入，允许用户将自己的PPT演示文稿无缝集成到虚拟场景中。格式支持：系统支持多种文本类型，包含但不限于Word、PDF、PPTX、PPTM等格式,以满足不同用户的文件格式需求。PPT控制：系统支持对PPT素材进行控制展示，包括翻页、播放、停止等功能，以保持对PPT内容的灵活管理（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个人中心：用户可查看自己的账号及账号使用期限，支持提醒用户距离账户到期时间，支持用户在个人中心修改密码，提高账户安全性，支持用户账户一键退出功能，用户可安全地退出当前账户，确保账户信息不被他人使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5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五、虚拟制片UNREAL背景资源平台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1.硬件配置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（1）中央处理核心数：≥20核；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（2）线程数量：≥28线程；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（3）内存：≥32GB；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（4）固态硬盘：≥1TB；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（5）图像处理核心频率：≥2520MHz；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（6）图像处理显存：≥8G；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（7）实时光线追踪：支持；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2.配套资源集成平台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（1）平台功能配置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【独立域名设置】可允许用户进行个性域名设置；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【自定义平台LOGO】可允许用户进行LOGO图案个性定制和上传；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【实训人员档案功能】建立实训人员职业档案，包含学生完成项目情况及作业，平台包含教材相关数字资源；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【移动学习功能】能通过扫教材上二维码及时观看教学视频，必须支持电脑、IPAD、手机等移动平台学习；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绿色的数字为本年新增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【教学功能】可对实训人员进行学习行为管理和对学生学习结果评估做针对性个体教学；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【防盗链技术】数字身份识别防盗系统，防止平台课程被翻录和盗版；</w:t>
            </w:r>
            <w:r/>
          </w:p>
          <w:p>
            <w:pPr>
              <w:widowControl/>
              <w:rPr>
                <w:rFonts w:ascii="微软雅黑" w:hAnsi="微软雅黑" w:eastAsia="微软雅黑" w:cs="微软雅黑"/>
                <w:color w:val="auto"/>
                <w:sz w:val="16"/>
                <w:szCs w:val="16"/>
                <w:lang w:bidi="ar"/>
              </w:rPr>
            </w:pPr>
            <w:r/>
            <w:bookmarkStart w:id="169" w:name="_Hlk237699110"/>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【云指纹】视频云指纹系统有效防止平台课程被翻录和盗版且可跟踪；</w:t>
            </w:r>
            <w:r>
              <w:rPr>
                <w:rFonts w:hint="eastAsia" w:ascii="微软雅黑" w:hAnsi="微软雅黑" w:eastAsia="微软雅黑" w:cs="微软雅黑"/>
                <w:color w:val="auto"/>
                <w:sz w:val="16"/>
                <w:szCs w:val="16"/>
                <w:highlight w:val="yellow"/>
                <w:lang w:bidi="ar"/>
              </w:rPr>
              <w:t xml:space="preserve">【提供视频演示】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【软件著作权】该平台具有中华人民共和国计算机软件著作权登记证书（提供证书复印件并加盖供应商公章）；</w:t>
            </w:r>
            <w:bookmarkEnd w:id="169"/>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【访问IP防护】允许用户设置黑、白IP名单，针对恶意攻击IP地址进行管控；</w:t>
            </w:r>
            <w:r/>
          </w:p>
          <w:p>
            <w:pPr>
              <w:widowControl/>
              <w:rPr>
                <w:rFonts w:ascii="微软雅黑" w:hAnsi="微软雅黑" w:eastAsia="微软雅黑" w:cs="微软雅黑"/>
                <w:color w:val="auto"/>
                <w:sz w:val="16"/>
                <w:szCs w:val="16"/>
                <w:lang w:bidi="ar"/>
              </w:rPr>
            </w:pPr>
            <w:r/>
            <w:bookmarkStart w:id="170" w:name="_Hlk237699131"/>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【敏感词防护】允许用户设置屏蔽或禁止敏感关键词，并可以查看屏蔽记录；</w:t>
            </w:r>
            <w:r>
              <w:rPr>
                <w:rFonts w:hint="eastAsia" w:ascii="微软雅黑" w:hAnsi="微软雅黑" w:eastAsia="微软雅黑" w:cs="微软雅黑"/>
                <w:color w:val="auto"/>
                <w:sz w:val="16"/>
                <w:szCs w:val="16"/>
                <w:highlight w:val="yellow"/>
                <w:lang w:bidi="ar"/>
              </w:rPr>
              <w:t xml:space="preserve">【提供视频演示】</w:t>
            </w:r>
            <w:bookmarkEnd w:id="170"/>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【刷帖防护】允许用户设置同一平台学生，5分钟内最多发帖次数（包含回复数）；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【软件著作权】平台须具有中华人民共和国软件著作权（提供证书复印件并加盖供应商公章）；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3.配套背景素材资源需包含以下资源：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（1）古代角色素材包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古代角色2个：男性和女性角色各1个，角色需要进行骨骼肌肉绑定、表情控制，及可以适配全套动作库，同时每个角色包含三套不同的服饰和发</w:t>
            </w:r>
            <w:r>
              <w:rPr>
                <w:rFonts w:hint="eastAsia" w:ascii="微软雅黑" w:hAnsi="微软雅黑" w:eastAsia="微软雅黑" w:cs="微软雅黑"/>
                <w:color w:val="auto"/>
                <w:sz w:val="16"/>
                <w:szCs w:val="16"/>
                <w:lang w:bidi="ar"/>
              </w:rPr>
              <w:t xml:space="preserve">型。需同时提供完整Maya、Zbrush、Substance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（2）现代角色素材包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现代角色2个：男性和女性角色各1个，角色需要进行骨骼肌肉绑定、表情控制，以及可以适配全套动作库，同时每个角色包含三套不同的服饰和发型</w:t>
            </w:r>
            <w:r>
              <w:rPr>
                <w:rFonts w:hint="eastAsia" w:ascii="微软雅黑" w:hAnsi="微软雅黑" w:eastAsia="微软雅黑" w:cs="微软雅黑"/>
                <w:color w:val="auto"/>
                <w:sz w:val="16"/>
                <w:szCs w:val="16"/>
                <w:lang w:bidi="ar"/>
              </w:rPr>
              <w:t xml:space="preserve">。需同时提供完整Maya、Zbrush、Substance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（3）古代场景素材包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古代场景2个：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室内外场景各一套，包含不同季节环境和灯光气候系统。室内包含常用古代生活起居家具和古代装饰等道具内容。室外</w:t>
            </w:r>
            <w:r>
              <w:rPr>
                <w:rFonts w:hint="eastAsia" w:ascii="微软雅黑" w:hAnsi="微软雅黑" w:eastAsia="微软雅黑" w:cs="微软雅黑"/>
                <w:color w:val="auto"/>
                <w:sz w:val="16"/>
                <w:szCs w:val="16"/>
                <w:lang w:bidi="ar"/>
              </w:rPr>
              <w:t xml:space="preserve">包含古代建筑（五种以上不同类型）古代建筑和相应的古代装饰材料等内容。需同时提供完整Maya、Zbrush、Substance Painter和虚幻等源文件。定制资源：基于虚幻引擎PBR次世代高精度古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（4）现代场景素材包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现代场景2个：室内外场景各一套，包含不同季节环境和灯光气候系统，室内包含常用古代生活起居家具和古代装饰等道具内容。室外场景包含（五种以上不同类型）现代建筑和相应的现代装饰材</w:t>
            </w:r>
            <w:r>
              <w:rPr>
                <w:rFonts w:hint="eastAsia" w:ascii="微软雅黑" w:hAnsi="微软雅黑" w:eastAsia="微软雅黑" w:cs="微软雅黑"/>
                <w:color w:val="auto"/>
                <w:sz w:val="15"/>
                <w:szCs w:val="15"/>
                <w:lang w:bidi="ar"/>
              </w:rPr>
              <w:t xml:space="preserve">料等内容。需同时提供完整Maya、Zbrush、Substance Painter和虚幻等源文件。</w:t>
            </w:r>
            <w:r>
              <w:rPr>
                <w:rFonts w:hint="eastAsia" w:ascii="微软雅黑" w:hAnsi="微软雅黑" w:eastAsia="微软雅黑" w:cs="微软雅黑"/>
                <w:color w:val="auto"/>
                <w:sz w:val="16"/>
                <w:szCs w:val="16"/>
                <w:lang w:bidi="ar"/>
              </w:rPr>
              <w:t xml:space="preserve">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六、三脚架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1.俯仰摇摄:≥-75</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 ≤ +90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2.水平摇摄: ≤360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3.工作高度: 810-1670mm；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4.云台类型:液压云台；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6.脚架节数≥3节；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7.管径：不小于16mm；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七、无线领夹话筒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1.振荡器类型：晶体控制锁相环合成器；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2.接收类型：空间分集；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3.天线类型：1/4 波长线；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4.频率响应：23Hz 至 18kHz（典型）；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5.信噪比：≥96dB（最大误差，A 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6.失真 (T.H.D)：0.9% 或更低（-60dBV，1kHz 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7.音频延迟： ≤0.35 毫秒；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八、专业播音话筒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1.单指向、16mm直径镀金Mylar膜片纯电容音质；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2.48V幻象供电，镀金卡侬输出；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3.频率范围：20—20000 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4.灵敏度：-30dB(20mV/Pa)；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5.指向形：超心型；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6.拾音角度：≥120°；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7.最大声压级：≥138dB；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8.阻抗：≥150Ω；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9.信噪比：≥78d；</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6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九、调音台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1.≥12路输入通道，≥6路话筒输入，≥2路立体声线路输入，≥1组USB声卡输入，≥1路USB接口(移动U盘)输入或选择4路话筒输入，≥4组立体声线路输入，≥1组USB声卡输入，≥1路USB接口输入;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2.具有≥2路主输出通道、≥4路编组输出、≥4路AUX SEND辅助输出、≥1组立体声CTRL ROOM监听输出、≥1路耳机监听输出、≥1个USB声卡IN/OUT接口、≥1个U盘录/播音接口、≥1个FOOT SW开关接口;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3.麦克风输入通道配置超低噪音的MIC前级和+48V幻象电源。120Hz低切滤波器;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4.输入通道具有HI-Z高阻抗输入（1~2通道）、增益控制（1~6通道）、压缩器（1~4通道）、3段参量均衡器(1~4输入通道支持中频扫频），输入通道均配置4个AUX旋钮、声像平衡、PFL信号监听、ON功能;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5.采用60mm高精度电平衰减推子;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6.通道配置GR1/2、GR3/4、L/R总线分配按钮;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7.内置可调参数的数字效果器：≥24个；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8.支持USB/蓝牙媒体播放器，带数码显示屏，支持U盘播放、蓝牙播放；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9.配置USB声卡接口支持电脑录播音功能;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10.总谐波失真：≤0.004%;</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11.频率响应：20Hz-20kHz（±1dB）;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12.额定增益：0dB（±0.5dB）;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13.信噪比：≥112dB；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14.最大输入电平：≥20dBu；</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15.最大输出电平：≥20dBu；</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9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十、监听音箱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1.系统类型：有源监听音箱；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2.频率响应：40Hz-20kHz；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3.额定功率(定阻)：≥70W/4Ω；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4.采用不小于5.2寸振膜低音或等效性能；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5.高频：采用不小于1寸振膜高音或等效性能；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6.输入插座：具备XLR(卡侬)和RCA；</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1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十一、提词器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1.该系统需支持Liunx嵌入式系统或Windows 主流系统，整套系统采用一体化手拧螺丝结构，安装快捷，操作简单，控制方便，分光效果可达97%以上，提词器屏幕内置提词主机，满足U盘、PC和纸质播音文件三种采集读稿方式；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2.采用2mm专业无色分光镜，分光比2:8，表面多层介质镀膜（硬膜），无光损，适配各类高标清镜头，广视角设计，提示器文稿显示清晰，无虚影，拍摄不穿帮；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3.主机配置：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1.中央处理核心数：≥10核；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2.处理器线程：≥16线程；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3.主频≥3.7GHz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5.SSD硬盘：≥1TB；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6.独立显存：≥8G；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7.主频：≥4.7GHz；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8.屏幕尺寸：≥22寸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9.亮度：≥400cd/㎡；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10.点距： ≤0.2767mm；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11.屏幕刷新率：≥60Hz；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12.屏幕分辨率：≥1920*1080；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13.接口类型：支持HDMI 或VGA；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14.响应时间范围：2ms-4ms；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336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十二、演播室线材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1.超高清视频线不少于20米；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2.超高清视频线屏蔽类型：双屏蔽；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3.超高清视频线芯：镀锡铜；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6.NEUTRIK卡龙头不少于10个；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7.HDMI高清视频线不少于520米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8.6类网线不少于1箱；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9.电源线不少于20米；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10.信号控制线不少于20米；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11.接插件等不少于10套；</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41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十三、反送监看电视设备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1.屏幕尺寸不小于75英寸；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2.屏幕分辨率:超高清不少于4K；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3.刷屏率：≥144Hz；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4.色域标准：≥BT.709；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5.色域值：≥130%；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6.亮度：优于300-400尼特；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7.接口：不少于2个HDMI、不少于2个USB、AV等接口；</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十四、操作台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1.定制控制操作台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（1）桌面长度：≥2.4米；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（2）桌面深度：≥1米；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（3）桌面高度：≥0.7米；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（4）材质：冷轧钢板、板材；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（5）板材厚度：≥2.5cm；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（6）板材颜色：木纹或白色；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2.控制室座椅≥2个</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（1）颜色：曜黑云白；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（2）头枕：宽幅3D头枕；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（3）椅背：不可调节；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（4）腰枕：复合弹弓骶枕；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（5）扶手：4D扶手 前后旋转：≤360度、≤90翻转；</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（6）座垫：全网座垫；</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（7）底盘：旋钮底盘可调节后仰弹力；</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（8）后仰：三档≤135°；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（9）网布：波浪密楞网布；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0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十五、数字角色形象资产管理系统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1.平台内置不少于200个虚拟角色和场景以供选择；</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2.可任意切换虚拟角色及场景；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3.支持自定义角色模型导入；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4.支持Realtime实时光照，呈现实时的光影效果；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5.支持自定义制定环境光颜色；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6.支持区域灯光开关控制；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7.支持VR模式沉浸式体验；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十六、虚拟VR平台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1.屏幕尺寸：≥55英寸；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显示单元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1.显示尺寸：≥43英寸；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2.显示比例：16：9；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感知识别单元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1.感知尺寸：≥43英寸；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2.边框类型：超薄结构；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3.触控点位：≥3点；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5.硬盘:≥500GB；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6.机体材料:冷轧钢板全金属机体；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7.散热结构:环流气体散热；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8.机体表面：喷塑处理——防划伤，防震，防磕碰；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9.机体防护：防静电，防干扰，防尘；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10.内部工艺：防锈处理；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11.正面防水：IP65级正面防水；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12.至少包含党建、数字展厅、特色主题展馆、中国史系列展馆等相关案例；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可满足党课学习、成果展示、视频通讯、远程协助能需要，实现自主学习、党会党建、政务关注、支部生活、信息共享等功能，规范基层党组织学习、生活制度，提高基层党员干部的党建知识、理论水平和综合素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14.（1）基于虚拟仿真技术（3D Max，Maya，Subtance，ZBrush，Unity3D，C#，Mono，</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DirectX11）、客户端开发技术（C/C++，Protobuf，GRPC，DirectShow，opencv，Websocket，.Net Framework）等技术开发的“智慧党建”平台，数字内容丰富、场景逼真、还原度高、交互操作简单。</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bookmarkStart w:id="171" w:name="_Hlk237699146"/>
            <w:r>
              <w:rPr>
                <w:rFonts w:hint="eastAsia" w:ascii="微软雅黑" w:hAnsi="微软雅黑" w:eastAsia="微软雅黑" w:cs="微软雅黑"/>
                <w:color w:val="auto"/>
                <w:sz w:val="16"/>
                <w:szCs w:val="16"/>
                <w:lang w:bidi="ar"/>
              </w:rPr>
              <w:t xml:space="preserve">3D惯性动作捕捉设备</w:t>
            </w:r>
            <w:bookmarkEnd w:id="171"/>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一、惯性传感器：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1.传感器数量：≥28个；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2.陀螺仪：±2000dps；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3.加速计：±8g；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4.最小分辨率：不高于0.02°；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5.静态姿态精度：≥Roll 1°/Pitch 1°/Yaw 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6.工作电压：DC3.7V；</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7.工作时长：≥5Hours；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8.数据计算帧率：≥600Hz；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9.数据输出帧率：≥60Hz；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二、数据收发器：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1.接口类型：Type-C；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2.工作频段：2400MHz~2483MHz；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3传输距离：≥6M；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三、配套软件参数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1.多样性切换捕捉模式：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（1）1全身模式：≥17个传感器；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（2）全身+手套模式：≥27个传感器；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（3）上半身模式：≥11个传感器；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（4）下半身模式：≥7个传感器；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（5）单臂模式：≥3个传感器；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（6）手套模式：≥12个传感器；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2配套3D角色动画虚拟仿真教学系统；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需包含配套3D角色动画虚拟仿真教学系统，符合动画运动规律的虚拟仿真项目。需提供单机可执行文件，以及能够在主流网页浏览器运行的网页版本，并提交所有项目源文件。功能需求如下：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（1）提供一组角色，体现不同个性特征的走路运动库；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bookmarkStart w:id="172" w:name="_Hlk237699162"/>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能够实现不同角色之间走路的对比观察，由用户任意调整观察角度和动画速度，进行实时对比；</w:t>
            </w:r>
            <w:r>
              <w:rPr>
                <w:rFonts w:hint="eastAsia" w:ascii="微软雅黑" w:hAnsi="微软雅黑" w:eastAsia="微软雅黑" w:cs="微软雅黑"/>
                <w:color w:val="auto"/>
                <w:sz w:val="16"/>
                <w:szCs w:val="16"/>
                <w:highlight w:val="yellow"/>
                <w:lang w:bidi="ar"/>
              </w:rPr>
              <w:t xml:space="preserve">【提供视频演示】</w:t>
            </w:r>
            <w:bookmarkEnd w:id="172"/>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（3）配套走路习题一套，以便检验用户学习效果；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bookmarkStart w:id="173" w:name="_Hlk237699168"/>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功能模块需要包含：主页模块、基础演示模块、对比演示模块、细节演示模块、练习模块等；</w:t>
            </w:r>
            <w:r>
              <w:rPr>
                <w:rFonts w:hint="eastAsia" w:ascii="微软雅黑" w:hAnsi="微软雅黑" w:eastAsia="微软雅黑" w:cs="微软雅黑"/>
                <w:color w:val="auto"/>
                <w:sz w:val="16"/>
                <w:szCs w:val="16"/>
                <w:highlight w:val="yellow"/>
                <w:lang w:bidi="ar"/>
              </w:rPr>
              <w:t xml:space="preserve">【提供视频演示】</w:t>
            </w:r>
            <w:bookmarkEnd w:id="173"/>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（5）须基于Unity技术引擎开发；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bookmarkStart w:id="174" w:name="_Hlk237699173"/>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须角色动画必须为3D方式制作；</w:t>
            </w:r>
            <w:r>
              <w:rPr>
                <w:rFonts w:hint="eastAsia" w:ascii="微软雅黑" w:hAnsi="微软雅黑" w:eastAsia="微软雅黑" w:cs="微软雅黑"/>
                <w:color w:val="auto"/>
                <w:sz w:val="16"/>
                <w:szCs w:val="16"/>
                <w:highlight w:val="yellow"/>
                <w:lang w:bidi="ar"/>
              </w:rPr>
              <w:t xml:space="preserve">【提供视频演示】</w:t>
            </w:r>
            <w:bookmarkEnd w:id="174"/>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（7）须允许扩展更多类型3D角色动作演示；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14</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人像辅助灯光系统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一、补光灯套装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1.电池容量:≥6000毫安锂电池；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2.摄影灯架高度：≥1.2米；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3.摄影灯架数量：1台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4.灯珠数量：≥110颗LED灯珠；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5.色温范围：3300K-5600K；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6.亮度调节范围：10%—100%；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8.最大功率：≥12W；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二、彩光补光灯棒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1.灯体数量：1套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2.挡光板数量：1 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3.电池手柄数量：1套；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4.USB-C电源线数量：1套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5.便携包数量：4套；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7.光源类型：RGB；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8.色温：2500 - 8500K；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 1500Lux；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10.模式：支持 CCT、HSI、RGB 三种模式；</w:t>
            </w:r>
            <w:r/>
          </w:p>
          <w:p>
            <w:pPr>
              <w:pStyle w:val="84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11.续航时间：≥4.5小时</w:t>
            </w:r>
            <w:r/>
          </w:p>
          <w:p>
            <w:pPr>
              <w:pStyle w:val="84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12.内置锂电池：≥2200mAh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三、便携手持拍照补光豆腐灯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1.LED6R灯体数量：1；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2.柔光罩数量：1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3.Type-C电源线数量：1；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4.桌面三脚架数量：1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pStyle w:val="84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8.功率≥6W；</w:t>
            </w:r>
            <w:r/>
          </w:p>
          <w:p>
            <w:pPr>
              <w:pStyle w:val="84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9.内置锂电池：≥1800mAh；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四、环形补光灯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1.LR150灯体数量：≥1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2.手机支架数量：≥1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3.电源适配器数量：≥1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4.2.2米灯架数量：≥1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8.显色指数：≥90,亮度；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9.调节范围：1%-100%；</w:t>
            </w:r>
            <w:r/>
          </w:p>
          <w:p>
            <w:pPr>
              <w:pStyle w:val="84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10.功率≥10W；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五、聚光筒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1.兼容灯具：Bowens卡口LED灯；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2.镜头配置：标配85mm光学投影镜头（EF卡口）；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3.旋转设计：360°可旋转镜筒，无需拆卸即可调整投影角度；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4.材质：金属机身+多孔散热结构；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六、柔光球 4台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1.类型：球形柔光箱（灯笼型）；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2.直径：≥85cm；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3.材质：高密度柔光布+金属撑杆；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4.卡口类型：标准保荣卡口（兼容Godox SL/M/LA/SZ系列灯具）；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5.适用光源：LED常亮灯、闪光灯；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6.功率：≥300W；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7.柔光效果：360°均匀散射，适合人像、静物拍摄；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4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七、双色温LED平板补光灯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1.配置清单</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（1）LED50R补光灯数量：不少于1枚；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（2）灯架高度：≥2米；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（3）电池容量≥6000mAh；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2.基本参数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（1）灯珠配置：RGBWW 五色混光（红、绿、蓝、白、暖白），功率：小于等于63W，色温范围：2500K~10000K（CCT模式）；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（2）显色指数：CRI ≥96，TLCI ≥96，调光范围：0%~100%无级调节，光效模式：CCT/HSI/RGB/GEL/FX（14种动态光效）；</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虚拟拍摄灯光系统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一、灯具固定轨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1.材料：工字型，选用优质铝合金型材材质；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2.施工工艺：熔铸、挤压、镀钛等工艺加工；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3.轨道承重≥300KG；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4..材料规格≥60*80*4MM；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二、恒力吊杆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1.吊杆主体材料：铝合金材料；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2.恒力弹簧材料：特制铝合金弹簧钢[经特殊处理，经久耐用，抗腐蚀；</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3.吊挂重量≥10kg；</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三、LED平板灯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1.灯光通道数量不低于2通道；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2.具有光效高，显色性好，显色指数：≥95；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3.灯珠数量≥672颗，色温范围：3200K-5600K；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4.灯具配置数码管显示屏；</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12</w:t>
            </w:r>
            <w:r/>
          </w:p>
        </w:tc>
      </w:tr>
      <w:tr>
        <w:trPr>
          <w:jc w:val="center"/>
          <w:trHeight w:val="3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四、LED聚光灯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1.具有光效高，显色性好，显色指数≥95，标准色温5600K;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2.内置2.4G遥控接收装置，配合WiFi-2.4G控制盒；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3.支持DMX调光控制，配置数码管显示屏，可显示地址码和亮度；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4.功率（W）≥100W；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5.亮度调节:无级调光；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6.调焦范围：10°-55°；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五、调光台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1.功率≥12W；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2.控制推杆≥24个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3.可存储程序≥16个程序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4.内置全中文LCD显示屏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5.程序步数≥ 99步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6.手动提灯功能: 有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7.数字键: 1-16，用于选择走灯程序、选择电脑灯；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8.BANK/SCENES: 可编程程序，具备场景控制功能；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9.暗场功能: 黑场键可实现所有通道输出零，达到黑场效果；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10.渐变调节: 调节两步程序之间的渐变时间；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11.速度调节: 调节程序播放时每一步的停留时间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12.声控功能: 在播放程序时，可以通过声控键控制程序的运行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13.工作环境: 适合在无腐蚀性、可燃气体、可自然通风的场所使用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14.信号增强: 超强信号输出，4路光电隔离信号同步输出，每路采用独立的电源供电，具有很高的抗干扰能力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15.信号控制; 支持标准的DMX512信号，有一组标准的DMX512信号输入，1路信号直通输出，4路光电隔离输出；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六、灯具电缆线≥30米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1.国标3x4平方 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2.护套采用聚氯乙烯材料；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3.环保安全抗冻防水耐拉、专用电源接头；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七、控制线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1.规格：国标3x0.5+1平方，带屏蔽RVV护线软套；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2.护套材料：聚氯乙烯；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2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八、保险链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1.φ4包胶钢丝绳；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2.钢制保险扣；</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九、灯号牌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1.材质：PVC材质；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2.工艺：雕刻工艺；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3.尺寸：不小于105×150mm矩形；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十、灯钩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1.材料采用高强度铝合金；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2.可包裹管径：≥30-55mm；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3.承重≥40KG；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4.适合吊挂LED聚光灯，平板灯，成像灯，Par灯；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十一、1.5mm²电源线≥100米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1.规格：国标ZRRVV3×1.5mm²；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十二、2.5mm²电源线≥100米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1.规格：国标ZRRVV3×2.5mm²；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b/>
                <w:bCs/>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4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十三、信号接插件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1.规格：五芯XLR；</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2.特性：DMX512信号传输专用；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4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 、灯栅层吊架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1.功能需求：专用摄影桁架；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2.满足无影墙天花覆盖；</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3.满足摄影灯架设备，灯栅层吊架；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十五、分线盒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1.1分4电源信号分线盒；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2.材料：PC；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3.尺寸：长度：≥8cm,宽度：≥4.5cm 高度：≥3.2cm；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十六、灯光电缆桥架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1.尺寸：高度≥1.5cm 宽度≥10cm；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2.长度：≥20米；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标准件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五金件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捆扎件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20</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16</w:t>
            </w:r>
            <w:r/>
          </w:p>
        </w:tc>
        <w:tc>
          <w:tcPr>
            <w:shd w:val="clear" w:color="auto" w:fill="auto"/>
            <w:tcBorders>
              <w:top w:val="single" w:color="auto" w:sz="4" w:space="0"/>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抠像绿箱系统集成</w:t>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一、定制抠像绿箱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1.高度：≥2.6米；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2.宽度：≥6米；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3.深度：≥4米；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4.绿箱制作:制作U型；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5.核心材料：木质或混合材质；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6.结构材料：木质、轻钢龙骨、基层木工板；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7.表面材质：专业抠像漆；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8.地面材质：抠像地板胶；</w:t>
            </w:r>
            <w:r/>
          </w:p>
          <w:p>
            <w:pPr>
              <w:widowControl/>
              <w:rPr>
                <w:rFonts w:ascii="微软雅黑" w:hAnsi="微软雅黑" w:eastAsia="微软雅黑" w:cs="微软雅黑"/>
                <w:color w:val="auto"/>
                <w:sz w:val="16"/>
                <w:szCs w:val="16"/>
                <w:highlight w:val="cyan"/>
                <w:lang w:bidi="ar"/>
              </w:rPr>
            </w:pPr>
            <w:r>
              <w:rPr>
                <w:rFonts w:hint="eastAsia" w:ascii="微软雅黑" w:hAnsi="微软雅黑" w:eastAsia="微软雅黑" w:cs="微软雅黑"/>
                <w:color w:val="auto"/>
                <w:sz w:val="16"/>
                <w:szCs w:val="16"/>
                <w:lang w:bidi="ar"/>
              </w:rPr>
              <w:t xml:space="preserve">9..确保绿箱弯角处弧度需要精准的测量和制作，保证匀整无直角；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81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数媒交互数字人</w:t>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一、数媒交互式数字人立式输出设备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1.输出设备尺寸：≥65英寸；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2.触摸类型：红外触控；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3.亮度：≥350cd/m2；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4.处理器：≥八核, 2.4GHz)；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5.分辨率：≥3840*2160(UHD)；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6.显示区域(mm)：≥1428.5x803.5(65英寸)；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7.触摸点数：≥20点红外触控；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8.系统：现行通用操作系统；</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9.内存：≥4G；</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二、数媒交互式数字人集成数字人 1套，需包含以下内容：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(一)数字人美术资源：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3D实时交互数字人原型设计，需符合学校需求定位；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1）数字人需以学生为原型；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2）数字人可以进行实时语音交互；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3）数字人可根据院校知识库进行回答问题后介绍学院和专业情况；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角色面部五官要有较强的辨识度，美术风格属于写实风格；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2.根据设计方案进行3D角色写实头部模型制作具体要求如下：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数字人需进行写实头部材质制作、眼球模型与材质制作；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数字人需制作舌头模型与材质制作、牙齿牙龈模型与材质制作；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数字人需包含眼部表情、嘴部特殊表情；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数字人毛发需按照Xgen 方式制作。衣服布料系统及布料动力学系统需符合</w:t>
            </w:r>
            <w:r>
              <w:rPr>
                <w:rFonts w:ascii="微软雅黑" w:hAnsi="微软雅黑" w:eastAsia="微软雅黑" w:cs="微软雅黑"/>
                <w:color w:val="auto"/>
                <w:sz w:val="16"/>
                <w:szCs w:val="16"/>
                <w:lang w:bidi="ar"/>
              </w:rPr>
              <w:t xml:space="preserve">U</w:t>
            </w:r>
            <w:r>
              <w:rPr>
                <w:rFonts w:hint="eastAsia" w:ascii="微软雅黑" w:hAnsi="微软雅黑" w:eastAsia="微软雅黑" w:cs="微软雅黑"/>
                <w:color w:val="auto"/>
                <w:sz w:val="16"/>
                <w:szCs w:val="16"/>
                <w:lang w:bidi="ar"/>
              </w:rPr>
              <w:t xml:space="preserve">nreal</w:t>
            </w:r>
            <w:r>
              <w:rPr>
                <w:rFonts w:ascii="微软雅黑" w:hAnsi="微软雅黑" w:eastAsia="微软雅黑" w:cs="微软雅黑"/>
                <w:color w:val="auto"/>
                <w:sz w:val="16"/>
                <w:szCs w:val="16"/>
                <w:lang w:bidi="ar"/>
              </w:rPr>
              <w:t xml:space="preserve"> engine</w:t>
            </w:r>
            <w:r>
              <w:rPr>
                <w:rFonts w:hint="eastAsia" w:ascii="微软雅黑" w:hAnsi="微软雅黑" w:eastAsia="微软雅黑" w:cs="微软雅黑"/>
                <w:color w:val="auto"/>
                <w:sz w:val="16"/>
                <w:szCs w:val="16"/>
                <w:lang w:bidi="ar"/>
              </w:rPr>
              <w:t xml:space="preserve"> 动力学需求；</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5）高精度建模三角面数12万±10%，四边面布线符合Metahuman标准 ，需保留角色ZBrush雕刻+拓扑模型源文件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6）眼球独立建模（含虹膜纹理分层），支持动态焦距调整；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7）材质系统 4K PBR材质（Diffuse/Normal/Specular三通道）Substance Painter制作+UE5材质实例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8）角色模型需要符合Unreal eng</w:t>
            </w:r>
            <w:r>
              <w:rPr>
                <w:rFonts w:ascii="微软雅黑" w:hAnsi="微软雅黑" w:eastAsia="微软雅黑" w:cs="微软雅黑"/>
                <w:color w:val="auto"/>
                <w:sz w:val="16"/>
                <w:szCs w:val="16"/>
                <w:lang w:bidi="ar"/>
              </w:rPr>
              <w:t xml:space="preserve">ine</w:t>
            </w:r>
            <w:r>
              <w:rPr>
                <w:rFonts w:hint="eastAsia" w:ascii="微软雅黑" w:hAnsi="微软雅黑" w:eastAsia="微软雅黑" w:cs="微软雅黑"/>
                <w:color w:val="auto"/>
                <w:sz w:val="16"/>
                <w:szCs w:val="16"/>
                <w:lang w:bidi="ar"/>
              </w:rPr>
              <w:t xml:space="preserve"> 5渲染管线和Metahuman骨骼表情系统；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(二)数字人面部语音与表情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面部表情及嘴型系统制作，需要包含（1套）含全身绑定和面部捕捉系统，数字人嘴型动作智能合成的底层逻辑类似，均建立在输入文本到输出音频与输出视觉信息的关联映射。性格和情绪化模拟：神态和微表情数量支持不少于30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3D 驱动方式支持以下三种方式：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2）语音自动识别规格：语音特征提取器：特征提取器有梅尔倒谱系数（Mel-Frequency Cepstral Coefficients，MFCC）和滤波器组（Filter Banks）。时间步长控制：用来控制语音信号在时间轴上的划分大小；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面部表情捕捉系统规格：Streamer 表情视频采集、用于采集脸部表演视频；支持 24、25、30、60 等不同帧率视频采集、支持时码输入、音频录制，支持动捕设备同步触发。将数据同步给角色模型，完成动画制作；</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(三)AI 3D数字人动作：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1.数字人需要构建动作库，收集、整理和分类动作资源，方便后续调用；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2.数字人动作需要随机切换蓝图制作，增加动作多样性；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3.数字人动作指定需切换蓝图制作，满足特定需求布料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4.数字人需实现真实衣物碰撞效果，使衣物真实摆动；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(四)数字人配套背景资源：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背景场景2套：室内外场景各一套，包含不同季节环境和灯光气候系统，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(五)AI 3D数字人后台开发及知识库建设：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1.数字人后台可接入语音识别技术实现语音交互；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2.数字人后台可设置指定语句唤醒数字人；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3.数字人后台可更换语音合成技术，实现文字到语音转换，为数字人赋予声音；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4.数字人后台可接入不同的网络大模型，利用其能力增强数字人智能；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5.数字人后台可接入离线大模型，丰富大模型系统，可实现全离线流程；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6.数字人后台可创建本地数字人知识库构建，存储和管理相关的知识文件，构建数字人基本思维功能框架，实现随问随答的基本交互逻辑；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（六）AI 3D数字人配套课程：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1.需提供以上数字人开发过程录制课程，内容为AI 3D数字人应用开发，从数字人美术制作道开始环境搭建到数字人AI人工智能互动环节完成，打造院校IP代言人案例制作。不少于60课时课程录制视频，视频不小于1080P，格式为MP4该课程需向院校方提供相应的数字人训练及开发过程教材，数字人从开始到完成过程制作，培训服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2.课程内容：数字人在虚幻引擎中开发和制作流程，打造虚拟偶像及案例分析。通过学习，学生在作业中交付一套满足使用需求的高精度3D数字人模型；</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18</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数字文创周边3D打印系统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一、光固化3D输出设备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1.控制面板：≥10英寸电容触摸屏（机器自带）；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2.切片软件：Chitu Box；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3.光源：COB+菲镜（波长385nm)；</w:t>
            </w:r>
            <w:r/>
          </w:p>
          <w:p>
            <w:pPr>
              <w:widowControl/>
              <w:rPr>
                <w:rFonts w:ascii="宋体" w:hAnsi="宋体" w:eastAsia="宋体" w:cs="宋体"/>
                <w:color w:val="auto"/>
                <w:sz w:val="24"/>
              </w:rPr>
            </w:pPr>
            <w:r>
              <w:rPr>
                <w:rFonts w:hint="eastAsia" w:ascii="微软雅黑" w:hAnsi="微软雅黑" w:eastAsia="微软雅黑" w:cs="微软雅黑"/>
                <w:color w:val="auto"/>
                <w:sz w:val="16"/>
                <w:szCs w:val="16"/>
                <w:lang w:bidi="ar"/>
              </w:rPr>
              <w:t xml:space="preserve">4.层厚：</w:t>
            </w:r>
            <w:r>
              <w:rPr>
                <w:rFonts w:hint="eastAsia" w:ascii="微软雅黑" w:hAnsi="微软雅黑" w:eastAsia="微软雅黑" w:cs="微软雅黑"/>
                <w:color w:val="auto"/>
                <w:sz w:val="15"/>
                <w:szCs w:val="15"/>
                <w:lang w:bidi="ar"/>
              </w:rPr>
              <w:t xml:space="preserve">20-250</w:t>
            </w:r>
            <w:r>
              <w:rPr>
                <w:rFonts w:hint="eastAsia" w:ascii="宋体" w:hAnsi="宋体" w:eastAsia="宋体" w:cs="宋体"/>
                <w:color w:val="auto"/>
                <w:sz w:val="15"/>
                <w:szCs w:val="15"/>
              </w:rPr>
              <w:t xml:space="preserve">μm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5.打印速度（MAX）：≥150mm/h；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6.支持自动调频、自动加料功能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7.打印范围：不低于230mm*144mm*350mm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8.提供切片软件使用授权；</w:t>
            </w:r>
            <w:r/>
          </w:p>
          <w:p>
            <w:pPr>
              <w:widowControl/>
              <w:rPr>
                <w:rFonts w:ascii="微软雅黑" w:hAnsi="微软雅黑" w:cs="微软雅黑"/>
                <w:color w:val="auto"/>
                <w:sz w:val="16"/>
                <w:szCs w:val="16"/>
                <w:lang w:bidi="ar"/>
              </w:rPr>
            </w:pPr>
            <w:r>
              <w:rPr>
                <w:rFonts w:hint="eastAsia" w:ascii="微软雅黑" w:hAnsi="微软雅黑" w:eastAsia="微软雅黑" w:cs="微软雅黑"/>
                <w:color w:val="auto"/>
                <w:sz w:val="16"/>
                <w:szCs w:val="16"/>
                <w:lang w:bidi="ar"/>
              </w:rPr>
              <w:t xml:space="preserve">9.打印材料：保护漆：≥100瓶、稀释剂：≥20瓶、调色漆：≥100瓶、水性调色漆：100瓶、不同颜色漆：200瓶；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二、FDM#D 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1.喷头数量：≥2喷头；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2.打印精度：0.05mm；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3.层厚度：0.05 ~0.4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4.打印尺寸：≥300x330x600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5.喷嘴类型：高强喷嘴；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6.喷头移动速度高达：≥500 mm/s；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7.喷头温度范围：75℃-300℃；</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8.支持耗材类型：PLA/ABS/HIPS/ASA/PETG/COPA/PLA-CF/PETG-CF /PAHT-CF /PAHT-GF /PET-CF /PET-GF/PA12-CF/PA-CF/PA-GF/NexPA-CF25；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9.输入/输出文件类型：输入:3MF/STL/0BJ/FPP/BMP/PNG/JPG/JPEG输出:GX/G/Gcode；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10.兼容的操作系统：Windows 7/8/10/11;Mac OS支持10.9及以上版本；</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11.支持2种以上的切片软件，并提供使用授权；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12.智能触控液晶屏：≥7英寸（机器自带）；</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5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三、高精度手持三维测量设备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1.单帧捕捉范围：28x53 @100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2.单帧捕捉范围：975x775 @1000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3.工作距离：100-1000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4.最小扫描尺寸：10x10x10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5.最大扫描尺寸：≥4000x4000x4000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6.扫描帧率：≥15fps；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7.陀螺仪：有；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8.显示屏：≥6 英寸 2k AMOLED 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9.CPU：≥2.4 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10.存储：≥256 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11.光源：一级红外光；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12.电池容量：≥5000mAh；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13.内存：≥16GB；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14.RGB 相机分辨率：≥4800 万像素；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15.支持3D打印；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16.接口类型：USB 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17.Wi-Fi类型：不低于Wi-Fi 6标准；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18.操作系统：现行通用操作系统；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779" w:hRule="exact"/>
        </w:trPr>
        <w:tc>
          <w:tcPr>
            <w:shd w:val="clear" w:color="auto" w:fill="auto"/>
            <w:tcBorders>
              <w:left w:val="single" w:color="000000" w:sz="4" w:space="0"/>
              <w:right w:val="single" w:color="auto" w:sz="4" w:space="0"/>
            </w:tcBorders>
            <w:tcW w:w="32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19</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实训室施工</w:t>
            </w:r>
            <w:r/>
          </w:p>
        </w:tc>
        <w:tc>
          <w:tcPr>
            <w:gridSpan w:val="3"/>
            <w:shd w:val="clear" w:color="auto" w:fill="auto"/>
            <w:tcBorders>
              <w:top w:val="single" w:color="auto" w:sz="4" w:space="0"/>
              <w:left w:val="single" w:color="000000" w:sz="4" w:space="0"/>
              <w:right w:val="single" w:color="000000" w:sz="4" w:space="0"/>
            </w:tcBorders>
            <w:tcW w:w="4065"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一、数字音频录编实训室施工项目、需包含以下内容：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1.轻质隔声墙体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墙面减振器</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120x50x60mm（间距600x600mm）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75轻钢龙骨(间距600x600mm)、内填隔音棉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12mm隔声板（腻子填缝）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基层板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9mm（腻子填缝）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2.墙面吸声软包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50木龙骨(间距</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600x600mm)、内填吸音棉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透声布</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3.弱电工程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门禁</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监控</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网络等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4.音频相关弱电管道及线材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镀锌金属管、规格</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30mm、50mm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音频线、喇叭线、网线、HDMI线等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5.音频相关弱电设计 1项</w:t>
            </w:r>
            <w:r/>
          </w:p>
          <w:p>
            <w:pPr>
              <w:widowControl/>
              <w:rPr>
                <w:rFonts w:ascii="微软雅黑" w:hAnsi="微软雅黑" w:eastAsia="微软雅黑" w:cs="微软雅黑"/>
                <w:color w:val="auto"/>
                <w:sz w:val="20"/>
                <w:szCs w:val="20"/>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音频弱电管线图纸，系统图纸</w:t>
            </w:r>
            <w:r>
              <w:rPr>
                <w:rFonts w:hint="eastAsia" w:ascii="微软雅黑" w:hAnsi="微软雅黑" w:eastAsia="微软雅黑" w:cs="微软雅黑"/>
                <w:color w:val="auto"/>
                <w:sz w:val="16"/>
                <w:szCs w:val="16"/>
                <w:lang w:bidi="ar"/>
              </w:rPr>
              <w:t xml:space="preserve">；</w:t>
            </w:r>
            <w:r/>
          </w:p>
        </w:tc>
      </w:tr>
    </w:tbl>
    <w:p>
      <w:pPr>
        <w:pStyle w:val="852"/>
        <w:jc w:val="both"/>
        <w:spacing w:beforeAutospacing="0" w:afterAutospacing="0" w:line="0" w:lineRule="atLeast"/>
        <w:rPr>
          <w:rFonts w:ascii="宋体" w:hAnsi="宋体" w:eastAsia="宋体"/>
          <w:b/>
          <w:color w:val="auto"/>
          <w:szCs w:val="21"/>
        </w:rPr>
      </w:pPr>
      <w:r>
        <w:rPr>
          <w:rFonts w:ascii="宋体" w:hAnsi="宋体" w:eastAsia="宋体"/>
          <w:b/>
          <w:color w:val="auto"/>
          <w:szCs w:val="21"/>
        </w:rPr>
      </w:r>
      <w:r/>
    </w:p>
    <w:p>
      <w:pPr>
        <w:pStyle w:val="852"/>
        <w:jc w:val="both"/>
        <w:spacing w:beforeAutospacing="0" w:afterAutospacing="0" w:line="0" w:lineRule="atLeast"/>
        <w:rPr>
          <w:rFonts w:ascii="宋体" w:hAnsi="宋体" w:eastAsia="宋体"/>
          <w:bCs/>
          <w:color w:val="auto"/>
          <w:szCs w:val="21"/>
        </w:rPr>
      </w:pPr>
      <w:r>
        <w:rPr>
          <w:rFonts w:ascii="宋体" w:hAnsi="宋体" w:eastAsia="宋体" w:cs="宋体"/>
          <w:b/>
          <w:color w:val="auto"/>
        </w:rPr>
        <w:t xml:space="preserve">(</w:t>
      </w:r>
      <w:r>
        <w:rPr>
          <w:rFonts w:hint="eastAsia" w:ascii="宋体" w:hAnsi="宋体" w:eastAsia="宋体" w:cs="宋体"/>
          <w:b/>
          <w:color w:val="auto"/>
        </w:rPr>
        <w:t xml:space="preserve">二</w:t>
      </w:r>
      <w:r>
        <w:rPr>
          <w:rFonts w:ascii="宋体" w:hAnsi="宋体" w:eastAsia="宋体" w:cs="宋体"/>
          <w:b/>
          <w:color w:val="auto"/>
        </w:rPr>
        <w:t xml:space="preserve">)</w:t>
      </w:r>
      <w:r>
        <w:rPr>
          <w:rFonts w:hint="eastAsia" w:ascii="宋体" w:hAnsi="宋体" w:eastAsia="宋体"/>
          <w:b/>
          <w:color w:val="auto"/>
          <w:szCs w:val="21"/>
        </w:rPr>
        <w:t xml:space="preserve"> </w:t>
      </w:r>
      <w:r>
        <w:rPr>
          <w:rFonts w:hint="eastAsia" w:ascii="宋体" w:hAnsi="宋体" w:eastAsia="宋体"/>
          <w:bCs/>
          <w:color w:val="auto"/>
          <w:szCs w:val="21"/>
        </w:rPr>
        <w:t xml:space="preserve">人工智能</w:t>
      </w:r>
      <w:r/>
    </w:p>
    <w:tbl>
      <w:tblPr>
        <w:tblStyle w:val="84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62"/>
        <w:gridCol w:w="4755"/>
        <w:gridCol w:w="754"/>
        <w:gridCol w:w="901"/>
      </w:tblGrid>
      <w:tr>
        <w:trPr>
          <w:jc w:val="center"/>
          <w:trHeight w:val="175"/>
        </w:trPr>
        <w:tc>
          <w:tcPr>
            <w:tcW w:w="434" w:type="pct"/>
            <w:vAlign w:val="center"/>
            <w:textDirection w:val="lrTb"/>
            <w:noWrap w:val="false"/>
          </w:tcPr>
          <w:p>
            <w:pPr>
              <w:jc w:val="center"/>
              <w:widowControl/>
              <w:rPr>
                <w:rFonts w:ascii="宋体" w:hAnsi="宋体" w:eastAsia="宋体" w:cs="宋体"/>
                <w:b/>
                <w:bCs/>
                <w:color w:val="auto"/>
                <w:sz w:val="24"/>
              </w:rPr>
            </w:pPr>
            <w:r/>
            <w:bookmarkStart w:id="175" w:name="OLE_LINK78"/>
            <w:r/>
            <w:bookmarkStart w:id="176" w:name="OLE_LINK77"/>
            <w:r>
              <w:rPr>
                <w:rFonts w:hint="eastAsia" w:ascii="宋体" w:hAnsi="宋体" w:eastAsia="宋体" w:cs="宋体"/>
                <w:b/>
                <w:bCs/>
                <w:color w:val="auto"/>
                <w:sz w:val="24"/>
                <w:lang w:bidi="ar"/>
              </w:rPr>
              <w:t xml:space="preserve">序号</w:t>
            </w:r>
            <w:r/>
          </w:p>
        </w:tc>
        <w:tc>
          <w:tcPr>
            <w:tcW w:w="800"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设备名称</w:t>
            </w:r>
            <w:r/>
          </w:p>
        </w:tc>
        <w:tc>
          <w:tcPr>
            <w:tcW w:w="2792"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技术参数</w:t>
            </w:r>
            <w:r/>
          </w:p>
        </w:tc>
        <w:tc>
          <w:tcPr>
            <w:tcW w:w="443"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单位</w:t>
            </w:r>
            <w:r/>
          </w:p>
        </w:tc>
        <w:tc>
          <w:tcPr>
            <w:tcW w:w="529"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数量</w:t>
            </w:r>
            <w:r/>
          </w:p>
        </w:tc>
      </w:tr>
      <w:tr>
        <w:trPr>
          <w:jc w:val="center"/>
          <w:trHeight w:val="6137"/>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智能仿生灵巧手 </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1、控制接口：具备 RS485或CANFD 通讯接口</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3、关节数量：≥11 个</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4、工作电压：直流 24V～60V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5、静态工作电流：≤180mA@24V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6、最大工作电流：≥5A@24V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7、指尖重复定位精度：≤±0.2mm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8、拇指指尖抓握力：≥15N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9、四指指尖抓握力：≥10N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10、抓握力采集分辨率：≤0.1N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11、拇指侧摆活动范围：70°～170°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12、拇指侧摆运动速度：≥150°/s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13、拇指弯曲运动速度：≥60°/s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14、四指弯曲运动速度：≥110°/s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15、单路触觉传感器量程：≥30N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16、触觉传感器测量精度：优于 5% FS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17、触觉传感器配置数量：不少于 6 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18、手掌完整闭合动作时间：≤0.8s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19、提供配套SDK、通讯协议文档，支持用户二次开发</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智能机器人</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1、机身站立高度：≥110cm；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2、整机自由度：≥24；</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3、单腿自由度：≥6；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4、单手臂自由度：≥5；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5、腰部自由度：≥2；</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6、头部自由度：≥1；</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7、腰关节摆动能力：俯仰≥±120°，横滚≥±25°；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8、胯关节摆动能力：偏航≥±140°，横滚≥-50°～+90°；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9、关节位置传感：具备关节位置检测反馈功能；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10、散热方案：具备主动散热功能；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11、供电方式：可充电锂电池供电；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12、板载基础算力核心数量：≥8核（或同等算力水平）；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13、机载麦克风阵列：≥2路；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14、无线通讯：支持Wi-Fi 5及以上、蓝牙5.0及以上；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15、算力扩展：支持外部算力扩展；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16、电池结构：支持电池更换；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17、系统维护：支持远程OTA升级；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18、开发权限：开放控制协议及SDK，支持二次开发；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19、动作资源：支持动作文件导入、存储与调用；</w:t>
            </w:r>
            <w:r/>
          </w:p>
          <w:p>
            <w:pPr>
              <w:jc w:val="left"/>
              <w:widowControl/>
              <w:rPr>
                <w:rFonts w:ascii="宋体" w:hAnsi="宋体" w:eastAsia="宋体" w:cs="宋体"/>
                <w:color w:val="auto"/>
                <w:szCs w:val="21"/>
              </w:rPr>
            </w:pPr>
            <w:r>
              <w:rPr>
                <w:rFonts w:hint="eastAsia" w:ascii="宋体" w:hAnsi="宋体" w:eastAsia="宋体" w:cs="宋体"/>
                <w:color w:val="auto"/>
                <w:szCs w:val="21"/>
                <w:lang w:bidi="ar"/>
              </w:rPr>
              <w:t xml:space="preserve">20、整机质保期限：≥6个月；</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W w:w="800" w:type="pct"/>
            <w:vAlign w:val="center"/>
            <w:textDirection w:val="lrTb"/>
            <w:noWrap/>
          </w:tcPr>
          <w:p>
            <w:pPr>
              <w:jc w:val="center"/>
              <w:widowControl/>
              <w:rPr>
                <w:rFonts w:ascii="宋体" w:hAnsi="宋体" w:eastAsia="宋体" w:cs="宋体"/>
                <w:color w:val="auto"/>
                <w:sz w:val="24"/>
              </w:rPr>
            </w:pPr>
            <w:r/>
            <w:bookmarkStart w:id="177" w:name="_Hlk237699207"/>
            <w:r>
              <w:rPr>
                <w:rFonts w:hint="eastAsia" w:ascii="宋体" w:hAnsi="宋体" w:eastAsia="宋体" w:cs="宋体"/>
                <w:color w:val="auto"/>
                <w:sz w:val="24"/>
              </w:rPr>
              <w:t xml:space="preserve">人工智能硬件</w:t>
            </w:r>
            <w:r/>
          </w:p>
          <w:p>
            <w:pPr>
              <w:jc w:val="center"/>
              <w:widowControl/>
              <w:rPr>
                <w:rFonts w:ascii="宋体" w:hAnsi="宋体" w:eastAsia="宋体" w:cs="宋体"/>
                <w:color w:val="auto"/>
                <w:sz w:val="24"/>
              </w:rPr>
            </w:pPr>
            <w:r>
              <w:rPr>
                <w:rFonts w:hint="eastAsia" w:ascii="宋体" w:hAnsi="宋体" w:eastAsia="宋体" w:cs="宋体"/>
                <w:color w:val="auto"/>
                <w:sz w:val="24"/>
              </w:rPr>
              <w:t xml:space="preserve">实训平台</w:t>
            </w:r>
            <w:bookmarkEnd w:id="177"/>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1.平台基础功能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1.1.系统管理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1.1.1.专业管理：对院校内部专业信息进行统一管理，包括：专业名称、专业代码、备注等信息。可进行搜索、查看、新增、编辑、删除操作。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1.1.2.班级管理：对院校内部班级信息进行统一管理，包括：班级名称、所属专业、备注等信息。可进行搜索、筛选、查看、新增、编辑、删除操作。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1.1.3.教师管理：对院校内部教师信息进行统一管理，包括：教师姓名、教师账号、所属角色、所属班级、教师工号、教师性别、手机号码、电子邮箱等信息。可进行搜索、筛选、查看、新增、编辑、删除、批量删除、导入教师、重置密码操作。其中导入功能支持数据校验，将导入的数据可视化并告知用户存在问题的行和列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1.1.4.★学生管理：对院校内部学生信息进行统一管理，包括：学生姓名、学生账号、所属班级、学号、性别、手机号码、电子邮箱等信息。可进行搜索、筛选、查看、新增、编辑、删除、批量删除、导入学生、重置密码操作。其中导入功能支持数据校验，将导入的数据可视化并告知用户存在问题的行和列及问题描述，并支持一键移除问题数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1.1.5.设备类型管理：对平台内实训设备的类型信息进行统一管理，包括：设备类型名称、换行符、回退键等信息。可进行搜索、新增、编辑、删除操作。</w:t>
            </w:r>
            <w:r/>
          </w:p>
          <w:p>
            <w:pPr>
              <w:jc w:val="left"/>
              <w:widowControl/>
              <w:rPr>
                <w:rFonts w:ascii="宋体" w:hAnsi="宋体" w:eastAsia="宋体" w:cs="宋体"/>
                <w:color w:val="auto"/>
                <w:szCs w:val="21"/>
                <w:lang w:bidi="ar"/>
              </w:rPr>
            </w:pPr>
            <w:r/>
            <w:bookmarkStart w:id="178" w:name="_Hlk237699334"/>
            <w:r>
              <w:rPr>
                <w:rFonts w:hint="eastAsia" w:ascii="宋体" w:hAnsi="宋体" w:eastAsia="宋体" w:cs="宋体"/>
                <w:color w:val="auto"/>
                <w:szCs w:val="21"/>
                <w:lang w:bidi="ar"/>
              </w:rPr>
              <w:t xml:space="preserve">1.1.6.</w:t>
            </w:r>
            <w:bookmarkEnd w:id="178"/>
            <w:r/>
            <w:bookmarkStart w:id="179" w:name="_Hlk237699229"/>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机柜管理：支持通过网络协议，</w:t>
            </w:r>
            <w:r>
              <w:rPr>
                <w:rFonts w:hint="eastAsia" w:ascii="宋体" w:hAnsi="宋体" w:eastAsia="宋体" w:cs="宋体"/>
                <w:color w:val="auto"/>
                <w:szCs w:val="21"/>
                <w:lang w:bidi="ar"/>
              </w:rPr>
              <w:t xml:space="preserve">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应用、调试机柜、编辑、删除操作</w:t>
            </w:r>
            <w:r>
              <w:rPr>
                <w:rFonts w:hint="eastAsia" w:ascii="宋体" w:hAnsi="宋体" w:eastAsia="宋体" w:cs="宋体"/>
                <w:b/>
                <w:bCs/>
                <w:color w:val="auto"/>
                <w:szCs w:val="21"/>
                <w:lang w:bidi="ar"/>
              </w:rPr>
              <w:t xml:space="preserve">【提供视频演示】</w:t>
            </w:r>
            <w:r>
              <w:rPr>
                <w:rFonts w:hint="eastAsia" w:ascii="宋体" w:hAnsi="宋体" w:eastAsia="宋体" w:cs="宋体"/>
                <w:color w:val="auto"/>
                <w:szCs w:val="21"/>
                <w:lang w:bidi="ar"/>
              </w:rPr>
              <w:t xml:space="preserve">。</w:t>
            </w:r>
            <w:bookmarkEnd w:id="179"/>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1.2.设备管理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1.2.1.★设备信息：对平台所在的服务器信息进行查看，包括CPU信息、内存信息、网卡信息。其中CPU信息包含核心总数、逻辑核心总数、每颗CPU的型号、每颗CPU的核心数、每颗CPU的逻辑核心数；内存信息包含内存总大小、每根内存条的类型、每根内存条的主频、每根内存条的大小；网卡信息包含每块网卡的名称、每块网卡的Mac地址、每块网卡的速率、每块网卡的ipv4地址、每块网卡的子网掩码、每块网卡的ipv6地址</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1.2.2.设备配置：对平台所在的服务器的系统时间和系统网络进行配置。其中系统网络配置包含IP地址、子网掩码、网关。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1.2.3.许可证管理：对平台所搭载的许可证信息进行统一管理，包括：设备特征码、产品授权码、资源列表。可进行许可证的批量上传、使用指导手册的下载。其中资源列表包括资源名称、授权码、资源数量等信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1.3.集群管理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1.3.1.★集群信息：对平台的集群节点信息进行统一查看，包括：节点地址、启用状态、健康状态、CPU使用率、内存使用率、硬盘使用率、虚拟机数量、虚拟机总数、账号数量、账号总数。可进行搜索操作。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1.3.2.★集群配置：对平台的集群节点信息进行统一管理，包括：节点地址、虚拟化内存、账号数量、虚拟机数量等信息。可进行搜索、新增节点、编辑、删除、启用虚拟化、禁用虚拟化等功能。</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1.3.3.★虚拟机信息：对平台内的虚拟机信息进行统一管理，包括：UUID、IP地址、检测状态、内存，可支持搜索、连接、重启、销毁操作。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1.4.首页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1.4.1.学生首页：显示今日表现的学习数量和练习数量，学习总览的学习数量、练习数量和活跃天数，我的课堂快捷跳转，班级学习排行榜。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1.4.2.教师首页：显示今日表现的活跃学生和达标学生数量，总体表现的达标学生数量、管理班级数、管理学生数，我的课堂快捷跳转，学生学习排行榜。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1.4.3.管理员首页：显示今日表现的活跃班级和活跃学生数量，总体情况的达标学生、管理班级数、管理学生数，课堂统计的总课堂数、进行中课堂数，班级达标排行，教师动态。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1.5.个人中心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1.5.1.包含个人信息的修改及重置密码操作。其中个人信息的修改包括姓名、工号、邮箱、手机、性别。</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1.6.课堂中心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1.6.2.课堂列表：对教师开设的课堂进行统一管理，包括：课堂名称、开始及结束时间、课堂状态、理论讲解数量、案例讲解数量、理论练习数量、案例实操数量，可进行按课堂名称搜索、开设课堂、一键开课、管理课堂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1.6.3.开设课堂：包括填写基础信息、添加学生及选择课程，其中基础信息包括课堂名称、开放时间，添加学生时支持以专业或班级为维度复选学生，选择课程时支持显示每门课程中理论讲解、理论练习、案例讲解、案例实操的数量。</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1.6.4.课堂内容：以大章、小节、资源三层目录的形式展示该课堂所涵盖的具体内容，具有单独的课堂导航板块并支持点击定位至对应的内容。在此处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1.6.5.★课堂统计：显示总体达标情况面板、资源和学生双维度的数据统计面板。其中总体达标情况面板内容包括：总体达标情况、理论讲解达标情况、理论练习达标情况、案例讲解达标情况、案例实操达标情况、剩余时长。资源维度数据统计以课程资源树的形式展示每个资源的学习人数、达标人数及达标比例，支持导出资源维度学习记录，并可进一步查看资源的学生学习详情，学生学习详情包括学生姓名、所属班级、状态。学生维度数据统计展示了学生的总体情况的学习比例和达标比例、理论讲解的学习比例和达标比例、案例讲解的学习比例和</w:t>
            </w:r>
            <w:r>
              <w:rPr>
                <w:rFonts w:hint="eastAsia" w:ascii="宋体" w:hAnsi="宋体" w:eastAsia="宋体" w:cs="宋体"/>
                <w:color w:val="auto"/>
                <w:szCs w:val="21"/>
                <w:lang w:bidi="ar"/>
              </w:rPr>
              <w:t xml:space="preserve">达标比例、案例实操的学习比例和达标比例、理论练习的学习比例和达标比例、活跃天数，支持按大章筛选及导出学生维度学习记录，并可进一步查看学生的详情，详情内容包括学生针对该课堂的达标情况、成绩单、案例实操历史记录、理论练习历史记录，其中达标情况显示了理论讲解、理论练习、案例讲解、案例实操的达标数值，成绩单显示了每个资源的已学习和已达标状态，案例实操历史记录可查看历史记录详情（详情包括答题详情、总计、评分细节、排错指导、评分记录等信息），理论练习历史记录可查看历史记录详情（详情包括答题详情、总计、题目的作答情况）。</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1.6.6.学生管理：对该课堂涉及的学生进行统一管理，以表格形式展示学生信息（包括姓名、所属班级、所属专业），按需添加学生或删除学生（添加学生时支持以专业或班级为维度复选学生，删除学生支持批量删除），支持输入关键字进行模糊查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1.6.7.课堂设置：对课堂的基础信息进行修改，包括课堂名称、开放时间，提供删除课堂功能。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1.6.8.★实操监控：对学生的案例实操实操虚拟机进行实时监控及远程控制，随时查看学生的实训操作。包括学生姓名、所属班级、实训章节、实训资源，支持搜索、连接、重启操作。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1.6.9.小组管理：在“信息安全产品配置“课程资源下支持对课堂下小组进行统一管理，包括：小组名称、组内学生等信息，可进行搜索、新增、删除等操作。</w:t>
            </w:r>
            <w:r/>
          </w:p>
          <w:p>
            <w:pPr>
              <w:jc w:val="left"/>
              <w:widowControl/>
              <w:rPr>
                <w:rFonts w:ascii="宋体" w:hAnsi="宋体" w:eastAsia="宋体" w:cs="宋体"/>
                <w:color w:val="auto"/>
                <w:szCs w:val="21"/>
                <w:lang w:bidi="ar"/>
              </w:rPr>
            </w:pPr>
            <w:r/>
            <w:bookmarkStart w:id="180" w:name="_Hlk237699325"/>
            <w:r>
              <w:rPr>
                <w:rFonts w:hint="eastAsia" w:ascii="宋体" w:hAnsi="宋体" w:eastAsia="宋体" w:cs="宋体"/>
                <w:color w:val="auto"/>
                <w:szCs w:val="21"/>
                <w:lang w:bidi="ar"/>
              </w:rPr>
              <w:t xml:space="preserve">1.6.10.</w:t>
            </w:r>
            <w:bookmarkEnd w:id="180"/>
            <w:r/>
            <w:bookmarkStart w:id="181" w:name="_Hlk237699241"/>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配机柜：在“信息安全产品配置“课程资源下支持对课堂下小组所使用的机柜进行统一管理，包括：机柜名称、机柜IP、跳板机IP、使用组名称、使用题目名称等信息，可进行搜索、批量测试链接、分配机柜、取消分配、回收机柜等操作。使用此功能前需在“机柜管理”功能中添加数据。</w:t>
            </w:r>
            <w:r>
              <w:rPr>
                <w:rFonts w:hint="eastAsia" w:ascii="宋体" w:hAnsi="宋体" w:eastAsia="宋体" w:cs="宋体"/>
                <w:b/>
                <w:bCs/>
                <w:color w:val="auto"/>
                <w:szCs w:val="21"/>
                <w:lang w:bidi="ar"/>
              </w:rPr>
              <w:t xml:space="preserve">【提供视频演示】</w:t>
            </w:r>
            <w:bookmarkEnd w:id="181"/>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1.7.我的课堂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1.7.2.课堂列表：显示分配给学生的课堂信息，信息包括：课堂名称、总时长、理论讲解数量、案例讲解数量、理论练习数量、案例实操数量，支持开始学习操作。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1.7.3.课堂内容：以大章、小节、资源三层目录的形式展示该课堂所涵盖的课程内容，具有单独的课堂导航板块并支持点击定位至对应的内容，可查看每个大章的学习进度，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1.7.4.课堂统计：包括总体达标面板、成绩单、案例实操历史记录、理论练习历史记录。总体达标面板展示了该课堂的总体达标情况、理论讲解达标情况、案例讲解达标情况、案例实操达标情况、理论练习达标情况、活跃天数；成绩单展示了学生在本课堂中每个资源的学习情况及达标情况；案例实操历史记录可查看历史记录详情（详情包括答题详情、总计、评分细节、排错指导、评分记录等信息）；理论练习历史记录可查看历史记录详情（详情包括答题详情、总计、题目的作答情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1.8.资源概览</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1.8.1.课程汇总：以板块的形式展示平台内搭载的课程，包括课程名称、课程类型、总时长、理论讲解数量、理论练习数量、案例讲解数量、案例实操数量，支持按课程名称进行搜索、查看详情操作。使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1.8.2.专业核心课：以板块的形式展示平台内搭载的系列课程，包括系列课程的名称、系列课程的介绍，支持查看详情操作；通过查看详情操作可查看该系列下的课程详情，包括课程名称、课程类型、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1.8.3.开放式资源库：以板块的形式展示开放资源库功能下所添加的课程，包括课程名称、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1.9.技能图谱</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1.9.1.学生</w:t>
            </w:r>
            <w:r>
              <w:rPr>
                <w:rFonts w:hint="eastAsia" w:ascii="宋体" w:hAnsi="宋体" w:eastAsia="宋体" w:cs="宋体"/>
                <w:color w:val="auto"/>
                <w:szCs w:val="21"/>
                <w:lang w:bidi="ar"/>
              </w:rPr>
              <w:t xml:space="preserve">端技能图谱：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教师端技能图谱：对学生下各专业技能图谱进行统一的查看，支持按所属班</w:t>
            </w:r>
            <w:r>
              <w:rPr>
                <w:rFonts w:hint="eastAsia" w:ascii="宋体" w:hAnsi="宋体" w:eastAsia="宋体" w:cs="宋体"/>
                <w:color w:val="auto"/>
                <w:szCs w:val="21"/>
                <w:lang w:bidi="ar"/>
              </w:rPr>
              <w:t xml:space="preserve">级搜索学生。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2.理实一体化考试模块系统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2.1.理论题库管理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2.1.1.支持通过题库名称来进行题库的搜索；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2.1.2.支持以列表形式显示题库名称、题目数量、题库类型、创建时间；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2.1.3.支持对题库名称进行新增或编辑；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2.1.4.支持题库的分页显示、删除；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2.1.5.支持查看题库下题目；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2.1.6.支持通过题干内容、题目类型来进行题库下题目的搜索；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2.1.7.支持以列表形式显示题干内容、题目类型、题目分值、选项内容、是否正确；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2.1.8.支持对题干内容、题目类型、题目分值、题目解析、题目选项进行新增或编辑；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2.1.9.支持题库下题目的分页显示、删除；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2.1.10.支持导入题库下题目，提供导入模板的下载，在导入过程中支持数据校验：将导入的数据可视化并告知用户存在的问题的行和列以及问题描述，并支持一键移除问题数据。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2.2.试卷管理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2.2.1.支持以列表形式显示试卷名称、试卷总分、考试使用量、题目数量、单选题数量、多选题数量、判断题数量、实操题数量、创建时间；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2.2.2.支持对试卷名称进行新增或编辑；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2.2.3.支持试卷的分页显示、删除、批量删除；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2.2.4.支持管理试卷下的题目；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2.2.5.支持以列表形式显示题目、分值，提供题目类型筛选；</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2.2.6.支持批量删除题目；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2.2.7.支持批量添加题目并且在添加的过程中提供所属题库、题目类型、题目名称的搜索功能。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2.3.考试管理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2.3.1.支持通过考试状态及考试名称搜索考试；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2.3.2.支持以列表形式显示考试名称、试卷名称、开始时间、结束时间、考试时长、考试人数；</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2.3.3.支持对考试名称、考试试卷、起止时间、考试学生进行新增；</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2.3.4.支持考试的分页显示、删除；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2.3.5.支持考试在未开始的状态下对考试名称、考试试卷、起止时间进行编辑以及对学生进行调整，其中学生的信息包括：姓名、所属班级、性别、手机号码、电子邮箱，提供批量移除学生及添加学生功能；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2.3.6.支持成绩管理，以列表形式显示考试名称、班级名称、考试状态、考试得分、试卷总分、考试用时、单选题得分、多选题得分、判断题得分、实操题得分，提供按考生姓名搜索的功能。提供查看试卷功能，其中试卷详情包括题目的作答情况、考试得分、试卷总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2.3.7.支持考试监控，以列表形式显示考生名称、班级名称、考试状态、考试进度。提供按考生姓名搜索及定时刷新的功能；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2.3.8.★支持统计分析，整体分为数据总览、分数各段比例、各题型正确率三大板块。其中数据总览包含了应考人数、实到人数、缺考人数、最高得分、最低得分、平均得分；分数各段比例以图表的方式展示了缺考、60以下、60-80、80-100各分数段的比例；各题型正确率以图表的方式展示了单选题、多选题、判断题、实操题各题型的正确率；整体支持导出数据功能，导出的文件内包括数据总览、分数各段比例、各题型正确率三大内容；</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2.3.9.支持单题分析，以列表形式显示题目内容、题目类型、作答人数、未作答人数、正确人数、正确率，支持按题目类型搜索以及导出功能；</w:t>
            </w:r>
            <w:r/>
          </w:p>
          <w:p>
            <w:pPr>
              <w:jc w:val="left"/>
              <w:widowControl/>
              <w:rPr>
                <w:rFonts w:ascii="宋体" w:hAnsi="宋体" w:eastAsia="宋体" w:cs="宋体"/>
                <w:color w:val="auto"/>
                <w:szCs w:val="21"/>
                <w:lang w:bidi="ar"/>
              </w:rPr>
            </w:pPr>
            <w:r/>
            <w:bookmarkStart w:id="182" w:name="_Hlk237699315"/>
            <w:r>
              <w:rPr>
                <w:rFonts w:hint="eastAsia" w:ascii="宋体" w:hAnsi="宋体" w:eastAsia="宋体" w:cs="宋体"/>
                <w:color w:val="auto"/>
                <w:szCs w:val="21"/>
                <w:lang w:bidi="ar"/>
              </w:rPr>
              <w:t xml:space="preserve">2.3.10.</w:t>
            </w:r>
            <w:bookmarkEnd w:id="182"/>
            <w:r/>
            <w:bookmarkStart w:id="183" w:name="_Hlk237699283"/>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部署环境，以列表的形式显示学生姓名、班级名称、学生性别、手机号码、电子邮箱、部署情况、测评项目名称、部署状态、部署消息。提供一键部署、批量部署、自动刷新功能，可按学生测评项目进行虚拟化环境的查看及重启。</w:t>
            </w:r>
            <w:r>
              <w:rPr>
                <w:rFonts w:hint="eastAsia" w:ascii="宋体" w:hAnsi="宋体" w:eastAsia="宋体" w:cs="宋体"/>
                <w:b/>
                <w:bCs/>
                <w:color w:val="auto"/>
                <w:szCs w:val="21"/>
                <w:lang w:bidi="ar"/>
              </w:rPr>
              <w:t xml:space="preserve">【提供视频演示】</w:t>
            </w:r>
            <w:bookmarkEnd w:id="183"/>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2.4.我的考试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2.4.1.支持显示考试名称、考试开始时间、考试结束时间、考试状态；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2.4.2.支持考试作答，作答界面包含剩余时间的倒计时、题目的题号索引、各类题目的作答板块，其中题目的题号索引可点击跳转至对应的题目。实操题提供独立的答题页面，页面包含答题资源板块，支持连接并控制虚拟化环境。在倒计时结束后平台将自动提交试卷进入评分环节，考试支持自动评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2.5.考试动态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2.5.1.支持以列表形式显示考试名称、考试状态、开始时间、结束时间、考试得分、试卷总分；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2.5.2.★支持通过考试名称进行考试动态的查询以及自动刷新表格；</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考试回顾，针对完成评分的考试动态可进行考试回顾，内容包含考试名称、学生名称、考试得分、试卷总分、开始时间、结束时间、理论题的作答情况及错题的答案查看、实操题的评分表查看、题目的题号索引，其中题目的题号索引支持点击跳转至对应的题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3.开放式资源库模块系统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3.1.开放式资源库管理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3.1.1.支持以列表形式显示课程名称、课程描述、课程状态、理论讲解数量、理论练习数量、案例讲解数量、案例实操数量、总课时；</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3.1.2.支持通过课程名称、发布状态搜索课程；</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3.1.3.支持对课程名称、课程描述进行新增、修改；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3.1.4.支持课程的分页显示、删除课程、编辑课程、发布课程、取消发布；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3.1.5.支持对课程的目录进行管理，包含大章、小节、资源三层架构，其中大章包含名称信息，小节包含名称、课时信息，资源包含理论讲解（包含名称、耗时、资源列表等信息，其中资源列表包含资源名称等信息，支持对资源进行上传、重命名、删除、置顶等操作）、理论练习（包含名称、耗时、资源列表等信息，其中资源列表包含选项内容、是否正确、</w:t>
            </w:r>
            <w:r>
              <w:rPr>
                <w:rFonts w:hint="eastAsia" w:ascii="宋体" w:hAnsi="宋体" w:eastAsia="宋体" w:cs="宋体"/>
                <w:color w:val="auto"/>
                <w:szCs w:val="21"/>
                <w:lang w:bidi="ar"/>
              </w:rPr>
              <w:t xml:space="preserve">题干、类型、分值等信息，支持对资源逐条新增、批量上传、批量删除、编辑、删除等操作）、案例讲解（包含名称、耗时、资源列表等信息，其中资源列表包含资源名称等信息，支持对资源进行上传、重命名、删除、置顶等操作）、案例实操（包含名称、耗时、选择拓扑、选择启动节点、环境信息预览、资源列表等信息，其中资源列表包含资源名称等信息，支持对资源进行上传、重命名、删除、置顶等操作）四种类型的信息。支持添加大章、添加小节、添加资源、删除大章、删除小节、删除资源操作。添加资源支持导入课程资源，可选择其他课程的资源进行批量一键导入；</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3.1.6.支持课程预览，对已添加的含大章、小节、资源进行目录结构的预览，其中理论讲解、案例讲解类资源可进行学习，理论练习类资源可进行作答及自动评分，案例实操类资源支持预览及虚拟化环境在线操作；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对于已发布的课程可在“资源概览”功能中进行查看，可在“课堂中心”功能中进行开设课堂。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4.岗位训练营模块系统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4.1.岗位测评</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4.1.1.支持显示岗位名称、岗位介绍。对于未测评过的岗位支持显示测评规定时长，对于测评过的岗位支持显示测评开始时间、测评结束时间、得分；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4.1.2.支持测评作答，提供独立的作答页面，页面包括题目列表、剩余时间的倒计时、题目的题号索引，其中题目的题号索引支持点击跳转到对应的题目，实操题提供独立的答题页面（页面包含答题资源板块，支持连接并控制虚拟化环境），题目的倒计时结束后会自动提交测评进入评分环节，测评支持自动评分；</w:t>
            </w:r>
            <w:r/>
          </w:p>
          <w:p>
            <w:pPr>
              <w:jc w:val="left"/>
              <w:widowControl/>
              <w:rPr>
                <w:rFonts w:ascii="宋体" w:hAnsi="宋体" w:eastAsia="宋体" w:cs="宋体"/>
                <w:color w:val="auto"/>
                <w:szCs w:val="21"/>
                <w:lang w:bidi="ar"/>
              </w:rPr>
            </w:pPr>
            <w:r/>
            <w:bookmarkStart w:id="184" w:name="_Hlk237699307"/>
            <w:r>
              <w:rPr>
                <w:rFonts w:hint="eastAsia" w:ascii="宋体" w:hAnsi="宋体" w:eastAsia="宋体" w:cs="宋体"/>
                <w:color w:val="auto"/>
                <w:szCs w:val="21"/>
                <w:lang w:bidi="ar"/>
              </w:rPr>
              <w:t xml:space="preserve">4.1.3.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对于测评过的岗位支持查看岗位报告，岗位报告包含综合技能评分、技能分析雷达图、详细技能评估列表，其中详细技能评估列表包含了技能、子技能、具体能力、评估结果。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【提供视频演示】</w:t>
            </w:r>
            <w:bookmarkEnd w:id="184"/>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4.2.测评历史</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4.2.1.支持以列表形式显示测评岗位、测评状态、开始时间、结束时间、测评得分，提供自动刷新表格功能；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4.2.2.对于已完成状态的测评历史支持查看测评记录，测评记录包含测评得分、开始时间、结束时间、各个题目的正确情况、实操题目的评分表、题目的题号索引，其中题目的题号索引支持点击跳转到对应的题目。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4.3.1.支持以列表形式显示测评岗位、学生姓名、所属班级、报告得分、取得报告时间；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4.3.2.支持通过学生姓名搜索岗位报告；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4.3.3.★支持查看报告，报告包含综合技能评分、技能分析雷达图、详细技能评估列表，其中详细技能评估列表包含了技能、子技能、具体能力、评估结果。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4.4.1.支持以列表形式显示测评岗位、学生姓名、所属班级、测评得分、开始时间、结束时间；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4.4.2.支持通过学生姓名搜索测评记录；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4.4.3.查看测评记录，记录包含测评得分、开始时间、结束时间、各个题目的正确情况、实操题目的评分表、题目的题号索引，其中题目的题号索引支持点击跳转到对应的题目。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4.5.测评监控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4.5.1.支持监控正在岗位测评的学生虚拟化环境。以列表形式显示了学生姓名、所属班级、测评岗位、开始时间、虚拟机名称、开机状态；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支持对学生的虚拟化环境进行重启、连接操作。</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tcW w:w="800" w:type="pct"/>
            <w:vAlign w:val="center"/>
            <w:textDirection w:val="lrTb"/>
            <w:noWrap/>
          </w:tcPr>
          <w:p>
            <w:pPr>
              <w:jc w:val="left"/>
              <w:widowControl/>
              <w:rPr>
                <w:rFonts w:ascii="宋体" w:hAnsi="宋体" w:eastAsia="宋体" w:cs="宋体"/>
                <w:color w:val="auto"/>
                <w:sz w:val="24"/>
                <w:lang w:bidi="ar"/>
              </w:rPr>
            </w:pPr>
            <w:r/>
            <w:bookmarkStart w:id="185" w:name="_Hlk237699406"/>
            <w:r>
              <w:rPr>
                <w:rFonts w:hint="eastAsia" w:ascii="宋体" w:hAnsi="宋体" w:eastAsia="宋体" w:cs="宋体"/>
                <w:color w:val="auto"/>
                <w:sz w:val="24"/>
                <w:lang w:bidi="ar"/>
              </w:rPr>
              <w:t xml:space="preserve">人工智能机器人实训平台</w:t>
            </w:r>
            <w:bookmarkEnd w:id="185"/>
            <w:r/>
            <w:r/>
          </w:p>
        </w:tc>
        <w:tc>
          <w:tcPr>
            <w:tcW w:w="2792" w:type="pct"/>
            <w:vAlign w:val="center"/>
            <w:textDirection w:val="lrTb"/>
            <w:noWrap w:val="false"/>
          </w:tcPr>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1.机器人虚拟矩阵实验室</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1.1.镜像管理：对平台内镜像文件进行统一管理。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1.1.1.支持通过镜像名称、是否预置两个条件来进行镜像的搜索；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1.1.2.支持以列表形式显示镜像ID、镜像名称、文件名、是否预置、创建时间；</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1.1.3.支持新增镜像且上传的镜像文件大小不得超过30GB且文件格式必须为.iso；</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1.1.4.支持对镜像的镜像名称进行编辑，支持分页显示、删除操作。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1.2.磁盘管理：对虚拟机磁盘进行统一管理。（提供系统页面截图）</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1.2.1.支持通过磁盘名称、是否预置进行搜索；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1.2.2.支持以列表形式显示磁盘ID、磁盘名称、文件名、是否预置、创建时间、备注；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1.2.3.支持新增磁盘文件且上传的磁盘文件大小不得超过50GB且文件格式必须为.qcow2；</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1.2.4.支持对磁盘文件的磁盘名称进行编辑，支持分页显示、删除操作。</w:t>
            </w:r>
            <w:r/>
          </w:p>
          <w:p>
            <w:pPr>
              <w:jc w:val="left"/>
              <w:rPr>
                <w:rFonts w:ascii="宋体" w:hAnsi="宋体" w:eastAsia="宋体" w:cs="宋体"/>
                <w:color w:val="auto"/>
                <w:szCs w:val="21"/>
                <w:lang w:bidi="ar"/>
              </w:rPr>
            </w:pPr>
            <w:r/>
            <w:bookmarkStart w:id="186" w:name="_Hlk237699433"/>
            <w:r>
              <w:rPr>
                <w:rFonts w:hint="eastAsia" w:ascii="宋体" w:hAnsi="宋体" w:eastAsia="宋体" w:cs="宋体"/>
                <w:color w:val="auto"/>
                <w:szCs w:val="21"/>
                <w:lang w:bidi="ar"/>
              </w:rPr>
              <w:t xml:space="preserve">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拓扑图管理：对平台内拓扑图进行统一管理。</w:t>
            </w:r>
            <w:r>
              <w:rPr>
                <w:rFonts w:hint="eastAsia" w:ascii="宋体" w:hAnsi="宋体" w:eastAsia="宋体" w:cs="宋体"/>
                <w:b/>
                <w:bCs/>
                <w:color w:val="auto"/>
                <w:szCs w:val="21"/>
                <w:lang w:bidi="ar"/>
              </w:rPr>
              <w:t xml:space="preserve">【提供视频演示】</w:t>
            </w:r>
            <w:bookmarkEnd w:id="186"/>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1.3.1.支持通过拓扑名称、所属功能来进行拓扑图的搜索；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1.3.2.支持以列表形式显示拓扑名称、所属功能、节点数量、绑定的对象数量、创建时间、备注；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1.3.3.支持对拓扑名称、所属名称、备注来进行新增或编辑；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1.3.4.支持通过图形化界面进行拓扑绘制，用户可通过点击、拖拽和表单填写操作向拓扑图中添加虚拟机节点及网络连线。虚拟机节点类型包含PC、服务器、路由器、交换机、防火墙、IPS、WAF等，虚拟机节点支持初始化安装或现有节点引用两种创建模式，其中初始化安装可对节点名称、节点备注、环境信息配置（IP地址、</w:t>
            </w:r>
            <w:r>
              <w:rPr>
                <w:rFonts w:hint="eastAsia" w:ascii="宋体" w:hAnsi="宋体" w:eastAsia="宋体" w:cs="宋体"/>
                <w:color w:val="auto"/>
                <w:szCs w:val="21"/>
                <w:lang w:bidi="ar"/>
              </w:rPr>
              <w:t xml:space="preserve">用户名、密码）、基础配置（CPU核心数、内存大小、连接方式、网卡数量、网卡类型、显卡类型、系统类型、启动菜单）、硬盘配置（硬盘大小、驱动类型、磁盘文件，支持添加/删除数据盘）、光驱配置（驱动类型、挂载镜像，支持添加/删除光驱）等信息进行调整，现有节点引用可跨拓扑图选择虚拟机节点进行创建。图形化界面支持缩小、放大操作，可便捷查看节点列表，提供分组及文字组件用于完善拓扑图的绘制，可对拓扑图中的虚拟机节点进行更换图标和预览及下载XML操作，其中预览及下载XML操作中支持XML文件内容的在线预览并可下载XML文件；</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1.3.5.支持在图形化界面上进行拓扑调试，图形化界面支持缩小、放大操作且可便捷查看节点列表，可对虚拟机节点进行开机、关机、访问远程连接操作；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1.3.6.支持拓扑图的分页显示、删除、复制操作。</w:t>
            </w:r>
            <w:r/>
          </w:p>
          <w:p>
            <w:pPr>
              <w:jc w:val="left"/>
              <w:rPr>
                <w:rFonts w:ascii="宋体" w:hAnsi="宋体" w:eastAsia="宋体" w:cs="宋体"/>
                <w:color w:val="auto"/>
                <w:szCs w:val="21"/>
                <w:lang w:bidi="ar"/>
              </w:rPr>
            </w:pPr>
            <w:r/>
            <w:bookmarkStart w:id="187" w:name="_Hlk237699446"/>
            <w:r>
              <w:rPr>
                <w:rFonts w:hint="eastAsia" w:ascii="宋体" w:hAnsi="宋体" w:eastAsia="宋体" w:cs="宋体"/>
                <w:color w:val="auto"/>
                <w:szCs w:val="21"/>
                <w:lang w:bidi="ar"/>
              </w:rPr>
              <w:t xml:space="preserve">1.4.</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虚拟仿真实验：对平台内的实验进行统一管理。</w:t>
            </w:r>
            <w:r>
              <w:rPr>
                <w:rFonts w:hint="eastAsia" w:ascii="宋体" w:hAnsi="宋体" w:eastAsia="宋体" w:cs="宋体"/>
                <w:b/>
                <w:bCs/>
                <w:color w:val="auto"/>
                <w:szCs w:val="21"/>
                <w:lang w:bidi="ar"/>
              </w:rPr>
              <w:t xml:space="preserve">【提供视频演示】</w:t>
            </w:r>
            <w:bookmarkEnd w:id="187"/>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1.4.1.支持通过实验名称、是否发布、是否自有三个条件来进行实验的搜索；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1.4.2.支持以列表形式显示实验名称、是否发布、拓扑名称、资源数量、创建人、创建时间、备注；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1.4.3.支持对实验名称、拓扑图、备注进行新增或编辑；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1.4.4.支持对实验内资源进行管理，以列表形式显示资源名称、排序，支持上传、编辑、删除操作；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1.4.5.支持实验的分页显示、删除实验、取消发布、复制实验操作；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1.4.6.支持选择用户进行发布实验，收到实验的用户可以自由作答并且支持保存为自己的实验；</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1.4.7.支持实验作答，具备资源列表、拓扑图图形化界面两大元素，其中资源列表中的资源可点击进行预览或打开小窗口进行预览，小窗口预览支持拖拽和缩放；拓扑图图形化界面支持缩小、放大操作，可便捷查看节点列表，拓扑图的虚拟机节点可手动进行开机/关机，虚拟机节点在开机的状态下支持远程连接操作。实验作答支持保存环境功能，使用保存并退出功能即可保存当时的实验环境，下一次进入实验时可恢复实验环境继续进行作答；</w:t>
            </w:r>
            <w:r/>
          </w:p>
          <w:p>
            <w:pPr>
              <w:jc w:val="left"/>
              <w:rPr>
                <w:rFonts w:ascii="宋体" w:hAnsi="宋体" w:eastAsia="宋体" w:cs="宋体"/>
                <w:color w:val="auto"/>
                <w:szCs w:val="21"/>
                <w:lang w:bidi="ar"/>
              </w:rPr>
            </w:pPr>
            <w:r/>
            <w:bookmarkStart w:id="188" w:name="_Hlk237699469"/>
            <w:r>
              <w:rPr>
                <w:rFonts w:hint="eastAsia" w:ascii="宋体" w:hAnsi="宋体" w:eastAsia="宋体" w:cs="宋体"/>
                <w:color w:val="auto"/>
                <w:szCs w:val="21"/>
                <w:lang w:bidi="ar"/>
              </w:rPr>
              <w:t xml:space="preserve">1.4.8.</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平台须满足同时不少于40人在线进行产品配置相关实验，在实验中每人能够操作的虚拟化设备不少于5台。平台整体须满足同时在线使用的虚拟化设备数量不少于250台。</w:t>
            </w:r>
            <w:r>
              <w:rPr>
                <w:rFonts w:hint="eastAsia" w:ascii="宋体" w:hAnsi="宋体" w:eastAsia="宋体" w:cs="宋体"/>
                <w:b/>
                <w:bCs/>
                <w:color w:val="auto"/>
                <w:szCs w:val="21"/>
                <w:lang w:bidi="ar"/>
              </w:rPr>
              <w:t xml:space="preserve">【提供视频演示】</w:t>
            </w:r>
            <w:bookmarkEnd w:id="188"/>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r>
      <w:tr>
        <w:trPr>
          <w:jc w:val="center"/>
          <w:trHeight w:val="345"/>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人工智能可编程机器人</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1、支持人工智能教学的开源机器人载体。</w:t>
            </w:r>
            <w:r/>
          </w:p>
          <w:p>
            <w:pPr>
              <w:rPr>
                <w:rFonts w:ascii="宋体" w:hAnsi="宋体" w:eastAsia="宋体" w:cs="宋体"/>
                <w:color w:val="auto"/>
                <w:szCs w:val="21"/>
              </w:rPr>
            </w:pPr>
            <w:r>
              <w:rPr>
                <w:rFonts w:hint="eastAsia" w:ascii="宋体" w:hAnsi="宋体" w:eastAsia="宋体" w:cs="宋体"/>
                <w:color w:val="auto"/>
                <w:szCs w:val="21"/>
              </w:rPr>
              <w:t xml:space="preserve">2、机器人具有人形外观，双手双足，可灵活模拟人类肢体动作，内置伺服控制系统、传感反馈系统及直流驱动系统。含有≥17个高速带离合舵机。</w:t>
            </w:r>
            <w:r/>
          </w:p>
          <w:p>
            <w:pPr>
              <w:rPr>
                <w:rFonts w:ascii="宋体" w:hAnsi="宋体" w:eastAsia="宋体" w:cs="宋体"/>
                <w:color w:val="auto"/>
                <w:szCs w:val="21"/>
              </w:rPr>
            </w:pPr>
            <w:r>
              <w:rPr>
                <w:rFonts w:hint="eastAsia" w:ascii="宋体" w:hAnsi="宋体" w:eastAsia="宋体" w:cs="宋体"/>
                <w:color w:val="auto"/>
                <w:szCs w:val="21"/>
              </w:rPr>
              <w:t xml:space="preserve">3、★接上连接线后，调用机器人本体系统中的图形化编程工具，可实现控制机器人的运动能力，主要可实现动作包含且不限于行走、举手，鞠躬、下蹲等。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4、具备视觉、语音、动作互动等基本功能。提供语音交互、语义识别、物体识别、人脸识别等智能技术的学习。</w:t>
            </w:r>
            <w:r/>
          </w:p>
          <w:p>
            <w:pPr>
              <w:rPr>
                <w:rFonts w:ascii="宋体" w:hAnsi="宋体" w:eastAsia="宋体" w:cs="宋体"/>
                <w:color w:val="auto"/>
                <w:szCs w:val="21"/>
              </w:rPr>
            </w:pPr>
            <w:r>
              <w:rPr>
                <w:rFonts w:hint="eastAsia" w:ascii="宋体" w:hAnsi="宋体" w:eastAsia="宋体" w:cs="宋体"/>
                <w:color w:val="auto"/>
                <w:szCs w:val="21"/>
              </w:rPr>
              <w:t xml:space="preserve">5、★具有相应的编程软件支持，可支持基于Linux的开源软件架构，可兼容Raspberry Pi的开源软件模块。可支持图形化编程、Python、Java、C/C++等多种编程语言学习及应用开发。</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提供产品彩页或者说明书或者线上开发手册截图作为证明文件</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6、材质为铝合金外壳，PC+ABS材质。</w:t>
            </w:r>
            <w:r/>
          </w:p>
          <w:p>
            <w:pPr>
              <w:rPr>
                <w:rFonts w:ascii="宋体" w:hAnsi="宋体" w:eastAsia="宋体" w:cs="宋体"/>
                <w:color w:val="auto"/>
                <w:szCs w:val="21"/>
              </w:rPr>
            </w:pPr>
            <w:r>
              <w:rPr>
                <w:rFonts w:hint="eastAsia" w:ascii="宋体" w:hAnsi="宋体" w:eastAsia="宋体" w:cs="宋体"/>
                <w:color w:val="auto"/>
                <w:szCs w:val="21"/>
              </w:rPr>
              <w:t xml:space="preserve">7、在无阻断开阔空间下有效拾音距离大于等于1米；支持通过麦克风语音控制机器人。</w:t>
            </w:r>
            <w:r/>
          </w:p>
          <w:p>
            <w:pPr>
              <w:rPr>
                <w:rFonts w:ascii="宋体" w:hAnsi="宋体" w:eastAsia="宋体" w:cs="宋体"/>
                <w:color w:val="auto"/>
                <w:szCs w:val="21"/>
              </w:rPr>
            </w:pPr>
            <w:r>
              <w:rPr>
                <w:rFonts w:hint="eastAsia" w:ascii="宋体" w:hAnsi="宋体" w:eastAsia="宋体" w:cs="宋体"/>
                <w:color w:val="auto"/>
                <w:szCs w:val="21"/>
              </w:rPr>
              <w:t xml:space="preserve">8、内置摄像头，用于拍照，人脸分析，人脸跟踪，手势识别等功能。</w:t>
            </w:r>
            <w:r/>
          </w:p>
          <w:p>
            <w:pPr>
              <w:rPr>
                <w:rFonts w:ascii="宋体" w:hAnsi="宋体" w:eastAsia="宋体" w:cs="宋体"/>
                <w:color w:val="auto"/>
                <w:szCs w:val="21"/>
              </w:rPr>
            </w:pPr>
            <w:r>
              <w:rPr>
                <w:rFonts w:hint="eastAsia" w:ascii="宋体" w:hAnsi="宋体" w:eastAsia="宋体" w:cs="宋体"/>
                <w:color w:val="auto"/>
                <w:szCs w:val="21"/>
              </w:rPr>
              <w:t xml:space="preserve">9、具有不同状态下的颜色指示灯。</w:t>
            </w:r>
            <w:r/>
          </w:p>
          <w:p>
            <w:pPr>
              <w:rPr>
                <w:rFonts w:ascii="宋体" w:hAnsi="宋体" w:eastAsia="宋体" w:cs="宋体"/>
                <w:color w:val="auto"/>
                <w:szCs w:val="21"/>
              </w:rPr>
            </w:pPr>
            <w:r>
              <w:rPr>
                <w:rFonts w:hint="eastAsia" w:ascii="宋体" w:hAnsi="宋体" w:eastAsia="宋体" w:cs="宋体"/>
                <w:color w:val="auto"/>
                <w:szCs w:val="21"/>
              </w:rPr>
              <w:t xml:space="preserve">10、具有紧急停止按键。机器人工作状态下，按下紧急停止键，机器人立刻断电并停止运行。</w:t>
            </w:r>
            <w:r/>
          </w:p>
          <w:p>
            <w:pPr>
              <w:rPr>
                <w:rFonts w:ascii="宋体" w:hAnsi="宋体" w:eastAsia="宋体" w:cs="宋体"/>
                <w:color w:val="auto"/>
                <w:szCs w:val="21"/>
              </w:rPr>
            </w:pPr>
            <w:r>
              <w:rPr>
                <w:rFonts w:hint="eastAsia" w:ascii="宋体" w:hAnsi="宋体" w:eastAsia="宋体" w:cs="宋体"/>
                <w:color w:val="auto"/>
                <w:szCs w:val="21"/>
              </w:rPr>
              <w:t xml:space="preserve">11、★配套专属教学App，教学App支持iOS和Android等主流移动设备，支持Wifi网络下接入机器人、控制机器人，包括“运动控制”“图形化编程”“回读(PRP)编程”“传感器”等。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12、★提供配套电子实训指导书，实训内容包括：认识人形机器人教学平台、控制机器人头部关节转动、传感器API的使用、机器人识别颜色等</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提供样章截图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13、舵机</w:t>
            </w:r>
            <w:r/>
          </w:p>
          <w:p>
            <w:pPr>
              <w:rPr>
                <w:rFonts w:ascii="宋体" w:hAnsi="宋体" w:eastAsia="宋体" w:cs="宋体"/>
                <w:color w:val="auto"/>
                <w:szCs w:val="21"/>
              </w:rPr>
            </w:pPr>
            <w:r>
              <w:rPr>
                <w:rFonts w:hint="eastAsia" w:ascii="宋体" w:hAnsi="宋体" w:eastAsia="宋体" w:cs="宋体"/>
                <w:color w:val="auto"/>
                <w:szCs w:val="21"/>
              </w:rPr>
              <w:t xml:space="preserve">（1）输出扭矩：≥12kg•cm；</w:t>
            </w:r>
            <w:r/>
          </w:p>
          <w:p>
            <w:pPr>
              <w:rPr>
                <w:rFonts w:ascii="宋体" w:hAnsi="宋体" w:eastAsia="宋体" w:cs="宋体"/>
                <w:color w:val="auto"/>
                <w:szCs w:val="21"/>
              </w:rPr>
            </w:pPr>
            <w:r>
              <w:rPr>
                <w:rFonts w:hint="eastAsia" w:ascii="宋体" w:hAnsi="宋体" w:eastAsia="宋体" w:cs="宋体"/>
                <w:color w:val="auto"/>
                <w:szCs w:val="21"/>
              </w:rPr>
              <w:t xml:space="preserve">（2）转速(S/60°)：≥0.18 S/60°</w:t>
            </w:r>
            <w:r/>
          </w:p>
          <w:p>
            <w:pPr>
              <w:rPr>
                <w:rFonts w:ascii="宋体" w:hAnsi="宋体" w:eastAsia="宋体" w:cs="宋体"/>
                <w:color w:val="auto"/>
                <w:szCs w:val="21"/>
              </w:rPr>
            </w:pPr>
            <w:r>
              <w:rPr>
                <w:rFonts w:hint="eastAsia" w:ascii="宋体" w:hAnsi="宋体" w:eastAsia="宋体" w:cs="宋体"/>
                <w:color w:val="auto"/>
                <w:szCs w:val="21"/>
              </w:rPr>
              <w:t xml:space="preserve">14、主芯片及存储器：</w:t>
            </w:r>
            <w:r/>
          </w:p>
          <w:p>
            <w:pPr>
              <w:rPr>
                <w:rFonts w:ascii="宋体" w:hAnsi="宋体" w:eastAsia="宋体" w:cs="宋体"/>
                <w:color w:val="auto"/>
                <w:szCs w:val="21"/>
              </w:rPr>
            </w:pPr>
            <w:r>
              <w:rPr>
                <w:rFonts w:hint="eastAsia" w:ascii="宋体" w:hAnsi="宋体" w:eastAsia="宋体" w:cs="宋体"/>
                <w:color w:val="auto"/>
                <w:szCs w:val="21"/>
              </w:rPr>
              <w:t xml:space="preserve">（1）主芯片：工作频率：≥1.2GHz</w:t>
            </w:r>
            <w:r/>
          </w:p>
          <w:p>
            <w:pPr>
              <w:rPr>
                <w:rFonts w:ascii="宋体" w:hAnsi="宋体" w:eastAsia="宋体" w:cs="宋体"/>
                <w:color w:val="auto"/>
                <w:szCs w:val="21"/>
              </w:rPr>
            </w:pPr>
            <w:r>
              <w:rPr>
                <w:rFonts w:hint="eastAsia" w:ascii="宋体" w:hAnsi="宋体" w:eastAsia="宋体" w:cs="宋体"/>
                <w:color w:val="auto"/>
                <w:szCs w:val="21"/>
              </w:rPr>
              <w:t xml:space="preserve">（2）RAM：≥1GB，ROM：≥16GB，</w:t>
            </w:r>
            <w:r/>
          </w:p>
          <w:p>
            <w:pPr>
              <w:rPr>
                <w:rFonts w:ascii="宋体" w:hAnsi="宋体" w:eastAsia="宋体" w:cs="宋体"/>
                <w:color w:val="auto"/>
                <w:szCs w:val="21"/>
              </w:rPr>
            </w:pPr>
            <w:r>
              <w:rPr>
                <w:rFonts w:hint="eastAsia" w:ascii="宋体" w:hAnsi="宋体" w:eastAsia="宋体" w:cs="宋体"/>
                <w:color w:val="auto"/>
                <w:szCs w:val="21"/>
              </w:rPr>
              <w:t xml:space="preserve">15、摄像头像素：≥800万像素 定焦</w:t>
            </w:r>
            <w:r/>
          </w:p>
          <w:p>
            <w:pPr>
              <w:rPr>
                <w:rFonts w:ascii="宋体" w:hAnsi="宋体" w:eastAsia="宋体" w:cs="宋体"/>
                <w:color w:val="auto"/>
                <w:szCs w:val="21"/>
              </w:rPr>
            </w:pPr>
            <w:r>
              <w:rPr>
                <w:rFonts w:hint="eastAsia" w:ascii="宋体" w:hAnsi="宋体" w:eastAsia="宋体" w:cs="宋体"/>
                <w:color w:val="auto"/>
                <w:szCs w:val="21"/>
              </w:rPr>
              <w:t xml:space="preserve">16、接口：具有≥6个开放接口，可支持连接≥4种外置传感器，包含且不限于红外传感器、温湿度传感器、压力传感器以及触碰传感器等。</w:t>
            </w:r>
            <w:r/>
          </w:p>
          <w:p>
            <w:pPr>
              <w:rPr>
                <w:rFonts w:ascii="宋体" w:hAnsi="宋体" w:eastAsia="宋体" w:cs="宋体"/>
                <w:color w:val="auto"/>
                <w:szCs w:val="21"/>
              </w:rPr>
            </w:pPr>
            <w:r>
              <w:rPr>
                <w:rFonts w:hint="eastAsia" w:ascii="宋体" w:hAnsi="宋体" w:eastAsia="宋体" w:cs="宋体"/>
                <w:color w:val="auto"/>
                <w:szCs w:val="21"/>
              </w:rPr>
              <w:t xml:space="preserve">17、通讯：支持蓝牙及Wi-Fi上网连接。</w:t>
            </w:r>
            <w:r/>
          </w:p>
          <w:p>
            <w:pPr>
              <w:rPr>
                <w:rFonts w:ascii="宋体" w:hAnsi="宋体" w:eastAsia="宋体" w:cs="宋体"/>
                <w:color w:val="auto"/>
                <w:szCs w:val="21"/>
              </w:rPr>
            </w:pPr>
            <w:r>
              <w:rPr>
                <w:rFonts w:hint="eastAsia" w:ascii="宋体" w:hAnsi="宋体" w:eastAsia="宋体" w:cs="宋体"/>
                <w:color w:val="auto"/>
                <w:szCs w:val="21"/>
              </w:rPr>
              <w:t xml:space="preserve">18、电池：可拆卸式电源，电池容量：≥2800mAh。</w:t>
            </w:r>
            <w:r/>
          </w:p>
          <w:p>
            <w:pPr>
              <w:rPr>
                <w:rFonts w:ascii="宋体" w:hAnsi="宋体" w:eastAsia="宋体" w:cs="宋体"/>
                <w:color w:val="auto"/>
                <w:szCs w:val="21"/>
              </w:rPr>
            </w:pPr>
            <w:r>
              <w:rPr>
                <w:rFonts w:hint="eastAsia" w:ascii="宋体" w:hAnsi="宋体" w:eastAsia="宋体" w:cs="宋体"/>
                <w:color w:val="auto"/>
                <w:szCs w:val="21"/>
              </w:rPr>
              <w:t xml:space="preserve">19、软件功能：</w:t>
            </w:r>
            <w:r/>
          </w:p>
          <w:p>
            <w:pPr>
              <w:rPr>
                <w:rFonts w:ascii="宋体" w:hAnsi="宋体" w:eastAsia="宋体" w:cs="宋体"/>
                <w:color w:val="auto"/>
                <w:szCs w:val="21"/>
              </w:rPr>
            </w:pPr>
            <w:r>
              <w:rPr>
                <w:rFonts w:hint="eastAsia" w:ascii="宋体" w:hAnsi="宋体" w:eastAsia="宋体" w:cs="宋体"/>
                <w:color w:val="auto"/>
                <w:szCs w:val="21"/>
              </w:rPr>
              <w:t xml:space="preserve">（1）采用基于Linux的开源软件架构，支持用户直接调用并集成海量的Raspberry Pi的开源软件模块。</w:t>
            </w:r>
            <w:r/>
          </w:p>
          <w:p>
            <w:pPr>
              <w:rPr>
                <w:rFonts w:ascii="宋体" w:hAnsi="宋体" w:eastAsia="宋体" w:cs="宋体"/>
                <w:color w:val="auto"/>
                <w:szCs w:val="21"/>
              </w:rPr>
            </w:pPr>
            <w:r>
              <w:rPr>
                <w:rFonts w:hint="eastAsia" w:ascii="宋体" w:hAnsi="宋体" w:eastAsia="宋体" w:cs="宋体"/>
                <w:color w:val="auto"/>
                <w:szCs w:val="21"/>
              </w:rPr>
              <w:t xml:space="preserve">（2）支持多种传感器应用学习及设计开发，支持人形机器人动作步态学习及设计，内置步态算法系统，可实现前后、其他方向计算。</w:t>
            </w:r>
            <w:r/>
          </w:p>
          <w:p>
            <w:pPr>
              <w:rPr>
                <w:rFonts w:ascii="宋体" w:hAnsi="宋体" w:eastAsia="宋体" w:cs="宋体"/>
                <w:color w:val="auto"/>
                <w:szCs w:val="21"/>
              </w:rPr>
            </w:pPr>
            <w:r>
              <w:rPr>
                <w:rFonts w:hint="eastAsia" w:ascii="宋体" w:hAnsi="宋体" w:eastAsia="宋体" w:cs="宋体"/>
                <w:color w:val="auto"/>
                <w:szCs w:val="21"/>
              </w:rPr>
              <w:t xml:space="preserve">（3）支持人脸跟踪、人脸检测、人脸分析、人脸识别和物体识别等AI模型，用户可上传自定义视频来训练模型，实现特定物体的机器人识别。 </w:t>
            </w:r>
            <w:r/>
          </w:p>
          <w:p>
            <w:pPr>
              <w:rPr>
                <w:rFonts w:ascii="宋体" w:hAnsi="宋体" w:eastAsia="宋体" w:cs="宋体"/>
                <w:color w:val="auto"/>
                <w:szCs w:val="21"/>
              </w:rPr>
            </w:pPr>
            <w:r>
              <w:rPr>
                <w:rFonts w:hint="eastAsia" w:ascii="宋体" w:hAnsi="宋体" w:eastAsia="宋体" w:cs="宋体"/>
                <w:color w:val="auto"/>
                <w:szCs w:val="21"/>
              </w:rPr>
              <w:t xml:space="preserve">（4）支持手眼互动，可通过颜色识别、形状识别、目标检测等视觉功能获得环境信息并完成机器人多种竞赛方案设计。</w:t>
            </w:r>
            <w:r/>
          </w:p>
          <w:p>
            <w:pPr>
              <w:rPr>
                <w:rFonts w:ascii="宋体" w:hAnsi="宋体" w:eastAsia="宋体" w:cs="宋体"/>
                <w:color w:val="auto"/>
                <w:szCs w:val="21"/>
              </w:rPr>
            </w:pPr>
            <w:r>
              <w:rPr>
                <w:rFonts w:hint="eastAsia" w:ascii="宋体" w:hAnsi="宋体" w:eastAsia="宋体" w:cs="宋体"/>
                <w:color w:val="auto"/>
                <w:szCs w:val="21"/>
              </w:rPr>
              <w:t xml:space="preserve">（5）提供基于Raspbian的桌面版PC 图形化编程工具，同时高亮显示积木块代码，支持学生从图形化编程到代码编程的进阶学习。</w:t>
            </w:r>
            <w:r/>
          </w:p>
          <w:p>
            <w:pPr>
              <w:rPr>
                <w:rFonts w:ascii="宋体" w:hAnsi="宋体" w:eastAsia="宋体" w:cs="宋体"/>
                <w:color w:val="auto"/>
                <w:szCs w:val="21"/>
              </w:rPr>
            </w:pPr>
            <w:r>
              <w:rPr>
                <w:rFonts w:hint="eastAsia" w:ascii="宋体" w:hAnsi="宋体" w:eastAsia="宋体" w:cs="宋体"/>
                <w:color w:val="auto"/>
                <w:szCs w:val="21"/>
              </w:rPr>
              <w:t xml:space="preserve">（6）★提供一系列的基于机器人的开放API，支持用户快速实现二次开发</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机器人产品激活许可。</w:t>
            </w:r>
            <w:r/>
          </w:p>
          <w:p>
            <w:pPr>
              <w:rPr>
                <w:rFonts w:ascii="宋体" w:hAnsi="宋体" w:eastAsia="宋体" w:cs="宋体"/>
                <w:color w:val="auto"/>
                <w:szCs w:val="21"/>
              </w:rPr>
            </w:pPr>
            <w:r>
              <w:rPr>
                <w:rFonts w:hint="eastAsia" w:ascii="宋体" w:hAnsi="宋体" w:eastAsia="宋体" w:cs="宋体"/>
                <w:color w:val="auto"/>
                <w:szCs w:val="21"/>
              </w:rPr>
              <w:t xml:space="preserve">注：每一套机器人须配置一个许可</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jc w:val="center"/>
          <w:trHeight w:val="1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tcW w:w="800" w:type="pct"/>
            <w:vAlign w:val="center"/>
            <w:textDirection w:val="lrTb"/>
            <w:noWrap/>
          </w:tcPr>
          <w:p>
            <w:pPr>
              <w:jc w:val="center"/>
              <w:widowControl/>
              <w:rPr>
                <w:rFonts w:ascii="宋体" w:hAnsi="宋体" w:eastAsia="宋体" w:cs="宋体"/>
                <w:color w:val="auto"/>
                <w:sz w:val="24"/>
              </w:rPr>
            </w:pPr>
            <w:r/>
            <w:bookmarkStart w:id="189" w:name="OLE_LINK2"/>
            <w:r/>
            <w:bookmarkStart w:id="190" w:name="_Hlk237699483"/>
            <w:r>
              <w:rPr>
                <w:rFonts w:hint="eastAsia" w:ascii="宋体" w:hAnsi="宋体" w:eastAsia="宋体" w:cs="宋体"/>
                <w:color w:val="auto"/>
                <w:sz w:val="24"/>
              </w:rPr>
              <w:t xml:space="preserve">人工智能内容生成教学资源</w:t>
            </w:r>
            <w:bookmarkEnd w:id="189"/>
            <w:r>
              <w:rPr>
                <w:rFonts w:hint="eastAsia" w:ascii="宋体" w:hAnsi="宋体" w:eastAsia="宋体" w:cs="宋体"/>
                <w:color w:val="auto"/>
                <w:sz w:val="24"/>
              </w:rPr>
              <w:t xml:space="preserve">平台</w:t>
            </w:r>
            <w:bookmarkEnd w:id="190"/>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一、计算机视觉应用开发课程资源系统：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神州问课人工智能教学平台的无缝对接；能够在学生实操时自动创建全真的实训环境，收集学生在实训任务或项目中的表现和成果，并以数据接口的形式将学生实训结果数据提交至神州问课人工智能教学平台，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3.教学设计：通过本课程学习，能够1.了解计算机视觉主要应用场景，熟悉计算机视觉基本原理。2.掌握基于 OpenCV 的图像及视频等处理操作。3.掌握图像分类、目标检测等算法库的参数配置、算法调用，以及返回结果的解析和可视化展示。4.掌握真实场景数据集模型训练与部署，能根据应用场景实现视觉类智能识别的应用开发。学习本课程，能够完成如下任务1.完成计算机视觉数据的预处理。2.根据项目需求，选择合适的图像视频处理算法库，完成项目应用开发。3.根据项目需求，完成符合项目性能要求的模型训练、推理及部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4.教学内容：课程内容涵盖包含openCV、标注与数据准备、python视觉开发环境、传统视觉算法、深度学习与CNN、工业视觉、智慧交通、医疗影像、安防与零售、模型部署、性能优化等章节。任务实训支持自动评分。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二、智能语音处理应用开发课程资源系统：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神州问课人工智能教学平台的无缝对接；能够在学生实操时自动创建全真的实训环境，收集学生在实训任务或项目中的表现和成果，并以数据接口的形式将学生实训结果数据提交至神州问课人工智能教学平台，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语音识别、语音合成等技术的定义、原理。2.掌握使用工具或者Python语言进行语音数据采集、清洗、存储、标注。3.掌握语音翻译、语音控制、语音转录等语音识别应用开发。学习本课程，能够完成如下任务1.完成对音频的采集、处理、标注等数据处理，以及机器学习或深度学习模型训练。2.根据实际项目需求，完成语音识别、语音合成、语音评测、声纹识别等语音处理及应用开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4.教学内容：课程内容涵盖语音信号处理基础、开发环境、传统语音识别、深度学习ASR、语音合成神经网络、高级应用、性能优化、系统集成等章节。任务实训支持自动评分。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三、昇腾AI智能小车应用践课程资源系统：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1.课时要求：不低于48课时，包括但不限于以下实验案例：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（1）硬件组装</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（2）运动控制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（3）交通标识识别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（4）车道线识别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（5）前方行人识别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（6）自动泊车</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（7）车辆识别与追踪</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（8）自动驾驶实践</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2.课程内容要求：课程实验案例中至少有一个案例具备实验环境搭建、数据集准备、模型训练、模型转换、模型推理应用的完整开发流程。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3.课程资源要求：</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（1）课程需要至少包括课程大纲、 教学PPT，视频、实验手册、试题等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（2）课程包括实验案例，并提供实验Demo源码、实验手册、实验讲解视频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（3）至少包括&gt;视频时长不少于400分钟、&gt;=8个教学 PPT，&gt;=8个实验手册，&gt;=1个课程大纲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四、AIGC数字音视频创作智能体系统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1、采用B/S架构，支持Web端访问、HTTP/HTTPS，提供不少于50个用户使用授权，支持管理员、普通用户。</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2、具备账号注册/账号密码登录、退出登录、昵称修改、手机号更换及密码设置修改功能；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3、核心功能：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 由文字剧本生成分镜脚本</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3.1.1支持AI剧本润色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3.1.2 AI分镜脚本生成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3.1.3★分镜脚本包含要素有：首帧画面、尾帧画面、分镜视频、视觉描述、地点、旁白、旁白音轨、音效、时间、环境、艺术风格、角色信息、景别、摄像机角度、时长、镜头构图方式、镜头类型、镜头运动方式；</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bookmarkStart w:id="191" w:name="_Hlk237699512"/>
            <w:r>
              <w:rPr>
                <w:rFonts w:hint="eastAsia" w:ascii="宋体" w:hAnsi="宋体" w:eastAsia="宋体" w:cs="宋体"/>
                <w:color w:val="auto"/>
                <w:szCs w:val="21"/>
                <w:lang w:bidi="ar"/>
              </w:rPr>
              <w:t xml:space="preserve">3.2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由文字剧本生成主体库</w:t>
            </w:r>
            <w:r>
              <w:rPr>
                <w:rFonts w:hint="eastAsia" w:ascii="宋体" w:hAnsi="宋体" w:eastAsia="宋体" w:cs="宋体"/>
                <w:b/>
                <w:bCs/>
                <w:color w:val="auto"/>
                <w:szCs w:val="21"/>
                <w:lang w:bidi="ar"/>
              </w:rPr>
              <w:t xml:space="preserve">【提供视频演示】</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AI主体库生成</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支持由主体形象创建衍生形象</w:t>
            </w:r>
            <w:bookmarkEnd w:id="191"/>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3.3 分镜脚本编辑：分镜脚本所有要素图形化展示和编辑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3.4 主体库编辑：主体库所有要素图形化展示和编辑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3.5 由分镜脚本生成分镜画面及分镜视频：AI生成分镜画面及分镜视频</w:t>
            </w:r>
            <w:r/>
          </w:p>
          <w:p>
            <w:pPr>
              <w:rPr>
                <w:rFonts w:ascii="宋体" w:hAnsi="宋体" w:eastAsia="宋体" w:cs="宋体"/>
                <w:color w:val="auto"/>
                <w:szCs w:val="21"/>
                <w:lang w:bidi="ar"/>
              </w:rPr>
            </w:pPr>
            <w:r/>
            <w:bookmarkStart w:id="192" w:name="_Hlk237699520"/>
            <w:r>
              <w:rPr>
                <w:rFonts w:hint="eastAsia" w:ascii="宋体" w:hAnsi="宋体" w:eastAsia="宋体" w:cs="宋体"/>
                <w:color w:val="auto"/>
                <w:szCs w:val="21"/>
                <w:lang w:bidi="ar"/>
              </w:rPr>
              <w:t xml:space="preserve">3.6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由分镜脚本生成分镜角色配音及旁白：AI生成角色配音及旁白，配音模板不少于20种声音，支持自定义声音模板和文字描述控制音色。</w:t>
            </w:r>
            <w:r>
              <w:rPr>
                <w:rFonts w:hint="eastAsia" w:ascii="宋体" w:hAnsi="宋体" w:eastAsia="宋体" w:cs="宋体"/>
                <w:b/>
                <w:bCs/>
                <w:color w:val="auto"/>
                <w:szCs w:val="21"/>
                <w:lang w:bidi="ar"/>
              </w:rPr>
              <w:t xml:space="preserve">【提供视频演示】</w:t>
            </w:r>
            <w:bookmarkEnd w:id="192"/>
            <w:r/>
            <w:r/>
          </w:p>
          <w:p>
            <w:pPr>
              <w:rPr>
                <w:rFonts w:ascii="宋体" w:hAnsi="宋体" w:eastAsia="宋体" w:cs="宋体"/>
                <w:color w:val="auto"/>
                <w:szCs w:val="21"/>
                <w:lang w:bidi="ar"/>
              </w:rPr>
            </w:pPr>
            <w:r/>
            <w:bookmarkStart w:id="193" w:name="_Hlk237699539"/>
            <w:r>
              <w:rPr>
                <w:rFonts w:hint="eastAsia" w:ascii="宋体" w:hAnsi="宋体" w:eastAsia="宋体" w:cs="宋体"/>
                <w:color w:val="auto"/>
                <w:szCs w:val="21"/>
                <w:lang w:bidi="ar"/>
              </w:rPr>
              <w:t xml:space="preserve">3.7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分镜脚本一键导出：分镜脚本导出excel文件</w:t>
            </w:r>
            <w:r>
              <w:rPr>
                <w:rFonts w:hint="eastAsia" w:ascii="宋体" w:hAnsi="宋体" w:eastAsia="宋体" w:cs="宋体"/>
                <w:b/>
                <w:bCs/>
                <w:color w:val="auto"/>
                <w:szCs w:val="21"/>
                <w:lang w:bidi="ar"/>
              </w:rPr>
              <w:t xml:space="preserve">【提供视频演示】</w:t>
            </w:r>
            <w:bookmarkEnd w:id="193"/>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3.8 主体库一键导出：主体库导出excel文件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3.9 自定义风格模板：允许用户创建风格模板</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4、通用功能</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4.1 文生图/多图编辑</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4.2 文生视频/首尾帧视频/参考生视频/视频编辑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4.3 语音生成/语音克隆</w:t>
            </w:r>
            <w:r/>
          </w:p>
          <w:p>
            <w:pPr>
              <w:rPr>
                <w:rFonts w:ascii="宋体" w:hAnsi="宋体" w:eastAsia="宋体" w:cs="宋体"/>
                <w:color w:val="auto"/>
                <w:szCs w:val="21"/>
                <w:lang w:bidi="ar"/>
              </w:rPr>
            </w:pPr>
            <w:r/>
            <w:bookmarkStart w:id="194" w:name="_Hlk237699547"/>
            <w:r>
              <w:rPr>
                <w:rFonts w:hint="eastAsia" w:ascii="宋体" w:hAnsi="宋体" w:eastAsia="宋体" w:cs="宋体"/>
                <w:color w:val="auto"/>
                <w:szCs w:val="21"/>
                <w:lang w:bidi="ar"/>
              </w:rPr>
              <w:t xml:space="preserve">4.4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支持本地算力调用，诗词多模态模型调用</w:t>
            </w:r>
            <w:r>
              <w:rPr>
                <w:rFonts w:hint="eastAsia" w:ascii="宋体" w:hAnsi="宋体" w:eastAsia="宋体" w:cs="宋体"/>
                <w:b/>
                <w:bCs/>
                <w:color w:val="auto"/>
                <w:szCs w:val="21"/>
                <w:lang w:bidi="ar"/>
              </w:rPr>
              <w:t xml:space="preserve">【提供视频演示】</w:t>
            </w:r>
            <w:bookmarkEnd w:id="194"/>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5、★算力调用：所有AIGC功能同时支持本地算力调用与云端算力API调用。</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6、★团队项目：支持个人项目与团队项目相互转换，团队项目允许团队成员共同编辑一个项目。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五、AIGC综合算力智能管理平台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1、支持用户新增、编辑、删除组织架构数据 。并且配置以下参数：学院信息、二级学院信息、系部信息；</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2、支持用户新增、编辑、删除权限策略组。包含：管理员、教师、学员。教师组具有审核平台发布权限；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3、支持用户新增、编辑、删除用户组信息。可编辑内容：用户昵称、归属部门、手机号、邮箱、性别、当前状态、所属角色；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4、支持用户新增、编辑、删除模型数据。并且配置模型以下参数：模型名称、模型类型、基础底模、模型分类标签、独立/引用模型、模型展示样片、模型简介；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5、支持用户新增、编辑、删除同名模型版本数据 。并且配置同名模型下不同版本得以下参数：模型版本编号、模型类型、基础底模、功能描述、模型触发关键词、推荐权重、CFG、VAE、高清放大法、模型文件存放位置、模型简介；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6、支持用户新增、编辑、删除展示作品数据 。并且配置以下参数：创作工具、本地/引用作品、关联基础底模型、关联Lora模型、图片尺寸、迭代步数、采样方法、种子、正向提示词、反向提示词、 展示作品存放位置；</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7、前端支持教学资源访问与下载功能。后台支持教学资源的版本/参数/配图等关键信息进行编辑和发布；</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8、支持用户新增、编辑、删除展示AIGC项目数据 。并且配置以下参数：项目名称、分类标签、本地/应用项目、项目图片、项目简介； </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9、支持添加本地及云端AIGC应用实例至Web服务访问列表，可以编辑内容：实例名称/实例物理地址/访问地址/更新时间/分组/在线状态/审核状态/创建方式；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10、★支持用户新增、编辑、删除展示AIGC实例的类型，用户可以自定义类型，支持负载均衡：</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11、支持用户新增、编辑、删除展示平台重要通知；</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12、支持监控登录人数、本地服务器状态、云桌面状态、容器状态；</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13、支持用户通过拖拽独立功能节点并连接输入输出接口；</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14、支持任务异步提交与处理，允许多个请求排队执行，提升批量生成任务的效率与系统资源利用率；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15、支持算法自动检测业务流程中发生变化的部分；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16、支持复杂业务流程打包成自定义“超级节点”，保留完整输入输出接口，简化界面操作，支持模块复用和团队共享；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17、支持加载 .ckpt、.gguf、.safetensors 格式的完整模型，以及独立的VAE、CLIP、CLIP Vision、Text Encoder模型。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18、兼容Flux、腾讯混元等市场主流多种扩散模型架构。</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19、支持常规LoRA、Locon、Loha等多种低秩适应模型；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20、支持动态接入目前市场主流视频生成模型的API调用接入；</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2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智能无人驾驶终端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1、产品采用全国产化模块与设备，智能小车主体由3D打印小车结构件、电池、无线路由器、摄像头、车轮、驱动电机、AI主机、运动控制主板等模块构成，可应用于智能小车、自动驾驶方向开发与实践教学。</w:t>
            </w:r>
            <w:r/>
          </w:p>
          <w:p>
            <w:pPr>
              <w:rPr>
                <w:rFonts w:ascii="宋体" w:hAnsi="宋体" w:eastAsia="宋体" w:cs="宋体"/>
                <w:color w:val="auto"/>
                <w:szCs w:val="21"/>
              </w:rPr>
            </w:pPr>
            <w:r>
              <w:rPr>
                <w:rFonts w:hint="eastAsia" w:ascii="宋体" w:hAnsi="宋体" w:eastAsia="宋体" w:cs="宋体"/>
                <w:color w:val="auto"/>
                <w:szCs w:val="21"/>
              </w:rPr>
              <w:t xml:space="preserve">2、★AI主机：搭载国产化AI芯片，满足以下参数：</w:t>
            </w:r>
            <w:r/>
          </w:p>
          <w:p>
            <w:pPr>
              <w:rPr>
                <w:rFonts w:ascii="宋体" w:hAnsi="宋体" w:eastAsia="宋体" w:cs="宋体"/>
                <w:color w:val="auto"/>
                <w:szCs w:val="21"/>
              </w:rPr>
            </w:pPr>
            <w:r>
              <w:rPr>
                <w:rFonts w:hint="eastAsia" w:ascii="宋体" w:hAnsi="宋体" w:eastAsia="宋体" w:cs="宋体"/>
                <w:color w:val="auto"/>
                <w:szCs w:val="21"/>
              </w:rPr>
              <w:t xml:space="preserve">AI算力：≥8Tops（INT8）/4TFLOPS（FP16）</w:t>
            </w:r>
            <w:r/>
          </w:p>
          <w:p>
            <w:pPr>
              <w:rPr>
                <w:rFonts w:ascii="宋体" w:hAnsi="宋体" w:eastAsia="宋体" w:cs="宋体"/>
                <w:color w:val="auto"/>
                <w:szCs w:val="21"/>
              </w:rPr>
            </w:pPr>
            <w:r>
              <w:rPr>
                <w:rFonts w:hint="eastAsia" w:ascii="宋体" w:hAnsi="宋体" w:eastAsia="宋体" w:cs="宋体"/>
                <w:color w:val="auto"/>
                <w:szCs w:val="21"/>
              </w:rPr>
              <w:t xml:space="preserve">内存：≥LPDDR4X 4GB</w:t>
            </w:r>
            <w:r/>
          </w:p>
          <w:p>
            <w:pPr>
              <w:rPr>
                <w:rFonts w:ascii="宋体" w:hAnsi="宋体" w:eastAsia="宋体" w:cs="宋体"/>
                <w:color w:val="auto"/>
                <w:szCs w:val="21"/>
              </w:rPr>
            </w:pPr>
            <w:r>
              <w:rPr>
                <w:rFonts w:hint="eastAsia" w:ascii="宋体" w:hAnsi="宋体" w:eastAsia="宋体" w:cs="宋体"/>
                <w:color w:val="auto"/>
                <w:szCs w:val="21"/>
              </w:rPr>
              <w:t xml:space="preserve">预装系统：最新版本</w:t>
            </w:r>
            <w:r/>
          </w:p>
          <w:p>
            <w:pPr>
              <w:rPr>
                <w:rFonts w:ascii="宋体" w:hAnsi="宋体" w:eastAsia="宋体" w:cs="宋体"/>
                <w:color w:val="auto"/>
                <w:szCs w:val="21"/>
              </w:rPr>
            </w:pPr>
            <w:r>
              <w:rPr>
                <w:rFonts w:hint="eastAsia" w:ascii="宋体" w:hAnsi="宋体" w:eastAsia="宋体" w:cs="宋体"/>
                <w:color w:val="auto"/>
                <w:szCs w:val="21"/>
              </w:rPr>
              <w:t xml:space="preserve">具备USB、HDMI、Micro SD、以太网等外设接口。</w:t>
            </w:r>
            <w:r/>
          </w:p>
          <w:p>
            <w:pPr>
              <w:rPr>
                <w:rFonts w:ascii="宋体" w:hAnsi="宋体" w:eastAsia="宋体" w:cs="宋体"/>
                <w:color w:val="auto"/>
                <w:szCs w:val="21"/>
              </w:rPr>
            </w:pPr>
            <w:r>
              <w:rPr>
                <w:rFonts w:hint="eastAsia" w:ascii="宋体" w:hAnsi="宋体" w:eastAsia="宋体" w:cs="宋体"/>
                <w:color w:val="auto"/>
                <w:szCs w:val="21"/>
              </w:rPr>
              <w:t xml:space="preserve">3、★AI平台支持多路算法模型并行推理运行。</w:t>
            </w:r>
            <w:r/>
          </w:p>
          <w:p>
            <w:pPr>
              <w:rPr>
                <w:rFonts w:ascii="宋体" w:hAnsi="宋体" w:eastAsia="宋体" w:cs="宋体"/>
                <w:color w:val="auto"/>
                <w:szCs w:val="21"/>
              </w:rPr>
            </w:pPr>
            <w:r>
              <w:rPr>
                <w:rFonts w:hint="eastAsia" w:ascii="宋体" w:hAnsi="宋体" w:eastAsia="宋体" w:cs="宋体"/>
                <w:color w:val="auto"/>
                <w:szCs w:val="21"/>
              </w:rPr>
              <w:t xml:space="preserve">4、★内置开放Python SDK，支持通用Python环境开展二次开发编程。</w:t>
            </w:r>
            <w:r/>
          </w:p>
          <w:p>
            <w:pPr>
              <w:rPr>
                <w:rFonts w:ascii="宋体" w:hAnsi="宋体" w:eastAsia="宋体" w:cs="宋体"/>
                <w:color w:val="auto"/>
                <w:szCs w:val="21"/>
              </w:rPr>
            </w:pPr>
            <w:r>
              <w:rPr>
                <w:rFonts w:hint="eastAsia" w:ascii="宋体" w:hAnsi="宋体" w:eastAsia="宋体" w:cs="宋体"/>
                <w:color w:val="auto"/>
                <w:szCs w:val="21"/>
              </w:rPr>
              <w:t xml:space="preserve">5、★配套实训小车跑道地图，地图有效尺寸不小于2.8m*2.8m。</w:t>
            </w:r>
            <w:r/>
          </w:p>
          <w:p>
            <w:pPr>
              <w:rPr>
                <w:rFonts w:ascii="宋体" w:hAnsi="宋体" w:eastAsia="宋体" w:cs="宋体"/>
                <w:color w:val="auto"/>
                <w:szCs w:val="21"/>
              </w:rPr>
            </w:pPr>
            <w:r>
              <w:rPr>
                <w:rFonts w:hint="eastAsia" w:ascii="宋体" w:hAnsi="宋体" w:eastAsia="宋体" w:cs="宋体"/>
                <w:color w:val="auto"/>
                <w:szCs w:val="21"/>
              </w:rPr>
              <w:t xml:space="preserve">6、配套128GB存储内存卡，同步提供道具人、仿真车辆等配套实验道具。</w:t>
            </w:r>
            <w:r/>
          </w:p>
          <w:p>
            <w:pPr>
              <w:rPr>
                <w:rFonts w:ascii="宋体" w:hAnsi="宋体" w:eastAsia="宋体" w:cs="宋体"/>
                <w:color w:val="auto"/>
                <w:szCs w:val="21"/>
              </w:rPr>
            </w:pPr>
            <w:r>
              <w:rPr>
                <w:rFonts w:hint="eastAsia" w:ascii="宋体" w:hAnsi="宋体" w:eastAsia="宋体" w:cs="宋体"/>
                <w:color w:val="auto"/>
                <w:szCs w:val="21"/>
              </w:rPr>
              <w:t xml:space="preserve">7、★配置广角摄像头，可与搭载国产化AI芯片的人工智能开发主机稳定对接通讯。</w:t>
            </w:r>
            <w:r/>
          </w:p>
          <w:p>
            <w:pPr>
              <w:rPr>
                <w:rFonts w:ascii="宋体" w:hAnsi="宋体" w:eastAsia="宋体" w:cs="宋体"/>
                <w:color w:val="auto"/>
                <w:szCs w:val="21"/>
              </w:rPr>
            </w:pPr>
            <w:r>
              <w:rPr>
                <w:rFonts w:hint="eastAsia" w:ascii="宋体" w:hAnsi="宋体" w:eastAsia="宋体" w:cs="宋体"/>
                <w:color w:val="auto"/>
                <w:szCs w:val="21"/>
              </w:rPr>
              <w:t xml:space="preserve">8、小车运动控制主板要求：</w:t>
            </w:r>
            <w:r/>
          </w:p>
          <w:p>
            <w:pPr>
              <w:rPr>
                <w:rFonts w:ascii="宋体" w:hAnsi="宋体" w:eastAsia="宋体" w:cs="宋体"/>
                <w:color w:val="auto"/>
                <w:szCs w:val="21"/>
              </w:rPr>
            </w:pPr>
            <w:r>
              <w:rPr>
                <w:rFonts w:hint="eastAsia" w:ascii="宋体" w:hAnsi="宋体" w:eastAsia="宋体" w:cs="宋体"/>
                <w:color w:val="auto"/>
                <w:szCs w:val="21"/>
              </w:rPr>
              <w:t xml:space="preserve">主控模组：</w:t>
            </w:r>
            <w:r/>
          </w:p>
          <w:p>
            <w:pPr>
              <w:rPr>
                <w:rFonts w:ascii="宋体" w:hAnsi="宋体" w:eastAsia="宋体" w:cs="宋体"/>
                <w:color w:val="auto"/>
                <w:szCs w:val="21"/>
              </w:rPr>
            </w:pPr>
            <w:r>
              <w:rPr>
                <w:rFonts w:hint="eastAsia" w:ascii="宋体" w:hAnsi="宋体" w:eastAsia="宋体" w:cs="宋体"/>
                <w:color w:val="auto"/>
                <w:szCs w:val="21"/>
              </w:rPr>
              <w:t xml:space="preserve">核心数量≥2；CPU主频≥240MHz；运算能力≥600DMIPS；</w:t>
            </w:r>
            <w:r/>
          </w:p>
          <w:p>
            <w:pPr>
              <w:rPr>
                <w:rFonts w:ascii="宋体" w:hAnsi="宋体" w:eastAsia="宋体" w:cs="宋体"/>
                <w:color w:val="auto"/>
                <w:szCs w:val="21"/>
              </w:rPr>
            </w:pPr>
            <w:r>
              <w:rPr>
                <w:rFonts w:hint="eastAsia" w:ascii="宋体" w:hAnsi="宋体" w:eastAsia="宋体" w:cs="宋体"/>
                <w:color w:val="auto"/>
                <w:szCs w:val="21"/>
              </w:rPr>
              <w:t xml:space="preserve">通信接口Type-C；供电支持7.2V-15V直流输入；</w:t>
            </w:r>
            <w:r/>
          </w:p>
          <w:p>
            <w:pPr>
              <w:rPr>
                <w:rFonts w:ascii="宋体" w:hAnsi="宋体" w:eastAsia="宋体" w:cs="宋体"/>
                <w:color w:val="auto"/>
                <w:szCs w:val="21"/>
              </w:rPr>
            </w:pPr>
            <w:r>
              <w:rPr>
                <w:rFonts w:hint="eastAsia" w:ascii="宋体" w:hAnsi="宋体" w:eastAsia="宋体" w:cs="宋体"/>
                <w:color w:val="auto"/>
                <w:szCs w:val="21"/>
              </w:rPr>
              <w:t xml:space="preserve">具备多路通用GPIO、触摸输入通道、ADC模拟采集通道、DAC输出通道、至少1组I2C通信通道；</w:t>
            </w:r>
            <w:r/>
          </w:p>
          <w:p>
            <w:pPr>
              <w:rPr>
                <w:rFonts w:ascii="宋体" w:hAnsi="宋体" w:eastAsia="宋体" w:cs="宋体"/>
                <w:color w:val="auto"/>
                <w:szCs w:val="21"/>
              </w:rPr>
            </w:pPr>
            <w:r>
              <w:rPr>
                <w:rFonts w:hint="eastAsia" w:ascii="宋体" w:hAnsi="宋体" w:eastAsia="宋体" w:cs="宋体"/>
                <w:color w:val="auto"/>
                <w:szCs w:val="21"/>
              </w:rPr>
              <w:t xml:space="preserve">具备多路电机控制输出接口，支持独立外部电机供电；</w:t>
            </w:r>
            <w:r/>
          </w:p>
          <w:p>
            <w:pPr>
              <w:rPr>
                <w:rFonts w:ascii="宋体" w:hAnsi="宋体" w:eastAsia="宋体" w:cs="宋体"/>
                <w:color w:val="auto"/>
                <w:szCs w:val="21"/>
              </w:rPr>
            </w:pPr>
            <w:r>
              <w:rPr>
                <w:rFonts w:hint="eastAsia" w:ascii="宋体" w:hAnsi="宋体" w:eastAsia="宋体" w:cs="宋体"/>
                <w:color w:val="auto"/>
                <w:szCs w:val="21"/>
              </w:rPr>
              <w:t xml:space="preserve">集成802.11b/g/n Wi-Fi、蓝牙BLE无线通信，搭载PCB板载天线。</w:t>
            </w:r>
            <w:r/>
          </w:p>
          <w:p>
            <w:pPr>
              <w:rPr>
                <w:rFonts w:ascii="宋体" w:hAnsi="宋体" w:eastAsia="宋体" w:cs="宋体"/>
                <w:color w:val="auto"/>
                <w:szCs w:val="21"/>
              </w:rPr>
            </w:pPr>
            <w:r>
              <w:rPr>
                <w:rFonts w:hint="eastAsia" w:ascii="宋体" w:hAnsi="宋体" w:eastAsia="宋体" w:cs="宋体"/>
                <w:color w:val="auto"/>
                <w:szCs w:val="21"/>
              </w:rPr>
              <w:t xml:space="preserve">9、智能小车依托纯视觉方案，可在配套跑道地图上完成车道线识别、行人识别、交通标识识别、自动泊车功能，实现简易自动驾驶综合实训。</w:t>
            </w:r>
            <w:r/>
          </w:p>
          <w:p>
            <w:pPr>
              <w:rPr>
                <w:rFonts w:ascii="宋体" w:hAnsi="宋体" w:eastAsia="宋体" w:cs="宋体"/>
                <w:color w:val="auto"/>
                <w:szCs w:val="21"/>
              </w:rPr>
            </w:pPr>
            <w:r>
              <w:rPr>
                <w:rFonts w:hint="eastAsia" w:ascii="宋体" w:hAnsi="宋体" w:eastAsia="宋体" w:cs="宋体"/>
                <w:color w:val="auto"/>
                <w:szCs w:val="21"/>
              </w:rPr>
              <w:t xml:space="preserve">10、★支持联网状态下AI语音指令控制小车运动。</w:t>
            </w:r>
            <w:r/>
          </w:p>
          <w:p>
            <w:pPr>
              <w:rPr>
                <w:rFonts w:ascii="宋体" w:hAnsi="宋体" w:eastAsia="宋体" w:cs="宋体"/>
                <w:color w:val="auto"/>
                <w:szCs w:val="21"/>
              </w:rPr>
            </w:pPr>
            <w:r>
              <w:rPr>
                <w:rFonts w:hint="eastAsia" w:ascii="宋体" w:hAnsi="宋体" w:eastAsia="宋体" w:cs="宋体"/>
                <w:color w:val="auto"/>
                <w:szCs w:val="21"/>
              </w:rPr>
              <w:t xml:space="preserve">11、★提供Web管理界面，支持远程启动/停止小车实验程序，实时查看程序运行日志。</w:t>
            </w:r>
            <w:r/>
          </w:p>
          <w:p>
            <w:pPr>
              <w:rPr>
                <w:rFonts w:ascii="宋体" w:hAnsi="宋体" w:eastAsia="宋体" w:cs="宋体"/>
                <w:color w:val="auto"/>
                <w:szCs w:val="21"/>
              </w:rPr>
            </w:pPr>
            <w:r>
              <w:rPr>
                <w:rFonts w:hint="eastAsia" w:ascii="宋体" w:hAnsi="宋体" w:eastAsia="宋体" w:cs="宋体"/>
                <w:color w:val="auto"/>
                <w:szCs w:val="21"/>
              </w:rPr>
              <w:t xml:space="preserve">12、★支持开展以下实训场景：小车运动控制、车道线识别、交通标识识别、行人识别、车辆识别、自动泊车、简易自动驾驶；提供配套系统镜像文件，镜像内置全部实训源代码。</w:t>
            </w:r>
            <w:r/>
          </w:p>
          <w:p>
            <w:pPr>
              <w:rPr>
                <w:rFonts w:ascii="宋体" w:hAnsi="宋体" w:eastAsia="宋体" w:cs="宋体"/>
                <w:color w:val="auto"/>
                <w:szCs w:val="21"/>
              </w:rPr>
            </w:pPr>
            <w:r>
              <w:rPr>
                <w:rFonts w:hint="eastAsia" w:ascii="宋体" w:hAnsi="宋体" w:eastAsia="宋体" w:cs="宋体"/>
                <w:color w:val="auto"/>
                <w:szCs w:val="21"/>
              </w:rPr>
              <w:t xml:space="preserve">13、★提供正式配套电子实训指导书。</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20</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智能搬运移动终端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1、产品包含机械结构件、执行机构、主控控制器。配套3D动态装配图纸与可视化图形化编程环境，支持零基础开展机器人搭建与编程学习。</w:t>
            </w:r>
            <w:r/>
          </w:p>
          <w:p>
            <w:pPr>
              <w:rPr>
                <w:rFonts w:ascii="宋体" w:hAnsi="宋体" w:eastAsia="宋体" w:cs="宋体"/>
                <w:color w:val="auto"/>
                <w:szCs w:val="21"/>
              </w:rPr>
            </w:pPr>
            <w:r>
              <w:rPr>
                <w:rFonts w:hint="eastAsia" w:ascii="宋体" w:hAnsi="宋体" w:eastAsia="宋体" w:cs="宋体"/>
                <w:color w:val="auto"/>
                <w:szCs w:val="21"/>
              </w:rPr>
              <w:t xml:space="preserve">2、★AI推理平台支持多算法模型同步并行运行，可实现人脸识别、颜色识别等多任务同步处理。</w:t>
            </w:r>
            <w:r/>
          </w:p>
          <w:p>
            <w:pPr>
              <w:rPr>
                <w:rFonts w:ascii="宋体" w:hAnsi="宋体" w:eastAsia="宋体" w:cs="宋体"/>
                <w:color w:val="auto"/>
                <w:szCs w:val="21"/>
              </w:rPr>
            </w:pPr>
            <w:r>
              <w:rPr>
                <w:rFonts w:hint="eastAsia" w:ascii="宋体" w:hAnsi="宋体" w:eastAsia="宋体" w:cs="宋体"/>
                <w:color w:val="auto"/>
                <w:szCs w:val="21"/>
              </w:rPr>
              <w:t xml:space="preserve">3、★编程平台开放Python SDK接口，支持使用Python语言进行二次开发与自主编程；投标人可提供产品手册、说明书等资料作为佐证（不作投标强制要求，验收阶段实物核验）。</w:t>
            </w:r>
            <w:r/>
          </w:p>
          <w:p>
            <w:pPr>
              <w:rPr>
                <w:rFonts w:ascii="宋体" w:hAnsi="宋体" w:eastAsia="宋体" w:cs="宋体"/>
                <w:color w:val="auto"/>
                <w:szCs w:val="21"/>
              </w:rPr>
            </w:pPr>
            <w:r>
              <w:rPr>
                <w:rFonts w:hint="eastAsia" w:ascii="宋体" w:hAnsi="宋体" w:eastAsia="宋体" w:cs="宋体"/>
                <w:color w:val="auto"/>
                <w:szCs w:val="21"/>
              </w:rPr>
              <w:t xml:space="preserve">4、配套零部件种类≥25类，零件总数量≥80个；支持组装多种机器人构型，可搭建平衡车、变形轮式车、轮足机器人、四足机器人、多足蜘蛛机器人、工程作业车等典型形态。</w:t>
            </w:r>
            <w:r/>
          </w:p>
          <w:p>
            <w:pPr>
              <w:rPr>
                <w:rFonts w:ascii="宋体" w:hAnsi="宋体" w:eastAsia="宋体" w:cs="宋体"/>
                <w:color w:val="auto"/>
                <w:szCs w:val="21"/>
              </w:rPr>
            </w:pPr>
            <w:r>
              <w:rPr>
                <w:rFonts w:hint="eastAsia" w:ascii="宋体" w:hAnsi="宋体" w:eastAsia="宋体" w:cs="宋体"/>
                <w:color w:val="auto"/>
                <w:szCs w:val="21"/>
              </w:rPr>
              <w:t xml:space="preserve">5、多功能控制器：集成不少于3路麦克风阵列、扬声器模块、触控显示屏、9轴姿态陀螺仪，具备开源扩展接口；支持自然语音交互、机器人运动控制，预留多路模块接口，可加载运行自主程序。</w:t>
            </w:r>
            <w:r/>
          </w:p>
          <w:p>
            <w:pPr>
              <w:rPr>
                <w:rFonts w:ascii="宋体" w:hAnsi="宋体" w:eastAsia="宋体" w:cs="宋体"/>
                <w:color w:val="auto"/>
                <w:szCs w:val="21"/>
              </w:rPr>
            </w:pPr>
            <w:r>
              <w:rPr>
                <w:rFonts w:hint="eastAsia" w:ascii="宋体" w:hAnsi="宋体" w:eastAsia="宋体" w:cs="宋体"/>
                <w:color w:val="auto"/>
                <w:szCs w:val="21"/>
              </w:rPr>
              <w:t xml:space="preserve">6、★具备智能语音处理能力，支持在线语音识别（ASR）、在线语音合成（TTS）、自然语言处理（NLP）、响度检测功能。</w:t>
            </w:r>
            <w:r/>
          </w:p>
          <w:p>
            <w:pPr>
              <w:rPr>
                <w:rFonts w:ascii="宋体" w:hAnsi="宋体" w:eastAsia="宋体" w:cs="宋体"/>
                <w:color w:val="auto"/>
                <w:szCs w:val="21"/>
              </w:rPr>
            </w:pPr>
            <w:r>
              <w:rPr>
                <w:rFonts w:hint="eastAsia" w:ascii="宋体" w:hAnsi="宋体" w:eastAsia="宋体" w:cs="宋体"/>
                <w:color w:val="auto"/>
                <w:szCs w:val="21"/>
              </w:rPr>
              <w:t xml:space="preserve">7、★集成机器视觉处理能力，支持车道识别、二维码识别、AprilTag定位标识识别、交通标识识别、颜色识别、人脸识别、人体姿态识别、手势识别；支持自定义图像模型训练，具备图像数据无线传输能力。</w:t>
            </w:r>
            <w:r/>
          </w:p>
          <w:p>
            <w:pPr>
              <w:rPr>
                <w:rFonts w:ascii="宋体" w:hAnsi="宋体" w:eastAsia="宋体" w:cs="宋体"/>
                <w:color w:val="auto"/>
                <w:szCs w:val="21"/>
              </w:rPr>
            </w:pPr>
            <w:r>
              <w:rPr>
                <w:rFonts w:hint="eastAsia" w:ascii="宋体" w:hAnsi="宋体" w:eastAsia="宋体" w:cs="宋体"/>
                <w:color w:val="auto"/>
                <w:szCs w:val="21"/>
              </w:rPr>
              <w:t xml:space="preserve">8、内置多种运动控制算法，包含自适应控制算法、步态规划算法、自平衡算法、里程解算算法。</w:t>
            </w:r>
            <w:r/>
          </w:p>
          <w:p>
            <w:pPr>
              <w:rPr>
                <w:rFonts w:ascii="宋体" w:hAnsi="宋体" w:eastAsia="宋体" w:cs="宋体"/>
                <w:color w:val="auto"/>
                <w:szCs w:val="21"/>
              </w:rPr>
            </w:pPr>
            <w:r>
              <w:rPr>
                <w:rFonts w:hint="eastAsia" w:ascii="宋体" w:hAnsi="宋体" w:eastAsia="宋体" w:cs="宋体"/>
                <w:color w:val="auto"/>
                <w:szCs w:val="21"/>
              </w:rPr>
              <w:t xml:space="preserve">9、支持多机器人设备之间无线通信协同工作。</w:t>
            </w:r>
            <w:r/>
          </w:p>
          <w:p>
            <w:pPr>
              <w:rPr>
                <w:rFonts w:ascii="宋体" w:hAnsi="宋体" w:eastAsia="宋体" w:cs="宋体"/>
                <w:color w:val="auto"/>
                <w:szCs w:val="21"/>
              </w:rPr>
            </w:pPr>
            <w:r>
              <w:rPr>
                <w:rFonts w:hint="eastAsia" w:ascii="宋体" w:hAnsi="宋体" w:eastAsia="宋体" w:cs="宋体"/>
                <w:color w:val="auto"/>
                <w:szCs w:val="21"/>
              </w:rPr>
              <w:t xml:space="preserve">10、★提供正式配套电子实训指导书。</w:t>
            </w:r>
            <w:r/>
          </w:p>
          <w:p>
            <w:pPr>
              <w:rPr>
                <w:rFonts w:ascii="宋体" w:hAnsi="宋体" w:eastAsia="宋体" w:cs="宋体"/>
                <w:color w:val="auto"/>
                <w:szCs w:val="21"/>
              </w:rPr>
            </w:pPr>
            <w:r>
              <w:rPr>
                <w:rFonts w:hint="eastAsia" w:ascii="宋体" w:hAnsi="宋体" w:eastAsia="宋体" w:cs="宋体"/>
                <w:color w:val="auto"/>
                <w:szCs w:val="21"/>
              </w:rPr>
              <w:t xml:space="preserve">11、主控核心硬件指标：</w:t>
            </w:r>
            <w:r/>
          </w:p>
          <w:p>
            <w:pPr>
              <w:rPr>
                <w:rFonts w:ascii="宋体" w:hAnsi="宋体" w:eastAsia="宋体" w:cs="宋体"/>
                <w:color w:val="auto"/>
                <w:szCs w:val="21"/>
              </w:rPr>
            </w:pPr>
            <w:r>
              <w:rPr>
                <w:rFonts w:hint="eastAsia" w:ascii="宋体" w:hAnsi="宋体" w:eastAsia="宋体" w:cs="宋体"/>
                <w:color w:val="auto"/>
                <w:szCs w:val="21"/>
              </w:rPr>
              <w:t xml:space="preserve">（1）板载闪存：≥32GB；</w:t>
            </w:r>
            <w:r/>
          </w:p>
          <w:p>
            <w:pPr>
              <w:rPr>
                <w:rFonts w:ascii="宋体" w:hAnsi="宋体" w:eastAsia="宋体" w:cs="宋体"/>
                <w:color w:val="auto"/>
                <w:szCs w:val="21"/>
              </w:rPr>
            </w:pPr>
            <w:r>
              <w:rPr>
                <w:rFonts w:hint="eastAsia" w:ascii="宋体" w:hAnsi="宋体" w:eastAsia="宋体" w:cs="宋体"/>
                <w:color w:val="auto"/>
                <w:szCs w:val="21"/>
              </w:rPr>
              <w:t xml:space="preserve">（2）NPU算力：≥1 TOPS；</w:t>
            </w:r>
            <w:r/>
          </w:p>
          <w:p>
            <w:pPr>
              <w:rPr>
                <w:rFonts w:ascii="宋体" w:hAnsi="宋体" w:eastAsia="宋体" w:cs="宋体"/>
                <w:color w:val="auto"/>
                <w:szCs w:val="21"/>
              </w:rPr>
            </w:pPr>
            <w:r>
              <w:rPr>
                <w:rFonts w:hint="eastAsia" w:ascii="宋体" w:hAnsi="宋体" w:eastAsia="宋体" w:cs="宋体"/>
                <w:color w:val="auto"/>
                <w:szCs w:val="21"/>
              </w:rPr>
              <w:t xml:space="preserve">（3）CPU核心数量：≥4核。</w:t>
            </w:r>
            <w:r/>
          </w:p>
          <w:p>
            <w:pPr>
              <w:rPr>
                <w:rFonts w:ascii="宋体" w:hAnsi="宋体" w:eastAsia="宋体" w:cs="宋体"/>
                <w:color w:val="auto"/>
                <w:szCs w:val="21"/>
              </w:rPr>
            </w:pPr>
            <w:r>
              <w:rPr>
                <w:rFonts w:hint="eastAsia" w:ascii="宋体" w:hAnsi="宋体" w:eastAsia="宋体" w:cs="宋体"/>
                <w:color w:val="auto"/>
                <w:szCs w:val="21"/>
              </w:rPr>
              <w:t xml:space="preserve">12、配套伺服舵机参数：</w:t>
            </w:r>
            <w:r/>
          </w:p>
          <w:p>
            <w:pPr>
              <w:rPr>
                <w:rFonts w:ascii="宋体" w:hAnsi="宋体" w:eastAsia="宋体" w:cs="宋体"/>
                <w:color w:val="auto"/>
                <w:szCs w:val="21"/>
              </w:rPr>
            </w:pPr>
            <w:r>
              <w:rPr>
                <w:rFonts w:hint="eastAsia" w:ascii="宋体" w:hAnsi="宋体" w:eastAsia="宋体" w:cs="宋体"/>
                <w:color w:val="auto"/>
                <w:szCs w:val="21"/>
              </w:rPr>
              <w:t xml:space="preserve">（1）输出最大扭矩：≥13.0 kgf.cm；</w:t>
            </w:r>
            <w:r/>
          </w:p>
          <w:p>
            <w:pPr>
              <w:rPr>
                <w:rFonts w:ascii="宋体" w:hAnsi="宋体" w:eastAsia="宋体" w:cs="宋体"/>
                <w:color w:val="auto"/>
                <w:szCs w:val="21"/>
              </w:rPr>
            </w:pPr>
            <w:r>
              <w:rPr>
                <w:rFonts w:hint="eastAsia" w:ascii="宋体" w:hAnsi="宋体" w:eastAsia="宋体" w:cs="宋体"/>
                <w:color w:val="auto"/>
                <w:szCs w:val="21"/>
              </w:rPr>
              <w:t xml:space="preserve">（2）空载最大转速：≥60 RPM；</w:t>
            </w:r>
            <w:r/>
          </w:p>
          <w:p>
            <w:pPr>
              <w:rPr>
                <w:rFonts w:ascii="宋体" w:hAnsi="宋体" w:eastAsia="宋体" w:cs="宋体"/>
                <w:color w:val="auto"/>
                <w:szCs w:val="21"/>
              </w:rPr>
            </w:pPr>
            <w:r>
              <w:rPr>
                <w:rFonts w:hint="eastAsia" w:ascii="宋体" w:hAnsi="宋体" w:eastAsia="宋体" w:cs="宋体"/>
                <w:color w:val="auto"/>
                <w:szCs w:val="21"/>
              </w:rPr>
              <w:t xml:space="preserve">（3）控制精度：空载≤1°，带载≤2°；</w:t>
            </w:r>
            <w:r/>
          </w:p>
          <w:p>
            <w:pPr>
              <w:rPr>
                <w:rFonts w:ascii="宋体" w:hAnsi="宋体" w:eastAsia="宋体" w:cs="宋体"/>
                <w:color w:val="auto"/>
                <w:szCs w:val="21"/>
              </w:rPr>
            </w:pPr>
            <w:r>
              <w:rPr>
                <w:rFonts w:hint="eastAsia" w:ascii="宋体" w:hAnsi="宋体" w:eastAsia="宋体" w:cs="宋体"/>
                <w:color w:val="auto"/>
                <w:szCs w:val="21"/>
              </w:rPr>
              <w:t xml:space="preserve">（4）角度调节范围：0～360°；</w:t>
            </w:r>
            <w:r/>
          </w:p>
          <w:p>
            <w:pPr>
              <w:rPr>
                <w:rFonts w:ascii="宋体" w:hAnsi="宋体" w:eastAsia="宋体" w:cs="宋体"/>
                <w:color w:val="auto"/>
                <w:szCs w:val="21"/>
              </w:rPr>
            </w:pPr>
            <w:r>
              <w:rPr>
                <w:rFonts w:hint="eastAsia" w:ascii="宋体" w:hAnsi="宋体" w:eastAsia="宋体" w:cs="宋体"/>
                <w:color w:val="auto"/>
                <w:szCs w:val="21"/>
              </w:rPr>
              <w:t xml:space="preserve">（5）标准工作电压：9.6V-14.4V。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13、配套减速直流电机参数：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（2）最大输出扭矩：≥2.0 kgf.cm；</w:t>
            </w:r>
            <w:r/>
          </w:p>
          <w:p>
            <w:pPr>
              <w:rPr>
                <w:rFonts w:ascii="宋体" w:hAnsi="宋体" w:eastAsia="宋体" w:cs="宋体"/>
                <w:color w:val="auto"/>
                <w:szCs w:val="21"/>
              </w:rPr>
            </w:pPr>
            <w:r>
              <w:rPr>
                <w:rFonts w:hint="eastAsia" w:ascii="宋体" w:hAnsi="宋体" w:eastAsia="宋体" w:cs="宋体"/>
                <w:color w:val="auto"/>
                <w:szCs w:val="21"/>
              </w:rPr>
              <w:t xml:space="preserve">（3）空载最大转速：≥360 RPM。</w:t>
            </w:r>
            <w:r/>
          </w:p>
          <w:p>
            <w:pPr>
              <w:rPr>
                <w:rFonts w:ascii="宋体" w:hAnsi="宋体" w:eastAsia="宋体" w:cs="宋体"/>
                <w:color w:val="auto"/>
                <w:szCs w:val="21"/>
              </w:rPr>
            </w:pPr>
            <w:r>
              <w:rPr>
                <w:rFonts w:hint="eastAsia" w:ascii="宋体" w:hAnsi="宋体" w:eastAsia="宋体" w:cs="宋体"/>
                <w:color w:val="auto"/>
                <w:szCs w:val="21"/>
              </w:rPr>
              <w:t xml:space="preserve">14、摄像头模组参数：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（2）视场角：≥100°；</w:t>
            </w:r>
            <w:r/>
          </w:p>
          <w:p>
            <w:pPr>
              <w:rPr>
                <w:rFonts w:ascii="宋体" w:hAnsi="宋体" w:eastAsia="宋体" w:cs="宋体"/>
                <w:color w:val="auto"/>
                <w:szCs w:val="21"/>
              </w:rPr>
            </w:pPr>
            <w:r>
              <w:rPr>
                <w:rFonts w:hint="eastAsia" w:ascii="宋体" w:hAnsi="宋体" w:eastAsia="宋体" w:cs="宋体"/>
                <w:color w:val="auto"/>
                <w:szCs w:val="21"/>
              </w:rPr>
              <w:t xml:space="preserve">（3）有效像素：≥100万。</w:t>
            </w:r>
            <w:r/>
          </w:p>
          <w:p>
            <w:pPr>
              <w:rPr>
                <w:rFonts w:ascii="宋体" w:hAnsi="宋体" w:eastAsia="宋体" w:cs="宋体"/>
                <w:color w:val="auto"/>
                <w:szCs w:val="21"/>
              </w:rPr>
            </w:pPr>
            <w:r>
              <w:rPr>
                <w:rFonts w:hint="eastAsia" w:ascii="宋体" w:hAnsi="宋体" w:eastAsia="宋体" w:cs="宋体"/>
                <w:color w:val="auto"/>
                <w:szCs w:val="21"/>
              </w:rPr>
              <w:t xml:space="preserve">15、红外测距模组参数：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（2）有效检测距离：4cm～200cm；</w:t>
            </w:r>
            <w:r/>
          </w:p>
          <w:p>
            <w:pPr>
              <w:rPr>
                <w:rFonts w:ascii="宋体" w:hAnsi="宋体" w:eastAsia="宋体" w:cs="宋体"/>
                <w:color w:val="auto"/>
                <w:szCs w:val="21"/>
              </w:rPr>
            </w:pPr>
            <w:r>
              <w:rPr>
                <w:rFonts w:hint="eastAsia" w:ascii="宋体" w:hAnsi="宋体" w:eastAsia="宋体" w:cs="宋体"/>
                <w:color w:val="auto"/>
                <w:szCs w:val="21"/>
              </w:rPr>
              <w:t xml:space="preserve">（3）工作红外波段：900nm及以上。</w:t>
            </w:r>
            <w:r/>
          </w:p>
          <w:p>
            <w:pPr>
              <w:rPr>
                <w:rFonts w:ascii="宋体" w:hAnsi="宋体" w:eastAsia="宋体" w:cs="宋体"/>
                <w:color w:val="auto"/>
                <w:szCs w:val="21"/>
              </w:rPr>
            </w:pPr>
            <w:r>
              <w:rPr>
                <w:rFonts w:hint="eastAsia" w:ascii="宋体" w:hAnsi="宋体" w:eastAsia="宋体" w:cs="宋体"/>
                <w:color w:val="auto"/>
                <w:szCs w:val="21"/>
              </w:rPr>
              <w:t xml:space="preserve">16、蓝牙手柄参数：</w:t>
            </w:r>
            <w:r/>
          </w:p>
          <w:p>
            <w:pPr>
              <w:rPr>
                <w:rFonts w:ascii="宋体" w:hAnsi="宋体" w:eastAsia="宋体" w:cs="宋体"/>
                <w:color w:val="auto"/>
                <w:szCs w:val="21"/>
              </w:rPr>
            </w:pPr>
            <w:r>
              <w:rPr>
                <w:rFonts w:hint="eastAsia" w:ascii="宋体" w:hAnsi="宋体" w:eastAsia="宋体" w:cs="宋体"/>
                <w:color w:val="auto"/>
                <w:szCs w:val="21"/>
              </w:rPr>
              <w:t xml:space="preserve">（1）工作频率：2.400~2.4835GHz；</w:t>
            </w:r>
            <w:r/>
          </w:p>
          <w:p>
            <w:pPr>
              <w:rPr>
                <w:rFonts w:ascii="宋体" w:hAnsi="宋体" w:eastAsia="宋体" w:cs="宋体"/>
                <w:color w:val="auto"/>
                <w:szCs w:val="21"/>
              </w:rPr>
            </w:pPr>
            <w:r>
              <w:rPr>
                <w:rFonts w:hint="eastAsia" w:ascii="宋体" w:hAnsi="宋体" w:eastAsia="宋体" w:cs="宋体"/>
                <w:color w:val="auto"/>
                <w:szCs w:val="21"/>
              </w:rPr>
              <w:t xml:space="preserve">（2）蓝牙版本：≥蓝牙4.0；</w:t>
            </w:r>
            <w:r/>
          </w:p>
          <w:p>
            <w:pPr>
              <w:rPr>
                <w:rFonts w:ascii="宋体" w:hAnsi="宋体" w:eastAsia="宋体" w:cs="宋体"/>
                <w:color w:val="auto"/>
                <w:szCs w:val="21"/>
              </w:rPr>
            </w:pPr>
            <w:r>
              <w:rPr>
                <w:rFonts w:hint="eastAsia" w:ascii="宋体" w:hAnsi="宋体" w:eastAsia="宋体" w:cs="宋体"/>
                <w:color w:val="auto"/>
                <w:szCs w:val="21"/>
              </w:rPr>
              <w:t xml:space="preserve">（3）内置电池容量：≥530mAh。</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工具套装</w:t>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一、套件规格​</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件套数量：≥18 件套（含诊断设备、拆机工具、辅助配件）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适用场景：AI 服务器、智能芯片模组、AI 开发板、深度学习加速卡等硬件的电压检测、元件更换、散热器维护​</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二、核心设备参数​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1、数字万用表​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测量范围：直流电压 0-1000V（分 6 档：200mV/2V/20V/200V/1000V）、交流电压 0-750V（分 5 档：2V/20V/200V/750V）、电阻 0-200MΩ（分 7 档：200Ω/2kΩ/20kΩ/200kΩ/2MΩ/20MΩ/200MΩ）​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精度：直流电压 ±0.5%（200mV 档 ±1%）、交流电压 ±1.0%（750V 档 ±1.5%）、电阻 ±0.8%（200Ω 档 ±1%）​</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功能：通断蜂鸣（阈值≤50Ω 时发声）、二极管测试（开路电压约 3V）、数据保持（按 “HOLD” 键锁定读数），适配 AI 硬件低电压元件（如芯片供电引脚 3.3V/5V）检测，避免过压损坏​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供电：2 节 1.5V AA 电池，连续使用续航≥150 小时，低电量时屏幕显示 “LO” 提示​</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显示：1999 计数 LCD 屏，带背光功能，昏暗环境下可清晰读数​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2、精密拆机工具组（共 10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螺丝刀头规格：十字头（PH000/PH00/PH0/PH1，各 1 个）、一字头（SL1.5/SL2.0，各 1 个）、内六角扳手（H1.5/H2.0/H2.5，各 1 个）、Y 型头（Y0.6，1 个，适配 AI 开发板专用螺丝）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刀头材质：CR-V 铬钒合金，硬度 HRC52-54，经淬火处理，耐磨不易滑丝，可应对 GPU 散热器高强度螺丝拆卸​</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手柄参数：长度 ：≥12cm，直径：≥ 1.8cm，采用 TPR 软胶防滑材质，握持力矩≥3N・m，长时间操作不易疲劳；尾部带旋转帽，可快速拧动螺丝​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附加设计：刀头与手柄采用磁吸式连接，更换刀头耗时≤2 秒，避免维修时零件掉落​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3、辅助配件（共 7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防静电手环：有线款，阻抗 1MΩ（±10%），符合 ESD 20.20 标准，腕带调节范围 15-22cm，鳄鱼夹夹口宽度≥8mm，可牢固夹接 AI 服务器机箱接地端子，防止静电击穿芯片​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导热硅脂：5g 装（ syringe 针管包装），导热系数 4.5W/(m・K)，耐温范围 - 50℃~200℃，适配 GPU/CPU 与散热器贴合（如 AI 服务器 CPU 散热模块更换），涂抹后可降低核心温度 5-8℃​</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主板诊断蜂鸣器：USB 接口，支持检测 AI 主板供电、内存插槽故障，通过不同蜂鸣频率判断问题（1 短：正常，3 短：内存未识别），兼容 Windows/Linux 系统，即插即用​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螺丝收纳盒：8 格分层设计，尺寸 12×8×2cm，每格带卡扣式盖子，可分类存放 M2-M3.5 规格螺丝（含 AI 开发板常用 M2×3/M2.5×5 螺丝各 ：≥20 颗），盒身标注规格，避免混淆​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USB 检测小灯：Type-C/USB-A 双接口，功率 1W，亮度 30lm，可检测 AI 硬件 USB 接口供电是否正常（亮灯则供电正常），灯体长度 6cm，便于深入设备内部狭小空间检测​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撬棒：2 个（塑料材质，厚度：≥ 0.8mm），适配 AI 开发板屏幕 / 外壳拆卸，边缘圆润无毛刺，避免刮伤 PCB 板​</w:t>
            </w:r>
            <w:r/>
          </w:p>
          <w:p>
            <w:pPr>
              <w:rPr>
                <w:rFonts w:ascii="宋体" w:hAnsi="宋体" w:eastAsia="宋体" w:cs="宋体"/>
                <w:color w:val="auto"/>
                <w:szCs w:val="21"/>
                <w:shd w:val="clear" w:color="auto" w:fill="ffffff"/>
              </w:rPr>
            </w:pPr>
            <w:r>
              <w:rPr>
                <w:rFonts w:hint="eastAsia" w:ascii="宋体" w:hAnsi="宋体" w:eastAsia="宋体" w:cs="宋体"/>
                <w:color w:val="auto"/>
                <w:szCs w:val="21"/>
                <w:lang w:bidi="ar"/>
              </w:rPr>
              <w:t xml:space="preserve">清洁棉签：≥50 支装（超细纤维头，直径 ：≥1mm），可清理 AI 芯片引脚缝隙灰尘，搭配无水酒精使用可去除氧化层</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50</w:t>
            </w:r>
            <w:bookmarkEnd w:id="175"/>
            <w:r/>
            <w:bookmarkEnd w:id="176"/>
            <w:r/>
            <w:r/>
          </w:p>
        </w:tc>
      </w:tr>
    </w:tbl>
    <w:p>
      <w:pPr>
        <w:jc w:val="left"/>
        <w:spacing w:line="500" w:lineRule="atLeast"/>
        <w:widowControl/>
        <w:rPr>
          <w:rFonts w:ascii="宋体" w:hAnsi="宋体" w:eastAsia="宋体" w:cs="宋体"/>
          <w:b/>
          <w:color w:val="auto"/>
          <w:sz w:val="24"/>
        </w:rPr>
      </w:pPr>
      <w:r>
        <w:rPr>
          <w:rFonts w:hint="eastAsia" w:ascii="宋体" w:hAnsi="宋体" w:eastAsia="宋体" w:cs="宋体"/>
          <w:b/>
          <w:color w:val="auto"/>
          <w:sz w:val="24"/>
        </w:rPr>
        <w:t xml:space="preserve">(三</w:t>
      </w:r>
      <w:r>
        <w:rPr>
          <w:rFonts w:ascii="宋体" w:hAnsi="宋体" w:eastAsia="宋体" w:cs="宋体"/>
          <w:b/>
          <w:color w:val="auto"/>
          <w:sz w:val="24"/>
        </w:rPr>
        <w:t xml:space="preserve">)</w:t>
      </w:r>
      <w:r>
        <w:rPr>
          <w:rFonts w:hint="eastAsia"/>
          <w:b/>
          <w:color w:val="auto"/>
        </w:rPr>
        <w:t xml:space="preserve"> </w:t>
      </w:r>
      <w:r>
        <w:rPr>
          <w:rFonts w:hint="eastAsia" w:ascii="宋体" w:hAnsi="宋体" w:eastAsia="宋体" w:cs="宋体"/>
          <w:b/>
          <w:color w:val="auto"/>
          <w:sz w:val="24"/>
        </w:rPr>
        <w:t xml:space="preserve">技术参数响应与偏离</w:t>
      </w:r>
      <w:r/>
    </w:p>
    <w:p>
      <w:pPr>
        <w:pStyle w:val="852"/>
        <w:ind w:firstLine="480"/>
        <w:jc w:val="both"/>
        <w:spacing w:beforeAutospacing="0" w:afterAutospacing="0" w:line="0" w:lineRule="atLeast"/>
        <w:rPr>
          <w:rFonts w:ascii="宋体" w:hAnsi="宋体" w:eastAsia="宋体" w:cs="宋体"/>
          <w:bCs/>
          <w:color w:val="auto"/>
        </w:rPr>
      </w:pPr>
      <w:r>
        <w:rPr>
          <w:rFonts w:hint="eastAsia" w:ascii="宋体" w:hAnsi="宋体" w:eastAsia="宋体" w:cs="宋体"/>
          <w:bCs/>
          <w:color w:val="auto"/>
        </w:rPr>
        <w:t xml:space="preserve">1、本项目采购需求中“电视设备”和“LED光源的灯”，分别属于《关于调整优化节能产品、环境标志产品政府采购执行机制的通知》（财库〔2019〕9 号）规定的采购节能产品范畴，对应品目：★A020910电视设备、A020619 照明设备。投标人须提供由国家确定的节能产品认证机构出具、处于有效期内，且证书载明的产品规格型号与所投产品一致的节能产品认证证书</w:t>
      </w:r>
      <w:r>
        <w:rPr>
          <w:rFonts w:hint="eastAsia" w:ascii="宋体" w:hAnsi="宋体" w:eastAsia="宋体" w:cs="宋体"/>
          <w:bCs/>
          <w:color w:val="auto"/>
        </w:rPr>
        <w:t xml:space="preserve">。</w:t>
      </w:r>
      <w:r>
        <w:rPr>
          <w:rFonts w:hint="eastAsia" w:ascii="宋体" w:hAnsi="宋体" w:eastAsia="宋体" w:cs="宋体"/>
          <w:bCs/>
          <w:i/>
          <w:iCs/>
          <w:color w:val="auto"/>
        </w:rPr>
        <w:t xml:space="preserve">“电视设备”为实质性要求，不满足的投标将被视为无效</w:t>
      </w:r>
      <w:r>
        <w:rPr>
          <w:rFonts w:hint="eastAsia" w:ascii="宋体" w:hAnsi="宋体" w:eastAsia="宋体" w:cs="宋体"/>
          <w:bCs/>
          <w:color w:val="auto"/>
        </w:rPr>
        <w:t xml:space="preserve">。</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lang w:val="en"/>
        </w:rPr>
        <w:t xml:space="preserve">投标产品属于财政部、国家发改委公布的“节能产品品目清单”范围内的优先；投标产品属于财政部、生态环境部公布的“环境标志产品品目清单”范围内的优先。</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2、供应商须针对本项目“技术参数要求”中未标注“</w:t>
      </w:r>
      <w:r>
        <w:rPr>
          <w:rFonts w:hint="eastAsia" w:asciiTheme="minorEastAsia" w:hAnsiTheme="minorEastAsia" w:cstheme="minorEastAsia"/>
          <w:color w:val="auto"/>
          <w:szCs w:val="21"/>
        </w:rPr>
        <w:t xml:space="preserve">★</w:t>
      </w:r>
      <w:r>
        <w:rPr>
          <w:rFonts w:hint="eastAsia" w:ascii="宋体" w:hAnsi="宋体" w:eastAsia="宋体" w:cs="宋体"/>
          <w:bCs/>
          <w:color w:val="auto"/>
          <w:sz w:val="24"/>
        </w:rPr>
        <w:t xml:space="preserve">”和“●”的所有条款，逐条编制《技术参数响应及偏离表》，负偏离项总数不得超过10条（以技术参数表中最末级序号为独立计数单位，每项计一条），若超出此限，将被视为未实质性响应采购要求，作无效响应处理。</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注：1、“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对于非评分项的技术参数，投标人可选择在投标时提供证明材料，亦可于中标通知书发出后、正式签订合同前补充提供（补充材料须在合同签订前7个工作日内提交）。所提供的材料将作为合同履约验收的依据之一。</w:t>
      </w:r>
      <w:r/>
    </w:p>
    <w:p>
      <w:pPr>
        <w:ind w:firstLine="482"/>
        <w:jc w:val="left"/>
        <w:spacing w:line="360" w:lineRule="auto"/>
        <w:rPr>
          <w:rFonts w:ascii="宋体" w:hAnsi="宋体" w:eastAsia="宋体" w:cs="Courier New"/>
          <w:b/>
          <w:bCs/>
          <w:color w:val="auto"/>
          <w:sz w:val="24"/>
          <w:szCs w:val="21"/>
        </w:rPr>
      </w:pPr>
      <w:r>
        <w:rPr>
          <w:rFonts w:hint="eastAsia" w:ascii="宋体" w:hAnsi="宋体" w:eastAsia="宋体" w:cs="Courier New"/>
          <w:b/>
          <w:bCs/>
          <w:color w:val="auto"/>
          <w:sz w:val="24"/>
          <w:szCs w:val="21"/>
        </w:rPr>
        <w:t xml:space="preserve">三、商务条款响应及偏离</w:t>
      </w:r>
      <w:r/>
    </w:p>
    <w:p>
      <w:pPr>
        <w:ind w:firstLine="482"/>
        <w:jc w:val="left"/>
        <w:spacing w:line="360" w:lineRule="auto"/>
        <w:rPr>
          <w:rFonts w:ascii="宋体" w:hAnsi="宋体" w:eastAsia="宋体" w:cs="宋体"/>
          <w:bCs/>
          <w:i/>
          <w:iCs/>
          <w:color w:val="auto"/>
          <w:sz w:val="24"/>
          <w:u w:val="single"/>
        </w:rPr>
      </w:pPr>
      <w:r>
        <w:rPr>
          <w:rFonts w:hint="eastAsia" w:ascii="宋体" w:hAnsi="宋体" w:eastAsia="宋体" w:cs="Times New Roman"/>
          <w:b/>
          <w:i/>
          <w:iCs/>
          <w:color w:val="auto"/>
          <w:sz w:val="24"/>
          <w:szCs w:val="21"/>
          <w:u w:val="single"/>
        </w:rPr>
        <w:t xml:space="preserve">1.</w:t>
      </w:r>
      <w:r>
        <w:rPr>
          <w:rFonts w:ascii="宋体" w:hAnsi="宋体" w:eastAsia="宋体" w:cs="Times New Roman"/>
          <w:b/>
          <w:i/>
          <w:iCs/>
          <w:color w:val="auto"/>
          <w:sz w:val="24"/>
          <w:szCs w:val="21"/>
          <w:u w:val="single"/>
          <w:lang w:val="zh-CN"/>
        </w:rPr>
        <w:t xml:space="preserve">交货</w:t>
      </w:r>
      <w:r>
        <w:rPr>
          <w:rFonts w:hint="eastAsia" w:ascii="宋体" w:hAnsi="宋体" w:eastAsia="宋体" w:cs="宋体"/>
          <w:b/>
          <w:i/>
          <w:iCs/>
          <w:color w:val="auto"/>
          <w:sz w:val="24"/>
          <w:szCs w:val="21"/>
          <w:u w:val="single"/>
          <w:lang w:val="zh-CN"/>
        </w:rPr>
        <w:t xml:space="preserve">期：</w:t>
      </w:r>
      <w:r>
        <w:rPr>
          <w:rFonts w:hint="eastAsia" w:ascii="宋体" w:hAnsi="宋体" w:eastAsia="宋体" w:cs="宋体"/>
          <w:bCs/>
          <w:i/>
          <w:iCs/>
          <w:color w:val="auto"/>
          <w:sz w:val="24"/>
          <w:u w:val="single"/>
        </w:rPr>
        <w:t xml:space="preserve">必须在合同签订后60个日历天内完成到货、安装、调试工作并交付使用，中标价包括安装调试过程中产生的一切费用。</w:t>
      </w:r>
      <w:r/>
    </w:p>
    <w:p>
      <w:pPr>
        <w:ind w:firstLine="482"/>
        <w:jc w:val="left"/>
        <w:spacing w:line="360" w:lineRule="auto"/>
        <w:rPr>
          <w:rFonts w:ascii="宋体" w:hAnsi="宋体" w:eastAsia="宋体" w:cs="宋体"/>
          <w:b/>
          <w:i/>
          <w:iCs/>
          <w:color w:val="auto"/>
          <w:sz w:val="24"/>
          <w:szCs w:val="21"/>
          <w:u w:val="single"/>
          <w:lang w:val="zh-CN"/>
        </w:rPr>
      </w:pPr>
      <w:r>
        <w:rPr>
          <w:rFonts w:hint="eastAsia" w:ascii="宋体" w:hAnsi="宋体" w:eastAsia="宋体" w:cs="宋体"/>
          <w:b/>
          <w:i/>
          <w:iCs/>
          <w:color w:val="auto"/>
          <w:sz w:val="24"/>
          <w:szCs w:val="21"/>
          <w:u w:val="single"/>
        </w:rPr>
        <w:t xml:space="preserve">2.</w:t>
      </w:r>
      <w:r>
        <w:rPr>
          <w:rFonts w:hint="eastAsia" w:ascii="宋体" w:hAnsi="宋体" w:eastAsia="宋体" w:cs="宋体"/>
          <w:b/>
          <w:i/>
          <w:iCs/>
          <w:color w:val="auto"/>
          <w:sz w:val="24"/>
          <w:szCs w:val="21"/>
          <w:u w:val="single"/>
          <w:lang w:val="zh-CN"/>
        </w:rPr>
        <w:t xml:space="preserve">交货方式：</w:t>
      </w:r>
      <w:r>
        <w:rPr>
          <w:rFonts w:hint="eastAsia" w:ascii="宋体" w:hAnsi="宋体" w:eastAsia="宋体" w:cs="宋体"/>
          <w:bCs/>
          <w:i/>
          <w:iCs/>
          <w:color w:val="auto"/>
          <w:sz w:val="24"/>
          <w:szCs w:val="21"/>
          <w:u w:val="single"/>
        </w:rPr>
        <w:t xml:space="preserve">送货到招标单位指定地点并安装调试</w:t>
      </w:r>
      <w:r>
        <w:rPr>
          <w:rFonts w:hint="eastAsia" w:ascii="宋体" w:hAnsi="宋体" w:eastAsia="宋体" w:cs="宋体"/>
          <w:bCs/>
          <w:i/>
          <w:iCs/>
          <w:color w:val="auto"/>
          <w:sz w:val="24"/>
          <w:szCs w:val="21"/>
          <w:u w:val="single"/>
          <w:lang w:val="zh-CN"/>
        </w:rPr>
        <w:t xml:space="preserve">。</w:t>
      </w:r>
      <w:r/>
    </w:p>
    <w:p>
      <w:pPr>
        <w:ind w:firstLine="482"/>
        <w:jc w:val="left"/>
        <w:spacing w:line="360" w:lineRule="auto"/>
        <w:rPr>
          <w:rFonts w:ascii="宋体" w:hAnsi="宋体" w:eastAsia="宋体" w:cs="宋体"/>
          <w:bCs/>
          <w:i/>
          <w:iCs/>
          <w:color w:val="auto"/>
          <w:sz w:val="24"/>
          <w:szCs w:val="21"/>
          <w:u w:val="single"/>
        </w:rPr>
      </w:pPr>
      <w:r>
        <w:rPr>
          <w:rFonts w:hint="eastAsia" w:ascii="宋体" w:hAnsi="宋体" w:eastAsia="宋体" w:cs="宋体"/>
          <w:b/>
          <w:i/>
          <w:iCs/>
          <w:color w:val="auto"/>
          <w:sz w:val="24"/>
          <w:szCs w:val="21"/>
          <w:u w:val="single"/>
        </w:rPr>
        <w:t xml:space="preserve">3.</w:t>
      </w:r>
      <w:r>
        <w:rPr>
          <w:rFonts w:hint="eastAsia" w:ascii="宋体" w:hAnsi="宋体" w:eastAsia="宋体" w:cs="宋体"/>
          <w:b/>
          <w:i/>
          <w:iCs/>
          <w:color w:val="auto"/>
          <w:sz w:val="24"/>
          <w:szCs w:val="21"/>
          <w:u w:val="single"/>
          <w:lang w:val="zh-CN"/>
        </w:rPr>
        <w:t xml:space="preserve">交货地点：</w:t>
      </w:r>
      <w:r>
        <w:rPr>
          <w:rFonts w:hint="eastAsia" w:ascii="宋体" w:hAnsi="宋体" w:eastAsia="宋体" w:cs="宋体"/>
          <w:i/>
          <w:iCs/>
          <w:color w:val="auto"/>
          <w:sz w:val="24"/>
          <w:u w:val="single"/>
        </w:rPr>
        <w:t xml:space="preserve">甲方指定地点。</w:t>
      </w:r>
      <w:r/>
    </w:p>
    <w:p>
      <w:pPr>
        <w:ind w:firstLine="480"/>
        <w:spacing w:line="500" w:lineRule="exact"/>
        <w:rPr>
          <w:rFonts w:ascii="宋体" w:hAnsi="宋体" w:eastAsia="宋体" w:cs="宋体"/>
          <w:b/>
          <w:bCs/>
          <w:i/>
          <w:iCs/>
          <w:color w:val="auto"/>
          <w:sz w:val="24"/>
          <w:u w:val="single"/>
        </w:rPr>
      </w:pPr>
      <w:r>
        <w:rPr>
          <w:rFonts w:hint="eastAsia" w:ascii="宋体" w:hAnsi="宋体" w:eastAsia="宋体" w:cs="Times New Roman"/>
          <w:b/>
          <w:i/>
          <w:iCs/>
          <w:color w:val="auto"/>
          <w:sz w:val="24"/>
          <w:u w:val="single"/>
          <w:lang w:val="en"/>
        </w:rPr>
        <w:t xml:space="preserve">4.</w:t>
      </w:r>
      <w:r>
        <w:rPr>
          <w:rFonts w:hint="eastAsia" w:ascii="宋体" w:hAnsi="宋体" w:eastAsia="宋体" w:cs="宋体"/>
          <w:b/>
          <w:bCs/>
          <w:i/>
          <w:iCs/>
          <w:color w:val="auto"/>
          <w:sz w:val="24"/>
          <w:u w:val="single"/>
        </w:rPr>
        <w:t xml:space="preserve">付款方式：</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（1）</w:t>
      </w:r>
      <w:r>
        <w:rPr>
          <w:rFonts w:hint="eastAsia" w:ascii="宋体" w:hAnsi="宋体" w:eastAsia="宋体" w:cs="Times New Roman"/>
          <w:bCs/>
          <w:i/>
          <w:iCs/>
          <w:color w:val="auto"/>
          <w:sz w:val="24"/>
          <w:szCs w:val="21"/>
          <w:u w:val="single"/>
          <w:lang w:val="zh-CN"/>
        </w:rPr>
        <w:t xml:space="preserve">预付款支付时间：自合同签订生效之日起，收到乙方发票10个工作日内，预付款支付比例：合同金额的30%。（</w:t>
      </w:r>
      <w:r>
        <w:rPr>
          <w:rFonts w:hint="eastAsia" w:ascii="宋体" w:hAnsi="宋体" w:eastAsia="宋体" w:cs="宋体"/>
          <w:i/>
          <w:iCs/>
          <w:color w:val="auto"/>
          <w:sz w:val="24"/>
          <w:u w:val="single"/>
        </w:rPr>
        <w:t xml:space="preserve">在签订合同时，供应商明确表示无需预付款或者主动要求降低预付款比例的，采购人可不适用前述规定</w:t>
      </w:r>
      <w:r>
        <w:rPr>
          <w:rFonts w:hint="eastAsia" w:ascii="宋体" w:hAnsi="宋体" w:eastAsia="宋体" w:cs="Times New Roman"/>
          <w:bCs/>
          <w:i/>
          <w:iCs/>
          <w:color w:val="auto"/>
          <w:sz w:val="24"/>
          <w:szCs w:val="21"/>
          <w:u w:val="single"/>
          <w:lang w:val="zh-CN"/>
        </w:rPr>
        <w:t xml:space="preserve">）</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尾款支付时间：产品验收通过,采购人收到发票后10个工作日内，尾款支付比例：合同金额的70%。</w:t>
      </w:r>
      <w:r/>
    </w:p>
    <w:p>
      <w:pPr>
        <w:ind w:firstLine="480"/>
        <w:spacing w:line="500" w:lineRule="exact"/>
        <w:rPr>
          <w:rFonts w:ascii="宋体" w:hAnsi="宋体" w:eastAsia="宋体" w:cs="宋体"/>
          <w:b/>
          <w:bCs/>
          <w:i/>
          <w:iCs/>
          <w:color w:val="auto"/>
          <w:sz w:val="24"/>
          <w:u w:val="single"/>
        </w:rPr>
      </w:pPr>
      <w:r>
        <w:rPr>
          <w:rFonts w:ascii="宋体" w:hAnsi="宋体" w:eastAsia="宋体" w:cs="宋体"/>
          <w:b/>
          <w:bCs/>
          <w:i/>
          <w:iCs/>
          <w:color w:val="auto"/>
          <w:sz w:val="24"/>
          <w:u w:val="single"/>
        </w:rPr>
        <w:t xml:space="preserve">5</w:t>
      </w:r>
      <w:r>
        <w:rPr>
          <w:rFonts w:hint="eastAsia" w:ascii="宋体" w:hAnsi="宋体" w:eastAsia="宋体" w:cs="宋体"/>
          <w:b/>
          <w:bCs/>
          <w:i/>
          <w:iCs/>
          <w:color w:val="auto"/>
          <w:sz w:val="24"/>
          <w:u w:val="single"/>
        </w:rPr>
        <w:t xml:space="preserve">.提供免费质保期：</w:t>
      </w:r>
      <w:r/>
    </w:p>
    <w:p>
      <w:pPr>
        <w:ind w:firstLine="482"/>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2"/>
        <w:jc w:val="left"/>
        <w:spacing w:line="360" w:lineRule="auto"/>
        <w:tabs>
          <w:tab w:val="left" w:pos="851" w:leader="none"/>
        </w:tabs>
        <w:rPr>
          <w:rFonts w:ascii="宋体" w:hAnsi="宋体" w:eastAsia="宋体" w:cs="Times New Roman"/>
          <w:b/>
          <w:i/>
          <w:iCs/>
          <w:color w:val="auto"/>
          <w:sz w:val="24"/>
          <w:szCs w:val="21"/>
          <w:u w:val="single"/>
          <w:lang w:val="en"/>
        </w:rPr>
      </w:pPr>
      <w:r>
        <w:rPr>
          <w:rFonts w:ascii="宋体" w:hAnsi="宋体" w:eastAsia="宋体" w:cs="Times New Roman"/>
          <w:b/>
          <w:i/>
          <w:iCs/>
          <w:color w:val="auto"/>
          <w:sz w:val="24"/>
          <w:szCs w:val="21"/>
          <w:u w:val="single"/>
          <w:lang w:val="en"/>
        </w:rPr>
        <w:t xml:space="preserve">6</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Times New Roman"/>
          <w:b/>
          <w:i/>
          <w:iCs/>
          <w:color w:val="auto"/>
          <w:sz w:val="24"/>
          <w:szCs w:val="21"/>
          <w:u w:val="single"/>
          <w:lang w:val="en"/>
        </w:rPr>
        <w:t xml:space="preserve">质量标准：</w:t>
      </w:r>
      <w:r/>
    </w:p>
    <w:p>
      <w:pPr>
        <w:ind w:firstLine="480"/>
        <w:jc w:val="left"/>
        <w:spacing w:line="360" w:lineRule="auto"/>
        <w:tabs>
          <w:tab w:val="left" w:pos="851" w:leader="none"/>
        </w:tabs>
        <w:rPr>
          <w:rFonts w:ascii="宋体" w:hAnsi="宋体" w:eastAsia="宋体" w:cs="Times New Roman"/>
          <w:bCs/>
          <w:i/>
          <w:iCs/>
          <w:color w:val="auto"/>
          <w:sz w:val="24"/>
          <w:szCs w:val="21"/>
          <w:u w:val="single"/>
          <w:lang w:val="en"/>
        </w:rPr>
      </w:pPr>
      <w:r>
        <w:rPr>
          <w:rFonts w:hint="eastAsia" w:ascii="宋体" w:hAnsi="宋体" w:eastAsia="宋体" w:cs="Times New Roman"/>
          <w:bCs/>
          <w:i/>
          <w:iCs/>
          <w:color w:val="auto"/>
          <w:sz w:val="24"/>
          <w:szCs w:val="21"/>
          <w:u w:val="single"/>
          <w:lang w:val="en"/>
        </w:rPr>
        <w:t xml:space="preserve">符合国家现行相关规范标准及有关部门颁布的相应的最新标准，并满足招标人的使用需求。</w:t>
      </w:r>
      <w:r/>
    </w:p>
    <w:p>
      <w:pPr>
        <w:ind w:firstLine="482"/>
        <w:spacing w:line="500" w:lineRule="exact"/>
        <w:rPr>
          <w:rFonts w:ascii="宋体" w:hAnsi="宋体" w:eastAsia="宋体" w:cs="宋体"/>
          <w:b/>
          <w:i/>
          <w:iCs/>
          <w:color w:val="auto"/>
          <w:sz w:val="24"/>
          <w:szCs w:val="21"/>
          <w:u w:val="single"/>
        </w:rPr>
      </w:pPr>
      <w:r>
        <w:rPr>
          <w:rFonts w:ascii="宋体" w:hAnsi="宋体" w:eastAsia="宋体" w:cs="宋体"/>
          <w:b/>
          <w:i/>
          <w:iCs/>
          <w:color w:val="auto"/>
          <w:sz w:val="24"/>
          <w:szCs w:val="21"/>
          <w:u w:val="single"/>
        </w:rPr>
        <w:t xml:space="preserve">7</w:t>
      </w:r>
      <w:r>
        <w:rPr>
          <w:rFonts w:hint="eastAsia" w:ascii="宋体" w:hAnsi="宋体" w:eastAsia="宋体" w:cs="宋体"/>
          <w:b/>
          <w:i/>
          <w:iCs/>
          <w:color w:val="auto"/>
          <w:sz w:val="24"/>
          <w:szCs w:val="21"/>
          <w:u w:val="single"/>
        </w:rPr>
        <w:t xml:space="preserve">.货物验收要求</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宋体"/>
          <w:bCs/>
          <w:i/>
          <w:iCs/>
          <w:color w:val="auto"/>
          <w:sz w:val="24"/>
          <w:szCs w:val="21"/>
          <w:u w:val="single"/>
        </w:rPr>
        <w:t xml:space="preserve">（1）</w:t>
      </w:r>
      <w:r>
        <w:rPr>
          <w:rFonts w:ascii="宋体" w:hAnsi="宋体" w:eastAsia="宋体" w:cs="Times New Roman"/>
          <w:bCs/>
          <w:i/>
          <w:iCs/>
          <w:color w:val="auto"/>
          <w:sz w:val="24"/>
          <w:szCs w:val="21"/>
          <w:u w:val="single"/>
          <w:lang w:val="zh-CN"/>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（3</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4</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对技术复杂的货物，甲方可请国家认可的专业检测机构参与初步验收及最终验收，并由其出具质量检测报告。</w:t>
      </w:r>
      <w:r/>
    </w:p>
    <w:p>
      <w:pPr>
        <w:ind w:firstLine="482"/>
        <w:spacing w:line="500" w:lineRule="exact"/>
        <w:rPr>
          <w:rFonts w:ascii="宋体" w:hAnsi="宋体" w:eastAsia="宋体" w:cs="宋体"/>
          <w:bCs/>
          <w:i/>
          <w:iCs/>
          <w:color w:val="auto"/>
          <w:sz w:val="24"/>
          <w:szCs w:val="21"/>
          <w:u w:val="single"/>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5</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验收时乙方必须在现场，验收完毕后作出验收结果报告；</w:t>
      </w:r>
      <w:r>
        <w:rPr>
          <w:rFonts w:hint="eastAsia" w:ascii="宋体" w:hAnsi="宋体" w:eastAsia="宋体" w:cs="Times New Roman"/>
          <w:bCs/>
          <w:i/>
          <w:iCs/>
          <w:color w:val="auto"/>
          <w:sz w:val="24"/>
          <w:szCs w:val="21"/>
          <w:u w:val="single"/>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i/>
          <w:iCs/>
          <w:color w:val="auto"/>
          <w:sz w:val="24"/>
          <w:szCs w:val="21"/>
          <w:u w:val="single"/>
          <w:lang w:val="zh-CN"/>
        </w:rPr>
        <w:t xml:space="preserve">。</w:t>
      </w:r>
      <w:r/>
    </w:p>
    <w:p>
      <w:pPr>
        <w:ind w:firstLine="480"/>
        <w:jc w:val="left"/>
        <w:spacing w:line="360" w:lineRule="auto"/>
        <w:tabs>
          <w:tab w:val="left" w:pos="851" w:leader="none"/>
        </w:tabs>
        <w:rPr>
          <w:rFonts w:ascii="宋体" w:hAnsi="宋体" w:eastAsia="宋体" w:cs="Times New Roman"/>
          <w:bCs/>
          <w:color w:val="auto"/>
          <w:sz w:val="24"/>
          <w:szCs w:val="21"/>
          <w:lang w:val="en"/>
        </w:rPr>
      </w:pPr>
      <w:r>
        <w:rPr>
          <w:rFonts w:ascii="宋体" w:hAnsi="宋体" w:eastAsia="宋体" w:cs="Times New Roman"/>
          <w:b/>
          <w:bCs/>
          <w:i/>
          <w:iCs/>
          <w:color w:val="auto"/>
          <w:sz w:val="24"/>
          <w:szCs w:val="21"/>
          <w:u w:val="single"/>
          <w:lang w:val="en"/>
        </w:rPr>
        <w:t xml:space="preserve">8</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宋体"/>
          <w:bCs/>
          <w:i/>
          <w:iCs/>
          <w:color w:val="auto"/>
          <w:sz w:val="24"/>
          <w:szCs w:val="21"/>
          <w:u w:val="single"/>
        </w:rPr>
        <w:t xml:space="preserve">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ind w:firstLine="482"/>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四、其他</w:t>
      </w:r>
      <w:r/>
    </w:p>
    <w:p>
      <w:pPr>
        <w:ind w:firstLine="482"/>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1.</w:t>
      </w:r>
      <w:r>
        <w:rPr>
          <w:rFonts w:hint="eastAsia" w:ascii="宋体" w:hAnsi="宋体" w:eastAsia="宋体" w:cs="Times New Roman"/>
          <w:b/>
          <w:color w:val="auto"/>
          <w:sz w:val="24"/>
          <w:szCs w:val="21"/>
        </w:rPr>
        <w:t xml:space="preserve">视频演示</w:t>
      </w:r>
      <w:r/>
    </w:p>
    <w:p>
      <w:pPr>
        <w:ind w:firstLine="480"/>
        <w:spacing w:line="360" w:lineRule="auto"/>
        <w:tabs>
          <w:tab w:val="left" w:pos="851" w:leader="none"/>
        </w:tabs>
        <w:rPr>
          <w:rFonts w:ascii="宋体" w:hAnsi="宋体" w:eastAsia="宋体" w:cs="Times New Roman"/>
          <w:b/>
          <w:color w:val="auto"/>
          <w:sz w:val="24"/>
          <w:lang w:val="en"/>
        </w:rPr>
      </w:pPr>
      <w:r>
        <w:rPr>
          <w:rFonts w:hint="eastAsia" w:ascii="宋体" w:hAnsi="宋体" w:eastAsia="宋体" w:cs="Times New Roman"/>
          <w:b/>
          <w:color w:val="auto"/>
          <w:sz w:val="24"/>
          <w:lang w:val="en"/>
        </w:rPr>
        <w:t xml:space="preserve">1）投标人应根据采购需求和本项目实际，提供相应的演示视频，至少包含以下内容:</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演示点一：虚拟拍摄核心控制系统：</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（1）【云指纹】视频云指纹系统有效防止平台课程被翻录和盗版且可跟踪。</w:t>
      </w:r>
      <w:r>
        <w:rPr>
          <w:rFonts w:ascii="宋体" w:hAnsi="宋体" w:eastAsia="宋体" w:cs="Times New Roman"/>
          <w:color w:val="auto"/>
          <w:sz w:val="24"/>
        </w:rPr>
        <w:t xml:space="preserve"> </w:t>
      </w:r>
      <w:r/>
    </w:p>
    <w:p>
      <w:pPr>
        <w:spacing w:line="360" w:lineRule="auto"/>
        <w:widowControl/>
        <w:rPr>
          <w:rFonts w:ascii="宋体" w:hAnsi="宋体" w:eastAsia="宋体" w:cs="微软雅黑"/>
          <w:color w:val="auto"/>
          <w:sz w:val="24"/>
          <w:lang w:bidi="ar"/>
        </w:rPr>
      </w:pPr>
      <w:r>
        <w:rPr>
          <w:rFonts w:hint="eastAsia" w:ascii="宋体" w:hAnsi="宋体" w:eastAsia="宋体" w:cs="仿宋"/>
          <w:color w:val="auto"/>
          <w:sz w:val="24"/>
        </w:rPr>
        <w:t xml:space="preserve">（2）</w:t>
      </w:r>
      <w:r>
        <w:rPr>
          <w:rFonts w:hint="eastAsia" w:ascii="宋体" w:hAnsi="宋体" w:eastAsia="宋体" w:cs="微软雅黑"/>
          <w:color w:val="auto"/>
          <w:sz w:val="24"/>
          <w:lang w:bidi="ar"/>
        </w:rPr>
        <w:t xml:space="preserve">【敏感词防护】允许用户设置屏蔽或禁止敏感关键词，并可以查看屏蔽记录。</w:t>
      </w:r>
      <w:r>
        <w:rPr>
          <w:rFonts w:ascii="宋体" w:hAnsi="宋体" w:eastAsia="宋体" w:cs="微软雅黑"/>
          <w:color w:val="auto"/>
          <w:sz w:val="24"/>
          <w:lang w:bidi="ar"/>
        </w:rPr>
        <w:t xml:space="preserve"> </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演示点二：</w:t>
      </w:r>
      <w:r>
        <w:rPr>
          <w:rFonts w:ascii="宋体" w:hAnsi="宋体" w:eastAsia="宋体" w:cs="Times New Roman"/>
          <w:b/>
          <w:bCs/>
          <w:color w:val="auto"/>
          <w:sz w:val="24"/>
        </w:rPr>
        <w:t xml:space="preserve">3D惯性动作捕捉设备</w:t>
      </w:r>
      <w:r>
        <w:rPr>
          <w:rFonts w:hint="eastAsia" w:ascii="宋体" w:hAnsi="宋体" w:eastAsia="宋体" w:cs="Times New Roman"/>
          <w:b/>
          <w:bCs/>
          <w:color w:val="auto"/>
          <w:sz w:val="24"/>
        </w:rPr>
        <w:t xml:space="preserve">：</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（1）能够实现不同角色之间走路的对比观察，由用户任意调整观察角度和动画速度，进行实时对比。</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（2）功能模块需要包含：主页模块、基础演示模块、对比演示模块、细节演示模块、练习模块等。</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（3）须角色动画必须为</w:t>
      </w:r>
      <w:r>
        <w:rPr>
          <w:rFonts w:ascii="宋体" w:hAnsi="宋体" w:eastAsia="宋体" w:cs="Times New Roman"/>
          <w:color w:val="auto"/>
          <w:sz w:val="24"/>
        </w:rPr>
        <w:t xml:space="preserve">3D方式制作</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 </w:t>
      </w:r>
      <w:r/>
    </w:p>
    <w:p>
      <w:pPr>
        <w:ind w:firstLine="482"/>
        <w:spacing w:line="360" w:lineRule="auto"/>
        <w:widowControl/>
        <w:rPr>
          <w:rFonts w:ascii="宋体" w:hAnsi="宋体" w:eastAsia="宋体" w:cs="宋体"/>
          <w:b/>
          <w:bCs/>
          <w:color w:val="auto"/>
          <w:sz w:val="24"/>
        </w:rPr>
      </w:pPr>
      <w:r>
        <w:rPr>
          <w:rFonts w:hint="eastAsia" w:ascii="宋体" w:hAnsi="宋体" w:eastAsia="宋体" w:cs="Times New Roman"/>
          <w:b/>
          <w:bCs/>
          <w:color w:val="auto"/>
          <w:sz w:val="24"/>
        </w:rPr>
        <w:t xml:space="preserve">演示点三：</w:t>
      </w:r>
      <w:r>
        <w:rPr>
          <w:rFonts w:hint="eastAsia" w:ascii="宋体" w:hAnsi="宋体" w:eastAsia="宋体" w:cs="宋体"/>
          <w:b/>
          <w:bCs/>
          <w:color w:val="auto"/>
          <w:sz w:val="24"/>
        </w:rPr>
        <w:t xml:space="preserve">人工智能硬件实训平台：</w:t>
      </w:r>
      <w:r/>
    </w:p>
    <w:p>
      <w:pPr>
        <w:spacing w:line="360" w:lineRule="auto"/>
        <w:widowControl/>
        <w:rPr>
          <w:rFonts w:ascii="宋体" w:hAnsi="宋体" w:eastAsia="宋体" w:cs="Times New Roman"/>
          <w:color w:val="auto"/>
          <w:sz w:val="24"/>
        </w:rPr>
      </w:pPr>
      <w:r>
        <w:rPr>
          <w:rFonts w:hint="eastAsia" w:ascii="宋体" w:hAnsi="宋体" w:eastAsia="宋体" w:cs="Times New Roman"/>
          <w:color w:val="auto"/>
          <w:sz w:val="24"/>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 w:val="24"/>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 w:val="24"/>
        </w:rPr>
        <w:t xml:space="preserve">应用、调试机柜、编辑、删除操作。</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（2）分配机柜：在“信息安全产品配置“课程资源下支持对课堂下小组所使用的机柜进行统一管理，包括：机柜名称、机柜</w:t>
      </w:r>
      <w:r>
        <w:rPr>
          <w:rFonts w:ascii="宋体" w:hAnsi="宋体" w:eastAsia="宋体" w:cs="Times New Roman"/>
          <w:color w:val="auto"/>
          <w:sz w:val="24"/>
        </w:rPr>
        <w:t xml:space="preserve">IP、跳板机IP、使用组名称、使用题目名称等信息，可进行搜索、批量测试链接、分配机柜、取消分配、回收机柜等操作。使用此功能前需在“机柜管理”功能中添加数据。</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（4）</w:t>
      </w:r>
      <w:r>
        <w:rPr>
          <w:rFonts w:ascii="宋体" w:hAnsi="宋体" w:eastAsia="宋体" w:cs="Times New Roman"/>
          <w:color w:val="auto"/>
          <w:sz w:val="24"/>
        </w:rPr>
        <w:t xml:space="preserve">对于测评过的岗位支持查看岗位报告，岗位报告包含综合技能评分、技能分析雷达图、详细技能评估列表，其中详细技能评估列表包含了技能、子技能、具体能力、评估结果。</w:t>
      </w:r>
      <w:r/>
    </w:p>
    <w:p>
      <w:pPr>
        <w:ind w:firstLine="482"/>
        <w:jc w:val="left"/>
        <w:spacing w:line="360" w:lineRule="auto"/>
        <w:widowControl/>
        <w:rPr>
          <w:rFonts w:ascii="宋体" w:hAnsi="宋体" w:eastAsia="宋体" w:cs="Times New Roman"/>
          <w:b/>
          <w:bCs/>
          <w:color w:val="auto"/>
          <w:sz w:val="24"/>
        </w:rPr>
      </w:pPr>
      <w:r>
        <w:rPr>
          <w:rFonts w:hint="eastAsia" w:ascii="宋体" w:hAnsi="宋体" w:eastAsia="宋体" w:cs="Times New Roman"/>
          <w:b/>
          <w:bCs/>
          <w:color w:val="auto"/>
          <w:sz w:val="24"/>
        </w:rPr>
        <w:t xml:space="preserve">演示点四：</w:t>
      </w:r>
      <w:r>
        <w:rPr>
          <w:rFonts w:hint="eastAsia" w:ascii="宋体" w:hAnsi="宋体" w:eastAsia="宋体" w:cs="宋体"/>
          <w:b/>
          <w:bCs/>
          <w:color w:val="auto"/>
          <w:sz w:val="24"/>
          <w:lang w:bidi="ar"/>
        </w:rPr>
        <w:t xml:space="preserve">人工智能机器人实训平台：</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拓扑图管理：对平台内拓扑图进行统一管理。</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虚拟仿真实验：对平台内的实验进行统一管理。</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w:t>
      </w:r>
      <w:r>
        <w:rPr>
          <w:rFonts w:ascii="宋体" w:hAnsi="宋体" w:eastAsia="宋体" w:cs="Times New Roman"/>
          <w:color w:val="auto"/>
          <w:sz w:val="24"/>
        </w:rPr>
        <w:t xml:space="preserve">平台须满足同时不少于40人在线进行产品配置相关实验，在实验中每人能够操作的虚拟化设备不少于5台。平台整体须满足同时在线使用的虚拟化设备数量不少于250台。</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演示点五：人工智能内容生成教学资源平台：</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由文字剧本生成主体库：</w:t>
      </w:r>
      <w:r>
        <w:rPr>
          <w:rFonts w:ascii="宋体" w:hAnsi="宋体" w:eastAsia="宋体" w:cs="宋体"/>
          <w:color w:val="auto"/>
          <w:sz w:val="24"/>
          <w:lang w:bidi="ar"/>
        </w:rPr>
        <w:t xml:space="preserve">1.</w:t>
      </w:r>
      <w:r>
        <w:rPr>
          <w:rFonts w:hint="eastAsia" w:ascii="宋体" w:hAnsi="宋体" w:eastAsia="宋体" w:cs="宋体"/>
          <w:color w:val="auto"/>
          <w:sz w:val="24"/>
          <w:lang w:bidi="ar"/>
        </w:rPr>
        <w:t xml:space="preserve">AI主体库生成，2</w:t>
      </w:r>
      <w:r>
        <w:rPr>
          <w:rFonts w:ascii="宋体" w:hAnsi="宋体" w:eastAsia="宋体" w:cs="宋体"/>
          <w:color w:val="auto"/>
          <w:sz w:val="24"/>
          <w:lang w:bidi="ar"/>
        </w:rPr>
        <w:t xml:space="preserve">.</w:t>
      </w:r>
      <w:r>
        <w:rPr>
          <w:rFonts w:hint="eastAsia" w:ascii="宋体" w:hAnsi="宋体" w:eastAsia="宋体" w:cs="宋体"/>
          <w:color w:val="auto"/>
          <w:sz w:val="24"/>
          <w:lang w:bidi="ar"/>
        </w:rPr>
        <w:t xml:space="preserve">支持由主体形象创建衍生形象。</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由分镜脚本生成分镜角色配音及旁白：AI生成角色配音及旁白，配音模板不少于20种声。音，支持自定义声音模板和文字描述控制音色。</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（3）</w:t>
      </w:r>
      <w:r>
        <w:rPr>
          <w:rFonts w:hint="eastAsia" w:ascii="宋体" w:hAnsi="宋体" w:eastAsia="宋体" w:cs="宋体"/>
          <w:color w:val="auto"/>
          <w:sz w:val="24"/>
          <w:lang w:bidi="ar"/>
        </w:rPr>
        <w:t xml:space="preserve">分镜脚本一键导出：分镜脚本导出excel文件。</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（4）</w:t>
      </w:r>
      <w:r>
        <w:rPr>
          <w:rFonts w:hint="eastAsia" w:ascii="宋体" w:hAnsi="宋体" w:eastAsia="宋体" w:cs="宋体"/>
          <w:color w:val="auto"/>
          <w:sz w:val="24"/>
          <w:lang w:bidi="ar"/>
        </w:rPr>
        <w:t xml:space="preserve">支持本地算力调用，诗词多模态模型调用。</w:t>
      </w:r>
      <w:r/>
    </w:p>
    <w:p>
      <w:pPr>
        <w:ind w:firstLine="480"/>
        <w:spacing w:line="500" w:lineRule="exact"/>
        <w:tabs>
          <w:tab w:val="left" w:pos="851" w:leader="none"/>
        </w:tabs>
        <w:rPr>
          <w:rFonts w:ascii="宋体" w:hAnsi="宋体" w:eastAsia="宋体" w:cs="Times New Roman"/>
          <w:b/>
          <w:color w:val="auto"/>
          <w:sz w:val="24"/>
          <w:szCs w:val="21"/>
          <w:lang w:val="en"/>
        </w:rPr>
      </w:pPr>
      <w:r>
        <w:rPr>
          <w:rFonts w:hint="eastAsia" w:ascii="宋体" w:hAnsi="宋体" w:eastAsia="宋体" w:cs="Times New Roman"/>
          <w:b/>
          <w:color w:val="auto"/>
          <w:sz w:val="24"/>
          <w:szCs w:val="21"/>
          <w:lang w:val="en"/>
        </w:rPr>
        <w:t xml:space="preserve">2）演示要求：演示方式 视频演示</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Times New Roman"/>
          <w:bCs/>
          <w:color w:val="auto"/>
          <w:sz w:val="24"/>
          <w:szCs w:val="21"/>
          <w:lang w:val="en"/>
        </w:rPr>
        <w:t xml:space="preserve">1.供应商根据需按照招标文件规定的演示内容制作演示视频文件，演示视频中的演示形式须是目前正在运行的真实环境或模拟环境，演示时间不超过</w:t>
      </w:r>
      <w:r>
        <w:rPr>
          <w:rFonts w:hint="eastAsia" w:ascii="宋体" w:hAnsi="宋体" w:eastAsia="宋体" w:cs="Times New Roman"/>
          <w:bCs/>
          <w:color w:val="auto"/>
          <w:sz w:val="24"/>
          <w:szCs w:val="21"/>
        </w:rPr>
        <w:t xml:space="preserve">15</w:t>
      </w:r>
      <w:r>
        <w:rPr>
          <w:rFonts w:hint="eastAsia" w:ascii="宋体" w:hAnsi="宋体" w:eastAsia="宋体" w:cs="Times New Roman"/>
          <w:bCs/>
          <w:color w:val="auto"/>
          <w:sz w:val="24"/>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2.</w:t>
      </w:r>
      <w:r>
        <w:rPr>
          <w:rFonts w:hint="eastAsia" w:ascii="宋体" w:hAnsi="宋体" w:eastAsia="宋体" w:cs="Times New Roman"/>
          <w:b/>
          <w:color w:val="auto"/>
          <w:sz w:val="24"/>
          <w:szCs w:val="21"/>
        </w:rPr>
        <w:t xml:space="preserve"> 技术方案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投标人应根据招标文件要求及本项目特点针对项目需求理解及综合分析。方案应做到完整全面、科学可行，并有针对性。至少</w:t>
      </w:r>
      <w:r>
        <w:rPr>
          <w:rFonts w:hint="eastAsia" w:ascii="宋体" w:hAnsi="宋体" w:eastAsia="宋体" w:cs="宋体"/>
          <w:color w:val="auto"/>
          <w:sz w:val="24"/>
          <w:lang w:val="zh-CN"/>
        </w:rPr>
        <w:t xml:space="preserve">包括以下各项</w:t>
      </w:r>
      <w:r>
        <w:rPr>
          <w:rFonts w:hint="eastAsia" w:ascii="宋体" w:hAnsi="宋体" w:eastAsia="宋体" w:cs="宋体"/>
          <w:color w:val="auto"/>
          <w:sz w:val="24"/>
        </w:rPr>
        <w:t xml:space="preserve">：</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w:t>
      </w:r>
      <w:r>
        <w:rPr>
          <w:rFonts w:ascii="宋体" w:hAnsi="宋体" w:eastAsia="宋体" w:cs="宋体"/>
          <w:b/>
          <w:bCs/>
          <w:color w:val="auto"/>
          <w:sz w:val="24"/>
        </w:rPr>
        <w:t xml:space="preserve">安装前的现场勘察与环境准备与前期沟通协调</w:t>
      </w:r>
      <w:r/>
    </w:p>
    <w:p>
      <w:pPr>
        <w:ind w:firstLine="480"/>
        <w:jc w:val="left"/>
        <w:spacing w:line="360" w:lineRule="auto"/>
        <w:rPr>
          <w:rFonts w:ascii="Segoe UI" w:hAnsi="Segoe UI" w:cs="Segoe UI"/>
          <w:color w:val="auto"/>
          <w:sz w:val="24"/>
          <w:shd w:val="clear" w:color="auto" w:fill="ffffff"/>
        </w:rPr>
      </w:pPr>
      <w:r>
        <w:rPr>
          <w:rFonts w:hint="eastAsia" w:ascii="宋体" w:hAnsi="宋体" w:eastAsia="宋体" w:cs="宋体"/>
          <w:color w:val="auto"/>
          <w:sz w:val="24"/>
        </w:rPr>
        <w:t xml:space="preserve">①安装前须派技术人员赴项目实施现场进行实地勘察，对实训室现状、建筑结构、供电容量、网络布线、空调通风、消防设施等环境条件进行全面摸底；②须对教室供电系统进行检测，确认电压稳定性及接地状况，确保满足各设备用电负荷要求（人工智能算力设备、灯光系统等大功率设备须单独确认供电线路承载能力）；③须对各实训室温湿度、防静电、防尘、光照等环境参数进行评估，提前排除可能影响设备正常运行的环境隐患；④</w:t>
      </w:r>
      <w:r>
        <w:rPr>
          <w:rFonts w:ascii="宋体" w:hAnsi="宋体" w:eastAsia="宋体" w:cs="宋体"/>
          <w:color w:val="auto"/>
          <w:sz w:val="24"/>
        </w:rPr>
        <w:t xml:space="preserve">须与采购人进行安装前的技术交底会，明确安装时间窗口、施工区域划分、人员进出管理、物资堆放场地等事宜</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w:t>
      </w:r>
      <w:r>
        <w:rPr>
          <w:rFonts w:ascii="宋体" w:hAnsi="宋体" w:eastAsia="宋体" w:cs="宋体"/>
          <w:b/>
          <w:bCs/>
          <w:color w:val="auto"/>
          <w:sz w:val="24"/>
        </w:rPr>
        <w:t xml:space="preserve">安装技术方案</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①</w:t>
      </w:r>
      <w:r>
        <w:rPr>
          <w:rStyle w:val="857"/>
          <w:rFonts w:ascii="Segoe UI" w:hAnsi="Segoe UI" w:cs="Segoe UI"/>
          <w:b w:val="0"/>
          <w:bCs w:val="0"/>
          <w:color w:val="auto"/>
          <w:sz w:val="24"/>
          <w:shd w:val="clear" w:color="auto" w:fill="ffffff"/>
        </w:rPr>
        <w:t xml:space="preserve">各实训室设备安装技术</w:t>
      </w:r>
      <w:r>
        <w:rPr>
          <w:rStyle w:val="857"/>
          <w:rFonts w:hint="eastAsia" w:ascii="Segoe UI" w:hAnsi="Segoe UI" w:cs="Segoe UI"/>
          <w:b w:val="0"/>
          <w:bCs w:val="0"/>
          <w:color w:val="auto"/>
          <w:sz w:val="24"/>
          <w:shd w:val="clear" w:color="auto" w:fill="ffffff"/>
        </w:rPr>
        <w:t xml:space="preserve">要求：</w:t>
      </w:r>
      <w:r>
        <w:rPr>
          <w:rStyle w:val="857"/>
          <w:rFonts w:ascii="Segoe UI" w:hAnsi="Segoe UI" w:cs="Segoe UI"/>
          <w:b w:val="0"/>
          <w:bCs w:val="0"/>
          <w:color w:val="auto"/>
          <w:sz w:val="24"/>
          <w:shd w:val="clear" w:color="auto" w:fill="ffffff"/>
        </w:rPr>
        <w:t xml:space="preserve">数字音频录编实训室音频设备安装</w:t>
      </w:r>
      <w:r>
        <w:rPr>
          <w:rStyle w:val="857"/>
          <w:rFonts w:hint="eastAsia" w:ascii="Segoe UI" w:hAnsi="Segoe UI" w:cs="Segoe UI"/>
          <w:b w:val="0"/>
          <w:bCs w:val="0"/>
          <w:color w:val="auto"/>
          <w:sz w:val="24"/>
          <w:shd w:val="clear" w:color="auto" w:fill="ffffff"/>
        </w:rPr>
        <w:t xml:space="preserve">、</w:t>
      </w:r>
      <w:r>
        <w:rPr>
          <w:rStyle w:val="857"/>
          <w:rFonts w:ascii="Segoe UI" w:hAnsi="Segoe UI" w:cs="Segoe UI"/>
          <w:b w:val="0"/>
          <w:bCs w:val="0"/>
          <w:color w:val="auto"/>
          <w:sz w:val="24"/>
          <w:shd w:val="clear" w:color="auto" w:fill="ffffff"/>
        </w:rPr>
        <w:t xml:space="preserve">数字绘画实训室设备安装</w:t>
      </w:r>
      <w:r>
        <w:rPr>
          <w:rStyle w:val="857"/>
          <w:rFonts w:hint="eastAsia" w:ascii="Segoe UI" w:hAnsi="Segoe UI" w:cs="Segoe UI"/>
          <w:b w:val="0"/>
          <w:bCs w:val="0"/>
          <w:color w:val="auto"/>
          <w:sz w:val="24"/>
          <w:shd w:val="clear" w:color="auto" w:fill="ffffff"/>
        </w:rPr>
        <w:t xml:space="preserve">、</w:t>
      </w:r>
      <w:r>
        <w:rPr>
          <w:rStyle w:val="857"/>
          <w:rFonts w:ascii="Segoe UI" w:hAnsi="Segoe UI" w:cs="Segoe UI"/>
          <w:b w:val="0"/>
          <w:bCs w:val="0"/>
          <w:color w:val="auto"/>
          <w:sz w:val="24"/>
          <w:shd w:val="clear" w:color="auto" w:fill="ffffff"/>
        </w:rPr>
        <w:t xml:space="preserve">虚拟制片实验室设备安装</w:t>
      </w:r>
      <w:r>
        <w:rPr>
          <w:rStyle w:val="857"/>
          <w:rFonts w:hint="eastAsia" w:ascii="Segoe UI" w:hAnsi="Segoe UI" w:cs="Segoe UI"/>
          <w:b w:val="0"/>
          <w:bCs w:val="0"/>
          <w:color w:val="auto"/>
          <w:sz w:val="24"/>
          <w:shd w:val="clear" w:color="auto" w:fill="ffffff"/>
        </w:rPr>
        <w:t xml:space="preserve">、</w:t>
      </w:r>
      <w:r>
        <w:rPr>
          <w:rStyle w:val="857"/>
          <w:rFonts w:ascii="Segoe UI" w:hAnsi="Segoe UI" w:cs="Segoe UI"/>
          <w:b w:val="0"/>
          <w:bCs w:val="0"/>
          <w:color w:val="auto"/>
          <w:sz w:val="24"/>
          <w:shd w:val="clear" w:color="auto" w:fill="ffffff"/>
        </w:rPr>
        <w:t xml:space="preserve">人工智能实训室设备安装</w:t>
      </w:r>
      <w:r>
        <w:rPr>
          <w:rStyle w:val="857"/>
          <w:rFonts w:hint="eastAsia" w:ascii="Segoe UI" w:hAnsi="Segoe UI" w:cs="Segoe UI"/>
          <w:b w:val="0"/>
          <w:bCs w:val="0"/>
          <w:color w:val="auto"/>
          <w:sz w:val="24"/>
          <w:shd w:val="clear" w:color="auto" w:fill="ffffff"/>
        </w:rPr>
        <w:t xml:space="preserve">；</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音频控制设备安装：控制台面、专业输入处理设备、音频工作站主机等须按功能分区合理摆放在录音棚控制桌内，安装位置符合人体工学要求；设备间连接须使用高品质音频专用线缆，信号路由清晰、标识明确。</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音频输出设备安装：监听音箱须按标准监听三角形摆位（与聆听位置呈60°夹角），高度以高音单元与耳朵齐平为原则，可通过音箱支架或垫材调整；超低音音箱放置于房间前部居中或偏侧位置，须进行相位校准；录音师监听耳机及监听耳机须配备专用挂架或收纳位。</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音频录入设备安装：话筒放大器、母带压缩处理器、均衡处理器等模块须按顺序规范插入机架插槽，确保与背板可靠连接；ADDA转换器须就近连接音频工作站，时钟同步信号须正确路由；各类话筒须配备对应防震架和防喷罩，话筒支架摆放稳定。</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音频工作台及声学处理：录音棚控制桌须按设备尺寸精确安装，预留散热空间和线缆管理空间；房间声学吸声板套装须按声学设计方案精确安装于墙面指定位置，确保覆盖面积和安装角度符合设计要求；隔音静音舱须按模块化组装流程完成拼装，密封胶条须连续完整，舱门开合灵活、密闭性良好。</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综合布线要求：模拟音频信号线（话筒线、线路线）须与电源线、数字信号线分开敷设，避免平行走线，交叉时须垂直通过；所有音频线缆须采用平衡式连接，屏蔽层单端接地；线缆两端须使用线号管或标签标识，与系统图一一对应；线缆须穿镀锌金属管保护，管径≥30mm（主线槽）和≥50mm（分支），管口须做防护处理，防止线缆磨损。</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(2) 数字绘画实训室设备安装方案</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数字绘画输入设备安装：数位板按标准工位布局摆放在实训桌上，USB有线连接或蓝牙配对须在教师端统一完成；每套设备须逐一与教学电脑配对测试，确保压感识别和快捷键功能正常。</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AI图视频本地部署算力服务器安装：20张算力卡须逐张插入服务器主板PCI-E 5.0插槽，安装顺序合理、金手指接触良好；须额外配置符合供电要求的机箱电源（整机≥800W），散热风道须通畅，风扇工作正常；安装完成后须对所有算力卡进行压力测试，确认显存频率和温度在正常范围内。</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大幅面打印设备安装：设备须安放在平整坚固的地面上，四角水平；供墨系统按水性/油性/热升华不同墨水类型分别安装，管路须无折弯、无泄漏；自动收料系统和平台吸风系统须进行功能确认。</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综合布线要求：算力服务器须单独敷设电源线路，不与普通设备共用插座回路，电源线径须满足安全载流量要求；数据网络线缆须使用六类及以上非屏蔽双绞线，端接符合T568B标准；USB数据线须使用带磁环屏蔽型，长度不超过5米，确保信号完整性；所有电源线缆须穿镀锌金属管或封闭式金属线槽敷设，强弱电分开布置，间距不小于300mm。</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(3) 虚拟制片实验室设备安装方案</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影像采集设备安装：AI自动跟踪4K摄像机须安装在三脚架或专用支架上，位置根据拍摄区域确定，确保拍摄范围覆盖整个虚拟制作区；12G-SDI、HDMI等视频线缆须使用专用高速线，长度匹配走线路由，避免信号衰减；摄像机供电统一规划，POE++供电摄像机仅需接入网线。</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虚拟拍摄核心控制系统安装：XR新媒体数据计算服务器和虚拟制片UNREAL背景资源平台服务器须置于专用机柜内，排列整齐、散热空间充足；4K现场导控台、摄像机控制盘安装于控制操作台上，显示器支架固定牢固；虚拟演播室软件及4k虚拟拍摄系统软件须在服务器上完成安装部署，授权许可逐一激活验证。</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3D惯性动作捕捉设备安装：28个传感器按照全身捕捉模式穿戴方案进行编号分配，须在干净平整的地面上完成校准；配套3D角色动画虚拟仿真教学系统须完成部署，单机可执行文件和网页版本均须可正常运行。</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灯光系统安装：灯具固定轨（铝合金型材≥60×80×4mm）须牢固吊装于天花，膨胀螺栓间距≤600mm；恒力吊杆按灯具分布图定点安装，单个吊挂重量≥10kg；LED平板灯（≥672颗灯珠）和聚光灯按布光图安装在轨道上，灯具数量位置与设计图一致；调光台安装于操作台指定位置。</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抠像绿箱系统集成安装：绿箱按U型结构现场制作，轻钢龙骨+木工板基层施工，弧度处精确放样保证匀整无直角，专业抠像漆喷涂均匀无漏涂，地面铺抠像地板胶；接缝处须做无缝处理，确保抠像无阴影和接缝穿帮。</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综合布线要求：12G-SDI视频线缆须使用优质双层屏蔽同轴电缆，线芯为镀锡铜，长度按实际敷设路径预留适当余量；HDMI光纤线或高速HDMI铜缆（≥2.0版本）须满足4K 60P传输要求，总用量≥520米；所有视频线缆与电源线分开敷设，间距≥300mm；网线须使用六类非屏蔽双绞线，不少于1箱；DMX512灯光控制线须使用专用五芯屏蔽线，信号接插件为五芯卡侬头；跳线架、理线器须安装整齐，线缆标识清晰；控制操作台至各设备的信号控制线（≥20米）和电源线（≥20米）须穿管敷设。</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(4) 人工智能实训室设备安装方案</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智能机器人安装：2台智能机器人开箱后完成主体组装，关节模块逐一检查自由度；电池首次充电须按规范完成，OTA升级至最新固件版本；配套SDK及开发环境须在教师机部署完成。</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人工智能可编程机器人：人形机器人须逐一开箱检查配件完整性；每台机器人与教学App配对连接，验证语音交互、视觉识别、动作控制等功能；配套电子实训指导书内容须完整可访问。</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人工智能硬件实训平台部署：平台软件须在服务器上完成部署，包含系统管理（专业/班级/教师/学生管理）、设备管理、集群管理、课堂中心、资源概览、技能图谱等模块；理实一体化考试模块、开放式资源库、岗位训练营等子模块须全部激活并测试。</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智能无人驾驶终端安装：智能小车须完成3D打印结构件组装，AI主机（国产芯片，≥8Tops算力）须正确安装并预装系统；广角摄像头与AI主机通讯稳定；配套跑道地图须在指定区域铺设完成（有效尺寸≥2.8m×2.8m）。</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智能搬运移动终端安装：完成机械结构件组装，多功能控制器安装正确；配套3D动态装配图纸须可在电脑上查看；图形化编程环境须部署完成，验证人脸识别、颜色识别等多任务同步运行能力。</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综合布线要求：机器人工位须配置充足电源插座（每个工位不少于2个五孔插座），电源线径≥2.5mm²；每个工位须布放六类网线，连接至接入交换机，网络跳线长度合理、标识清晰；无人驾驶小车跑道区域须独立供电，避免与教学电脑共用回路产生干扰；所有弱电线缆须穿镀锌金属管保护，强电插座安装高度距地≥300mm，强弱电面板间距≥200mm。</w:t>
      </w:r>
      <w:r/>
    </w:p>
    <w:p>
      <w:pPr>
        <w:ind w:firstLine="48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②设备安装的技术规范与标准：所有设备安装须严格执行国家现行相关标准规范，至少包含：《智能建筑设计标准》GB/T 50314、《综合布线系统工程设计规范》GB 50311、《数据中心设计规范》GB 50174等；</w:t>
      </w:r>
      <w:r/>
    </w:p>
    <w:p>
      <w:pPr>
        <w:ind w:left="360"/>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3</w:t>
      </w:r>
      <w:r>
        <w:rPr>
          <w:rFonts w:hint="eastAsia" w:ascii="宋体" w:hAnsi="宋体" w:eastAsia="宋体" w:cs="宋体"/>
          <w:b/>
          <w:bCs/>
          <w:color w:val="auto"/>
          <w:sz w:val="24"/>
        </w:rPr>
        <w:t xml:space="preserve">）调试技术方案</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①单系统独立联调：各实训室设备安装及线缆连接完成后，先进行单系统独立通电调试，确认各设备基本功能正常；</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②分系统联调：按音频系统、视频系统、灯光系统、网络系统、控制系统的划分，分别完成各系统内部所有设备的协同工作调试；</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③跨系统集成联调：虚拟制片实验室：摄像机画面→导控台切换→虚拟场景合成→记录/推流全链路测试；数字音频录编实训室：话筒→话放→ADDA→音频工作站→监听回放全链路测试；人工智能实训室：教师端→平台服务器→学生终端（机器人/小车/开发板）全链路通信与控制测试；</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④全系统联合调试：按照实际教学和实训场景，模拟完整工作流程（如节目录制、AI模型训练、虚拟拍摄制作等），验证各子系统协同工作的稳定性；</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⑤满载压力测试：模拟最大并发使用场景（如AI实训室40人同时在线实验、虚拟拍摄系统全负荷运行），验证系统在极限条件下的稳定性和响应性能；</w:t>
      </w:r>
      <w:r/>
    </w:p>
    <w:p>
      <w:pPr>
        <w:ind w:firstLine="360"/>
        <w:jc w:val="left"/>
        <w:spacing w:line="360" w:lineRule="auto"/>
        <w:rPr>
          <w:rStyle w:val="857"/>
          <w:rFonts w:ascii="Segoe UI" w:hAnsi="Segoe UI" w:cs="Segoe UI"/>
          <w:b w:val="0"/>
          <w:bCs w:val="0"/>
          <w:color w:val="auto"/>
          <w:sz w:val="24"/>
          <w:shd w:val="clear" w:color="auto" w:fill="ffffff"/>
        </w:rPr>
      </w:pPr>
      <w:r>
        <w:rPr>
          <w:rStyle w:val="857"/>
          <w:rFonts w:hint="eastAsia" w:ascii="Segoe UI" w:hAnsi="Segoe UI" w:cs="Segoe UI"/>
          <w:b w:val="0"/>
          <w:bCs w:val="0"/>
          <w:color w:val="auto"/>
          <w:sz w:val="24"/>
          <w:shd w:val="clear" w:color="auto" w:fill="ffffff"/>
        </w:rPr>
        <w:t xml:space="preserve">⑥异常恢复测试：模拟网络中断、电源波动、设备离线等故障场景，验证系统容错能力和恢复机制。</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3.</w:t>
      </w:r>
      <w:r>
        <w:rPr>
          <w:rFonts w:hint="eastAsia" w:ascii="宋体" w:hAnsi="宋体" w:eastAsia="宋体" w:cs="Times New Roman"/>
          <w:b/>
          <w:color w:val="auto"/>
          <w:sz w:val="24"/>
          <w:szCs w:val="21"/>
        </w:rPr>
        <w:t xml:space="preserve">技术培训</w:t>
      </w:r>
      <w:r/>
    </w:p>
    <w:p>
      <w:pPr>
        <w:ind w:firstLine="315"/>
        <w:jc w:val="left"/>
        <w:spacing w:line="360" w:lineRule="auto"/>
        <w:rPr>
          <w:rFonts w:ascii="宋体" w:hAnsi="宋体" w:eastAsia="宋体" w:cs="宋体"/>
          <w:color w:val="auto"/>
          <w:szCs w:val="21"/>
        </w:rPr>
      </w:pPr>
      <w:r>
        <w:rPr>
          <w:rFonts w:hint="eastAsia" w:ascii="宋体" w:hAnsi="宋体" w:eastAsia="宋体" w:cs="宋体"/>
          <w:color w:val="auto"/>
          <w:szCs w:val="21"/>
        </w:rPr>
        <w:t xml:space="preserve">投标人应根据招标文件要求并结合本项目特点，免费提供项目培训服务方案和培训教材。至少包括以下各项：</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1）培训时间及培训地点：</w:t>
      </w:r>
      <w:r>
        <w:rPr>
          <w:rFonts w:hint="eastAsia" w:ascii="宋体" w:hAnsi="宋体" w:eastAsia="宋体" w:cs="宋体"/>
          <w:color w:val="auto"/>
          <w:sz w:val="24"/>
        </w:rPr>
        <w:t xml:space="preserve">软件与硬件培训须在最终验收之前结束，培训的具体日期由中标方与采购人协商确定，由采购人统一安排参训人员，建议安排在正常教学工作日进行，避开学校重大活动及节假日；总培训时长不少于30课时，根据各实训室设备类型及复杂度，分为基础操作培训（20课时）和进阶应用培训（10课时）两个阶段。培训地点为：</w:t>
      </w:r>
      <w:r>
        <w:rPr>
          <w:rFonts w:ascii="宋体" w:hAnsi="宋体" w:eastAsia="宋体" w:cs="宋体"/>
          <w:color w:val="auto"/>
          <w:sz w:val="24"/>
        </w:rPr>
        <w:t xml:space="preserve">江苏省盐城技师学院数字媒体、人工智能产业学院各实训室内</w:t>
      </w:r>
      <w:r>
        <w:rPr>
          <w:rFonts w:hint="eastAsia" w:ascii="宋体" w:hAnsi="宋体" w:eastAsia="宋体" w:cs="宋体"/>
          <w:color w:val="auto"/>
          <w:sz w:val="24"/>
        </w:rPr>
        <w:t xml:space="preserve">或由采购人指定的校内多媒体教室或会议室</w:t>
      </w:r>
      <w:r>
        <w:rPr>
          <w:rFonts w:ascii="宋体" w:hAnsi="宋体" w:eastAsia="宋体" w:cs="宋体"/>
          <w:color w:val="auto"/>
          <w:sz w:val="24"/>
        </w:rPr>
        <w:t xml:space="preserve">，用于理论授课环节</w:t>
      </w:r>
      <w:r>
        <w:rPr>
          <w:rFonts w:hint="eastAsia" w:ascii="宋体" w:hAnsi="宋体" w:eastAsia="宋体" w:cs="宋体"/>
          <w:color w:val="auto"/>
          <w:sz w:val="24"/>
        </w:rPr>
        <w:t xml:space="preserve">；培训现场须配备投影设备、白板、网络接入等必要的教学辅助设施，由采购人协调提供；中标方负责培训所需的教学设备、演示样机、软件环境的准备和调试。</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2）培训课程及培训内容：</w:t>
      </w:r>
      <w:r>
        <w:rPr>
          <w:rFonts w:ascii="宋体" w:hAnsi="宋体" w:eastAsia="宋体" w:cs="宋体"/>
          <w:color w:val="auto"/>
          <w:sz w:val="24"/>
        </w:rPr>
        <w:t xml:space="preserve">培训课程分为数字媒体方向和人工智能方向两大模块，根据采购人需求，可安排相关参训人员分批参加相应模块培训</w:t>
      </w:r>
      <w:r>
        <w:rPr>
          <w:rFonts w:hint="eastAsia" w:ascii="宋体" w:hAnsi="宋体" w:eastAsia="宋体" w:cs="宋体"/>
          <w:color w:val="auto"/>
          <w:sz w:val="24"/>
        </w:rPr>
        <w:t xml:space="preserve">。</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3）培训师资：</w:t>
      </w:r>
      <w:r>
        <w:rPr>
          <w:rFonts w:ascii="宋体" w:hAnsi="宋体" w:eastAsia="宋体" w:cs="宋体"/>
          <w:color w:val="auto"/>
          <w:sz w:val="24"/>
        </w:rPr>
        <w:t xml:space="preserve">中标方须为本项目配备不少于4名具有相关专业资质的培训讲师，其中数字媒体方向不少于2名，人工智能方向不少于2名。</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数字媒体方向讲师：具有音频工程、影视制作、数字媒体技术等相关专业背景，熟悉录音棚系统、虚拟制片系统、动作捕捉设备等的操作与教学，具有3年以上相关行业从业经验或高校实训教学经验；人工智能方向讲师：具有计算机科学、人工智能、电子信息等相关专业背景，熟悉智能机器人、AI实训平台、无人驾驶终端等的操作与教学，具有3年相关行业从业经验或高校实训教学经验；所有讲师须具备良好的沟通表达能力和教学组织能力，能够根据参训人员的实际水平调整教学进度和内容深度。</w:t>
      </w:r>
      <w:r/>
    </w:p>
    <w:p>
      <w:pPr>
        <w:ind w:firstLine="361"/>
        <w:jc w:val="left"/>
        <w:spacing w:line="360" w:lineRule="auto"/>
        <w:rPr>
          <w:rFonts w:ascii="宋体" w:hAnsi="宋体" w:eastAsia="宋体" w:cs="宋体"/>
          <w:color w:val="auto"/>
          <w:sz w:val="24"/>
        </w:rPr>
      </w:pPr>
      <w:r>
        <w:rPr>
          <w:rFonts w:ascii="宋体" w:hAnsi="宋体" w:eastAsia="宋体" w:cs="宋体"/>
          <w:b/>
          <w:bCs/>
          <w:color w:val="auto"/>
          <w:sz w:val="24"/>
        </w:rPr>
        <w:t xml:space="preserve">4</w:t>
      </w:r>
      <w:r>
        <w:rPr>
          <w:rFonts w:hint="eastAsia" w:ascii="宋体" w:hAnsi="宋体" w:eastAsia="宋体" w:cs="宋体"/>
          <w:b/>
          <w:bCs/>
          <w:color w:val="auto"/>
          <w:sz w:val="24"/>
        </w:rPr>
        <w:t xml:space="preserve">）培训方式：</w:t>
      </w:r>
      <w:r>
        <w:rPr>
          <w:rFonts w:hint="eastAsia" w:ascii="宋体" w:hAnsi="宋体" w:eastAsia="宋体" w:cs="宋体"/>
          <w:color w:val="auto"/>
          <w:sz w:val="24"/>
        </w:rPr>
        <w:t xml:space="preserve">培训采用 “理论讲解+实操演练+案例研讨” 相结合的模式，确保参训人员能够全面掌握设备操作技能。中标方须在培训开始前向采购人提供完整的培训教材和资料，包括但不限于：各设备操作手册（中文版）；各系统软件使用指南（中文版）；培训课件（PPT或视频形式）；设备日常维护手册；常见故障排除指南。</w:t>
      </w:r>
      <w:r/>
    </w:p>
    <w:p>
      <w:pPr>
        <w:ind w:firstLine="361"/>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5</w:t>
      </w:r>
      <w:r>
        <w:rPr>
          <w:rFonts w:hint="eastAsia" w:ascii="宋体" w:hAnsi="宋体" w:eastAsia="宋体" w:cs="宋体"/>
          <w:b/>
          <w:bCs/>
          <w:color w:val="auto"/>
          <w:sz w:val="24"/>
        </w:rPr>
        <w:t xml:space="preserve">）设备操作及维护：</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（1）音频录编设备操作：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①系统开机/关机顺序（遵循“从前级到后级”的开机原则和反向关机原则）；</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②音频控制台面各通道的功能设置与操作；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③音频工作站软件的录音、编辑、混音操作流程；</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④各类话筒的安装、调试与使用注意事项；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⑤监听系统的校准与使用。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（2）数字绘画设备操作：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①数位板的驱动安装、参数设置与快捷键自定义；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②AI算力服务器的启动、模型加载与推理操作；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③大幅面打印设备的材料更换、打印设置与输出操作；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④数字绘画在线课程及实训平台的教师端与学生端操作。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（3）虚拟制片设备操作：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①4K摄像机的基本操作（开机、对焦、曝光控制、ND滤镜调节）；</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②虚拟演播室软件的场景加载、抠像设置、机位切换操作；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③3D惯性动作捕捉设备的穿戴、校准、数据采集与导出；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④UNREAL背景资源平台的场景编辑、角色导入与渲染输出；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⑤灯光系统的DMX控制与调光操作；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⑥抠像绿箱的灯光布置与拍摄注意事项。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（4）人工智能设备操作：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①智能机器人的启动、关节运动控制、动作编程与SDK开发环境使用；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②人工智能硬件实训平台的课程创建、课堂管理、考试组织与数据统计分析；</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③AIGC数字音视频创作智能体系统的文生图、文生视频、语音合成等核心功能操作；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④智能无人驾驶终端的组装、程序烧录、模型训练与自动驾驶实训操作；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⑤智能搬运移动终端的多种构型搭建与图形化编程操作。-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（5）设备日常维护要点</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①日常清洁：定期清洁设备表面和接口，使用柔软干布擦拭，避免使用腐蚀性清洁剂；传感器、镜头等精密部件须使用专用清洁工具。-</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②线缆检查：定期检查各类线缆连接是否牢固，有无破损、老化现象；信号线缆与电源线须分开敷设，避免干扰。-</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③参数备份：重要设备的设置参数须定期备份到文件，软件配置须保存完整备份。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④固件与软件更新：关注设备厂商发布的固件和软件更新信息，在确认兼容性和稳定性后按规范流程进行升级。-</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⑤环境管理：保持设备运行环境的温湿度在正常范围内，注意防尘、防静电；精密设备（如话筒、摄像机等）使用后须妥善收纳。</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⑥定期校准：3D惯性动作捕捉设备、音频监测系统等须按规定周期进行校准，确保数据准确性。</w:t>
      </w:r>
      <w:r/>
    </w:p>
    <w:p>
      <w:pPr>
        <w:ind w:firstLine="361"/>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6）简单故障处理：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①发现故障后首先确认故障现象，判断故障类型（硬件故障、软件故障、连接故障或操作失误）；</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②按照“先软件后硬件、先外部后内部、先简单后复杂”的顺序进行排查；</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③对于无法自行解决的故障，及时联系中标方技术支持人员处理；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④所有故障处理过程须做好记录，包括故障现象、处理措施、处理结果等。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投标人应安排具备考评员证等相应资质和经验的技术人员，对采购单位的使用部门人员进行全流程使用培训，确保相关人员能熟练掌握设备或系统的日常使用及维护。</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4.</w:t>
      </w:r>
      <w:r>
        <w:rPr>
          <w:rFonts w:hint="eastAsia" w:ascii="宋体" w:hAnsi="宋体" w:eastAsia="宋体" w:cs="Times New Roman"/>
          <w:b/>
          <w:color w:val="auto"/>
          <w:sz w:val="24"/>
          <w:szCs w:val="21"/>
        </w:rPr>
        <w:t xml:space="preserve">建设团队</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投标人针对人工智能实训平台和配套教学资源平台拟派的制作团队核心人员具备人工智能制作相关专业的技能等级证书的优先。</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5.</w:t>
      </w:r>
      <w:r>
        <w:rPr>
          <w:rFonts w:hint="eastAsia" w:ascii="宋体" w:hAnsi="宋体" w:eastAsia="宋体" w:cs="Times New Roman"/>
          <w:b/>
          <w:color w:val="auto"/>
          <w:sz w:val="24"/>
          <w:szCs w:val="21"/>
        </w:rPr>
        <w:t xml:space="preserve">项目实施方案（至少</w:t>
      </w:r>
      <w:r>
        <w:rPr>
          <w:rFonts w:hint="eastAsia" w:ascii="宋体" w:hAnsi="宋体" w:eastAsia="宋体" w:cs="Times New Roman"/>
          <w:b/>
          <w:color w:val="auto"/>
          <w:sz w:val="24"/>
          <w:szCs w:val="21"/>
          <w:lang w:val="zh-CN"/>
        </w:rPr>
        <w:t xml:space="preserve">包括以下各项）</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（1）进度方案</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①</w:t>
      </w:r>
      <w:r>
        <w:rPr>
          <w:rFonts w:hint="eastAsia" w:ascii="宋体" w:hAnsi="宋体" w:eastAsia="宋体" w:cs="宋体"/>
          <w:color w:val="auto"/>
          <w:sz w:val="24"/>
        </w:rPr>
        <w:t xml:space="preserve">投标人须明确承诺本项目全部货物完成生产、配送、到货、就位的总工期，严格响应招标文件既定的交付时限要求</w:t>
      </w:r>
      <w:r>
        <w:rPr>
          <w:rFonts w:hint="eastAsia" w:ascii="宋体" w:hAnsi="宋体" w:eastAsia="宋体" w:cs="宋体"/>
          <w:i/>
          <w:iCs/>
          <w:color w:val="auto"/>
          <w:sz w:val="24"/>
          <w:u w:val="single"/>
        </w:rPr>
        <w:t xml:space="preserve">（合同签订后</w:t>
      </w:r>
      <w:r>
        <w:rPr>
          <w:rFonts w:ascii="宋体" w:hAnsi="宋体" w:eastAsia="宋体" w:cs="宋体"/>
          <w:i/>
          <w:iCs/>
          <w:color w:val="auto"/>
          <w:sz w:val="24"/>
          <w:u w:val="single"/>
        </w:rPr>
        <w:t xml:space="preserve">6</w:t>
      </w:r>
      <w:r>
        <w:rPr>
          <w:rFonts w:hint="eastAsia" w:ascii="宋体" w:hAnsi="宋体" w:eastAsia="宋体" w:cs="宋体"/>
          <w:i/>
          <w:iCs/>
          <w:color w:val="auto"/>
          <w:sz w:val="24"/>
          <w:u w:val="single"/>
        </w:rPr>
        <w:t xml:space="preserve">0天内）</w:t>
      </w:r>
      <w:r>
        <w:rPr>
          <w:rFonts w:hint="eastAsia" w:ascii="宋体" w:hAnsi="宋体" w:eastAsia="宋体" w:cs="宋体"/>
          <w:color w:val="auto"/>
          <w:sz w:val="24"/>
        </w:rPr>
        <w:t xml:space="preserve">，注明具体起止时间、整体交付完成节点，同时需说明供货周期测算依据，结合货物规格、数量、生产工艺、物流条件等进行详细阐述；</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②</w:t>
      </w:r>
      <w:r>
        <w:rPr>
          <w:rFonts w:hint="eastAsia" w:ascii="宋体" w:hAnsi="宋体" w:eastAsia="宋体" w:cs="宋体"/>
          <w:color w:val="auto"/>
          <w:sz w:val="24"/>
        </w:rPr>
        <w:t xml:space="preserve">明确全部货物到货、就位、安装调试完成、整体验收合格的最终竣工节点，同步说明进度计划与项目整体落地、采购人使用计划的衔接配合方式。</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rPr>
        <w:t xml:space="preserve">③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宋体"/>
          <w:color w:val="auto"/>
          <w:sz w:val="24"/>
          <w:szCs w:val="21"/>
          <w:lang w:bidi="ar"/>
        </w:rPr>
        <w:t xml:space="preserve">④</w:t>
      </w:r>
      <w:r>
        <w:rPr>
          <w:rFonts w:hint="eastAsia" w:ascii="宋体" w:hAnsi="宋体" w:eastAsia="宋体" w:cs="宋体"/>
          <w:color w:val="auto"/>
          <w:sz w:val="24"/>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（2）质量措施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①乙方应按招标文件规定的货物性能、技术要求、质量标准向甲方提供未经使用的全新产品。</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提供的货物在质保期内因货物本身的质量问题发生故障，乙方应负责免费更换。对达不到技术要求者，根据实际情况，经双方协商，可按以下办法处理：①更换：由乙方承担所发生的全部费用。②贬值处理：由甲乙双方合议定价。③退货处理：乙方应退还甲方支付的合同款，同时应承担该货物的直接费用（运输、保险、检验、货款利息及银行手续费等）。</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（3）验收方案：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②乙方交货前应对产品作出全面检查和对验收文件进行整理，并列出清单，作为甲方收货验收和使用的技术条件依据，检验的结果应随货物交甲方。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③甲方对乙方提供的货物在使用前进行调试时，乙方需负责安装并培训甲方的使用操作人员，并协助甲方一起调试，直到符合技术要求，甲方才做最终验收。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④对技术复杂的货物，甲方可请国家认可的专业检测机构参与初步验收及最终验收，并由其出具质量检测报告。</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验收时乙方必须在现场，验收完毕后作出验收结果报告；采购人有权从供应商所送货物中任意抽出不同型号的产品送采购人所在地的质检部门检验，如果检验合格，检验费由采购人负担；如果检验不合格，则检验费由供应商负担。</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6.</w:t>
      </w:r>
      <w:r>
        <w:rPr>
          <w:rFonts w:hint="eastAsia" w:ascii="宋体" w:hAnsi="宋体" w:eastAsia="宋体" w:cs="Times New Roman"/>
          <w:b/>
          <w:color w:val="auto"/>
          <w:sz w:val="24"/>
          <w:szCs w:val="21"/>
        </w:rPr>
        <w:t xml:space="preserve">售后服务方案</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售后服务方案至少包含以下内容：</w:t>
      </w:r>
      <w:r/>
    </w:p>
    <w:p>
      <w:pPr>
        <w:ind w:left="0" w:firstLine="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hint="eastAsia" w:ascii="宋体" w:hAnsi="宋体" w:eastAsia="宋体" w:cs="宋体"/>
          <w:color w:val="auto"/>
          <w:sz w:val="24"/>
          <w:szCs w:val="21"/>
          <w:lang w:bidi="ar"/>
        </w:rPr>
        <w:t xml:space="preserve">①</w:t>
      </w:r>
      <w:r>
        <w:rPr>
          <w:rFonts w:hint="eastAsia" w:ascii="宋体" w:hAnsi="宋体" w:eastAsia="宋体" w:cs="Times New Roman"/>
          <w:bCs/>
          <w:color w:val="auto"/>
          <w:sz w:val="24"/>
          <w:szCs w:val="21"/>
        </w:rPr>
        <w:t xml:space="preserve">供应商提供的售后服务标准应不低于同型号设备的出厂市场服务标准。</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②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③提供7×24小时技术支持服务。技术支持包括：通过电话技术服务、现场技术服务、定期巡查服务等方式，提供故障排除、技术解答等内容，并负责处理直至保障设备正常运行。电话技术支持服务，响应时间在2小时内。需要进场维修的应在24小时内达到现场，并在4小时内排除故障。若故障在72小时内无法修复，应及时告知采购人，并提供质量、性能相当的备用设备，以保证在维修与维护期间不影响正常使用，维修与维护完毕后再换回原设备。</w:t>
      </w:r>
      <w:r/>
    </w:p>
    <w:p>
      <w:pPr>
        <w:numPr>
          <w:ilvl w:val="0"/>
          <w:numId w:val="5"/>
        </w:num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投标人需具有本项目相关承接经验，为了确保项目的顺利实施，投标人近三年内承担过类似项目业绩的优先。</w:t>
      </w:r>
      <w:r/>
    </w:p>
    <w:p>
      <w:pPr>
        <w:ind w:firstLine="361"/>
        <w:jc w:val="left"/>
        <w:spacing w:line="360" w:lineRule="auto"/>
        <w:rPr>
          <w:rFonts w:ascii="宋体" w:hAnsi="宋体" w:eastAsia="宋体" w:cs="Times New Roman"/>
          <w:b/>
          <w:color w:val="auto"/>
          <w:sz w:val="24"/>
          <w:szCs w:val="21"/>
          <w:lang w:val="en"/>
        </w:rPr>
      </w:pPr>
      <w:r>
        <w:rPr>
          <w:rFonts w:hint="eastAsia" w:ascii="宋体" w:hAnsi="宋体" w:eastAsia="宋体" w:cs="Times New Roman"/>
          <w:b/>
          <w:color w:val="auto"/>
          <w:sz w:val="24"/>
          <w:szCs w:val="21"/>
        </w:rPr>
        <w:t xml:space="preserve">8.</w:t>
      </w:r>
      <w:r>
        <w:rPr>
          <w:rFonts w:hint="eastAsia" w:ascii="宋体" w:hAnsi="宋体" w:eastAsia="宋体" w:cs="Times New Roman"/>
          <w:b/>
          <w:color w:val="auto"/>
          <w:sz w:val="24"/>
          <w:szCs w:val="21"/>
          <w:lang w:val="en"/>
        </w:rPr>
        <w:t xml:space="preserve">采购标的对应的中小企业划分标准所属行业一览表</w:t>
      </w:r>
      <w:r/>
    </w:p>
    <w:p>
      <w:pPr>
        <w:rPr>
          <w:rFonts w:ascii="Times New Roman" w:hAnsi="Times New Roman" w:eastAsia="宋体" w:cs="Times New Roman"/>
          <w:color w:val="auto"/>
          <w:szCs w:val="21"/>
          <w:lang w:val="en"/>
        </w:rPr>
      </w:pPr>
      <w:r>
        <w:rPr>
          <w:rFonts w:ascii="Times New Roman" w:hAnsi="Times New Roman" w:eastAsia="宋体" w:cs="Times New Roman"/>
          <w:color w:val="auto"/>
          <w:szCs w:val="21"/>
          <w:lang w:val="en"/>
        </w:rPr>
      </w:r>
      <w:r/>
    </w:p>
    <w:tbl>
      <w:tblPr>
        <w:tblStyle w:val="840"/>
        <w:tblW w:w="90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748"/>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序号</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采购标的</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对应中小企业划分标准所属行业</w:t>
            </w:r>
            <w:r/>
          </w:p>
        </w:tc>
      </w:tr>
      <w:tr>
        <w:trPr>
          <w:jc w:val="center"/>
          <w:tblCellSpacing w:w="0" w:type="dxa"/>
          <w:trHeight w:val="785"/>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1</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 </w:t>
            </w:r>
            <w:r>
              <w:rPr>
                <w:rFonts w:hint="eastAsia" w:ascii="宋体" w:hAnsi="宋体" w:eastAsia="宋体" w:cs="宋体"/>
                <w:bCs/>
                <w:color w:val="auto"/>
                <w:sz w:val="24"/>
              </w:rPr>
              <w:t xml:space="preserve">江苏省盐城技师学院数字媒体、人工智能产业学院建设项目</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工业</w:t>
            </w:r>
            <w:r/>
          </w:p>
        </w:tc>
      </w:tr>
    </w:tbl>
    <w:p>
      <w:pPr>
        <w:ind w:firstLine="420"/>
        <w:rPr>
          <w:rFonts w:ascii="宋体" w:hAnsi="宋体" w:eastAsia="宋体" w:cs="Times New Roman"/>
          <w:b/>
          <w:color w:val="auto"/>
          <w:sz w:val="24"/>
          <w:szCs w:val="21"/>
        </w:rPr>
      </w:pPr>
      <w:r/>
      <w:bookmarkStart w:id="195" w:name="_Toc120614281"/>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jc w:val="left"/>
        <w:widowControl/>
        <w:rPr>
          <w:rFonts w:ascii="宋体" w:hAnsi="宋体" w:eastAsia="宋体" w:cs="Times New Roman"/>
          <w:b/>
          <w:color w:val="auto"/>
          <w:sz w:val="24"/>
          <w:szCs w:val="21"/>
        </w:rPr>
      </w:pPr>
      <w:r>
        <w:rPr>
          <w:rFonts w:ascii="宋体" w:hAnsi="宋体" w:eastAsia="宋体" w:cs="Times New Roman"/>
          <w:b/>
          <w:color w:val="auto"/>
          <w:sz w:val="24"/>
          <w:szCs w:val="21"/>
        </w:rPr>
        <w:br w:type="page" w:clear="all"/>
      </w:r>
      <w:r/>
    </w:p>
    <w:p>
      <w:pPr>
        <w:pStyle w:val="871"/>
        <w:rPr>
          <w:color w:val="auto"/>
        </w:rPr>
      </w:pPr>
      <w:r/>
      <w:bookmarkStart w:id="196" w:name="_Toc234256917"/>
      <w:r>
        <w:rPr>
          <w:rFonts w:hint="eastAsia"/>
          <w:color w:val="auto"/>
        </w:rPr>
        <w:t xml:space="preserve">第五章  评标方法与评标标准</w:t>
      </w:r>
      <w:bookmarkEnd w:id="196"/>
      <w:r/>
      <w:r/>
    </w:p>
    <w:p>
      <w:pPr>
        <w:pStyle w:val="852"/>
        <w:jc w:val="both"/>
        <w:spacing w:beforeAutospacing="0" w:afterAutospacing="0"/>
        <w:rPr>
          <w:color w:val="auto"/>
        </w:rPr>
      </w:pPr>
      <w:r>
        <w:rPr>
          <w:color w:val="auto"/>
        </w:rPr>
        <w:t xml:space="preserve"> </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360" w:lineRule="auto"/>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 xml:space="preserve">法。</w:t>
      </w:r>
      <w:r>
        <w:rPr>
          <w:rFonts w:hint="eastAsia" w:ascii="宋体" w:hAnsi="宋体" w:eastAsia="宋体" w:cs="宋体"/>
          <w:color w:val="auto"/>
          <w:sz w:val="24"/>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1"/>
        </w:rPr>
        <w:t xml:space="preserve">，由评标委员会组织通过抽签的方式确定中标候选人的排序</w:t>
      </w:r>
      <w:r>
        <w:rPr>
          <w:rFonts w:hint="eastAsia" w:ascii="宋体" w:hAnsi="宋体" w:eastAsia="宋体" w:cs="宋体"/>
          <w:color w:val="auto"/>
          <w:sz w:val="24"/>
        </w:rPr>
        <w:t xml:space="preserve">。投标文件满足招标文件全部实质性要求，且按照评审因素的量化指标评审得分最高的投标人为排名第一的中标候选人，本项目选取1名中标候选人。</w:t>
      </w:r>
      <w:r/>
    </w:p>
    <w:p>
      <w:pPr>
        <w:pStyle w:val="852"/>
        <w:ind w:firstLine="441"/>
        <w:spacing w:before="120" w:beforeAutospacing="0" w:after="120" w:afterAutospacing="0" w:line="360" w:lineRule="auto"/>
        <w:rPr>
          <w:rFonts w:ascii="宋体" w:hAnsi="宋体" w:eastAsia="宋体" w:cs="宋体"/>
          <w:color w:val="auto"/>
        </w:rPr>
      </w:pPr>
      <w:r>
        <w:rPr>
          <w:rFonts w:hint="eastAsia" w:ascii="宋体" w:hAnsi="宋体" w:eastAsia="宋体" w:cs="宋体"/>
          <w:b/>
          <w:color w:val="auto"/>
        </w:rPr>
        <w:t xml:space="preserve">政府采购政策功能落实</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1、小微型企业价格扣除</w:t>
      </w:r>
      <w:r/>
    </w:p>
    <w:p>
      <w:pPr>
        <w:pStyle w:val="866"/>
        <w:ind w:firstLine="360"/>
        <w:rPr>
          <w:rFonts w:ascii="宋体" w:hAnsi="宋体" w:eastAsia="宋体" w:cs="宋体"/>
          <w:color w:val="auto"/>
        </w:rPr>
      </w:pPr>
      <w:r>
        <w:rPr>
          <w:rFonts w:hint="eastAsia" w:ascii="宋体" w:hAnsi="宋体" w:eastAsia="宋体" w:cs="宋体"/>
          <w:color w:val="auto"/>
        </w:rPr>
        <w:t xml:space="preserve">（1）本项目不专门面向中小企业采购，对符合规定的小型和微型企业报价给予20%的扣除价格，用扣除后的价格参与评审。</w:t>
      </w:r>
      <w:r/>
    </w:p>
    <w:p>
      <w:pPr>
        <w:pStyle w:val="852"/>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（2）供应商需按照采购文件的要求提供相应的《中小企业声明函》。</w:t>
      </w:r>
      <w:r/>
    </w:p>
    <w:p>
      <w:pPr>
        <w:pStyle w:val="852"/>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2、残疾人福利单位价格扣除</w:t>
      </w:r>
      <w:r/>
    </w:p>
    <w:p>
      <w:pPr>
        <w:pStyle w:val="852"/>
        <w:ind w:left="120" w:firstLine="36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（1）本项目对残疾人福利性单位视同小型、微型企业，给予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852"/>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pStyle w:val="852"/>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3、监狱和戒毒企业价格扣除</w:t>
      </w:r>
      <w:r/>
    </w:p>
    <w:p>
      <w:pPr>
        <w:pStyle w:val="852"/>
        <w:ind w:firstLine="48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852"/>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5、采购本国产品的支持政策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5.3 供应商需按照招标文件的要求提供《关于符合本国产品标准的声明函》（以下简称《声明函》），如不提供将不享受本国产品价格评审优惠。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2"/>
        <w:ind w:firstLine="480"/>
        <w:spacing w:before="120" w:beforeAutospacing="0" w:after="120" w:afterAutospacing="0"/>
        <w:rPr>
          <w:rFonts w:ascii="宋体" w:hAnsi="宋体" w:eastAsia="宋体" w:cs="宋体"/>
          <w:color w:val="auto"/>
        </w:rPr>
      </w:pPr>
      <w:r>
        <w:rPr>
          <w:rFonts w:ascii="宋体" w:hAnsi="宋体" w:eastAsia="宋体" w:cs="宋体"/>
          <w:color w:val="auto"/>
        </w:rPr>
        <w:t xml:space="preserve">6</w:t>
      </w:r>
      <w:r>
        <w:rPr>
          <w:rFonts w:hint="eastAsia" w:ascii="宋体" w:hAnsi="宋体" w:eastAsia="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rPr>
        <w:t xml:space="preserve">如属政府强制采购产品未提供认证证书的或认证证书提供不全的将视为未实质性响应采购要求</w:t>
      </w:r>
      <w:r>
        <w:rPr>
          <w:rFonts w:hint="eastAsia" w:ascii="宋体" w:hAnsi="宋体" w:eastAsia="宋体" w:cs="宋体"/>
          <w:i/>
          <w:color w:val="auto"/>
        </w:rPr>
        <w:t xml:space="preserve">。</w:t>
      </w:r>
      <w:r>
        <w:rPr>
          <w:rFonts w:hint="eastAsia" w:ascii="宋体" w:hAnsi="宋体" w:eastAsia="宋体" w:cs="宋体"/>
          <w:color w:val="auto"/>
        </w:rPr>
        <w:t xml:space="preserve">其他条件相同情况下，应当优先采购节能产品、环境标志产品。</w:t>
      </w:r>
      <w:r/>
    </w:p>
    <w:p>
      <w:pPr>
        <w:ind w:firstLine="482"/>
        <w:spacing w:line="500" w:lineRule="exact"/>
        <w:rPr>
          <w:rFonts w:ascii="宋体" w:hAnsi="宋体" w:eastAsia="宋体" w:cs="宋体"/>
          <w:b/>
          <w:bCs/>
          <w:color w:val="auto"/>
          <w:sz w:val="24"/>
        </w:rPr>
      </w:pPr>
      <w:r>
        <w:rPr>
          <w:rFonts w:ascii="宋体" w:hAnsi="宋体" w:eastAsia="宋体" w:cs="宋体"/>
          <w:b/>
          <w:bCs/>
          <w:color w:val="auto"/>
          <w:sz w:val="24"/>
        </w:rPr>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二、评标标准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本项目评分总分值为100分。</w:t>
      </w:r>
      <w:r/>
    </w:p>
    <w:p>
      <w:pPr>
        <w:ind w:firstLine="480"/>
        <w:spacing w:line="500" w:lineRule="exact"/>
        <w:rPr>
          <w:rFonts w:ascii="宋体" w:hAnsi="宋体" w:eastAsia="宋体" w:cs="宋体"/>
          <w:color w:val="auto"/>
          <w:sz w:val="24"/>
        </w:rPr>
      </w:pPr>
      <w:r>
        <w:rPr>
          <w:rFonts w:ascii="宋体" w:hAnsi="宋体" w:eastAsia="宋体" w:cs="宋体"/>
          <w:color w:val="auto"/>
          <w:sz w:val="24"/>
        </w:rPr>
      </w:r>
      <w:r/>
    </w:p>
    <w:tbl>
      <w:tblPr>
        <w:tblStyle w:val="840"/>
        <w:tblpPr w:horzAnchor="page" w:tblpX="1650" w:vertAnchor="text" w:tblpY="54" w:leftFromText="180" w:topFromText="0" w:rightFromText="180" w:bottomFromText="0"/>
        <w:tblW w:w="8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28"/>
        <w:gridCol w:w="5718"/>
        <w:gridCol w:w="738"/>
      </w:tblGrid>
      <w:tr>
        <w:trPr>
          <w:trHeight w:val="314"/>
        </w:trPr>
        <w:tc>
          <w:tcPr>
            <w:tcW w:w="73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序号</w:t>
            </w:r>
            <w:r/>
          </w:p>
        </w:tc>
        <w:tc>
          <w:tcPr>
            <w:tcW w:w="112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评审因素</w:t>
            </w:r>
            <w:r/>
          </w:p>
        </w:tc>
        <w:tc>
          <w:tcPr>
            <w:tcW w:w="571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评审细则</w:t>
            </w:r>
            <w:r/>
          </w:p>
        </w:tc>
        <w:tc>
          <w:tcPr>
            <w:tcW w:w="738" w:type="dxa"/>
            <w:vAlign w:val="center"/>
            <w:textDirection w:val="lrTb"/>
            <w:noWrap w:val="false"/>
          </w:tcPr>
          <w:p>
            <w:pP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分值</w:t>
            </w:r>
            <w:r/>
          </w:p>
        </w:tc>
      </w:tr>
      <w:tr>
        <w:trPr>
          <w:trHeight w:val="314"/>
        </w:trPr>
        <w:tc>
          <w:tcPr>
            <w:gridSpan w:val="4"/>
            <w:tcW w:w="8322" w:type="dxa"/>
            <w:vAlign w:val="center"/>
            <w:textDirection w:val="lrTb"/>
            <w:noWrap w:val="false"/>
          </w:tcPr>
          <w:p>
            <w:pPr>
              <w:jc w:val="left"/>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一、价格</w:t>
            </w:r>
            <w:r/>
          </w:p>
        </w:tc>
      </w:tr>
      <w:tr>
        <w:trPr>
          <w:trHeight w:val="114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w:t>
            </w:r>
            <w:r/>
          </w:p>
        </w:tc>
        <w:tc>
          <w:tcPr>
            <w:tcW w:w="112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价格</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采用低价优先法计算，即满足采购文件要求且投标价格最低的投标报价为评标基准价，其价格分为满分。其他供应商的价格分统一按照下列公式计算：投标报价得分=(评标基准价/投标报价）×30</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w:t>
            </w:r>
            <w:r/>
          </w:p>
        </w:tc>
      </w:tr>
      <w:tr>
        <w:trPr>
          <w:trHeight w:val="369"/>
        </w:trPr>
        <w:tc>
          <w:tcPr>
            <w:gridSpan w:val="4"/>
            <w:tcW w:w="8322"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二、技术指标</w:t>
            </w:r>
            <w:r/>
          </w:p>
        </w:tc>
      </w:tr>
      <w:tr>
        <w:trPr>
          <w:trHeight w:val="1531"/>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2.1</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技术参数</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（20分）</w:t>
            </w:r>
            <w:r/>
          </w:p>
        </w:tc>
        <w:tc>
          <w:tcPr>
            <w:tcW w:w="5718" w:type="dxa"/>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由评标委员会根据投标人投标产品的功能及技术参数要求响应情况进行打分，采购需求中带“★”的参数共计</w:t>
            </w:r>
            <w:r>
              <w:rPr>
                <w:rFonts w:asciiTheme="minorEastAsia" w:hAnsiTheme="minorEastAsia" w:cstheme="minorEastAsia"/>
                <w:color w:val="auto"/>
                <w:szCs w:val="21"/>
              </w:rPr>
              <w:t xml:space="preserve">4</w:t>
            </w:r>
            <w:r>
              <w:rPr>
                <w:rFonts w:hint="eastAsia" w:asciiTheme="minorEastAsia" w:hAnsiTheme="minorEastAsia" w:cstheme="minorEastAsia"/>
                <w:color w:val="auto"/>
                <w:szCs w:val="21"/>
              </w:rPr>
              <w:t xml:space="preserve">0个，满足采购文件技术指标、参数要求的每个加</w:t>
            </w:r>
            <w:r>
              <w:rPr>
                <w:rFonts w:asciiTheme="minorEastAsia" w:hAnsiTheme="minorEastAsia" w:cstheme="minorEastAsia"/>
                <w:color w:val="auto"/>
                <w:szCs w:val="21"/>
              </w:rPr>
              <w:t xml:space="preserve">0.5</w:t>
            </w:r>
            <w:r>
              <w:rPr>
                <w:rFonts w:hint="eastAsia" w:asciiTheme="minorEastAsia" w:hAnsiTheme="minorEastAsia" w:cstheme="minorEastAsia"/>
                <w:color w:val="auto"/>
                <w:szCs w:val="21"/>
              </w:rPr>
              <w:t xml:space="preserve">分，本项最多得</w:t>
            </w:r>
            <w:r>
              <w:rPr>
                <w:rFonts w:asciiTheme="minorEastAsia" w:hAnsiTheme="minorEastAsia" w:cstheme="minorEastAsia"/>
                <w:color w:val="auto"/>
                <w:szCs w:val="21"/>
              </w:rPr>
              <w:t xml:space="preserve">2</w:t>
            </w:r>
            <w:r>
              <w:rPr>
                <w:rFonts w:hint="eastAsia" w:asciiTheme="minorEastAsia" w:hAnsiTheme="minorEastAsia" w:cstheme="minorEastAsia"/>
                <w:color w:val="auto"/>
                <w:szCs w:val="21"/>
              </w:rPr>
              <w:t xml:space="preserve">0分；“★”项目需在标书中提供功能截图或其他证明材料，并加盖</w:t>
            </w:r>
            <w:r>
              <w:rPr>
                <w:rFonts w:hint="eastAsia" w:asciiTheme="minorEastAsia" w:hAnsiTheme="minorEastAsia" w:cstheme="minorEastAsia"/>
                <w:color w:val="auto"/>
                <w:szCs w:val="21"/>
                <w:lang w:val="zh-CN"/>
              </w:rPr>
              <w:t xml:space="preserve">供应商</w:t>
            </w:r>
            <w:r>
              <w:rPr>
                <w:rFonts w:hint="eastAsia" w:asciiTheme="minorEastAsia" w:hAnsiTheme="minorEastAsia" w:cstheme="minorEastAsia"/>
                <w:color w:val="auto"/>
                <w:szCs w:val="21"/>
              </w:rPr>
              <w:t xml:space="preserve">公章），技术指标、参数不满足或未提供证明材料的不得分。</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w:t>
            </w:r>
            <w:r/>
          </w:p>
        </w:tc>
      </w:tr>
      <w:tr>
        <w:trPr>
          <w:trHeight w:val="155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2.2</w:t>
            </w:r>
            <w:r/>
          </w:p>
        </w:tc>
        <w:tc>
          <w:tcPr>
            <w:tcW w:w="1128" w:type="dxa"/>
            <w:vAlign w:val="center"/>
            <w:textDirection w:val="lrTb"/>
            <w:noWrap w:val="false"/>
          </w:tcPr>
          <w:p>
            <w:pPr>
              <w:ind w:firstLine="210"/>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演示</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（16分）</w:t>
            </w:r>
            <w:r/>
          </w:p>
        </w:tc>
        <w:tc>
          <w:tcPr>
            <w:tcW w:w="5718" w:type="dxa"/>
            <w:vAlign w:val="center"/>
            <w:textDirection w:val="lrTb"/>
            <w:noWrap w:val="false"/>
          </w:tcPr>
          <w:p>
            <w:pPr>
              <w:widowControl/>
              <w:rPr>
                <w:color w:val="auto"/>
                <w:szCs w:val="21"/>
              </w:rPr>
            </w:pPr>
            <w:r>
              <w:rPr>
                <w:rFonts w:hint="eastAsia"/>
                <w:b/>
                <w:bCs/>
                <w:color w:val="auto"/>
                <w:szCs w:val="21"/>
              </w:rPr>
              <w:t xml:space="preserve">演示点一、</w:t>
            </w:r>
            <w:r>
              <w:rPr>
                <w:rFonts w:hint="eastAsia"/>
                <w:color w:val="auto"/>
                <w:szCs w:val="21"/>
              </w:rPr>
              <w:t xml:space="preserve">虚拟拍摄核心控制系统功能演示，每满足1项得1分，满分</w:t>
            </w:r>
            <w:r>
              <w:rPr>
                <w:color w:val="auto"/>
                <w:szCs w:val="21"/>
              </w:rPr>
              <w:t xml:space="preserve">2</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（1）【云指纹】视频云指纹系统有效防止平台课程被翻录和盗版且可跟踪。</w:t>
            </w:r>
            <w:r>
              <w:rPr>
                <w:rFonts w:ascii="宋体" w:hAnsi="宋体" w:eastAsia="宋体" w:cs="Times New Roman"/>
                <w:color w:val="auto"/>
                <w:szCs w:val="21"/>
              </w:rPr>
              <w:t xml:space="preserve"> </w:t>
            </w:r>
            <w:r/>
          </w:p>
          <w:p>
            <w:pPr>
              <w:widowControl/>
              <w:rPr>
                <w:rFonts w:ascii="宋体" w:hAnsi="宋体" w:eastAsia="宋体" w:cs="微软雅黑"/>
                <w:color w:val="auto"/>
                <w:szCs w:val="21"/>
                <w:lang w:bidi="ar"/>
              </w:rPr>
            </w:pPr>
            <w:r>
              <w:rPr>
                <w:rFonts w:hint="eastAsia" w:ascii="宋体" w:hAnsi="宋体" w:eastAsia="宋体" w:cs="仿宋"/>
                <w:color w:val="auto"/>
                <w:szCs w:val="21"/>
              </w:rPr>
              <w:t xml:space="preserve">（2）</w:t>
            </w:r>
            <w:r>
              <w:rPr>
                <w:rFonts w:hint="eastAsia" w:ascii="宋体" w:hAnsi="宋体" w:eastAsia="宋体" w:cs="微软雅黑"/>
                <w:color w:val="auto"/>
                <w:szCs w:val="21"/>
                <w:lang w:bidi="ar"/>
              </w:rPr>
              <w:t xml:space="preserve">【敏感词防护】允许用户设置屏蔽或禁止敏感关键词，并可以查看屏蔽记录。</w:t>
            </w:r>
            <w:r>
              <w:rPr>
                <w:rFonts w:ascii="宋体" w:hAnsi="宋体" w:eastAsia="宋体" w:cs="微软雅黑"/>
                <w:color w:val="auto"/>
                <w:szCs w:val="21"/>
                <w:lang w:bidi="ar"/>
              </w:rPr>
              <w:t xml:space="preserve"> </w:t>
            </w:r>
            <w:r/>
          </w:p>
          <w:p>
            <w:pPr>
              <w:widowControl/>
              <w:rPr>
                <w:color w:val="auto"/>
                <w:szCs w:val="21"/>
              </w:rPr>
            </w:pPr>
            <w:r>
              <w:rPr>
                <w:rFonts w:hint="eastAsia"/>
                <w:b/>
                <w:bCs/>
                <w:color w:val="auto"/>
                <w:szCs w:val="21"/>
              </w:rPr>
              <w:t xml:space="preserve">演示点二、</w:t>
            </w:r>
            <w:r>
              <w:rPr>
                <w:rFonts w:hint="eastAsia" w:ascii="宋体" w:hAnsi="宋体" w:eastAsia="宋体" w:cs="微软雅黑"/>
                <w:color w:val="auto"/>
                <w:szCs w:val="21"/>
                <w:lang w:bidi="ar"/>
              </w:rPr>
              <w:t xml:space="preserve">3D惯性动作捕捉设备</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（1）能够实现不同角色之间走路的对比观察，由用户任意调整观察角度和动画速度，进行实时对比。</w:t>
            </w:r>
            <w:r>
              <w:rPr>
                <w:rFonts w:ascii="宋体" w:hAnsi="宋体" w:eastAsia="宋体" w:cs="Times New Roman"/>
                <w:color w:val="auto"/>
                <w:szCs w:val="21"/>
              </w:rPr>
              <w:t xml:space="preserve"> </w:t>
            </w:r>
            <w:r/>
          </w:p>
          <w:p>
            <w:pPr>
              <w:rPr>
                <w:rFonts w:ascii="宋体" w:hAnsi="宋体" w:eastAsia="宋体" w:cs="Times New Roman"/>
                <w:color w:val="auto"/>
                <w:szCs w:val="21"/>
              </w:rPr>
            </w:pPr>
            <w:r>
              <w:rPr>
                <w:rFonts w:hint="eastAsia" w:ascii="宋体" w:hAnsi="宋体" w:eastAsia="宋体" w:cs="Times New Roman"/>
                <w:color w:val="auto"/>
                <w:szCs w:val="21"/>
              </w:rPr>
              <w:t xml:space="preserve">（2）功能模块需要包含：主页模块、基础演示模块、对比演示模块、细节演示模块、练习模块等。</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（3）须角色动画必须为</w:t>
            </w:r>
            <w:r>
              <w:rPr>
                <w:rFonts w:ascii="宋体" w:hAnsi="宋体" w:eastAsia="宋体" w:cs="Times New Roman"/>
                <w:color w:val="auto"/>
                <w:szCs w:val="21"/>
              </w:rPr>
              <w:t xml:space="preserve">3D方式制作</w:t>
            </w:r>
            <w:r>
              <w:rPr>
                <w:rFonts w:hint="eastAsia" w:ascii="宋体" w:hAnsi="宋体" w:eastAsia="宋体" w:cs="Times New Roman"/>
                <w:color w:val="auto"/>
                <w:szCs w:val="21"/>
              </w:rPr>
              <w:t xml:space="preserve">。</w:t>
            </w:r>
            <w:r/>
          </w:p>
          <w:p>
            <w:pPr>
              <w:widowControl/>
              <w:rPr>
                <w:color w:val="auto"/>
                <w:szCs w:val="21"/>
              </w:rPr>
            </w:pPr>
            <w:r>
              <w:rPr>
                <w:rFonts w:hint="eastAsia"/>
                <w:b/>
                <w:bCs/>
                <w:color w:val="auto"/>
                <w:szCs w:val="21"/>
              </w:rPr>
              <w:t xml:space="preserve">演示点三、</w:t>
            </w:r>
            <w:r>
              <w:rPr>
                <w:rFonts w:hint="eastAsia" w:ascii="宋体" w:hAnsi="宋体" w:eastAsia="宋体" w:cs="微软雅黑"/>
                <w:color w:val="auto"/>
                <w:szCs w:val="21"/>
                <w:lang w:bidi="ar"/>
              </w:rPr>
              <w:t xml:space="preserve">人工智能硬件实训平台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Cs w:val="21"/>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Cs w:val="21"/>
              </w:rPr>
              <w:t xml:space="preserve">应用、调试机柜、编辑、删除操作。</w:t>
            </w:r>
            <w:r/>
          </w:p>
          <w:p>
            <w:pPr>
              <w:rPr>
                <w:rFonts w:ascii="宋体" w:hAnsi="宋体" w:eastAsia="宋体" w:cs="Times New Roman"/>
                <w:color w:val="auto"/>
                <w:szCs w:val="21"/>
              </w:rPr>
            </w:pPr>
            <w:r>
              <w:rPr>
                <w:rFonts w:hint="eastAsia" w:ascii="宋体" w:hAnsi="宋体" w:eastAsia="宋体" w:cs="Times New Roman"/>
                <w:color w:val="auto"/>
                <w:szCs w:val="21"/>
              </w:rPr>
              <w:t xml:space="preserve">（2）分配机柜：在“信息安全产品配置“课程资源下支持对课堂下小组所使用的机柜进行统一管理，包括：机柜名称、机柜</w:t>
            </w:r>
            <w:r>
              <w:rPr>
                <w:rFonts w:ascii="宋体" w:hAnsi="宋体" w:eastAsia="宋体" w:cs="Times New Roman"/>
                <w:color w:val="auto"/>
                <w:szCs w:val="21"/>
              </w:rPr>
              <w:t xml:space="preserve">IP、跳板机IP、使用组名称、使用题目名称等信息，可进行搜索、批量测试链接、分配机柜、取消分配、回收机柜等操作。使用此功能前需在“机柜管理”功能中添加数据。</w:t>
            </w:r>
            <w:r/>
          </w:p>
          <w:p>
            <w:pPr>
              <w:rPr>
                <w:rFonts w:ascii="宋体" w:hAnsi="宋体" w:eastAsia="宋体" w:cs="Times New Roman"/>
                <w:color w:val="auto"/>
                <w:szCs w:val="21"/>
              </w:rPr>
            </w:pPr>
            <w:r>
              <w:rPr>
                <w:rFonts w:hint="eastAsia" w:ascii="宋体" w:hAnsi="宋体" w:eastAsia="宋体" w:cs="Times New Roman"/>
                <w:color w:val="auto"/>
                <w:szCs w:val="21"/>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（4）</w:t>
            </w:r>
            <w:r>
              <w:rPr>
                <w:rFonts w:ascii="宋体" w:hAnsi="宋体" w:eastAsia="宋体" w:cs="Times New Roman"/>
                <w:color w:val="auto"/>
                <w:szCs w:val="21"/>
              </w:rPr>
              <w:t xml:space="preserve">对于测评过的岗位支持查看岗位报告，岗位报告包含综合技能评分、技能分析雷达图、详细技能评估列表，其中详细技能评估列表包含了技能、子技能、具体能力、评估结果。</w:t>
            </w:r>
            <w:r/>
          </w:p>
          <w:p>
            <w:pPr>
              <w:widowControl/>
              <w:rPr>
                <w:color w:val="auto"/>
                <w:szCs w:val="21"/>
              </w:rPr>
            </w:pPr>
            <w:r>
              <w:rPr>
                <w:rFonts w:hint="eastAsia"/>
                <w:b/>
                <w:bCs/>
                <w:color w:val="auto"/>
                <w:szCs w:val="21"/>
              </w:rPr>
              <w:t xml:space="preserve">演示点四、</w:t>
            </w:r>
            <w:r>
              <w:rPr>
                <w:rFonts w:hint="eastAsia" w:ascii="宋体" w:hAnsi="宋体" w:eastAsia="宋体" w:cs="微软雅黑"/>
                <w:color w:val="auto"/>
                <w:szCs w:val="21"/>
                <w:lang w:bidi="ar"/>
              </w:rPr>
              <w:t xml:space="preserve">人工智能机器人实训平台</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拓扑图管理：对平台内拓扑图进行统一管理。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虚拟仿真实验：对平台内的实验进行统一管理。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w:t>
            </w:r>
            <w:r>
              <w:rPr>
                <w:rFonts w:ascii="宋体" w:hAnsi="宋体" w:eastAsia="宋体" w:cs="Times New Roman"/>
                <w:color w:val="auto"/>
                <w:szCs w:val="21"/>
              </w:rPr>
              <w:t xml:space="preserve">平台须满足同时不少于40人在线进行产品配置相关实验，在实验中每人能够操作的虚拟化设备不少于5台。平台整体须满足同时在线使用的虚拟化设备数量不少于250台。</w:t>
            </w:r>
            <w:r/>
          </w:p>
          <w:p>
            <w:pPr>
              <w:widowControl/>
              <w:rPr>
                <w:color w:val="auto"/>
                <w:szCs w:val="21"/>
              </w:rPr>
            </w:pPr>
            <w:r>
              <w:rPr>
                <w:rFonts w:hint="eastAsia"/>
                <w:b/>
                <w:bCs/>
                <w:color w:val="auto"/>
                <w:szCs w:val="21"/>
              </w:rPr>
              <w:t xml:space="preserve">演示点五、</w:t>
            </w:r>
            <w:r>
              <w:rPr>
                <w:rFonts w:hint="eastAsia" w:ascii="宋体" w:hAnsi="宋体" w:eastAsia="宋体" w:cs="微软雅黑"/>
                <w:color w:val="auto"/>
                <w:szCs w:val="21"/>
                <w:lang w:bidi="ar"/>
              </w:rPr>
              <w:t xml:space="preserve">人工智能内容生成教学资源平台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由文字剧本生成主体库：</w:t>
            </w:r>
            <w:r>
              <w:rPr>
                <w:rFonts w:ascii="宋体" w:hAnsi="宋体" w:eastAsia="宋体" w:cs="宋体"/>
                <w:color w:val="auto"/>
                <w:szCs w:val="21"/>
                <w:lang w:bidi="ar"/>
              </w:rPr>
              <w:t xml:space="preserve">1.</w:t>
            </w:r>
            <w:r>
              <w:rPr>
                <w:rFonts w:hint="eastAsia" w:ascii="宋体" w:hAnsi="宋体" w:eastAsia="宋体" w:cs="宋体"/>
                <w:color w:val="auto"/>
                <w:szCs w:val="21"/>
                <w:lang w:bidi="ar"/>
              </w:rPr>
              <w:t xml:space="preserve">AI主体库生成，2</w:t>
            </w:r>
            <w:r>
              <w:rPr>
                <w:rFonts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支持由主体形象创建衍生形象。</w:t>
            </w:r>
            <w:r/>
          </w:p>
          <w:p>
            <w:pPr>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由分镜脚本生成分镜角色配音及旁白：AI生成角色配音及旁白，配音模板不少于20</w:t>
            </w:r>
            <w:r>
              <w:rPr>
                <w:rFonts w:hint="eastAsia" w:ascii="宋体" w:hAnsi="宋体" w:eastAsia="宋体" w:cs="宋体"/>
                <w:color w:val="auto"/>
                <w:szCs w:val="21"/>
                <w:lang w:bidi="ar"/>
              </w:rPr>
              <w:t xml:space="preserve">种声音，</w:t>
            </w:r>
            <w:r>
              <w:rPr>
                <w:rFonts w:hint="eastAsia" w:ascii="宋体" w:hAnsi="宋体" w:eastAsia="宋体" w:cs="宋体"/>
                <w:color w:val="auto"/>
                <w:szCs w:val="21"/>
                <w:lang w:bidi="ar"/>
              </w:rPr>
              <w:t xml:space="preserve">支持自定义声音模板和文字描述控制音色。</w:t>
            </w:r>
            <w:r/>
          </w:p>
          <w:p>
            <w:pPr>
              <w:rPr>
                <w:rFonts w:ascii="宋体" w:hAnsi="宋体" w:eastAsia="宋体" w:cs="宋体"/>
                <w:color w:val="auto"/>
                <w:szCs w:val="21"/>
                <w:lang w:bidi="ar"/>
              </w:rPr>
            </w:pPr>
            <w:r>
              <w:rPr>
                <w:rFonts w:hint="eastAsia" w:ascii="宋体" w:hAnsi="宋体" w:eastAsia="宋体" w:cs="宋体"/>
                <w:color w:val="auto"/>
                <w:szCs w:val="21"/>
              </w:rPr>
              <w:t xml:space="preserve">（3）</w:t>
            </w:r>
            <w:r>
              <w:rPr>
                <w:rFonts w:hint="eastAsia" w:ascii="宋体" w:hAnsi="宋体" w:eastAsia="宋体" w:cs="宋体"/>
                <w:color w:val="auto"/>
                <w:szCs w:val="21"/>
                <w:lang w:bidi="ar"/>
              </w:rPr>
              <w:t xml:space="preserve">分镜脚本一键导出：分镜脚本导出excel文件。</w:t>
            </w:r>
            <w:r/>
          </w:p>
          <w:p>
            <w:pPr>
              <w:widowControl/>
              <w:rPr>
                <w:rFonts w:ascii="宋体" w:hAnsi="宋体" w:eastAsia="宋体" w:cs="Times New Roman"/>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lang w:bidi="ar"/>
              </w:rPr>
              <w:t xml:space="preserve">支持本地算力调用，诗词多模态模型调用。</w:t>
            </w:r>
            <w:r/>
          </w:p>
          <w:p>
            <w:pPr>
              <w:jc w:val="left"/>
              <w:spacing w:line="420" w:lineRule="exact"/>
              <w:rPr>
                <w:rFonts w:ascii="宋体" w:hAnsi="宋体" w:eastAsia="宋体" w:cs="宋体"/>
                <w:b/>
                <w:bCs/>
                <w:color w:val="auto"/>
                <w:sz w:val="24"/>
              </w:rPr>
            </w:pPr>
            <w:r/>
            <w:bookmarkStart w:id="197" w:name="_Hlk237449514"/>
            <w:r>
              <w:rPr>
                <w:rFonts w:hint="eastAsia" w:ascii="宋体" w:hAnsi="宋体" w:eastAsia="宋体" w:cs="宋体"/>
                <w:b/>
                <w:bCs/>
                <w:color w:val="auto"/>
                <w:sz w:val="24"/>
              </w:rPr>
              <w:t xml:space="preserve">演示要求：</w:t>
            </w:r>
            <w:bookmarkEnd w:id="197"/>
            <w:r>
              <w:rPr>
                <w:rFonts w:hint="eastAsia" w:ascii="宋体" w:hAnsi="宋体" w:eastAsia="宋体" w:cs="宋体"/>
                <w:b/>
                <w:bCs/>
                <w:color w:val="auto"/>
                <w:sz w:val="24"/>
              </w:rPr>
              <w:t xml:space="preserve">演示方式</w:t>
            </w:r>
            <w:r>
              <w:rPr>
                <w:rFonts w:ascii="宋体" w:hAnsi="宋体" w:eastAsia="宋体" w:cs="宋体"/>
                <w:b/>
                <w:bCs/>
                <w:color w:val="auto"/>
                <w:sz w:val="24"/>
              </w:rPr>
              <w:t xml:space="preserve"> 视频演示</w:t>
            </w:r>
            <w:r/>
          </w:p>
          <w:p>
            <w:pPr>
              <w:pStyle w:val="865"/>
              <w:rPr>
                <w:color w:val="auto"/>
                <w:szCs w:val="21"/>
              </w:rPr>
            </w:pPr>
            <w:r>
              <w:rPr>
                <w:rFonts w:hint="eastAsia"/>
                <w:color w:val="auto"/>
                <w:szCs w:val="21"/>
                <w:lang w:val="en"/>
              </w:rPr>
              <w:t xml:space="preserve">1.供应商根据需按照招标文件规定的演示内容制作演示视频文件，演示视频中的演示形式须是目前正在运行的真实环境或模拟环境，演示时间不超过</w:t>
            </w:r>
            <w:r>
              <w:rPr>
                <w:rFonts w:hint="eastAsia"/>
                <w:color w:val="auto"/>
                <w:szCs w:val="21"/>
              </w:rPr>
              <w:t xml:space="preserve">15</w:t>
            </w:r>
            <w:r>
              <w:rPr>
                <w:rFonts w:hint="eastAsia"/>
                <w:color w:val="auto"/>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w:t>
            </w:r>
            <w:r/>
          </w:p>
        </w:tc>
      </w:tr>
      <w:tr>
        <w:trPr>
          <w:trHeight w:val="390"/>
        </w:trPr>
        <w:tc>
          <w:tcPr>
            <w:gridSpan w:val="4"/>
            <w:tcW w:w="8322" w:type="dxa"/>
            <w:vAlign w:val="center"/>
            <w:textDirection w:val="lrTb"/>
            <w:noWrap w:val="false"/>
          </w:tcPr>
          <w:p>
            <w:pPr>
              <w:jc w:val="left"/>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三、商务条款</w:t>
            </w:r>
            <w:r/>
          </w:p>
        </w:tc>
      </w:tr>
      <w:tr>
        <w:trPr>
          <w:trHeight w:val="699"/>
        </w:trPr>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技术方案（</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根据供应商提供的项目第四章其他中“2.技术方案”要求提供技术方案，</w:t>
            </w:r>
            <w:r>
              <w:rPr>
                <w:rFonts w:hint="eastAsia" w:asciiTheme="minorEastAsia" w:hAnsiTheme="minorEastAsia" w:cstheme="minorEastAsia"/>
                <w:color w:val="auto"/>
                <w:szCs w:val="21"/>
              </w:rPr>
              <w:t xml:space="preserve">至少包括以下内容：1）安装前的现场勘察与环境准备与前期沟通协调、2）安装技术方案、3）调试技术方案。</w:t>
            </w:r>
            <w:r>
              <w:rPr>
                <w:rFonts w:hint="eastAsia" w:asciiTheme="minorEastAsia" w:hAnsiTheme="minorEastAsia" w:cstheme="minorEastAsia"/>
                <w:color w:val="auto"/>
                <w:szCs w:val="21"/>
              </w:rPr>
              <w:t xml:space="preserve">方案优于项目需求的得</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分；满足项目需求的得</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分；不满足或无此项内容的本项不得分。</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8</w:t>
            </w:r>
            <w:r/>
          </w:p>
        </w:tc>
      </w:tr>
      <w:tr>
        <w:trPr>
          <w:trHeight w:val="618"/>
        </w:trPr>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技术培训（</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根据供应商提供的项目第四章其他中“3</w:t>
            </w:r>
            <w:r>
              <w:rPr>
                <w:rFonts w:ascii="宋体" w:hAnsi="宋体" w:eastAsia="宋体" w:cs="宋体"/>
                <w:color w:val="auto"/>
                <w:sz w:val="24"/>
              </w:rPr>
              <w:t xml:space="preserve">.</w:t>
            </w:r>
            <w:r>
              <w:rPr>
                <w:rFonts w:hint="eastAsia" w:ascii="宋体" w:hAnsi="宋体" w:eastAsia="宋体" w:cs="宋体"/>
                <w:color w:val="auto"/>
                <w:sz w:val="24"/>
              </w:rPr>
              <w:t xml:space="preserve">技术培训”要求提供技术方案，至少包括以下内容：</w:t>
            </w:r>
            <w:r>
              <w:rPr>
                <w:rFonts w:hint="eastAsia" w:ascii="宋体" w:hAnsi="宋体" w:eastAsia="宋体" w:cs="宋体"/>
                <w:color w:val="auto"/>
                <w:sz w:val="24"/>
              </w:rPr>
              <w:t xml:space="preserve">①培训时间及培训地点②培训课程及培训内容、③培训师资、④培训方式、⑤设备操作及维护、⑥简单故障处理等。投标人应安排具备考评员证等相应资质和经验的技术人员，对采购单位的使用部门人员进行全流程使用培训，确保相关人员能熟练掌握设备或系统的日常使用及维护</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3</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2</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r>
      <w:tr>
        <w:trPr>
          <w:trHeight w:val="1835"/>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4</w:t>
            </w:r>
            <w:r/>
          </w:p>
        </w:tc>
        <w:tc>
          <w:tcPr>
            <w:tcW w:w="1128" w:type="dxa"/>
            <w:vAlign w:val="center"/>
            <w:textDirection w:val="lrTb"/>
            <w:noWrap w:val="false"/>
          </w:tcPr>
          <w:p>
            <w:pPr>
              <w:widowControl/>
              <w:rPr>
                <w:rFonts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建设团队</w:t>
            </w:r>
            <w:r/>
          </w:p>
          <w:p>
            <w:pPr>
              <w:widowControl/>
              <w:rPr>
                <w:rFonts w:asciiTheme="minorEastAsia" w:hAnsiTheme="minorEastAsia" w:cstheme="minorEastAsia"/>
                <w:color w:val="auto"/>
                <w:szCs w:val="21"/>
              </w:rPr>
            </w:pPr>
            <w:r>
              <w:rPr>
                <w:rFonts w:hint="eastAsia" w:asciiTheme="majorEastAsia" w:hAnsiTheme="majorEastAsia" w:eastAsiaTheme="majorEastAsia" w:cstheme="majorEastAsia"/>
                <w:color w:val="auto"/>
                <w:szCs w:val="21"/>
              </w:rPr>
              <w:t xml:space="preserve">（</w:t>
            </w:r>
            <w:r>
              <w:rPr>
                <w:rFonts w:asciiTheme="majorEastAsia" w:hAnsiTheme="majorEastAsia" w:eastAsiaTheme="majorEastAsia" w:cstheme="majorEastAsia"/>
                <w:color w:val="auto"/>
                <w:szCs w:val="21"/>
              </w:rPr>
              <w:t xml:space="preserve">6</w:t>
            </w:r>
            <w:r>
              <w:rPr>
                <w:rFonts w:hint="eastAsia" w:asciiTheme="majorEastAsia" w:hAnsiTheme="majorEastAsia" w:eastAsiaTheme="majorEastAsia" w:cstheme="majorEastAsia"/>
                <w:color w:val="auto"/>
                <w:szCs w:val="21"/>
              </w:rPr>
              <w:t xml:space="preserve">分）</w:t>
            </w:r>
            <w:r/>
          </w:p>
        </w:tc>
        <w:tc>
          <w:tcPr>
            <w:tcW w:w="5718" w:type="dxa"/>
            <w:vAlign w:val="center"/>
            <w:textDirection w:val="lrTb"/>
            <w:noWrap w:val="false"/>
          </w:tcPr>
          <w:p>
            <w:pPr>
              <w:widowControl/>
              <w:rPr>
                <w:rFonts w:ascii="宋体" w:hAnsi="宋体" w:eastAsia="宋体" w:cstheme="minorEastAsia"/>
                <w:color w:val="auto"/>
                <w:sz w:val="24"/>
              </w:rPr>
            </w:pPr>
            <w:r>
              <w:rPr>
                <w:rFonts w:hint="eastAsia" w:ascii="宋体" w:hAnsi="宋体" w:eastAsia="宋体" w:cstheme="minorEastAsia"/>
                <w:color w:val="auto"/>
                <w:sz w:val="24"/>
              </w:rPr>
              <w:t xml:space="preserve">供应商针对人工智能实训平台和配套教学资源平台拟派的制作团队核心人员具备人工智能制作相关专业的技能等级证书,每提供1人得3分，最高得6分，未提供不得分。</w:t>
            </w:r>
            <w:r/>
          </w:p>
          <w:p>
            <w:pPr>
              <w:widowControl/>
              <w:rPr>
                <w:color w:val="auto"/>
              </w:rPr>
            </w:pPr>
            <w:r>
              <w:rPr>
                <w:rFonts w:hint="eastAsia" w:ascii="宋体" w:hAnsi="宋体" w:eastAsia="宋体" w:cstheme="minorEastAsia"/>
                <w:color w:val="auto"/>
                <w:sz w:val="24"/>
              </w:rPr>
              <w:t xml:space="preserve">（注：须提供专业证书复印件并加盖供应商公章，提供近三个月中任意一个月（不含投标当月）的社保证明电子扫描件并加盖供应商公章，未按要求提供不得分。）</w:t>
            </w:r>
            <w:r/>
          </w:p>
        </w:tc>
        <w:tc>
          <w:tcPr>
            <w:tcW w:w="738" w:type="dxa"/>
            <w:vAlign w:val="center"/>
            <w:textDirection w:val="lrTb"/>
            <w:noWrap w:val="false"/>
          </w:tcPr>
          <w:p>
            <w:pPr>
              <w:ind w:firstLine="210"/>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2549"/>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5</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项目实施方案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根据供应商提供的项目第四章其他中“5</w:t>
            </w:r>
            <w:r>
              <w:rPr>
                <w:rFonts w:ascii="宋体" w:hAnsi="宋体" w:eastAsia="宋体" w:cs="宋体"/>
                <w:color w:val="auto"/>
                <w:sz w:val="24"/>
              </w:rPr>
              <w:t xml:space="preserve">.</w:t>
            </w:r>
            <w:r>
              <w:rPr>
                <w:rFonts w:hint="eastAsia" w:ascii="宋体" w:hAnsi="宋体" w:eastAsia="宋体" w:cs="宋体"/>
                <w:color w:val="auto"/>
                <w:sz w:val="24"/>
              </w:rPr>
              <w:t xml:space="preserve">项目实施方案”要求提供技术方案，至少包括以下内容：</w:t>
            </w:r>
            <w:r>
              <w:rPr>
                <w:rFonts w:hint="eastAsia" w:ascii="宋体" w:hAnsi="宋体" w:eastAsia="宋体" w:cs="宋体"/>
                <w:color w:val="auto"/>
                <w:sz w:val="24"/>
                <w:szCs w:val="21"/>
                <w:lang w:bidi="ar"/>
              </w:rPr>
              <w:t xml:space="preserve">①进度计划方案；②质量保证措施；③验收方案</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80"/>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6</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售后服务方案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根据供应商提供的项目第四章其他中“6.售后服务方案”要求提供技术方案，至少包括以下内容：</w:t>
            </w:r>
            <w:r>
              <w:rPr>
                <w:rFonts w:hint="eastAsia" w:ascii="宋体" w:hAnsi="宋体" w:eastAsia="宋体" w:cs="宋体"/>
                <w:color w:val="auto"/>
                <w:sz w:val="24"/>
              </w:rPr>
              <w:t xml:space="preserve">①供</w:t>
            </w:r>
            <w:r>
              <w:rPr>
                <w:rFonts w:hint="eastAsia" w:ascii="宋体" w:hAnsi="宋体" w:eastAsia="宋体" w:cs="宋体"/>
                <w:color w:val="auto"/>
                <w:sz w:val="24"/>
                <w:szCs w:val="21"/>
                <w:lang w:bidi="ar"/>
              </w:rPr>
              <w:t xml:space="preserve">应商提供的售后服务标准；②在质量保证期内产品质量问题解决；③售后技术支持服务。</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7</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类似业绩</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r>
            <w:r>
              <w:rPr>
                <w:rFonts w:ascii="SimSun" w:hAnsi="SimSun" w:eastAsia="SimSun" w:cs="SimSun"/>
                <w:color w:val="000000"/>
                <w:sz w:val="21"/>
              </w:rPr>
              <w:t xml:space="preserve">投标人提供自2023年1月1日以来（以合同签订时间为准）承担过类似项目的案例，每提供1个得2分，最多得6分（提供合同复印件加盖公章，合同须能反映项目名称、主要标的物，签订时间和签章清晰可见）</w:t>
            </w:r>
            <w:r>
              <w:rPr>
                <w:rFonts w:hint="eastAsia" w:asciiTheme="minorEastAsia" w:hAnsiTheme="minorEastAsia" w:cstheme="minorEastAsia"/>
                <w:color w:val="auto"/>
                <w:szCs w:val="21"/>
              </w:rPr>
            </w:r>
            <w:r/>
          </w:p>
        </w:tc>
        <w:tc>
          <w:tcPr>
            <w:tcW w:w="738" w:type="dxa"/>
            <w:vAlign w:val="center"/>
            <w:textDirection w:val="lrTb"/>
            <w:noWrap w:val="false"/>
          </w:tcPr>
          <w:p>
            <w:pPr>
              <w:jc w:val="center"/>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8</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节能（2分）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宋体" w:hAnsi="宋体" w:eastAsia="宋体" w:cs="宋体"/>
                <w:color w:val="auto"/>
                <w:sz w:val="24"/>
                <w:lang w:val="zh-CN"/>
              </w:rPr>
              <w:t xml:space="preserve">1.投标产品属于财政部、国家发展改革委公布的“节能产品品目清单”范围内的，投标人提供国家确定的认证机构出具的、处于有效期之内的该节能产品认证证书的，有1个得</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分，最多得</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分。如投标产品均属于政府强制采购节能产品品目清单范围内，本项不得分。</w:t>
            </w:r>
            <w:r/>
          </w:p>
        </w:tc>
        <w:tc>
          <w:tcPr>
            <w:tcW w:w="738" w:type="dxa"/>
            <w:vAlign w:val="center"/>
            <w:textDirection w:val="lrTb"/>
            <w:noWrap w:val="false"/>
          </w:tcPr>
          <w:p>
            <w:pPr>
              <w:jc w:val="center"/>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w:t>
            </w:r>
            <w:r/>
          </w:p>
        </w:tc>
      </w:tr>
      <w:tr>
        <w:trPr>
          <w:trHeight w:val="563"/>
        </w:trPr>
        <w:tc>
          <w:tcPr>
            <w:gridSpan w:val="3"/>
            <w:tcW w:w="7584"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合计：</w:t>
            </w:r>
            <w:r/>
          </w:p>
        </w:tc>
        <w:tc>
          <w:tcPr>
            <w:tcW w:w="738" w:type="dxa"/>
            <w:vAlign w:val="center"/>
            <w:textDirection w:val="lrTb"/>
            <w:noWrap w:val="false"/>
          </w:tcPr>
          <w:p>
            <w:pPr>
              <w:jc w:val="right"/>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100</w:t>
            </w:r>
            <w:r/>
          </w:p>
        </w:tc>
      </w:tr>
    </w:tbl>
    <w:p>
      <w:pPr>
        <w:pStyle w:val="871"/>
        <w:rPr>
          <w:color w:val="auto"/>
        </w:rPr>
      </w:pPr>
      <w:r/>
      <w:bookmarkStart w:id="198" w:name="_Toc234256918"/>
      <w:r/>
      <w:r/>
    </w:p>
    <w:p>
      <w:pPr>
        <w:rPr>
          <w:color w:val="auto"/>
        </w:rPr>
      </w:pPr>
      <w:r>
        <w:rPr>
          <w:rFonts w:hint="eastAsia"/>
          <w:color w:val="auto"/>
        </w:rPr>
        <w:br w:type="page" w:clear="all"/>
      </w:r>
      <w:r/>
    </w:p>
    <w:p>
      <w:pPr>
        <w:pStyle w:val="871"/>
        <w:rPr>
          <w:color w:val="auto"/>
        </w:rPr>
      </w:pPr>
      <w:r>
        <w:rPr>
          <w:rFonts w:hint="eastAsia"/>
          <w:color w:val="auto"/>
        </w:rPr>
        <w:t xml:space="preserve">第六章  投标文件格式</w:t>
      </w:r>
      <w:bookmarkEnd w:id="198"/>
      <w:r>
        <w:rPr>
          <w:rFonts w:hint="eastAsia"/>
          <w:color w:val="auto"/>
        </w:rPr>
        <w:t xml:space="preserve"> </w:t>
      </w:r>
      <w:r/>
    </w:p>
    <w:p>
      <w:pPr>
        <w:pStyle w:val="871"/>
        <w:rPr>
          <w:color w:val="auto"/>
        </w:rPr>
      </w:pPr>
      <w:r>
        <w:rPr>
          <w:color w:val="auto"/>
        </w:rPr>
      </w:r>
      <w:r/>
    </w:p>
    <w:p>
      <w:pPr>
        <w:pStyle w:val="871"/>
        <w:rPr>
          <w:color w:val="auto"/>
        </w:rPr>
      </w:pPr>
      <w:r>
        <w:rPr>
          <w:color w:val="auto"/>
        </w:rPr>
      </w:r>
      <w:r/>
    </w:p>
    <w:p>
      <w:pPr>
        <w:pStyle w:val="871"/>
        <w:rPr>
          <w:color w:val="auto"/>
        </w:rPr>
      </w:pPr>
      <w:r>
        <w:rPr>
          <w:color w:val="auto"/>
        </w:rPr>
      </w:r>
      <w:r/>
    </w:p>
    <w:p>
      <w:pPr>
        <w:pStyle w:val="852"/>
        <w:jc w:val="center"/>
        <w:spacing w:beforeAutospacing="0" w:afterAutospacing="0"/>
        <w:rPr>
          <w:color w:val="auto"/>
        </w:rPr>
      </w:pPr>
      <w:r/>
      <w:bookmarkStart w:id="199" w:name="_Toc49090576"/>
      <w:r/>
      <w:bookmarkEnd w:id="199"/>
      <w:r/>
      <w:bookmarkStart w:id="200" w:name="_Toc120614282"/>
      <w:r/>
      <w:bookmarkEnd w:id="200"/>
      <w:r/>
      <w:bookmarkStart w:id="201" w:name="_Hlt26955039"/>
      <w:r/>
      <w:bookmarkStart w:id="202" w:name="_Toc26554094"/>
      <w:r/>
      <w:bookmarkStart w:id="203" w:name="_Hlt26671244"/>
      <w:r>
        <w:rPr>
          <w:rFonts w:hint="eastAsia" w:ascii="宋体" w:hAnsi="宋体" w:eastAsia="宋体" w:cs="宋体"/>
          <w:b/>
          <w:color w:val="auto"/>
          <w:sz w:val="72"/>
          <w:szCs w:val="72"/>
        </w:rPr>
        <w:t xml:space="preserve">投  标  文  件</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t xml:space="preserve"> </w:t>
      </w:r>
      <w:r/>
    </w:p>
    <w:p>
      <w:pPr>
        <w:pStyle w:val="852"/>
        <w:ind w:firstLine="1084"/>
        <w:jc w:val="both"/>
        <w:spacing w:beforeAutospacing="0" w:afterAutospacing="0"/>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852"/>
        <w:ind w:firstLine="1084"/>
        <w:jc w:val="both"/>
        <w:spacing w:beforeAutospacing="0" w:afterAutospacing="0"/>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852"/>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852"/>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852"/>
        <w:jc w:val="center"/>
        <w:spacing w:beforeAutospacing="0" w:afterAutospacing="0" w:line="0" w:lineRule="atLeast"/>
        <w:rPr>
          <w:color w:val="auto"/>
        </w:rPr>
      </w:pPr>
      <w:r>
        <w:rPr>
          <w:color w:val="auto"/>
        </w:rPr>
        <w:t xml:space="preserve"> </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一、法人或者其他组织的营业执照等证明文件，自然人的身份证明</w:t>
      </w:r>
      <w:r/>
    </w:p>
    <w:p>
      <w:pPr>
        <w:ind w:firstLine="480"/>
        <w:jc w:val="left"/>
        <w:spacing w:line="360" w:lineRule="auto"/>
        <w:tabs>
          <w:tab w:val="left" w:pos="1331" w:leader="none"/>
        </w:tabs>
        <w:rPr>
          <w:iCs/>
          <w:color w:val="auto"/>
        </w:rPr>
      </w:pPr>
      <w:r>
        <w:rPr>
          <w:rFonts w:hint="eastAsia" w:ascii="宋体" w:hAnsi="宋体" w:eastAsia="宋体" w:cs="宋体"/>
          <w:iCs/>
          <w:color w:val="auto"/>
          <w:sz w:val="24"/>
        </w:rPr>
        <w:t xml:space="preserve">二、上一年度的财务状况报告（至少提供资产负债表、利润表、现金流量表，</w:t>
      </w:r>
      <w:r>
        <w:rPr>
          <w:rFonts w:hint="eastAsia" w:ascii="宋体" w:hAnsi="宋体" w:eastAsia="宋体" w:cs="宋体"/>
          <w:iCs/>
          <w:color w:val="auto"/>
        </w:rPr>
        <w:t xml:space="preserve">投标人成立不满一年无需提供）</w:t>
      </w:r>
      <w:r/>
    </w:p>
    <w:p>
      <w:pPr>
        <w:pStyle w:val="852"/>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852"/>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2"/>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单位负责人为同一人或者存在直接控股、管理关系的不同供应商，不得参加同一合同项下的政府采购活动(自行承诺)</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七、法人授权书</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八、投标函</w:t>
      </w:r>
      <w:r/>
    </w:p>
    <w:p>
      <w:pPr>
        <w:pStyle w:val="852"/>
        <w:ind w:firstLine="480"/>
        <w:jc w:val="both"/>
        <w:spacing w:beforeAutospacing="0" w:afterAutospacing="0" w:line="360" w:lineRule="auto"/>
        <w:rPr>
          <w:iCs/>
          <w:color w:val="auto"/>
        </w:rPr>
      </w:pPr>
      <w:r>
        <w:rPr>
          <w:rFonts w:hint="eastAsia" w:ascii="宋体" w:hAnsi="宋体" w:eastAsia="宋体" w:cs="宋体"/>
          <w:iCs/>
          <w:color w:val="auto"/>
        </w:rPr>
        <w:t xml:space="preserve">九、中小企业声明函</w:t>
      </w:r>
      <w:r/>
    </w:p>
    <w:p>
      <w:pPr>
        <w:pStyle w:val="852"/>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十一、关于符合本国产品标准的声明函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十二、投标分项报价表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十三、技术要求响应及偏离表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十四、商务要求响应及偏离表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十五、开标一览表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十六、技术方案、服务承诺、培训承诺等</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十七、盐城市政府采购事前信用承诺书</w:t>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t xml:space="preserve"> </w:t>
      </w:r>
      <w:r/>
    </w:p>
    <w:p>
      <w:pPr>
        <w:pStyle w:val="852"/>
        <w:ind w:firstLine="480"/>
        <w:jc w:val="both"/>
        <w:spacing w:beforeAutospacing="0" w:afterAutospacing="0" w:line="0" w:lineRule="atLeast"/>
        <w:rPr>
          <w:color w:val="auto"/>
        </w:rPr>
      </w:pPr>
      <w:r>
        <w:rPr>
          <w:color w:val="auto"/>
        </w:rPr>
        <w:t xml:space="preserve"> </w:t>
      </w:r>
      <w:r>
        <w:rPr>
          <w:rFonts w:hint="eastAsia" w:ascii="黑体" w:hAnsi="宋体" w:eastAsia="黑体" w:cs="黑体"/>
          <w:i/>
          <w:color w:val="auto"/>
          <w:sz w:val="32"/>
          <w:szCs w:val="32"/>
        </w:rPr>
        <w:t xml:space="preserve">一、法人或者其他组织的营业执照等证明文件，自然人的身份证明</w:t>
      </w:r>
      <w:r/>
    </w:p>
    <w:p>
      <w:pPr>
        <w:pStyle w:val="852"/>
        <w:ind w:firstLine="480"/>
        <w:jc w:val="both"/>
        <w:spacing w:beforeAutospacing="0" w:afterAutospacing="0" w:line="0" w:lineRule="atLeast"/>
        <w:rPr>
          <w:color w:val="auto"/>
        </w:rPr>
      </w:pPr>
      <w:r>
        <w:rPr>
          <w:color w:val="auto"/>
        </w:rPr>
        <w:t xml:space="preserve"> </w:t>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eastAsia="黑体"/>
          <w:color w:val="auto"/>
        </w:rPr>
      </w:pPr>
      <w:r>
        <w:rPr>
          <w:rFonts w:hint="eastAsia" w:ascii="黑体" w:hAnsi="宋体" w:eastAsia="黑体" w:cs="黑体"/>
          <w:i/>
          <w:color w:val="auto"/>
          <w:sz w:val="32"/>
          <w:szCs w:val="32"/>
        </w:rPr>
        <w:t xml:space="preserve">二、上一年度的财务状况报告</w:t>
      </w:r>
      <w:r/>
    </w:p>
    <w:p>
      <w:pPr>
        <w:ind w:firstLine="480"/>
        <w:jc w:val="left"/>
        <w:tabs>
          <w:tab w:val="left" w:pos="1331" w:leader="none"/>
        </w:tabs>
        <w:rPr>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color w:val="auto"/>
        </w:rPr>
      </w:pPr>
      <w:r>
        <w:rPr>
          <w:rFonts w:hint="eastAsia" w:ascii="黑体" w:hAnsi="宋体" w:eastAsia="黑体" w:cs="黑体"/>
          <w:i/>
          <w:color w:val="auto"/>
          <w:sz w:val="32"/>
          <w:szCs w:val="32"/>
        </w:rPr>
        <w:t xml:space="preserve">三、具备履行合同所必需的设备和专业技术能力的书面声明</w:t>
      </w:r>
      <w:r/>
    </w:p>
    <w:p>
      <w:pPr>
        <w:pStyle w:val="852"/>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852"/>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r>
      <w:r/>
    </w:p>
    <w:p>
      <w:pPr>
        <w:pStyle w:val="852"/>
        <w:jc w:val="both"/>
        <w:spacing w:beforeAutospacing="0" w:afterAutospacing="0"/>
        <w:rPr>
          <w:rFonts w:ascii="宋体" w:hAnsi="宋体" w:eastAsia="宋体" w:cs="宋体"/>
          <w:color w:val="auto"/>
        </w:rPr>
      </w:pPr>
      <w:r>
        <w:rPr>
          <w:rFonts w:ascii="宋体" w:hAnsi="宋体" w:eastAsia="宋体"/>
          <w:bCs/>
          <w:color w:val="auto"/>
          <w:szCs w:val="21"/>
        </w:rPr>
        <w:t xml:space="preserve">                                   </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 xml:space="preserve">   </w:t>
      </w:r>
      <w:r>
        <w:rPr>
          <w:rFonts w:hint="eastAsia" w:ascii="宋体" w:hAnsi="宋体" w:eastAsia="宋体"/>
          <w:bCs/>
          <w:color w:val="auto"/>
          <w:szCs w:val="21"/>
        </w:rPr>
        <w:t xml:space="preserve">日期：</w:t>
      </w:r>
      <w:r>
        <w:rPr>
          <w:rFonts w:ascii="宋体" w:hAnsi="宋体" w:eastAsia="宋体"/>
          <w:bCs/>
          <w:color w:val="auto"/>
          <w:szCs w:val="21"/>
          <w:u w:val="single"/>
        </w:rPr>
        <w:t xml:space="preserve">      </w:t>
      </w:r>
      <w:r>
        <w:rPr>
          <w:rFonts w:hint="eastAsia" w:ascii="宋体" w:hAnsi="宋体" w:eastAsia="宋体"/>
          <w:bCs/>
          <w:color w:val="auto"/>
          <w:szCs w:val="21"/>
        </w:rPr>
        <w:t xml:space="preserve">年</w:t>
      </w:r>
      <w:r>
        <w:rPr>
          <w:rFonts w:ascii="宋体" w:hAnsi="宋体" w:eastAsia="宋体"/>
          <w:bCs/>
          <w:color w:val="auto"/>
          <w:szCs w:val="21"/>
          <w:u w:val="single"/>
        </w:rPr>
        <w:t xml:space="preserve">    </w:t>
      </w:r>
      <w:r>
        <w:rPr>
          <w:rFonts w:hint="eastAsia" w:ascii="宋体" w:hAnsi="宋体" w:eastAsia="宋体"/>
          <w:bCs/>
          <w:color w:val="auto"/>
          <w:szCs w:val="21"/>
        </w:rPr>
        <w:t xml:space="preserve">月</w:t>
      </w:r>
      <w:r>
        <w:rPr>
          <w:rFonts w:ascii="宋体" w:hAnsi="宋体" w:eastAsia="宋体"/>
          <w:bCs/>
          <w:color w:val="auto"/>
          <w:szCs w:val="21"/>
          <w:u w:val="single"/>
        </w:rPr>
        <w:t xml:space="preserve">    </w:t>
      </w:r>
      <w:r>
        <w:rPr>
          <w:rFonts w:hint="eastAsia" w:ascii="宋体" w:hAnsi="宋体" w:eastAsia="宋体"/>
          <w:bCs/>
          <w:color w:val="auto"/>
          <w:szCs w:val="21"/>
        </w:rPr>
        <w:t xml:space="preserve">日</w:t>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color w:val="auto"/>
        </w:rPr>
      </w:pPr>
      <w:r>
        <w:rPr>
          <w:rFonts w:hint="eastAsia" w:ascii="黑体" w:hAnsi="宋体" w:eastAsia="黑体" w:cs="黑体"/>
          <w:i/>
          <w:color w:val="auto"/>
          <w:sz w:val="32"/>
          <w:szCs w:val="32"/>
        </w:rPr>
        <w:t xml:space="preserve">四、依法缴纳税收和社会保障资金的相关材料</w:t>
      </w:r>
      <w:r/>
    </w:p>
    <w:p>
      <w:pPr>
        <w:pStyle w:val="852"/>
        <w:ind w:firstLine="480"/>
        <w:jc w:val="both"/>
        <w:spacing w:beforeAutospacing="0" w:afterAutospacing="0"/>
        <w:rPr>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Times New Roman" w:eastAsia="宋体" w:cs="Times New Roman"/>
          <w:bCs/>
          <w:color w:val="auto"/>
          <w:sz w:val="24"/>
          <w:szCs w:val="21"/>
        </w:rPr>
      </w:pPr>
      <w:r>
        <w:rPr>
          <w:rFonts w:ascii="宋体" w:hAnsi="Times New Roman" w:eastAsia="宋体" w:cs="Times New Roman"/>
          <w:bCs/>
          <w:color w:val="auto"/>
          <w:sz w:val="24"/>
          <w:szCs w:val="21"/>
        </w:rPr>
      </w:r>
      <w:r/>
    </w:p>
    <w:p>
      <w:pPr>
        <w:spacing w:line="500" w:lineRule="exact"/>
        <w:rPr>
          <w:rFonts w:ascii="宋体" w:hAnsi="Times New Roman" w:eastAsia="宋体" w:cs="Times New Roman"/>
          <w:bCs/>
          <w:color w:val="auto"/>
          <w:sz w:val="24"/>
          <w:szCs w:val="21"/>
        </w:rPr>
      </w:pPr>
      <w:r>
        <w:rPr>
          <w:rFonts w:ascii="宋体" w:hAnsi="宋体" w:eastAsia="宋体" w:cs="Times New Roman"/>
          <w:bCs/>
          <w:color w:val="auto"/>
          <w:sz w:val="24"/>
          <w:szCs w:val="21"/>
        </w:rPr>
        <w:t xml:space="preserve">                                   </w:t>
      </w:r>
      <w:r>
        <w:rPr>
          <w:rFonts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bookmarkStart w:id="222" w:name="_GoBack"/>
      <w:r/>
      <w:bookmarkEnd w:id="222"/>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color w:val="auto"/>
        </w:rPr>
      </w:pPr>
      <w:r>
        <w:rPr>
          <w:rFonts w:hint="eastAsia" w:ascii="黑体" w:hAnsi="宋体" w:eastAsia="黑体" w:cs="黑体"/>
          <w:i/>
          <w:color w:val="auto"/>
          <w:sz w:val="32"/>
          <w:szCs w:val="32"/>
        </w:rPr>
        <w:t xml:space="preserve">五、参加政府采购活动前 3 年内在经营活动中没有重大违法记录的书面声明</w:t>
      </w:r>
      <w:r/>
    </w:p>
    <w:p>
      <w:pPr>
        <w:pStyle w:val="852"/>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852"/>
        <w:ind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852"/>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ind w:firstLine="120"/>
        <w:spacing w:line="500" w:lineRule="exact"/>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供应商名称（公章）：</w:t>
      </w:r>
      <w:r/>
    </w:p>
    <w:p>
      <w:pPr>
        <w:ind w:firstLine="4560"/>
        <w:jc w:val="center"/>
        <w:spacing w:line="360" w:lineRule="auto"/>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both"/>
        <w:spacing w:beforeAutospacing="0" w:afterAutospacing="0"/>
        <w:rPr>
          <w:color w:val="auto"/>
        </w:rPr>
      </w:pPr>
      <w:r>
        <w:rPr>
          <w:rFonts w:hint="eastAsia" w:ascii="黑体" w:hAnsi="宋体" w:eastAsia="黑体" w:cs="黑体"/>
          <w:i/>
          <w:color w:val="auto"/>
          <w:sz w:val="32"/>
          <w:szCs w:val="32"/>
        </w:rPr>
        <w:t xml:space="preserve">六、特定资格要求的证明文件</w:t>
      </w:r>
      <w:r/>
    </w:p>
    <w:p>
      <w:pPr>
        <w:pStyle w:val="852"/>
        <w:jc w:val="both"/>
        <w:spacing w:beforeAutospacing="0" w:afterAutospacing="0" w:line="0" w:lineRule="atLeast"/>
        <w:rPr>
          <w:color w:val="auto"/>
        </w:rPr>
      </w:pPr>
      <w:r>
        <w:rPr>
          <w:rFonts w:hint="eastAsia" w:ascii="宋体" w:hAnsi="宋体" w:eastAsia="宋体" w:cs="宋体"/>
          <w:color w:val="auto"/>
        </w:rPr>
        <w:t xml:space="preserve">   如果本项目申请人的特定资格要求中要求提供的，必须提供。</w:t>
      </w:r>
      <w:r/>
    </w:p>
    <w:p>
      <w:pPr>
        <w:pStyle w:val="852"/>
        <w:jc w:val="center"/>
        <w:spacing w:beforeAutospacing="0" w:afterAutospacing="0"/>
        <w:rPr>
          <w:rFonts w:ascii="黑体" w:hAnsi="宋体" w:eastAsia="黑体" w:cs="黑体"/>
          <w:i/>
          <w:color w:val="auto"/>
          <w:sz w:val="32"/>
          <w:szCs w:val="32"/>
          <w:u w:val="single"/>
        </w:rPr>
      </w:pPr>
      <w:r/>
      <w:bookmarkStart w:id="204" w:name="_Toc120614284"/>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52"/>
        <w:jc w:val="center"/>
        <w:spacing w:beforeAutospacing="0" w:afterAutospacing="0"/>
        <w:rPr>
          <w:color w:val="auto"/>
        </w:rPr>
      </w:pPr>
      <w:r>
        <w:rPr>
          <w:rFonts w:hint="eastAsia" w:ascii="黑体" w:hAnsi="宋体" w:eastAsia="黑体" w:cs="黑体"/>
          <w:i/>
          <w:color w:val="auto"/>
          <w:sz w:val="32"/>
          <w:szCs w:val="32"/>
        </w:rPr>
        <w:t xml:space="preserve">七、法人授权书</w:t>
      </w:r>
      <w:r/>
    </w:p>
    <w:p>
      <w:pPr>
        <w:pStyle w:val="852"/>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 xml:space="preserve">号项目采购活动的合法代理人，以本单位名义全权处理一切与该项目采购有关的事务。</w:t>
      </w:r>
      <w:r/>
    </w:p>
    <w:p>
      <w:pPr>
        <w:pStyle w:val="852"/>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本授权书于______年____月____日起生效，特此声明。</w:t>
      </w:r>
      <w:r/>
    </w:p>
    <w:p>
      <w:pPr>
        <w:pStyle w:val="852"/>
        <w:jc w:val="both"/>
        <w:spacing w:beforeAutospacing="0" w:afterAutospacing="0" w:line="360" w:lineRule="auto"/>
        <w:tabs>
          <w:tab w:val="left" w:pos="360" w:leader="none"/>
        </w:tabs>
        <w:rPr>
          <w:color w:val="auto"/>
        </w:rPr>
      </w:pPr>
      <w:r>
        <w:rPr>
          <w:rFonts w:ascii="Times New Roman" w:hAnsi="Times New Roman"/>
          <w:color w:val="auto"/>
        </w:rPr>
        <w:t xml:space="preserve">          被授权人身份证号码：</w:t>
      </w:r>
      <w:r>
        <w:rPr>
          <w:rFonts w:ascii="Times New Roman" w:hAnsi="Times New Roman"/>
          <w:color w:val="auto"/>
          <w:u w:val="single"/>
        </w:rPr>
        <w:t xml:space="preserve">                              </w:t>
      </w:r>
      <w:r/>
    </w:p>
    <w:p>
      <w:pPr>
        <w:pStyle w:val="852"/>
        <w:jc w:val="both"/>
        <w:spacing w:beforeAutospacing="0" w:afterAutospacing="0" w:line="360" w:lineRule="auto"/>
        <w:tabs>
          <w:tab w:val="left" w:pos="360" w:leader="none"/>
        </w:tabs>
        <w:rPr>
          <w:color w:val="auto"/>
        </w:rPr>
      </w:pPr>
      <w:r>
        <w:rPr>
          <w:rFonts w:ascii="Times New Roman" w:hAnsi="Times New Roman"/>
          <w:color w:val="auto"/>
        </w:rPr>
        <w:t xml:space="preserve">          被授权人联系电话：（手机）</w:t>
      </w:r>
      <w:r>
        <w:rPr>
          <w:rFonts w:ascii="Times New Roman" w:hAnsi="Times New Roman"/>
          <w:color w:val="auto"/>
          <w:u w:val="single"/>
        </w:rPr>
        <w:t xml:space="preserve">                          </w:t>
      </w:r>
      <w:r/>
    </w:p>
    <w:p>
      <w:pPr>
        <w:pStyle w:val="852"/>
        <w:ind w:firstLine="1200"/>
        <w:jc w:val="both"/>
        <w:spacing w:beforeAutospacing="0" w:afterAutospacing="0" w:line="360" w:lineRule="auto"/>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852"/>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单位地址：</w:t>
      </w:r>
      <w:r>
        <w:rPr>
          <w:rFonts w:ascii="Times New Roman" w:hAnsi="Times New Roman"/>
          <w:color w:val="auto"/>
          <w:u w:val="single"/>
        </w:rPr>
        <w:t xml:space="preserve">                                         </w:t>
      </w:r>
      <w:r/>
    </w:p>
    <w:p>
      <w:pPr>
        <w:pStyle w:val="852"/>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日期：</w:t>
      </w:r>
      <w:bookmarkStart w:id="205" w:name="_Hlt26671380"/>
      <w:r/>
      <w:bookmarkStart w:id="206" w:name="_格式3__银行出具的资信证明"/>
      <w:r/>
      <w:bookmarkStart w:id="207" w:name="_Hlt26955070"/>
      <w:r>
        <w:rPr>
          <w:rFonts w:ascii="Times New Roman" w:hAnsi="Times New Roman"/>
          <w:color w:val="auto"/>
          <w:u w:val="single"/>
        </w:rPr>
        <w:t xml:space="preserve">                                         </w:t>
      </w:r>
      <w:r/>
    </w:p>
    <w:p>
      <w:pPr>
        <w:pStyle w:val="852"/>
        <w:ind w:firstLine="420"/>
        <w:jc w:val="both"/>
        <w:spacing w:beforeAutospacing="0" w:afterAutospacing="0" w:line="360" w:lineRule="auto"/>
        <w:rPr>
          <w:color w:val="auto"/>
        </w:rPr>
      </w:pPr>
      <w:r>
        <w:rPr>
          <w:color w:val="auto"/>
        </w:rPr>
        <w:t xml:space="preserve"> </w:t>
      </w:r>
      <w:r/>
    </w:p>
    <w:p>
      <w:pPr>
        <w:pStyle w:val="852"/>
        <w:jc w:val="both"/>
        <w:spacing w:beforeAutospacing="0" w:afterAutospacing="0"/>
        <w:rPr>
          <w:color w:val="auto"/>
        </w:rP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1800"/>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1"/>
        </w:rPr>
        <w:t xml:space="preserve">身份证复印件粘贴处（正反面且须与原件一致）：</w:t>
      </w:r>
      <w:r/>
    </w:p>
    <w:p>
      <w:pPr>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pStyle w:val="852"/>
        <w:jc w:val="both"/>
        <w:spacing w:beforeAutospacing="0" w:afterAutospacing="0" w:line="0" w:lineRule="atLeast"/>
        <w:rPr>
          <w:color w:val="auto"/>
        </w:rPr>
      </w:pPr>
      <w:r>
        <w:rPr>
          <w:color w:val="auto"/>
        </w:rPr>
      </w:r>
      <w:r/>
    </w:p>
    <w:p>
      <w:pPr>
        <w:pStyle w:val="852"/>
        <w:ind w:firstLine="3390"/>
        <w:jc w:val="both"/>
        <w:keepLines/>
        <w:keepNext/>
        <w:spacing w:before="260" w:beforeAutospacing="0" w:after="260" w:afterAutospacing="0" w:line="415" w:lineRule="auto"/>
        <w:rPr>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i/>
          <w:color w:val="auto"/>
          <w:sz w:val="32"/>
          <w:szCs w:val="32"/>
        </w:rPr>
        <w:t xml:space="preserve">八、投标函</w:t>
      </w:r>
      <w:r/>
    </w:p>
    <w:p>
      <w:pPr>
        <w:pStyle w:val="852"/>
        <w:spacing w:beforeAutospacing="0" w:afterAutospacing="0" w:line="0" w:lineRule="atLeast"/>
        <w:rPr>
          <w:color w:val="auto"/>
        </w:rPr>
      </w:pPr>
      <w:r>
        <w:rPr>
          <w:rFonts w:hint="eastAsia" w:ascii="宋体" w:hAnsi="宋体" w:eastAsia="宋体" w:cs="宋体"/>
          <w:color w:val="auto"/>
        </w:rPr>
        <w:t xml:space="preserve">致：指北针项目管理（江苏）有限公司</w:t>
      </w:r>
      <w:r/>
    </w:p>
    <w:p>
      <w:pPr>
        <w:pStyle w:val="852"/>
        <w:ind w:firstLine="480"/>
        <w:spacing w:beforeAutospacing="0" w:afterAutospacing="0" w:line="360" w:lineRule="auto"/>
        <w:rPr>
          <w:color w:val="auto"/>
        </w:rPr>
      </w:pPr>
      <w:r>
        <w:rPr>
          <w:rFonts w:hint="eastAsia" w:ascii="宋体" w:hAnsi="宋体" w:eastAsia="宋体" w:cs="宋体"/>
          <w:color w:val="auto"/>
        </w:rPr>
        <w:t xml:space="preserve">根据贵方的</w:t>
      </w:r>
      <w:r>
        <w:rPr>
          <w:rFonts w:hint="eastAsia" w:ascii="宋体" w:hAnsi="宋体" w:eastAsia="宋体" w:cs="宋体"/>
          <w:b/>
          <w:color w:val="auto"/>
          <w:sz w:val="36"/>
          <w:szCs w:val="36"/>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852"/>
        <w:ind w:firstLine="480"/>
        <w:spacing w:beforeAutospacing="0" w:afterAutospacing="0" w:line="360" w:lineRule="auto"/>
        <w:rPr>
          <w:color w:val="auto"/>
        </w:rPr>
      </w:pPr>
      <w:r>
        <w:rPr>
          <w:rFonts w:hint="eastAsia" w:ascii="宋体" w:hAnsi="宋体" w:eastAsia="宋体" w:cs="宋体"/>
          <w:color w:val="auto"/>
        </w:rPr>
        <w:t xml:space="preserve">据此函，__________签字人兹宣布同意如下：</w:t>
      </w:r>
      <w:r/>
    </w:p>
    <w:p>
      <w:pPr>
        <w:pStyle w:val="852"/>
        <w:ind w:firstLine="480"/>
        <w:spacing w:beforeAutospacing="0" w:afterAutospacing="0" w:line="360" w:lineRule="auto"/>
        <w:rPr>
          <w:color w:val="auto"/>
        </w:rPr>
      </w:pPr>
      <w:r>
        <w:rPr>
          <w:rFonts w:hint="eastAsia" w:ascii="宋体" w:hAnsi="宋体" w:eastAsia="宋体" w:cs="宋体"/>
          <w:color w:val="auto"/>
        </w:rPr>
        <w:t xml:space="preserve">1.按招标文件规定的各项要求，向买方提供所需货物（包含与货物相关的服务）。</w:t>
      </w:r>
      <w:r/>
    </w:p>
    <w:p>
      <w:pPr>
        <w:pStyle w:val="852"/>
        <w:ind w:firstLine="480"/>
        <w:spacing w:beforeAutospacing="0" w:afterAutospacing="0" w:line="360" w:lineRule="auto"/>
        <w:rPr>
          <w:color w:val="auto"/>
        </w:rPr>
      </w:pPr>
      <w:r>
        <w:rPr>
          <w:rFonts w:hint="eastAsia" w:ascii="宋体" w:hAnsi="宋体" w:eastAsia="宋体" w:cs="宋体"/>
          <w:color w:val="auto"/>
        </w:rPr>
        <w:t xml:space="preserve">2.我们完全理解贵方不一定将合同授予最低报价的投标人。</w:t>
      </w:r>
      <w:r/>
    </w:p>
    <w:p>
      <w:pPr>
        <w:pStyle w:val="852"/>
        <w:ind w:firstLine="480"/>
        <w:spacing w:beforeAutospacing="0" w:afterAutospacing="0" w:line="360" w:lineRule="auto"/>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852"/>
        <w:ind w:firstLine="480"/>
        <w:spacing w:beforeAutospacing="0" w:afterAutospacing="0" w:line="360" w:lineRule="auto"/>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852"/>
        <w:ind w:firstLine="480"/>
        <w:spacing w:beforeAutospacing="0" w:afterAutospacing="0" w:line="360" w:lineRule="auto"/>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852"/>
        <w:ind w:firstLine="480"/>
        <w:spacing w:beforeAutospacing="0" w:afterAutospacing="0" w:line="360" w:lineRule="auto"/>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852"/>
        <w:ind w:left="425"/>
        <w:spacing w:beforeAutospacing="0" w:afterAutospacing="0" w:line="360" w:lineRule="auto"/>
        <w:rPr>
          <w:color w:val="auto"/>
        </w:rPr>
      </w:pPr>
      <w:r>
        <w:rPr>
          <w:rFonts w:hint="eastAsia" w:ascii="宋体" w:hAnsi="宋体" w:eastAsia="宋体" w:cs="宋体"/>
          <w:color w:val="auto"/>
        </w:rPr>
        <w:t xml:space="preserve">7.与本投标有关的正式通讯地址为：</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地          址：</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邮          编：</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电          话：</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传          真：</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投标人开户行：</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账          号： </w:t>
      </w:r>
      <w:r/>
    </w:p>
    <w:p>
      <w:pPr>
        <w:pStyle w:val="852"/>
        <w:ind w:left="420" w:firstLine="480"/>
        <w:spacing w:beforeAutospacing="0" w:afterAutospacing="0" w:line="360" w:lineRule="auto"/>
        <w:rPr>
          <w:color w:val="auto"/>
        </w:rPr>
      </w:pPr>
      <w:r>
        <w:rPr>
          <w:rFonts w:hint="eastAsia" w:ascii="宋体" w:hAnsi="宋体" w:eastAsia="宋体" w:cs="宋体"/>
          <w:color w:val="auto"/>
        </w:rPr>
        <w:t xml:space="preserve">日           期：________年____月____日</w:t>
      </w:r>
      <w:r/>
    </w:p>
    <w:p>
      <w:pPr>
        <w:pStyle w:val="852"/>
        <w:ind w:firstLine="240"/>
        <w:jc w:val="center"/>
        <w:spacing w:beforeAutospacing="0" w:afterAutospacing="0" w:line="0" w:lineRule="atLeast"/>
        <w:rPr>
          <w:color w:val="auto"/>
        </w:rPr>
      </w:pPr>
      <w:r>
        <w:rPr>
          <w:color w:val="auto"/>
        </w:rPr>
        <w:t xml:space="preserve"> </w:t>
      </w:r>
      <w:r/>
    </w:p>
    <w:p>
      <w:pPr>
        <w:pStyle w:val="852"/>
        <w:ind w:firstLine="240"/>
        <w:jc w:val="center"/>
        <w:spacing w:beforeAutospacing="0" w:afterAutospacing="0" w:line="0" w:lineRule="atLeast"/>
        <w:rPr>
          <w:color w:val="auto"/>
        </w:rPr>
      </w:pPr>
      <w:r>
        <w:rPr>
          <w:color w:val="auto"/>
        </w:rPr>
        <w:t xml:space="preserve"> </w:t>
      </w:r>
      <w:r/>
    </w:p>
    <w:p>
      <w:pPr>
        <w:pStyle w:val="852"/>
        <w:ind w:firstLine="240"/>
        <w:jc w:val="center"/>
        <w:spacing w:beforeAutospacing="0" w:afterAutospacing="0" w:line="0" w:lineRule="atLeast"/>
        <w:rPr>
          <w:color w:val="auto"/>
        </w:rPr>
      </w:pPr>
      <w:r>
        <w:rPr>
          <w:color w:val="auto"/>
        </w:rPr>
        <w:t xml:space="preserve"> </w:t>
      </w:r>
      <w:r/>
    </w:p>
    <w:p>
      <w:pPr>
        <w:pStyle w:val="852"/>
        <w:ind w:firstLine="240"/>
        <w:jc w:val="center"/>
        <w:spacing w:beforeAutospacing="0" w:afterAutospacing="0" w:line="0" w:lineRule="atLeast"/>
        <w:rPr>
          <w:color w:val="auto"/>
        </w:rPr>
      </w:pPr>
      <w:r>
        <w:rPr>
          <w:color w:val="auto"/>
        </w:rPr>
        <w:t xml:space="preserve"> </w:t>
      </w:r>
      <w:r/>
    </w:p>
    <w:p>
      <w:pPr>
        <w:pStyle w:val="852"/>
        <w:ind w:firstLine="240"/>
        <w:jc w:val="center"/>
        <w:spacing w:beforeAutospacing="0" w:afterAutospacing="0" w:line="0" w:lineRule="atLeast"/>
        <w:rPr>
          <w:color w:val="auto"/>
        </w:rPr>
      </w:pPr>
      <w:r>
        <w:rPr>
          <w:color w:val="auto"/>
        </w:rPr>
      </w:r>
      <w:r/>
    </w:p>
    <w:p>
      <w:pPr>
        <w:pStyle w:val="852"/>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九、中小企业声明函（货物）</w:t>
      </w:r>
      <w:r/>
    </w:p>
    <w:p>
      <w:pPr>
        <w:ind w:firstLine="480"/>
        <w:spacing w:line="500" w:lineRule="exact"/>
        <w:rPr>
          <w:color w:val="auto"/>
          <w:sz w:val="24"/>
        </w:rPr>
      </w:pPr>
      <w:r>
        <w:rPr>
          <w:color w:val="auto"/>
          <w:sz w:val="24"/>
        </w:rPr>
      </w:r>
      <w:r/>
    </w:p>
    <w:p>
      <w:pPr>
        <w:ind w:firstLine="480"/>
        <w:spacing w:line="500" w:lineRule="exact"/>
        <w:rPr>
          <w:color w:val="auto"/>
          <w:sz w:val="24"/>
        </w:rPr>
      </w:pPr>
      <w:r>
        <w:rPr>
          <w:rFonts w:hint="eastAsia"/>
          <w:color w:val="auto"/>
          <w:sz w:val="24"/>
        </w:rPr>
        <w:t xml:space="preserve">本公司（联合体）郑重声明，根据《政府采购促进中小企业发展管理办法》(财库〔2020〕46号)的规定，本公司（联合体）参加</w:t>
      </w:r>
      <w:r>
        <w:rPr>
          <w:rFonts w:hint="eastAsia"/>
          <w:color w:val="auto"/>
          <w:sz w:val="24"/>
          <w:u w:val="single"/>
        </w:rPr>
        <w:t xml:space="preserve">（单位名称) </w:t>
      </w:r>
      <w:r>
        <w:rPr>
          <w:rFonts w:hint="eastAsia"/>
          <w:color w:val="auto"/>
          <w:sz w:val="24"/>
        </w:rPr>
        <w:t xml:space="preserve">的</w:t>
      </w:r>
      <w:r>
        <w:rPr>
          <w:rFonts w:hint="eastAsia"/>
          <w:color w:val="auto"/>
          <w:sz w:val="24"/>
          <w:u w:val="single"/>
        </w:rPr>
        <w:t xml:space="preserve">（项目名称）       </w:t>
      </w:r>
      <w:r>
        <w:rPr>
          <w:rFonts w:hint="eastAsia"/>
          <w:color w:val="auto"/>
          <w:sz w:val="24"/>
        </w:rPr>
        <w:t xml:space="preserve">的采购活动，提供的货物全部由符合政策要求的中小企业制造。相关企业（含联合体中的中小企业、签订分包意向协议的中小企业）的具体情况如下：</w:t>
      </w:r>
      <w:r/>
    </w:p>
    <w:p>
      <w:pPr>
        <w:pStyle w:val="852"/>
        <w:ind w:firstLine="360"/>
        <w:jc w:val="both"/>
        <w:spacing w:beforeAutospacing="0" w:afterAutospacing="0" w:line="360" w:lineRule="auto"/>
        <w:rPr>
          <w:color w:val="auto"/>
        </w:rPr>
      </w:pPr>
      <w:r>
        <w:rPr>
          <w:rFonts w:hint="eastAsia"/>
          <w:color w:val="auto"/>
        </w:rPr>
        <w:t xml:space="preserve">1.</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852"/>
        <w:ind w:firstLine="360"/>
        <w:jc w:val="both"/>
        <w:spacing w:beforeAutospacing="0" w:afterAutospacing="0" w:line="360" w:lineRule="auto"/>
        <w:rPr>
          <w:color w:val="auto"/>
        </w:rPr>
      </w:pPr>
      <w:r>
        <w:rPr>
          <w:rFonts w:hint="eastAsia"/>
          <w:color w:val="auto"/>
        </w:rPr>
        <w:t xml:space="preserve">2.</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852"/>
        <w:ind w:firstLine="360"/>
        <w:jc w:val="both"/>
        <w:spacing w:beforeAutospacing="0" w:afterAutospacing="0" w:line="360" w:lineRule="auto"/>
        <w:rPr>
          <w:color w:val="auto"/>
        </w:rPr>
      </w:pPr>
      <w:r>
        <w:rPr>
          <w:rFonts w:hint="eastAsia"/>
          <w:color w:val="auto"/>
        </w:rPr>
        <w:t xml:space="preserve">……</w:t>
      </w:r>
      <w:r/>
    </w:p>
    <w:p>
      <w:pPr>
        <w:pStyle w:val="852"/>
        <w:ind w:firstLine="360"/>
        <w:jc w:val="both"/>
        <w:spacing w:beforeAutospacing="0" w:afterAutospacing="0"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pStyle w:val="852"/>
        <w:ind w:firstLine="360"/>
        <w:jc w:val="both"/>
        <w:spacing w:beforeAutospacing="0" w:afterAutospacing="0" w:line="360" w:lineRule="auto"/>
        <w:rPr>
          <w:color w:val="auto"/>
        </w:rPr>
      </w:pPr>
      <w:r>
        <w:rPr>
          <w:rFonts w:hint="eastAsia"/>
          <w:color w:val="auto"/>
        </w:rPr>
        <w:t xml:space="preserve">本企业对上述声明内容的真实性负责。如有虚假，将依法承担相应责任</w:t>
      </w:r>
      <w:r/>
    </w:p>
    <w:p>
      <w:pPr>
        <w:pStyle w:val="852"/>
        <w:ind w:right="720"/>
        <w:jc w:val="both"/>
        <w:spacing w:beforeAutospacing="0" w:afterAutospacing="0" w:line="360" w:lineRule="auto"/>
        <w:rPr>
          <w:color w:val="auto"/>
        </w:rPr>
      </w:pPr>
      <w:r>
        <w:rPr>
          <w:color w:val="auto"/>
        </w:rPr>
        <w:t xml:space="preserve"> </w:t>
      </w:r>
      <w:r/>
    </w:p>
    <w:p>
      <w:pPr>
        <w:pStyle w:val="852"/>
        <w:ind w:right="180" w:firstLine="360"/>
        <w:jc w:val="right"/>
        <w:spacing w:beforeAutospacing="0" w:afterAutospacing="0" w:line="360" w:lineRule="auto"/>
        <w:rPr>
          <w:color w:val="auto"/>
        </w:rPr>
      </w:pPr>
      <w:r>
        <w:rPr>
          <w:rFonts w:hint="eastAsia"/>
          <w:color w:val="auto"/>
        </w:rPr>
        <w:t xml:space="preserve">企业名称（加盖CA电子公章）：</w:t>
      </w:r>
      <w:r/>
    </w:p>
    <w:p>
      <w:pPr>
        <w:pStyle w:val="852"/>
        <w:ind w:right="480" w:firstLine="5400"/>
        <w:jc w:val="both"/>
        <w:spacing w:beforeAutospacing="0" w:afterAutospacing="0" w:line="360" w:lineRule="auto"/>
        <w:rPr>
          <w:color w:val="auto"/>
        </w:rPr>
      </w:pPr>
      <w:r>
        <w:rPr>
          <w:rFonts w:hint="eastAsia"/>
          <w:color w:val="auto"/>
        </w:rPr>
        <w:t xml:space="preserve">日  期：</w:t>
      </w:r>
      <w:r/>
    </w:p>
    <w:p>
      <w:pPr>
        <w:pStyle w:val="852"/>
        <w:ind w:firstLine="360"/>
        <w:jc w:val="both"/>
        <w:spacing w:beforeAutospacing="0" w:afterAutospacing="0" w:line="360" w:lineRule="auto"/>
        <w:rPr>
          <w:color w:val="auto"/>
        </w:rPr>
      </w:pPr>
      <w:r>
        <w:rPr>
          <w:color w:val="auto"/>
        </w:rPr>
        <w:t xml:space="preserve"> </w:t>
      </w:r>
      <w:r/>
    </w:p>
    <w:p>
      <w:pPr>
        <w:pStyle w:val="852"/>
        <w:ind w:firstLine="480"/>
        <w:jc w:val="both"/>
        <w:spacing w:beforeAutospacing="0" w:afterAutospacing="0" w:line="360" w:lineRule="auto"/>
        <w:rPr>
          <w:color w:val="auto"/>
        </w:rPr>
      </w:pPr>
      <w:r>
        <w:rPr>
          <w:rFonts w:hint="eastAsia"/>
          <w:color w:val="auto"/>
        </w:rPr>
        <w:t xml:space="preserve">备注1：从业人员、营业收入、资产总额填报上一年度数据，无上一年度数据的新成立企业可不填报。</w:t>
      </w:r>
      <w:r/>
    </w:p>
    <w:p>
      <w:pPr>
        <w:pStyle w:val="852"/>
        <w:ind w:firstLine="480"/>
        <w:jc w:val="both"/>
        <w:spacing w:beforeAutospacing="0" w:afterAutospacing="0" w:line="360" w:lineRule="auto"/>
        <w:rPr>
          <w:color w:val="auto"/>
        </w:rPr>
      </w:pPr>
      <w:r>
        <w:rPr>
          <w:rFonts w:hint="eastAsia"/>
          <w:color w:val="auto"/>
        </w:rPr>
        <w:t xml:space="preserve">备注2：供应商如不提供此声明函，价格将不做相应扣除（如项目全面面向中小企业，则资格审查不通过）。</w:t>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line="0" w:lineRule="atLeast"/>
        <w:rPr>
          <w:color w:val="auto"/>
        </w:rPr>
      </w:pPr>
      <w:r>
        <w:rPr>
          <w:rFonts w:hint="eastAsia" w:ascii="黑体" w:hAnsi="宋体" w:eastAsia="黑体" w:cs="黑体"/>
          <w:b/>
          <w:color w:val="auto"/>
          <w:sz w:val="32"/>
          <w:szCs w:val="32"/>
        </w:rPr>
        <w:t xml:space="preserve">十、残疾人福利性单位声明函</w:t>
      </w:r>
      <w:r/>
    </w:p>
    <w:p>
      <w:pPr>
        <w:pStyle w:val="852"/>
        <w:ind w:firstLine="480"/>
        <w:jc w:val="both"/>
        <w:spacing w:beforeAutospacing="0" w:afterAutospacing="0" w:line="360" w:lineRule="auto"/>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项目（分包号：**）采购活动提供本单位制造的货物，或者提供其他残疾人福利性单位制造的货物（不包括使用非残疾人福利性单位注册商标的货物）。</w:t>
      </w:r>
      <w:r/>
    </w:p>
    <w:p>
      <w:pPr>
        <w:pStyle w:val="852"/>
        <w:ind w:firstLine="480"/>
        <w:jc w:val="both"/>
        <w:spacing w:beforeAutospacing="0" w:afterAutospacing="0" w:line="360" w:lineRule="auto"/>
        <w:rPr>
          <w:color w:val="auto"/>
        </w:rPr>
      </w:pPr>
      <w:r>
        <w:rPr>
          <w:rFonts w:hint="eastAsia" w:ascii="宋体" w:hAnsi="宋体" w:eastAsia="宋体" w:cs="宋体"/>
          <w:color w:val="auto"/>
        </w:rPr>
        <w:t xml:space="preserve">本单位对上述声明的真实性负责。如有虚假，将依法承担相应责任。</w:t>
      </w:r>
      <w:r/>
    </w:p>
    <w:p>
      <w:pPr>
        <w:pStyle w:val="852"/>
        <w:ind w:firstLine="480"/>
        <w:jc w:val="both"/>
        <w:spacing w:beforeAutospacing="0" w:afterAutospacing="0" w:line="360" w:lineRule="auto"/>
        <w:rPr>
          <w:color w:val="auto"/>
        </w:rPr>
      </w:pPr>
      <w:r>
        <w:rPr>
          <w:color w:val="auto"/>
        </w:rPr>
        <w:t xml:space="preserve"> </w:t>
      </w:r>
      <w:r/>
    </w:p>
    <w:p>
      <w:pPr>
        <w:pStyle w:val="852"/>
        <w:ind w:firstLine="480"/>
        <w:jc w:val="both"/>
        <w:spacing w:beforeAutospacing="0" w:afterAutospacing="0" w:line="360" w:lineRule="auto"/>
        <w:rPr>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52"/>
        <w:ind w:firstLine="624"/>
        <w:jc w:val="both"/>
        <w:spacing w:beforeAutospacing="0" w:afterAutospacing="0" w:line="360" w:lineRule="auto"/>
        <w:rPr>
          <w:color w:val="auto"/>
        </w:rPr>
      </w:pPr>
      <w:r>
        <w:rPr>
          <w:color w:val="auto"/>
        </w:rPr>
        <w:t xml:space="preserve"> </w:t>
      </w:r>
      <w:r/>
    </w:p>
    <w:p>
      <w:pPr>
        <w:pStyle w:val="852"/>
        <w:ind w:right="368" w:firstLine="624"/>
        <w:jc w:val="center"/>
        <w:spacing w:beforeAutospacing="0" w:afterAutospacing="0" w:line="360" w:lineRule="auto"/>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852"/>
        <w:ind w:right="1560" w:firstLine="480"/>
        <w:jc w:val="center"/>
        <w:spacing w:beforeAutospacing="0" w:afterAutospacing="0" w:line="360" w:lineRule="auto"/>
        <w:tabs>
          <w:tab w:val="left" w:pos="4864" w:leader="none"/>
        </w:tabs>
        <w:rPr>
          <w:color w:val="auto"/>
        </w:rPr>
      </w:pPr>
      <w:r>
        <w:rPr>
          <w:rFonts w:hint="eastAsia" w:ascii="宋体" w:hAnsi="宋体" w:eastAsia="宋体" w:cs="宋体"/>
          <w:color w:val="auto"/>
        </w:rPr>
        <w:t xml:space="preserve">        </w:t>
      </w:r>
      <w:r>
        <w:rPr>
          <w:rFonts w:ascii="宋体" w:hAnsi="宋体" w:eastAsia="宋体" w:cs="宋体"/>
          <w:color w:val="auto"/>
        </w:rPr>
        <w:t xml:space="preserve"> </w:t>
      </w:r>
      <w:r>
        <w:rPr>
          <w:rFonts w:hint="eastAsia" w:ascii="宋体" w:hAnsi="宋体" w:eastAsia="宋体" w:cs="宋体"/>
          <w:color w:val="auto"/>
        </w:rPr>
        <w:t xml:space="preserve">日  期：</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pStyle w:val="852"/>
        <w:jc w:val="center"/>
        <w:spacing w:beforeAutospacing="0" w:afterAutospacing="0" w:line="0" w:lineRule="atLeast"/>
        <w:rPr>
          <w:color w:val="auto"/>
        </w:rPr>
      </w:pPr>
      <w:r>
        <w:rPr>
          <w:color w:val="auto"/>
        </w:rPr>
        <w:t xml:space="preserve"> </w:t>
      </w:r>
      <w:r/>
    </w:p>
    <w:p>
      <w:pPr>
        <w:rPr>
          <w:color w:val="auto"/>
          <w:spacing w:val="27"/>
          <w:sz w:val="39"/>
          <w:szCs w:val="39"/>
        </w:rPr>
      </w:pPr>
      <w:r>
        <w:rPr>
          <w:color w:val="auto"/>
          <w:spacing w:val="27"/>
          <w:sz w:val="39"/>
          <w:szCs w:val="39"/>
        </w:rPr>
        <w:br w:type="page" w:clear="all"/>
      </w:r>
      <w:r/>
    </w:p>
    <w:p>
      <w:pPr>
        <w:jc w:val="center"/>
        <w:rPr>
          <w:rFonts w:ascii="Calibri" w:hAnsi="Calibri" w:eastAsia="宋体" w:cs="Times New Roman"/>
          <w:color w:val="auto"/>
          <w:sz w:val="24"/>
        </w:rPr>
      </w:pPr>
      <w:r>
        <w:rPr>
          <w:rFonts w:hint="eastAsia" w:ascii="黑体" w:hAnsi="黑体" w:eastAsia="黑体" w:cs="黑体"/>
          <w:i/>
          <w:color w:val="auto"/>
          <w:sz w:val="32"/>
          <w:szCs w:val="32"/>
          <w:u w:val="single"/>
        </w:rPr>
        <w:t xml:space="preserve">十一、关于符合本国产品标准的声明函</w:t>
      </w:r>
      <w:r/>
    </w:p>
    <w:p>
      <w:pPr>
        <w:ind w:firstLine="420"/>
        <w:rPr>
          <w:rFonts w:ascii="Calibri" w:hAnsi="Calibri" w:eastAsia="宋体" w:cs="Times New Roman"/>
          <w:color w:val="auto"/>
          <w:sz w:val="24"/>
        </w:rPr>
      </w:pPr>
      <w:r>
        <w:rPr>
          <w:rFonts w:ascii="Arial" w:hAnsi="Arial" w:eastAsia="宋体" w:cs="Arial"/>
          <w:color w:val="auto"/>
          <w:sz w:val="24"/>
        </w:rPr>
        <w:t xml:space="preserve"> </w:t>
      </w:r>
      <w:r/>
    </w:p>
    <w:p>
      <w:pPr>
        <w:ind w:firstLine="420"/>
        <w:spacing w:line="360" w:lineRule="auto"/>
        <w:rPr>
          <w:rFonts w:ascii="Calibri" w:hAnsi="Calibri" w:eastAsia="宋体" w:cs="Times New Roman"/>
          <w:color w:val="auto"/>
          <w:sz w:val="24"/>
        </w:rPr>
      </w:pPr>
      <w:r>
        <w:rPr>
          <w:rFonts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1.</w:t>
      </w:r>
      <w:r>
        <w:rPr>
          <w:rFonts w:ascii="宋体" w:hAnsi="宋体" w:eastAsia="宋体" w:cs="宋体"/>
          <w:color w:val="auto"/>
          <w:sz w:val="24"/>
          <w:u w:val="single"/>
          <w:shd w:val="clear" w:color="auto" w:fill="ffffff"/>
        </w:rPr>
        <w:t xml:space="preserve">（产品名称1）</w:t>
      </w:r>
      <w:r>
        <w:rPr>
          <w:rFonts w:ascii="宋体" w:hAnsi="宋体" w:eastAsia="宋体" w:cs="宋体"/>
          <w:color w:val="auto"/>
          <w:sz w:val="24"/>
          <w:shd w:val="clear" w:color="auto" w:fill="ffffff"/>
          <w:vertAlign w:val="superscript"/>
        </w:rPr>
        <w:t xml:space="preserve">1</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vertAlign w:val="superscript"/>
        </w:rPr>
        <w:t xml:space="preserve">2</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u w:val="single"/>
          <w:shd w:val="clear" w:color="auto" w:fill="ffffff"/>
        </w:rPr>
        <w:t xml:space="preserve">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3</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4</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5</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2.</w:t>
      </w:r>
      <w:r>
        <w:rPr>
          <w:rFonts w:ascii="宋体" w:hAnsi="宋体" w:eastAsia="宋体" w:cs="宋体"/>
          <w:color w:val="auto"/>
          <w:sz w:val="24"/>
          <w:u w:val="single"/>
          <w:shd w:val="clear" w:color="auto" w:fill="ffffff"/>
        </w:rPr>
        <w:t xml:space="preserve">（产品名称2）</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w:t>
      </w:r>
      <w:r/>
    </w:p>
    <w:p>
      <w:pPr>
        <w:ind w:right="480"/>
        <w:jc w:val="left"/>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本公司（单位）对上述声明内容的真实性负责。如有虚假，愿承担相应法律责任。</w:t>
      </w:r>
      <w:r>
        <w:rPr>
          <w:rFonts w:hint="eastAsia" w:ascii="宋体" w:hAnsi="宋体" w:eastAsia="宋体" w:cs="宋体"/>
          <w:color w:val="auto"/>
          <w:sz w:val="24"/>
          <w:shd w:val="clear" w:color="auto" w:fill="ffffff"/>
        </w:rPr>
        <w:t xml:space="preserve"> </w:t>
      </w:r>
      <w:r/>
    </w:p>
    <w:p>
      <w:pPr>
        <w:ind w:right="480"/>
        <w:jc w:val="center"/>
        <w:spacing w:before="30" w:after="30" w:line="360" w:lineRule="auto"/>
        <w:rPr>
          <w:rFonts w:ascii="Calibri" w:hAnsi="Calibri" w:eastAsia="宋体" w:cs="Times New Roman"/>
          <w:color w:val="auto"/>
          <w:sz w:val="24"/>
        </w:rPr>
      </w:pP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 </w:t>
      </w: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公司（单位）名称（盖章）：</w:t>
      </w:r>
      <w:r/>
    </w:p>
    <w:p>
      <w:pPr>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                    日期：　   年　  月　  日</w:t>
      </w:r>
      <w:r/>
    </w:p>
    <w:p>
      <w:pPr>
        <w:spacing w:before="30" w:after="30" w:line="360" w:lineRule="auto"/>
        <w:rPr>
          <w:rFonts w:ascii="Calibri" w:hAnsi="Calibri" w:eastAsia="宋体" w:cs="Times New Roman"/>
          <w:color w:val="auto"/>
          <w:sz w:val="24"/>
        </w:rPr>
      </w:pPr>
      <w:r>
        <w:rPr>
          <w:rFonts w:ascii="Calibri" w:hAnsi="Calibri" w:eastAsia="宋体" w:cs="Times New Roman"/>
          <w:color w:val="auto"/>
          <w:sz w:val="24"/>
        </w:rPr>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1.产品如有型号，请在“产品名称”栏一并填写。</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2.生产厂名与厂址应与生产厂营业执照载明的相关信息保持一致。</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3.该产品的中国境内生产的组件成本占比相关要求实施前，“规定比例”栏可不填，下同。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4.该产品的关键组件要求实施前，“关键组件”栏可不填，下同。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5.该产品的关键工序要求实施前，“关键工序”栏可不填，下同。</w:t>
      </w:r>
      <w:r/>
    </w:p>
    <w:p>
      <w:pPr>
        <w:spacing w:before="30" w:after="30" w:line="276" w:lineRule="auto"/>
        <w:rPr>
          <w:rFonts w:ascii="宋体" w:hAnsi="宋体" w:eastAsia="宋体" w:cs="宋体"/>
          <w:b/>
          <w:bCs/>
          <w:color w:val="auto"/>
          <w:sz w:val="24"/>
          <w:shd w:val="clear" w:color="auto" w:fill="ffffff"/>
        </w:rPr>
      </w:pPr>
      <w:r>
        <w:rPr>
          <w:rFonts w:ascii="宋体" w:hAnsi="宋体" w:eastAsia="宋体" w:cs="宋体"/>
          <w:b/>
          <w:bCs/>
          <w:color w:val="auto"/>
          <w:sz w:val="24"/>
          <w:shd w:val="clear" w:color="auto" w:fill="ffffff"/>
        </w:rPr>
        <w:t xml:space="preserve">6.用</w:t>
      </w:r>
      <w:r>
        <w:rPr>
          <w:rFonts w:hint="eastAsia" w:ascii="宋体" w:hAnsi="宋体" w:eastAsia="宋体" w:cs="宋体"/>
          <w:b/>
          <w:bCs/>
          <w:color w:val="auto"/>
          <w:sz w:val="24"/>
          <w:shd w:val="clear" w:color="auto" w:fill="ffffff"/>
        </w:rPr>
        <w:t xml:space="preserve">横</w:t>
      </w:r>
      <w:r>
        <w:rPr>
          <w:rFonts w:ascii="宋体" w:hAnsi="宋体" w:eastAsia="宋体" w:cs="宋体"/>
          <w:b/>
          <w:bCs/>
          <w:color w:val="auto"/>
          <w:sz w:val="24"/>
          <w:shd w:val="clear" w:color="auto" w:fill="ffffff"/>
        </w:rPr>
        <w:t xml:space="preserve">线划除的地方无需填写。</w:t>
      </w:r>
      <w:r/>
    </w:p>
    <w:p>
      <w:pPr>
        <w:spacing w:line="276" w:lineRule="auto"/>
        <w:rPr>
          <w:rFonts w:ascii="Calibri" w:hAnsi="Calibri" w:eastAsia="宋体" w:cs="Times New Roman"/>
          <w:b/>
          <w:bCs/>
          <w:color w:val="auto"/>
        </w:rPr>
      </w:pPr>
      <w:r>
        <w:rPr>
          <w:rFonts w:hint="eastAsia" w:ascii="宋体" w:hAnsi="宋体" w:eastAsia="宋体" w:cs="宋体"/>
          <w:b/>
          <w:bCs/>
          <w:color w:val="auto"/>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52"/>
        <w:jc w:val="center"/>
        <w:spacing w:beforeAutospacing="0" w:afterAutospacing="0"/>
        <w:rPr>
          <w:rFonts w:ascii="黑体" w:hAnsi="宋体" w:eastAsia="黑体" w:cs="黑体"/>
          <w:b/>
          <w:color w:val="auto"/>
          <w:sz w:val="32"/>
          <w:szCs w:val="32"/>
        </w:rPr>
      </w:pPr>
      <w:r>
        <w:rPr>
          <w:rFonts w:ascii="黑体" w:hAnsi="宋体" w:eastAsia="黑体" w:cs="黑体"/>
          <w:b/>
          <w:color w:val="auto"/>
          <w:sz w:val="32"/>
          <w:szCs w:val="32"/>
        </w:rPr>
      </w:r>
      <w:r/>
    </w:p>
    <w:p>
      <w:pPr>
        <w:pStyle w:val="852"/>
        <w:jc w:val="center"/>
        <w:spacing w:beforeAutospacing="0" w:afterAutospacing="0"/>
        <w:rPr>
          <w:color w:val="auto"/>
        </w:rPr>
      </w:pPr>
      <w:r>
        <w:rPr>
          <w:rFonts w:hint="eastAsia" w:ascii="黑体" w:hAnsi="宋体" w:eastAsia="黑体" w:cs="黑体"/>
          <w:b/>
          <w:color w:val="auto"/>
          <w:sz w:val="32"/>
          <w:szCs w:val="32"/>
        </w:rPr>
        <w:t xml:space="preserve">十二、投标分项报价表（按照项目需求的清单提供报价明细）</w:t>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spacing w:line="500" w:lineRule="exact"/>
        <w:rPr>
          <w:rFonts w:ascii="宋体" w:hAnsi="宋体" w:eastAsia="宋体" w:cs="Times New Roman"/>
          <w:color w:val="auto"/>
          <w:sz w:val="24"/>
        </w:rPr>
      </w:pPr>
      <w:r>
        <w:rPr>
          <w:rFonts w:hint="eastAsia" w:ascii="宋体" w:hAnsi="宋体" w:eastAsia="宋体" w:cs="Times New Roman"/>
          <w:color w:val="auto"/>
          <w:sz w:val="24"/>
        </w:rPr>
        <w:t xml:space="preserve">项目名称：江苏省盐城技师学院数字媒体、人工智能产业学院建设项目</w:t>
      </w:r>
      <w:r/>
    </w:p>
    <w:p>
      <w:pPr>
        <w:spacing w:line="500" w:lineRule="exact"/>
        <w:rPr>
          <w:rFonts w:ascii="Times New Roman" w:hAnsi="Times New Roman" w:eastAsia="黑体" w:cs="Times New Roman"/>
          <w:color w:val="auto"/>
          <w:sz w:val="32"/>
          <w:szCs w:val="32"/>
        </w:rPr>
      </w:pPr>
      <w:r>
        <w:rPr>
          <w:rFonts w:hint="eastAsia" w:ascii="宋体" w:hAnsi="宋体" w:eastAsia="宋体" w:cs="Times New Roman"/>
          <w:color w:val="auto"/>
          <w:sz w:val="24"/>
        </w:rPr>
        <w:t xml:space="preserve">项目编号： </w:t>
      </w:r>
      <w:r/>
    </w:p>
    <w:tbl>
      <w:tblPr>
        <w:tblStyle w:val="840"/>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282"/>
        <w:gridCol w:w="1417"/>
        <w:gridCol w:w="1276"/>
        <w:gridCol w:w="1276"/>
        <w:gridCol w:w="1491"/>
        <w:gridCol w:w="993"/>
      </w:tblGrid>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序号</w:t>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品目名称</w:t>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技术参数</w:t>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数量</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单价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合计价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491"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品牌及型号</w:t>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备注</w:t>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gridSpan w:val="3"/>
            <w:tcW w:w="3391"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总报价</w:t>
            </w:r>
            <w:r/>
          </w:p>
        </w:tc>
        <w:tc>
          <w:tcPr>
            <w:gridSpan w:val="5"/>
            <w:tcW w:w="6453" w:type="dxa"/>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人民币（大写）： 圆整</w:t>
            </w:r>
            <w:r/>
          </w:p>
          <w:p>
            <w:pPr>
              <w:spacing w:line="560" w:lineRule="exact"/>
              <w:rPr>
                <w:rFonts w:ascii="宋体" w:hAnsi="宋体" w:eastAsia="宋体" w:cs="Times New Roman"/>
                <w:color w:val="auto"/>
                <w:sz w:val="24"/>
                <w:u w:val="single"/>
              </w:rPr>
            </w:pPr>
            <w:r>
              <w:rPr>
                <w:rFonts w:hint="eastAsia" w:ascii="宋体" w:hAnsi="宋体" w:eastAsia="宋体" w:cs="Times New Roman"/>
                <w:color w:val="auto"/>
                <w:sz w:val="24"/>
              </w:rPr>
              <w:t xml:space="preserve">￥：</w:t>
            </w:r>
            <w:r/>
          </w:p>
        </w:tc>
      </w:tr>
      <w:tr>
        <w:trPr>
          <w:cantSplit/>
          <w:jc w:val="center"/>
          <w:trHeight w:val="500"/>
        </w:trPr>
        <w:tc>
          <w:tcPr>
            <w:gridSpan w:val="8"/>
            <w:tcW w:w="9844"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宋体"/>
                <w:color w:val="auto"/>
                <w:sz w:val="24"/>
              </w:rPr>
              <w:t xml:space="preserve">本采购包中提供的符合本国产品标准的产品成本之和占该采购包提供的全部产品成本之和的比例为</w:t>
            </w:r>
            <w:r>
              <w:rPr>
                <w:rFonts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bl>
    <w:p>
      <w:pPr>
        <w:pStyle w:val="852"/>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备注：</w:t>
      </w:r>
      <w:r/>
    </w:p>
    <w:p>
      <w:pPr>
        <w:pStyle w:val="852"/>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pStyle w:val="852"/>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2.“投标分项报价表”中“投标总报价”数额应当与“开标一览表”中“投标总报价”数额一致。</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rFonts w:ascii="宋体" w:hAnsi="宋体" w:eastAsia="宋体" w:cs="宋体"/>
          <w:color w:val="auto"/>
        </w:rPr>
      </w:pPr>
      <w:r>
        <w:rPr>
          <w:rFonts w:ascii="宋体" w:hAnsi="宋体" w:eastAsia="宋体" w:cs="宋体"/>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center"/>
        <w:spacing w:beforeAutospacing="0" w:afterAutospacing="0"/>
        <w:rPr>
          <w:color w:val="auto"/>
        </w:rPr>
      </w:pPr>
      <w:r>
        <w:rPr>
          <w:color w:val="auto"/>
        </w:rPr>
        <w:t xml:space="preserve"> </w:t>
      </w:r>
      <w:r>
        <w:rPr>
          <w:rFonts w:hint="eastAsia" w:ascii="黑体" w:hAnsi="宋体" w:eastAsia="黑体" w:cs="黑体"/>
          <w:b/>
          <w:color w:val="auto"/>
          <w:sz w:val="32"/>
          <w:szCs w:val="32"/>
        </w:rPr>
        <w:t xml:space="preserve">十三、技术要求响应及偏离表</w:t>
      </w:r>
      <w:r/>
    </w:p>
    <w:tbl>
      <w:tblPr>
        <w:tblStyle w:val="840"/>
        <w:tblW w:w="853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1"/>
        <w:gridCol w:w="2611"/>
        <w:gridCol w:w="1248"/>
        <w:gridCol w:w="1102"/>
      </w:tblGrid>
      <w:tr>
        <w:trPr>
          <w:tblCellSpacing w:w="0" w:type="dxa"/>
          <w:trHeight w:val="75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证明</w:t>
            </w:r>
            <w:r/>
          </w:p>
          <w:p>
            <w:pPr>
              <w:pStyle w:val="852"/>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8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1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bl>
    <w:p>
      <w:pPr>
        <w:pStyle w:val="852"/>
        <w:jc w:val="both"/>
        <w:spacing w:beforeAutospacing="0" w:afterAutospacing="0"/>
        <w:rPr>
          <w:color w:val="auto"/>
        </w:rPr>
      </w:pPr>
      <w:r>
        <w:rPr>
          <w:rFonts w:hint="eastAsia" w:ascii="宋体" w:hAnsi="宋体" w:eastAsia="宋体" w:cs="宋体"/>
          <w:color w:val="auto"/>
        </w:rPr>
        <w:t xml:space="preserve">注： 行数不够，可自行添加。</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both"/>
        <w:spacing w:beforeAutospacing="0" w:afterAutospacing="0"/>
        <w:rPr>
          <w:color w:val="auto"/>
        </w:rPr>
      </w:pPr>
      <w:r>
        <w:rPr>
          <w:color w:val="auto"/>
        </w:rPr>
      </w:r>
      <w:r/>
    </w:p>
    <w:p>
      <w:pPr>
        <w:pStyle w:val="852"/>
        <w:jc w:val="center"/>
        <w:spacing w:beforeAutospacing="0" w:afterAutospacing="0"/>
        <w:rPr>
          <w:color w:val="auto"/>
        </w:rPr>
      </w:pPr>
      <w:r/>
      <w:bookmarkStart w:id="208" w:name="_Hlt26955054"/>
      <w:r>
        <w:rPr>
          <w:rFonts w:hint="eastAsia" w:ascii="黑体" w:hAnsi="宋体" w:eastAsia="黑体" w:cs="黑体"/>
          <w:b/>
          <w:color w:val="auto"/>
          <w:sz w:val="32"/>
          <w:szCs w:val="32"/>
        </w:rPr>
        <w:t xml:space="preserve">十四、商务要求响应及偏离表</w:t>
      </w:r>
      <w:r/>
    </w:p>
    <w:tbl>
      <w:tblPr>
        <w:tblStyle w:val="840"/>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852"/>
              <w:jc w:val="center"/>
              <w:spacing w:beforeAutospacing="0" w:afterAutospacing="0"/>
              <w:rPr>
                <w:color w:val="auto"/>
              </w:rPr>
            </w:pPr>
            <w:r/>
            <w:bookmarkStart w:id="209" w:name="_Hlt26955064"/>
            <w:r/>
            <w:bookmarkStart w:id="210" w:name="_Hlt26955056"/>
            <w:r/>
            <w:bookmarkStart w:id="211" w:name="_Hlt26580838"/>
            <w:r/>
            <w:bookmarkStart w:id="212" w:name="_Hlt26609391"/>
            <w:r/>
            <w:bookmarkStart w:id="213" w:name="_Hlt26782999"/>
            <w:r/>
            <w:bookmarkStart w:id="214" w:name="_Hlt26671372"/>
            <w:r/>
            <w:bookmarkStart w:id="215" w:name="_Hlt24879081"/>
            <w:r/>
            <w:bookmarkStart w:id="216" w:name="_Hlt26671343"/>
            <w:r>
              <w:rPr>
                <w:rFonts w:hint="eastAsia" w:ascii="宋体" w:hAnsi="宋体" w:eastAsia="宋体" w:cs="宋体"/>
                <w:color w:val="auto"/>
              </w:rPr>
              <w:t xml:space="preserve">序号</w:t>
            </w:r>
            <w:bookmarkEnd w:id="209"/>
            <w:r/>
            <w:bookmarkEnd w:id="210"/>
            <w:r/>
            <w:bookmarkEnd w:id="211"/>
            <w:r/>
            <w:bookmarkEnd w:id="212"/>
            <w:r/>
            <w:bookmarkEnd w:id="213"/>
            <w:r/>
            <w:bookmarkEnd w:id="214"/>
            <w:r/>
            <w:bookmarkEnd w:id="215"/>
            <w:r/>
            <w:bookmarkEnd w:id="216"/>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证明</w:t>
            </w:r>
            <w:r/>
          </w:p>
          <w:p>
            <w:pPr>
              <w:pStyle w:val="852"/>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852"/>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08"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852"/>
              <w:jc w:val="center"/>
              <w:spacing w:beforeAutospacing="0" w:afterAutospacing="0"/>
              <w:rPr>
                <w:color w:val="auto"/>
              </w:rPr>
            </w:pPr>
            <w:r>
              <w:rPr>
                <w:rFonts w:hint="eastAsia"/>
                <w:color w:val="auto"/>
              </w:rPr>
              <w:t xml:space="preserve"> </w:t>
            </w:r>
            <w:r/>
          </w:p>
        </w:tc>
      </w:tr>
    </w:tbl>
    <w:p>
      <w:pPr>
        <w:pStyle w:val="852"/>
        <w:jc w:val="both"/>
        <w:spacing w:beforeAutospacing="0" w:afterAutospacing="0"/>
        <w:rPr>
          <w:color w:val="auto"/>
        </w:rPr>
      </w:pPr>
      <w:r>
        <w:rPr>
          <w:rFonts w:hint="eastAsia" w:ascii="宋体" w:hAnsi="宋体" w:eastAsia="宋体" w:cs="宋体"/>
          <w:color w:val="auto"/>
        </w:rPr>
        <w:t xml:space="preserve">注： 行数不够，可自行添加。</w:t>
      </w:r>
      <w:r/>
    </w:p>
    <w:p>
      <w:pPr>
        <w:pStyle w:val="852"/>
        <w:jc w:val="both"/>
        <w:spacing w:beforeAutospacing="0" w:afterAutospacing="0" w:line="480" w:lineRule="auto"/>
        <w:rPr>
          <w:color w:val="auto"/>
        </w:rPr>
      </w:pPr>
      <w:r>
        <w:rPr>
          <w:color w:val="auto"/>
        </w:rPr>
        <w:t xml:space="preserve"> </w:t>
      </w:r>
      <w:r/>
    </w:p>
    <w:p>
      <w:pPr>
        <w:pStyle w:val="852"/>
        <w:jc w:val="both"/>
        <w:spacing w:beforeAutospacing="0" w:afterAutospacing="0" w:line="480" w:lineRule="auto"/>
        <w:rPr>
          <w:color w:val="auto"/>
        </w:rPr>
      </w:pPr>
      <w:r>
        <w:rPr>
          <w:color w:val="auto"/>
        </w:rPr>
        <w:t xml:space="preserve"> </w:t>
      </w:r>
      <w:r/>
    </w:p>
    <w:p>
      <w:pPr>
        <w:pStyle w:val="852"/>
        <w:jc w:val="center"/>
        <w:spacing w:beforeAutospacing="0" w:afterAutospacing="0"/>
        <w:rPr>
          <w:color w:val="auto"/>
        </w:rPr>
      </w:pPr>
      <w:r/>
      <w:bookmarkStart w:id="217" w:name="_Hlt26609389"/>
      <w:r/>
      <w:bookmarkStart w:id="218" w:name="_格式2__法定代表人授权书"/>
      <w:r/>
      <w:bookmarkStart w:id="219" w:name="_Hlt26671374"/>
      <w:r/>
      <w:bookmarkStart w:id="220" w:name="_Hlt26955066"/>
      <w:r/>
      <w:bookmarkStart w:id="221" w:name="_Toc462564146"/>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color w:val="auto"/>
        </w:rPr>
        <w:t xml:space="preserve"> </w:t>
      </w:r>
      <w:r/>
    </w:p>
    <w:p>
      <w:pPr>
        <w:pStyle w:val="852"/>
        <w:jc w:val="center"/>
        <w:spacing w:beforeAutospacing="0" w:afterAutospacing="0"/>
        <w:rPr>
          <w:color w:val="auto"/>
        </w:rPr>
      </w:pPr>
      <w:r>
        <w:rPr>
          <w:rFonts w:hint="eastAsia" w:ascii="黑体" w:hAnsi="宋体" w:eastAsia="黑体" w:cs="黑体"/>
          <w:b/>
          <w:i/>
          <w:color w:val="auto"/>
          <w:sz w:val="32"/>
          <w:szCs w:val="32"/>
          <w:u w:val="single"/>
        </w:rPr>
        <w:t xml:space="preserve">十五、开标一览表</w:t>
      </w:r>
      <w:r/>
    </w:p>
    <w:p>
      <w:pPr>
        <w:pStyle w:val="852"/>
        <w:ind w:firstLine="480"/>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852"/>
        <w:ind w:firstLine="480"/>
        <w:jc w:val="both"/>
        <w:spacing w:beforeAutospacing="0" w:afterAutospacing="0"/>
        <w:rPr>
          <w:color w:val="auto"/>
        </w:rPr>
      </w:pPr>
      <w:r>
        <w:rPr>
          <w:rFonts w:hint="eastAsia" w:ascii="宋体" w:hAnsi="宋体" w:eastAsia="宋体" w:cs="宋体"/>
          <w:color w:val="auto"/>
        </w:rPr>
        <w:t xml:space="preserve">项目名称：</w:t>
      </w:r>
      <w:r/>
    </w:p>
    <w:p>
      <w:pPr>
        <w:pStyle w:val="852"/>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项目编号：  </w:t>
      </w:r>
      <w:r/>
    </w:p>
    <w:p>
      <w:pPr>
        <w:pStyle w:val="852"/>
        <w:ind w:firstLine="480"/>
        <w:jc w:val="both"/>
        <w:spacing w:beforeAutospacing="0" w:afterAutospacing="0"/>
        <w:rPr>
          <w:color w:val="auto"/>
        </w:rPr>
      </w:pPr>
      <w:r>
        <w:rPr>
          <w:rFonts w:hint="eastAsia" w:hAnsi="宋体" w:eastAsia="宋体" w:cs="宋体"/>
          <w:color w:val="auto"/>
        </w:rPr>
        <w:t xml:space="preserve">分包号：/</w:t>
      </w:r>
      <w:r/>
    </w:p>
    <w:p>
      <w:pPr>
        <w:pStyle w:val="852"/>
        <w:ind w:firstLine="480"/>
        <w:jc w:val="both"/>
        <w:spacing w:beforeAutospacing="0" w:afterAutospacing="0"/>
        <w:rPr>
          <w:rFonts w:ascii="宋体" w:hAnsi="宋体" w:eastAsia="宋体" w:cs="宋体"/>
          <w:color w:val="auto"/>
        </w:rPr>
      </w:pPr>
      <w:r>
        <w:rPr>
          <w:rFonts w:ascii="宋体" w:hAnsi="宋体" w:eastAsia="宋体" w:cs="宋体"/>
          <w:color w:val="auto"/>
        </w:rPr>
      </w:r>
      <w:r/>
    </w:p>
    <w:tbl>
      <w:tblPr>
        <w:tblStyle w:val="840"/>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5954"/>
      </w:tblGrid>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852"/>
              <w:ind w:firstLine="480"/>
              <w:jc w:val="both"/>
              <w:spacing w:beforeAutospacing="0" w:afterAutospacing="0"/>
              <w:rPr>
                <w:color w:val="auto"/>
              </w:rPr>
            </w:pPr>
            <w:r>
              <w:rPr>
                <w:color w:val="auto"/>
              </w:rPr>
              <w:t xml:space="preserve">投标货物名称</w:t>
            </w:r>
            <w:r/>
          </w:p>
        </w:tc>
        <w:tc>
          <w:tcPr>
            <w:shd w:val="clear" w:color="auto" w:fill="auto"/>
            <w:tcBorders>
              <w:left w:val="single" w:color="auto" w:sz="4" w:space="0"/>
            </w:tcBorders>
            <w:tcW w:w="5954" w:type="dxa"/>
            <w:vAlign w:val="center"/>
            <w:textDirection w:val="lrTb"/>
            <w:noWrap w:val="false"/>
          </w:tcPr>
          <w:p>
            <w:pPr>
              <w:pStyle w:val="852"/>
              <w:ind w:firstLine="480"/>
              <w:jc w:val="both"/>
              <w:spacing w:beforeAutospacing="0" w:afterAutospacing="0"/>
              <w:rPr>
                <w:color w:val="auto"/>
              </w:rPr>
            </w:pPr>
            <w:r>
              <w:rPr>
                <w:color w:val="auto"/>
              </w:rPr>
              <w:t xml:space="preserve">总价（小写）</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852"/>
              <w:ind w:firstLine="480"/>
              <w:jc w:val="both"/>
              <w:spacing w:beforeAutospacing="0" w:afterAutospacing="0"/>
              <w:rPr>
                <w:color w:val="auto"/>
              </w:rPr>
            </w:pPr>
            <w:r>
              <w:rPr>
                <w:color w:val="auto"/>
              </w:rPr>
              <w:t xml:space="preserve">投标产品名称</w:t>
            </w:r>
            <w:r/>
          </w:p>
        </w:tc>
        <w:tc>
          <w:tcPr>
            <w:shd w:val="clear" w:color="auto" w:fill="auto"/>
            <w:tcBorders>
              <w:left w:val="single" w:color="auto" w:sz="4" w:space="0"/>
            </w:tcBorders>
            <w:tcW w:w="5954" w:type="dxa"/>
            <w:vAlign w:val="center"/>
            <w:textDirection w:val="lrTb"/>
            <w:noWrap w:val="false"/>
          </w:tcPr>
          <w:p>
            <w:pPr>
              <w:pStyle w:val="852"/>
              <w:ind w:firstLine="480"/>
              <w:jc w:val="both"/>
              <w:spacing w:beforeAutospacing="0" w:afterAutospacing="0"/>
              <w:rPr>
                <w:color w:val="auto"/>
              </w:rPr>
            </w:pPr>
            <w:r>
              <w:rPr>
                <w:rFonts w:hint="eastAsia"/>
                <w:color w:val="auto"/>
              </w:rPr>
              <w:t xml:space="preserve">元</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852"/>
              <w:ind w:firstLine="480"/>
              <w:jc w:val="both"/>
              <w:spacing w:beforeAutospacing="0" w:afterAutospacing="0"/>
              <w:rPr>
                <w:color w:val="auto"/>
              </w:rPr>
            </w:pPr>
            <w:r>
              <w:rPr>
                <w:rFonts w:hint="eastAsia"/>
                <w:color w:val="auto"/>
              </w:rPr>
              <w:t xml:space="preserve">核心产品品牌</w:t>
            </w:r>
            <w:r/>
          </w:p>
        </w:tc>
        <w:tc>
          <w:tcPr>
            <w:shd w:val="clear" w:color="auto" w:fill="auto"/>
            <w:tcBorders>
              <w:left w:val="single" w:color="auto" w:sz="4" w:space="0"/>
            </w:tcBorders>
            <w:tcW w:w="5954" w:type="dxa"/>
            <w:vAlign w:val="center"/>
            <w:textDirection w:val="lrTb"/>
            <w:noWrap w:val="false"/>
          </w:tcPr>
          <w:p>
            <w:pPr>
              <w:pStyle w:val="852"/>
              <w:ind w:firstLine="480"/>
              <w:jc w:val="both"/>
              <w:spacing w:beforeAutospacing="0" w:afterAutospacing="0"/>
              <w:rPr>
                <w:color w:val="auto"/>
              </w:rPr>
            </w:pPr>
            <w:r>
              <w:rPr>
                <w:color w:val="auto"/>
              </w:rPr>
            </w:r>
            <w:r/>
          </w:p>
        </w:tc>
      </w:tr>
    </w:tbl>
    <w:p>
      <w:pPr>
        <w:pStyle w:val="852"/>
        <w:ind w:firstLine="480"/>
        <w:jc w:val="both"/>
        <w:spacing w:beforeAutospacing="0" w:afterAutospacing="0"/>
        <w:rPr>
          <w:color w:val="auto"/>
        </w:rPr>
      </w:pPr>
      <w:r>
        <w:rPr>
          <w:color w:val="auto"/>
        </w:rPr>
        <w:t xml:space="preserve"> </w:t>
      </w:r>
      <w:r/>
    </w:p>
    <w:p>
      <w:pPr>
        <w:pStyle w:val="852"/>
        <w:ind w:firstLine="480"/>
        <w:jc w:val="both"/>
        <w:spacing w:beforeAutospacing="0" w:afterAutospacing="0"/>
        <w:rPr>
          <w:color w:val="auto"/>
        </w:rPr>
      </w:pPr>
      <w:r>
        <w:rPr>
          <w:rFonts w:hint="eastAsia"/>
          <w:color w:val="auto"/>
        </w:rPr>
        <w:t xml:space="preserve">                                              日期：       年   月   日</w:t>
      </w:r>
      <w:r/>
    </w:p>
    <w:p>
      <w:pPr>
        <w:pStyle w:val="852"/>
        <w:ind w:firstLine="480"/>
        <w:jc w:val="both"/>
        <w:spacing w:beforeAutospacing="0" w:afterAutospacing="0"/>
        <w:rPr>
          <w:color w:val="auto"/>
        </w:rPr>
      </w:pPr>
      <w:r>
        <w:rPr>
          <w:color w:val="auto"/>
        </w:rPr>
        <w:t xml:space="preserve"> </w:t>
      </w:r>
      <w:r/>
    </w:p>
    <w:p>
      <w:pPr>
        <w:pStyle w:val="852"/>
        <w:ind w:firstLine="480"/>
        <w:jc w:val="both"/>
        <w:spacing w:beforeAutospacing="0" w:afterAutospacing="0"/>
        <w:rPr>
          <w:color w:val="auto"/>
        </w:rPr>
      </w:pPr>
      <w:r>
        <w:rPr>
          <w:color w:val="auto"/>
        </w:rPr>
        <w:t xml:space="preserve"> </w:t>
      </w:r>
      <w:r/>
    </w:p>
    <w:p>
      <w:pPr>
        <w:pStyle w:val="852"/>
        <w:ind w:firstLine="480"/>
        <w:jc w:val="both"/>
        <w:spacing w:beforeAutospacing="0" w:afterAutospacing="0"/>
        <w:rPr>
          <w:color w:val="auto"/>
        </w:rPr>
      </w:pPr>
      <w:r>
        <w:rPr>
          <w:color w:val="auto"/>
        </w:rPr>
        <w:t xml:space="preserve"> </w:t>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r>
      <w:r/>
    </w:p>
    <w:p>
      <w:pPr>
        <w:pStyle w:val="852"/>
        <w:ind w:firstLine="480"/>
        <w:jc w:val="both"/>
        <w:spacing w:beforeAutospacing="0" w:afterAutospacing="0"/>
        <w:rPr>
          <w:color w:val="auto"/>
        </w:rPr>
      </w:pPr>
      <w:r>
        <w:rPr>
          <w:color w:val="auto"/>
        </w:rPr>
        <w:t xml:space="preserve"> </w:t>
      </w:r>
      <w:r/>
    </w:p>
    <w:p>
      <w:pPr>
        <w:pStyle w:val="852"/>
        <w:ind w:firstLine="480"/>
        <w:jc w:val="both"/>
        <w:spacing w:beforeAutospacing="0" w:afterAutospacing="0"/>
        <w:rPr>
          <w:color w:val="auto"/>
        </w:rPr>
      </w:pPr>
      <w:r>
        <w:rPr>
          <w:color w:val="auto"/>
        </w:rPr>
        <w:t xml:space="preserve"> </w:t>
      </w:r>
      <w:r/>
    </w:p>
    <w:p>
      <w:pPr>
        <w:pStyle w:val="852"/>
        <w:jc w:val="both"/>
        <w:spacing w:beforeAutospacing="0" w:afterAutospacing="0"/>
        <w:rPr>
          <w:color w:val="auto"/>
        </w:rPr>
      </w:pPr>
      <w:r>
        <w:rPr>
          <w:color w:val="auto"/>
        </w:rPr>
        <w:t xml:space="preserve"> </w:t>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center"/>
        <w:spacing w:before="50" w:after="50"/>
        <w:widowControl/>
        <w:rPr>
          <w:rFonts w:ascii="宋体" w:hAnsi="宋体" w:eastAsia="宋体" w:cs="宋体"/>
          <w:color w:val="auto"/>
          <w:sz w:val="24"/>
        </w:rPr>
      </w:pPr>
      <w:r>
        <w:rPr>
          <w:color w:val="auto"/>
        </w:rPr>
        <w:tab/>
      </w:r>
      <w:r>
        <w:rPr>
          <w:rFonts w:hint="eastAsia" w:ascii="宋体" w:hAnsi="宋体" w:eastAsia="宋体" w:cs="宋体"/>
          <w:color w:val="auto"/>
          <w:sz w:val="32"/>
          <w:szCs w:val="32"/>
        </w:rPr>
        <w:t xml:space="preserve">十六、技术方案、服务承诺、培训承诺等等</w:t>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852"/>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ind w:firstLine="1600"/>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十七、盐城市政府采购事前信用承诺书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r/>
    </w:p>
    <w:p>
      <w:pPr>
        <w:pStyle w:val="852"/>
        <w:jc w:val="center"/>
        <w:spacing w:beforeAutospacing="0" w:afterAutospacing="0"/>
        <w:rPr>
          <w:color w:val="auto"/>
        </w:rPr>
      </w:pPr>
      <w:r>
        <w:rPr>
          <w:color w:val="auto"/>
        </w:rPr>
      </w:r>
      <w:bookmarkEnd w:id="1"/>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0"/>
      <w:r/>
      <w:bookmarkEnd w:id="195"/>
      <w:r/>
      <w:bookmarkEnd w:id="201"/>
      <w:r/>
      <w:bookmarkEnd w:id="202"/>
      <w:r/>
      <w:bookmarkEnd w:id="203"/>
      <w:r/>
      <w:bookmarkEnd w:id="204"/>
      <w:r/>
      <w:bookmarkEnd w:id="205"/>
      <w:r/>
      <w:bookmarkEnd w:id="206"/>
      <w:r/>
      <w:bookmarkEnd w:id="207"/>
      <w:r/>
      <w:bookmarkEnd w:id="208"/>
      <w:r/>
      <w:bookmarkEnd w:id="217"/>
      <w:r/>
      <w:bookmarkEnd w:id="218"/>
      <w:r/>
      <w:bookmarkEnd w:id="219"/>
      <w:r/>
      <w:bookmarkEnd w:id="220"/>
      <w:r/>
      <w:bookmarkEnd w:id="221"/>
      <w:r/>
      <w:r/>
    </w:p>
    <w:p>
      <w:pPr>
        <w:pStyle w:val="852"/>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52"/>
        <w:jc w:val="both"/>
        <w:spacing w:before="290" w:beforeAutospacing="0" w:afterAutospacing="0"/>
        <w:rPr>
          <w:rFonts w:ascii="宋体" w:hAnsi="宋体" w:eastAsia="宋体" w:cs="宋体"/>
          <w:color w:val="auto"/>
        </w:rPr>
      </w:pPr>
      <w:r>
        <w:rPr>
          <w:rFonts w:hint="eastAsia" w:ascii="宋体" w:hAnsi="宋体" w:eastAsia="宋体" w:cs="宋体"/>
          <w:color w:val="auto"/>
        </w:rPr>
        <w:t xml:space="preserve">一、质疑供应商基本信息</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二、质疑项目基本情况</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三、质疑事项具体内容</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52"/>
        <w:spacing w:beforeAutospacing="0" w:afterAutospacing="0"/>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质疑事项2</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52"/>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852"/>
        <w:jc w:val="both"/>
        <w:spacing w:beforeAutospacing="0" w:afterAutospacing="0"/>
        <w:rPr>
          <w:rFonts w:ascii="宋体" w:hAnsi="宋体" w:eastAsia="宋体" w:cs="宋体"/>
          <w:color w:val="auto"/>
        </w:rPr>
      </w:pPr>
      <w:r>
        <w:rPr>
          <w:rFonts w:hint="eastAsia" w:ascii="宋体" w:hAnsi="宋体" w:eastAsia="宋体" w:cs="宋体"/>
          <w:b/>
          <w:color w:val="auto"/>
        </w:rPr>
        <w:t xml:space="preserve">质疑函制作说明：</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52"/>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52"/>
        <w:spacing w:beforeAutospacing="0" w:afterAutospacing="0"/>
        <w:rPr>
          <w:color w:val="auto"/>
        </w:rPr>
      </w:pPr>
      <w:r>
        <w:rPr>
          <w:color w:val="auto"/>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方正魏碑_GBK">
    <w:panose1 w:val="020B0503020202020204"/>
  </w:font>
  <w:font w:name="Symbol">
    <w:panose1 w:val="05050102010706020507"/>
  </w:font>
  <w:font w:name="楷体_GB2312">
    <w:panose1 w:val="02010609060101010101"/>
  </w:font>
  <w:font w:name="等线">
    <w:panose1 w:val="02010600030101010101"/>
  </w:font>
  <w:font w:name="仿宋">
    <w:panose1 w:val="02010609060101010101"/>
  </w:font>
  <w:font w:name="华文楷体">
    <w:panose1 w:val="02010600040101010101"/>
  </w:font>
  <w:font w:name="Wingdings">
    <w:panose1 w:val="05000000000000000000"/>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EnclosedCircle"/>
      <w:isLgl w:val="false"/>
      <w:suff w:val="tab"/>
      <w:lvlText w:val="%1"/>
      <w:lvlJc w:val="left"/>
      <w:pPr>
        <w:ind w:left="720" w:hanging="36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3">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9">
    <w:name w:val="Heading 1 Char"/>
    <w:basedOn w:val="839"/>
    <w:link w:val="833"/>
    <w:uiPriority w:val="9"/>
    <w:rPr>
      <w:rFonts w:ascii="Arial" w:hAnsi="Arial" w:eastAsia="Arial" w:cs="Arial"/>
      <w:sz w:val="40"/>
      <w:szCs w:val="40"/>
    </w:rPr>
  </w:style>
  <w:style w:type="character" w:styleId="670">
    <w:name w:val="Heading 2 Char"/>
    <w:basedOn w:val="839"/>
    <w:link w:val="834"/>
    <w:uiPriority w:val="9"/>
    <w:rPr>
      <w:rFonts w:ascii="Arial" w:hAnsi="Arial" w:eastAsia="Arial" w:cs="Arial"/>
      <w:sz w:val="34"/>
    </w:rPr>
  </w:style>
  <w:style w:type="character" w:styleId="671">
    <w:name w:val="Heading 3 Char"/>
    <w:basedOn w:val="839"/>
    <w:link w:val="835"/>
    <w:uiPriority w:val="9"/>
    <w:rPr>
      <w:rFonts w:ascii="Arial" w:hAnsi="Arial" w:eastAsia="Arial" w:cs="Arial"/>
      <w:sz w:val="30"/>
      <w:szCs w:val="30"/>
    </w:rPr>
  </w:style>
  <w:style w:type="character" w:styleId="672">
    <w:name w:val="Heading 4 Char"/>
    <w:basedOn w:val="839"/>
    <w:link w:val="836"/>
    <w:uiPriority w:val="9"/>
    <w:rPr>
      <w:rFonts w:ascii="Arial" w:hAnsi="Arial" w:eastAsia="Arial" w:cs="Arial"/>
      <w:b/>
      <w:bCs/>
      <w:sz w:val="26"/>
      <w:szCs w:val="26"/>
    </w:rPr>
  </w:style>
  <w:style w:type="character" w:styleId="673">
    <w:name w:val="Heading 5 Char"/>
    <w:basedOn w:val="839"/>
    <w:link w:val="837"/>
    <w:uiPriority w:val="9"/>
    <w:rPr>
      <w:rFonts w:ascii="Arial" w:hAnsi="Arial" w:eastAsia="Arial" w:cs="Arial"/>
      <w:b/>
      <w:bCs/>
      <w:sz w:val="24"/>
      <w:szCs w:val="24"/>
    </w:rPr>
  </w:style>
  <w:style w:type="character" w:styleId="674">
    <w:name w:val="Heading 6 Char"/>
    <w:basedOn w:val="839"/>
    <w:link w:val="838"/>
    <w:uiPriority w:val="9"/>
    <w:rPr>
      <w:rFonts w:ascii="Arial" w:hAnsi="Arial" w:eastAsia="Arial" w:cs="Arial"/>
      <w:b/>
      <w:bCs/>
      <w:sz w:val="22"/>
      <w:szCs w:val="22"/>
    </w:rPr>
  </w:style>
  <w:style w:type="paragraph" w:styleId="675">
    <w:name w:val="Heading 7"/>
    <w:basedOn w:val="832"/>
    <w:next w:val="832"/>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basedOn w:val="839"/>
    <w:link w:val="675"/>
    <w:uiPriority w:val="9"/>
    <w:rPr>
      <w:rFonts w:ascii="Arial" w:hAnsi="Arial" w:eastAsia="Arial" w:cs="Arial"/>
      <w:b/>
      <w:bCs/>
      <w:i/>
      <w:iCs/>
      <w:sz w:val="22"/>
      <w:szCs w:val="22"/>
    </w:rPr>
  </w:style>
  <w:style w:type="paragraph" w:styleId="677">
    <w:name w:val="Heading 8"/>
    <w:basedOn w:val="832"/>
    <w:next w:val="832"/>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basedOn w:val="839"/>
    <w:link w:val="677"/>
    <w:uiPriority w:val="9"/>
    <w:rPr>
      <w:rFonts w:ascii="Arial" w:hAnsi="Arial" w:eastAsia="Arial" w:cs="Arial"/>
      <w:i/>
      <w:iCs/>
      <w:sz w:val="22"/>
      <w:szCs w:val="22"/>
    </w:rPr>
  </w:style>
  <w:style w:type="paragraph" w:styleId="679">
    <w:name w:val="Heading 9"/>
    <w:basedOn w:val="832"/>
    <w:next w:val="832"/>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basedOn w:val="839"/>
    <w:link w:val="679"/>
    <w:uiPriority w:val="9"/>
    <w:rPr>
      <w:rFonts w:ascii="Arial" w:hAnsi="Arial" w:eastAsia="Arial" w:cs="Arial"/>
      <w:i/>
      <w:iCs/>
      <w:sz w:val="21"/>
      <w:szCs w:val="21"/>
    </w:rPr>
  </w:style>
  <w:style w:type="paragraph" w:styleId="681">
    <w:name w:val="No Spacing"/>
    <w:uiPriority w:val="1"/>
    <w:qFormat/>
    <w:pPr>
      <w:spacing w:before="0" w:after="0" w:line="240" w:lineRule="auto"/>
    </w:pPr>
  </w:style>
  <w:style w:type="character" w:styleId="682">
    <w:name w:val="Title Char"/>
    <w:basedOn w:val="839"/>
    <w:link w:val="853"/>
    <w:uiPriority w:val="10"/>
    <w:rPr>
      <w:sz w:val="48"/>
      <w:szCs w:val="48"/>
    </w:rPr>
  </w:style>
  <w:style w:type="paragraph" w:styleId="683">
    <w:name w:val="Subtitle"/>
    <w:basedOn w:val="832"/>
    <w:next w:val="832"/>
    <w:link w:val="684"/>
    <w:uiPriority w:val="11"/>
    <w:qFormat/>
    <w:pPr>
      <w:spacing w:before="200" w:after="200"/>
    </w:pPr>
    <w:rPr>
      <w:sz w:val="24"/>
      <w:szCs w:val="24"/>
    </w:rPr>
  </w:style>
  <w:style w:type="character" w:styleId="684">
    <w:name w:val="Subtitle Char"/>
    <w:basedOn w:val="839"/>
    <w:link w:val="683"/>
    <w:uiPriority w:val="11"/>
    <w:rPr>
      <w:sz w:val="24"/>
      <w:szCs w:val="24"/>
    </w:rPr>
  </w:style>
  <w:style w:type="paragraph" w:styleId="685">
    <w:name w:val="Quote"/>
    <w:basedOn w:val="832"/>
    <w:next w:val="832"/>
    <w:link w:val="686"/>
    <w:uiPriority w:val="29"/>
    <w:qFormat/>
    <w:pPr>
      <w:ind w:left="720" w:right="720"/>
    </w:pPr>
    <w:rPr>
      <w:i/>
    </w:rPr>
  </w:style>
  <w:style w:type="character" w:styleId="686">
    <w:name w:val="Quote Char"/>
    <w:link w:val="685"/>
    <w:uiPriority w:val="29"/>
    <w:rPr>
      <w:i/>
    </w:rPr>
  </w:style>
  <w:style w:type="paragraph" w:styleId="687">
    <w:name w:val="Intense Quote"/>
    <w:basedOn w:val="832"/>
    <w:next w:val="832"/>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character" w:styleId="689">
    <w:name w:val="Header Char"/>
    <w:basedOn w:val="839"/>
    <w:link w:val="849"/>
    <w:uiPriority w:val="99"/>
  </w:style>
  <w:style w:type="character" w:styleId="690">
    <w:name w:val="Footer Char"/>
    <w:basedOn w:val="839"/>
    <w:link w:val="848"/>
    <w:uiPriority w:val="99"/>
  </w:style>
  <w:style w:type="paragraph" w:styleId="691">
    <w:name w:val="Caption"/>
    <w:basedOn w:val="832"/>
    <w:next w:val="832"/>
    <w:uiPriority w:val="35"/>
    <w:semiHidden/>
    <w:unhideWhenUsed/>
    <w:qFormat/>
    <w:pPr>
      <w:spacing w:line="276" w:lineRule="auto"/>
    </w:pPr>
    <w:rPr>
      <w:b/>
      <w:bCs/>
      <w:color w:val="4f81bd" w:themeColor="accent1"/>
      <w:sz w:val="18"/>
      <w:szCs w:val="18"/>
    </w:rPr>
  </w:style>
  <w:style w:type="character" w:styleId="692">
    <w:name w:val="Caption Char"/>
    <w:basedOn w:val="691"/>
    <w:link w:val="848"/>
    <w:uiPriority w:val="99"/>
  </w:style>
  <w:style w:type="table" w:styleId="693">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9">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0">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1">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2">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3">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4">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5">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6">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7">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8">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9">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2">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3">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4">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5">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6">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5">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6">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7">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8">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9">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0">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2">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3">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4">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5">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6">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7">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8">
    <w:name w:val="footnote text"/>
    <w:basedOn w:val="832"/>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9"/>
    <w:uiPriority w:val="99"/>
    <w:unhideWhenUsed/>
    <w:rPr>
      <w:vertAlign w:val="superscript"/>
    </w:rPr>
  </w:style>
  <w:style w:type="paragraph" w:styleId="821">
    <w:name w:val="endnote text"/>
    <w:basedOn w:val="832"/>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9"/>
    <w:uiPriority w:val="99"/>
    <w:semiHidden/>
    <w:unhideWhenUsed/>
    <w:rPr>
      <w:vertAlign w:val="superscript"/>
    </w:r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3">
    <w:name w:val="Heading 1"/>
    <w:basedOn w:val="832"/>
    <w:next w:val="832"/>
    <w:link w:val="869"/>
    <w:uiPriority w:val="0"/>
    <w:qFormat/>
    <w:pPr>
      <w:keepLines/>
      <w:keepNext/>
      <w:spacing w:before="340" w:after="330" w:line="578" w:lineRule="auto"/>
      <w:outlineLvl w:val="0"/>
    </w:pPr>
    <w:rPr>
      <w:b/>
      <w:bCs/>
      <w:sz w:val="44"/>
      <w:szCs w:val="44"/>
    </w:rPr>
  </w:style>
  <w:style w:type="paragraph" w:styleId="834">
    <w:name w:val="Heading 2"/>
    <w:basedOn w:val="832"/>
    <w:next w:val="832"/>
    <w:link w:val="88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35">
    <w:name w:val="Heading 3"/>
    <w:basedOn w:val="832"/>
    <w:next w:val="832"/>
    <w:link w:val="881"/>
    <w:uiPriority w:val="0"/>
    <w:semiHidden/>
    <w:unhideWhenUsed/>
    <w:qFormat/>
    <w:pPr>
      <w:ind w:firstLine="880"/>
      <w:keepLines/>
      <w:keepNext/>
      <w:spacing w:line="360" w:lineRule="auto"/>
      <w:outlineLvl w:val="2"/>
    </w:pPr>
    <w:rPr>
      <w:rFonts w:ascii="宋体" w:hAnsi="宋体" w:eastAsia="宋体" w:cs="宋体"/>
      <w:b/>
      <w:sz w:val="28"/>
      <w:szCs w:val="22"/>
    </w:rPr>
  </w:style>
  <w:style w:type="paragraph" w:styleId="836">
    <w:name w:val="Heading 4"/>
    <w:basedOn w:val="832"/>
    <w:next w:val="832"/>
    <w:link w:val="882"/>
    <w:uiPriority w:val="0"/>
    <w:semiHidden/>
    <w:unhideWhenUsed/>
    <w:qFormat/>
    <w:pPr>
      <w:keepLines/>
      <w:keepNext/>
      <w:spacing w:line="360" w:lineRule="auto"/>
      <w:outlineLvl w:val="3"/>
    </w:pPr>
    <w:rPr>
      <w:rFonts w:ascii="Arial" w:hAnsi="Arial" w:eastAsia="宋体" w:cs="宋体"/>
      <w:b/>
      <w:sz w:val="24"/>
      <w:szCs w:val="22"/>
    </w:rPr>
  </w:style>
  <w:style w:type="paragraph" w:styleId="837">
    <w:name w:val="Heading 5"/>
    <w:basedOn w:val="832"/>
    <w:next w:val="832"/>
    <w:link w:val="883"/>
    <w:uiPriority w:val="0"/>
    <w:semiHidden/>
    <w:unhideWhenUsed/>
    <w:qFormat/>
    <w:pPr>
      <w:keepLines/>
      <w:keepNext/>
      <w:spacing w:before="280" w:after="290" w:line="372" w:lineRule="auto"/>
      <w:outlineLvl w:val="4"/>
    </w:pPr>
    <w:rPr>
      <w:rFonts w:ascii="宋体" w:hAnsi="宋体" w:eastAsia="宋体" w:cs="宋体"/>
      <w:b/>
      <w:sz w:val="28"/>
      <w:szCs w:val="22"/>
    </w:rPr>
  </w:style>
  <w:style w:type="paragraph" w:styleId="838">
    <w:name w:val="Heading 6"/>
    <w:basedOn w:val="832"/>
    <w:next w:val="832"/>
    <w:link w:val="875"/>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39" w:default="1">
    <w:name w:val="Default Paragraph Font"/>
    <w:uiPriority w:val="1"/>
    <w:semiHidden/>
    <w:unhideWhenUsed/>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Normal Indent"/>
    <w:basedOn w:val="832"/>
    <w:uiPriority w:val="0"/>
    <w:qFormat/>
    <w:pPr>
      <w:ind w:firstLine="420"/>
    </w:pPr>
  </w:style>
  <w:style w:type="paragraph" w:styleId="842">
    <w:name w:val="annotation text"/>
    <w:basedOn w:val="832"/>
    <w:link w:val="878"/>
    <w:uiPriority w:val="0"/>
    <w:qFormat/>
    <w:pPr>
      <w:jc w:val="left"/>
    </w:pPr>
  </w:style>
  <w:style w:type="paragraph" w:styleId="843">
    <w:name w:val="Body Text"/>
    <w:basedOn w:val="832"/>
    <w:uiPriority w:val="0"/>
    <w:unhideWhenUsed/>
    <w:qFormat/>
    <w:pPr>
      <w:spacing w:after="120"/>
    </w:pPr>
    <w:rPr>
      <w:rFonts w:ascii="Calibri" w:hAnsi="Calibri"/>
      <w:szCs w:val="22"/>
    </w:rPr>
  </w:style>
  <w:style w:type="paragraph" w:styleId="844">
    <w:name w:val="Body Text Indent"/>
    <w:basedOn w:val="832"/>
    <w:link w:val="884"/>
    <w:uiPriority w:val="0"/>
    <w:qFormat/>
    <w:pPr>
      <w:ind w:left="420"/>
      <w:spacing w:after="120"/>
    </w:pPr>
  </w:style>
  <w:style w:type="paragraph" w:styleId="845">
    <w:name w:val="toc 3"/>
    <w:basedOn w:val="832"/>
    <w:next w:val="832"/>
    <w:uiPriority w:val="39"/>
    <w:unhideWhenUsed/>
    <w:qFormat/>
    <w:pPr>
      <w:ind w:left="440"/>
      <w:jc w:val="left"/>
      <w:spacing w:after="100" w:line="259" w:lineRule="auto"/>
      <w:widowControl/>
    </w:pPr>
    <w:rPr>
      <w:rFonts w:cs="Times New Roman"/>
      <w:sz w:val="22"/>
      <w:szCs w:val="22"/>
    </w:rPr>
  </w:style>
  <w:style w:type="paragraph" w:styleId="846">
    <w:name w:val="Plain Text"/>
    <w:basedOn w:val="832"/>
    <w:uiPriority w:val="0"/>
    <w:unhideWhenUsed/>
    <w:qFormat/>
    <w:rPr>
      <w:rFonts w:ascii="宋体" w:hAnsi="Courier New" w:cs="Courier New"/>
      <w:szCs w:val="21"/>
    </w:rPr>
  </w:style>
  <w:style w:type="paragraph" w:styleId="847">
    <w:name w:val="Balloon Text"/>
    <w:basedOn w:val="832"/>
    <w:link w:val="880"/>
    <w:uiPriority w:val="0"/>
    <w:qFormat/>
    <w:rPr>
      <w:sz w:val="18"/>
      <w:szCs w:val="18"/>
    </w:rPr>
  </w:style>
  <w:style w:type="paragraph" w:styleId="848">
    <w:name w:val="Footer"/>
    <w:basedOn w:val="832"/>
    <w:link w:val="863"/>
    <w:uiPriority w:val="0"/>
    <w:qFormat/>
    <w:pPr>
      <w:jc w:val="left"/>
      <w:tabs>
        <w:tab w:val="center" w:pos="4153" w:leader="none"/>
        <w:tab w:val="right" w:pos="8306" w:leader="none"/>
      </w:tabs>
    </w:pPr>
    <w:rPr>
      <w:sz w:val="18"/>
      <w:szCs w:val="18"/>
    </w:rPr>
  </w:style>
  <w:style w:type="paragraph" w:styleId="849">
    <w:name w:val="Header"/>
    <w:basedOn w:val="832"/>
    <w:link w:val="862"/>
    <w:uiPriority w:val="0"/>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32"/>
    <w:next w:val="832"/>
    <w:uiPriority w:val="39"/>
    <w:unhideWhenUsed/>
    <w:qFormat/>
    <w:pPr>
      <w:jc w:val="left"/>
      <w:spacing w:after="100" w:line="259" w:lineRule="auto"/>
      <w:widowControl/>
    </w:pPr>
    <w:rPr>
      <w:rFonts w:cs="Times New Roman"/>
      <w:sz w:val="22"/>
      <w:szCs w:val="22"/>
    </w:rPr>
  </w:style>
  <w:style w:type="paragraph" w:styleId="851">
    <w:name w:val="toc 2"/>
    <w:basedOn w:val="832"/>
    <w:next w:val="832"/>
    <w:uiPriority w:val="39"/>
    <w:qFormat/>
    <w:pPr>
      <w:ind w:left="420"/>
    </w:pPr>
  </w:style>
  <w:style w:type="paragraph" w:styleId="852">
    <w:name w:val="Normal (Web)"/>
    <w:basedOn w:val="832"/>
    <w:link w:val="872"/>
    <w:uiPriority w:val="0"/>
    <w:qFormat/>
    <w:pPr>
      <w:jc w:val="left"/>
      <w:spacing w:beforeAutospacing="1" w:afterAutospacing="1"/>
    </w:pPr>
    <w:rPr>
      <w:rFonts w:cs="Times New Roman"/>
      <w:sz w:val="24"/>
    </w:rPr>
  </w:style>
  <w:style w:type="paragraph" w:styleId="853">
    <w:name w:val="Title"/>
    <w:basedOn w:val="832"/>
    <w:next w:val="832"/>
    <w:link w:val="874"/>
    <w:uiPriority w:val="0"/>
    <w:qFormat/>
    <w:pPr>
      <w:jc w:val="center"/>
      <w:spacing w:before="120" w:after="120"/>
      <w:outlineLvl w:val="0"/>
    </w:pPr>
    <w:rPr>
      <w:rFonts w:eastAsia="黑体" w:asciiTheme="majorHAnsi" w:hAnsiTheme="majorHAnsi" w:cstheme="majorBidi"/>
      <w:b/>
      <w:bCs/>
      <w:sz w:val="44"/>
      <w:szCs w:val="32"/>
    </w:rPr>
  </w:style>
  <w:style w:type="paragraph" w:styleId="854">
    <w:name w:val="annotation subject"/>
    <w:basedOn w:val="842"/>
    <w:next w:val="842"/>
    <w:link w:val="879"/>
    <w:uiPriority w:val="0"/>
    <w:qFormat/>
    <w:rPr>
      <w:b/>
      <w:bCs/>
    </w:rPr>
  </w:style>
  <w:style w:type="paragraph" w:styleId="855">
    <w:name w:val="Body Text First Indent 2"/>
    <w:basedOn w:val="844"/>
    <w:link w:val="885"/>
    <w:uiPriority w:val="0"/>
    <w:qFormat/>
    <w:pPr>
      <w:ind w:firstLine="420"/>
    </w:pPr>
  </w:style>
  <w:style w:type="table" w:styleId="856">
    <w:name w:val="Table Grid"/>
    <w:basedOn w:val="8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basedOn w:val="839"/>
    <w:uiPriority w:val="22"/>
    <w:qFormat/>
    <w:rPr>
      <w:b/>
      <w:bCs/>
    </w:rPr>
  </w:style>
  <w:style w:type="character" w:styleId="858">
    <w:name w:val="Emphasis"/>
    <w:uiPriority w:val="0"/>
    <w:qFormat/>
    <w:rPr>
      <w:i/>
    </w:rPr>
  </w:style>
  <w:style w:type="character" w:styleId="859">
    <w:name w:val="Hyperlink"/>
    <w:basedOn w:val="839"/>
    <w:uiPriority w:val="99"/>
    <w:unhideWhenUsed/>
    <w:qFormat/>
    <w:rPr>
      <w:color w:val="0563c1" w:themeColor="hyperlink"/>
      <w:u w:val="single"/>
      <w14:textFill>
        <w14:solidFill>
          <w14:schemeClr w14:val="hlink"/>
        </w14:solidFill>
      </w14:textFill>
    </w:rPr>
  </w:style>
  <w:style w:type="character" w:styleId="860">
    <w:name w:val="annotation reference"/>
    <w:basedOn w:val="839"/>
    <w:uiPriority w:val="0"/>
    <w:qFormat/>
    <w:rPr>
      <w:sz w:val="21"/>
      <w:szCs w:val="21"/>
    </w:rPr>
  </w:style>
  <w:style w:type="paragraph" w:styleId="861" w:customStyle="1">
    <w:name w:val="Default"/>
    <w:basedOn w:val="832"/>
    <w:uiPriority w:val="0"/>
    <w:semiHidden/>
    <w:qFormat/>
    <w:pPr>
      <w:jc w:val="left"/>
    </w:pPr>
    <w:rPr>
      <w:rFonts w:ascii="宋体" w:hAnsi="Calibri" w:cs="宋体"/>
      <w:color w:val="000000"/>
      <w:sz w:val="24"/>
    </w:rPr>
  </w:style>
  <w:style w:type="character" w:styleId="862" w:customStyle="1">
    <w:name w:val="页眉 字符"/>
    <w:basedOn w:val="839"/>
    <w:link w:val="849"/>
    <w:uiPriority w:val="0"/>
    <w:qFormat/>
    <w:rPr>
      <w:rFonts w:asciiTheme="minorHAnsi" w:hAnsiTheme="minorHAnsi" w:eastAsiaTheme="minorEastAsia" w:cstheme="minorBidi"/>
      <w:sz w:val="18"/>
      <w:szCs w:val="18"/>
    </w:rPr>
  </w:style>
  <w:style w:type="character" w:styleId="863" w:customStyle="1">
    <w:name w:val="页脚 字符"/>
    <w:basedOn w:val="839"/>
    <w:link w:val="848"/>
    <w:uiPriority w:val="0"/>
    <w:qFormat/>
    <w:rPr>
      <w:rFonts w:asciiTheme="minorHAnsi" w:hAnsiTheme="minorHAnsi" w:eastAsiaTheme="minorEastAsia" w:cstheme="minorBidi"/>
      <w:sz w:val="18"/>
      <w:szCs w:val="18"/>
    </w:rPr>
  </w:style>
  <w:style w:type="paragraph" w:styleId="86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5" w:customStyle="1">
    <w:name w:val="页脚1"/>
    <w:basedOn w:val="832"/>
    <w:uiPriority w:val="99"/>
    <w:unhideWhenUsed/>
    <w:qFormat/>
    <w:pPr>
      <w:jc w:val="left"/>
      <w:tabs>
        <w:tab w:val="center" w:pos="4153" w:leader="none"/>
        <w:tab w:val="right" w:pos="8306" w:leader="none"/>
      </w:tabs>
    </w:pPr>
    <w:rPr>
      <w:sz w:val="18"/>
      <w:szCs w:val="18"/>
    </w:rPr>
  </w:style>
  <w:style w:type="paragraph" w:styleId="866" w:customStyle="1">
    <w:name w:val="普通正文"/>
    <w:basedOn w:val="832"/>
    <w:uiPriority w:val="0"/>
    <w:qFormat/>
    <w:pPr>
      <w:ind w:firstLine="480"/>
      <w:jc w:val="left"/>
      <w:spacing w:before="120" w:after="120" w:line="360" w:lineRule="auto"/>
    </w:pPr>
    <w:rPr>
      <w:rFonts w:ascii="Arial" w:hAnsi="Arial" w:eastAsia="等线" w:cs="Arial"/>
      <w:sz w:val="24"/>
    </w:rPr>
  </w:style>
  <w:style w:type="paragraph" w:styleId="867" w:customStyle="1">
    <w:name w:val="正文首行缩进 21"/>
    <w:basedOn w:val="868"/>
    <w:uiPriority w:val="0"/>
    <w:qFormat/>
    <w:pPr>
      <w:ind w:firstLine="420"/>
    </w:pPr>
  </w:style>
  <w:style w:type="paragraph" w:styleId="868" w:customStyle="1">
    <w:name w:val="正文文本缩进1"/>
    <w:basedOn w:val="832"/>
    <w:uiPriority w:val="0"/>
    <w:qFormat/>
    <w:pPr>
      <w:ind w:left="420"/>
      <w:spacing w:after="120"/>
    </w:pPr>
  </w:style>
  <w:style w:type="character" w:styleId="869" w:customStyle="1">
    <w:name w:val="标题 1 字符"/>
    <w:basedOn w:val="839"/>
    <w:link w:val="833"/>
    <w:uiPriority w:val="0"/>
    <w:qFormat/>
    <w:rPr>
      <w:rFonts w:asciiTheme="minorHAnsi" w:hAnsiTheme="minorHAnsi" w:eastAsiaTheme="minorEastAsia" w:cstheme="minorBidi"/>
      <w:b/>
      <w:bCs/>
      <w:sz w:val="44"/>
      <w:szCs w:val="44"/>
    </w:rPr>
  </w:style>
  <w:style w:type="paragraph" w:styleId="870" w:customStyle="1">
    <w:name w:val="TOC 标题1"/>
    <w:basedOn w:val="833"/>
    <w:next w:val="83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71" w:customStyle="1">
    <w:name w:val="标题123"/>
    <w:basedOn w:val="852"/>
    <w:link w:val="873"/>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872" w:customStyle="1">
    <w:name w:val="普通(网站) 字符"/>
    <w:basedOn w:val="839"/>
    <w:link w:val="852"/>
    <w:uiPriority w:val="0"/>
    <w:qFormat/>
    <w:rPr>
      <w:rFonts w:asciiTheme="minorHAnsi" w:hAnsiTheme="minorHAnsi" w:eastAsiaTheme="minorEastAsia"/>
      <w:sz w:val="24"/>
      <w:szCs w:val="24"/>
    </w:rPr>
  </w:style>
  <w:style w:type="character" w:styleId="873" w:customStyle="1">
    <w:name w:val="标题123 字符"/>
    <w:basedOn w:val="872"/>
    <w:link w:val="871"/>
    <w:uiPriority w:val="0"/>
    <w:qFormat/>
    <w:rPr>
      <w:rFonts w:ascii="黑体" w:hAnsi="宋体" w:eastAsia="黑体" w:cs="黑体"/>
      <w:b/>
      <w:bCs/>
      <w:color w:val="000000"/>
      <w:sz w:val="44"/>
      <w:szCs w:val="44"/>
    </w:rPr>
  </w:style>
  <w:style w:type="character" w:styleId="874" w:customStyle="1">
    <w:name w:val="标题 字符"/>
    <w:basedOn w:val="839"/>
    <w:link w:val="853"/>
    <w:uiPriority w:val="0"/>
    <w:qFormat/>
    <w:rPr>
      <w:rFonts w:eastAsia="黑体" w:asciiTheme="majorHAnsi" w:hAnsiTheme="majorHAnsi" w:cstheme="majorBidi"/>
      <w:b/>
      <w:bCs/>
      <w:sz w:val="44"/>
      <w:szCs w:val="32"/>
    </w:rPr>
  </w:style>
  <w:style w:type="character" w:styleId="875" w:customStyle="1">
    <w:name w:val="标题 6 字符"/>
    <w:basedOn w:val="839"/>
    <w:link w:val="838"/>
    <w:uiPriority w:val="9"/>
    <w:qFormat/>
    <w:rPr>
      <w:rFonts w:asciiTheme="majorHAnsi" w:hAnsiTheme="majorHAnsi" w:eastAsiaTheme="majorEastAsia" w:cstheme="majorBidi"/>
      <w:b/>
      <w:bCs/>
      <w:sz w:val="24"/>
      <w:szCs w:val="24"/>
    </w:rPr>
  </w:style>
  <w:style w:type="table" w:styleId="876" w:customStyle="1">
    <w:name w:val="网格型1"/>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7">
    <w:name w:val="List Paragraph"/>
    <w:basedOn w:val="832"/>
    <w:uiPriority w:val="99"/>
    <w:qFormat/>
    <w:pPr>
      <w:ind w:firstLine="420"/>
    </w:pPr>
  </w:style>
  <w:style w:type="character" w:styleId="878" w:customStyle="1">
    <w:name w:val="批注文字 字符"/>
    <w:basedOn w:val="839"/>
    <w:link w:val="842"/>
    <w:uiPriority w:val="0"/>
    <w:qFormat/>
    <w:rPr>
      <w:rFonts w:asciiTheme="minorHAnsi" w:hAnsiTheme="minorHAnsi" w:eastAsiaTheme="minorEastAsia" w:cstheme="minorBidi"/>
      <w:sz w:val="21"/>
      <w:szCs w:val="24"/>
    </w:rPr>
  </w:style>
  <w:style w:type="character" w:styleId="879" w:customStyle="1">
    <w:name w:val="批注主题 字符"/>
    <w:basedOn w:val="878"/>
    <w:link w:val="854"/>
    <w:uiPriority w:val="0"/>
    <w:qFormat/>
    <w:rPr>
      <w:rFonts w:asciiTheme="minorHAnsi" w:hAnsiTheme="minorHAnsi" w:eastAsiaTheme="minorEastAsia" w:cstheme="minorBidi"/>
      <w:b/>
      <w:bCs/>
      <w:sz w:val="21"/>
      <w:szCs w:val="24"/>
    </w:rPr>
  </w:style>
  <w:style w:type="character" w:styleId="880" w:customStyle="1">
    <w:name w:val="批注框文本 字符"/>
    <w:basedOn w:val="839"/>
    <w:link w:val="847"/>
    <w:uiPriority w:val="0"/>
    <w:qFormat/>
    <w:rPr>
      <w:rFonts w:asciiTheme="minorHAnsi" w:hAnsiTheme="minorHAnsi" w:eastAsiaTheme="minorEastAsia" w:cstheme="minorBidi"/>
      <w:sz w:val="18"/>
      <w:szCs w:val="18"/>
    </w:rPr>
  </w:style>
  <w:style w:type="character" w:styleId="881" w:customStyle="1">
    <w:name w:val="标题 3 字符"/>
    <w:basedOn w:val="839"/>
    <w:link w:val="835"/>
    <w:uiPriority w:val="0"/>
    <w:semiHidden/>
    <w:qFormat/>
    <w:rPr>
      <w:rFonts w:ascii="宋体" w:hAnsi="宋体" w:cs="宋体"/>
      <w:b/>
      <w:sz w:val="28"/>
      <w:szCs w:val="22"/>
    </w:rPr>
  </w:style>
  <w:style w:type="character" w:styleId="882" w:customStyle="1">
    <w:name w:val="标题 4 字符"/>
    <w:basedOn w:val="839"/>
    <w:link w:val="836"/>
    <w:uiPriority w:val="0"/>
    <w:semiHidden/>
    <w:qFormat/>
    <w:rPr>
      <w:rFonts w:ascii="Arial" w:hAnsi="Arial" w:cs="宋体"/>
      <w:b/>
      <w:sz w:val="24"/>
      <w:szCs w:val="22"/>
    </w:rPr>
  </w:style>
  <w:style w:type="character" w:styleId="883" w:customStyle="1">
    <w:name w:val="标题 5 字符"/>
    <w:basedOn w:val="839"/>
    <w:link w:val="837"/>
    <w:uiPriority w:val="0"/>
    <w:semiHidden/>
    <w:qFormat/>
    <w:rPr>
      <w:rFonts w:ascii="宋体" w:hAnsi="宋体" w:cs="宋体"/>
      <w:b/>
      <w:sz w:val="28"/>
      <w:szCs w:val="22"/>
    </w:rPr>
  </w:style>
  <w:style w:type="character" w:styleId="884" w:customStyle="1">
    <w:name w:val="正文文本缩进 字符"/>
    <w:basedOn w:val="839"/>
    <w:link w:val="844"/>
    <w:uiPriority w:val="0"/>
    <w:qFormat/>
    <w:rPr>
      <w:rFonts w:asciiTheme="minorHAnsi" w:hAnsiTheme="minorHAnsi" w:eastAsiaTheme="minorEastAsia" w:cstheme="minorBidi"/>
      <w:sz w:val="21"/>
      <w:szCs w:val="24"/>
    </w:rPr>
  </w:style>
  <w:style w:type="character" w:styleId="885" w:customStyle="1">
    <w:name w:val="正文文本首行缩进 2 字符"/>
    <w:basedOn w:val="884"/>
    <w:link w:val="855"/>
    <w:uiPriority w:val="0"/>
    <w:qFormat/>
    <w:rPr>
      <w:rFonts w:asciiTheme="minorHAnsi" w:hAnsiTheme="minorHAnsi" w:eastAsiaTheme="minorEastAsia" w:cstheme="minorBidi"/>
      <w:sz w:val="21"/>
      <w:szCs w:val="24"/>
    </w:rPr>
  </w:style>
  <w:style w:type="character" w:styleId="886" w:customStyle="1">
    <w:name w:val="标题 2 字符"/>
    <w:link w:val="834"/>
    <w:uiPriority w:val="0"/>
    <w:semiHidden/>
    <w:qFormat/>
    <w:rPr>
      <w:rFonts w:ascii="宋体" w:hAnsi="宋体"/>
      <w:b/>
      <w:bCs/>
      <w:sz w:val="36"/>
      <w:szCs w:val="36"/>
    </w:rPr>
  </w:style>
  <w:style w:type="paragraph" w:styleId="887" w:customStyle="1">
    <w:name w:val="纯文本1"/>
    <w:basedOn w:val="832"/>
    <w:uiPriority w:val="0"/>
    <w:qFormat/>
    <w:rPr>
      <w:rFonts w:hint="eastAsia" w:ascii="宋体" w:hAnsi="Courier New" w:eastAsia="楷体_GB2312" w:cs="Times New Roman"/>
      <w:sz w:val="28"/>
      <w:szCs w:val="20"/>
    </w:rPr>
  </w:style>
  <w:style w:type="paragraph" w:styleId="888" w:customStyle="1">
    <w:name w:val="修订1"/>
    <w:hidden/>
    <w:uiPriority w:val="99"/>
    <w:semiHidden/>
    <w:qFormat/>
    <w:rPr>
      <w:rFonts w:asciiTheme="minorHAnsi" w:hAnsiTheme="minorHAnsi" w:eastAsiaTheme="minorEastAsia" w:cstheme="minorBidi"/>
      <w:sz w:val="21"/>
      <w:szCs w:val="24"/>
      <w:lang w:val="en-US" w:eastAsia="zh-CN" w:bidi="ar-SA"/>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A0B62-2861-41EB-B3C7-170CC4FF76B7}"/>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陈佳佳</cp:lastModifiedBy>
  <cp:revision>311</cp:revision>
  <dcterms:created xsi:type="dcterms:W3CDTF">2014-10-29T12:08:00Z</dcterms:created>
  <dcterms:modified xsi:type="dcterms:W3CDTF">2026-09-02T09:22:50Z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2CE725C660F74BC6B9F9F213959B39C7_13</vt:lpwstr>
  </property>
  <property fmtid="{D5CDD505-2E9C-101B-9397-08002B2CF9AE}" pid="4" name="KSOTemplateDocerSaveRecord">
    <vt:lpwstr>eyJoZGlkIjoiOGUxNDlhZTg3NGZmMWRlY2M2OWRjMDI3ODBiNzM2NjUiLCJ1c2VySWQiOiIyNjk4NjExMTgifQ==</vt:lpwstr>
  </property>
</Properties>
</file>