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spacing w:before="120" w:beforeAutospacing="0" w:after="120" w:afterAutospacing="0" w:line="360" w:lineRule="auto"/>
        <w:rPr>
          <w:highlight w:val="none"/>
        </w:rPr>
      </w:pPr>
      <w:r>
        <w:rPr>
          <w:highlight w:val="none"/>
        </w:rPr>
        <w:t xml:space="preserve"> </w:t>
      </w:r>
      <w:r/>
    </w:p>
    <w:p>
      <w:pPr>
        <w:pStyle w:val="717"/>
        <w:spacing w:before="120" w:beforeAutospacing="0" w:after="120" w:afterAutospacing="0" w:line="360" w:lineRule="auto"/>
        <w:rPr>
          <w:highlight w:val="none"/>
        </w:rPr>
      </w:pPr>
      <w:r>
        <w:rPr>
          <w:highlight w:val="none"/>
        </w:rPr>
      </w:r>
      <w:r/>
    </w:p>
    <w:p>
      <w:pPr>
        <w:pStyle w:val="717"/>
        <w:spacing w:before="120" w:beforeAutospacing="0" w:after="120" w:afterAutospacing="0" w:line="360" w:lineRule="auto"/>
        <w:rPr>
          <w:highlight w:val="none"/>
        </w:rPr>
      </w:pPr>
      <w:r>
        <w:rPr>
          <w:highlight w:val="none"/>
        </w:rPr>
      </w:r>
      <w:r/>
    </w:p>
    <w:p>
      <w:pPr>
        <w:pStyle w:val="717"/>
        <w:spacing w:before="120" w:beforeAutospacing="0" w:after="120" w:afterAutospacing="0" w:line="360" w:lineRule="auto"/>
        <w:rPr>
          <w:highlight w:val="none"/>
        </w:rPr>
      </w:pPr>
      <w:r>
        <w:rPr>
          <w:highlight w:val="none"/>
        </w:rPr>
      </w:r>
      <w:r/>
    </w:p>
    <w:p>
      <w:pPr>
        <w:pStyle w:val="717"/>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单一来源采购文件</w:t>
      </w:r>
      <w:r/>
    </w:p>
    <w:p>
      <w:pPr>
        <w:pStyle w:val="717"/>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17"/>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17"/>
        <w:ind w:left="1601" w:hanging="1601"/>
        <w:jc w:val="left"/>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盐都区社会治安防控体系建设（一期）项目光纤租赁</w:t>
      </w:r>
      <w:r/>
    </w:p>
    <w:p>
      <w:pPr>
        <w:pStyle w:val="717"/>
        <w:spacing w:beforeAutospacing="0" w:afterAutospacing="0" w:line="360" w:lineRule="auto"/>
        <w:rPr>
          <w:highlight w:val="none"/>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rPr>
        <w:t xml:space="preserve">JSZC-320903-XHGL-D2026-0003</w:t>
      </w:r>
      <w:r>
        <w:rPr>
          <w:highlight w:val="none"/>
        </w:rPr>
        <w:t xml:space="preserve"> </w:t>
      </w:r>
      <w:r/>
    </w:p>
    <w:p>
      <w:pPr>
        <w:pStyle w:val="717"/>
        <w:spacing w:beforeAutospacing="0" w:afterAutospacing="0" w:line="360" w:lineRule="auto"/>
        <w:rPr>
          <w:highlight w:val="none"/>
        </w:rPr>
      </w:pPr>
      <w:r>
        <w:rPr>
          <w:highlight w:val="none"/>
        </w:rPr>
        <w:t xml:space="preserve"> </w:t>
      </w:r>
      <w:r/>
    </w:p>
    <w:p>
      <w:pPr>
        <w:pStyle w:val="717"/>
        <w:spacing w:beforeAutospacing="0" w:afterAutospacing="0" w:line="360" w:lineRule="auto"/>
        <w:rPr>
          <w:highlight w:val="none"/>
        </w:rPr>
      </w:pPr>
      <w:r>
        <w:rPr>
          <w:highlight w:val="none"/>
        </w:rPr>
        <w:t xml:space="preserve"> </w:t>
      </w:r>
      <w:r/>
    </w:p>
    <w:p>
      <w:pPr>
        <w:pStyle w:val="717"/>
        <w:spacing w:beforeAutospacing="0" w:afterAutospacing="0" w:line="360" w:lineRule="auto"/>
        <w:rPr>
          <w:highlight w:val="none"/>
        </w:rPr>
      </w:pPr>
      <w:r>
        <w:rPr>
          <w:highlight w:val="none"/>
        </w:rPr>
        <w:t xml:space="preserve"> </w:t>
      </w:r>
      <w:r/>
    </w:p>
    <w:p>
      <w:pPr>
        <w:pStyle w:val="717"/>
        <w:spacing w:beforeAutospacing="0" w:afterAutospacing="0" w:line="360" w:lineRule="auto"/>
        <w:rPr>
          <w:highlight w:val="none"/>
        </w:rPr>
      </w:pPr>
      <w:r>
        <w:rPr>
          <w:highlight w:val="none"/>
        </w:rPr>
      </w:r>
      <w:r/>
    </w:p>
    <w:p>
      <w:pPr>
        <w:pStyle w:val="717"/>
        <w:spacing w:beforeAutospacing="0" w:afterAutospacing="0" w:line="360" w:lineRule="auto"/>
        <w:rPr>
          <w:highlight w:val="none"/>
        </w:rPr>
      </w:pPr>
      <w:r>
        <w:rPr>
          <w:highlight w:val="none"/>
        </w:rPr>
      </w:r>
      <w:r/>
    </w:p>
    <w:p>
      <w:pPr>
        <w:pStyle w:val="717"/>
        <w:spacing w:beforeAutospacing="0" w:afterAutospacing="0" w:line="360" w:lineRule="auto"/>
        <w:rPr>
          <w:highlight w:val="none"/>
        </w:rPr>
      </w:pPr>
      <w:r>
        <w:rPr>
          <w:highlight w:val="none"/>
        </w:rPr>
        <w:t xml:space="preserve"> </w:t>
      </w:r>
      <w:r/>
    </w:p>
    <w:p>
      <w:pPr>
        <w:pStyle w:val="717"/>
        <w:spacing w:beforeAutospacing="0" w:afterAutospacing="0" w:line="360" w:lineRule="auto"/>
        <w:rPr>
          <w:highlight w:val="none"/>
        </w:rPr>
      </w:pPr>
      <w:r>
        <w:rPr>
          <w:highlight w:val="none"/>
        </w:rPr>
        <w:t xml:space="preserve"> </w:t>
      </w:r>
      <w:r/>
    </w:p>
    <w:p>
      <w:pPr>
        <w:pStyle w:val="717"/>
        <w:spacing w:beforeAutospacing="0" w:afterAutospacing="0" w:line="360" w:lineRule="auto"/>
        <w:rPr>
          <w:highlight w:val="none"/>
        </w:rPr>
      </w:pPr>
      <w:r>
        <w:rPr>
          <w:highlight w:val="none"/>
        </w:rPr>
        <w:t xml:space="preserve"> </w:t>
      </w:r>
      <w:r/>
    </w:p>
    <w:p>
      <w:pPr>
        <w:pStyle w:val="717"/>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lang w:eastAsia="zh-CN"/>
        </w:rPr>
        <w:t xml:space="preserve">盐城市公安局盐都分局</w:t>
      </w:r>
      <w:r/>
    </w:p>
    <w:p>
      <w:pPr>
        <w:pStyle w:val="717"/>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5</w:t>
      </w:r>
      <w:r>
        <w:rPr>
          <w:rFonts w:ascii="Arial" w:hAnsi="Arial" w:cs="Arial"/>
          <w:b/>
          <w:color w:val="000000"/>
          <w:sz w:val="32"/>
          <w:szCs w:val="32"/>
          <w:highlight w:val="none"/>
        </w:rPr>
        <w:t xml:space="preserve">月</w:t>
      </w:r>
      <w:r/>
    </w:p>
    <w:p>
      <w:pPr>
        <w:pStyle w:val="717"/>
        <w:spacing w:before="120" w:beforeAutospacing="0" w:after="120" w:afterAutospacing="0" w:line="36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p>
    <w:p>
      <w:pPr>
        <w:pStyle w:val="717"/>
        <w:jc w:val="center"/>
        <w:spacing w:beforeAutospacing="0" w:afterAutospacing="0" w:line="480" w:lineRule="auto"/>
        <w:rPr>
          <w:rFonts w:ascii="黑体" w:hAnsi="宋体" w:eastAsia="黑体" w:cs="黑体"/>
          <w:b/>
          <w:color w:val="000000"/>
          <w:sz w:val="44"/>
          <w:szCs w:val="44"/>
          <w:highlight w:val="none"/>
        </w:rPr>
      </w:pPr>
      <w:r/>
      <w:bookmarkStart w:id="0" w:name="_Toc513029200"/>
      <w:r/>
      <w:bookmarkStart w:id="1" w:name="_Toc523127445"/>
      <w:r/>
      <w:bookmarkStart w:id="2" w:name="_Toc479757206"/>
      <w:r/>
      <w:bookmarkStart w:id="3" w:name="_Toc120614210"/>
      <w:r/>
      <w:bookmarkStart w:id="4" w:name="_Toc16938516"/>
      <w:r/>
      <w:bookmarkStart w:id="5" w:name="_Toc20823272"/>
      <w:r/>
      <w:r/>
    </w:p>
    <w:p>
      <w:pPr>
        <w:pStyle w:val="717"/>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717"/>
        <w:jc w:val="both"/>
        <w:spacing w:beforeAutospacing="0" w:afterAutospacing="0" w:line="480" w:lineRule="auto"/>
        <w:rPr>
          <w:highlight w:val="none"/>
        </w:rPr>
      </w:pPr>
      <w:r>
        <w:rPr>
          <w:highlight w:val="none"/>
        </w:rPr>
        <w:t xml:space="preserve"> </w:t>
      </w:r>
      <w:r/>
    </w:p>
    <w:p>
      <w:pPr>
        <w:pStyle w:val="717"/>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单一来源采购邀请…………………………</w:t>
      </w:r>
      <w:r>
        <w:rPr>
          <w:rFonts w:hint="eastAsia" w:ascii="黑体" w:hAnsi="宋体" w:eastAsia="黑体" w:cs="黑体"/>
          <w:color w:val="000000"/>
          <w:sz w:val="36"/>
          <w:szCs w:val="36"/>
          <w:highlight w:val="none"/>
          <w:lang w:val="en-US" w:eastAsia="zh-CN"/>
        </w:rPr>
        <w:t xml:space="preserve">01</w:t>
      </w:r>
      <w:r/>
    </w:p>
    <w:p>
      <w:pPr>
        <w:pStyle w:val="717"/>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供应商须知…………………………………</w:t>
      </w:r>
      <w:r>
        <w:rPr>
          <w:rFonts w:hint="eastAsia" w:ascii="黑体" w:hAnsi="宋体" w:eastAsia="黑体" w:cs="黑体"/>
          <w:color w:val="000000"/>
          <w:sz w:val="36"/>
          <w:szCs w:val="36"/>
          <w:highlight w:val="none"/>
          <w:lang w:val="en-US" w:eastAsia="zh-CN"/>
        </w:rPr>
        <w:t xml:space="preserve">06</w:t>
      </w:r>
      <w:r>
        <w:rPr>
          <w:rFonts w:hint="eastAsia" w:ascii="黑体" w:hAnsi="宋体" w:eastAsia="黑体" w:cs="黑体"/>
          <w:color w:val="000000"/>
          <w:sz w:val="36"/>
          <w:szCs w:val="36"/>
          <w:highlight w:val="none"/>
        </w:rPr>
        <w:t xml:space="preserve">  </w:t>
      </w:r>
      <w:r/>
    </w:p>
    <w:p>
      <w:pPr>
        <w:pStyle w:val="717"/>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19</w:t>
      </w:r>
      <w:r/>
    </w:p>
    <w:p>
      <w:pPr>
        <w:pStyle w:val="717"/>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27</w:t>
      </w:r>
      <w:r/>
    </w:p>
    <w:p>
      <w:pPr>
        <w:pStyle w:val="717"/>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响应文件格式………………………………</w:t>
      </w:r>
      <w:r>
        <w:rPr>
          <w:rFonts w:hint="eastAsia" w:ascii="黑体" w:hAnsi="宋体" w:eastAsia="黑体" w:cs="黑体"/>
          <w:color w:val="000000"/>
          <w:sz w:val="36"/>
          <w:szCs w:val="36"/>
          <w:highlight w:val="none"/>
          <w:lang w:val="en-US" w:eastAsia="zh-CN"/>
        </w:rPr>
        <w:t xml:space="preserve">30</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both"/>
        <w:spacing w:beforeAutospacing="0" w:afterAutospacing="0"/>
        <w:rPr>
          <w:highlight w:val="none"/>
        </w:rPr>
      </w:pPr>
      <w:r>
        <w:rPr>
          <w:highlight w:val="none"/>
        </w:rPr>
        <w:t xml:space="preserve"> </w:t>
      </w:r>
      <w:r/>
    </w:p>
    <w:p>
      <w:pPr>
        <w:pStyle w:val="717"/>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第一章  单一来源采购邀请</w:t>
      </w:r>
      <w:r/>
    </w:p>
    <w:p>
      <w:pPr>
        <w:pStyle w:val="717"/>
        <w:ind w:firstLine="56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17"/>
        <w:ind w:firstLine="560"/>
        <w:jc w:val="both"/>
        <w:keepLines w:val="0"/>
        <w:keepNext w:val="0"/>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受</w:t>
      </w:r>
      <w:r>
        <w:rPr>
          <w:rFonts w:hint="eastAsia" w:ascii="宋体" w:hAnsi="宋体" w:eastAsia="宋体" w:cs="宋体"/>
          <w:color w:val="000000"/>
          <w:sz w:val="24"/>
          <w:szCs w:val="24"/>
          <w:highlight w:val="none"/>
          <w:lang w:eastAsia="zh-CN"/>
        </w:rPr>
        <w:t xml:space="preserve">盐城市公安局盐都分局的委托，</w:t>
      </w:r>
      <w:r>
        <w:rPr>
          <w:rFonts w:hint="eastAsia" w:ascii="宋体" w:hAnsi="宋体" w:eastAsia="宋体" w:cs="宋体"/>
          <w:color w:val="000000"/>
          <w:sz w:val="24"/>
          <w:szCs w:val="24"/>
          <w:highlight w:val="none"/>
          <w:lang w:val="en-US" w:eastAsia="zh-CN"/>
        </w:rPr>
        <w:t xml:space="preserve">江苏华洵项目管理有限公司</w:t>
      </w:r>
      <w:r>
        <w:rPr>
          <w:rFonts w:hint="eastAsia" w:ascii="宋体" w:hAnsi="宋体" w:eastAsia="宋体" w:cs="宋体"/>
          <w:color w:val="000000"/>
          <w:sz w:val="24"/>
          <w:szCs w:val="24"/>
          <w:highlight w:val="none"/>
          <w:lang w:eastAsia="zh-CN"/>
        </w:rPr>
        <w:t xml:space="preserve">就</w:t>
      </w:r>
      <w:r>
        <w:rPr>
          <w:rFonts w:hint="eastAsia" w:ascii="宋体" w:hAnsi="宋体" w:eastAsia="宋体" w:cs="宋体"/>
          <w:color w:val="000000"/>
          <w:sz w:val="24"/>
          <w:szCs w:val="24"/>
          <w:highlight w:val="none"/>
          <w:lang w:eastAsia="zh-CN"/>
        </w:rPr>
        <w:t xml:space="preserve">盐都区社会治安防控体系建设（一期）项目光纤租赁（JSZC-320903-XHGL-D2026-0003）进行单一来源采购，</w:t>
      </w:r>
      <w:r>
        <w:rPr>
          <w:rFonts w:hint="eastAsia" w:ascii="宋体" w:hAnsi="宋体" w:eastAsia="宋体" w:cs="宋体"/>
          <w:color w:val="auto"/>
          <w:sz w:val="24"/>
          <w:szCs w:val="24"/>
          <w:highlight w:val="none"/>
          <w:shd w:val="clear" w:color="auto" w:fill="auto"/>
        </w:rPr>
        <w:t xml:space="preserve">欢迎符合相关条件的合格供应商参加采购活动。</w:t>
      </w:r>
      <w:r/>
    </w:p>
    <w:p>
      <w:pPr>
        <w:pStyle w:val="717"/>
        <w:ind w:firstLine="482"/>
        <w:jc w:val="both"/>
        <w:keepLines/>
        <w:keepNext/>
        <w:pageBreakBefore w:val="0"/>
        <w:spacing w:before="145" w:beforeAutospacing="0" w:after="145" w:afterAutospacing="0" w:line="400" w:lineRule="exact"/>
        <w:rPr>
          <w:rFonts w:hint="eastAsia" w:ascii="宋体" w:hAnsi="宋体" w:eastAsia="宋体" w:cs="宋体"/>
          <w:color w:val="auto"/>
          <w:sz w:val="24"/>
          <w:szCs w:val="24"/>
          <w:highlight w:val="none"/>
          <w:shd w:val="clear" w:color="auto" w:fill="auto"/>
        </w:rPr>
      </w:pPr>
      <w:r/>
      <w:bookmarkStart w:id="6" w:name="_Hlk24379207"/>
      <w:r/>
      <w:bookmarkStart w:id="7" w:name="_Toc38985263"/>
      <w:r/>
      <w:bookmarkStart w:id="8" w:name="_Toc28359079"/>
      <w:r/>
      <w:bookmarkStart w:id="9" w:name="_Toc35393790"/>
      <w:r/>
      <w:bookmarkStart w:id="10" w:name="_Toc35393621"/>
      <w:r/>
      <w:bookmarkStart w:id="11" w:name="_Toc28359002"/>
      <w:r>
        <w:rPr>
          <w:rFonts w:hint="eastAsia" w:ascii="宋体" w:hAnsi="宋体" w:eastAsia="宋体" w:cs="宋体"/>
          <w:b/>
          <w:color w:val="auto"/>
          <w:sz w:val="24"/>
          <w:szCs w:val="24"/>
          <w:highlight w:val="none"/>
          <w:shd w:val="clear" w:color="auto" w:fill="auto"/>
        </w:rPr>
        <w:t xml:space="preserve">一、项目基本情况</w:t>
      </w:r>
      <w:bookmarkEnd w:id="6"/>
      <w:r/>
      <w:bookmarkEnd w:id="7"/>
      <w:r/>
      <w:bookmarkEnd w:id="8"/>
      <w:r/>
      <w:bookmarkEnd w:id="9"/>
      <w:r/>
      <w:bookmarkEnd w:id="10"/>
      <w:r/>
      <w:bookmarkEnd w:id="11"/>
      <w:r/>
      <w:r/>
    </w:p>
    <w:p>
      <w:pPr>
        <w:pStyle w:val="717"/>
        <w:ind w:firstLine="480"/>
        <w:jc w:val="both"/>
        <w:pageBreakBefore w:val="0"/>
        <w:spacing w:beforeAutospacing="0" w:afterAutospacing="0" w:line="400" w:lineRule="exact"/>
        <w:rPr>
          <w:rFonts w:hint="eastAsia" w:ascii="宋体" w:hAnsi="宋体" w:eastAsia="宋体" w:cs="宋体"/>
          <w:color w:val="0000ff"/>
          <w:sz w:val="24"/>
          <w:szCs w:val="24"/>
          <w:highlight w:val="none"/>
          <w:shd w:val="clear" w:color="auto" w:fill="auto"/>
          <w:lang w:eastAsia="zh-CN"/>
        </w:rPr>
      </w:pPr>
      <w:r/>
      <w:bookmarkStart w:id="12" w:name="_Toc35393791"/>
      <w:r/>
      <w:bookmarkStart w:id="13" w:name="_Toc28359080"/>
      <w:r/>
      <w:bookmarkStart w:id="14" w:name="_Toc35393622"/>
      <w:r/>
      <w:bookmarkStart w:id="15" w:name="_Toc28359003"/>
      <w:r/>
      <w:bookmarkStart w:id="16" w:name="_Toc38985264"/>
      <w:r>
        <w:rPr>
          <w:rFonts w:hint="eastAsia" w:ascii="宋体" w:hAnsi="宋体" w:eastAsia="宋体" w:cs="宋体"/>
          <w:color w:val="auto"/>
          <w:sz w:val="24"/>
          <w:szCs w:val="24"/>
          <w:highlight w:val="none"/>
          <w:shd w:val="clear" w:color="auto" w:fill="auto"/>
        </w:rPr>
        <w:t xml:space="preserve">1.项目编号：</w:t>
      </w:r>
      <w:r>
        <w:rPr>
          <w:rFonts w:hint="eastAsia" w:ascii="宋体" w:hAnsi="宋体" w:eastAsia="宋体" w:cs="宋体"/>
          <w:color w:val="auto"/>
          <w:sz w:val="24"/>
          <w:szCs w:val="24"/>
          <w:highlight w:val="none"/>
          <w:shd w:val="clear" w:color="auto" w:fill="auto"/>
          <w:lang w:eastAsia="zh-CN"/>
        </w:rPr>
        <w:t xml:space="preserve">JSZC-320903-XHGL-D2026-0003</w:t>
      </w:r>
      <w:r/>
    </w:p>
    <w:p>
      <w:pPr>
        <w:pStyle w:val="717"/>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color w:val="auto"/>
          <w:sz w:val="24"/>
          <w:szCs w:val="24"/>
          <w:highlight w:val="none"/>
          <w:shd w:val="clear" w:color="auto" w:fill="auto"/>
          <w:lang w:eastAsia="zh-CN"/>
        </w:rPr>
        <w:t xml:space="preserve">盐都区社会治安防控体系建设（一期）项目光纤租赁</w:t>
      </w:r>
      <w:r/>
    </w:p>
    <w:p>
      <w:pPr>
        <w:pStyle w:val="717"/>
        <w:ind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单一来源采购</w:t>
      </w:r>
      <w:r/>
    </w:p>
    <w:p>
      <w:pPr>
        <w:pStyle w:val="717"/>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4.预算金额：3600000.00元</w:t>
      </w:r>
      <w:r/>
    </w:p>
    <w:p>
      <w:pPr>
        <w:pStyle w:val="717"/>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3600000.00元</w:t>
      </w:r>
      <w:r/>
    </w:p>
    <w:p>
      <w:pPr>
        <w:pStyle w:val="717"/>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为盐都公安机关提供专用传输网络服务，满足盐都公安网络安全、稳定、高效运行，保障盐都区社会治安防控体系建设（一期）项目全流程正常运转，并新增41条备用光纤线路，完善网络冗余建设。</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单一来源</w:t>
      </w:r>
      <w:r>
        <w:rPr>
          <w:rFonts w:hint="eastAsia" w:ascii="宋体" w:hAnsi="宋体" w:eastAsia="宋体" w:cs="宋体"/>
          <w:color w:val="auto"/>
          <w:sz w:val="24"/>
          <w:szCs w:val="24"/>
          <w:highlight w:val="none"/>
          <w:shd w:val="clear" w:color="auto" w:fill="auto"/>
        </w:rPr>
        <w:t xml:space="preserve">文件第四章）</w:t>
      </w:r>
      <w:r/>
    </w:p>
    <w:p>
      <w:pPr>
        <w:pStyle w:val="717"/>
        <w:ind w:firstLine="480"/>
        <w:jc w:val="both"/>
        <w:pageBreakBefore w:val="0"/>
        <w:spacing w:beforeAutospacing="0" w:afterAutospacing="0" w:line="4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1年；</w:t>
      </w:r>
      <w:r/>
    </w:p>
    <w:p>
      <w:pPr>
        <w:pStyle w:val="717"/>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8.本项目不接受联合体参与单一来源采购活动。</w:t>
      </w:r>
      <w:r/>
    </w:p>
    <w:p>
      <w:pPr>
        <w:pStyle w:val="717"/>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w:t>
      </w:r>
      <w:bookmarkEnd w:id="12"/>
      <w:r/>
      <w:bookmarkEnd w:id="13"/>
      <w:r/>
      <w:bookmarkEnd w:id="14"/>
      <w:r/>
      <w:bookmarkEnd w:id="15"/>
      <w:r/>
      <w:bookmarkEnd w:id="16"/>
      <w:r>
        <w:rPr>
          <w:rFonts w:hint="eastAsia" w:ascii="宋体" w:hAnsi="宋体" w:eastAsia="宋体" w:cs="宋体"/>
          <w:b/>
          <w:color w:val="auto"/>
          <w:sz w:val="24"/>
          <w:szCs w:val="24"/>
          <w:highlight w:val="none"/>
          <w:shd w:val="clear" w:color="auto" w:fill="auto"/>
        </w:rPr>
        <w:t xml:space="preserve">合格单一来源供应商资格要求</w:t>
      </w:r>
      <w:r/>
    </w:p>
    <w:p>
      <w:pPr>
        <w:pStyle w:val="717"/>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717"/>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717"/>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w:t>
      </w:r>
      <w:r>
        <w:rPr>
          <w:rFonts w:hint="eastAsia" w:ascii="宋体" w:hAnsi="宋体" w:eastAsia="宋体" w:cs="宋体"/>
          <w:color w:val="auto"/>
          <w:sz w:val="24"/>
          <w:szCs w:val="24"/>
          <w:highlight w:val="none"/>
          <w:shd w:val="clear" w:color="auto" w:fill="auto"/>
        </w:rPr>
        <w:t xml:space="preserve">（成立不满一年无需提供）；</w:t>
      </w:r>
      <w:r/>
    </w:p>
    <w:p>
      <w:pPr>
        <w:pStyle w:val="717"/>
        <w:ind w:firstLine="480"/>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717"/>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7"/>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717"/>
        <w:ind w:firstLine="480"/>
        <w:jc w:val="both"/>
        <w:spacing w:beforeAutospacing="0" w:afterAutospacing="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717"/>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7"/>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717"/>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落实政府采购政策需满足的资格要求：无</w:t>
      </w:r>
      <w:r>
        <w:rPr>
          <w:rFonts w:hint="eastAsia" w:ascii="宋体" w:hAnsi="宋体" w:eastAsia="宋体" w:cs="宋体"/>
          <w:color w:val="auto"/>
          <w:sz w:val="24"/>
          <w:szCs w:val="24"/>
          <w:highlight w:val="none"/>
          <w:shd w:val="clear" w:color="auto" w:fill="auto"/>
          <w:lang w:eastAsia="zh-CN"/>
        </w:rPr>
        <w:t xml:space="preserve">。</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无</w:t>
      </w:r>
      <w:r>
        <w:rPr>
          <w:rFonts w:hint="eastAsia" w:ascii="宋体" w:hAnsi="宋体" w:eastAsia="宋体" w:cs="宋体"/>
          <w:color w:val="auto"/>
          <w:sz w:val="24"/>
          <w:szCs w:val="24"/>
          <w:highlight w:val="none"/>
          <w:shd w:val="clear" w:color="auto" w:fill="auto"/>
          <w:lang w:eastAsia="zh-CN"/>
        </w:rPr>
        <w:t xml:space="preserve">。</w:t>
      </w:r>
      <w:r/>
    </w:p>
    <w:p>
      <w:pPr>
        <w:pStyle w:val="717"/>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单一来源</w:t>
      </w:r>
      <w:r>
        <w:rPr>
          <w:rFonts w:hint="eastAsia" w:ascii="宋体" w:hAnsi="宋体" w:eastAsia="宋体" w:cs="宋体"/>
          <w:b/>
          <w:color w:val="auto"/>
          <w:sz w:val="24"/>
          <w:szCs w:val="24"/>
          <w:highlight w:val="none"/>
          <w:shd w:val="clear" w:color="auto" w:fill="auto"/>
        </w:rPr>
        <w:t xml:space="preserve">文件</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自采购文件在苏采云系统发布之日起至投标截止时间前。</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40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17"/>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rPr>
      </w:pPr>
      <w:r/>
      <w:bookmarkStart w:id="17" w:name="_Toc35393624"/>
      <w:r/>
      <w:bookmarkStart w:id="18" w:name="_Toc38985266"/>
      <w:r/>
      <w:bookmarkStart w:id="19" w:name="_Toc28359005"/>
      <w:r/>
      <w:bookmarkStart w:id="20" w:name="_Toc35393793"/>
      <w:r/>
      <w:bookmarkStart w:id="21" w:name="_Toc28359082"/>
      <w:r>
        <w:rPr>
          <w:rFonts w:hint="eastAsia" w:ascii="宋体" w:hAnsi="宋体" w:eastAsia="宋体" w:cs="宋体"/>
          <w:b/>
          <w:color w:val="auto"/>
          <w:sz w:val="24"/>
          <w:szCs w:val="24"/>
          <w:highlight w:val="none"/>
          <w:shd w:val="clear" w:color="auto" w:fill="auto"/>
          <w:lang w:val="en-US" w:eastAsia="zh-CN"/>
        </w:rPr>
        <w:t xml:space="preserve">四</w:t>
      </w:r>
      <w:r>
        <w:rPr>
          <w:rFonts w:hint="eastAsia" w:ascii="宋体" w:hAnsi="宋体" w:eastAsia="宋体" w:cs="宋体"/>
          <w:b/>
          <w:color w:val="auto"/>
          <w:sz w:val="24"/>
          <w:szCs w:val="24"/>
          <w:highlight w:val="none"/>
          <w:shd w:val="clear" w:color="auto" w:fill="auto"/>
        </w:rPr>
        <w:t xml:space="preserve">、提交</w:t>
      </w:r>
      <w:bookmarkEnd w:id="17"/>
      <w:r/>
      <w:bookmarkEnd w:id="18"/>
      <w:r>
        <w:rPr>
          <w:rFonts w:hint="eastAsia" w:ascii="宋体" w:hAnsi="宋体" w:eastAsia="宋体" w:cs="宋体"/>
          <w:b/>
          <w:color w:val="auto"/>
          <w:sz w:val="24"/>
          <w:szCs w:val="24"/>
          <w:highlight w:val="none"/>
          <w:shd w:val="clear" w:color="auto" w:fill="auto"/>
        </w:rPr>
        <w:t xml:space="preserve">响应文件截止时间</w:t>
      </w:r>
      <w:bookmarkEnd w:id="19"/>
      <w:r/>
      <w:bookmarkEnd w:id="20"/>
      <w:r/>
      <w:bookmarkEnd w:id="21"/>
      <w:r/>
      <w:r/>
    </w:p>
    <w:p>
      <w:pPr>
        <w:pStyle w:val="717"/>
        <w:ind w:firstLine="480"/>
        <w:jc w:val="both"/>
        <w:pageBreakBefore w:val="0"/>
        <w:spacing w:beforeAutospacing="0" w:afterAutospacing="0" w:line="400" w:lineRule="exact"/>
        <w:rPr>
          <w:rFonts w:hint="eastAsia" w:ascii="宋体" w:hAnsi="宋体" w:eastAsia="宋体" w:cs="宋体"/>
          <w:color w:val="auto"/>
          <w:sz w:val="24"/>
          <w:szCs w:val="24"/>
          <w:highlight w:val="white"/>
          <w:shd w:val="clear" w:color="auto" w:fill="auto"/>
        </w:rPr>
      </w:pPr>
      <w:r>
        <w:rPr>
          <w:highlight w:val="white"/>
        </w:rPr>
      </w:r>
      <w:bookmarkStart w:id="22" w:name="_Toc28359008"/>
      <w:r>
        <w:rPr>
          <w:highlight w:val="white"/>
        </w:rPr>
      </w:r>
      <w:bookmarkStart w:id="23" w:name="_Toc38985269"/>
      <w:r>
        <w:rPr>
          <w:highlight w:val="white"/>
        </w:rPr>
      </w:r>
      <w:bookmarkStart w:id="24" w:name="_Toc28359085"/>
      <w:r>
        <w:rPr>
          <w:highlight w:val="white"/>
        </w:rPr>
      </w:r>
      <w:bookmarkStart w:id="25" w:name="_Toc35393796"/>
      <w:r>
        <w:rPr>
          <w:highlight w:val="white"/>
        </w:rPr>
      </w:r>
      <w:bookmarkStart w:id="26" w:name="_Toc35393627"/>
      <w:r>
        <w:rPr>
          <w:rFonts w:hint="eastAsia" w:ascii="宋体" w:hAnsi="宋体" w:eastAsia="宋体" w:cs="宋体"/>
          <w:i w:val="0"/>
          <w:iCs w:val="0"/>
          <w:caps w:val="0"/>
          <w:color w:val="auto"/>
          <w:spacing w:val="0"/>
          <w:sz w:val="24"/>
          <w:szCs w:val="24"/>
          <w:highlight w:val="white"/>
          <w:shd w:val="clear" w:color="auto" w:fill="auto"/>
        </w:rPr>
        <w:t xml:space="preserve">1.截止时间：</w:t>
      </w:r>
      <w:r>
        <w:rPr>
          <w:rFonts w:hint="eastAsia" w:ascii="宋体" w:hAnsi="宋体" w:eastAsia="宋体" w:cs="宋体"/>
          <w:i w:val="0"/>
          <w:iCs w:val="0"/>
          <w:caps w:val="0"/>
          <w:color w:val="auto"/>
          <w:spacing w:val="0"/>
          <w:sz w:val="24"/>
          <w:szCs w:val="24"/>
          <w:highlight w:val="whit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white"/>
          <w:shd w:val="clear" w:color="auto" w:fill="auto"/>
        </w:rPr>
        <w:t xml:space="preserve">年</w:t>
      </w:r>
      <w:r>
        <w:rPr>
          <w:rFonts w:hint="eastAsia" w:ascii="宋体" w:hAnsi="宋体" w:eastAsia="宋体" w:cs="宋体"/>
          <w:i w:val="0"/>
          <w:iCs w:val="0"/>
          <w:caps w:val="0"/>
          <w:color w:val="auto"/>
          <w:spacing w:val="0"/>
          <w:sz w:val="24"/>
          <w:szCs w:val="24"/>
          <w:highlight w:val="white"/>
          <w:u w:val="single"/>
          <w:shd w:val="clear" w:color="auto" w:fill="auto"/>
          <w:lang w:val="en-US" w:eastAsia="zh-CN"/>
        </w:rPr>
        <w:t xml:space="preserve">05</w:t>
      </w:r>
      <w:r>
        <w:rPr>
          <w:rFonts w:hint="eastAsia" w:ascii="宋体" w:hAnsi="宋体" w:eastAsia="宋体" w:cs="宋体"/>
          <w:i w:val="0"/>
          <w:iCs w:val="0"/>
          <w:caps w:val="0"/>
          <w:color w:val="auto"/>
          <w:spacing w:val="0"/>
          <w:sz w:val="24"/>
          <w:szCs w:val="24"/>
          <w:highlight w:val="white"/>
          <w:shd w:val="clear" w:color="auto" w:fill="auto"/>
        </w:rPr>
        <w:t xml:space="preserve">月</w:t>
      </w:r>
      <w:r>
        <w:rPr>
          <w:rFonts w:hint="eastAsia" w:ascii="宋体" w:hAnsi="宋体" w:eastAsia="宋体" w:cs="宋体"/>
          <w:i w:val="0"/>
          <w:iCs w:val="0"/>
          <w:caps w:val="0"/>
          <w:color w:val="auto"/>
          <w:spacing w:val="0"/>
          <w:sz w:val="24"/>
          <w:szCs w:val="24"/>
          <w:highlight w:val="white"/>
          <w:u w:val="single"/>
          <w:shd w:val="clear" w:color="auto" w:fill="auto"/>
          <w:lang w:val="en-US" w:eastAsia="zh-CN"/>
        </w:rPr>
        <w:t xml:space="preserve">28</w:t>
      </w:r>
      <w:r>
        <w:rPr>
          <w:rFonts w:hint="eastAsia" w:ascii="宋体" w:hAnsi="宋体" w:eastAsia="宋体" w:cs="宋体"/>
          <w:i w:val="0"/>
          <w:iCs w:val="0"/>
          <w:caps w:val="0"/>
          <w:color w:val="auto"/>
          <w:spacing w:val="0"/>
          <w:sz w:val="24"/>
          <w:szCs w:val="24"/>
          <w:highlight w:val="white"/>
          <w:shd w:val="clear" w:color="auto" w:fill="auto"/>
        </w:rPr>
        <w:t xml:space="preserve">日</w:t>
      </w:r>
      <w:r>
        <w:rPr>
          <w:rFonts w:hint="eastAsia" w:ascii="宋体" w:hAnsi="宋体" w:eastAsia="宋体" w:cs="宋体"/>
          <w:i w:val="0"/>
          <w:iCs w:val="0"/>
          <w:caps w:val="0"/>
          <w:color w:val="auto"/>
          <w:spacing w:val="0"/>
          <w:sz w:val="24"/>
          <w:szCs w:val="24"/>
          <w:highlight w:val="white"/>
          <w:u w:val="singl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white"/>
          <w:shd w:val="clear" w:color="auto" w:fill="auto"/>
        </w:rPr>
        <w:t xml:space="preserve">点</w:t>
      </w:r>
      <w:r>
        <w:rPr>
          <w:rFonts w:hint="eastAsia" w:ascii="宋体" w:hAnsi="宋体" w:eastAsia="宋体" w:cs="宋体"/>
          <w:i w:val="0"/>
          <w:iCs w:val="0"/>
          <w:caps w:val="0"/>
          <w:color w:val="auto"/>
          <w:spacing w:val="0"/>
          <w:sz w:val="24"/>
          <w:szCs w:val="24"/>
          <w:highlight w:val="whit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white"/>
          <w:shd w:val="clear" w:color="auto" w:fill="auto"/>
        </w:rPr>
        <w:t xml:space="preserve">分</w:t>
      </w:r>
      <w:r>
        <w:rPr>
          <w:rFonts w:hint="eastAsia" w:ascii="宋体" w:hAnsi="宋体" w:eastAsia="宋体" w:cs="宋体"/>
          <w:color w:val="auto"/>
          <w:sz w:val="24"/>
          <w:szCs w:val="24"/>
          <w:highlight w:val="white"/>
          <w:shd w:val="clear" w:color="auto" w:fill="auto"/>
        </w:rPr>
        <w:t xml:space="preserve">（北京时间）。</w:t>
      </w:r>
      <w:r>
        <w:rPr>
          <w:highlight w:val="white"/>
        </w:rPr>
      </w:r>
      <w:r/>
    </w:p>
    <w:p>
      <w:pPr>
        <w:pStyle w:val="717"/>
        <w:ind w:firstLine="480"/>
        <w:jc w:val="both"/>
        <w:pageBreakBefore w:val="0"/>
        <w:spacing w:beforeAutospacing="0" w:afterAutospacing="0" w:line="4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717"/>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五</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lang w:val="en-US" w:eastAsia="zh-CN"/>
        </w:rPr>
        <w:t xml:space="preserve">其他</w:t>
      </w:r>
      <w:bookmarkEnd w:id="22"/>
      <w:r/>
      <w:bookmarkEnd w:id="23"/>
      <w:r/>
      <w:bookmarkEnd w:id="24"/>
      <w:r/>
      <w:bookmarkEnd w:id="25"/>
      <w:r/>
      <w:bookmarkEnd w:id="26"/>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7" w:name="_Toc28359086"/>
      <w:r>
        <w:rPr>
          <w:rFonts w:hint="eastAsia" w:ascii="宋体" w:hAnsi="宋体" w:eastAsia="宋体" w:cs="宋体"/>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bidi="ar-SA"/>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2.2潜在投标人访问“苏采云”系统方法：江苏省政府采购网首页-“苏采云”链接。</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2.3采购文件（后缀名为“.kedt”）、供应商操作手册及政府采购客户端工具可通过“苏采云”系统相应链接进行下载。</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2.4采购代理机构将数据电文形式的采购文件加载至“苏采云”系统，供潜在供应商下载或者查阅。</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717"/>
        <w:ind w:firstLine="480"/>
        <w:jc w:val="both"/>
        <w:pageBreakBefore w:val="0"/>
        <w:spacing w:beforeAutospacing="0" w:afterAutospacing="0" w:line="400" w:lineRule="exact"/>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bidi="ar-SA"/>
        </w:rPr>
        <w:t xml:space="preserve">.本次单一来源采购不收取投标保证金，不收取质量保证金。</w:t>
      </w:r>
      <w:r/>
    </w:p>
    <w:p>
      <w:pPr>
        <w:pStyle w:val="717"/>
        <w:ind w:firstLine="482"/>
        <w:jc w:val="both"/>
        <w:keepLines/>
        <w:keepNext/>
        <w:pageBreakBefore w:val="0"/>
        <w:spacing w:before="145" w:beforeAutospacing="0" w:after="145" w:afterAutospacing="0" w:line="400"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六、凡对本次采购提出询问，请按以下方式联系。</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名称：盐城市公安局盐都分局</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地址：盐城市盐都区新都路 630 号‌</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联系人：徐警官</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联系方式：15195140992</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8" w:name="_Toc28359087"/>
      <w:r/>
      <w:bookmarkStart w:id="29"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名称：江苏华洵项目管理有限公司</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default"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地址：盐城市亭湖区迎宾南路58号</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联系人：顾女士</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End w:id="28"/>
      <w:r/>
      <w:bookmarkEnd w:id="29"/>
      <w:r/>
      <w:bookmarkStart w:id="30"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13375256823</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项目联系人：顾女士</w:t>
      </w:r>
      <w:r/>
    </w:p>
    <w:p>
      <w:pPr>
        <w:pStyle w:val="717"/>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电话：13375256823</w:t>
      </w:r>
      <w:r/>
    </w:p>
    <w:p>
      <w:pPr>
        <w:rPr>
          <w:color w:val="auto"/>
          <w:highlight w:val="none"/>
        </w:rPr>
      </w:pPr>
      <w:r>
        <w:rPr>
          <w:rFonts w:hint="eastAsia" w:ascii="黑体" w:hAnsi="宋体" w:eastAsia="黑体" w:cs="黑体"/>
          <w:b/>
          <w:color w:val="auto"/>
          <w:sz w:val="44"/>
          <w:szCs w:val="44"/>
          <w:highlight w:val="none"/>
          <w:shd w:val="clear" w:color="auto" w:fill="auto"/>
        </w:rPr>
        <w:br w:type="page" w:clear="all"/>
      </w:r>
      <w:r/>
    </w:p>
    <w:p>
      <w:pPr>
        <w:pStyle w:val="717"/>
        <w:jc w:val="center"/>
        <w:keepLines/>
        <w:keepNext/>
        <w:spacing w:before="260" w:beforeAutospacing="0" w:after="260" w:afterAutospacing="0" w:line="415" w:lineRule="auto"/>
        <w:rPr>
          <w:rFonts w:hint="eastAsia" w:ascii="黑体" w:hAnsi="宋体" w:eastAsia="黑体" w:cs="黑体"/>
          <w:b/>
          <w:bCs/>
          <w:color w:val="auto"/>
          <w:sz w:val="44"/>
          <w:szCs w:val="44"/>
          <w:highlight w:val="none"/>
          <w:shd w:val="clear" w:color="auto" w:fill="auto"/>
        </w:rPr>
      </w:pPr>
      <w:r/>
      <w:bookmarkStart w:id="31" w:name="_Toc120614211"/>
      <w:r>
        <w:rPr>
          <w:rFonts w:hint="eastAsia" w:ascii="黑体" w:hAnsi="宋体" w:eastAsia="黑体" w:cs="黑体"/>
          <w:b/>
          <w:color w:val="auto"/>
          <w:sz w:val="44"/>
          <w:szCs w:val="44"/>
          <w:highlight w:val="none"/>
          <w:shd w:val="clear" w:color="auto" w:fill="auto"/>
        </w:rPr>
        <w:t xml:space="preserve">第二章  </w:t>
      </w:r>
      <w:bookmarkEnd w:id="31"/>
      <w:r>
        <w:rPr>
          <w:rFonts w:hint="eastAsia" w:ascii="黑体" w:hAnsi="宋体" w:eastAsia="黑体" w:cs="黑体"/>
          <w:b/>
          <w:color w:val="auto"/>
          <w:sz w:val="44"/>
          <w:szCs w:val="44"/>
          <w:highlight w:val="none"/>
          <w:shd w:val="clear" w:color="auto" w:fill="auto"/>
        </w:rPr>
        <w:t xml:space="preserve">供应商须知</w:t>
      </w:r>
      <w:r/>
    </w:p>
    <w:p>
      <w:pPr>
        <w:pStyle w:val="717"/>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32" w:name="_Toc16938519"/>
      <w:r/>
      <w:bookmarkStart w:id="33" w:name="_Toc513029203"/>
      <w:r/>
      <w:bookmarkStart w:id="34" w:name="_Toc120614214"/>
      <w:r/>
      <w:bookmarkStart w:id="35" w:name="_Toc20823275"/>
      <w:r>
        <w:rPr>
          <w:rFonts w:hint="eastAsia" w:ascii="宋体" w:hAnsi="宋体" w:eastAsia="宋体" w:cs="宋体"/>
          <w:b/>
          <w:color w:val="auto"/>
          <w:sz w:val="24"/>
          <w:szCs w:val="24"/>
          <w:highlight w:val="none"/>
          <w:shd w:val="clear" w:color="auto" w:fill="auto"/>
        </w:rPr>
        <w:t xml:space="preserve">一、总则</w:t>
      </w:r>
      <w:bookmarkEnd w:id="32"/>
      <w:r/>
      <w:bookmarkEnd w:id="33"/>
      <w:r/>
      <w:bookmarkEnd w:id="34"/>
      <w:r/>
      <w:bookmarkEnd w:id="35"/>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36" w:name="_Toc20823276"/>
      <w:r/>
      <w:bookmarkStart w:id="37" w:name="_Toc513029204"/>
      <w:r/>
      <w:bookmarkStart w:id="38" w:name="_Toc458694821"/>
      <w:r/>
      <w:bookmarkStart w:id="39" w:name="_Toc16938520"/>
      <w:r/>
      <w:bookmarkStart w:id="40" w:name="_Hlt16619475"/>
      <w:r>
        <w:rPr>
          <w:rFonts w:hint="eastAsia" w:ascii="宋体" w:hAnsi="宋体" w:eastAsia="宋体" w:cs="宋体"/>
          <w:color w:val="auto"/>
          <w:sz w:val="24"/>
          <w:szCs w:val="24"/>
          <w:highlight w:val="none"/>
          <w:shd w:val="clear" w:color="auto" w:fill="auto"/>
        </w:rPr>
        <w:t xml:space="preserve">1</w:t>
      </w:r>
      <w:bookmarkEnd w:id="36"/>
      <w:r>
        <w:rPr>
          <w:rFonts w:hint="eastAsia" w:ascii="宋体" w:hAnsi="宋体" w:eastAsia="宋体" w:cs="宋体"/>
          <w:color w:val="auto"/>
          <w:sz w:val="24"/>
          <w:szCs w:val="24"/>
          <w:highlight w:val="none"/>
          <w:shd w:val="clear" w:color="auto" w:fill="auto"/>
        </w:rPr>
        <w:t xml:space="preserve">、采购方式</w:t>
      </w:r>
      <w:bookmarkEnd w:id="37"/>
      <w:r/>
      <w:bookmarkEnd w:id="38"/>
      <w:r/>
      <w:bookmarkEnd w:id="39"/>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1.1本次政府采购活动采取单一来源采购方式。</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1" w:name="_Toc513029205"/>
      <w:r/>
      <w:bookmarkStart w:id="42" w:name="_Toc20823277"/>
      <w:r/>
      <w:bookmarkStart w:id="43" w:name="_Toc16938521"/>
      <w:r>
        <w:rPr>
          <w:rFonts w:hint="eastAsia" w:ascii="宋体" w:hAnsi="宋体" w:eastAsia="宋体" w:cs="宋体"/>
          <w:color w:val="auto"/>
          <w:sz w:val="24"/>
          <w:szCs w:val="24"/>
          <w:highlight w:val="none"/>
          <w:shd w:val="clear" w:color="auto" w:fill="auto"/>
        </w:rPr>
        <w:t xml:space="preserve">2、合格的</w:t>
      </w:r>
      <w:bookmarkEnd w:id="41"/>
      <w:r/>
      <w:bookmarkEnd w:id="42"/>
      <w:r/>
      <w:bookmarkEnd w:id="43"/>
      <w:r>
        <w:rPr>
          <w:rFonts w:hint="eastAsia" w:ascii="宋体" w:hAnsi="宋体" w:eastAsia="宋体" w:cs="宋体"/>
          <w:color w:val="auto"/>
          <w:sz w:val="24"/>
          <w:szCs w:val="24"/>
          <w:highlight w:val="none"/>
          <w:shd w:val="clear" w:color="auto" w:fill="auto"/>
        </w:rPr>
        <w:t xml:space="preserve">供应商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4" w:name="_Toc16938522"/>
      <w:r/>
      <w:bookmarkStart w:id="45" w:name="_Toc513029206"/>
      <w:r/>
      <w:bookmarkStart w:id="46" w:name="_Toc20823278"/>
      <w:r>
        <w:rPr>
          <w:rFonts w:hint="eastAsia" w:ascii="宋体" w:hAnsi="宋体" w:eastAsia="宋体" w:cs="宋体"/>
          <w:color w:val="auto"/>
          <w:sz w:val="24"/>
          <w:szCs w:val="24"/>
          <w:highlight w:val="none"/>
          <w:shd w:val="clear" w:color="auto" w:fill="auto"/>
        </w:rPr>
        <w:t xml:space="preserve">2.1满足采购文件中合格单一来源供应商资格要求的规定。</w:t>
      </w:r>
      <w:bookmarkEnd w:id="44"/>
      <w:r/>
      <w:bookmarkEnd w:id="45"/>
      <w:r/>
      <w:bookmarkEnd w:id="46"/>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2.2满足本采购文件实质性条款的规定。</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47" w:name="_Toc16938523"/>
      <w:r/>
      <w:bookmarkStart w:id="48" w:name="_Toc513029207"/>
      <w:r/>
      <w:bookmarkStart w:id="49" w:name="_Toc20823279"/>
      <w:r/>
      <w:bookmarkStart w:id="50" w:name="_Toc462564067"/>
      <w:r>
        <w:rPr>
          <w:rFonts w:hint="eastAsia" w:ascii="宋体" w:hAnsi="宋体" w:eastAsia="宋体" w:cs="宋体"/>
          <w:color w:val="auto"/>
          <w:sz w:val="24"/>
          <w:szCs w:val="24"/>
          <w:highlight w:val="none"/>
          <w:shd w:val="clear" w:color="auto" w:fill="auto"/>
        </w:rPr>
        <w:t xml:space="preserve">3、适用法律和标准</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 本次招标及由此产生的合同受中华人民共和国有关的法律法规制约和保护。</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在本项目政府采购活动过程中，如果所执行的标准有更新的，按照最新标准执行。</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4、相关费用</w:t>
      </w:r>
      <w:bookmarkEnd w:id="47"/>
      <w:r/>
      <w:bookmarkEnd w:id="48"/>
      <w:r/>
      <w:bookmarkEnd w:id="49"/>
      <w:r/>
      <w:bookmarkEnd w:id="50"/>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 xml:space="preserve">江苏华洵项目管理有限公司</w:t>
      </w:r>
      <w:r>
        <w:rPr>
          <w:rFonts w:hint="eastAsia" w:ascii="宋体" w:hAnsi="宋体" w:eastAsia="宋体" w:cs="宋体"/>
          <w:color w:val="auto"/>
          <w:sz w:val="24"/>
          <w:szCs w:val="24"/>
          <w:highlight w:val="none"/>
          <w:shd w:val="clear" w:color="auto" w:fill="auto"/>
        </w:rPr>
        <w:t xml:space="preserve">（以下简称</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）在任何情况下均无义务和责任承担这些费用。</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4.2本次采购</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和采购人不收取标书工本费。</w:t>
      </w:r>
      <w:r/>
    </w:p>
    <w:p>
      <w:pPr>
        <w:pStyle w:val="717"/>
        <w:ind w:left="0" w:firstLine="482"/>
        <w:jc w:val="both"/>
        <w:pageBreakBefore w:val="0"/>
        <w:spacing w:beforeAutospacing="0" w:afterAutospacing="0" w:line="400" w:lineRule="exact"/>
        <w:widowControl w:val="off"/>
        <w:rPr>
          <w:rFonts w:hint="eastAsia" w:ascii="黑体" w:hAnsi="黑体" w:eastAsia="黑体" w:cs="黑体"/>
          <w:b/>
          <w:bCs/>
          <w:color w:val="auto"/>
          <w:sz w:val="24"/>
          <w:szCs w:val="24"/>
          <w:highlight w:val="none"/>
          <w:shd w:val="clear" w:color="auto" w:fill="auto"/>
          <w:lang w:val="en-US" w:eastAsia="zh-CN"/>
        </w:rPr>
      </w:pPr>
      <w:r>
        <w:rPr>
          <w:rFonts w:hint="eastAsia" w:ascii="黑体" w:hAnsi="黑体" w:eastAsia="黑体" w:cs="黑体"/>
          <w:b/>
          <w:bCs/>
          <w:color w:val="auto"/>
          <w:sz w:val="24"/>
          <w:szCs w:val="24"/>
          <w:highlight w:val="none"/>
          <w:shd w:val="clear" w:color="auto" w:fill="auto"/>
          <w:lang w:val="en-US" w:eastAsia="zh-CN"/>
        </w:rPr>
        <w:t xml:space="preserve">4.3本项目的成交人在领取成交通知书前，须向采购代理机构江苏华洵项目管理有限公司支付招标代理服务费，招标代理服务费参照苏招协[2022]002号文件收费标准*80%计取，上述费用由供应商在响应时自行综合考虑分摊含进响应报价中，且不得单列，采购人不承担此费用。</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采购文件的约束力</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717"/>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51" w:name="_Toc20823281"/>
      <w:r/>
      <w:bookmarkStart w:id="52" w:name="_Toc16938525"/>
      <w:r/>
      <w:bookmarkStart w:id="53" w:name="_Toc120614215"/>
      <w:r/>
      <w:bookmarkStart w:id="54" w:name="_Toc513029209"/>
      <w:r>
        <w:rPr>
          <w:rFonts w:hint="eastAsia" w:ascii="宋体" w:hAnsi="宋体" w:eastAsia="宋体" w:cs="宋体"/>
          <w:b/>
          <w:color w:val="auto"/>
          <w:sz w:val="24"/>
          <w:szCs w:val="24"/>
          <w:highlight w:val="none"/>
          <w:shd w:val="clear" w:color="auto" w:fill="auto"/>
        </w:rPr>
        <w:t xml:space="preserve">二、</w:t>
      </w:r>
      <w:bookmarkEnd w:id="51"/>
      <w:r/>
      <w:bookmarkEnd w:id="52"/>
      <w:r/>
      <w:bookmarkEnd w:id="53"/>
      <w:r/>
      <w:bookmarkEnd w:id="54"/>
      <w:r>
        <w:rPr>
          <w:rFonts w:hint="eastAsia" w:ascii="宋体" w:hAnsi="宋体" w:eastAsia="宋体" w:cs="宋体"/>
          <w:b/>
          <w:color w:val="auto"/>
          <w:sz w:val="24"/>
          <w:szCs w:val="24"/>
          <w:highlight w:val="none"/>
          <w:shd w:val="clear" w:color="auto" w:fill="auto"/>
        </w:rPr>
        <w:t xml:space="preserve">采购文件</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55" w:name="_Toc513029210"/>
      <w:r/>
      <w:bookmarkStart w:id="56" w:name="_Toc20823282"/>
      <w:r/>
      <w:bookmarkStart w:id="57" w:name="_Toc16938526"/>
      <w:r>
        <w:rPr>
          <w:rFonts w:hint="eastAsia" w:ascii="宋体" w:hAnsi="宋体" w:eastAsia="宋体" w:cs="宋体"/>
          <w:color w:val="auto"/>
          <w:sz w:val="24"/>
          <w:szCs w:val="24"/>
          <w:highlight w:val="none"/>
          <w:shd w:val="clear" w:color="auto" w:fill="auto"/>
        </w:rPr>
        <w:t xml:space="preserve">6、采购文件构成</w:t>
      </w:r>
      <w:bookmarkEnd w:id="55"/>
      <w:r/>
      <w:bookmarkEnd w:id="56"/>
      <w:r/>
      <w:bookmarkEnd w:id="57"/>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6.1采购文件由以下部分组成：</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（1）单一来源采购邀请</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请仔细检查采购文件是否齐全，如有缺漏请立即与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联系解决。</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58" w:name="_Toc16938527"/>
      <w:r/>
      <w:bookmarkStart w:id="59" w:name="_Toc20823283"/>
      <w:r/>
      <w:bookmarkStart w:id="60" w:name="_Toc462564070"/>
      <w:r/>
      <w:bookmarkStart w:id="61" w:name="_Toc513029211"/>
      <w:r>
        <w:rPr>
          <w:rFonts w:hint="eastAsia" w:ascii="宋体" w:hAnsi="宋体" w:eastAsia="宋体" w:cs="宋体"/>
          <w:color w:val="auto"/>
          <w:sz w:val="24"/>
          <w:szCs w:val="24"/>
          <w:highlight w:val="none"/>
          <w:shd w:val="clear" w:color="auto" w:fill="auto"/>
        </w:rPr>
        <w:t xml:space="preserve">7、采购文件的澄清</w:t>
      </w:r>
      <w:bookmarkEnd w:id="58"/>
      <w:r/>
      <w:bookmarkEnd w:id="59"/>
      <w:r/>
      <w:bookmarkEnd w:id="60"/>
      <w:r/>
      <w:bookmarkEnd w:id="61"/>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62" w:name="_Toc513029212"/>
      <w:r/>
      <w:bookmarkStart w:id="63" w:name="_Toc16938528"/>
      <w:r/>
      <w:bookmarkStart w:id="64" w:name="_Toc462564071"/>
      <w:r/>
      <w:bookmarkStart w:id="65" w:name="_Toc20823284"/>
      <w:r>
        <w:rPr>
          <w:rFonts w:hint="eastAsia" w:ascii="宋体" w:hAnsi="宋体" w:eastAsia="宋体" w:cs="宋体"/>
          <w:color w:val="auto"/>
          <w:sz w:val="24"/>
          <w:szCs w:val="24"/>
          <w:highlight w:val="none"/>
          <w:shd w:val="clear" w:color="auto" w:fill="auto"/>
        </w:rPr>
        <w:t xml:space="preserve">7.1供应商如果要求对采购文件进行澄清的，应在响应文件接收截止时间（以下简称“截止时间”）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 xml:space="preserve">三</w:t>
      </w:r>
      <w:r>
        <w:rPr>
          <w:rFonts w:hint="eastAsia" w:ascii="宋体" w:hAnsi="宋体" w:eastAsia="宋体" w:cs="宋体"/>
          <w:color w:val="auto"/>
          <w:sz w:val="24"/>
          <w:szCs w:val="24"/>
          <w:highlight w:val="none"/>
          <w:shd w:val="clear" w:color="auto" w:fill="auto"/>
        </w:rPr>
        <w:t xml:space="preserve">天前，在苏采云系统中通知</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将在苏采云系统中对澄清要求予以答复。</w:t>
      </w:r>
      <w:bookmarkEnd w:id="62"/>
      <w:r/>
      <w:bookmarkEnd w:id="63"/>
      <w:r/>
      <w:bookmarkEnd w:id="64"/>
      <w:r/>
      <w:bookmarkEnd w:id="65"/>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66" w:name="_Toc513029213"/>
      <w:r/>
      <w:bookmarkStart w:id="67" w:name="_Toc120614216"/>
      <w:r/>
      <w:bookmarkStart w:id="68" w:name="_Toc20823285"/>
      <w:r/>
      <w:bookmarkStart w:id="69" w:name="_Toc462564072"/>
      <w:r/>
      <w:bookmarkStart w:id="70" w:name="_Toc16938529"/>
      <w:r>
        <w:rPr>
          <w:rFonts w:hint="eastAsia" w:ascii="宋体" w:hAnsi="宋体" w:eastAsia="宋体" w:cs="宋体"/>
          <w:color w:val="auto"/>
          <w:sz w:val="24"/>
          <w:szCs w:val="24"/>
          <w:highlight w:val="none"/>
          <w:shd w:val="clear" w:color="auto" w:fill="auto"/>
        </w:rPr>
        <w:t xml:space="preserve">8、采购文件的修改</w:t>
      </w:r>
      <w:bookmarkEnd w:id="66"/>
      <w:r/>
      <w:bookmarkEnd w:id="67"/>
      <w:r/>
      <w:bookmarkEnd w:id="68"/>
      <w:r/>
      <w:bookmarkEnd w:id="69"/>
      <w:r/>
      <w:bookmarkEnd w:id="70"/>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8.1在截止时间前，</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可以以补充文件的方式对采购文件进行修改。</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有权按照政府采购的有关要求推迟截止时间。</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8.3采购文件的补充文件将作为采购文件的组成部分，并对供应商具有约束力。</w:t>
      </w:r>
      <w:r/>
    </w:p>
    <w:p>
      <w:pPr>
        <w:pStyle w:val="717"/>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三、响应文件的编制</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1" w:name="_Toc16938530"/>
      <w:r/>
      <w:bookmarkStart w:id="72" w:name="_Toc462564073"/>
      <w:r/>
      <w:bookmarkStart w:id="73" w:name="_Toc513029214"/>
      <w:r/>
      <w:bookmarkStart w:id="74" w:name="_Toc20823286"/>
      <w:r>
        <w:rPr>
          <w:rFonts w:hint="eastAsia" w:ascii="宋体" w:hAnsi="宋体" w:eastAsia="宋体" w:cs="宋体"/>
          <w:color w:val="auto"/>
          <w:sz w:val="24"/>
          <w:szCs w:val="24"/>
          <w:highlight w:val="none"/>
          <w:shd w:val="clear" w:color="auto" w:fill="auto"/>
        </w:rPr>
        <w:t xml:space="preserve">9、响应文件的语言及度量衡单位</w:t>
      </w:r>
      <w:bookmarkEnd w:id="71"/>
      <w:r/>
      <w:bookmarkEnd w:id="72"/>
      <w:r/>
      <w:bookmarkEnd w:id="73"/>
      <w:r/>
      <w:bookmarkEnd w:id="74"/>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就有关采购活动的所有来往通知、函件和文件均应使用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9.2除技术性能另有规定外，响应文件所使用的度量衡单位，均须采用国家法定计量单位。</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5" w:name="_Toc462564074"/>
      <w:r/>
      <w:bookmarkStart w:id="76" w:name="_Toc16938531"/>
      <w:r/>
      <w:bookmarkStart w:id="77" w:name="_Toc513029215"/>
      <w:r/>
      <w:bookmarkStart w:id="78" w:name="_Toc20823287"/>
      <w:r>
        <w:rPr>
          <w:rFonts w:hint="eastAsia" w:ascii="宋体" w:hAnsi="宋体" w:eastAsia="宋体" w:cs="宋体"/>
          <w:color w:val="auto"/>
          <w:sz w:val="24"/>
          <w:szCs w:val="24"/>
          <w:highlight w:val="none"/>
          <w:shd w:val="clear" w:color="auto" w:fill="auto"/>
        </w:rPr>
        <w:t xml:space="preserve">10、响应文件构成</w:t>
      </w:r>
      <w:bookmarkEnd w:id="75"/>
      <w:r/>
      <w:bookmarkEnd w:id="76"/>
      <w:r/>
      <w:bookmarkEnd w:id="77"/>
      <w:r/>
      <w:bookmarkEnd w:id="78"/>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79" w:name="_Toc513029216"/>
      <w:r/>
      <w:bookmarkStart w:id="80" w:name="_Toc49090508"/>
      <w:r/>
      <w:bookmarkStart w:id="81" w:name="_Toc49090507"/>
      <w:r/>
      <w:bookmarkStart w:id="82" w:name="_Toc14577354"/>
      <w:r/>
      <w:bookmarkStart w:id="83" w:name="_Toc14577355"/>
      <w:r/>
      <w:bookmarkStart w:id="84" w:name="_Toc49090509"/>
      <w:r/>
      <w:bookmarkStart w:id="85" w:name="_Toc14577357"/>
      <w:r/>
      <w:bookmarkStart w:id="86" w:name="_Toc513029219"/>
      <w:r/>
      <w:bookmarkStart w:id="87" w:name="_Hlt26954838"/>
      <w:r/>
      <w:bookmarkStart w:id="88" w:name="_Hlt26670360"/>
      <w:r/>
      <w:bookmarkStart w:id="89" w:name="_Hlt26668975"/>
      <w:r>
        <w:rPr>
          <w:rFonts w:hint="eastAsia" w:ascii="宋体" w:hAnsi="宋体" w:eastAsia="宋体" w:cs="宋体"/>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10.1供应商编写的响应文件应包括资格证明文件、符合性证明文件、分项报价表、技术要求响应及偏离表、商务要求响应及偏离表、其他证明文件、单一来源响应函等部分。</w:t>
      </w:r>
      <w:bookmarkEnd w:id="79"/>
      <w:r/>
      <w:bookmarkEnd w:id="80"/>
      <w:r/>
      <w:bookmarkEnd w:id="81"/>
      <w:r/>
      <w:bookmarkEnd w:id="82"/>
      <w:r/>
      <w:bookmarkEnd w:id="83"/>
      <w:r/>
      <w:bookmarkEnd w:id="84"/>
      <w:r/>
      <w:bookmarkEnd w:id="85"/>
      <w:r/>
      <w:bookmarkEnd w:id="86"/>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11、证明供应商及响应标的符合采购文件规定的文件</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11.1供应商应按照法律、法规、规章和规范性文件以及采购文件要求提交证明文件，证明其及响应标的符合采购文件规定。</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11.2采购文件对证明文件无明确形式要求的，证明文件可以以文字资料、图纸和数据等形式提交。</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11.3投标文件格式规定的法定代表人或被授权人签名（签字）的地方，手写签名（签字）、加盖（电子）印章、加盖电子手写签名（签字）均认可。</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0" w:name="_Hlt26670482"/>
      <w:r/>
      <w:bookmarkStart w:id="91" w:name="_Hlt26670486"/>
      <w:r/>
      <w:bookmarkStart w:id="92" w:name="_Hlt26954846"/>
      <w:r/>
      <w:bookmarkStart w:id="93" w:name="_Hlt26954848"/>
      <w:r/>
      <w:bookmarkStart w:id="94" w:name="_Hlt26954731"/>
      <w:r>
        <w:rPr>
          <w:rFonts w:hint="eastAsia" w:ascii="宋体" w:hAnsi="宋体" w:eastAsia="宋体" w:cs="宋体"/>
          <w:color w:val="auto"/>
          <w:sz w:val="24"/>
          <w:szCs w:val="24"/>
          <w:highlight w:val="none"/>
          <w:shd w:val="clear" w:color="auto" w:fill="auto"/>
        </w:rPr>
        <w:t xml:space="preserve">12.1供应商应按照采购文件规定格式填报分项报价表。</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13.1供应商需对采购文件中的技术要求与商务要求逐项作出响应或偏离，并说明原因。</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5" w:name="_Toc14577359"/>
      <w:r/>
      <w:bookmarkStart w:id="96" w:name="_Toc49090510"/>
      <w:r>
        <w:rPr>
          <w:rFonts w:hint="eastAsia" w:ascii="宋体" w:hAnsi="宋体" w:eastAsia="宋体" w:cs="宋体"/>
          <w:color w:val="auto"/>
          <w:sz w:val="24"/>
          <w:szCs w:val="24"/>
          <w:highlight w:val="none"/>
          <w:shd w:val="clear" w:color="auto" w:fill="auto"/>
        </w:rPr>
        <w:t xml:space="preserve">14、服务承诺、培训计划、人员安排及其他</w:t>
      </w:r>
      <w:bookmarkEnd w:id="95"/>
      <w:r/>
      <w:bookmarkEnd w:id="96"/>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14.1供应商需根据采购文件要求提供有关售后服务的管理制度，售后服务机构的分布情况，售后服务人员的数量、素质、技术水平及售后服务的反应能力等。</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14.2供应商需根据采购文件要求提供培训计划。</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14.3供应商需根据采购文件要求提供所投标的的主要组成部分、功能设计、实现思路及关键技术等。</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97" w:name="_Toc49090511"/>
      <w:r/>
      <w:bookmarkStart w:id="98" w:name="_Toc14577360"/>
      <w:r>
        <w:rPr>
          <w:rFonts w:hint="eastAsia" w:ascii="宋体" w:hAnsi="宋体" w:eastAsia="宋体" w:cs="宋体"/>
          <w:color w:val="auto"/>
          <w:sz w:val="24"/>
          <w:szCs w:val="24"/>
          <w:highlight w:val="none"/>
          <w:shd w:val="clear" w:color="auto" w:fill="auto"/>
        </w:rPr>
        <w:t xml:space="preserve">15、单一来源响应函</w:t>
      </w:r>
      <w:bookmarkEnd w:id="97"/>
      <w:r/>
      <w:bookmarkEnd w:id="98"/>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15.1供应商应按照采购文件中提供的格式完整、正确填写单一来源响应函。</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16、单一来源采购有效期</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16.1单一来源采购有效期（以下简称“有效期”）为</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规定的响应文件接收截止之日后</w:t>
      </w:r>
      <w:r>
        <w:rPr>
          <w:rFonts w:hint="eastAsia" w:ascii="宋体" w:hAnsi="宋体" w:eastAsia="宋体" w:cs="宋体"/>
          <w:b/>
          <w:color w:val="auto"/>
          <w:sz w:val="24"/>
          <w:szCs w:val="24"/>
          <w:highlight w:val="none"/>
          <w:u w:val="single"/>
          <w:shd w:val="clear" w:color="auto" w:fill="auto"/>
        </w:rPr>
        <w:t xml:space="preserve">三十（30）天</w:t>
      </w:r>
      <w:r>
        <w:rPr>
          <w:rFonts w:hint="eastAsia" w:ascii="宋体" w:hAnsi="宋体" w:eastAsia="宋体" w:cs="宋体"/>
          <w:color w:val="auto"/>
          <w:sz w:val="24"/>
          <w:szCs w:val="24"/>
          <w:highlight w:val="none"/>
          <w:shd w:val="clear" w:color="auto" w:fill="auto"/>
        </w:rPr>
        <w:t xml:space="preserve">。有效期比规定期限短的将被视为未响应采购文件要求而予以拒绝。</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17、有效期的延长</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于原有效期满之前，可向供应商提出延长有效期的要求。这种要求与答复均应采用书面形式。供应商可以拒绝</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的这一要求而放弃单一来源采购活动，同意延长有效期的供应商既不能要求也不允许修改其响应文件。受有效期约束的所有权利与义务均延长至新的有效期。</w:t>
      </w:r>
      <w:r/>
    </w:p>
    <w:p>
      <w:pPr>
        <w:pStyle w:val="717"/>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99" w:name="_Toc120614217"/>
      <w:r/>
      <w:bookmarkStart w:id="100" w:name="_Toc20823296"/>
      <w:r/>
      <w:bookmarkStart w:id="101" w:name="_Toc16938540"/>
      <w:r/>
      <w:bookmarkStart w:id="102" w:name="_Toc513029224"/>
      <w:r/>
      <w:bookmarkStart w:id="103" w:name="_Hlt26954739"/>
      <w:r/>
      <w:bookmarkStart w:id="104" w:name="_Hlt26954852"/>
      <w:r>
        <w:rPr>
          <w:rFonts w:hint="eastAsia" w:ascii="宋体" w:hAnsi="宋体" w:eastAsia="宋体" w:cs="宋体"/>
          <w:b/>
          <w:color w:val="auto"/>
          <w:sz w:val="24"/>
          <w:szCs w:val="24"/>
          <w:highlight w:val="none"/>
          <w:shd w:val="clear" w:color="auto" w:fill="auto"/>
        </w:rPr>
        <w:t xml:space="preserve">四、响应文件的递交</w:t>
      </w:r>
      <w:bookmarkEnd w:id="99"/>
      <w:r/>
      <w:bookmarkEnd w:id="100"/>
      <w:r/>
      <w:bookmarkEnd w:id="101"/>
      <w:r/>
      <w:bookmarkEnd w:id="102"/>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05" w:name="_Toc16938541"/>
      <w:r/>
      <w:bookmarkStart w:id="106" w:name="_Toc513029225"/>
      <w:r/>
      <w:bookmarkStart w:id="107" w:name="_Toc20823297"/>
      <w:r/>
      <w:bookmarkStart w:id="108" w:name="_Toc462564084"/>
      <w:r>
        <w:rPr>
          <w:rFonts w:hint="eastAsia" w:ascii="宋体" w:hAnsi="宋体" w:eastAsia="宋体" w:cs="宋体"/>
          <w:color w:val="auto"/>
          <w:sz w:val="24"/>
          <w:szCs w:val="24"/>
          <w:highlight w:val="none"/>
          <w:shd w:val="clear" w:color="auto" w:fill="auto"/>
        </w:rPr>
        <w:t xml:space="preserve">18、电子</w:t>
      </w:r>
      <w:bookmarkEnd w:id="105"/>
      <w:r/>
      <w:bookmarkEnd w:id="106"/>
      <w:r/>
      <w:bookmarkEnd w:id="107"/>
      <w:r/>
      <w:bookmarkEnd w:id="108"/>
      <w:r>
        <w:rPr>
          <w:rFonts w:hint="eastAsia" w:ascii="宋体" w:hAnsi="宋体" w:eastAsia="宋体" w:cs="宋体"/>
          <w:color w:val="auto"/>
          <w:sz w:val="24"/>
          <w:szCs w:val="24"/>
          <w:highlight w:val="none"/>
          <w:shd w:val="clear" w:color="auto" w:fill="auto"/>
        </w:rPr>
        <w:t xml:space="preserve">响应文件的递交</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18.1供应商应当按照《操作手册》规定，在截止时间前制作并上传电子响应文件。</w:t>
      </w:r>
      <w:bookmarkStart w:id="109" w:name="_Toc16938542"/>
      <w:r/>
      <w:bookmarkEnd w:id="109"/>
      <w:r/>
      <w:bookmarkStart w:id="110" w:name="_Toc20823298"/>
      <w:r/>
      <w:bookmarkEnd w:id="110"/>
      <w:r/>
      <w:bookmarkStart w:id="111" w:name="_Toc513029226"/>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19.1供应商上传电子响应文件的时间不得迟于单一来源采购邀请中规定的截止时间。</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12" w:name="_Toc20823299"/>
      <w:r/>
      <w:bookmarkStart w:id="113" w:name="_Toc16938543"/>
      <w:r/>
      <w:bookmarkStart w:id="114" w:name="_Toc513029227"/>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12"/>
      <w:r/>
      <w:bookmarkEnd w:id="113"/>
      <w:r/>
      <w:bookmarkEnd w:id="114"/>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可以按照规定，通过修改采购文件酌情延长截止时间，在此情况下，供应商的所有权利和义务以及供应商受制的截止时间以延长后新的截止时间为准。</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20、响应文件的拒收</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拒绝接收在其规定的截止时间后上传的任何电子响应文件。</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15" w:name="_Toc20823300"/>
      <w:r/>
      <w:bookmarkStart w:id="116" w:name="_Toc16938544"/>
      <w:r/>
      <w:bookmarkStart w:id="117" w:name="_Toc513029228"/>
      <w:r>
        <w:rPr>
          <w:rFonts w:hint="eastAsia" w:ascii="宋体" w:hAnsi="宋体" w:eastAsia="宋体" w:cs="宋体"/>
          <w:color w:val="auto"/>
          <w:sz w:val="24"/>
          <w:szCs w:val="24"/>
          <w:highlight w:val="none"/>
          <w:shd w:val="clear" w:color="auto" w:fill="auto"/>
        </w:rPr>
        <w:t xml:space="preserve">21、响应文件的撤回和修改</w:t>
      </w:r>
      <w:bookmarkEnd w:id="115"/>
      <w:r/>
      <w:bookmarkEnd w:id="116"/>
      <w:r/>
      <w:bookmarkEnd w:id="117"/>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21.1.1电子响应文件的撤回</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供应商可在截止时间前，撤回其电子响应文件，具体操作方法见《操作手册》。</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21.1.2供应商撤回电子响应文件，则认为其不再参与本项目采购活动。</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供应商可在截止时间前，对其电子响应文件进行修改，具体操作方法见《操作手册》。</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21.3在截止时间之后，供应商不得对其电子响应文件作任何修改。</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21.4在截止时间至有效期满之间的这段时间内，供应商不得撤回其响应文件。</w:t>
      </w:r>
      <w:r/>
    </w:p>
    <w:p>
      <w:pPr>
        <w:pStyle w:val="717"/>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18" w:name="_Toc20823301"/>
      <w:r/>
      <w:bookmarkStart w:id="119" w:name="_Toc16938545"/>
      <w:r/>
      <w:bookmarkStart w:id="120" w:name="_Toc513029229"/>
      <w:r/>
      <w:bookmarkStart w:id="121" w:name="_Toc120614218"/>
      <w:r>
        <w:rPr>
          <w:rFonts w:hint="eastAsia" w:ascii="宋体" w:hAnsi="宋体" w:eastAsia="宋体" w:cs="宋体"/>
          <w:b/>
          <w:color w:val="auto"/>
          <w:sz w:val="24"/>
          <w:szCs w:val="24"/>
          <w:highlight w:val="none"/>
          <w:shd w:val="clear" w:color="auto" w:fill="auto"/>
        </w:rPr>
        <w:t xml:space="preserve">五、响应文件的解密与评审</w:t>
      </w:r>
      <w:bookmarkEnd w:id="118"/>
      <w:r/>
      <w:bookmarkEnd w:id="119"/>
      <w:r/>
      <w:bookmarkEnd w:id="120"/>
      <w:r/>
      <w:bookmarkEnd w:id="121"/>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2" w:name="_Toc513029230"/>
      <w:r/>
      <w:bookmarkStart w:id="123" w:name="_Toc20823302"/>
      <w:r/>
      <w:bookmarkStart w:id="124" w:name="_Toc16938546"/>
      <w:r>
        <w:rPr>
          <w:rFonts w:hint="eastAsia" w:ascii="宋体" w:hAnsi="宋体" w:eastAsia="宋体" w:cs="宋体"/>
          <w:color w:val="auto"/>
          <w:sz w:val="24"/>
          <w:szCs w:val="24"/>
          <w:highlight w:val="none"/>
          <w:shd w:val="clear" w:color="auto" w:fill="auto"/>
        </w:rPr>
        <w:t xml:space="preserve">22、</w:t>
      </w:r>
      <w:bookmarkEnd w:id="122"/>
      <w:r/>
      <w:bookmarkEnd w:id="123"/>
      <w:r/>
      <w:bookmarkEnd w:id="124"/>
      <w:r>
        <w:rPr>
          <w:rFonts w:hint="eastAsia" w:ascii="宋体" w:hAnsi="宋体" w:eastAsia="宋体" w:cs="宋体"/>
          <w:color w:val="auto"/>
          <w:sz w:val="24"/>
          <w:szCs w:val="24"/>
          <w:highlight w:val="none"/>
          <w:shd w:val="clear" w:color="auto" w:fill="auto"/>
        </w:rPr>
        <w:t xml:space="preserve">响应文件解密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22.1供应商应当按照《操作手册》规定，在苏采云系统规定的时间内对响应文件进行解密。</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5" w:name="_Toc513029231"/>
      <w:r/>
      <w:bookmarkStart w:id="126" w:name="_Toc20823303"/>
      <w:r/>
      <w:bookmarkStart w:id="127" w:name="_Toc16938547"/>
      <w:r>
        <w:rPr>
          <w:rFonts w:hint="eastAsia" w:ascii="宋体" w:hAnsi="宋体" w:eastAsia="宋体" w:cs="宋体"/>
          <w:color w:val="auto"/>
          <w:sz w:val="24"/>
          <w:szCs w:val="24"/>
          <w:highlight w:val="none"/>
          <w:shd w:val="clear" w:color="auto" w:fill="auto"/>
        </w:rPr>
        <w:t xml:space="preserve">23、单一来源协商小组</w:t>
      </w:r>
      <w:bookmarkEnd w:id="125"/>
      <w:r/>
      <w:bookmarkEnd w:id="126"/>
      <w:r/>
      <w:bookmarkEnd w:id="127"/>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23.1单一来源协商小组（以下简称“协商小组”）由政府采购评审专家、采购人代表组成，且人员构成符合政府采购有关规定。</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23.2协商小组应当按照客观、公正、审慎的原则评审供应商的响应文件，并与供应商协商采购标的的价格。</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24、单一来源协商过程的保密与公正</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28" w:name="_Toc16938548"/>
      <w:r/>
      <w:bookmarkStart w:id="129" w:name="_Toc513029232"/>
      <w:r/>
      <w:bookmarkStart w:id="130" w:name="_Toc20823304"/>
      <w:r>
        <w:rPr>
          <w:rFonts w:hint="eastAsia" w:ascii="宋体" w:hAnsi="宋体" w:eastAsia="宋体" w:cs="宋体"/>
          <w:color w:val="auto"/>
          <w:sz w:val="24"/>
          <w:szCs w:val="24"/>
          <w:highlight w:val="none"/>
          <w:shd w:val="clear" w:color="auto" w:fill="auto"/>
        </w:rPr>
        <w:t xml:space="preserve">24.1协商小组、采购人和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工作人员、相关监督人员等与评审工作有关的人员，对评审、单一来源协商情况以及在评审、单一来源协商过程（以下简称“协商过程”）中获悉的国家秘密、商业秘密负有保密责任。</w:t>
      </w:r>
      <w:bookmarkEnd w:id="128"/>
      <w:r/>
      <w:bookmarkEnd w:id="129"/>
      <w:r/>
      <w:bookmarkEnd w:id="130"/>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24.2在协商过程中，供应商不得以任何行为影响评审及协商过程，否则将会导致其响应文件被拒绝。</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25、评审及协商过程中的澄清</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25.3接到协商小组澄清、说明和更正要求的供应商如未按规定做出澄清、说明和更正，其风险由供应商自行承担。</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1" w:name="_Toc16938549"/>
      <w:r/>
      <w:bookmarkStart w:id="132" w:name="_Toc20823305"/>
      <w:r/>
      <w:bookmarkStart w:id="133" w:name="_Toc513029233"/>
      <w:r>
        <w:rPr>
          <w:rFonts w:hint="eastAsia" w:ascii="宋体" w:hAnsi="宋体" w:eastAsia="宋体" w:cs="宋体"/>
          <w:color w:val="auto"/>
          <w:sz w:val="24"/>
          <w:szCs w:val="24"/>
          <w:highlight w:val="none"/>
          <w:shd w:val="clear" w:color="auto" w:fill="auto"/>
        </w:rPr>
        <w:t xml:space="preserve">26、对响应文件的审</w:t>
      </w:r>
      <w:bookmarkEnd w:id="131"/>
      <w:r/>
      <w:bookmarkEnd w:id="132"/>
      <w:r/>
      <w:bookmarkEnd w:id="133"/>
      <w:r>
        <w:rPr>
          <w:rFonts w:hint="eastAsia" w:ascii="宋体" w:hAnsi="宋体" w:eastAsia="宋体" w:cs="宋体"/>
          <w:color w:val="auto"/>
          <w:sz w:val="24"/>
          <w:szCs w:val="24"/>
          <w:highlight w:val="none"/>
          <w:shd w:val="clear" w:color="auto" w:fill="auto"/>
        </w:rPr>
        <w:t xml:space="preserve">查</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26.1.1资格审查：由协商小组依据法律法规和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文件的规定，对响应文件中的资格证明文件进行审查，以确定供应商是否具备参加单一来源协商的资格。</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协商小组在进行资格审查的同时，将在“信用中国”网站（www.creditchina.gov.cn）查询供应商的信用记录，以确定供应商是否具备协商资格</w:t>
      </w:r>
      <w:r>
        <w:rPr>
          <w:rFonts w:hint="eastAsia" w:ascii="宋体" w:hAnsi="宋体" w:eastAsia="宋体" w:cs="宋体"/>
          <w:color w:val="auto"/>
          <w:sz w:val="24"/>
          <w:szCs w:val="24"/>
          <w:highlight w:val="none"/>
          <w:shd w:val="clear" w:color="auto" w:fill="auto"/>
          <w:lang w:eastAsia="zh-CN"/>
        </w:rPr>
        <w:t xml:space="preserve">,将</w:t>
      </w:r>
      <w:r>
        <w:rPr>
          <w:rFonts w:hint="eastAsia" w:ascii="宋体" w:hAnsi="宋体" w:eastAsia="宋体" w:cs="宋体"/>
          <w:color w:val="auto"/>
          <w:sz w:val="24"/>
          <w:szCs w:val="24"/>
          <w:highlight w:val="none"/>
          <w:shd w:val="clear" w:color="auto" w:fill="auto"/>
        </w:rPr>
        <w:t xml:space="preserve">查询结果留存并归档。</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联合体成员中任何一方存在不良信用记录的，视同联合体存在不良应用记录。</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26.1.3未通过资格审查或符合性审查的供应商，协商小组将在苏采云系统中告知未通过资格审查或符合性审查的原因，评审结束后，协商小组将不再告知未通过资格审查或符合性审查的原因。</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的权利或供应商的义务。重大偏离由协商小组按照少数服从多数的原则认定。协商小组决定响应文件的响应性只根据响应文件本身的内容，而不寻求外部的证据。</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26.3未实质性响应采购文件的情形</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26.3.2供应商未按照采购文件要求上传电子响应文件的。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26.3.3供应商提交两个（含两个）以上不同的响应文件或者最后报价的。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26.3.4供应商不具备采购文件中规定资格要求的。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26.3.6不符合采购文件中规定的实质性要求和条件的</w:t>
      </w:r>
      <w:r>
        <w:rPr>
          <w:rFonts w:hint="eastAsia" w:ascii="宋体" w:hAnsi="宋体" w:eastAsia="宋体" w:cs="宋体"/>
          <w:i/>
          <w:color w:val="auto"/>
          <w:sz w:val="24"/>
          <w:szCs w:val="24"/>
          <w:highlight w:val="none"/>
          <w:u w:val="single"/>
          <w:shd w:val="clear" w:color="auto" w:fill="auto"/>
        </w:rPr>
        <w:t xml:space="preserve">（本采购文件中斜体且有下划线部分为实质性要求和条件）。</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9供应商</w:t>
      </w:r>
      <w:r>
        <w:rPr>
          <w:rFonts w:hint="eastAsia" w:ascii="宋体" w:hAnsi="宋体" w:eastAsia="宋体" w:cs="宋体"/>
          <w:color w:val="auto"/>
          <w:sz w:val="24"/>
          <w:szCs w:val="24"/>
          <w:highlight w:val="none"/>
          <w:shd w:val="clear" w:color="auto" w:fill="auto"/>
        </w:rPr>
        <w:t xml:space="preserve">不能证明其报价合理性的，</w:t>
      </w:r>
      <w:r>
        <w:rPr>
          <w:rFonts w:hint="eastAsia" w:ascii="宋体" w:hAnsi="宋体" w:eastAsia="宋体" w:cs="宋体"/>
          <w:color w:val="auto"/>
          <w:sz w:val="24"/>
          <w:szCs w:val="24"/>
          <w:highlight w:val="none"/>
          <w:shd w:val="clear" w:color="auto" w:fill="auto"/>
          <w:lang w:val="en-US" w:eastAsia="zh-CN"/>
        </w:rPr>
        <w:t xml:space="preserve">协商小组</w:t>
      </w:r>
      <w:r>
        <w:rPr>
          <w:rFonts w:hint="eastAsia" w:ascii="宋体" w:hAnsi="宋体" w:eastAsia="宋体" w:cs="宋体"/>
          <w:color w:val="auto"/>
          <w:sz w:val="24"/>
          <w:szCs w:val="24"/>
          <w:highlight w:val="none"/>
          <w:shd w:val="clear" w:color="auto" w:fill="auto"/>
        </w:rPr>
        <w:t xml:space="preserve">应当将其作为无效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处理。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（一）评审过程中出现下列情形之一的，协商小组应当启动异常低价响应审查程序：</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1.投标（响应）报价低于采购项目最高限价45%的，即投标（响应）报价&lt;采购项目最高限价×45%；</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2评审委员会基于专业判断，认为供应商报价过低，有可能影响产品质量或者不能诚信履约的其他情形。</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相关法律法规对供应商报价有规定的，从其规定。</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26.3.10</w:t>
      </w:r>
      <w:r>
        <w:rPr>
          <w:rFonts w:hint="eastAsia" w:ascii="宋体" w:hAnsi="宋体" w:eastAsia="宋体" w:cs="宋体"/>
          <w:color w:val="auto"/>
          <w:sz w:val="24"/>
          <w:szCs w:val="24"/>
          <w:highlight w:val="none"/>
          <w:shd w:val="clear" w:color="auto" w:fill="auto"/>
        </w:rPr>
        <w:t xml:space="preserve">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文件要求加盖CA电子公章的。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26.4未实质性响应采购文件的响应文件按无效响应处理。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26.5如果响应文件实质上没有响应采购文件的要求，协商小组将予以拒绝。</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4" w:name="_Toc16938550"/>
      <w:r/>
      <w:bookmarkStart w:id="135" w:name="_Toc20823306"/>
      <w:r/>
      <w:bookmarkStart w:id="136" w:name="_Toc513029234"/>
      <w:r>
        <w:rPr>
          <w:rFonts w:hint="eastAsia" w:ascii="宋体" w:hAnsi="宋体" w:eastAsia="宋体" w:cs="宋体"/>
          <w:color w:val="auto"/>
          <w:sz w:val="24"/>
          <w:szCs w:val="24"/>
          <w:highlight w:val="none"/>
          <w:shd w:val="clear" w:color="auto" w:fill="auto"/>
        </w:rPr>
        <w:t xml:space="preserve">26.6供应商在项目评审及协商全过程中应保持通讯畅通，并安排专人与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及协商小组联系。</w:t>
      </w:r>
      <w:bookmarkEnd w:id="134"/>
      <w:r/>
      <w:bookmarkEnd w:id="135"/>
      <w:r/>
      <w:bookmarkEnd w:id="136"/>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27、单一来源协商及成交原则</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27.1单一来源协商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27.1.1对于通过资格审查和符合性审查的供应商，协商小组将通过苏采云系统与其就采购标的的价格、服务等内容进行单一来源协商。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27.1.2供应商应当在苏采云系统中以书面形式对协商过程中做出的承诺与澄清进行确认，并在协商小组规定的时间内完成最后报价。</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协商小组根据政府采购相关法律、规章的规定，在供应商的响应情况能保证采购项目质量且最后报价合理的基础上确定其为成交供应商。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27.3单一来源协商终止情形处理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将终止采购活动，发布项目终止公告并说明原因，重新开展采购活动：</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27.3.1因情况变化，不再符合规定的单一来源采购方式适用情形的；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27.3.2出现影响采购公正的违法、违规行为的；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27.3.3供应商最后报价超过采购预算的；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27.3.4供应商的技术方案、服务承诺、商务条款等不能满足采购人或协商小组的要求；</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27.3.5法律、法规、规章规定的其他应当终止的情形。</w:t>
      </w:r>
      <w:r/>
    </w:p>
    <w:p>
      <w:pPr>
        <w:pStyle w:val="717"/>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六、成交</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28、确定成交供应商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28.1协商小组根据协商情况编写单一来源评审报告，推荐成交候选供应商。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28.2采购人根据协商小组推荐的成交候选供应商确定成交供应商。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28.3若有充分证据证明，成交供应商出现下列情况之一的，一经查实，将被取消成交资格：</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工作人员恶意串通的。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28.3.5不满足本采购文件规定的实质性要求，但在评审过程中又未被协商小组发现的。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成交供应商被取消成交资格后，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有权重新组织采购。</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37" w:name="_Toc200451960"/>
      <w:r>
        <w:rPr>
          <w:rFonts w:hint="eastAsia" w:ascii="宋体" w:hAnsi="宋体" w:eastAsia="宋体" w:cs="宋体"/>
          <w:color w:val="auto"/>
          <w:sz w:val="24"/>
          <w:szCs w:val="24"/>
          <w:highlight w:val="none"/>
          <w:shd w:val="clear" w:color="auto" w:fill="auto"/>
        </w:rPr>
        <w:t xml:space="preserve">29、质疑处理</w:t>
      </w:r>
      <w:bookmarkEnd w:id="137"/>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提出质疑。</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、采购人将只对供应商第一次质疑作出答复。</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left="0" w:firstLine="480"/>
        <w:jc w:val="left"/>
        <w:pageBreakBefore w:val="0"/>
        <w:spacing w:line="40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29.4采购代理机构只接收以纸质原件形式送达的质疑，采购人和采购代理机构不接受未填写快递运单的快件。质疑接收部门为盐城市公安局盐都分局，联系地址：盐城市盐都区新都路 630 号‌，联系电话：15195140992。</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29.5以下情形的质疑不予受理</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29.5.1内容不符合《政府采购质疑和投诉办法》第十二条规定的质疑。</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29.5.2超出政府采购法定期限的质疑。</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29.5.3以传真、电子邮件等方式递交的非原件形式的质疑。</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29.5.4未参加单一来源采购活动的供应商所提出的质疑。</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29.5.5供应商组成联合体参加协商，联合体中任何一方或多方未按要求签字、盖章、加盖公章的质疑。</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shd w:val="clear" w:color="auto" w:fill="auto"/>
          <w:lang w:eastAsia="zh-CN"/>
        </w:rPr>
        <w:t xml:space="preserve">采购代理机构</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因未及时下载而造成的不利后果由成交供应商自行承担。</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17"/>
        <w:ind w:left="0" w:firstLine="482"/>
        <w:jc w:val="both"/>
        <w:keepLines/>
        <w:keepNext/>
        <w:pageBreakBefore w:val="0"/>
        <w:spacing w:before="145" w:beforeAutospacing="0" w:after="145" w:afterAutospacing="0" w:line="400" w:lineRule="exact"/>
        <w:widowControl w:val="off"/>
        <w:rPr>
          <w:rFonts w:hint="eastAsia" w:ascii="宋体" w:hAnsi="宋体" w:eastAsia="宋体" w:cs="宋体"/>
          <w:color w:val="auto"/>
          <w:sz w:val="24"/>
          <w:szCs w:val="24"/>
          <w:highlight w:val="none"/>
          <w:shd w:val="clear" w:color="auto" w:fill="auto"/>
        </w:rPr>
      </w:pPr>
      <w:r/>
      <w:bookmarkStart w:id="138" w:name="_Toc513029236"/>
      <w:r/>
      <w:bookmarkStart w:id="139" w:name="_Toc20823308"/>
      <w:r/>
      <w:bookmarkStart w:id="140" w:name="_Toc16938552"/>
      <w:r/>
      <w:bookmarkStart w:id="141" w:name="_Toc120614220"/>
      <w:r>
        <w:rPr>
          <w:rFonts w:hint="eastAsia" w:ascii="宋体" w:hAnsi="宋体" w:eastAsia="宋体" w:cs="宋体"/>
          <w:b/>
          <w:color w:val="auto"/>
          <w:sz w:val="24"/>
          <w:szCs w:val="24"/>
          <w:highlight w:val="none"/>
          <w:shd w:val="clear" w:color="auto" w:fill="auto"/>
        </w:rPr>
        <w:t xml:space="preserve">七、授予合同</w:t>
      </w:r>
      <w:bookmarkEnd w:id="138"/>
      <w:r/>
      <w:bookmarkEnd w:id="139"/>
      <w:r/>
      <w:bookmarkEnd w:id="140"/>
      <w:r/>
      <w:bookmarkEnd w:id="141"/>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bookmarkStart w:id="142" w:name="_Toc16938553"/>
      <w:r/>
      <w:bookmarkStart w:id="143" w:name="_Toc20823309"/>
      <w:r/>
      <w:bookmarkStart w:id="144" w:name="_Toc513029237"/>
      <w:r>
        <w:rPr>
          <w:rFonts w:hint="eastAsia" w:ascii="宋体" w:hAnsi="宋体" w:eastAsia="宋体" w:cs="宋体"/>
          <w:color w:val="auto"/>
          <w:sz w:val="24"/>
          <w:szCs w:val="24"/>
          <w:highlight w:val="none"/>
          <w:shd w:val="clear" w:color="auto" w:fill="auto"/>
        </w:rPr>
        <w:t xml:space="preserve">31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签订合同</w:t>
      </w:r>
      <w:bookmarkEnd w:id="142"/>
      <w:r/>
      <w:bookmarkEnd w:id="143"/>
      <w:r/>
      <w:bookmarkEnd w:id="144"/>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31.2采购文件、成交供应商的响应文件及协商过程中有关澄清、承诺文件均应作为合同附件。</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否则采购人有权终止合同。转包或分包造成采购人损失的，成交供应商应承担相应赔偿责任。</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17"/>
        <w:numPr>
          <w:ilvl w:val="0"/>
          <w:numId w:val="0"/>
        </w:numPr>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717"/>
        <w:ind w:left="0" w:firstLine="480"/>
        <w:jc w:val="both"/>
        <w:keepLines/>
        <w:keepNext/>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w:t>
      </w:r>
      <w:r>
        <w:rPr>
          <w:rFonts w:hint="eastAsia" w:ascii="宋体" w:hAnsi="宋体" w:eastAsia="宋体" w:cs="宋体"/>
          <w:color w:val="auto"/>
          <w:sz w:val="24"/>
          <w:szCs w:val="24"/>
          <w:highlight w:val="none"/>
          <w:shd w:val="clear" w:color="auto" w:fill="auto"/>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.3.6.1安置的残疾人占本单位在职职工人数的比例不低于25%（含25%），并且安置的残疾人人数不少于10人（含10人）；</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.3.7本项目是否专门面向中小企业预留采购份额见第一章《单一来源采购邀请》。</w:t>
      </w:r>
      <w:r/>
    </w:p>
    <w:p>
      <w:pPr>
        <w:pStyle w:val="717"/>
        <w:ind w:left="0" w:firstLine="480"/>
        <w:jc w:val="both"/>
        <w:pageBreakBefore w:val="0"/>
        <w:spacing w:beforeAutospacing="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由国家确定的认证机构出具的、处于有效期之内的节能产品、环境标志产品认证证书</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before="0" w:after="0" w:line="40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33.8实施本国产品标准及相关政策</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1.本项目对采购本国产品给予政策支持</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shd w:val="clear" w:color="auto" w:fill="auto"/>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pStyle w:val="876"/>
        <w:ind w:left="0" w:firstLine="480"/>
        <w:pageBreakBefore w:val="0"/>
        <w:spacing w:after="0"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left="0" w:firstLine="480"/>
        <w:pageBreakBefore w:val="0"/>
        <w:spacing w:line="4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left="0" w:firstLine="48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717"/>
        <w:ind w:firstLine="2640"/>
        <w:jc w:val="both"/>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bookmarkStart w:id="145" w:name="_Toc16938559"/>
      <w:r/>
      <w:bookmarkStart w:id="146" w:name="_Toc513029243"/>
      <w:r/>
      <w:bookmarkStart w:id="147" w:name="_Toc20823315"/>
      <w:r/>
      <w:bookmarkStart w:id="148" w:name="_Toc479757211"/>
      <w:r/>
      <w:bookmarkStart w:id="149" w:name="_Toc462564139"/>
      <w:r/>
      <w:bookmarkStart w:id="150" w:name="_Toc16938590"/>
      <w:r/>
      <w:bookmarkStart w:id="151" w:name="_Toc20823346"/>
      <w:r/>
      <w:bookmarkStart w:id="152" w:name="_Toc120614244"/>
      <w:r/>
      <w:bookmarkStart w:id="153" w:name="_Hlt16619350"/>
      <w:r/>
      <w:bookmarkStart w:id="154" w:name="_Hlt16619369"/>
      <w:r>
        <w:rPr>
          <w:rFonts w:hint="eastAsia" w:ascii="宋体" w:hAnsi="宋体" w:eastAsia="宋体" w:cs="宋体"/>
          <w:color w:val="000000"/>
          <w:sz w:val="24"/>
          <w:szCs w:val="24"/>
          <w:highlight w:val="none"/>
        </w:rPr>
        <w:t xml:space="preserve">以下为成交后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本项目合同的通用条款，成交供应商不得提出实质性的修改。</w:t>
      </w:r>
      <w:bookmarkEnd w:id="145"/>
      <w:r/>
      <w:bookmarkEnd w:id="146"/>
      <w:r/>
      <w:bookmarkEnd w:id="147"/>
      <w:r/>
      <w:r/>
    </w:p>
    <w:p>
      <w:pPr>
        <w:pStyle w:val="717"/>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717"/>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盐都区社会治安防控体系建设（一期）项目光纤租赁</w:t>
      </w:r>
      <w:r/>
    </w:p>
    <w:p>
      <w:pPr>
        <w:pStyle w:val="717"/>
        <w:jc w:val="both"/>
        <w:keepLines w:val="0"/>
        <w:keepNext w:val="0"/>
        <w:pageBreakBefore w:val="0"/>
        <w:spacing w:before="120" w:beforeAutospacing="0" w:after="120" w:afterAutospacing="0" w:line="500" w:lineRule="exact"/>
        <w:widowControl w:val="off"/>
        <w:rPr>
          <w:color w:val="0000ff"/>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JSZC-320903-XHGL-D2026-0003</w:t>
      </w:r>
      <w:r/>
    </w:p>
    <w:p>
      <w:pPr>
        <w:pStyle w:val="717"/>
        <w:jc w:val="both"/>
        <w:keepLines w:val="0"/>
        <w:keepNext w:val="0"/>
        <w:pageBreakBefore w:val="0"/>
        <w:spacing w:before="120" w:beforeAutospacing="0" w:after="120" w:afterAutospacing="0" w:line="500" w:lineRule="exact"/>
        <w:widowControl w:val="off"/>
        <w:rPr>
          <w:rFonts w:hint="default"/>
          <w:sz w:val="24"/>
          <w:szCs w:val="24"/>
          <w:highlight w:val="none"/>
          <w:lang w:val="en-US"/>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lang w:val="en-US" w:eastAsia="zh-CN"/>
        </w:rPr>
        <w:t xml:space="preserve">盐城市公安局盐都分局</w:t>
      </w:r>
      <w:r/>
    </w:p>
    <w:p>
      <w:pPr>
        <w:pStyle w:val="717"/>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lang w:val="en-US" w:eastAsia="zh-CN"/>
        </w:rPr>
        <w:t xml:space="preserve">               </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盐都区社会治安防控体系建设（一期）项目光纤租赁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项目单一来源采购的结果，签署本合同。</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717"/>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lang w:eastAsia="zh-CN"/>
        </w:rPr>
        <w:t xml:space="preserve">盐都区社会治安防控体系建设（一期）项目光纤租赁</w:t>
      </w:r>
      <w:r/>
    </w:p>
    <w:p>
      <w:pPr>
        <w:pStyle w:val="717"/>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val="en-US" w:eastAsia="zh-CN"/>
        </w:rPr>
        <w:t xml:space="preserve">满足采购文件采购需求开展，并符合现行国家相关标准、地方标准或者其他标准、规范。</w:t>
      </w:r>
      <w:r/>
    </w:p>
    <w:p>
      <w:pPr>
        <w:pStyle w:val="717"/>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val="en-US" w:eastAsia="zh-CN"/>
        </w:rPr>
        <w:t xml:space="preserve">3000条公安专用传输光纤线路。</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 w:val="24"/>
          <w:szCs w:val="24"/>
          <w:highlight w:val="none"/>
          <w:lang w:val="en-US" w:eastAsia="zh-CN"/>
        </w:rPr>
        <w:t xml:space="preserve">1年；</w:t>
      </w:r>
      <w:r>
        <w:rPr>
          <w:rFonts w:hint="eastAsia" w:ascii="宋体" w:hAnsi="宋体" w:eastAsia="宋体" w:cs="宋体"/>
          <w:color w:val="auto"/>
          <w:sz w:val="24"/>
          <w:szCs w:val="24"/>
          <w:highlight w:val="none"/>
          <w:lang w:val="en-US" w:eastAsia="zh-CN" w:bidi="ar-SA"/>
        </w:rPr>
        <w:t xml:space="preserve">年度工作结束并通过采购人考核后，可以续签合同，最多续签2次；未通过考核的，合同终止。（考核内容即对租赁光纤的专线连通性进行综合评估，若通过专线的连通性综合评估，则视为通过考核；未通过连通性综合评估的，视为未通过考核，合同自动终止。）</w:t>
      </w:r>
      <w:r/>
    </w:p>
    <w:p>
      <w:pPr>
        <w:pStyle w:val="717"/>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val="en-US" w:eastAsia="zh-CN"/>
        </w:rPr>
        <w:t xml:space="preserve">位于江苏省盐城市盐都区境内。</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1.6履行方式：</w:t>
      </w:r>
      <w:r>
        <w:rPr>
          <w:rFonts w:hint="eastAsia" w:ascii="宋体" w:hAnsi="宋体" w:eastAsia="宋体" w:cs="宋体"/>
          <w:color w:val="auto"/>
          <w:sz w:val="24"/>
          <w:szCs w:val="24"/>
          <w:highlight w:val="none"/>
          <w:lang w:val="en-US" w:eastAsia="zh-CN"/>
        </w:rPr>
        <w:t xml:space="preserve">详见招标文件采购需求。</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1.7技术要求：光纤线路满足甲方网络及平台接入相关规范要求；提供的服务具体标准应参照《电信服务规范》施行。</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ff0000"/>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1.8服务内容：租赁盐都区社会治安防控体系建设（一期）项目2959条公安专用传输光纤线路，新增41条公安专用备用传输光纤线路，保障现有治安防控体系网络基础链路畅通；配套完成光纤线路的调试、对接、维护等相关服务，确保线路投入使用后无缝衔接原有系统。</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2.1本合同金额为（大写）：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圆（</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元）人民币。</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本合同价款包含所有乙方提供合同约定的服务报酬及乙方提供合同中服务所支出的所有费用（含税费），甲方在上述合同价款之外不再向乙方支付其他任何费用。</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717"/>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717"/>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7"/>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717"/>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717"/>
        <w:ind w:firstLine="480"/>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合同金额的10%</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元作为本合同的履约保证金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乙方在合同签订之前向甲方提交</w:t>
      </w:r>
      <w:r>
        <w:rPr>
          <w:rFonts w:hint="eastAsia" w:ascii="宋体" w:hAnsi="宋体" w:eastAsia="宋体" w:cs="宋体"/>
          <w:color w:val="000000"/>
          <w:sz w:val="24"/>
          <w:szCs w:val="24"/>
          <w:highlight w:val="none"/>
        </w:rPr>
        <w:t xml:space="preserve">。</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降低履约保证金缴纳比例</w:t>
      </w:r>
      <w:r>
        <w:rPr>
          <w:rFonts w:hint="eastAsia" w:ascii="宋体" w:hAnsi="宋体" w:eastAsia="宋体" w:cs="宋体"/>
          <w:color w:val="000000"/>
          <w:sz w:val="24"/>
          <w:szCs w:val="24"/>
          <w:highlight w:val="none"/>
          <w:lang w:val="en-US" w:eastAsia="zh-CN"/>
        </w:rPr>
        <w:t xml:space="preserve">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2确需收取履约保证金的，</w:t>
      </w:r>
      <w:r>
        <w:rPr>
          <w:rFonts w:hint="eastAsia" w:ascii="宋体" w:hAnsi="宋体" w:eastAsia="宋体" w:cs="宋体"/>
          <w:color w:val="000000"/>
          <w:sz w:val="24"/>
          <w:szCs w:val="24"/>
          <w:highlight w:val="none"/>
          <w:lang w:eastAsia="zh-CN"/>
        </w:rPr>
        <w:t xml:space="preserve">履约保证金的缴纳形式：</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6.2.1</w:t>
      </w:r>
      <w:r>
        <w:rPr>
          <w:rFonts w:hint="eastAsia" w:ascii="宋体" w:hAnsi="宋体" w:eastAsia="宋体" w:cs="宋体"/>
          <w:color w:val="000000"/>
          <w:sz w:val="24"/>
          <w:szCs w:val="24"/>
          <w:highlight w:val="none"/>
        </w:rPr>
        <w:t xml:space="preserve">供应商应当以支票、汇票、本票或者金融机构、担保机构出具的保函等非现金形式提交</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rPr>
        <w:t xml:space="preserve">。依据《关于在全省政府采购领域推行电子履约保函（保险）的通知》，鼓励供应商自愿使用</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履约保函（保险）代替缴纳履约保证金</w:t>
      </w:r>
      <w:r>
        <w:rPr>
          <w:rFonts w:hint="eastAsia" w:ascii="宋体" w:hAnsi="宋体" w:eastAsia="宋体" w:cs="宋体"/>
          <w:color w:val="000000"/>
          <w:sz w:val="24"/>
          <w:szCs w:val="24"/>
          <w:highlight w:val="none"/>
          <w:lang w:eastAsia="zh-CN"/>
        </w:rPr>
        <w:t xml:space="preserve">。</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履约保证金的退还：</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.1方式：退还至投标人缴纳履约保证金的账户。如为保函，在到期时自行失效。</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.2时间：</w:t>
      </w:r>
      <w:r>
        <w:rPr>
          <w:rFonts w:hint="eastAsia" w:ascii="宋体" w:hAnsi="宋体" w:eastAsia="宋体" w:cs="宋体"/>
          <w:color w:val="000000"/>
          <w:sz w:val="24"/>
          <w:szCs w:val="24"/>
          <w:highlight w:val="none"/>
          <w:lang w:eastAsia="zh-CN"/>
        </w:rPr>
        <w:t xml:space="preserve">考核验收结果确定后</w:t>
      </w:r>
      <w:r>
        <w:rPr>
          <w:rFonts w:hint="eastAsia" w:ascii="宋体" w:hAnsi="宋体" w:eastAsia="宋体" w:cs="宋体"/>
          <w:color w:val="000000"/>
          <w:sz w:val="24"/>
          <w:szCs w:val="24"/>
          <w:highlight w:val="none"/>
        </w:rPr>
        <w:t xml:space="preserve">且采购人收到发票后30日内。</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.3条件：按合同要求履约完成并经采购人验收</w:t>
      </w:r>
      <w:r>
        <w:rPr>
          <w:rFonts w:hint="eastAsia" w:ascii="宋体" w:hAnsi="宋体" w:eastAsia="宋体" w:cs="宋体"/>
          <w:color w:val="000000"/>
          <w:sz w:val="24"/>
          <w:szCs w:val="24"/>
          <w:highlight w:val="none"/>
          <w:lang w:eastAsia="zh-CN"/>
        </w:rPr>
        <w:t xml:space="preserve">考核</w:t>
      </w:r>
      <w:r>
        <w:rPr>
          <w:rFonts w:hint="eastAsia" w:ascii="宋体" w:hAnsi="宋体" w:eastAsia="宋体" w:cs="宋体"/>
          <w:color w:val="000000"/>
          <w:sz w:val="24"/>
          <w:szCs w:val="24"/>
          <w:highlight w:val="none"/>
        </w:rPr>
        <w:t xml:space="preserve">，且采购人收到中标人出具的发票。</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.4不予退还情形：</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除不可抗力情况外，投标人出现下列情形之一的，其履约保证金，招标人将视情节决定不予退还或部分不予退还。</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（1）中标人无正当理由拒绝签订合同的，或者在签订合同时向采购人提出附加条件或者更改合同实质性内容要求的；</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（2）中标人不履行与采购人订立的合同的；</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（3）中标人所供货物或服务不符合招标文件规定要求的；</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（4）中标人采取欺骗、弄虚作假方式投标的或与其它投标人串通投标的；</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（5）中标人将合同内容转包、违法分包的；</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（6）中标人故意捏造事实或伪造证明材料，进行虚假恶意投诉或反映的。</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7"/>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 </w:t>
      </w:r>
      <w:r>
        <w:rPr>
          <w:rFonts w:hint="eastAsia" w:ascii="宋体" w:hAnsi="宋体" w:eastAsia="宋体" w:cs="宋体"/>
          <w:color w:val="auto"/>
          <w:sz w:val="24"/>
          <w:szCs w:val="24"/>
          <w:highlight w:val="none"/>
          <w:shd w:val="clear" w:color="auto" w:fill="auto"/>
        </w:rPr>
        <w:t xml:space="preserve">预付款支付时间：合同签订后</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采购人</w:t>
      </w:r>
      <w:r>
        <w:rPr>
          <w:rFonts w:hint="eastAsia" w:ascii="宋体" w:hAnsi="宋体" w:eastAsia="宋体" w:cs="宋体"/>
          <w:color w:val="auto"/>
          <w:sz w:val="24"/>
          <w:szCs w:val="24"/>
          <w:highlight w:val="none"/>
          <w:shd w:val="clear" w:color="auto" w:fill="auto"/>
          <w:lang w:val="en-US" w:eastAsia="zh-CN"/>
        </w:rPr>
        <w:t xml:space="preserve">自</w:t>
      </w:r>
      <w:r>
        <w:rPr>
          <w:rFonts w:hint="eastAsia" w:ascii="宋体" w:hAnsi="宋体" w:eastAsia="宋体" w:cs="宋体"/>
          <w:color w:val="auto"/>
          <w:sz w:val="24"/>
          <w:szCs w:val="24"/>
          <w:highlight w:val="none"/>
          <w:shd w:val="clear" w:color="auto" w:fill="auto"/>
        </w:rPr>
        <w:t xml:space="preserve">收到</w:t>
      </w:r>
      <w:r>
        <w:rPr>
          <w:rFonts w:hint="eastAsia" w:ascii="宋体" w:hAnsi="宋体" w:eastAsia="宋体" w:cs="宋体"/>
          <w:color w:val="auto"/>
          <w:sz w:val="24"/>
          <w:szCs w:val="24"/>
          <w:highlight w:val="none"/>
          <w:shd w:val="clear" w:color="auto" w:fill="auto"/>
          <w:lang w:eastAsia="zh-CN"/>
        </w:rPr>
        <w:t xml:space="preserve">预付款</w:t>
      </w:r>
      <w:r>
        <w:rPr>
          <w:rFonts w:hint="eastAsia" w:ascii="宋体" w:hAnsi="宋体" w:eastAsia="宋体" w:cs="宋体"/>
          <w:color w:val="auto"/>
          <w:sz w:val="24"/>
          <w:szCs w:val="24"/>
          <w:highlight w:val="none"/>
          <w:shd w:val="clear" w:color="auto" w:fill="auto"/>
        </w:rPr>
        <w:t xml:space="preserve">发票后10个工作日内</w:t>
      </w:r>
      <w:r>
        <w:rPr>
          <w:rFonts w:hint="eastAsia" w:ascii="宋体" w:hAnsi="宋体" w:eastAsia="宋体" w:cs="宋体"/>
          <w:color w:val="auto"/>
          <w:sz w:val="24"/>
          <w:szCs w:val="24"/>
          <w:highlight w:val="none"/>
          <w:shd w:val="clear" w:color="auto" w:fill="auto"/>
          <w:lang w:val="en-US" w:eastAsia="zh-CN"/>
        </w:rPr>
        <w:t xml:space="preserve">完成资金支付</w:t>
      </w:r>
      <w:r>
        <w:rPr>
          <w:rFonts w:hint="eastAsia" w:ascii="宋体" w:hAnsi="宋体" w:eastAsia="宋体" w:cs="宋体"/>
          <w:color w:val="auto"/>
          <w:sz w:val="24"/>
          <w:szCs w:val="24"/>
          <w:highlight w:val="none"/>
          <w:shd w:val="clear" w:color="auto" w:fill="auto"/>
        </w:rPr>
        <w:t xml:space="preserve">，预付款支付比例</w:t>
      </w:r>
      <w:r>
        <w:rPr>
          <w:rFonts w:hint="eastAsia" w:ascii="宋体" w:hAnsi="宋体" w:eastAsia="宋体" w:cs="宋体"/>
          <w:color w:val="auto"/>
          <w:sz w:val="24"/>
          <w:szCs w:val="24"/>
          <w:highlight w:val="none"/>
          <w:shd w:val="clear" w:color="auto" w:fill="auto"/>
          <w:lang w:val="en-US" w:eastAsia="zh-CN"/>
        </w:rPr>
        <w:t xml:space="preserve">为</w:t>
      </w:r>
      <w:r>
        <w:rPr>
          <w:rFonts w:hint="eastAsia" w:ascii="宋体" w:hAnsi="宋体" w:eastAsia="宋体" w:cs="宋体"/>
          <w:color w:val="auto"/>
          <w:sz w:val="24"/>
          <w:szCs w:val="24"/>
          <w:highlight w:val="none"/>
          <w:u w:val="none"/>
          <w:shd w:val="clear" w:color="auto" w:fill="auto"/>
        </w:rPr>
        <w:t xml:space="preserve">合同金额的</w:t>
      </w:r>
      <w:r>
        <w:rPr>
          <w:rFonts w:hint="eastAsia" w:ascii="宋体" w:hAnsi="宋体" w:eastAsia="宋体" w:cs="宋体"/>
          <w:color w:val="auto"/>
          <w:sz w:val="24"/>
          <w:szCs w:val="24"/>
          <w:highlight w:val="none"/>
          <w:u w:val="none"/>
          <w:shd w:val="clear" w:color="auto" w:fill="auto"/>
          <w:lang w:val="en-US" w:eastAsia="zh-CN"/>
        </w:rPr>
        <w:t xml:space="preserve">30</w:t>
      </w:r>
      <w:r>
        <w:rPr>
          <w:rFonts w:hint="eastAsia" w:ascii="宋体" w:hAnsi="宋体" w:eastAsia="宋体" w:cs="宋体"/>
          <w:color w:val="auto"/>
          <w:sz w:val="24"/>
          <w:szCs w:val="24"/>
          <w:highlight w:val="none"/>
          <w:u w:val="none"/>
          <w:shd w:val="clear" w:color="auto" w:fill="auto"/>
        </w:rPr>
        <w:t xml:space="preserve">%</w:t>
      </w:r>
      <w:r>
        <w:rPr>
          <w:rFonts w:hint="eastAsia" w:ascii="宋体" w:hAnsi="宋体" w:eastAsia="宋体" w:cs="宋体"/>
          <w:color w:val="auto"/>
          <w:sz w:val="24"/>
          <w:szCs w:val="24"/>
          <w:highlight w:val="none"/>
          <w:u w:val="none"/>
          <w:shd w:val="clear" w:color="auto" w:fill="auto"/>
        </w:rPr>
        <w:t xml:space="preserve">。</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8.1.2进度款支付时间：按月次月报账结算，</w:t>
      </w:r>
      <w:r>
        <w:rPr>
          <w:rFonts w:hint="eastAsia" w:ascii="宋体" w:hAnsi="宋体" w:eastAsia="宋体" w:cs="宋体"/>
          <w:color w:val="auto"/>
          <w:sz w:val="24"/>
          <w:szCs w:val="24"/>
          <w:highlight w:val="none"/>
          <w:shd w:val="clear" w:color="auto" w:fill="auto"/>
        </w:rPr>
        <w:t xml:space="preserve">采购人</w:t>
      </w:r>
      <w:r>
        <w:rPr>
          <w:rFonts w:hint="eastAsia" w:ascii="宋体" w:hAnsi="宋体" w:eastAsia="宋体" w:cs="宋体"/>
          <w:color w:val="auto"/>
          <w:sz w:val="24"/>
          <w:szCs w:val="24"/>
          <w:highlight w:val="none"/>
          <w:shd w:val="clear" w:color="auto" w:fill="auto"/>
          <w:lang w:val="en-US" w:eastAsia="zh-CN"/>
        </w:rPr>
        <w:t xml:space="preserve">自</w:t>
      </w:r>
      <w:r>
        <w:rPr>
          <w:rFonts w:hint="eastAsia" w:ascii="宋体" w:hAnsi="宋体" w:eastAsia="宋体" w:cs="宋体"/>
          <w:color w:val="auto"/>
          <w:sz w:val="24"/>
          <w:szCs w:val="24"/>
          <w:highlight w:val="none"/>
          <w:shd w:val="clear" w:color="auto" w:fill="auto"/>
        </w:rPr>
        <w:t xml:space="preserve">收到发票后10个工作日内</w:t>
      </w:r>
      <w:r>
        <w:rPr>
          <w:rFonts w:hint="eastAsia" w:ascii="宋体" w:hAnsi="宋体" w:eastAsia="宋体" w:cs="宋体"/>
          <w:color w:val="auto"/>
          <w:sz w:val="24"/>
          <w:szCs w:val="24"/>
          <w:highlight w:val="none"/>
          <w:shd w:val="clear" w:color="auto" w:fill="auto"/>
          <w:lang w:val="en-US" w:eastAsia="zh-CN"/>
        </w:rPr>
        <w:t xml:space="preserve">完成资金支付。</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zh-CN" w:eastAsia="zh-CN"/>
        </w:rPr>
        <w:t xml:space="preserve">以上付款均无银行利息，一律通过银行结转；</w:t>
      </w:r>
      <w:r>
        <w:rPr>
          <w:rFonts w:hint="eastAsia" w:ascii="宋体" w:hAnsi="宋体" w:eastAsia="宋体" w:cs="宋体"/>
          <w:color w:val="auto"/>
          <w:sz w:val="24"/>
          <w:szCs w:val="24"/>
          <w:highlight w:val="none"/>
          <w:lang w:val="en-US" w:eastAsia="zh-CN"/>
        </w:rPr>
        <w:t xml:space="preserve">甲方在付款前，乙方应先向甲方提供等额有效的发票，否则甲方有权拒付款项，且不承担任何责任。</w:t>
      </w:r>
      <w:r/>
    </w:p>
    <w:p>
      <w:pPr>
        <w:pStyle w:val="717"/>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9.1本合同执行中相关的一切税费均由乙方负担。</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10.1</w:t>
      </w:r>
      <w:r>
        <w:rPr>
          <w:rFonts w:hint="eastAsia" w:ascii="宋体" w:hAnsi="宋体" w:eastAsia="宋体" w:cs="宋体"/>
          <w:color w:val="auto"/>
          <w:sz w:val="24"/>
          <w:szCs w:val="24"/>
          <w:highlight w:val="none"/>
        </w:rPr>
        <w:t xml:space="preserve">甲方依法组织履约验收</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工作。</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本次光纤租赁项目验收由甲方成立验收小组，乙方配合提供点位清单。验收小组随机抽选点位进行连通性测试，测试合格即为验收通过。双方签署验收考核证明，作为付款和退还履约保证金的依据。验收不要求复杂技术报告，相关资料存档备查。</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717"/>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甲方应按逾期付款总额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11.3乙方逾期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的，乙方应按合同总额每日千分之六向甲方支付违约金，由甲方从待付合同款项中扣除。逾期超过约定日期10个工作日不能提供服务的，甲方可解除本合同。乙方因逾期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w:t>
      </w:r>
      <w:r>
        <w:rPr>
          <w:rFonts w:hint="eastAsia" w:ascii="宋体" w:hAnsi="宋体" w:eastAsia="宋体" w:cs="宋体"/>
          <w:color w:val="000000"/>
          <w:sz w:val="24"/>
          <w:szCs w:val="24"/>
          <w:highlight w:val="none"/>
        </w:rPr>
        <w:t xml:space="preserve">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11.4乙方所提供服务的标准不符合合同规定及招标文件规定标准</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，甲方有权拒绝接受服务，并可单方面解除合同</w:t>
      </w:r>
      <w:r>
        <w:rPr>
          <w:rFonts w:hint="eastAsia" w:ascii="宋体" w:hAnsi="宋体" w:eastAsia="宋体" w:cs="宋体"/>
          <w:color w:val="000000"/>
          <w:sz w:val="24"/>
          <w:szCs w:val="24"/>
          <w:highlight w:val="none"/>
          <w:lang w:eastAsia="zh-CN"/>
        </w:rPr>
        <w:t xml:space="preserve">，解除合同的，乙方应当及时退还已支付的预付款</w:t>
      </w:r>
      <w:r>
        <w:rPr>
          <w:rFonts w:hint="eastAsia" w:ascii="宋体" w:hAnsi="宋体" w:eastAsia="宋体" w:cs="宋体"/>
          <w:color w:val="000000"/>
          <w:sz w:val="24"/>
          <w:szCs w:val="24"/>
          <w:highlight w:val="none"/>
        </w:rPr>
        <w:t xml:space="preserve">。</w:t>
      </w:r>
      <w:r/>
    </w:p>
    <w:p>
      <w:pPr>
        <w:pStyle w:val="717"/>
        <w:ind w:firstLine="480"/>
        <w:jc w:val="both"/>
        <w:keepLines w:val="0"/>
        <w:keepNext w:val="0"/>
        <w:pageBreakBefore w:val="0"/>
        <w:spacing w:before="120" w:beforeAutospacing="0" w:after="120" w:afterAutospacing="0" w:line="5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11.5 乙方提交的成果报告未通过甲方验收的，甲方有权拒收。甲乙双方均愿意更换但乙方逾期交付的，按乙方</w:t>
      </w:r>
      <w:r>
        <w:rPr>
          <w:rFonts w:hint="eastAsia" w:ascii="宋体" w:hAnsi="宋体" w:eastAsia="宋体" w:cs="宋体"/>
          <w:color w:val="000000"/>
          <w:sz w:val="24"/>
          <w:szCs w:val="24"/>
          <w:highlight w:val="none"/>
        </w:rPr>
        <w:t xml:space="preserve">逾期</w:t>
      </w:r>
      <w:r>
        <w:rPr>
          <w:rFonts w:hint="eastAsia" w:ascii="宋体" w:hAnsi="宋体" w:eastAsia="宋体" w:cs="宋体"/>
          <w:color w:val="000000"/>
          <w:sz w:val="24"/>
          <w:szCs w:val="24"/>
          <w:highlight w:val="none"/>
          <w:lang w:val="en-US" w:eastAsia="zh-CN"/>
        </w:rPr>
        <w:t xml:space="preserve">交付</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成果报告处理；甲乙双方有任意一方拒绝更换的，甲方可单方面解除合同，并由乙方赔偿由此造成的甲方全部损失。</w:t>
      </w:r>
      <w:r/>
    </w:p>
    <w:p>
      <w:pPr>
        <w:pStyle w:val="717"/>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、甲方的权利与义务</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甲方不允许乙方将本项目转包和分包给任何第三方，如发现乙方有转包和分包行为，甲方有权单方终止本合同。所交履约保证金作为违约金不予退还。</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为保证服务工作的顺利进行，</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zh-CN"/>
        </w:rPr>
        <w:t xml:space="preserve">应及时提供与项目有关的资料，同时协助</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rPr>
        <w:t xml:space="preserve">向有关部门、单位或个人进行调查、查阅报告所需的信息。</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3甲方</w:t>
      </w:r>
      <w:r>
        <w:rPr>
          <w:rFonts w:hint="eastAsia" w:ascii="宋体" w:hAnsi="宋体" w:eastAsia="宋体" w:cs="宋体"/>
          <w:color w:val="000000"/>
          <w:sz w:val="24"/>
          <w:szCs w:val="24"/>
          <w:highlight w:val="none"/>
          <w:lang w:val="zh-CN"/>
        </w:rPr>
        <w:t xml:space="preserve">应保证</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rPr>
        <w:t xml:space="preserve">拥有合理时间进行项目工作，并有权要求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rPr>
        <w:t xml:space="preserve">项目小组在指定时间向</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zh-CN"/>
        </w:rPr>
        <w:t xml:space="preserve">汇报工作的进展情况。</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甲方应赋予乙方管理机构一定的权限，以便乙方的日常管理工作的开展。</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甲方应当维护乙方在合同内开展工作的独立性。</w:t>
      </w:r>
      <w:r/>
    </w:p>
    <w:p>
      <w:pPr>
        <w:pStyle w:val="717"/>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、乙方的权利与义务</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乙方必须按公司化运作，必须遵守国家的法律法规并负责本公司人员的管理。</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乙方应遵守《劳动法》及相关法律法规的规定，若有违反，责任由乙方自行承担。</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乙方在合同期限内录用的人员，合同到期后由乙方负责一切相关事宜。</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甲方督查发现乙方未按照合同约定实施到位的，应及时整改到位。</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、不可抗力事件处理</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14.1在合同有效期内，任何一方因不可抗力事件导致不能履行合同，则合同履行期可延长，其延长期与不可抗力影响 期相同。</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14.2不可抗力事件发生后，应立即通知对方，并寄送有关权威机构出具的证明。</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14.3不可抗力事件延续120天以上，双方应通过友好协商，确定是否继续履行合同。</w:t>
      </w:r>
      <w:r/>
    </w:p>
    <w:p>
      <w:pPr>
        <w:pStyle w:val="717"/>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、安全责任划分</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15.1乙方参与项目服务的人员人身安全及保障责任由乙方全权承担。</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十六</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解决争议的方法</w:t>
      </w:r>
      <w:r/>
    </w:p>
    <w:p>
      <w:pPr>
        <w:pStyle w:val="717"/>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717"/>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十七</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717"/>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.2本合同未尽事宜，遵照《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717"/>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.3 本合同一式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叁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w:t>
      </w:r>
      <w:r/>
    </w:p>
    <w:p>
      <w:pPr>
        <w:pStyle w:val="717"/>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7"/>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p>
    <w:p>
      <w:pPr>
        <w:pStyle w:val="717"/>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p>
    <w:p>
      <w:pPr>
        <w:pStyle w:val="717"/>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pStyle w:val="717"/>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717"/>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pStyle w:val="717"/>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sectPr>
          <w:headerReference w:type="default" r:id="rId8"/>
          <w:footerReference w:type="default" r:id="rId9"/>
          <w:footnotePr/>
          <w:endnotePr/>
          <w:type w:val="nextPage"/>
          <w:pgSz w:w="11906" w:h="16838" w:orient="portrait"/>
          <w:pgMar w:top="1440" w:right="1800" w:bottom="1440" w:left="1800" w:header="851" w:footer="992" w:gutter="0"/>
          <w:pgNumType w:start="1"/>
          <w:cols w:num="1" w:sep="0" w:space="0" w:equalWidth="1"/>
          <w:docGrid w:linePitch="360"/>
        </w:sectPr>
      </w:pPr>
      <w:r>
        <w:rPr>
          <w:rFonts w:hint="eastAsia" w:ascii="宋体" w:hAnsi="宋体" w:eastAsia="宋体" w:cs="宋体"/>
          <w:color w:val="000000"/>
          <w:sz w:val="24"/>
          <w:szCs w:val="24"/>
          <w:highlight w:val="none"/>
        </w:rPr>
        <w:t xml:space="preserve">签订日期：      年    月   日</w:t>
      </w:r>
      <w:r/>
    </w:p>
    <w:p>
      <w:pPr>
        <w:contextualSpacing/>
        <w:spacing w:line="400" w:lineRule="exact"/>
        <w:rPr>
          <w:rFonts w:hint="eastAsia" w:ascii="宋体" w:hAnsi="宋体" w:eastAsia="宋体" w:cs="宋体"/>
          <w:sz w:val="21"/>
          <w:szCs w:val="21"/>
          <w:highlight w:val="none"/>
        </w:rPr>
      </w:pPr>
      <w:r>
        <w:rPr>
          <w:rFonts w:hint="eastAsia"/>
          <w:sz w:val="24"/>
          <w:szCs w:val="24"/>
        </w:rPr>
        <w:t xml:space="preserve">附件：</w:t>
      </w:r>
      <w:r>
        <w:rPr>
          <w:rFonts w:hint="eastAsia" w:ascii="宋体" w:hAnsi="宋体" w:eastAsia="宋体" w:cs="宋体"/>
          <w:sz w:val="21"/>
          <w:szCs w:val="21"/>
          <w:highlight w:val="none"/>
        </w:rPr>
        <w:t xml:space="preserve">《</w:t>
      </w:r>
      <w:r>
        <w:rPr>
          <w:rFonts w:hint="eastAsia"/>
          <w:sz w:val="24"/>
          <w:szCs w:val="24"/>
        </w:rPr>
        <w:t xml:space="preserve">盐都公安社会治安防控体系建设(一期)项目光纤租赁考核</w:t>
      </w:r>
      <w:r>
        <w:rPr>
          <w:rFonts w:hint="eastAsia"/>
          <w:sz w:val="24"/>
          <w:szCs w:val="24"/>
          <w:lang w:val="en-US" w:eastAsia="zh-CN"/>
        </w:rPr>
        <w:t xml:space="preserve">表</w:t>
      </w:r>
      <w:r>
        <w:rPr>
          <w:rFonts w:hint="eastAsia" w:ascii="宋体" w:hAnsi="宋体" w:eastAsia="宋体" w:cs="宋体"/>
          <w:sz w:val="21"/>
          <w:szCs w:val="21"/>
          <w:highlight w:val="none"/>
        </w:rPr>
        <w:t xml:space="preserve">》</w:t>
      </w:r>
      <w:r/>
    </w:p>
    <w:p>
      <w:pPr>
        <w:jc w:val="center"/>
        <w:rPr>
          <w:rFonts w:hint="eastAsia"/>
          <w:sz w:val="24"/>
          <w:szCs w:val="24"/>
        </w:rPr>
      </w:pPr>
      <w:r>
        <w:rPr>
          <w:rFonts w:hint="eastAsia"/>
          <w:sz w:val="24"/>
          <w:szCs w:val="24"/>
        </w:rPr>
      </w:r>
      <w:r/>
    </w:p>
    <w:p>
      <w:pPr>
        <w:jc w:val="center"/>
        <w:rPr>
          <w:rFonts w:hint="eastAsia" w:eastAsiaTheme="minorEastAsia"/>
          <w:lang w:val="en-US" w:eastAsia="zh-CN"/>
        </w:rPr>
      </w:pPr>
      <w:r>
        <w:rPr>
          <w:rFonts w:hint="eastAsia"/>
          <w:sz w:val="24"/>
          <w:szCs w:val="24"/>
        </w:rPr>
        <w:t xml:space="preserve">考核</w:t>
      </w:r>
      <w:r>
        <w:rPr>
          <w:rFonts w:hint="eastAsia"/>
          <w:sz w:val="24"/>
          <w:szCs w:val="24"/>
          <w:lang w:val="en-US" w:eastAsia="zh-CN"/>
        </w:rPr>
        <w:t xml:space="preserve">表</w:t>
      </w:r>
      <w:r/>
    </w:p>
    <w:p>
      <w:pPr>
        <w:jc w:val="right"/>
        <w:rPr>
          <w:rFonts w:hint="eastAsia"/>
          <w:sz w:val="22"/>
          <w:szCs w:val="20"/>
        </w:rPr>
      </w:pPr>
      <w:r>
        <w:rPr>
          <w:rFonts w:hint="eastAsia"/>
          <w:sz w:val="22"/>
          <w:szCs w:val="20"/>
        </w:rPr>
        <w:t xml:space="preserve">考核月份：    年    月</w:t>
      </w:r>
      <w:r/>
    </w:p>
    <w:tbl>
      <w:tblPr>
        <w:tblStyle w:val="694"/>
        <w:tblW w:w="99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3"/>
        <w:gridCol w:w="7410"/>
        <w:gridCol w:w="930"/>
        <w:gridCol w:w="877"/>
      </w:tblGrid>
      <w:tr>
        <w:trPr>
          <w:jc w:val="center"/>
          <w:trHeight w:val="850" w:hRule="exact"/>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考核细则要求</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规定</w:t>
            </w:r>
            <w:r/>
          </w:p>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考核</w:t>
            </w:r>
            <w:r/>
          </w:p>
          <w:p>
            <w:pPr>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得分</w:t>
            </w:r>
            <w:r/>
          </w:p>
        </w:tc>
      </w:tr>
      <w:tr>
        <w:trPr>
          <w:jc w:val="center"/>
          <w:trHeight w:val="1778" w:hRule="exact"/>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jc w:val="left"/>
              <w:keepLines w:val="0"/>
              <w:keepNext w:val="0"/>
              <w:widowControl/>
              <w:rPr>
                <w:rFonts w:hint="default" w:ascii="宋体" w:hAnsi="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在用线路连通率</w:t>
            </w:r>
            <w:r/>
          </w:p>
          <w:p>
            <w:pPr>
              <w:ind w:left="0" w:right="0" w:firstLine="0"/>
              <w:jc w:val="left"/>
              <w:keepLines w:val="0"/>
              <w:keepNext w:val="0"/>
              <w:spacing w:before="0" w:beforeAutospacing="0" w:after="192" w:afterAutospacing="0" w:line="312" w:lineRule="atLeast"/>
              <w:shd w:val="clear" w:color="auto" w:fill="ffffff"/>
              <w:widowControl/>
              <w:rPr>
                <w:rFonts w:hint="default" w:ascii="宋体" w:hAnsi="宋体" w:cs="宋体"/>
                <w:i w:val="0"/>
                <w:iCs w:val="0"/>
                <w:color w:val="000000"/>
                <w:sz w:val="18"/>
                <w:szCs w:val="18"/>
                <w:u w:val="none"/>
                <w:lang w:val="en-US" w:eastAsia="zh-CN"/>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i w:val="0"/>
                <w:iCs w:val="0"/>
                <w:caps w:val="0"/>
                <w:spacing w:val="0"/>
                <w:sz w:val="19"/>
                <w:szCs w:val="19"/>
                <w:shd w:val="clear" w:color="auto" w:fill="ffffff"/>
                <w:vertAlign w:val="baseline"/>
                <w:lang w:val="en-US" w:eastAsia="zh-CN" w:bidi="ar"/>
              </w:rPr>
              <w:t xml:space="preserve">服务商应确保在用线路保持高连通率，年度连通率达到行业优秀水平。因</w:t>
            </w:r>
            <w:r>
              <w:rPr>
                <w:rFonts w:hint="eastAsia" w:ascii="Segoe UI" w:hAnsi="Segoe UI" w:eastAsia="Segoe UI" w:cs="Segoe UI"/>
                <w:i w:val="0"/>
                <w:iCs w:val="0"/>
                <w:caps w:val="0"/>
                <w:spacing w:val="0"/>
                <w:sz w:val="19"/>
                <w:szCs w:val="19"/>
                <w:shd w:val="clear" w:color="auto" w:fill="ffffff"/>
                <w:vertAlign w:val="baseline"/>
                <w:lang w:val="en-US" w:eastAsia="zh-CN" w:bidi="ar"/>
              </w:rPr>
              <w:t xml:space="preserve">公安</w:t>
            </w:r>
            <w:r>
              <w:rPr>
                <w:rFonts w:hint="default" w:ascii="Segoe UI" w:hAnsi="Segoe UI" w:eastAsia="Segoe UI" w:cs="Segoe UI"/>
                <w:i w:val="0"/>
                <w:iCs w:val="0"/>
                <w:caps w:val="0"/>
                <w:spacing w:val="0"/>
                <w:sz w:val="19"/>
                <w:szCs w:val="19"/>
                <w:shd w:val="clear" w:color="auto" w:fill="ffffff"/>
                <w:vertAlign w:val="baseline"/>
                <w:lang w:val="en-US" w:eastAsia="zh-CN" w:bidi="ar"/>
              </w:rPr>
              <w:t xml:space="preserve">方设备原因、不可抗力或经双方事先确认的计划性</w:t>
            </w:r>
            <w:r>
              <w:rPr>
                <w:rFonts w:hint="eastAsia" w:ascii="Segoe UI" w:hAnsi="Segoe UI" w:eastAsia="Segoe UI" w:cs="Segoe UI"/>
                <w:i w:val="0"/>
                <w:iCs w:val="0"/>
                <w:caps w:val="0"/>
                <w:spacing w:val="0"/>
                <w:sz w:val="19"/>
                <w:szCs w:val="19"/>
                <w:shd w:val="clear" w:color="auto" w:fill="ffffff"/>
                <w:vertAlign w:val="baseline"/>
                <w:lang w:val="en-US" w:eastAsia="zh-CN" w:bidi="ar"/>
              </w:rPr>
              <w:t xml:space="preserve">割接</w:t>
            </w:r>
            <w:r>
              <w:rPr>
                <w:rFonts w:hint="default" w:ascii="Segoe UI" w:hAnsi="Segoe UI" w:eastAsia="Segoe UI" w:cs="Segoe UI"/>
                <w:i w:val="0"/>
                <w:iCs w:val="0"/>
                <w:caps w:val="0"/>
                <w:spacing w:val="0"/>
                <w:sz w:val="19"/>
                <w:szCs w:val="19"/>
                <w:shd w:val="clear" w:color="auto" w:fill="ffffff"/>
                <w:vertAlign w:val="baseline"/>
                <w:lang w:val="en-US" w:eastAsia="zh-CN" w:bidi="ar"/>
              </w:rPr>
              <w:t xml:space="preserve">导致的线路中断，不计入</w:t>
            </w:r>
            <w:r>
              <w:rPr>
                <w:rFonts w:ascii="Segoe UI" w:hAnsi="Segoe UI" w:eastAsia="Segoe UI" w:cs="Segoe UI"/>
                <w:i w:val="0"/>
                <w:iCs w:val="0"/>
                <w:caps w:val="0"/>
                <w:spacing w:val="0"/>
                <w:sz w:val="19"/>
                <w:szCs w:val="19"/>
                <w:shd w:val="clear" w:color="auto" w:fill="ffffff"/>
              </w:rPr>
              <w:t xml:space="preserve">连通率统计</w:t>
            </w:r>
            <w:r>
              <w:rPr>
                <w:rFonts w:hint="default" w:ascii="Segoe UI" w:hAnsi="Segoe UI" w:eastAsia="Segoe UI" w:cs="Segoe UI"/>
                <w:i w:val="0"/>
                <w:iCs w:val="0"/>
                <w:caps w:val="0"/>
                <w:spacing w:val="0"/>
                <w:sz w:val="19"/>
                <w:szCs w:val="19"/>
                <w:shd w:val="clear" w:color="auto" w:fill="ffffff"/>
                <w:vertAlign w:val="baseli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default" w:ascii="宋体" w:hAnsi="宋体" w:eastAsia="宋体" w:cs="宋体"/>
                <w:i w:val="0"/>
                <w:iCs w:val="0"/>
                <w:color w:val="000000"/>
                <w:sz w:val="18"/>
                <w:szCs w:val="18"/>
                <w:u w:val="none"/>
                <w:lang w:val="en-US"/>
              </w:rPr>
              <w:suppressLineNumbers w:val="0"/>
            </w:pPr>
            <w:r>
              <w:rPr>
                <w:rFonts w:hint="eastAsia" w:ascii="宋体" w:hAnsi="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1390" w:hRule="exact"/>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t xml:space="preserve">故障响应与处理</w:t>
            </w:r>
            <w:r/>
          </w:p>
          <w:p>
            <w:pPr>
              <w:ind w:left="0" w:right="0" w:firstLine="0"/>
              <w:jc w:val="left"/>
              <w:keepLines w:val="0"/>
              <w:keepNext w:val="0"/>
              <w:spacing w:before="0" w:beforeAutospacing="0" w:after="192" w:afterAutospacing="0" w:line="312" w:lineRule="atLeast"/>
              <w:shd w:val="clear" w:color="auto" w:fill="ffffff"/>
              <w:widowControl/>
              <w:rPr>
                <w:rFonts w:hint="default" w:ascii="Segoe UI" w:hAnsi="Segoe UI" w:eastAsia="Segoe UI" w:cs="Segoe UI"/>
                <w:i w:val="0"/>
                <w:iCs w:val="0"/>
                <w:caps w:val="0"/>
                <w:spacing w:val="0"/>
                <w:sz w:val="19"/>
                <w:szCs w:val="19"/>
              </w:rPr>
              <w:pBdr>
                <w:top w:val="none" w:color="auto" w:sz="0" w:space="0"/>
                <w:left w:val="none" w:color="auto" w:sz="0" w:space="0"/>
                <w:bottom w:val="none" w:color="auto" w:sz="0" w:space="0"/>
                <w:right w:val="none" w:color="auto" w:sz="0" w:space="0"/>
              </w:pBdr>
              <w:suppressLineNumbers w:val="0"/>
            </w:pPr>
            <w:r>
              <w:rPr>
                <w:rFonts w:hint="default" w:ascii="Segoe UI" w:hAnsi="Segoe UI" w:eastAsia="Segoe UI" w:cs="Segoe UI"/>
                <w:i w:val="0"/>
                <w:iCs w:val="0"/>
                <w:caps w:val="0"/>
                <w:spacing w:val="0"/>
                <w:sz w:val="19"/>
                <w:szCs w:val="19"/>
                <w:shd w:val="clear" w:color="auto" w:fill="ffffff"/>
                <w:vertAlign w:val="baseline"/>
                <w:lang w:val="en-US" w:eastAsia="zh-CN" w:bidi="ar"/>
              </w:rPr>
              <w:t xml:space="preserve">服务商提供全天候运维保障，</w:t>
            </w:r>
            <w:r>
              <w:rPr>
                <w:rFonts w:ascii="Segoe UI" w:hAnsi="Segoe UI" w:eastAsia="Segoe UI" w:cs="Segoe UI"/>
                <w:i w:val="0"/>
                <w:iCs w:val="0"/>
                <w:caps w:val="0"/>
                <w:spacing w:val="0"/>
                <w:sz w:val="19"/>
                <w:szCs w:val="19"/>
                <w:shd w:val="clear" w:color="auto" w:fill="ffffff"/>
              </w:rPr>
              <w:t xml:space="preserve">对各类网络故障及时响应、快速处置</w:t>
            </w:r>
            <w:r>
              <w:rPr>
                <w:rFonts w:hint="default" w:ascii="Segoe UI" w:hAnsi="Segoe UI" w:eastAsia="Segoe UI" w:cs="Segoe UI"/>
                <w:i w:val="0"/>
                <w:iCs w:val="0"/>
                <w:caps w:val="0"/>
                <w:spacing w:val="0"/>
                <w:sz w:val="19"/>
                <w:szCs w:val="19"/>
                <w:shd w:val="clear" w:color="auto" w:fill="ffffff"/>
                <w:vertAlign w:val="baseline"/>
                <w:lang w:val="en-US" w:eastAsia="zh-CN" w:bidi="ar"/>
              </w:rPr>
              <w:t xml:space="preserve">。服务具体标准应参照《电信服务规范》施行。因不可抗力造成的大规模设施损坏，不纳入常规故障考核统计。</w:t>
            </w:r>
            <w:r/>
          </w:p>
          <w:p>
            <w:pPr>
              <w:jc w:val="left"/>
              <w:keepLines w:val="0"/>
              <w:keepNext w:val="0"/>
              <w:widowControl/>
              <w:rPr>
                <w:rFonts w:hint="default" w:ascii="宋体" w:hAnsi="宋体" w:eastAsia="宋体" w:cs="宋体"/>
                <w:i w:val="0"/>
                <w:iCs w:val="0"/>
                <w:color w:val="000000"/>
                <w:sz w:val="18"/>
                <w:szCs w:val="18"/>
                <w:u w:val="none"/>
                <w:lang w:val="en-US" w:eastAsia="zh-CN"/>
              </w:rPr>
              <w:suppressLineNumbers w:val="0"/>
            </w:pPr>
            <w:r>
              <w:rPr>
                <w:rFonts w:hint="default" w:ascii="宋体" w:hAnsi="宋体" w:eastAsia="宋体" w:cs="宋体"/>
                <w:i w:val="0"/>
                <w:iCs w:val="0"/>
                <w:color w:val="000000"/>
                <w:sz w:val="18"/>
                <w:szCs w:val="18"/>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1318" w:hRule="exact"/>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t xml:space="preserve">资料与台账管理</w:t>
            </w:r>
            <w:r/>
          </w:p>
          <w:p>
            <w:pPr>
              <w:jc w:val="left"/>
              <w:keepLines w:val="0"/>
              <w:keepNext w:val="0"/>
              <w:widowControl/>
              <w:rPr>
                <w:rFonts w:hint="eastAsia" w:ascii="宋体" w:hAnsi="宋体" w:eastAsia="宋体" w:cs="宋体"/>
                <w:i w:val="0"/>
                <w:iCs w:val="0"/>
                <w:color w:val="000000"/>
                <w:sz w:val="18"/>
                <w:szCs w:val="18"/>
                <w:u w:val="none"/>
                <w:lang w:eastAsia="zh-CN"/>
              </w:rPr>
              <w:suppressLineNumbers w:val="0"/>
            </w:pPr>
            <w:r>
              <w:rPr>
                <w:rFonts w:ascii="Segoe UI" w:hAnsi="Segoe UI" w:eastAsia="Segoe UI" w:cs="Segoe UI"/>
                <w:i w:val="0"/>
                <w:iCs w:val="0"/>
                <w:caps w:val="0"/>
                <w:spacing w:val="0"/>
                <w:sz w:val="19"/>
                <w:szCs w:val="19"/>
                <w:shd w:val="clear" w:color="auto" w:fill="ffffff"/>
              </w:rPr>
              <w:t xml:space="preserve">服务商须做好运维资料与台账的日常管理工作，确保资料完整、数据准确、更新及时</w:t>
            </w:r>
            <w:r>
              <w:rPr>
                <w:rFonts w:hint="eastAsia" w:ascii="Segoe UI" w:hAnsi="Segoe UI" w:eastAsia="宋体" w:cs="Segoe UI"/>
                <w:i w:val="0"/>
                <w:iCs w:val="0"/>
                <w:caps w:val="0"/>
                <w:spacing w:val="0"/>
                <w:sz w:val="19"/>
                <w:szCs w:val="19"/>
                <w:shd w:val="clear" w:color="auto" w:fill="ffffff"/>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1307" w:hRule="exact"/>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t xml:space="preserve">服务与配合度</w:t>
            </w:r>
            <w:r/>
          </w:p>
          <w:p>
            <w:pPr>
              <w:jc w:val="left"/>
              <w:keepLines w:val="0"/>
              <w:keepNext w:val="0"/>
              <w:widowControl/>
              <w:rPr>
                <w:rFonts w:hint="eastAsia" w:ascii="宋体" w:hAnsi="宋体" w:eastAsia="宋体" w:cs="宋体"/>
                <w:i w:val="0"/>
                <w:iCs w:val="0"/>
                <w:color w:val="000000"/>
                <w:sz w:val="18"/>
                <w:szCs w:val="18"/>
                <w:u w:val="none"/>
                <w:lang w:eastAsia="zh-CN"/>
              </w:rPr>
              <w:suppressLineNumbers w:val="0"/>
            </w:pPr>
            <w:r>
              <w:rPr>
                <w:rFonts w:ascii="Segoe UI" w:hAnsi="Segoe UI" w:eastAsia="Segoe UI" w:cs="Segoe UI"/>
                <w:i w:val="0"/>
                <w:iCs w:val="0"/>
                <w:caps w:val="0"/>
                <w:spacing w:val="0"/>
                <w:sz w:val="19"/>
                <w:szCs w:val="19"/>
                <w:shd w:val="clear" w:color="auto" w:fill="ffffff"/>
              </w:rPr>
              <w:t xml:space="preserve">服务商须积极响应网络调整需求，按要求完成相关变更工作。服务团队须保持良好的服务</w:t>
            </w:r>
            <w:r>
              <w:rPr>
                <w:rFonts w:hint="eastAsia" w:ascii="Segoe UI" w:hAnsi="Segoe UI" w:eastAsia="宋体" w:cs="Segoe UI"/>
                <w:i w:val="0"/>
                <w:iCs w:val="0"/>
                <w:caps w:val="0"/>
                <w:spacing w:val="0"/>
                <w:sz w:val="19"/>
                <w:szCs w:val="19"/>
                <w:shd w:val="clear" w:color="auto" w:fill="ffffff"/>
                <w:lang w:val="en-US" w:eastAsia="zh-CN"/>
              </w:rPr>
              <w:t xml:space="preserve">态度</w:t>
            </w:r>
            <w:r>
              <w:rPr>
                <w:rFonts w:ascii="Segoe UI" w:hAnsi="Segoe UI" w:eastAsia="Segoe UI" w:cs="Segoe UI"/>
                <w:i w:val="0"/>
                <w:iCs w:val="0"/>
                <w:caps w:val="0"/>
                <w:spacing w:val="0"/>
                <w:sz w:val="19"/>
                <w:szCs w:val="19"/>
                <w:shd w:val="clear" w:color="auto" w:fill="ffffff"/>
              </w:rPr>
              <w:t xml:space="preserve">与协作意识</w:t>
            </w:r>
            <w:r>
              <w:rPr>
                <w:rFonts w:hint="eastAsia" w:ascii="Segoe UI" w:hAnsi="Segoe UI" w:eastAsia="宋体" w:cs="Segoe UI"/>
                <w:i w:val="0"/>
                <w:iCs w:val="0"/>
                <w:caps w:val="0"/>
                <w:spacing w:val="0"/>
                <w:sz w:val="19"/>
                <w:szCs w:val="19"/>
                <w:shd w:val="clear" w:color="auto" w:fill="ffffff"/>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740" w:hRule="exact"/>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jc w:val="center"/>
          <w:trHeight w:val="850" w:hRule="exact"/>
        </w:trPr>
        <w:tc>
          <w:tcPr>
            <w:gridSpan w:val="4"/>
            <w:shd w:val="clear" w:color="auto" w:fill="auto"/>
            <w:tcBorders>
              <w:top w:val="none" w:color="000000" w:sz="4" w:space="0"/>
              <w:left w:val="none" w:color="000000" w:sz="4" w:space="0"/>
              <w:bottom w:val="none" w:color="000000" w:sz="4" w:space="0"/>
              <w:right w:val="none" w:color="000000" w:sz="4" w:space="0"/>
            </w:tcBorders>
            <w:tcW w:w="9900" w:type="dxa"/>
            <w:vAlign w:val="center"/>
            <w:textDirection w:val="lrTb"/>
            <w:noWrap/>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备注：考核评分标准：90分以上（含90分）为合格，90分以下为不合格。</w:t>
            </w:r>
            <w:r/>
          </w:p>
        </w:tc>
      </w:tr>
      <w:tr>
        <w:trPr>
          <w:jc w:val="center"/>
          <w:trHeight w:val="850" w:hRule="exact"/>
        </w:trPr>
        <w:tc>
          <w:tcPr>
            <w:shd w:val="clear" w:color="auto" w:fill="auto"/>
            <w:tcBorders>
              <w:top w:val="none" w:color="000000" w:sz="4" w:space="0"/>
              <w:left w:val="none" w:color="000000" w:sz="4" w:space="0"/>
              <w:bottom w:val="none" w:color="000000" w:sz="4" w:space="0"/>
              <w:right w:val="none" w:color="000000" w:sz="4" w:space="0"/>
            </w:tcBorders>
            <w:tcW w:w="683"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74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考核人员：                                                 考核日期：</w:t>
            </w:r>
            <w:r/>
          </w:p>
        </w:tc>
        <w:tc>
          <w:tcPr>
            <w:shd w:val="clear" w:color="auto" w:fill="auto"/>
            <w:tcBorders>
              <w:top w:val="none" w:color="000000" w:sz="4" w:space="0"/>
              <w:left w:val="none" w:color="000000" w:sz="4" w:space="0"/>
              <w:bottom w:val="none" w:color="000000" w:sz="4" w:space="0"/>
              <w:right w:val="none" w:color="000000" w:sz="4" w:space="0"/>
            </w:tcBorders>
            <w:tcW w:w="93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none" w:color="000000" w:sz="4" w:space="0"/>
              <w:bottom w:val="none" w:color="000000" w:sz="4" w:space="0"/>
              <w:right w:val="none" w:color="000000" w:sz="4" w:space="0"/>
            </w:tcBorders>
            <w:tcW w:w="877"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717"/>
        <w:ind w:left="0" w:firstLine="480"/>
        <w:jc w:val="righ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717"/>
        <w:jc w:val="center"/>
        <w:spacing w:before="120" w:beforeAutospacing="0" w:after="120" w:afterAutospacing="0" w:line="0" w:lineRule="atLeast"/>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w:t>
      </w:r>
      <w:bookmarkEnd w:id="148"/>
      <w:r>
        <w:rPr>
          <w:rFonts w:hint="eastAsia" w:ascii="黑体" w:hAnsi="宋体" w:eastAsia="黑体" w:cs="黑体"/>
          <w:color w:val="auto"/>
          <w:sz w:val="44"/>
          <w:szCs w:val="44"/>
          <w:highlight w:val="none"/>
          <w:shd w:val="clear" w:color="auto" w:fill="auto"/>
        </w:rPr>
        <w:t xml:space="preserve">四章 采购需求</w:t>
      </w:r>
      <w:bookmarkEnd w:id="149"/>
      <w:r/>
      <w:bookmarkEnd w:id="150"/>
      <w:r/>
      <w:bookmarkEnd w:id="151"/>
      <w:r/>
      <w:bookmarkEnd w:id="152"/>
      <w:r/>
      <w:bookmarkStart w:id="155" w:name="_Toc49090575"/>
      <w:r/>
      <w:bookmarkEnd w:id="155"/>
      <w:r/>
      <w:bookmarkStart w:id="156" w:name="_Toc26554093"/>
      <w:r/>
      <w:bookmarkEnd w:id="156"/>
      <w:r/>
      <w:r/>
    </w:p>
    <w:p>
      <w:pPr>
        <w:pStyle w:val="717"/>
        <w:ind w:firstLine="480"/>
        <w:jc w:val="both"/>
        <w:keepLines w:val="0"/>
        <w:keepNext w:val="0"/>
        <w:pageBreakBefore w:val="0"/>
        <w:spacing w:beforeAutospacing="0" w:afterAutospacing="0" w:line="360" w:lineRule="auto"/>
        <w:rPr>
          <w:rFonts w:hint="eastAsia" w:ascii="宋体" w:hAnsi="宋体" w:eastAsia="宋体" w:cs="宋体"/>
          <w:b/>
          <w:bCs/>
          <w:sz w:val="24"/>
          <w:szCs w:val="24"/>
          <w:highlight w:val="none"/>
        </w:rPr>
      </w:pPr>
      <w:r>
        <w:rPr>
          <w:rFonts w:hint="eastAsia" w:ascii="宋体" w:hAnsi="宋体" w:eastAsia="宋体" w:cs="宋体"/>
          <w:color w:val="auto"/>
          <w:highlight w:val="none"/>
          <w:lang w:val="en-US" w:eastAsia="zh-CN"/>
        </w:rPr>
        <w:t xml:space="preserve">项目属性</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服务类项目。</w:t>
      </w: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一、项目概述</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bookmarkStart w:id="157" w:name="_Toc97295831"/>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项目名称</w:t>
      </w:r>
      <w:bookmarkEnd w:id="157"/>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盐都区社会治安防控体系建设（一期）项目光纤租赁</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Start w:id="158" w:name="_Toc97295832"/>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背景：盐都区社会治安防控体系建设属于重要的公共服务项目，具有特殊的安全性和稳定性要求。治安防控体系运行情况直接关系到全区公共安全和社会秩序，其通信网络必须在数据传输、安全防护等方面达到高标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建设目标：为保障盐都区社会治安防控体系建设（一期）项目全流程正常运转，拟继续租赁本项目所使用的2959条公安专用传输光纤线路，并新增41条备用光纤线路，完善网络冗余建设。</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项目目的：本项目旨在保障现有治安防控体系网络基础链路畅通，配套完成光纤线路的调试、对接、维护等相关服务，确保线路投入使用后无缝衔接原有系统</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bookmarkEnd w:id="158"/>
      <w:r/>
      <w:bookmarkStart w:id="159" w:name="_Toc97295833"/>
      <w:r>
        <w:rPr>
          <w:rFonts w:hint="eastAsia" w:ascii="宋体" w:hAnsi="宋体" w:cs="宋体"/>
          <w:sz w:val="24"/>
          <w:szCs w:val="24"/>
          <w:highlight w:val="none"/>
          <w:lang w:val="en-US" w:eastAsia="zh-CN"/>
        </w:rPr>
        <w:t xml:space="preserve">预算金额及最高限价</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360.0万元</w:t>
      </w:r>
      <w:r>
        <w:rPr>
          <w:rFonts w:hint="eastAsia" w:ascii="宋体" w:hAnsi="宋体" w:eastAsia="宋体" w:cs="宋体"/>
          <w:sz w:val="24"/>
          <w:szCs w:val="24"/>
          <w:highlight w:val="none"/>
          <w:lang w:val="en-US" w:eastAsia="zh-CN"/>
        </w:rPr>
        <w:t xml:space="preserve">（人民币）。</w:t>
      </w:r>
      <w:bookmarkEnd w:id="159"/>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采购标的</w:t>
      </w:r>
      <w:r>
        <w:rPr>
          <w:rFonts w:hint="eastAsia" w:ascii="宋体" w:hAnsi="宋体" w:cs="宋体"/>
          <w:sz w:val="24"/>
          <w:szCs w:val="24"/>
          <w:highlight w:val="none"/>
          <w:lang w:val="en-US" w:eastAsia="zh-CN"/>
        </w:rPr>
        <w:t xml:space="preserve">均</w:t>
      </w:r>
      <w:r>
        <w:rPr>
          <w:rFonts w:hint="eastAsia" w:ascii="宋体" w:hAnsi="宋体" w:eastAsia="宋体" w:cs="宋体"/>
          <w:sz w:val="24"/>
          <w:szCs w:val="24"/>
          <w:highlight w:val="none"/>
        </w:rPr>
        <w:t xml:space="preserve">所属</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软件和信息技术服务业 </w:t>
      </w:r>
      <w:r>
        <w:rPr>
          <w:rFonts w:hint="eastAsia" w:ascii="宋体" w:hAnsi="宋体" w:eastAsia="宋体" w:cs="宋体"/>
          <w:sz w:val="24"/>
          <w:szCs w:val="24"/>
          <w:highlight w:val="none"/>
        </w:rPr>
        <w:t xml:space="preserve">，根据《工业和信息化部、国家统计局、国家发展和改革委员会、财政部关于印发中小企业划型标准规定的通知》（工信部联企业[2011]300号）规定的划分标准填写。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zh-CN"/>
        </w:rPr>
        <w:t xml:space="preserve">清单</w:t>
      </w:r>
      <w:r/>
    </w:p>
    <w:tbl>
      <w:tblPr>
        <w:tblStyle w:val="721"/>
        <w:tblW w:w="7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8"/>
        <w:gridCol w:w="1432"/>
        <w:gridCol w:w="3423"/>
      </w:tblGrid>
      <w:tr>
        <w:trPr>
          <w:jc w:val="center"/>
        </w:trPr>
        <w:tc>
          <w:tcPr>
            <w:tcW w:w="2508" w:type="dxa"/>
            <w:vAlign w:val="center"/>
            <w:textDirection w:val="lrTb"/>
            <w:noWrap w:val="false"/>
          </w:tcPr>
          <w:p>
            <w:pPr>
              <w:pStyle w:val="735"/>
              <w:ind w:left="0" w:firstLine="0"/>
              <w:jc w:val="center"/>
              <w:keepLines w:val="0"/>
              <w:keepNext w:val="0"/>
              <w:pageBreakBefore w:val="0"/>
              <w:spacing w:after="0" w:afterAutospacing="0" w:line="560" w:lineRule="exact"/>
              <w:widowControl w:val="off"/>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b/>
                <w:bCs/>
                <w:color w:val="auto"/>
                <w:sz w:val="28"/>
                <w:szCs w:val="28"/>
                <w:highlight w:val="none"/>
              </w:rPr>
              <w:t xml:space="preserve">产品</w:t>
            </w:r>
            <w:r/>
          </w:p>
        </w:tc>
        <w:tc>
          <w:tcPr>
            <w:tcW w:w="1432" w:type="dxa"/>
            <w:vAlign w:val="center"/>
            <w:textDirection w:val="lrTb"/>
            <w:noWrap w:val="false"/>
          </w:tcPr>
          <w:p>
            <w:pPr>
              <w:pStyle w:val="735"/>
              <w:ind w:left="0" w:firstLine="0"/>
              <w:jc w:val="center"/>
              <w:keepLines w:val="0"/>
              <w:keepNext w:val="0"/>
              <w:pageBreakBefore w:val="0"/>
              <w:spacing w:after="0" w:afterAutospacing="0" w:line="560" w:lineRule="exact"/>
              <w:widowControl w:val="off"/>
              <w:rPr>
                <w:rFonts w:hint="default" w:ascii="Times New Roman" w:hAnsi="Times New Roman" w:eastAsia="方正仿宋_GBK" w:cs="Times New Roman"/>
                <w:b/>
                <w:bCs/>
                <w:color w:val="auto"/>
                <w:sz w:val="28"/>
                <w:szCs w:val="28"/>
                <w:highlight w:val="none"/>
              </w:rPr>
            </w:pPr>
            <w:r>
              <w:rPr>
                <w:rFonts w:hint="default" w:ascii="Times New Roman" w:hAnsi="Times New Roman" w:eastAsia="方正仿宋_GBK" w:cs="Times New Roman"/>
                <w:b/>
                <w:bCs/>
                <w:color w:val="auto"/>
                <w:sz w:val="28"/>
                <w:szCs w:val="28"/>
                <w:highlight w:val="none"/>
              </w:rPr>
              <w:t xml:space="preserve">数量</w:t>
            </w:r>
            <w:r/>
          </w:p>
        </w:tc>
        <w:tc>
          <w:tcPr>
            <w:tcW w:w="3423" w:type="dxa"/>
            <w:vAlign w:val="center"/>
            <w:textDirection w:val="lrTb"/>
            <w:noWrap w:val="false"/>
          </w:tcPr>
          <w:p>
            <w:pPr>
              <w:pStyle w:val="735"/>
              <w:ind w:left="0" w:firstLine="0"/>
              <w:jc w:val="center"/>
              <w:keepLines w:val="0"/>
              <w:keepNext w:val="0"/>
              <w:pageBreakBefore w:val="0"/>
              <w:spacing w:after="0" w:afterAutospacing="0" w:line="560" w:lineRule="exact"/>
              <w:widowControl w:val="off"/>
              <w:rPr>
                <w:rFonts w:hint="eastAsia" w:ascii="Times New Roman" w:hAnsi="Times New Roman" w:eastAsia="方正仿宋_GBK" w:cs="Times New Roman"/>
                <w:b/>
                <w:bCs/>
                <w:color w:val="auto"/>
                <w:sz w:val="28"/>
                <w:szCs w:val="28"/>
                <w:highlight w:val="none"/>
                <w:lang w:val="en-US" w:eastAsia="zh-CN"/>
              </w:rPr>
            </w:pPr>
            <w:r>
              <w:rPr>
                <w:rFonts w:hint="eastAsia" w:ascii="Times New Roman" w:hAnsi="Times New Roman" w:eastAsia="方正仿宋_GBK" w:cs="Times New Roman"/>
                <w:b/>
                <w:bCs/>
                <w:color w:val="auto"/>
                <w:sz w:val="28"/>
                <w:szCs w:val="28"/>
                <w:highlight w:val="none"/>
                <w:lang w:val="en-US" w:eastAsia="zh-CN"/>
              </w:rPr>
              <w:t xml:space="preserve">备注</w:t>
            </w:r>
            <w:r/>
          </w:p>
        </w:tc>
      </w:tr>
      <w:tr>
        <w:trPr>
          <w:jc w:val="center"/>
        </w:trPr>
        <w:tc>
          <w:tcPr>
            <w:tcW w:w="2508" w:type="dxa"/>
            <w:vAlign w:val="center"/>
            <w:textDirection w:val="lrTb"/>
            <w:noWrap w:val="false"/>
          </w:tcPr>
          <w:p>
            <w:pPr>
              <w:pStyle w:val="735"/>
              <w:ind w:left="0" w:firstLine="0"/>
              <w:jc w:val="center"/>
              <w:keepLines w:val="0"/>
              <w:keepNext w:val="0"/>
              <w:pageBreakBefore w:val="0"/>
              <w:spacing w:after="0" w:afterAutospacing="0" w:line="560" w:lineRule="exact"/>
              <w:widowControl w:val="off"/>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百兆光纤租赁</w:t>
            </w:r>
            <w:r/>
          </w:p>
        </w:tc>
        <w:tc>
          <w:tcPr>
            <w:tcW w:w="1432" w:type="dxa"/>
            <w:vAlign w:val="center"/>
            <w:textDirection w:val="lrTb"/>
            <w:noWrap w:val="false"/>
          </w:tcPr>
          <w:p>
            <w:pPr>
              <w:pStyle w:val="735"/>
              <w:ind w:left="0" w:firstLine="0"/>
              <w:jc w:val="center"/>
              <w:keepLines w:val="0"/>
              <w:keepNext w:val="0"/>
              <w:pageBreakBefore w:val="0"/>
              <w:spacing w:after="0" w:afterAutospacing="0" w:line="560" w:lineRule="exact"/>
              <w:widowControl w:val="off"/>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2992条</w:t>
            </w:r>
            <w:r/>
          </w:p>
        </w:tc>
        <w:tc>
          <w:tcPr>
            <w:tcW w:w="3423" w:type="dxa"/>
            <w:vAlign w:val="center"/>
            <w:textDirection w:val="lrTb"/>
            <w:noWrap w:val="false"/>
          </w:tcPr>
          <w:p>
            <w:pPr>
              <w:pStyle w:val="735"/>
              <w:ind w:left="0" w:firstLine="0"/>
              <w:jc w:val="center"/>
              <w:keepLines w:val="0"/>
              <w:keepNext w:val="0"/>
              <w:pageBreakBefore w:val="0"/>
              <w:spacing w:after="0" w:afterAutospacing="0" w:line="560" w:lineRule="exact"/>
              <w:widowControl w:val="off"/>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r>
            <w:r/>
          </w:p>
        </w:tc>
      </w:tr>
      <w:tr>
        <w:trPr>
          <w:jc w:val="center"/>
        </w:trPr>
        <w:tc>
          <w:tcPr>
            <w:tcW w:w="2508" w:type="dxa"/>
            <w:vAlign w:val="center"/>
            <w:textDirection w:val="lrTb"/>
            <w:noWrap w:val="false"/>
          </w:tcPr>
          <w:p>
            <w:pPr>
              <w:pStyle w:val="735"/>
              <w:ind w:left="0" w:firstLine="0"/>
              <w:jc w:val="center"/>
              <w:keepLines w:val="0"/>
              <w:keepNext w:val="0"/>
              <w:pageBreakBefore w:val="0"/>
              <w:spacing w:after="0" w:afterAutospacing="0" w:line="560" w:lineRule="exact"/>
              <w:widowControl w:val="off"/>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万兆光纤租赁</w:t>
            </w:r>
            <w:r/>
          </w:p>
        </w:tc>
        <w:tc>
          <w:tcPr>
            <w:tcW w:w="1432" w:type="dxa"/>
            <w:vAlign w:val="center"/>
            <w:textDirection w:val="lrTb"/>
            <w:noWrap w:val="false"/>
          </w:tcPr>
          <w:p>
            <w:pPr>
              <w:pStyle w:val="735"/>
              <w:ind w:left="0" w:firstLine="0"/>
              <w:jc w:val="center"/>
              <w:keepLines w:val="0"/>
              <w:keepNext w:val="0"/>
              <w:pageBreakBefore w:val="0"/>
              <w:spacing w:after="0" w:afterAutospacing="0" w:line="560" w:lineRule="exact"/>
              <w:widowControl w:val="off"/>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t xml:space="preserve">8条</w:t>
            </w:r>
            <w:r/>
          </w:p>
        </w:tc>
        <w:tc>
          <w:tcPr>
            <w:tcW w:w="3423" w:type="dxa"/>
            <w:vAlign w:val="center"/>
            <w:textDirection w:val="lrTb"/>
            <w:noWrap w:val="false"/>
          </w:tcPr>
          <w:p>
            <w:pPr>
              <w:pStyle w:val="735"/>
              <w:ind w:left="0" w:firstLine="0"/>
              <w:jc w:val="center"/>
              <w:keepLines w:val="0"/>
              <w:keepNext w:val="0"/>
              <w:pageBreakBefore w:val="0"/>
              <w:spacing w:after="0" w:afterAutospacing="0" w:line="560" w:lineRule="exact"/>
              <w:widowControl w:val="off"/>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8"/>
                <w:szCs w:val="28"/>
                <w:highlight w:val="none"/>
              </w:rPr>
            </w:r>
            <w:r/>
          </w:p>
        </w:tc>
      </w:tr>
    </w:tbl>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项目执行的相关标准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满足</w:t>
      </w:r>
      <w:r>
        <w:rPr>
          <w:rFonts w:hint="eastAsia" w:ascii="宋体" w:hAnsi="宋体" w:cs="宋体"/>
          <w:sz w:val="24"/>
          <w:szCs w:val="24"/>
          <w:highlight w:val="none"/>
          <w:lang w:val="en-US" w:eastAsia="zh-CN"/>
        </w:rPr>
        <w:t xml:space="preserve">采购</w:t>
      </w:r>
      <w:r>
        <w:rPr>
          <w:rFonts w:hint="eastAsia" w:ascii="宋体" w:hAnsi="宋体" w:eastAsia="宋体" w:cs="宋体"/>
          <w:sz w:val="24"/>
          <w:szCs w:val="24"/>
          <w:highlight w:val="none"/>
          <w:lang w:val="en-US" w:eastAsia="zh-CN"/>
        </w:rPr>
        <w:t xml:space="preserve">文件采购需求开展，并符合现行国家相关标准、地方标准或者其他标准、规范。</w:t>
      </w:r>
      <w:r/>
    </w:p>
    <w:p>
      <w:pPr>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三、技术要求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内容：租赁盐都区社会治安防控体系建设（一期）项目2959条公安专用传输光纤线路，新增41条公安专用备用传输光纤线路，保障现有治安防控体系网络基础链路畅通；配套完成光纤线路的调试、对接、维护等相关服务，确保线路投入使用后无缝衔接原有系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2、服务要求：光纤线路满足甲方网络及平台接入相关规范要求；提供的服务具体标准应参照《电信服务规范》施行。</w:t>
      </w:r>
      <w:r/>
    </w:p>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四、商务要求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服务期限</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合同履行期限</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1年；</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zh-CN"/>
        </w:rPr>
        <w:t xml:space="preserve">地点：</w:t>
      </w:r>
      <w:r>
        <w:rPr>
          <w:rFonts w:hint="eastAsia" w:ascii="宋体" w:hAnsi="宋体" w:cs="宋体"/>
          <w:sz w:val="24"/>
          <w:szCs w:val="24"/>
          <w:highlight w:val="none"/>
          <w:lang w:val="en-US" w:eastAsia="zh-CN"/>
        </w:rPr>
        <w:t xml:space="preserve">位于江苏省盐城市盐都区境内</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付款方式：</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预付款支付时间：合同签订后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val="en-US" w:eastAsia="zh-CN"/>
        </w:rPr>
        <w:t xml:space="preserve">自</w:t>
      </w:r>
      <w:r>
        <w:rPr>
          <w:rFonts w:hint="eastAsia" w:ascii="宋体" w:hAnsi="宋体" w:eastAsia="宋体" w:cs="宋体"/>
          <w:sz w:val="24"/>
          <w:szCs w:val="24"/>
          <w:highlight w:val="none"/>
        </w:rPr>
        <w:t xml:space="preserve">收到</w:t>
      </w:r>
      <w:r>
        <w:rPr>
          <w:rFonts w:hint="eastAsia" w:ascii="宋体" w:hAnsi="宋体" w:eastAsia="宋体" w:cs="宋体"/>
          <w:sz w:val="24"/>
          <w:szCs w:val="24"/>
          <w:highlight w:val="none"/>
          <w:lang w:eastAsia="zh-CN"/>
        </w:rPr>
        <w:t xml:space="preserve">预付款</w:t>
      </w:r>
      <w:r>
        <w:rPr>
          <w:rFonts w:hint="eastAsia" w:ascii="宋体" w:hAnsi="宋体" w:eastAsia="宋体" w:cs="宋体"/>
          <w:sz w:val="24"/>
          <w:szCs w:val="24"/>
          <w:highlight w:val="none"/>
        </w:rPr>
        <w:t xml:space="preserve">发票后10个工作日内</w:t>
      </w:r>
      <w:r>
        <w:rPr>
          <w:rFonts w:hint="eastAsia" w:ascii="宋体" w:hAnsi="宋体" w:eastAsia="宋体" w:cs="宋体"/>
          <w:sz w:val="24"/>
          <w:szCs w:val="24"/>
          <w:highlight w:val="none"/>
          <w:lang w:val="en-US" w:eastAsia="zh-CN"/>
        </w:rPr>
        <w:t xml:space="preserve">完成资金支付</w:t>
      </w:r>
      <w:r>
        <w:rPr>
          <w:rFonts w:hint="eastAsia" w:ascii="宋体" w:hAnsi="宋体" w:eastAsia="宋体" w:cs="宋体"/>
          <w:sz w:val="24"/>
          <w:szCs w:val="24"/>
          <w:highlight w:val="none"/>
        </w:rPr>
        <w:t xml:space="preserve">，预付款支付比例</w:t>
      </w:r>
      <w:r>
        <w:rPr>
          <w:rFonts w:hint="eastAsia" w:ascii="宋体" w:hAnsi="宋体" w:eastAsia="宋体" w:cs="宋体"/>
          <w:sz w:val="24"/>
          <w:szCs w:val="24"/>
          <w:highlight w:val="none"/>
          <w:lang w:val="en-US" w:eastAsia="zh-CN"/>
        </w:rPr>
        <w:t xml:space="preserve">为</w:t>
      </w:r>
      <w:r>
        <w:rPr>
          <w:rFonts w:hint="eastAsia" w:ascii="宋体" w:hAnsi="宋体" w:eastAsia="宋体" w:cs="宋体"/>
          <w:sz w:val="24"/>
          <w:szCs w:val="24"/>
          <w:highlight w:val="none"/>
        </w:rPr>
        <w:t xml:space="preserve">合同金额的</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3.2进度款支付时间：按月次月报账结算，</w:t>
      </w:r>
      <w:r>
        <w:rPr>
          <w:rFonts w:hint="eastAsia" w:ascii="宋体" w:hAnsi="宋体" w:eastAsia="宋体" w:cs="宋体"/>
          <w:sz w:val="24"/>
          <w:szCs w:val="24"/>
          <w:highlight w:val="none"/>
          <w:lang w:val="zh-CN"/>
        </w:rPr>
        <w:t xml:space="preserve">采购人</w:t>
      </w:r>
      <w:r>
        <w:rPr>
          <w:rFonts w:hint="eastAsia" w:ascii="宋体" w:hAnsi="宋体" w:eastAsia="宋体" w:cs="宋体"/>
          <w:sz w:val="24"/>
          <w:szCs w:val="24"/>
          <w:highlight w:val="none"/>
          <w:lang w:val="en-US" w:eastAsia="zh-CN"/>
        </w:rPr>
        <w:t xml:space="preserve">自</w:t>
      </w:r>
      <w:r>
        <w:rPr>
          <w:rFonts w:hint="eastAsia" w:ascii="宋体" w:hAnsi="宋体" w:eastAsia="宋体" w:cs="宋体"/>
          <w:sz w:val="24"/>
          <w:szCs w:val="24"/>
          <w:highlight w:val="none"/>
          <w:lang w:val="zh-CN"/>
        </w:rPr>
        <w:t xml:space="preserve">收到发票后10个工作日内</w:t>
      </w:r>
      <w:r>
        <w:rPr>
          <w:rFonts w:hint="eastAsia" w:ascii="宋体" w:hAnsi="宋体" w:eastAsia="宋体" w:cs="宋体"/>
          <w:sz w:val="24"/>
          <w:szCs w:val="24"/>
          <w:highlight w:val="none"/>
          <w:lang w:val="en-US" w:eastAsia="zh-CN"/>
        </w:rPr>
        <w:t xml:space="preserve">完成资金支付。</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lang w:val="zh-CN" w:eastAsia="zh-CN"/>
        </w:rPr>
        <w:t xml:space="preserve">以上付款均无银行利息，一律通过银行结转；</w:t>
      </w:r>
      <w:r>
        <w:rPr>
          <w:rFonts w:hint="eastAsia" w:ascii="宋体" w:hAnsi="宋体" w:eastAsia="宋体" w:cs="宋体"/>
          <w:sz w:val="24"/>
          <w:szCs w:val="24"/>
          <w:highlight w:val="none"/>
          <w:lang w:val="en-US" w:eastAsia="zh-CN"/>
        </w:rPr>
        <w:t xml:space="preserve">甲方在付款前，乙方应先向甲方提供等额有效的发票，否则甲方有权拒付款项，且不承担任何责任。</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售后服务内容、要求和期限</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有关部门、单位进行调查、查阅</w:t>
      </w:r>
      <w:r>
        <w:rPr>
          <w:rFonts w:hint="eastAsia" w:ascii="宋体" w:hAnsi="宋体" w:eastAsia="宋体" w:cs="宋体"/>
          <w:sz w:val="24"/>
          <w:szCs w:val="24"/>
          <w:highlight w:val="none"/>
          <w:lang w:eastAsia="zh-CN"/>
        </w:rPr>
        <w:t xml:space="preserve">复核工作</w:t>
      </w:r>
      <w:r>
        <w:rPr>
          <w:rFonts w:hint="eastAsia" w:ascii="宋体" w:hAnsi="宋体" w:eastAsia="宋体" w:cs="宋体"/>
          <w:sz w:val="24"/>
          <w:szCs w:val="24"/>
          <w:highlight w:val="none"/>
        </w:rPr>
        <w:t xml:space="preserve">所需的信息，供应商须进行配合。</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结算方式：</w:t>
      </w:r>
      <w:r>
        <w:rPr>
          <w:rFonts w:hint="eastAsia" w:ascii="宋体" w:hAnsi="宋体" w:eastAsia="宋体" w:cs="宋体"/>
          <w:sz w:val="24"/>
          <w:szCs w:val="24"/>
          <w:highlight w:val="none"/>
          <w:lang w:val="zh-CN" w:eastAsia="zh-CN"/>
        </w:rPr>
        <w:t xml:space="preserve">采购人应结算金额按中标供应商合同价结算。</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6、其他</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（1）成果要求：根据服务内容形成服务成果报告。</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成果验收要求：服务成果报告通过采购人确认。采购人按采购文件相关要求进行。采购人自行对供应商提供的合作服务进行验收。因供应商提供的合作服务不符合标准导致甲方重复支出的验收费用，由乙方承担。</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（3）采购标的的其他技术、服务等要求：</w:t>
      </w:r>
      <w:r/>
    </w:p>
    <w:p>
      <w:pPr>
        <w:ind w:firstLine="480"/>
        <w:jc w:val="left"/>
        <w:spacing w:line="360" w:lineRule="auto"/>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eastAsia="zh-CN"/>
        </w:rPr>
        <w:t xml:space="preserve">如果采购人经评审认为供应商在服务期间未能履行服务承诺和合同规定的义务，管理质量低劣，用户多次投诉仍不改正并无相应保证措施的，则采购人有权在合同期内决定中止服务合同。</w:t>
      </w:r>
      <w:r/>
    </w:p>
    <w:p>
      <w:pPr>
        <w:ind w:firstLine="480"/>
        <w:jc w:val="left"/>
        <w:spacing w:line="360" w:lineRule="auto"/>
        <w:rPr>
          <w:rFonts w:hint="eastAsia"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lang w:val="en-US" w:eastAsia="zh-CN"/>
        </w:rPr>
        <w:t xml:space="preserve">供应商须采取有效措施保护采购人的知识产权。</w:t>
      </w:r>
      <w:r/>
    </w:p>
    <w:p>
      <w:pPr>
        <w:spacing w:line="500" w:lineRule="exact"/>
        <w:rPr>
          <w:rFonts w:ascii="宋体" w:hAnsi="宋体" w:eastAsia="宋体" w:cs="宋体"/>
          <w:b/>
          <w:bCs/>
          <w:color w:val="000000"/>
          <w:sz w:val="24"/>
        </w:rPr>
      </w:pPr>
      <w:r>
        <w:rPr>
          <w:rFonts w:hint="eastAsia" w:ascii="宋体" w:hAnsi="宋体" w:eastAsia="宋体" w:cs="宋体"/>
          <w:b/>
          <w:bCs/>
          <w:sz w:val="24"/>
          <w:szCs w:val="24"/>
          <w:highlight w:val="none"/>
          <w:lang w:val="en-US" w:eastAsia="zh-CN"/>
        </w:rPr>
        <w:t xml:space="preserve">五、价格部分</w:t>
      </w:r>
      <w:r>
        <w:rPr>
          <w:rFonts w:hint="eastAsia" w:ascii="宋体" w:hAnsi="宋体" w:eastAsia="宋体" w:cs="宋体"/>
          <w:b/>
          <w:bCs/>
          <w:color w:val="000000"/>
          <w:sz w:val="24"/>
        </w:rPr>
        <w:t xml:space="preserve">要求</w:t>
      </w:r>
      <w:r/>
    </w:p>
    <w:p>
      <w:pPr>
        <w:ind w:firstLine="480"/>
        <w:spacing w:line="500" w:lineRule="exact"/>
        <w:rPr>
          <w:rFonts w:ascii="宋体" w:hAnsi="宋体" w:eastAsia="宋体" w:cs="宋体"/>
          <w:bCs/>
          <w:sz w:val="24"/>
        </w:rPr>
      </w:pPr>
      <w:r>
        <w:rPr>
          <w:rFonts w:hint="eastAsia" w:ascii="宋体" w:hAnsi="宋体" w:eastAsia="宋体" w:cs="宋体"/>
          <w:bCs/>
          <w:sz w:val="24"/>
        </w:rPr>
        <w:t xml:space="preserve">1、采购人拒绝高于最高限价的投标报价。</w:t>
      </w:r>
      <w:r/>
    </w:p>
    <w:p>
      <w:pPr>
        <w:ind w:firstLine="480"/>
        <w:spacing w:line="500" w:lineRule="exact"/>
        <w:rPr>
          <w:rFonts w:hint="eastAsia" w:ascii="宋体" w:hAnsi="宋体" w:eastAsia="宋体" w:cs="宋体"/>
          <w:bCs/>
          <w:sz w:val="24"/>
        </w:rPr>
      </w:pPr>
      <w:r>
        <w:rPr>
          <w:rFonts w:hint="eastAsia" w:ascii="宋体" w:hAnsi="宋体" w:eastAsia="宋体" w:cs="宋体"/>
          <w:bCs/>
          <w:sz w:val="24"/>
        </w:rPr>
        <w:t xml:space="preserve">2、投标报价采用固定总价报价的方式，供应商根据实际情况</w:t>
      </w:r>
      <w:bookmarkStart w:id="160" w:name="OLE_LINK12"/>
      <w:r>
        <w:rPr>
          <w:rFonts w:hint="eastAsia" w:ascii="宋体" w:hAnsi="宋体" w:eastAsia="宋体" w:cs="宋体"/>
          <w:bCs/>
          <w:sz w:val="24"/>
        </w:rPr>
        <w:t xml:space="preserve">、采购人提供的采购清单、技术要求、自身实力、结合市场行情报价，此报价应包括为完成采购文件、采购清单中确定的所有内容，供应商应充分考虑为完成上述内容所必须的全部的相关服务所需的所有费用，即主要包括（但不限于）：</w:t>
      </w:r>
      <w:bookmarkEnd w:id="160"/>
      <w:r>
        <w:rPr>
          <w:rFonts w:hint="eastAsia" w:ascii="宋体" w:hAnsi="宋体" w:eastAsia="宋体" w:cs="宋体"/>
          <w:bCs/>
          <w:sz w:val="24"/>
        </w:rPr>
        <w:t xml:space="preserve">人工费（含工资、社会统筹保险金、加班工资、工作餐、相关福利、关于人员聘用的费用等）、加急费、</w:t>
      </w:r>
      <w:r>
        <w:rPr>
          <w:rFonts w:hint="eastAsia" w:ascii="宋体" w:hAnsi="宋体" w:eastAsia="宋体" w:cs="宋体"/>
          <w:bCs/>
          <w:sz w:val="24"/>
        </w:rPr>
        <w:t xml:space="preserve">报告编制费、仪器设备费、加班费、文明措施费、规费、节假日工资、高温费、职工带薪休假费用、公众责任保险费、社会保险、住房公积金、残疾人保证金、体检费、工具费、合同期满后根据劳动法解除人员的经济补偿金、劳保用品费用、耗材费、汽油费、管理费、税金及利润、直接和间接成本费、招标代理服务费、包装费、运杂费（含运输费）、配合费等政策性文件规定及合同包含的所有风险、责任等因素的费用价格体现，凡漏项或少计均视为优惠，采购人不另行增加费用。各类风险和政策性调整等风险已包括在投标报价中，最终结算时除合同约定调整外一律不予调整。</w:t>
      </w:r>
      <w:r/>
    </w:p>
    <w:p>
      <w:pPr>
        <w:spacing w:line="500" w:lineRule="exact"/>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六、服务方案要求</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投标人须根据自身实际情况与对本项目的理解，编制总体服务方案，至少包含项目背景、实施方案、拟投入资源情况、质量、服务期限（合同履行期限）控制措施、与采购人对接沟通措施5大项。</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1、项目背景：</w:t>
      </w:r>
      <w:r>
        <w:rPr>
          <w:rFonts w:hint="eastAsia" w:ascii="宋体" w:hAnsi="宋体" w:eastAsia="宋体" w:cs="宋体"/>
          <w:sz w:val="24"/>
          <w:szCs w:val="24"/>
          <w:highlight w:val="none"/>
          <w:lang w:val="en-US" w:eastAsia="zh-CN"/>
        </w:rPr>
        <w:t xml:space="preserve">投标人应根据采购需求和本项目实际情况，制订相应的项目背景分析包括但不限于以下内容：对本项目相关背景、目标、项目重点和难点理解把握。</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2、实施方案：</w:t>
      </w:r>
      <w:r>
        <w:rPr>
          <w:rFonts w:hint="eastAsia" w:ascii="宋体" w:hAnsi="宋体" w:eastAsia="宋体" w:cs="宋体"/>
          <w:sz w:val="24"/>
          <w:szCs w:val="24"/>
          <w:highlight w:val="none"/>
          <w:lang w:val="en-US" w:eastAsia="zh-CN"/>
        </w:rPr>
        <w:t xml:space="preserve">投标人应根据采购需求和本项目实际情况，制订相应的实施方案包括但不限于以下内容：技术思路、设想及总体目标、管理规章制度等。</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3、拟投入资源情况：</w:t>
      </w:r>
      <w:r>
        <w:rPr>
          <w:rFonts w:hint="eastAsia" w:ascii="宋体" w:hAnsi="宋体" w:eastAsia="宋体" w:cs="宋体"/>
          <w:sz w:val="24"/>
          <w:szCs w:val="24"/>
          <w:highlight w:val="none"/>
          <w:lang w:val="en-US" w:eastAsia="zh-CN"/>
        </w:rPr>
        <w:t xml:space="preserve">投标人应根据采购需求和本项目实际情况，制订相应的资源投入情况包括但不限于以下内容：人员（人员组成及分组情况）等。</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4、质量、服务期限（合同履行期限）控制措施：</w:t>
      </w:r>
      <w:r>
        <w:rPr>
          <w:rFonts w:hint="eastAsia" w:ascii="宋体" w:hAnsi="宋体" w:eastAsia="宋体" w:cs="宋体"/>
          <w:sz w:val="24"/>
          <w:szCs w:val="24"/>
          <w:highlight w:val="none"/>
          <w:lang w:val="en-US" w:eastAsia="zh-CN"/>
        </w:rPr>
        <w:t xml:space="preserve">投标人应根据采购需求和本项目实际情况，制订相应的质量、服务期限（合同履行期限）控制措施包括但不限于以下内容：质量管理体系、</w:t>
      </w:r>
      <w:r>
        <w:rPr>
          <w:rFonts w:hint="eastAsia" w:ascii="宋体" w:hAnsi="宋体" w:eastAsia="宋体" w:cs="宋体"/>
          <w:sz w:val="24"/>
          <w:szCs w:val="24"/>
          <w:highlight w:val="none"/>
        </w:rPr>
        <w:t xml:space="preserve">服务期限</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合同履行期限</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安排、试验和质量检验方案及条件、控制措施、相关承诺及保证等。</w:t>
      </w:r>
      <w:r/>
    </w:p>
    <w:p>
      <w:pPr>
        <w:ind w:firstLine="482"/>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5、与采购人对接沟通措施：</w:t>
      </w:r>
      <w:r>
        <w:rPr>
          <w:rFonts w:hint="eastAsia" w:ascii="宋体" w:hAnsi="宋体" w:eastAsia="宋体" w:cs="宋体"/>
          <w:sz w:val="24"/>
          <w:szCs w:val="24"/>
          <w:highlight w:val="none"/>
          <w:lang w:val="en-US" w:eastAsia="zh-CN"/>
        </w:rPr>
        <w:t xml:space="preserve">投标人应根据采购需求和本项目实际情况，制订相应的与采购人对接沟通措施包括但不限于以下内容：与采购人对接安排、人员安排、沟通具体措施等。</w:t>
      </w:r>
      <w:r/>
    </w:p>
    <w:p>
      <w:pPr>
        <w:pStyle w:val="700"/>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694"/>
        <w:tblW w:w="5000" w:type="pct"/>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9"/>
        <w:gridCol w:w="4953"/>
        <w:gridCol w:w="2710"/>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pStyle w:val="717"/>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53" w:type="dxa"/>
            <w:vAlign w:val="center"/>
            <w:textDirection w:val="lrTb"/>
            <w:noWrap w:val="false"/>
          </w:tcPr>
          <w:p>
            <w:pPr>
              <w:pStyle w:val="717"/>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pStyle w:val="717"/>
              <w:jc w:val="center"/>
              <w:keepLines w:val="0"/>
              <w:keepNext w:val="0"/>
              <w:pageBreakBefore w:val="0"/>
              <w:spacing w:beforeAutospacing="0" w:afterAutospacing="0" w:line="240" w:lineRule="auto"/>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zh-CN" w:eastAsia="zh-CN" w:bidi="ar"/>
              </w:rPr>
              <w:suppressLineNumbers w:val="0"/>
            </w:pPr>
            <w:r>
              <w:rPr>
                <w:rFonts w:hint="eastAsia" w:ascii="宋体" w:hAnsi="宋体" w:cs="宋体"/>
                <w:sz w:val="24"/>
                <w:szCs w:val="24"/>
                <w:highlight w:val="none"/>
                <w:lang w:eastAsia="zh-CN"/>
              </w:rPr>
              <w:t xml:space="preserve">盐都区社会治安防控体系建设（一期）项目光纤租赁</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软件和信息技术服务业</w:t>
            </w:r>
            <w:r/>
          </w:p>
        </w:tc>
      </w:tr>
    </w:tbl>
    <w:p>
      <w:pPr>
        <w:rPr>
          <w:rFonts w:hint="eastAsia" w:ascii="黑体" w:hAnsi="宋体" w:eastAsia="黑体" w:cs="黑体"/>
          <w:color w:val="auto"/>
          <w:sz w:val="44"/>
          <w:szCs w:val="44"/>
          <w:highlight w:val="none"/>
          <w:shd w:val="clear" w:color="auto" w:fill="auto"/>
        </w:rPr>
      </w:pPr>
      <w:r/>
      <w:bookmarkStart w:id="161" w:name="_Toc120614281"/>
      <w:r>
        <w:rPr>
          <w:rFonts w:hint="eastAsia" w:ascii="黑体" w:hAnsi="宋体" w:eastAsia="黑体" w:cs="黑体"/>
          <w:color w:val="auto"/>
          <w:sz w:val="44"/>
          <w:szCs w:val="44"/>
          <w:highlight w:val="none"/>
          <w:shd w:val="clear" w:color="auto" w:fill="auto"/>
        </w:rPr>
        <w:br w:type="page" w:clear="all"/>
      </w:r>
      <w:r/>
    </w:p>
    <w:p>
      <w:pPr>
        <w:pStyle w:val="717"/>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第五章  响应文件格式 </w:t>
      </w:r>
      <w:r/>
    </w:p>
    <w:p>
      <w:pPr>
        <w:pStyle w:val="717"/>
        <w:jc w:val="both"/>
        <w:spacing w:beforeAutospacing="0" w:afterAutospacing="0"/>
        <w:rPr>
          <w:rFonts w:hint="eastAsia" w:ascii="宋体" w:hAnsi="宋体" w:eastAsia="宋体" w:cs="宋体"/>
          <w:b/>
          <w:color w:val="auto"/>
          <w:sz w:val="72"/>
          <w:szCs w:val="72"/>
          <w:highlight w:val="none"/>
          <w:shd w:val="clear" w:color="auto" w:fill="auto"/>
        </w:rPr>
      </w:pPr>
      <w:r/>
      <w:bookmarkStart w:id="162" w:name="_Toc49090576"/>
      <w:r/>
      <w:bookmarkEnd w:id="162"/>
      <w:r/>
      <w:bookmarkStart w:id="163" w:name="_Toc120614282"/>
      <w:r/>
      <w:bookmarkEnd w:id="163"/>
      <w:r/>
      <w:bookmarkStart w:id="164" w:name="_Toc26554094"/>
      <w:r/>
      <w:bookmarkStart w:id="165" w:name="_Hlt26671244"/>
      <w:r/>
      <w:bookmarkStart w:id="166" w:name="_Hlt26955039"/>
      <w:r/>
      <w:r/>
    </w:p>
    <w:p>
      <w:pPr>
        <w:pStyle w:val="717"/>
        <w:jc w:val="both"/>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717"/>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717"/>
        <w:jc w:val="both"/>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717"/>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717"/>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采 购 编 号：</w:t>
      </w:r>
      <w:r>
        <w:rPr>
          <w:rFonts w:hint="eastAsia" w:ascii="宋体" w:hAnsi="宋体" w:eastAsia="宋体" w:cs="宋体"/>
          <w:b/>
          <w:color w:val="auto"/>
          <w:sz w:val="36"/>
          <w:szCs w:val="36"/>
          <w:highlight w:val="none"/>
          <w:u w:val="single"/>
          <w:shd w:val="clear" w:color="auto" w:fill="auto"/>
        </w:rPr>
        <w:t xml:space="preserve">            </w:t>
      </w:r>
      <w:r/>
    </w:p>
    <w:p>
      <w:pPr>
        <w:pStyle w:val="717"/>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717"/>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717"/>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717"/>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717"/>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717"/>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一、开标一览表（系统固定生成格式）</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二</w:t>
      </w:r>
      <w:r>
        <w:rPr>
          <w:rFonts w:hint="eastAsia" w:ascii="宋体" w:hAnsi="宋体" w:eastAsia="宋体" w:cs="宋体"/>
          <w:i w:val="0"/>
          <w:iCs/>
          <w:color w:val="auto"/>
          <w:sz w:val="24"/>
          <w:szCs w:val="24"/>
          <w:highlight w:val="none"/>
          <w:u w:val="none"/>
          <w:shd w:val="clear" w:color="auto" w:fill="auto"/>
        </w:rPr>
        <w:t xml:space="preserve">、法人或者其他组织的营业执照等证明文件，自然人的身份证明</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三、上一年度的财务状况报表（至少提供资产负债表、利润表、现金流量表，协商供应商成立不满一年无需提供）</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具备履行合同所必需的设备和专业技术能力的书面声明</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五</w:t>
      </w:r>
      <w:r>
        <w:rPr>
          <w:rFonts w:hint="eastAsia" w:ascii="宋体" w:hAnsi="宋体" w:eastAsia="宋体" w:cs="宋体"/>
          <w:i w:val="0"/>
          <w:iCs/>
          <w:color w:val="auto"/>
          <w:sz w:val="24"/>
          <w:szCs w:val="24"/>
          <w:highlight w:val="none"/>
          <w:u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六</w:t>
      </w:r>
      <w:r>
        <w:rPr>
          <w:rFonts w:hint="eastAsia" w:ascii="宋体" w:hAnsi="宋体" w:eastAsia="宋体" w:cs="宋体"/>
          <w:i w:val="0"/>
          <w:iCs/>
          <w:color w:val="auto"/>
          <w:sz w:val="24"/>
          <w:szCs w:val="24"/>
          <w:highlight w:val="none"/>
          <w:u w:val="none"/>
          <w:shd w:val="clear" w:color="auto" w:fill="auto"/>
          <w:lang w:eastAsia="zh-CN"/>
        </w:rPr>
        <w:t xml:space="preserve">、</w:t>
      </w:r>
      <w:r>
        <w:rPr>
          <w:rFonts w:hint="eastAsia" w:ascii="宋体" w:hAnsi="宋体" w:eastAsia="宋体" w:cs="宋体"/>
          <w:i w:val="0"/>
          <w:iCs/>
          <w:color w:val="auto"/>
          <w:sz w:val="24"/>
          <w:szCs w:val="24"/>
          <w:highlight w:val="none"/>
          <w:u w:val="none"/>
          <w:shd w:val="clear" w:color="auto" w:fill="auto"/>
        </w:rPr>
        <w:t xml:space="preserve">参加政府采购活动前3年内在经营活动中没有重大违法记录的书面声明</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七</w:t>
      </w:r>
      <w:r>
        <w:rPr>
          <w:rFonts w:hint="eastAsia" w:ascii="宋体" w:hAnsi="宋体" w:eastAsia="宋体" w:cs="宋体"/>
          <w:i w:val="0"/>
          <w:iCs/>
          <w:color w:val="auto"/>
          <w:sz w:val="24"/>
          <w:szCs w:val="24"/>
          <w:highlight w:val="none"/>
          <w:u w:val="none"/>
          <w:shd w:val="clear" w:color="auto" w:fill="auto"/>
          <w:lang w:eastAsia="zh-CN"/>
        </w:rPr>
        <w:t xml:space="preserve">、</w:t>
      </w:r>
      <w:r>
        <w:rPr>
          <w:rFonts w:hint="eastAsia" w:ascii="宋体" w:hAnsi="宋体" w:eastAsia="宋体" w:cs="宋体"/>
          <w:i w:val="0"/>
          <w:iCs/>
          <w:color w:val="auto"/>
          <w:sz w:val="24"/>
          <w:szCs w:val="24"/>
          <w:highlight w:val="none"/>
          <w:u w:val="none"/>
          <w:shd w:val="clear" w:color="auto" w:fill="auto"/>
          <w:lang w:val="en-US" w:eastAsia="zh-CN"/>
        </w:rPr>
        <w:t xml:space="preserve">法律、行政法规规定的其他条件。</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八、</w:t>
      </w:r>
      <w:r>
        <w:rPr>
          <w:rFonts w:hint="eastAsia" w:ascii="宋体" w:hAnsi="宋体" w:eastAsia="宋体" w:cs="宋体"/>
          <w:i w:val="0"/>
          <w:iCs/>
          <w:color w:val="auto"/>
          <w:sz w:val="24"/>
          <w:szCs w:val="24"/>
          <w:highlight w:val="none"/>
          <w:u w:val="none"/>
          <w:shd w:val="clear" w:color="auto" w:fill="auto"/>
        </w:rPr>
        <w:t xml:space="preserve">特定资格要求的证明文件（如果本项目设置特定资格要求，则需要提供）</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九</w:t>
      </w:r>
      <w:r>
        <w:rPr>
          <w:rFonts w:hint="eastAsia" w:ascii="宋体" w:hAnsi="宋体" w:eastAsia="宋体" w:cs="宋体"/>
          <w:i w:val="0"/>
          <w:iCs/>
          <w:color w:val="auto"/>
          <w:sz w:val="24"/>
          <w:szCs w:val="24"/>
          <w:highlight w:val="none"/>
          <w:u w:val="none"/>
          <w:shd w:val="clear" w:color="auto" w:fill="auto"/>
        </w:rPr>
        <w:t xml:space="preserve">、法人授权书</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十</w:t>
      </w:r>
      <w:r>
        <w:rPr>
          <w:rFonts w:hint="eastAsia" w:ascii="宋体" w:hAnsi="宋体" w:eastAsia="宋体" w:cs="宋体"/>
          <w:i w:val="0"/>
          <w:iCs/>
          <w:color w:val="auto"/>
          <w:sz w:val="24"/>
          <w:szCs w:val="24"/>
          <w:highlight w:val="none"/>
          <w:u w:val="none"/>
          <w:shd w:val="clear" w:color="auto" w:fill="auto"/>
        </w:rPr>
        <w:t xml:space="preserve">、单一来源响应函</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十一</w:t>
      </w:r>
      <w:r>
        <w:rPr>
          <w:rFonts w:hint="eastAsia" w:ascii="宋体" w:hAnsi="宋体" w:eastAsia="宋体" w:cs="宋体"/>
          <w:i w:val="0"/>
          <w:iCs/>
          <w:color w:val="auto"/>
          <w:sz w:val="24"/>
          <w:szCs w:val="24"/>
          <w:highlight w:val="none"/>
          <w:u w:val="none"/>
          <w:shd w:val="clear" w:color="auto" w:fill="auto"/>
        </w:rPr>
        <w:t xml:space="preserve">、分项报价表</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二</w:t>
      </w:r>
      <w:r>
        <w:rPr>
          <w:rFonts w:hint="eastAsia" w:ascii="宋体" w:hAnsi="宋体" w:eastAsia="宋体" w:cs="宋体"/>
          <w:i w:val="0"/>
          <w:iCs/>
          <w:color w:val="auto"/>
          <w:sz w:val="24"/>
          <w:szCs w:val="24"/>
          <w:highlight w:val="none"/>
          <w:u w:val="none"/>
          <w:shd w:val="clear" w:color="auto" w:fill="auto"/>
        </w:rPr>
        <w:t xml:space="preserve">、技术要求响应及偏离表</w:t>
      </w:r>
      <w:bookmarkStart w:id="180" w:name="_GoBack"/>
      <w:r/>
      <w:bookmarkEnd w:id="180"/>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三</w:t>
      </w:r>
      <w:r>
        <w:rPr>
          <w:rFonts w:hint="eastAsia" w:ascii="宋体" w:hAnsi="宋体" w:eastAsia="宋体" w:cs="宋体"/>
          <w:i w:val="0"/>
          <w:iCs/>
          <w:color w:val="auto"/>
          <w:sz w:val="24"/>
          <w:szCs w:val="24"/>
          <w:highlight w:val="none"/>
          <w:u w:val="none"/>
          <w:shd w:val="clear" w:color="auto" w:fill="auto"/>
        </w:rPr>
        <w:t xml:space="preserve">、商务要求响应及偏离表</w:t>
      </w:r>
      <w:r/>
    </w:p>
    <w:p>
      <w:pPr>
        <w:pStyle w:val="717"/>
        <w:ind w:firstLine="480"/>
        <w:jc w:val="both"/>
        <w:spacing w:beforeAutospacing="0" w:afterAutospacing="0" w:line="240" w:lineRule="auto"/>
        <w:rPr>
          <w:rFonts w:hint="default"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w:t>
      </w:r>
      <w:r>
        <w:rPr>
          <w:rFonts w:hint="eastAsia" w:ascii="宋体" w:hAnsi="宋体" w:eastAsia="宋体" w:cs="宋体"/>
          <w:i w:val="0"/>
          <w:iCs/>
          <w:color w:val="auto"/>
          <w:sz w:val="24"/>
          <w:szCs w:val="24"/>
          <w:highlight w:val="none"/>
          <w:u w:val="none"/>
          <w:shd w:val="clear" w:color="auto" w:fill="auto"/>
          <w:lang w:val="en-US" w:eastAsia="zh-CN"/>
        </w:rPr>
        <w:t xml:space="preserve">服务方案</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五</w:t>
      </w:r>
      <w:r>
        <w:rPr>
          <w:rFonts w:hint="eastAsia" w:ascii="宋体" w:hAnsi="宋体" w:eastAsia="宋体" w:cs="宋体"/>
          <w:i w:val="0"/>
          <w:iCs/>
          <w:color w:val="auto"/>
          <w:sz w:val="24"/>
          <w:szCs w:val="24"/>
          <w:highlight w:val="none"/>
          <w:u w:val="none"/>
          <w:shd w:val="clear" w:color="auto" w:fill="auto"/>
        </w:rPr>
        <w:t xml:space="preserve">、采购标的成本、同类项目合同价格以及相关专利、专有技术等情况说明</w:t>
      </w:r>
      <w:r/>
    </w:p>
    <w:p>
      <w:pPr>
        <w:pStyle w:val="717"/>
        <w:ind w:firstLine="480"/>
        <w:jc w:val="both"/>
        <w:spacing w:beforeAutospacing="0" w:afterAutospacing="0" w:line="24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六</w:t>
      </w:r>
      <w:r>
        <w:rPr>
          <w:rFonts w:hint="eastAsia" w:ascii="宋体" w:hAnsi="宋体" w:eastAsia="宋体" w:cs="宋体"/>
          <w:i w:val="0"/>
          <w:iCs/>
          <w:color w:val="auto"/>
          <w:sz w:val="24"/>
          <w:szCs w:val="24"/>
          <w:highlight w:val="none"/>
          <w:u w:val="none"/>
          <w:shd w:val="clear" w:color="auto" w:fill="auto"/>
        </w:rPr>
        <w:t xml:space="preserve">、盐城市</w:t>
      </w:r>
      <w:r>
        <w:rPr>
          <w:rFonts w:hint="eastAsia" w:ascii="宋体" w:hAnsi="宋体" w:eastAsia="宋体" w:cs="宋体"/>
          <w:i w:val="0"/>
          <w:iCs/>
          <w:color w:val="auto"/>
          <w:sz w:val="24"/>
          <w:szCs w:val="24"/>
          <w:highlight w:val="none"/>
          <w:u w:val="none"/>
          <w:shd w:val="clear" w:color="auto" w:fill="auto"/>
        </w:rPr>
        <w:t xml:space="preserve">盐都</w:t>
      </w:r>
      <w:r>
        <w:rPr>
          <w:rFonts w:hint="eastAsia" w:ascii="宋体" w:hAnsi="宋体" w:eastAsia="宋体" w:cs="宋体"/>
          <w:i w:val="0"/>
          <w:iCs/>
          <w:color w:val="auto"/>
          <w:sz w:val="24"/>
          <w:szCs w:val="24"/>
          <w:highlight w:val="none"/>
          <w:u w:val="none"/>
          <w:shd w:val="clear" w:color="auto" w:fill="auto"/>
        </w:rPr>
        <w:t xml:space="preserve">区</w:t>
      </w:r>
      <w:r>
        <w:rPr>
          <w:rFonts w:hint="eastAsia" w:ascii="宋体" w:hAnsi="宋体" w:eastAsia="宋体" w:cs="宋体"/>
          <w:i w:val="0"/>
          <w:iCs/>
          <w:color w:val="auto"/>
          <w:sz w:val="24"/>
          <w:szCs w:val="24"/>
          <w:highlight w:val="none"/>
          <w:u w:val="none"/>
          <w:shd w:val="clear" w:color="auto" w:fill="auto"/>
        </w:rPr>
        <w:t xml:space="preserve">政府采购事前信用承诺书</w:t>
      </w:r>
      <w:r/>
    </w:p>
    <w:p>
      <w:pPr>
        <w:pStyle w:val="717"/>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717"/>
        <w:ind w:firstLine="480"/>
        <w:jc w:val="both"/>
        <w:spacing w:beforeAutospacing="0" w:afterAutospacing="0" w:line="360" w:lineRule="auto"/>
        <w:rPr>
          <w:rFonts w:ascii="宋体" w:hAnsi="宋体" w:eastAsia="宋体" w:cs="宋体"/>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rPr>
          <w:color w:val="auto"/>
          <w:highlight w:val="none"/>
        </w:rPr>
      </w:pPr>
      <w:r>
        <w:rPr>
          <w:color w:val="auto"/>
          <w:highlight w:val="none"/>
        </w:rPr>
      </w:r>
      <w:r/>
    </w:p>
    <w:p>
      <w:pPr>
        <w:pStyle w:val="717"/>
        <w:jc w:val="both"/>
        <w:spacing w:beforeAutospacing="0" w:afterAutospacing="0"/>
        <w:rPr>
          <w:rFonts w:hint="eastAsia" w:ascii="黑体" w:hAnsi="宋体" w:eastAsia="黑体" w:cs="黑体"/>
          <w:bCs/>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一、</w:t>
      </w:r>
      <w:r>
        <w:rPr>
          <w:rFonts w:hint="eastAsia" w:ascii="黑体" w:hAnsi="宋体" w:eastAsia="黑体" w:cs="黑体"/>
          <w:i/>
          <w:color w:val="auto"/>
          <w:sz w:val="32"/>
          <w:szCs w:val="32"/>
          <w:highlight w:val="none"/>
          <w:u w:val="single"/>
          <w:shd w:val="clear" w:color="auto" w:fill="auto"/>
          <w:lang w:val="en-US" w:eastAsia="zh-CN"/>
        </w:rPr>
        <w:t xml:space="preserve">开标一览表（系统固定生成格式）</w:t>
      </w:r>
      <w:r/>
    </w:p>
    <w:p>
      <w:pPr>
        <w:pStyle w:val="717"/>
        <w:ind w:firstLine="480"/>
        <w:jc w:val="both"/>
        <w:spacing w:beforeAutospacing="0" w:afterAutospacing="0" w:line="0" w:lineRule="atLeast"/>
        <w:rPr>
          <w:rFonts w:hint="eastAsia" w:ascii="黑体" w:hAnsi="宋体" w:eastAsia="黑体" w:cs="黑体"/>
          <w:i/>
          <w:color w:val="auto"/>
          <w:sz w:val="32"/>
          <w:szCs w:val="32"/>
          <w:highlight w:val="none"/>
          <w:u w:val="singl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二</w:t>
      </w:r>
      <w:r>
        <w:rPr>
          <w:rFonts w:hint="eastAsia" w:ascii="黑体" w:hAnsi="宋体" w:eastAsia="黑体" w:cs="黑体"/>
          <w:i/>
          <w:color w:val="auto"/>
          <w:sz w:val="32"/>
          <w:szCs w:val="32"/>
          <w:highlight w:val="none"/>
          <w:u w:val="single"/>
          <w:shd w:val="clear" w:color="auto" w:fill="auto"/>
        </w:rPr>
        <w:t xml:space="preserve">、法人或者其他组织的营业执照等证明文件，自然人的身份证明</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rFonts w:eastAsia="黑体"/>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、上一年度的财务状况报表</w:t>
      </w:r>
      <w:r/>
    </w:p>
    <w:p>
      <w:pPr>
        <w:pStyle w:val="717"/>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至少提供资产负债表、利润表、现金流量表，协商供应商成立不满一年无需提</w:t>
      </w:r>
      <w:r>
        <w:rPr>
          <w:rFonts w:hint="eastAsia" w:ascii="宋体" w:hAnsi="宋体" w:eastAsia="宋体" w:cs="宋体"/>
          <w:i w:val="0"/>
          <w:iCs/>
          <w:color w:val="auto"/>
          <w:sz w:val="24"/>
          <w:szCs w:val="24"/>
          <w:highlight w:val="none"/>
          <w:u w:val="none"/>
          <w:shd w:val="clear" w:color="auto" w:fill="auto"/>
        </w:rPr>
        <w:t xml:space="preserve">供</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717"/>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717"/>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717"/>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717"/>
        <w:jc w:val="both"/>
        <w:spacing w:beforeAutospacing="0" w:afterAutospacing="0" w:line="0" w:lineRule="atLeast"/>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五</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717"/>
        <w:ind w:firstLine="480"/>
        <w:jc w:val="both"/>
        <w:spacing w:beforeAutospacing="0" w:afterAutospacing="0"/>
        <w:rPr>
          <w:color w:val="auto"/>
          <w:highlight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提供提交协商响应文件截止时间前一年内至少一个月依法缴纳税收及缴纳社会保障资金的证明材料。协商供应商依法享受缓缴、免缴税收、社会保障资金的提供证明材料。</w:t>
      </w:r>
      <w:r/>
    </w:p>
    <w:p>
      <w:pPr>
        <w:pStyle w:val="717"/>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六</w:t>
      </w:r>
      <w:r>
        <w:rPr>
          <w:rFonts w:hint="eastAsia" w:ascii="黑体" w:hAnsi="宋体" w:eastAsia="黑体" w:cs="黑体"/>
          <w:i/>
          <w:color w:val="auto"/>
          <w:sz w:val="32"/>
          <w:szCs w:val="32"/>
          <w:highlight w:val="none"/>
          <w:u w:val="single"/>
          <w:shd w:val="clear" w:color="auto" w:fill="auto"/>
        </w:rPr>
        <w:t xml:space="preserve">、参加政府采购活动前3年内在经营活动中没有重大违法记录的书面声明</w:t>
      </w:r>
      <w:r/>
    </w:p>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717"/>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t xml:space="preserve">七</w:t>
      </w:r>
      <w:r>
        <w:rPr>
          <w:rFonts w:hint="eastAsia" w:ascii="黑体" w:hAnsi="宋体" w:eastAsia="黑体" w:cs="黑体"/>
          <w:i/>
          <w:color w:val="auto"/>
          <w:sz w:val="32"/>
          <w:szCs w:val="32"/>
          <w:highlight w:val="none"/>
          <w:u w:val="single"/>
          <w:shd w:val="clear" w:color="auto" w:fill="auto"/>
        </w:rPr>
        <w:t xml:space="preserve">、</w:t>
      </w:r>
      <w:r>
        <w:rPr>
          <w:rFonts w:hint="eastAsia" w:ascii="黑体" w:hAnsi="宋体" w:eastAsia="黑体" w:cs="黑体"/>
          <w:i/>
          <w:color w:val="auto"/>
          <w:sz w:val="32"/>
          <w:szCs w:val="32"/>
          <w:highlight w:val="none"/>
          <w:u w:val="single"/>
          <w:shd w:val="clear" w:color="auto" w:fill="auto"/>
          <w:lang w:val="en-US" w:eastAsia="zh-CN"/>
        </w:rPr>
        <w:t xml:space="preserve">法律、行政法规规定的其他条件。</w:t>
      </w:r>
      <w:r/>
    </w:p>
    <w:p>
      <w:pPr>
        <w:pStyle w:val="717"/>
        <w:jc w:val="both"/>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pStyle w:val="717"/>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八、</w:t>
      </w:r>
      <w:r>
        <w:rPr>
          <w:rFonts w:hint="eastAsia" w:ascii="黑体" w:hAnsi="宋体" w:eastAsia="黑体" w:cs="黑体"/>
          <w:i/>
          <w:color w:val="auto"/>
          <w:sz w:val="32"/>
          <w:szCs w:val="32"/>
          <w:highlight w:val="none"/>
          <w:u w:val="single"/>
          <w:shd w:val="clear" w:color="auto" w:fill="auto"/>
        </w:rPr>
        <w:t xml:space="preserve">特定资格要求的证明文件</w:t>
      </w:r>
      <w:r/>
    </w:p>
    <w:p>
      <w:pPr>
        <w:pStyle w:val="717"/>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717"/>
        <w:jc w:val="center"/>
        <w:spacing w:beforeAutospacing="0" w:afterAutospacing="0"/>
        <w:rPr>
          <w:rFonts w:ascii="黑体" w:hAnsi="宋体" w:eastAsia="黑体" w:cs="黑体"/>
          <w:i/>
          <w:color w:val="auto"/>
          <w:sz w:val="32"/>
          <w:szCs w:val="32"/>
          <w:highlight w:val="none"/>
          <w:u w:val="single"/>
          <w:shd w:val="clear" w:color="auto" w:fill="auto"/>
        </w:rPr>
      </w:pPr>
      <w:r/>
      <w:bookmarkStart w:id="167" w:name="_Toc120614284"/>
      <w:r/>
      <w:r/>
    </w:p>
    <w:p>
      <w:pPr>
        <w:pStyle w:val="717"/>
        <w:jc w:val="both"/>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rPr>
          <w:color w:val="auto"/>
          <w:highlight w:val="none"/>
        </w:rPr>
      </w:pPr>
      <w:r>
        <w:rPr>
          <w:rFonts w:hint="eastAsia" w:ascii="黑体" w:hAnsi="宋体" w:eastAsia="黑体" w:cs="黑体"/>
          <w:i/>
          <w:color w:val="auto"/>
          <w:sz w:val="32"/>
          <w:szCs w:val="32"/>
          <w:highlight w:val="none"/>
          <w:u w:val="single"/>
          <w:shd w:val="clear" w:color="auto" w:fill="auto"/>
        </w:rPr>
        <w:br w:type="page" w:clear="all"/>
      </w:r>
      <w:r/>
    </w:p>
    <w:p>
      <w:pPr>
        <w:pStyle w:val="717"/>
        <w:jc w:val="center"/>
        <w:spacing w:beforeAutospacing="0" w:afterAutospacing="0"/>
        <w:rPr>
          <w:rFonts w:hint="eastAsia" w:ascii="黑体" w:hAnsi="宋体" w:eastAsia="黑体" w:cs="黑体"/>
          <w:bCs/>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九</w:t>
      </w:r>
      <w:r>
        <w:rPr>
          <w:rFonts w:hint="eastAsia" w:ascii="黑体" w:hAnsi="宋体" w:eastAsia="黑体" w:cs="黑体"/>
          <w:i/>
          <w:color w:val="auto"/>
          <w:sz w:val="32"/>
          <w:szCs w:val="32"/>
          <w:highlight w:val="none"/>
          <w:u w:val="single"/>
          <w:shd w:val="clear" w:color="auto" w:fill="auto"/>
        </w:rPr>
        <w:t xml:space="preserve">、法人授权书</w:t>
      </w:r>
      <w:r/>
    </w:p>
    <w:p>
      <w:pPr>
        <w:pStyle w:val="717"/>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717"/>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717"/>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717"/>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717"/>
        <w:ind w:firstLine="120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717"/>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717"/>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68" w:name="_Hlt26671380"/>
      <w:r/>
      <w:bookmarkStart w:id="169" w:name="_Hlt26955070"/>
      <w:r/>
      <w:bookmarkStart w:id="170" w:name="_格式3__银行出具的资信证明"/>
      <w:r>
        <w:rPr>
          <w:rFonts w:ascii="Times New Roman" w:hAnsi="Times New Roman"/>
          <w:color w:val="auto"/>
          <w:highlight w:val="none"/>
          <w:u w:val="single"/>
          <w:shd w:val="clear" w:color="auto" w:fill="auto"/>
        </w:rPr>
        <w:t xml:space="preserve">                                         </w:t>
      </w:r>
      <w:r/>
    </w:p>
    <w:p>
      <w:pPr>
        <w:pStyle w:val="717"/>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717"/>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keepLines/>
        <w:keepNext/>
        <w:spacing w:before="260" w:beforeAutospacing="0" w:after="260" w:afterAutospacing="0" w:line="415" w:lineRule="auto"/>
        <w:rPr>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黑体" w:hAnsi="宋体" w:eastAsia="黑体" w:cs="黑体"/>
          <w:b/>
          <w:i/>
          <w:color w:val="auto"/>
          <w:sz w:val="32"/>
          <w:szCs w:val="32"/>
          <w:highlight w:val="none"/>
          <w:u w:val="single"/>
          <w:shd w:val="clear" w:color="auto" w:fill="auto"/>
          <w:lang w:val="en-US" w:eastAsia="zh-CN"/>
        </w:rPr>
        <w:t xml:space="preserve">十</w:t>
      </w:r>
      <w:r>
        <w:rPr>
          <w:rFonts w:hint="eastAsia" w:ascii="黑体" w:hAnsi="宋体" w:eastAsia="黑体" w:cs="黑体"/>
          <w:b/>
          <w:i/>
          <w:color w:val="auto"/>
          <w:sz w:val="32"/>
          <w:szCs w:val="32"/>
          <w:highlight w:val="none"/>
          <w:u w:val="single"/>
          <w:shd w:val="clear" w:color="auto" w:fill="auto"/>
        </w:rPr>
        <w:t xml:space="preserve">、单一来源响应函</w:t>
      </w:r>
      <w:r/>
    </w:p>
    <w:p>
      <w:pPr>
        <w:pStyle w:val="717"/>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p>
    <w:p>
      <w:pPr>
        <w:pStyle w:val="717"/>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w:t>
      </w:r>
      <w:r>
        <w:rPr>
          <w:rFonts w:hint="eastAsia" w:ascii="宋体" w:hAnsi="宋体" w:eastAsia="宋体" w:cs="宋体"/>
          <w:color w:val="auto"/>
          <w:highlight w:val="none"/>
          <w:shd w:val="clear" w:color="auto" w:fill="auto"/>
          <w:lang w:eastAsia="zh-CN"/>
        </w:rPr>
        <w:t xml:space="preserve">JSZC-</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号采购文件，正式授权下述签字人______</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姓名</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代表我方______________（供应商的名称），全权处理本次项目单一来源采购的有关事宜。</w:t>
      </w:r>
      <w:r/>
    </w:p>
    <w:p>
      <w:pPr>
        <w:pStyle w:val="717"/>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717"/>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1.按采购文件规定的各项要求，向买方提供所需货物、服务（包含与货物相关的服务及与服务相关的货物）。</w:t>
      </w:r>
      <w:r/>
    </w:p>
    <w:p>
      <w:pPr>
        <w:pStyle w:val="717"/>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2.我们已详细审核全部采购文件及其有效补充文件，我们知道必须放弃提出含糊不清或误解问题的权利。</w:t>
      </w:r>
      <w:r/>
    </w:p>
    <w:p>
      <w:pPr>
        <w:pStyle w:val="717"/>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3.我们同意从规定的单一来源协商时间起遵循本响应文件，并在规定的单一来源协商有效期期满之前均具有约束力。</w:t>
      </w:r>
      <w:r/>
    </w:p>
    <w:p>
      <w:pPr>
        <w:pStyle w:val="717"/>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717"/>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我方将根据采购文件的规定，严格履行合同的责任和义务</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并保证在采购文件规定的时间完成项目，交付买方验收、使用。</w:t>
      </w:r>
      <w:r/>
    </w:p>
    <w:p>
      <w:pPr>
        <w:pStyle w:val="717"/>
        <w:ind w:left="425"/>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6.我方与本次单一来源采购有关的正式通讯地址为：</w:t>
      </w:r>
      <w:r/>
    </w:p>
    <w:p>
      <w:pPr>
        <w:pStyle w:val="717"/>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717"/>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717"/>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717"/>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717"/>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717"/>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717"/>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w:t>
      </w:r>
      <w:r>
        <w:rPr>
          <w:rFonts w:hint="eastAsia" w:ascii="宋体" w:hAnsi="宋体" w:eastAsia="宋体" w:cs="宋体"/>
          <w:b/>
          <w:color w:val="auto"/>
          <w:sz w:val="32"/>
          <w:szCs w:val="32"/>
          <w:highlight w:val="none"/>
          <w:shd w:val="clear" w:color="auto" w:fill="auto"/>
          <w:lang w:val="en-US" w:eastAsia="zh-CN"/>
        </w:rPr>
        <w:t xml:space="preserve">一</w:t>
      </w:r>
      <w:r>
        <w:rPr>
          <w:rFonts w:hint="eastAsia" w:ascii="宋体" w:hAnsi="宋体" w:eastAsia="宋体" w:cs="宋体"/>
          <w:b/>
          <w:color w:val="auto"/>
          <w:sz w:val="32"/>
          <w:szCs w:val="32"/>
          <w:highlight w:val="none"/>
          <w:shd w:val="clear" w:color="auto" w:fill="auto"/>
        </w:rPr>
        <w:t xml:space="preserve">、分项报价表（服务类）</w:t>
      </w:r>
      <w:r/>
    </w:p>
    <w:tbl>
      <w:tblPr>
        <w:tblStyle w:val="694"/>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shd w:val="clear" w:color="auto" w:fill="auto"/>
              </w:rPr>
            </w:pPr>
            <w:r>
              <w:rPr>
                <w:rFonts w:ascii="宋体"/>
                <w:color w:val="auto"/>
                <w:sz w:val="24"/>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w:t>
            </w:r>
            <w:r/>
          </w:p>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17"/>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bl>
    <w:p>
      <w:pPr>
        <w:pStyle w:val="717"/>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color w:val="auto"/>
          <w:highlight w:val="none"/>
        </w:rPr>
      </w:pPr>
      <w:r>
        <w:rPr>
          <w:rFonts w:hint="eastAsia" w:ascii="黑体" w:hAnsi="宋体" w:eastAsia="黑体" w:cs="黑体"/>
          <w:b/>
          <w:color w:val="auto"/>
          <w:sz w:val="32"/>
          <w:szCs w:val="32"/>
          <w:highlight w:val="none"/>
          <w:shd w:val="clear" w:color="auto" w:fill="auto"/>
        </w:rPr>
        <w:br w:type="page" w:clear="all"/>
      </w:r>
      <w:r/>
    </w:p>
    <w:p>
      <w:pPr>
        <w:pStyle w:val="717"/>
        <w:jc w:val="center"/>
        <w:spacing w:beforeAutospacing="0" w:afterAutospacing="0"/>
        <w:rPr>
          <w:rFonts w:hint="eastAsia" w:ascii="黑体" w:hAnsi="宋体" w:eastAsia="黑体" w:cs="黑体"/>
          <w:b/>
          <w:bCs/>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二</w:t>
      </w:r>
      <w:r>
        <w:rPr>
          <w:rFonts w:hint="eastAsia" w:ascii="黑体" w:hAnsi="宋体" w:eastAsia="黑体" w:cs="黑体"/>
          <w:b/>
          <w:color w:val="auto"/>
          <w:sz w:val="32"/>
          <w:szCs w:val="32"/>
          <w:highlight w:val="none"/>
          <w:shd w:val="clear" w:color="auto" w:fill="auto"/>
        </w:rPr>
        <w:t xml:space="preserve">、技术要求响应及偏离表</w:t>
      </w:r>
      <w:r/>
    </w:p>
    <w:tbl>
      <w:tblPr>
        <w:tblStyle w:val="69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717"/>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w:t>
      </w:r>
      <w:r/>
    </w:p>
    <w:p>
      <w:pPr>
        <w:pStyle w:val="717"/>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行数不够，可自行添加。</w:t>
      </w:r>
      <w:r/>
    </w:p>
    <w:p>
      <w:pPr>
        <w:pStyle w:val="717"/>
        <w:jc w:val="both"/>
        <w:spacing w:beforeAutospacing="0" w:afterAutospacing="0"/>
        <w:rPr>
          <w:color w:val="auto"/>
          <w:highlight w:val="none"/>
          <w:shd w:val="clear" w:color="auto" w:fill="auto"/>
        </w:rPr>
      </w:pPr>
      <w:r>
        <w:rPr>
          <w:rFonts w:hint="eastAsia"/>
          <w:color w:val="auto"/>
          <w:highlight w:val="none"/>
          <w:shd w:val="clear" w:color="auto" w:fill="auto"/>
          <w:lang w:val="en-US" w:eastAsia="zh-CN"/>
        </w:rPr>
        <w:t xml:space="preserve">2、</w:t>
      </w:r>
      <w:r>
        <w:rPr>
          <w:rFonts w:hint="eastAsia"/>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w:t>
      </w: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pStyle w:val="717"/>
        <w:jc w:val="both"/>
        <w:spacing w:beforeAutospacing="0" w:afterAutospacing="0"/>
        <w:rPr>
          <w:color w:val="auto"/>
          <w:highlight w:val="none"/>
          <w:shd w:val="clear" w:color="auto" w:fill="auto"/>
        </w:rPr>
      </w:pPr>
      <w:r>
        <w:rPr>
          <w:color w:val="auto"/>
          <w:highlight w:val="none"/>
          <w:shd w:val="clear" w:color="auto" w:fill="auto"/>
        </w:rPr>
      </w:r>
      <w:r/>
    </w:p>
    <w:p>
      <w:pPr>
        <w:rPr>
          <w:color w:val="auto"/>
          <w:highlight w:val="none"/>
        </w:rPr>
      </w:pPr>
      <w:r>
        <w:rPr>
          <w:rFonts w:hint="eastAsia" w:ascii="黑体" w:hAnsi="宋体" w:eastAsia="黑体" w:cs="黑体"/>
          <w:b/>
          <w:color w:val="auto"/>
          <w:sz w:val="32"/>
          <w:szCs w:val="32"/>
          <w:highlight w:val="none"/>
          <w:shd w:val="clear" w:color="auto" w:fill="auto"/>
        </w:rPr>
        <w:br w:type="page" w:clear="all"/>
      </w:r>
      <w:r/>
    </w:p>
    <w:p>
      <w:pPr>
        <w:jc w:val="center"/>
        <w:rPr>
          <w:rFonts w:hint="eastAsia" w:ascii="黑体" w:hAnsi="宋体" w:eastAsia="黑体" w:cs="黑体"/>
          <w:b/>
          <w:bCs/>
          <w:color w:val="auto"/>
          <w:sz w:val="32"/>
          <w:szCs w:val="32"/>
          <w:highlight w:val="none"/>
          <w:shd w:val="clear" w:color="auto" w:fill="auto"/>
        </w:rPr>
      </w:pPr>
      <w:r/>
      <w:bookmarkStart w:id="171" w:name="_Hlt26955054"/>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三</w:t>
      </w:r>
      <w:r>
        <w:rPr>
          <w:rFonts w:hint="eastAsia" w:ascii="黑体" w:hAnsi="宋体" w:eastAsia="黑体" w:cs="黑体"/>
          <w:b/>
          <w:color w:val="auto"/>
          <w:sz w:val="32"/>
          <w:szCs w:val="32"/>
          <w:highlight w:val="none"/>
          <w:shd w:val="clear" w:color="auto" w:fill="auto"/>
        </w:rPr>
        <w:t xml:space="preserve">、商务要求响应及偏离表</w:t>
      </w:r>
      <w:r/>
    </w:p>
    <w:tbl>
      <w:tblPr>
        <w:tblStyle w:val="69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7"/>
              <w:jc w:val="center"/>
              <w:spacing w:beforeAutospacing="0" w:afterAutospacing="0"/>
              <w:rPr>
                <w:color w:val="auto"/>
                <w:highlight w:val="none"/>
                <w:shd w:val="clear" w:color="auto" w:fill="auto"/>
              </w:rPr>
            </w:pPr>
            <w:r/>
            <w:bookmarkStart w:id="172" w:name="_Hlt26955056"/>
            <w:r/>
            <w:bookmarkStart w:id="173" w:name="_Hlt26955064"/>
            <w:r/>
            <w:bookmarkStart w:id="174" w:name="_Hlt26671343"/>
            <w:r/>
            <w:bookmarkStart w:id="175" w:name="_Hlt26782999"/>
            <w:r/>
            <w:bookmarkStart w:id="176" w:name="_Hlt26671372"/>
            <w:r/>
            <w:bookmarkStart w:id="177" w:name="_Hlt24879081"/>
            <w:r/>
            <w:bookmarkStart w:id="178" w:name="_Hlt26580838"/>
            <w:r/>
            <w:bookmarkStart w:id="179" w:name="_Hlt26609391"/>
            <w:r>
              <w:rPr>
                <w:rFonts w:hint="eastAsia" w:ascii="宋体" w:hAnsi="宋体" w:eastAsia="宋体" w:cs="宋体"/>
                <w:color w:val="auto"/>
                <w:highlight w:val="none"/>
                <w:shd w:val="clear" w:color="auto" w:fill="auto"/>
              </w:rPr>
              <w:t xml:space="preserve">序号</w:t>
            </w:r>
            <w:bookmarkEnd w:id="172"/>
            <w:r/>
            <w:bookmarkEnd w:id="173"/>
            <w:r/>
            <w:bookmarkEnd w:id="174"/>
            <w:r/>
            <w:bookmarkEnd w:id="175"/>
            <w:r/>
            <w:bookmarkEnd w:id="176"/>
            <w:r/>
            <w:bookmarkEnd w:id="177"/>
            <w:r/>
            <w:bookmarkEnd w:id="178"/>
            <w:r/>
            <w:bookmarkEnd w:id="179"/>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717"/>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717"/>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注：</w:t>
      </w:r>
      <w:r/>
    </w:p>
    <w:p>
      <w:pPr>
        <w:pStyle w:val="717"/>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rPr>
        <w:t xml:space="preserve">行数不够，可自行添加。</w:t>
      </w:r>
      <w:r/>
    </w:p>
    <w:p>
      <w:pPr>
        <w:pStyle w:val="717"/>
        <w:jc w:val="both"/>
        <w:spacing w:beforeAutospacing="0" w:afterAutospacing="0"/>
        <w:rPr>
          <w:color w:val="auto"/>
          <w:highlight w:val="none"/>
          <w:shd w:val="clear" w:color="auto" w:fill="auto"/>
        </w:rPr>
      </w:pPr>
      <w:r>
        <w:rPr>
          <w:rFonts w:hint="eastAsia"/>
          <w:color w:val="auto"/>
          <w:highlight w:val="none"/>
          <w:shd w:val="clear" w:color="auto" w:fill="auto"/>
          <w:lang w:val="en-US" w:eastAsia="zh-CN"/>
        </w:rPr>
        <w:t xml:space="preserve">2、</w:t>
      </w:r>
      <w:r>
        <w:rPr>
          <w:rFonts w:hint="eastAsia"/>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w:t>
      </w:r>
      <w:r>
        <w:rPr>
          <w:color w:val="auto"/>
          <w:highlight w:val="none"/>
          <w:shd w:val="clear" w:color="auto" w:fill="auto"/>
        </w:rPr>
        <w:t xml:space="preserve"> </w:t>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r>
      <w:bookmarkEnd w:id="27"/>
      <w:r/>
      <w:bookmarkEnd w:id="40"/>
      <w:r/>
      <w:bookmarkEnd w:id="87"/>
      <w:r/>
      <w:bookmarkEnd w:id="88"/>
      <w:r/>
      <w:bookmarkEnd w:id="89"/>
      <w:r/>
      <w:bookmarkEnd w:id="90"/>
      <w:r/>
      <w:bookmarkEnd w:id="91"/>
      <w:r/>
      <w:bookmarkEnd w:id="92"/>
      <w:r/>
      <w:bookmarkEnd w:id="93"/>
      <w:r/>
      <w:bookmarkEnd w:id="94"/>
      <w:r/>
      <w:bookmarkEnd w:id="103"/>
      <w:r/>
      <w:bookmarkEnd w:id="104"/>
      <w:r/>
      <w:bookmarkEnd w:id="111"/>
      <w:r/>
      <w:bookmarkEnd w:id="153"/>
      <w:r/>
      <w:bookmarkEnd w:id="154"/>
      <w:r/>
      <w:bookmarkEnd w:id="161"/>
      <w:r/>
      <w:bookmarkEnd w:id="164"/>
      <w:r/>
      <w:bookmarkEnd w:id="165"/>
      <w:r/>
      <w:bookmarkEnd w:id="166"/>
      <w:r/>
      <w:bookmarkEnd w:id="167"/>
      <w:r/>
      <w:bookmarkEnd w:id="168"/>
      <w:r/>
      <w:bookmarkEnd w:id="169"/>
      <w:r/>
      <w:bookmarkEnd w:id="170"/>
      <w:r/>
      <w:bookmarkEnd w:id="171"/>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shd w:val="clear" w:color="auto" w:fill="auto"/>
        </w:rPr>
        <w:br w:type="page" w:clear="all"/>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四</w:t>
      </w:r>
      <w:r>
        <w:rPr>
          <w:rFonts w:hint="eastAsia" w:ascii="宋体" w:hAnsi="宋体" w:eastAsia="宋体" w:cs="宋体"/>
          <w:b/>
          <w:bCs/>
          <w:color w:val="auto"/>
          <w:sz w:val="32"/>
          <w:szCs w:val="32"/>
          <w:highlight w:val="none"/>
          <w:shd w:val="clear" w:color="auto" w:fill="auto"/>
        </w:rPr>
        <w:t xml:space="preserve">、</w:t>
      </w:r>
      <w:r>
        <w:rPr>
          <w:rFonts w:hint="eastAsia" w:ascii="宋体" w:hAnsi="宋体" w:eastAsia="宋体" w:cs="宋体"/>
          <w:b/>
          <w:bCs/>
          <w:color w:val="auto"/>
          <w:sz w:val="32"/>
          <w:szCs w:val="32"/>
          <w:highlight w:val="none"/>
          <w:shd w:val="clear" w:color="auto" w:fill="auto"/>
          <w:lang w:val="en-US" w:eastAsia="zh-CN"/>
        </w:rPr>
        <w:t xml:space="preserve">服务方案</w:t>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shd w:val="clear" w:color="auto" w:fill="auto"/>
        </w:rPr>
        <w:br w:type="page" w:clear="all"/>
      </w:r>
      <w:r/>
    </w:p>
    <w:p>
      <w:pPr>
        <w:jc w:val="center"/>
        <w:spacing w:line="499" w:lineRule="atLeast"/>
        <w:widowControl/>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五</w:t>
      </w:r>
      <w:r>
        <w:rPr>
          <w:rFonts w:hint="eastAsia" w:ascii="宋体" w:hAnsi="宋体" w:eastAsia="宋体" w:cs="宋体"/>
          <w:b/>
          <w:bCs/>
          <w:color w:val="auto"/>
          <w:sz w:val="32"/>
          <w:szCs w:val="32"/>
          <w:highlight w:val="none"/>
          <w:shd w:val="clear" w:color="auto" w:fill="auto"/>
        </w:rPr>
        <w:t xml:space="preserve">、采购标的成本、同类项目合同价格以及相关专利、专有技术等情况说明</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4"/>
        <w:gridCol w:w="5118"/>
      </w:tblGrid>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采购标的成本（元）</w:t>
            </w:r>
            <w:r/>
          </w:p>
        </w:tc>
        <w:tc>
          <w:tcPr>
            <w:tcW w:w="511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同类项目价格（元）</w:t>
            </w:r>
            <w:r/>
          </w:p>
        </w:tc>
        <w:tc>
          <w:tcPr>
            <w:tcW w:w="511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相关专利情况说明</w:t>
            </w:r>
            <w:r/>
          </w:p>
        </w:tc>
        <w:tc>
          <w:tcPr>
            <w:tcW w:w="511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专有技术说明</w:t>
            </w:r>
            <w:r/>
          </w:p>
        </w:tc>
        <w:tc>
          <w:tcPr>
            <w:tcW w:w="511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vertAlign w:val="baseline"/>
                <w:lang w:val="en-US" w:eastAsia="zh-CN"/>
              </w:rPr>
            </w:pPr>
            <w:r>
              <w:rPr>
                <w:rFonts w:hint="default" w:ascii="宋体" w:hAnsi="宋体" w:eastAsia="宋体" w:cs="宋体"/>
                <w:sz w:val="24"/>
                <w:szCs w:val="24"/>
                <w:vertAlign w:val="baseline"/>
                <w:lang w:val="en-US" w:eastAsia="zh-CN"/>
              </w:rPr>
            </w:r>
            <w:r/>
          </w:p>
        </w:tc>
      </w:tr>
    </w:tbl>
    <w:p>
      <w:pPr>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bCs/>
          <w:color w:val="auto"/>
          <w:sz w:val="32"/>
          <w:szCs w:val="32"/>
          <w:highlight w:val="none"/>
          <w:shd w:val="clear" w:color="auto" w:fill="auto"/>
        </w:rPr>
      </w:r>
      <w:r/>
    </w:p>
    <w:p>
      <w:pPr>
        <w:rPr>
          <w:rFonts w:hint="eastAsia" w:ascii="宋体" w:hAnsi="宋体" w:eastAsia="宋体" w:cs="宋体"/>
          <w:b/>
          <w:bCs/>
          <w:color w:val="auto"/>
          <w:sz w:val="32"/>
          <w:szCs w:val="32"/>
          <w:highlight w:val="none"/>
          <w:shd w:val="clear" w:color="auto" w:fill="auto"/>
          <w:lang w:val="en-US" w:eastAsia="zh-CN"/>
        </w:rPr>
      </w:pPr>
      <w:r>
        <w:rPr>
          <w:rFonts w:hint="eastAsia" w:ascii="宋体" w:hAnsi="宋体" w:eastAsia="宋体" w:cs="宋体"/>
          <w:b/>
          <w:bCs/>
          <w:color w:val="auto"/>
          <w:sz w:val="32"/>
          <w:szCs w:val="32"/>
          <w:highlight w:val="none"/>
          <w:shd w:val="clear" w:color="auto" w:fill="auto"/>
          <w:lang w:val="en-US" w:eastAsia="zh-CN"/>
        </w:rPr>
        <w:br w:type="page" w:clear="all"/>
      </w:r>
      <w:r/>
    </w:p>
    <w:p>
      <w:pPr>
        <w:jc w:val="center"/>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lang w:val="en-US" w:eastAsia="zh-CN"/>
        </w:rPr>
        <w:t xml:space="preserve">十六、</w:t>
      </w:r>
      <w:r>
        <w:rPr>
          <w:rFonts w:hint="eastAsia" w:ascii="宋体" w:hAnsi="宋体" w:eastAsia="宋体" w:cs="宋体"/>
          <w:b/>
          <w:bCs/>
          <w:color w:val="auto"/>
          <w:sz w:val="32"/>
          <w:szCs w:val="32"/>
          <w:highlight w:val="none"/>
          <w:shd w:val="clear" w:color="auto" w:fill="auto"/>
        </w:rPr>
        <w:t xml:space="preserve">盐城市</w:t>
      </w:r>
      <w:r>
        <w:rPr>
          <w:rFonts w:hint="eastAsia" w:ascii="宋体" w:hAnsi="宋体" w:eastAsia="宋体" w:cs="宋体"/>
          <w:b/>
          <w:bCs/>
          <w:color w:val="auto"/>
          <w:sz w:val="32"/>
          <w:szCs w:val="32"/>
          <w:highlight w:val="none"/>
          <w:shd w:val="clear" w:color="auto" w:fill="auto"/>
          <w:lang w:val="en-US" w:eastAsia="zh-CN"/>
        </w:rPr>
        <w:t xml:space="preserve">盐都区</w:t>
      </w:r>
      <w:r>
        <w:rPr>
          <w:rFonts w:hint="eastAsia" w:ascii="宋体" w:hAnsi="宋体" w:eastAsia="宋体" w:cs="宋体"/>
          <w:b/>
          <w:bCs/>
          <w:color w:val="auto"/>
          <w:sz w:val="32"/>
          <w:szCs w:val="32"/>
          <w:highlight w:val="none"/>
          <w:shd w:val="clear" w:color="auto" w:fill="auto"/>
        </w:rPr>
        <w:t xml:space="preserve">政府采购事前信用承诺书</w:t>
      </w:r>
      <w:r/>
    </w:p>
    <w:p>
      <w:pPr>
        <w:ind w:firstLine="640"/>
        <w:jc w:val="left"/>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w:t>
      </w:r>
      <w:r>
        <w:rPr>
          <w:rFonts w:hint="eastAsia" w:ascii="宋体" w:hAnsi="宋体" w:eastAsia="宋体" w:cs="宋体"/>
          <w:color w:val="auto"/>
          <w:sz w:val="24"/>
          <w:highlight w:val="none"/>
          <w:shd w:val="clear" w:color="auto" w:fill="auto"/>
          <w:lang w:val="en-US" w:eastAsia="zh-CN"/>
        </w:rPr>
        <w:t xml:space="preserve">区</w:t>
      </w:r>
      <w:r>
        <w:rPr>
          <w:rFonts w:hint="eastAsia" w:ascii="宋体" w:hAnsi="宋体" w:eastAsia="宋体" w:cs="宋体"/>
          <w:color w:val="auto"/>
          <w:sz w:val="24"/>
          <w:highlight w:val="none"/>
          <w:shd w:val="clear" w:color="auto" w:fill="auto"/>
        </w:rPr>
        <w:t xml:space="preserve">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（三）严格依照国家和省、市关于政府采购的法律、法规、规章、规范性文件，参加政府采购投标活动；积极履行社会责任，促进廉政建设；</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 月 日</w:t>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shd w:val="clear" w:color="auto" w:fill="auto"/>
        </w:rPr>
        <w:br w:type="page" w:clear="all"/>
      </w:r>
      <w:r/>
    </w:p>
    <w:p>
      <w:pPr>
        <w:pStyle w:val="717"/>
        <w:jc w:val="center"/>
        <w:spacing w:beforeAutospacing="0" w:afterAutospacing="0"/>
        <w:rPr>
          <w:rFonts w:hint="eastAsia" w:ascii="宋体" w:hAnsi="宋体" w:eastAsia="宋体" w:cs="宋体"/>
          <w:b/>
          <w:bCs/>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717"/>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采购文件获取日期：</w:t>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717"/>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717"/>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717"/>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签章</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                 公章：               日期：    </w:t>
      </w:r>
      <w:r/>
    </w:p>
    <w:p>
      <w:pPr>
        <w:pStyle w:val="717"/>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717"/>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717"/>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7"/>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717"/>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717"/>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717"/>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717"/>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黑体">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r/>
                        </w:p>
                        <w:p>
                          <w:pPr>
                            <w:pStyle w:val="7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r/>
                  </w:p>
                  <w:p>
                    <w:pPr>
                      <w:pStyle w:val="7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4">
    <w:name w:val="Heading 1"/>
    <w:basedOn w:val="683"/>
    <w:next w:val="683"/>
    <w:uiPriority w:val="0"/>
    <w:qFormat/>
    <w:pPr>
      <w:keepNext/>
      <w:outlineLvl w:val="0"/>
    </w:pPr>
    <w:rPr>
      <w:rFonts w:ascii="宋体" w:eastAsia="宋体"/>
      <w:sz w:val="28"/>
      <w:szCs w:val="20"/>
    </w:rPr>
  </w:style>
  <w:style w:type="paragraph" w:styleId="685">
    <w:name w:val="Heading 2"/>
    <w:basedOn w:val="683"/>
    <w:next w:val="683"/>
    <w:uiPriority w:val="0"/>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6">
    <w:name w:val="Heading 3"/>
    <w:basedOn w:val="683"/>
    <w:next w:val="683"/>
    <w:link w:val="728"/>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9"/>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30"/>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31"/>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3"/>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4"/>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unhideWhenUsed/>
    <w:qFormat/>
  </w:style>
  <w:style w:type="table" w:styleId="694" w:default="1">
    <w:name w:val="Normal Table"/>
    <w:uiPriority w:val="99"/>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Caption"/>
    <w:basedOn w:val="683"/>
    <w:next w:val="683"/>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697">
    <w:name w:val="toa heading"/>
    <w:basedOn w:val="683"/>
    <w:next w:val="683"/>
    <w:uiPriority w:val="99"/>
    <w:unhideWhenUsed/>
    <w:qFormat/>
    <w:rPr>
      <w:sz w:val="24"/>
    </w:rPr>
  </w:style>
  <w:style w:type="paragraph" w:styleId="698">
    <w:name w:val="annotation text"/>
    <w:basedOn w:val="683"/>
    <w:uiPriority w:val="0"/>
    <w:qFormat/>
    <w:pPr>
      <w:jc w:val="left"/>
    </w:pPr>
  </w:style>
  <w:style w:type="paragraph" w:styleId="699">
    <w:name w:val="Body Text"/>
    <w:basedOn w:val="683"/>
    <w:next w:val="700"/>
    <w:uiPriority w:val="0"/>
    <w:qFormat/>
    <w:pPr>
      <w:spacing w:after="120"/>
    </w:pPr>
  </w:style>
  <w:style w:type="paragraph" w:styleId="70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701">
    <w:name w:val="Body Text Indent"/>
    <w:basedOn w:val="683"/>
    <w:uiPriority w:val="0"/>
    <w:qFormat/>
    <w:pPr>
      <w:ind w:firstLine="600"/>
      <w:spacing w:line="360" w:lineRule="auto"/>
    </w:pPr>
    <w:rPr>
      <w:rFonts w:ascii="宋体" w:eastAsia="宋体"/>
      <w:sz w:val="30"/>
    </w:rPr>
  </w:style>
  <w:style w:type="paragraph" w:styleId="702">
    <w:name w:val="toc 5"/>
    <w:basedOn w:val="683"/>
    <w:next w:val="683"/>
    <w:uiPriority w:val="39"/>
    <w:unhideWhenUsed/>
    <w:qFormat/>
    <w:pPr>
      <w:ind w:left="1134" w:right="0" w:firstLine="0"/>
      <w:spacing w:after="57"/>
    </w:pPr>
  </w:style>
  <w:style w:type="paragraph" w:styleId="703">
    <w:name w:val="toc 3"/>
    <w:basedOn w:val="683"/>
    <w:next w:val="683"/>
    <w:uiPriority w:val="39"/>
    <w:unhideWhenUsed/>
    <w:qFormat/>
    <w:pPr>
      <w:ind w:left="567" w:right="0" w:firstLine="0"/>
      <w:spacing w:after="57"/>
    </w:pPr>
  </w:style>
  <w:style w:type="paragraph" w:styleId="704">
    <w:name w:val="toc 8"/>
    <w:basedOn w:val="683"/>
    <w:next w:val="683"/>
    <w:uiPriority w:val="39"/>
    <w:unhideWhenUsed/>
    <w:qFormat/>
    <w:pPr>
      <w:ind w:left="1984" w:right="0" w:firstLine="0"/>
      <w:spacing w:after="57"/>
    </w:pPr>
  </w:style>
  <w:style w:type="paragraph" w:styleId="705">
    <w:name w:val="endnote text"/>
    <w:basedOn w:val="683"/>
    <w:link w:val="872"/>
    <w:uiPriority w:val="99"/>
    <w:unhideWhenUsed/>
    <w:qFormat/>
    <w:pPr>
      <w:spacing w:after="0" w:line="240" w:lineRule="auto"/>
    </w:pPr>
    <w:rPr>
      <w:sz w:val="20"/>
    </w:rPr>
  </w:style>
  <w:style w:type="paragraph" w:styleId="706">
    <w:name w:val="Footer"/>
    <w:basedOn w:val="683"/>
    <w:link w:val="875"/>
    <w:uiPriority w:val="0"/>
    <w:qFormat/>
    <w:pPr>
      <w:jc w:val="left"/>
      <w:tabs>
        <w:tab w:val="center" w:pos="4153" w:leader="none"/>
        <w:tab w:val="right" w:pos="8306" w:leader="none"/>
      </w:tabs>
    </w:pPr>
    <w:rPr>
      <w:sz w:val="18"/>
      <w:szCs w:val="18"/>
    </w:rPr>
  </w:style>
  <w:style w:type="paragraph" w:styleId="707">
    <w:name w:val="envelope return"/>
    <w:basedOn w:val="683"/>
    <w:uiPriority w:val="0"/>
    <w:qFormat/>
    <w:rPr>
      <w:rFonts w:ascii="Arial" w:hAnsi="Arial"/>
    </w:rPr>
  </w:style>
  <w:style w:type="paragraph" w:styleId="708">
    <w:name w:val="Header"/>
    <w:basedOn w:val="683"/>
    <w:link w:val="874"/>
    <w:uiPriority w:val="0"/>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3"/>
    <w:next w:val="683"/>
    <w:uiPriority w:val="39"/>
    <w:unhideWhenUsed/>
    <w:qFormat/>
    <w:pPr>
      <w:ind w:left="0" w:right="0" w:firstLine="0"/>
      <w:spacing w:after="57"/>
    </w:pPr>
  </w:style>
  <w:style w:type="paragraph" w:styleId="710">
    <w:name w:val="toc 4"/>
    <w:basedOn w:val="683"/>
    <w:next w:val="683"/>
    <w:uiPriority w:val="39"/>
    <w:unhideWhenUsed/>
    <w:qFormat/>
    <w:pPr>
      <w:ind w:left="850" w:right="0" w:firstLine="0"/>
      <w:spacing w:after="57"/>
    </w:pPr>
  </w:style>
  <w:style w:type="paragraph" w:styleId="711">
    <w:name w:val="Subtitle"/>
    <w:basedOn w:val="683"/>
    <w:next w:val="683"/>
    <w:link w:val="738"/>
    <w:uiPriority w:val="11"/>
    <w:qFormat/>
    <w:pPr>
      <w:spacing w:before="200" w:after="200"/>
    </w:pPr>
    <w:rPr>
      <w:sz w:val="24"/>
      <w:szCs w:val="24"/>
    </w:rPr>
  </w:style>
  <w:style w:type="paragraph" w:styleId="712">
    <w:name w:val="footnote text"/>
    <w:basedOn w:val="683"/>
    <w:link w:val="871"/>
    <w:uiPriority w:val="99"/>
    <w:unhideWhenUsed/>
    <w:qFormat/>
    <w:pPr>
      <w:spacing w:after="40" w:line="240" w:lineRule="auto"/>
    </w:pPr>
    <w:rPr>
      <w:sz w:val="18"/>
    </w:rPr>
  </w:style>
  <w:style w:type="paragraph" w:styleId="713">
    <w:name w:val="toc 6"/>
    <w:basedOn w:val="683"/>
    <w:next w:val="683"/>
    <w:uiPriority w:val="39"/>
    <w:unhideWhenUsed/>
    <w:qFormat/>
    <w:pPr>
      <w:ind w:left="1417" w:right="0" w:firstLine="0"/>
      <w:spacing w:after="57"/>
    </w:pPr>
  </w:style>
  <w:style w:type="paragraph" w:styleId="714">
    <w:name w:val="table of figures"/>
    <w:basedOn w:val="683"/>
    <w:next w:val="683"/>
    <w:uiPriority w:val="99"/>
    <w:unhideWhenUsed/>
    <w:qFormat/>
    <w:pPr>
      <w:spacing w:after="0" w:afterAutospacing="0"/>
    </w:pPr>
  </w:style>
  <w:style w:type="paragraph" w:styleId="715">
    <w:name w:val="toc 2"/>
    <w:basedOn w:val="683"/>
    <w:next w:val="683"/>
    <w:uiPriority w:val="39"/>
    <w:unhideWhenUsed/>
    <w:qFormat/>
    <w:pPr>
      <w:ind w:left="283" w:right="0" w:firstLine="0"/>
      <w:spacing w:after="57"/>
    </w:pPr>
  </w:style>
  <w:style w:type="paragraph" w:styleId="716">
    <w:name w:val="toc 9"/>
    <w:basedOn w:val="683"/>
    <w:next w:val="683"/>
    <w:uiPriority w:val="39"/>
    <w:unhideWhenUsed/>
    <w:qFormat/>
    <w:pPr>
      <w:ind w:left="2268" w:right="0" w:firstLine="0"/>
      <w:spacing w:after="57"/>
    </w:pPr>
  </w:style>
  <w:style w:type="paragraph" w:styleId="717">
    <w:name w:val="Normal (Web)"/>
    <w:basedOn w:val="683"/>
    <w:uiPriority w:val="0"/>
    <w:qFormat/>
    <w:pPr>
      <w:jc w:val="left"/>
      <w:spacing w:beforeAutospacing="1" w:afterAutospacing="1"/>
    </w:pPr>
    <w:rPr>
      <w:rFonts w:cs="Times New Roman"/>
      <w:sz w:val="24"/>
    </w:rPr>
  </w:style>
  <w:style w:type="paragraph" w:styleId="718">
    <w:name w:val="Title"/>
    <w:basedOn w:val="683"/>
    <w:next w:val="683"/>
    <w:uiPriority w:val="0"/>
    <w:qFormat/>
    <w:pPr>
      <w:jc w:val="center"/>
      <w:spacing w:before="240" w:after="60"/>
      <w:outlineLvl w:val="0"/>
    </w:pPr>
    <w:rPr>
      <w:rFonts w:ascii="Cambria" w:hAnsi="Cambria"/>
      <w:b/>
      <w:bCs/>
      <w:sz w:val="32"/>
      <w:szCs w:val="32"/>
    </w:rPr>
  </w:style>
  <w:style w:type="paragraph" w:styleId="719">
    <w:name w:val="Body Text First Indent"/>
    <w:basedOn w:val="699"/>
    <w:uiPriority w:val="0"/>
    <w:qFormat/>
    <w:pPr>
      <w:ind w:firstLine="420"/>
    </w:pPr>
  </w:style>
  <w:style w:type="paragraph" w:styleId="720">
    <w:name w:val="Body Text First Indent 2"/>
    <w:basedOn w:val="701"/>
    <w:uiPriority w:val="99"/>
    <w:unhideWhenUsed/>
    <w:qFormat/>
    <w:pPr>
      <w:ind w:firstLine="420"/>
    </w:pPr>
  </w:style>
  <w:style w:type="table" w:styleId="721">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endnote reference"/>
    <w:basedOn w:val="693"/>
    <w:uiPriority w:val="99"/>
    <w:unhideWhenUsed/>
    <w:qFormat/>
    <w:rPr>
      <w:vertAlign w:val="superscript"/>
    </w:rPr>
  </w:style>
  <w:style w:type="character" w:styleId="723">
    <w:name w:val="page number"/>
    <w:basedOn w:val="693"/>
    <w:uiPriority w:val="0"/>
    <w:qFormat/>
  </w:style>
  <w:style w:type="character" w:styleId="724">
    <w:name w:val="Hyperlink"/>
    <w:uiPriority w:val="99"/>
    <w:unhideWhenUsed/>
    <w:qFormat/>
    <w:rPr>
      <w:color w:val="0563c1" w:themeColor="hyperlink"/>
      <w:u w:val="single"/>
      <w14:textFill>
        <w14:solidFill>
          <w14:schemeClr w14:val="hlink"/>
        </w14:solidFill>
      </w14:textFill>
    </w:rPr>
  </w:style>
  <w:style w:type="character" w:styleId="725">
    <w:name w:val="footnote reference"/>
    <w:basedOn w:val="693"/>
    <w:uiPriority w:val="99"/>
    <w:unhideWhenUsed/>
    <w:qFormat/>
    <w:rPr>
      <w:vertAlign w:val="superscript"/>
    </w:rPr>
  </w:style>
  <w:style w:type="character" w:styleId="726" w:customStyle="1">
    <w:name w:val="Heading 1 Char"/>
    <w:basedOn w:val="693"/>
    <w:uiPriority w:val="9"/>
    <w:qFormat/>
    <w:rPr>
      <w:rFonts w:ascii="Arial" w:hAnsi="Arial" w:eastAsia="Arial" w:cs="Arial"/>
      <w:sz w:val="40"/>
      <w:szCs w:val="40"/>
    </w:rPr>
  </w:style>
  <w:style w:type="character" w:styleId="727" w:customStyle="1">
    <w:name w:val="Heading 2 Char"/>
    <w:basedOn w:val="693"/>
    <w:uiPriority w:val="9"/>
    <w:qFormat/>
    <w:rPr>
      <w:rFonts w:ascii="Arial" w:hAnsi="Arial" w:eastAsia="Arial" w:cs="Arial"/>
      <w:sz w:val="34"/>
    </w:rPr>
  </w:style>
  <w:style w:type="character" w:styleId="728" w:customStyle="1">
    <w:name w:val="Heading 3 Char"/>
    <w:basedOn w:val="693"/>
    <w:link w:val="686"/>
    <w:uiPriority w:val="9"/>
    <w:qFormat/>
    <w:rPr>
      <w:rFonts w:ascii="Arial" w:hAnsi="Arial" w:eastAsia="Arial" w:cs="Arial"/>
      <w:sz w:val="30"/>
      <w:szCs w:val="30"/>
    </w:rPr>
  </w:style>
  <w:style w:type="character" w:styleId="729" w:customStyle="1">
    <w:name w:val="Heading 4 Char"/>
    <w:basedOn w:val="693"/>
    <w:link w:val="687"/>
    <w:uiPriority w:val="9"/>
    <w:qFormat/>
    <w:rPr>
      <w:rFonts w:ascii="Arial" w:hAnsi="Arial" w:eastAsia="Arial" w:cs="Arial"/>
      <w:b/>
      <w:bCs/>
      <w:sz w:val="26"/>
      <w:szCs w:val="26"/>
    </w:rPr>
  </w:style>
  <w:style w:type="character" w:styleId="730" w:customStyle="1">
    <w:name w:val="Heading 5 Char"/>
    <w:basedOn w:val="693"/>
    <w:link w:val="688"/>
    <w:uiPriority w:val="9"/>
    <w:qFormat/>
    <w:rPr>
      <w:rFonts w:ascii="Arial" w:hAnsi="Arial" w:eastAsia="Arial" w:cs="Arial"/>
      <w:b/>
      <w:bCs/>
      <w:sz w:val="24"/>
      <w:szCs w:val="24"/>
    </w:rPr>
  </w:style>
  <w:style w:type="character" w:styleId="731" w:customStyle="1">
    <w:name w:val="Heading 6 Char"/>
    <w:basedOn w:val="693"/>
    <w:link w:val="689"/>
    <w:uiPriority w:val="9"/>
    <w:qFormat/>
    <w:rPr>
      <w:rFonts w:ascii="Arial" w:hAnsi="Arial" w:eastAsia="Arial" w:cs="Arial"/>
      <w:b/>
      <w:bCs/>
      <w:sz w:val="22"/>
      <w:szCs w:val="22"/>
    </w:rPr>
  </w:style>
  <w:style w:type="character" w:styleId="732" w:customStyle="1">
    <w:name w:val="Heading 7 Char"/>
    <w:basedOn w:val="693"/>
    <w:link w:val="690"/>
    <w:uiPriority w:val="9"/>
    <w:qFormat/>
    <w:rPr>
      <w:rFonts w:ascii="Arial" w:hAnsi="Arial" w:eastAsia="Arial" w:cs="Arial"/>
      <w:b/>
      <w:bCs/>
      <w:i/>
      <w:iCs/>
      <w:sz w:val="22"/>
      <w:szCs w:val="22"/>
    </w:rPr>
  </w:style>
  <w:style w:type="character" w:styleId="733" w:customStyle="1">
    <w:name w:val="Heading 8 Char"/>
    <w:basedOn w:val="693"/>
    <w:link w:val="691"/>
    <w:uiPriority w:val="9"/>
    <w:qFormat/>
    <w:rPr>
      <w:rFonts w:ascii="Arial" w:hAnsi="Arial" w:eastAsia="Arial" w:cs="Arial"/>
      <w:i/>
      <w:iCs/>
      <w:sz w:val="22"/>
      <w:szCs w:val="22"/>
    </w:rPr>
  </w:style>
  <w:style w:type="character" w:styleId="734" w:customStyle="1">
    <w:name w:val="Heading 9 Char"/>
    <w:basedOn w:val="693"/>
    <w:link w:val="692"/>
    <w:uiPriority w:val="9"/>
    <w:qFormat/>
    <w:rPr>
      <w:rFonts w:ascii="Arial" w:hAnsi="Arial" w:eastAsia="Arial" w:cs="Arial"/>
      <w:i/>
      <w:iCs/>
      <w:sz w:val="21"/>
      <w:szCs w:val="21"/>
    </w:rPr>
  </w:style>
  <w:style w:type="paragraph" w:styleId="735" w:customStyle="1">
    <w:name w:val="List Paragraph"/>
    <w:basedOn w:val="683"/>
    <w:uiPriority w:val="34"/>
    <w:qFormat/>
    <w:pPr>
      <w:contextualSpacing/>
      <w:ind w:left="720"/>
    </w:pPr>
  </w:style>
  <w:style w:type="paragraph" w:styleId="736" w:customStyle="1">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basedOn w:val="693"/>
    <w:uiPriority w:val="10"/>
    <w:qFormat/>
    <w:rPr>
      <w:sz w:val="48"/>
      <w:szCs w:val="48"/>
    </w:rPr>
  </w:style>
  <w:style w:type="character" w:styleId="738" w:customStyle="1">
    <w:name w:val="Subtitle Char"/>
    <w:basedOn w:val="693"/>
    <w:link w:val="711"/>
    <w:uiPriority w:val="11"/>
    <w:qFormat/>
    <w:rPr>
      <w:sz w:val="24"/>
      <w:szCs w:val="24"/>
    </w:rPr>
  </w:style>
  <w:style w:type="paragraph" w:styleId="739" w:customStyle="1">
    <w:name w:val="Quote"/>
    <w:basedOn w:val="683"/>
    <w:next w:val="683"/>
    <w:link w:val="740"/>
    <w:uiPriority w:val="29"/>
    <w:qFormat/>
    <w:pPr>
      <w:ind w:left="720" w:right="720"/>
    </w:pPr>
    <w:rPr>
      <w:i/>
    </w:rPr>
  </w:style>
  <w:style w:type="character" w:styleId="740" w:customStyle="1">
    <w:name w:val="Quote Char"/>
    <w:link w:val="739"/>
    <w:uiPriority w:val="29"/>
    <w:qFormat/>
    <w:rPr>
      <w:i/>
    </w:rPr>
  </w:style>
  <w:style w:type="paragraph" w:styleId="741" w:customStyle="1">
    <w:name w:val="Intense Quote"/>
    <w:basedOn w:val="683"/>
    <w:next w:val="68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basedOn w:val="693"/>
    <w:uiPriority w:val="99"/>
    <w:qFormat/>
  </w:style>
  <w:style w:type="character" w:styleId="744" w:customStyle="1">
    <w:name w:val="Footer Char"/>
    <w:basedOn w:val="693"/>
    <w:uiPriority w:val="99"/>
    <w:qFormat/>
  </w:style>
  <w:style w:type="character" w:styleId="745" w:customStyle="1">
    <w:name w:val="Caption Char"/>
    <w:uiPriority w:val="99"/>
    <w:qFormat/>
  </w:style>
  <w:style w:type="table" w:styleId="746"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6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6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6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6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6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6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6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6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6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6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6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6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6"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6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6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6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6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6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6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69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5" w:customStyle="1">
    <w:name w:val="Grid Table 4 - Accent 2"/>
    <w:basedOn w:val="69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6" w:customStyle="1">
    <w:name w:val="Grid Table 4 - Accent 3"/>
    <w:basedOn w:val="69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7" w:customStyle="1">
    <w:name w:val="Grid Table 4 - Accent 4"/>
    <w:basedOn w:val="69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8" w:customStyle="1">
    <w:name w:val="Grid Table 4 - Accent 5"/>
    <w:basedOn w:val="69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9" w:customStyle="1">
    <w:name w:val="Grid Table 4 - Accent 6"/>
    <w:basedOn w:val="69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0"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2"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3"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4"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5"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6"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7"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basedOn w:val="69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9" w:customStyle="1">
    <w:name w:val="Grid Table 6 Colorful - Accent 2"/>
    <w:basedOn w:val="6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0" w:customStyle="1">
    <w:name w:val="Grid Table 6 Colorful - Accent 3"/>
    <w:basedOn w:val="69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1" w:customStyle="1">
    <w:name w:val="Grid Table 6 Colorful - Accent 4"/>
    <w:basedOn w:val="6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2" w:customStyle="1">
    <w:name w:val="Grid Table 6 Colorful - Accent 5"/>
    <w:basedOn w:val="69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3" w:customStyle="1">
    <w:name w:val="Grid Table 6 Colorful - Accent 6"/>
    <w:basedOn w:val="69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4"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69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69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69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69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69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69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69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69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69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69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69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69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basedOn w:val="69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0" w:customStyle="1">
    <w:name w:val="List Table 2 - Accent 2"/>
    <w:basedOn w:val="69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1" w:customStyle="1">
    <w:name w:val="List Table 2 - Accent 3"/>
    <w:basedOn w:val="69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2" w:customStyle="1">
    <w:name w:val="List Table 2 - Accent 4"/>
    <w:basedOn w:val="69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3" w:customStyle="1">
    <w:name w:val="List Table 2 - Accent 5"/>
    <w:basedOn w:val="69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4" w:customStyle="1">
    <w:name w:val="List Table 2 - Accent 6"/>
    <w:basedOn w:val="69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5"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69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3 - Accent 2"/>
    <w:basedOn w:val="6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69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6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69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69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2"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69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4 - Accent 2"/>
    <w:basedOn w:val="69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5" w:customStyle="1">
    <w:name w:val="List Table 4 - Accent 3"/>
    <w:basedOn w:val="69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6" w:customStyle="1">
    <w:name w:val="List Table 4 - Accent 4"/>
    <w:basedOn w:val="69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7" w:customStyle="1">
    <w:name w:val="List Table 4 - Accent 5"/>
    <w:basedOn w:val="69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8" w:customStyle="1">
    <w:name w:val="List Table 4 - Accent 6"/>
    <w:basedOn w:val="69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9"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basedOn w:val="69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basedOn w:val="69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basedOn w:val="69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basedOn w:val="69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basedOn w:val="69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basedOn w:val="69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basedOn w:val="69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8" w:customStyle="1">
    <w:name w:val="List Table 6 Colorful - Accent 2"/>
    <w:basedOn w:val="69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9" w:customStyle="1">
    <w:name w:val="List Table 6 Colorful - Accent 3"/>
    <w:basedOn w:val="69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0" w:customStyle="1">
    <w:name w:val="List Table 6 Colorful - Accent 4"/>
    <w:basedOn w:val="69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1" w:customStyle="1">
    <w:name w:val="List Table 6 Colorful - Accent 5"/>
    <w:basedOn w:val="69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2" w:customStyle="1">
    <w:name w:val="List Table 6 Colorful - Accent 6"/>
    <w:basedOn w:val="69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3"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69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9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9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9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9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9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2"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3"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5"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basedOn w:val="69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9" w:customStyle="1">
    <w:name w:val="Bordered &amp; Lined - Accent 2"/>
    <w:basedOn w:val="69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0" w:customStyle="1">
    <w:name w:val="Bordered &amp; Lined - Accent 3"/>
    <w:basedOn w:val="69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Bordered &amp; Lined - Accent 4"/>
    <w:basedOn w:val="69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2" w:customStyle="1">
    <w:name w:val="Bordered &amp; Lined - Accent 5"/>
    <w:basedOn w:val="69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3" w:customStyle="1">
    <w:name w:val="Bordered &amp; Lined - Accent 6"/>
    <w:basedOn w:val="69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basedOn w:val="6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6" w:customStyle="1">
    <w:name w:val="Bordered - Accent 2"/>
    <w:basedOn w:val="6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7" w:customStyle="1">
    <w:name w:val="Bordered - Accent 3"/>
    <w:basedOn w:val="6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8" w:customStyle="1">
    <w:name w:val="Bordered - Accent 4"/>
    <w:basedOn w:val="6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9" w:customStyle="1">
    <w:name w:val="Bordered - Accent 5"/>
    <w:basedOn w:val="6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0" w:customStyle="1">
    <w:name w:val="Bordered - Accent 6"/>
    <w:basedOn w:val="6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1" w:customStyle="1">
    <w:name w:val="Footnote Text Char"/>
    <w:link w:val="712"/>
    <w:uiPriority w:val="99"/>
    <w:qFormat/>
    <w:rPr>
      <w:sz w:val="18"/>
    </w:rPr>
  </w:style>
  <w:style w:type="character" w:styleId="872" w:customStyle="1">
    <w:name w:val="Endnote Text Char"/>
    <w:link w:val="705"/>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character" w:styleId="874" w:customStyle="1">
    <w:name w:val="页眉 Char"/>
    <w:basedOn w:val="693"/>
    <w:link w:val="708"/>
    <w:uiPriority w:val="0"/>
    <w:qFormat/>
    <w:rPr>
      <w:rFonts w:asciiTheme="minorHAnsi" w:hAnsiTheme="minorHAnsi" w:eastAsiaTheme="minorEastAsia" w:cstheme="minorBidi"/>
      <w:sz w:val="18"/>
      <w:szCs w:val="18"/>
    </w:rPr>
  </w:style>
  <w:style w:type="character" w:styleId="875" w:customStyle="1">
    <w:name w:val="页脚 Char"/>
    <w:basedOn w:val="693"/>
    <w:link w:val="706"/>
    <w:uiPriority w:val="0"/>
    <w:qFormat/>
    <w:rPr>
      <w:rFonts w:asciiTheme="minorHAnsi" w:hAnsiTheme="minorHAnsi" w:eastAsiaTheme="minorEastAsia" w:cstheme="minorBidi"/>
      <w:sz w:val="18"/>
      <w:szCs w:val="18"/>
    </w:rPr>
  </w:style>
  <w:style w:type="paragraph" w:styleId="876" w:customStyle="1">
    <w:name w:val="正文首行缩进 21"/>
    <w:basedOn w:val="877"/>
    <w:uiPriority w:val="0"/>
    <w:qFormat/>
    <w:pPr>
      <w:ind w:firstLine="420"/>
    </w:pPr>
  </w:style>
  <w:style w:type="paragraph" w:styleId="877" w:customStyle="1">
    <w:name w:val="正文文本缩进1"/>
    <w:basedOn w:val="683"/>
    <w:uiPriority w:val="0"/>
    <w:qFormat/>
    <w:pPr>
      <w:ind w:left="420"/>
      <w:spacing w:after="120"/>
    </w:p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顾国敏</cp:lastModifiedBy>
  <cp:revision>72</cp:revision>
  <dcterms:created xsi:type="dcterms:W3CDTF">2014-10-29T20:08:00Z</dcterms:created>
  <dcterms:modified xsi:type="dcterms:W3CDTF">2026-05-25T03:35:41Z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74B3765218054CE793896D453E8EBE82_13</vt:lpwstr>
  </property>
  <property fmtid="{D5CDD505-2E9C-101B-9397-08002B2CF9AE}" pid="4" name="KSOTemplateDocerSaveRecord">
    <vt:lpwstr>eyJoZGlkIjoiNDUwN2I3MjI1NGQ0MmI5N2MzOWY2OWZlMzgyNjc5MWEiLCJ1c2VySWQiOiIyNzY2OTA1NzEifQ==</vt:lpwstr>
  </property>
</Properties>
</file>