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eastAsia="宋体"/>
          <w:b/>
          <w:bCs/>
          <w:color w:val="auto"/>
          <w:sz w:val="84"/>
          <w:szCs w:val="84"/>
          <w:highlight w:val="none"/>
          <w:lang w:eastAsia="zh-CN"/>
        </w:rPr>
        <w:outlineLvl w:val="9"/>
      </w:pPr>
      <w:r>
        <w:rPr>
          <w:b/>
          <w:bCs/>
          <w:color w:val="auto"/>
          <w:sz w:val="84"/>
          <w:szCs w:val="84"/>
          <w:highlight w:val="none"/>
        </w:rPr>
        <w:fldChar w:fldCharType="begin"/>
      </w:r>
      <w:r>
        <w:rPr>
          <w:rFonts w:hint="eastAsia"/>
          <w:b/>
          <w:bCs/>
          <w:color w:val="auto"/>
          <w:sz w:val="84"/>
          <w:szCs w:val="84"/>
          <w:highlight w:val="none"/>
          <w:lang w:eastAsia="zh-CN"/>
        </w:rPr>
        <w:instrText xml:space="preserve">ADDIN CNKISM.UserStyle</w:instrText>
      </w:r>
      <w:r>
        <w:rPr>
          <w:b/>
          <w:bCs/>
          <w:color w:val="auto"/>
          <w:sz w:val="84"/>
          <w:szCs w:val="84"/>
          <w:highlight w:val="none"/>
        </w:rPr>
        <w:fldChar w:fldCharType="separate"/>
      </w:r>
      <w:r>
        <w:rPr>
          <w:b/>
          <w:bCs/>
          <w:color w:val="auto"/>
          <w:sz w:val="84"/>
          <w:szCs w:val="84"/>
          <w:highlight w:val="none"/>
        </w:rPr>
        <w:fldChar w:fldCharType="end"/>
      </w:r>
      <w:r/>
    </w:p>
    <w:p>
      <w:pPr>
        <w:jc w:val="center"/>
        <w:rPr>
          <w:rFonts w:hint="eastAsia"/>
          <w:b/>
          <w:bCs/>
          <w:color w:val="auto"/>
          <w:sz w:val="84"/>
          <w:szCs w:val="84"/>
          <w:highlight w:val="none"/>
        </w:rPr>
        <w:outlineLvl w:val="9"/>
      </w:pPr>
      <w:r>
        <w:rPr>
          <w:rFonts w:hint="eastAsia"/>
          <w:b/>
          <w:bCs/>
          <w:color w:val="auto"/>
          <w:sz w:val="84"/>
          <w:szCs w:val="84"/>
          <w:highlight w:val="none"/>
        </w:rPr>
      </w:r>
      <w:r/>
    </w:p>
    <w:p>
      <w:pPr>
        <w:jc w:val="center"/>
        <w:rPr>
          <w:rFonts w:hint="eastAsia" w:eastAsia="宋体"/>
          <w:b/>
          <w:bCs/>
          <w:color w:val="auto"/>
          <w:sz w:val="84"/>
          <w:szCs w:val="84"/>
          <w:highlight w:val="none"/>
          <w:lang w:val="en-US" w:eastAsia="zh-CN"/>
        </w:rPr>
        <w:outlineLvl w:val="9"/>
      </w:pPr>
      <w:r>
        <w:rPr>
          <w:rFonts w:hint="eastAsia"/>
          <w:b/>
          <w:bCs/>
          <w:color w:val="auto"/>
          <w:sz w:val="84"/>
          <w:szCs w:val="84"/>
          <w:highlight w:val="none"/>
          <w:lang w:val="en-US" w:eastAsia="zh-CN"/>
        </w:rPr>
        <w:t xml:space="preserve">招标</w:t>
      </w:r>
      <w:r>
        <w:rPr>
          <w:rFonts w:hint="eastAsia"/>
          <w:b/>
          <w:bCs/>
          <w:color w:val="auto"/>
          <w:sz w:val="84"/>
          <w:szCs w:val="84"/>
          <w:highlight w:val="none"/>
        </w:rPr>
        <w:t xml:space="preserve">文件</w:t>
      </w:r>
      <w:r>
        <w:rPr>
          <w:rFonts w:hint="eastAsia"/>
          <w:b/>
          <w:bCs/>
          <w:color w:val="auto"/>
          <w:sz w:val="84"/>
          <w:szCs w:val="84"/>
          <w:highlight w:val="none"/>
          <w:lang w:val="en-US" w:eastAsia="zh-CN"/>
        </w:rPr>
        <w:t xml:space="preserve"> </w:t>
      </w:r>
      <w:r/>
    </w:p>
    <w:p>
      <w:pPr>
        <w:jc w:val="center"/>
        <w:rPr>
          <w:b/>
          <w:bCs/>
          <w:color w:val="auto"/>
          <w:sz w:val="84"/>
          <w:szCs w:val="84"/>
          <w:highlight w:val="none"/>
        </w:rPr>
        <w:outlineLvl w:val="9"/>
      </w:pPr>
      <w:r>
        <w:rPr>
          <w:b/>
          <w:bCs/>
          <w:color w:val="auto"/>
          <w:sz w:val="84"/>
          <w:szCs w:val="84"/>
          <w:highlight w:val="none"/>
        </w:rPr>
      </w:r>
      <w:r/>
    </w:p>
    <w:p>
      <w:pPr>
        <w:jc w:val="center"/>
        <w:rPr>
          <w:b/>
          <w:bCs/>
          <w:color w:val="auto"/>
          <w:sz w:val="96"/>
          <w:szCs w:val="96"/>
          <w:highlight w:val="none"/>
        </w:rPr>
        <w:outlineLvl w:val="9"/>
      </w:pPr>
      <w:r>
        <w:rPr>
          <w:b/>
          <w:bCs/>
          <w:color w:val="auto"/>
          <w:sz w:val="96"/>
          <w:szCs w:val="96"/>
          <w:highlight w:val="none"/>
        </w:rPr>
      </w:r>
      <w:r/>
    </w:p>
    <w:p>
      <w:pPr>
        <w:jc w:val="center"/>
        <w:spacing w:line="500" w:lineRule="exact"/>
        <w:rPr>
          <w:rFonts w:ascii="宋体"/>
          <w:b/>
          <w:color w:val="auto"/>
          <w:sz w:val="24"/>
          <w:szCs w:val="24"/>
          <w:highlight w:val="none"/>
        </w:rPr>
        <w:outlineLvl w:val="9"/>
      </w:pPr>
      <w:r>
        <w:rPr>
          <w:rFonts w:ascii="宋体"/>
          <w:b/>
          <w:color w:val="auto"/>
          <w:sz w:val="24"/>
          <w:szCs w:val="24"/>
          <w:highlight w:val="none"/>
        </w:rPr>
      </w:r>
      <w:r/>
    </w:p>
    <w:p>
      <w:pPr>
        <w:jc w:val="center"/>
        <w:rPr>
          <w:b/>
          <w:bCs/>
          <w:color w:val="auto"/>
          <w:sz w:val="40"/>
          <w:szCs w:val="40"/>
          <w:highlight w:val="none"/>
        </w:rPr>
        <w:outlineLvl w:val="9"/>
      </w:pPr>
      <w:r>
        <w:rPr>
          <w:b/>
          <w:bCs/>
          <w:color w:val="auto"/>
          <w:sz w:val="40"/>
          <w:szCs w:val="40"/>
          <w:highlight w:val="none"/>
        </w:rPr>
      </w:r>
      <w:r/>
    </w:p>
    <w:p>
      <w:pPr>
        <w:jc w:val="center"/>
        <w:rPr>
          <w:rFonts w:hint="default" w:ascii="宋体" w:hAnsi="宋体" w:eastAsia="宋体" w:cs="宋体"/>
          <w:b/>
          <w:bCs/>
          <w:color w:val="auto"/>
          <w:sz w:val="36"/>
          <w:szCs w:val="36"/>
          <w:highlight w:val="none"/>
          <w:lang w:val="en-US" w:eastAsia="zh-CN"/>
        </w:rPr>
        <w:outlineLvl w:val="9"/>
      </w:pPr>
      <w:r>
        <w:rPr>
          <w:rFonts w:hint="eastAsia" w:ascii="宋体" w:hAnsi="宋体" w:cs="宋体"/>
          <w:b/>
          <w:bCs/>
          <w:color w:val="auto"/>
          <w:sz w:val="36"/>
          <w:szCs w:val="36"/>
          <w:highlight w:val="none"/>
        </w:rPr>
        <w:t xml:space="preserve">项目编号：JSZC-320900-RHHH-</w:t>
      </w:r>
      <w:r>
        <w:rPr>
          <w:rFonts w:hint="eastAsia" w:ascii="宋体" w:hAnsi="宋体" w:cs="宋体"/>
          <w:b/>
          <w:bCs/>
          <w:color w:val="auto"/>
          <w:sz w:val="36"/>
          <w:szCs w:val="36"/>
          <w:highlight w:val="none"/>
          <w:lang w:val="en-US" w:eastAsia="zh-CN"/>
        </w:rPr>
        <w:t xml:space="preserve">G</w:t>
      </w:r>
      <w:r>
        <w:rPr>
          <w:rFonts w:hint="eastAsia" w:ascii="宋体" w:hAnsi="宋体" w:cs="宋体"/>
          <w:b/>
          <w:bCs/>
          <w:color w:val="auto"/>
          <w:sz w:val="36"/>
          <w:szCs w:val="36"/>
          <w:highlight w:val="none"/>
        </w:rPr>
        <w:t xml:space="preserve">202</w:t>
      </w:r>
      <w:r>
        <w:rPr>
          <w:rFonts w:hint="eastAsia" w:ascii="宋体" w:hAnsi="宋体" w:cs="宋体"/>
          <w:b/>
          <w:bCs/>
          <w:color w:val="auto"/>
          <w:sz w:val="36"/>
          <w:szCs w:val="36"/>
          <w:highlight w:val="none"/>
          <w:lang w:val="en-US" w:eastAsia="zh-CN"/>
        </w:rPr>
        <w:t xml:space="preserve">6</w:t>
      </w:r>
      <w:r>
        <w:rPr>
          <w:rFonts w:hint="eastAsia" w:ascii="宋体" w:hAnsi="宋体" w:cs="宋体"/>
          <w:b/>
          <w:bCs/>
          <w:color w:val="auto"/>
          <w:sz w:val="36"/>
          <w:szCs w:val="36"/>
          <w:highlight w:val="none"/>
        </w:rPr>
        <w:t xml:space="preserve">-</w:t>
      </w:r>
      <w:r>
        <w:rPr>
          <w:rFonts w:hint="eastAsia" w:ascii="宋体" w:hAnsi="宋体" w:cs="宋体"/>
          <w:b/>
          <w:bCs/>
          <w:color w:val="auto"/>
          <w:sz w:val="36"/>
          <w:szCs w:val="36"/>
          <w:highlight w:val="none"/>
          <w:lang w:val="en-US" w:eastAsia="zh-CN"/>
        </w:rPr>
        <w:t xml:space="preserve">0030</w:t>
      </w:r>
      <w:r/>
    </w:p>
    <w:p>
      <w:pPr>
        <w:jc w:val="center"/>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eastAsia="zh-CN"/>
        </w:rPr>
      </w:r>
      <w:r/>
    </w:p>
    <w:p>
      <w:pPr>
        <w:jc w:val="center"/>
        <w:rPr>
          <w:rFonts w:ascii="宋体" w:hAnsi="宋体" w:cs="宋体"/>
          <w:b/>
          <w:bCs/>
          <w:color w:val="auto"/>
          <w:sz w:val="36"/>
          <w:szCs w:val="36"/>
          <w:highlight w:val="none"/>
        </w:rPr>
        <w:outlineLvl w:val="9"/>
      </w:pPr>
      <w:r>
        <w:rPr>
          <w:rFonts w:ascii="宋体" w:hAnsi="宋体" w:cs="宋体"/>
          <w:b/>
          <w:bCs/>
          <w:color w:val="auto"/>
          <w:sz w:val="36"/>
          <w:szCs w:val="36"/>
          <w:highlight w:val="none"/>
        </w:rPr>
      </w:r>
      <w:r/>
    </w:p>
    <w:p>
      <w:pPr>
        <w:jc w:val="center"/>
        <w:rPr>
          <w:rFonts w:hint="eastAsia" w:ascii="宋体" w:hAnsi="宋体" w:eastAsia="宋体" w:cs="宋体"/>
          <w:b/>
          <w:bCs/>
          <w:color w:val="auto"/>
          <w:sz w:val="36"/>
          <w:szCs w:val="36"/>
          <w:highlight w:val="none"/>
          <w:lang w:eastAsia="zh-CN"/>
        </w:rPr>
        <w:outlineLvl w:val="9"/>
      </w:pPr>
      <w:r/>
      <w:bookmarkStart w:id="0" w:name="_Toc22710"/>
      <w:r>
        <w:rPr>
          <w:rFonts w:hint="eastAsia" w:ascii="宋体" w:hAnsi="宋体" w:cs="宋体"/>
          <w:b/>
          <w:bCs/>
          <w:color w:val="auto"/>
          <w:sz w:val="36"/>
          <w:szCs w:val="36"/>
          <w:highlight w:val="none"/>
        </w:rPr>
        <w:t xml:space="preserve">项目名称：</w:t>
      </w:r>
      <w:bookmarkEnd w:id="0"/>
      <w:r>
        <w:rPr>
          <w:rFonts w:hint="eastAsia" w:ascii="宋体" w:hAnsi="宋体" w:cs="宋体"/>
          <w:b/>
          <w:bCs/>
          <w:color w:val="auto"/>
          <w:sz w:val="36"/>
          <w:szCs w:val="36"/>
          <w:highlight w:val="none"/>
          <w:lang w:eastAsia="zh-CN"/>
        </w:rPr>
        <w:t xml:space="preserve">盐城市第一人民医院建筑消防设施维保及维修项目</w:t>
      </w:r>
      <w:r/>
    </w:p>
    <w:p>
      <w:pPr>
        <w:jc w:val="center"/>
        <w:rPr>
          <w:rFonts w:ascii="宋体" w:hAnsi="宋体" w:cs="宋体"/>
          <w:b/>
          <w:bCs/>
          <w:color w:val="auto"/>
          <w:sz w:val="36"/>
          <w:szCs w:val="36"/>
          <w:highlight w:val="none"/>
        </w:rPr>
        <w:outlineLvl w:val="9"/>
      </w:pPr>
      <w:r>
        <w:rPr>
          <w:rFonts w:ascii="宋体" w:hAnsi="宋体" w:cs="宋体"/>
          <w:b/>
          <w:bCs/>
          <w:color w:val="auto"/>
          <w:sz w:val="36"/>
          <w:szCs w:val="36"/>
          <w:highlight w:val="none"/>
        </w:rPr>
      </w:r>
      <w:r/>
    </w:p>
    <w:p>
      <w:pPr>
        <w:jc w:val="center"/>
        <w:rPr>
          <w:rFonts w:ascii="宋体" w:hAnsi="宋体" w:cs="宋体"/>
          <w:b/>
          <w:bCs/>
          <w:color w:val="auto"/>
          <w:sz w:val="36"/>
          <w:szCs w:val="36"/>
          <w:highlight w:val="none"/>
        </w:rPr>
        <w:outlineLvl w:val="9"/>
      </w:pPr>
      <w:r>
        <w:rPr>
          <w:rFonts w:ascii="宋体" w:hAnsi="宋体" w:cs="宋体"/>
          <w:b/>
          <w:bCs/>
          <w:color w:val="auto"/>
          <w:sz w:val="36"/>
          <w:szCs w:val="36"/>
          <w:highlight w:val="none"/>
        </w:rPr>
      </w:r>
      <w:r/>
    </w:p>
    <w:p>
      <w:pPr>
        <w:jc w:val="center"/>
        <w:rPr>
          <w:rFonts w:ascii="宋体" w:hAnsi="宋体" w:cs="宋体"/>
          <w:b/>
          <w:bCs/>
          <w:color w:val="auto"/>
          <w:sz w:val="36"/>
          <w:szCs w:val="36"/>
          <w:highlight w:val="none"/>
        </w:rPr>
        <w:outlineLvl w:val="9"/>
      </w:pPr>
      <w:r>
        <w:rPr>
          <w:rFonts w:ascii="宋体" w:hAnsi="宋体" w:cs="宋体"/>
          <w:b/>
          <w:bCs/>
          <w:color w:val="auto"/>
          <w:sz w:val="36"/>
          <w:szCs w:val="36"/>
          <w:highlight w:val="none"/>
        </w:rPr>
      </w:r>
      <w:r/>
    </w:p>
    <w:p>
      <w:pPr>
        <w:jc w:val="center"/>
        <w:spacing w:line="500" w:lineRule="exact"/>
        <w:rPr>
          <w:rFonts w:ascii="宋体" w:cs="黑体"/>
          <w:bCs/>
          <w:color w:val="auto"/>
          <w:spacing w:val="15"/>
          <w:sz w:val="32"/>
          <w:szCs w:val="32"/>
          <w:highlight w:val="none"/>
        </w:rPr>
        <w:outlineLvl w:val="9"/>
      </w:pPr>
      <w:r>
        <w:rPr>
          <w:rFonts w:ascii="宋体" w:cs="黑体"/>
          <w:bCs/>
          <w:color w:val="auto"/>
          <w:spacing w:val="15"/>
          <w:sz w:val="32"/>
          <w:szCs w:val="32"/>
          <w:highlight w:val="none"/>
        </w:rPr>
      </w:r>
      <w:r/>
    </w:p>
    <w:p>
      <w:pPr>
        <w:jc w:val="center"/>
        <w:spacing w:line="500" w:lineRule="exact"/>
        <w:rPr>
          <w:rFonts w:ascii="宋体" w:hAnsi="宋体" w:cs="黑体"/>
          <w:bCs/>
          <w:color w:val="auto"/>
          <w:spacing w:val="15"/>
          <w:sz w:val="32"/>
          <w:szCs w:val="32"/>
          <w:highlight w:val="none"/>
        </w:rPr>
        <w:outlineLvl w:val="9"/>
      </w:pPr>
      <w:r>
        <w:rPr>
          <w:rFonts w:hint="eastAsia" w:ascii="宋体" w:hAnsi="宋体" w:cs="黑体"/>
          <w:bCs/>
          <w:color w:val="auto"/>
          <w:spacing w:val="15"/>
          <w:sz w:val="32"/>
          <w:szCs w:val="32"/>
          <w:highlight w:val="none"/>
        </w:rPr>
        <w:t xml:space="preserve">盐城市第一人民医院</w:t>
      </w:r>
      <w:r/>
    </w:p>
    <w:p>
      <w:pPr>
        <w:jc w:val="center"/>
        <w:spacing w:line="500" w:lineRule="exact"/>
        <w:rPr>
          <w:rFonts w:ascii="宋体" w:hAnsi="宋体"/>
          <w:color w:val="auto"/>
          <w:sz w:val="32"/>
          <w:szCs w:val="32"/>
          <w:highlight w:val="none"/>
        </w:rPr>
        <w:outlineLvl w:val="9"/>
      </w:pPr>
      <w:r>
        <w:rPr>
          <w:rFonts w:hint="eastAsia" w:ascii="宋体" w:hAnsi="宋体"/>
          <w:color w:val="auto"/>
          <w:sz w:val="32"/>
          <w:szCs w:val="32"/>
          <w:highlight w:val="none"/>
        </w:rPr>
        <w:t xml:space="preserve">202</w:t>
      </w:r>
      <w:r>
        <w:rPr>
          <w:rFonts w:hint="eastAsia" w:ascii="宋体" w:hAnsi="宋体"/>
          <w:color w:val="auto"/>
          <w:sz w:val="32"/>
          <w:szCs w:val="32"/>
          <w:highlight w:val="none"/>
          <w:lang w:val="en-US" w:eastAsia="zh-CN"/>
        </w:rPr>
        <w:t xml:space="preserve">6</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5</w:t>
      </w:r>
      <w:r>
        <w:rPr>
          <w:rFonts w:hint="eastAsia" w:ascii="宋体" w:hAnsi="宋体"/>
          <w:color w:val="auto"/>
          <w:sz w:val="32"/>
          <w:szCs w:val="32"/>
          <w:highlight w:val="none"/>
        </w:rPr>
        <w:t xml:space="preserve">月</w:t>
      </w:r>
      <w:r/>
    </w:p>
    <w:p>
      <w:pPr>
        <w:jc w:val="center"/>
        <w:spacing w:line="500" w:lineRule="exact"/>
        <w:rPr>
          <w:rFonts w:ascii="宋体"/>
          <w:color w:val="auto"/>
          <w:sz w:val="32"/>
          <w:szCs w:val="32"/>
          <w:highlight w:val="none"/>
        </w:rPr>
        <w:outlineLvl w:val="9"/>
      </w:pPr>
      <w:r>
        <w:rPr>
          <w:rFonts w:ascii="宋体"/>
          <w:color w:val="auto"/>
          <w:sz w:val="32"/>
          <w:szCs w:val="32"/>
          <w:highlight w:val="none"/>
        </w:rPr>
      </w:r>
      <w:r/>
    </w:p>
    <w:p>
      <w:pPr>
        <w:jc w:val="center"/>
        <w:spacing w:line="500" w:lineRule="exact"/>
        <w:rPr>
          <w:rFonts w:ascii="宋体" w:hAnsi="宋体"/>
          <w:b/>
          <w:color w:val="auto"/>
          <w:sz w:val="52"/>
          <w:szCs w:val="52"/>
          <w:highlight w:val="none"/>
        </w:rPr>
        <w:sectPr>
          <w:headerReference w:type="even" r:id="rId9"/>
          <w:footerReference w:type="even" r:id="rId10"/>
          <w:footnotePr/>
          <w:endnotePr/>
          <w:type w:val="nextPage"/>
          <w:pgSz w:w="11906" w:h="16838" w:orient="portrait"/>
          <w:pgMar w:top="1418" w:right="1588" w:bottom="1418" w:left="1365" w:header="851" w:footer="907" w:gutter="0"/>
          <w:pgNumType w:start="0"/>
          <w:cols w:num="1" w:sep="0" w:space="425" w:equalWidth="1"/>
          <w:docGrid w:linePitch="360"/>
          <w:titlePg/>
        </w:sectPr>
        <w:outlineLvl w:val="9"/>
      </w:pPr>
      <w:r>
        <w:rPr>
          <w:rFonts w:ascii="宋体" w:hAnsi="宋体"/>
          <w:b/>
          <w:color w:val="auto"/>
          <w:sz w:val="52"/>
          <w:szCs w:val="52"/>
          <w:highlight w:val="none"/>
        </w:rPr>
      </w:r>
      <w:r/>
    </w:p>
    <w:p>
      <w:pPr>
        <w:jc w:val="center"/>
        <w:spacing w:line="500" w:lineRule="exact"/>
        <w:rPr>
          <w:rFonts w:ascii="宋体" w:hAnsi="宋体"/>
          <w:b/>
          <w:color w:val="auto"/>
          <w:sz w:val="52"/>
          <w:szCs w:val="52"/>
          <w:highlight w:val="none"/>
        </w:rPr>
        <w:outlineLvl w:val="9"/>
      </w:pPr>
      <w:r>
        <w:rPr>
          <w:rFonts w:ascii="宋体" w:hAnsi="宋体"/>
          <w:b/>
          <w:color w:val="auto"/>
          <w:sz w:val="52"/>
          <w:szCs w:val="52"/>
          <w:highlight w:val="none"/>
        </w:rPr>
      </w:r>
      <w:r/>
    </w:p>
    <w:p>
      <w:pPr>
        <w:jc w:val="center"/>
        <w:spacing w:line="500" w:lineRule="exact"/>
        <w:rPr>
          <w:rFonts w:hint="eastAsia" w:ascii="宋体" w:hAnsi="宋体"/>
          <w:b/>
          <w:color w:val="auto"/>
          <w:sz w:val="48"/>
          <w:szCs w:val="48"/>
          <w:highlight w:val="none"/>
        </w:rPr>
        <w:outlineLvl w:val="9"/>
      </w:pPr>
      <w:r>
        <w:rPr>
          <w:rFonts w:hint="eastAsia" w:ascii="宋体" w:hAnsi="宋体"/>
          <w:b/>
          <w:color w:val="auto"/>
          <w:sz w:val="48"/>
          <w:szCs w:val="48"/>
          <w:highlight w:val="none"/>
        </w:rPr>
        <w:t xml:space="preserve">目</w:t>
      </w:r>
      <w:r>
        <w:rPr>
          <w:rFonts w:hint="eastAsia" w:ascii="宋体" w:hAnsi="宋体"/>
          <w:b/>
          <w:color w:val="auto"/>
          <w:sz w:val="48"/>
          <w:szCs w:val="48"/>
          <w:highlight w:val="none"/>
          <w:lang w:val="en-US" w:eastAsia="zh-CN"/>
        </w:rPr>
        <w:t xml:space="preserve"> </w:t>
      </w:r>
      <w:r>
        <w:rPr>
          <w:rFonts w:hint="eastAsia" w:ascii="宋体" w:hAnsi="宋体"/>
          <w:b/>
          <w:color w:val="auto"/>
          <w:sz w:val="48"/>
          <w:szCs w:val="48"/>
          <w:highlight w:val="none"/>
        </w:rPr>
        <w:t xml:space="preserve">录</w:t>
      </w:r>
      <w:r/>
    </w:p>
    <w:p>
      <w:pPr>
        <w:jc w:val="center"/>
        <w:spacing w:line="500" w:lineRule="exact"/>
        <w:rPr>
          <w:rFonts w:hint="eastAsia" w:ascii="宋体" w:hAnsi="宋体"/>
          <w:b/>
          <w:color w:val="auto"/>
          <w:sz w:val="48"/>
          <w:szCs w:val="48"/>
          <w:highlight w:val="none"/>
        </w:rPr>
        <w:outlineLvl w:val="9"/>
      </w:pPr>
      <w:r>
        <w:rPr>
          <w:rFonts w:hint="eastAsia" w:ascii="宋体" w:hAnsi="宋体"/>
          <w:b/>
          <w:color w:val="auto"/>
          <w:sz w:val="48"/>
          <w:szCs w:val="48"/>
          <w:highlight w:val="none"/>
        </w:rPr>
      </w:r>
      <w:r/>
    </w:p>
    <w:sdt>
      <w:sdtPr>
        <w15:appearance w15:val="boundingBox"/>
        <w15:color w:val="dbdbdb"/>
        <w:id w:val="147457366"/>
        <w:docPartObj>
          <w:docPartGallery w:val="Table of Contents"/>
          <w:docPartUnique w:val="true"/>
        </w:docPartObj>
        <w:rPr>
          <w:rFonts w:hint="default" w:ascii="宋体" w:hAnsi="宋体" w:eastAsia="宋体" w:cs="Times New Roman"/>
          <w:color w:val="auto"/>
          <w:sz w:val="21"/>
          <w:szCs w:val="21"/>
          <w:lang w:val="en-US" w:eastAsia="zh-CN" w:bidi="ar-SA"/>
        </w:rPr>
      </w:sdtPr>
      <w:sdtContent>
        <w:p>
          <w:pPr>
            <w:ind w:left="0" w:right="0" w:firstLine="0"/>
            <w:jc w:val="center"/>
            <w:spacing w:before="0" w:after="0" w:line="240" w:lineRule="auto"/>
            <w:rPr>
              <w:color w:val="auto"/>
            </w:rPr>
          </w:pPr>
          <w:r>
            <w:rPr>
              <w:color w:val="auto"/>
            </w:rPr>
          </w:r>
          <w:r/>
        </w:p>
        <w:p>
          <w:pPr>
            <w:pStyle w:val="829"/>
            <w:keepLines w:val="0"/>
            <w:keepNext w:val="0"/>
            <w:pageBreakBefore w:val="0"/>
            <w:spacing w:line="480" w:lineRule="auto"/>
            <w:widowControl w:val="off"/>
            <w:tabs>
              <w:tab w:val="right" w:pos="8953" w:leader="dot"/>
            </w:tabs>
            <w:rPr>
              <w:rFonts w:hint="eastAsia" w:ascii="新宋体" w:hAnsi="新宋体" w:eastAsia="新宋体" w:cs="新宋体"/>
              <w:b/>
              <w:bCs/>
              <w:color w:val="auto"/>
              <w:sz w:val="32"/>
              <w:szCs w:val="32"/>
            </w:rPr>
          </w:pPr>
          <w:r>
            <w:rPr>
              <w:rFonts w:hint="eastAsia" w:eastAsia="宋体"/>
              <w:color w:val="auto"/>
              <w:highlight w:val="none"/>
              <w:lang w:eastAsia="zh-CN"/>
            </w:rPr>
            <w:fldChar w:fldCharType="begin"/>
          </w:r>
          <w:r>
            <w:rPr>
              <w:rFonts w:hint="eastAsia" w:eastAsia="宋体"/>
              <w:color w:val="auto"/>
              <w:highlight w:val="none"/>
              <w:lang w:eastAsia="zh-CN"/>
            </w:rPr>
            <w:instrText xml:space="preserve">TOC \o "1-1" \h \u </w:instrText>
          </w:r>
          <w:r>
            <w:rPr>
              <w:rFonts w:hint="eastAsia" w:eastAsia="宋体"/>
              <w:color w:val="auto"/>
              <w:highlight w:val="none"/>
              <w:lang w:eastAsia="zh-CN"/>
            </w:rPr>
            <w:fldChar w:fldCharType="separate"/>
          </w:r>
          <w:r>
            <w:rPr>
              <w:rFonts w:hint="eastAsia" w:ascii="新宋体" w:hAnsi="新宋体" w:eastAsia="新宋体" w:cs="新宋体"/>
              <w:b/>
              <w:bCs/>
              <w:color w:val="auto"/>
              <w:sz w:val="32"/>
              <w:szCs w:val="32"/>
              <w:highlight w:val="none"/>
              <w:lang w:eastAsia="zh-CN"/>
            </w:rPr>
            <w:fldChar w:fldCharType="begin"/>
          </w:r>
          <w:r>
            <w:rPr>
              <w:rFonts w:hint="eastAsia" w:ascii="新宋体" w:hAnsi="新宋体" w:eastAsia="新宋体" w:cs="新宋体"/>
              <w:b/>
              <w:bCs/>
              <w:color w:val="auto"/>
              <w:sz w:val="32"/>
              <w:szCs w:val="32"/>
              <w:highlight w:val="none"/>
              <w:lang w:eastAsia="zh-CN"/>
            </w:rPr>
            <w:instrText xml:space="preserve"> HYPERLINK \l _Toc32004 </w:instrText>
          </w:r>
          <w:r>
            <w:rPr>
              <w:rFonts w:hint="eastAsia" w:ascii="新宋体" w:hAnsi="新宋体" w:eastAsia="新宋体" w:cs="新宋体"/>
              <w:b/>
              <w:bCs/>
              <w:color w:val="auto"/>
              <w:sz w:val="32"/>
              <w:szCs w:val="32"/>
              <w:highlight w:val="none"/>
              <w:lang w:eastAsia="zh-CN"/>
            </w:rPr>
            <w:fldChar w:fldCharType="separate"/>
          </w:r>
          <w:r>
            <w:rPr>
              <w:rFonts w:hint="eastAsia" w:ascii="新宋体" w:hAnsi="新宋体" w:eastAsia="新宋体" w:cs="新宋体"/>
              <w:b/>
              <w:bCs/>
              <w:color w:val="auto"/>
              <w:sz w:val="32"/>
              <w:szCs w:val="32"/>
              <w:highlight w:val="none"/>
            </w:rPr>
            <w:t xml:space="preserve">第一章 </w:t>
          </w:r>
          <w:r>
            <w:rPr>
              <w:rFonts w:hint="eastAsia" w:ascii="新宋体" w:hAnsi="新宋体" w:eastAsia="新宋体" w:cs="新宋体"/>
              <w:b/>
              <w:bCs/>
              <w:color w:val="auto"/>
              <w:sz w:val="32"/>
              <w:szCs w:val="32"/>
              <w:highlight w:val="none"/>
              <w:lang w:val="en-US" w:eastAsia="zh-CN"/>
            </w:rPr>
            <w:t xml:space="preserve">招标</w:t>
          </w:r>
          <w:r>
            <w:rPr>
              <w:rFonts w:hint="eastAsia" w:ascii="新宋体" w:hAnsi="新宋体" w:eastAsia="新宋体" w:cs="新宋体"/>
              <w:b/>
              <w:bCs/>
              <w:color w:val="auto"/>
              <w:sz w:val="32"/>
              <w:szCs w:val="32"/>
              <w:highlight w:val="none"/>
            </w:rPr>
            <w:t xml:space="preserve">公告</w:t>
          </w:r>
          <w:r>
            <w:rPr>
              <w:rFonts w:hint="eastAsia" w:ascii="新宋体" w:hAnsi="新宋体" w:eastAsia="新宋体" w:cs="新宋体"/>
              <w:b/>
              <w:bCs/>
              <w:color w:val="auto"/>
              <w:sz w:val="32"/>
              <w:szCs w:val="32"/>
            </w:rPr>
            <w:tab/>
          </w:r>
          <w:r>
            <w:rPr>
              <w:rFonts w:hint="eastAsia" w:ascii="新宋体" w:hAnsi="新宋体" w:eastAsia="新宋体" w:cs="新宋体"/>
              <w:b/>
              <w:bCs/>
              <w:color w:val="auto"/>
              <w:sz w:val="32"/>
              <w:szCs w:val="32"/>
            </w:rPr>
            <w:fldChar w:fldCharType="begin"/>
          </w:r>
          <w:r>
            <w:rPr>
              <w:rFonts w:hint="eastAsia" w:ascii="新宋体" w:hAnsi="新宋体" w:eastAsia="新宋体" w:cs="新宋体"/>
              <w:b/>
              <w:bCs/>
              <w:color w:val="auto"/>
              <w:sz w:val="32"/>
              <w:szCs w:val="32"/>
            </w:rPr>
            <w:instrText xml:space="preserve"> PAGEREF _Toc32004 \h </w:instrText>
          </w:r>
          <w:r>
            <w:rPr>
              <w:rFonts w:hint="eastAsia" w:ascii="新宋体" w:hAnsi="新宋体" w:eastAsia="新宋体" w:cs="新宋体"/>
              <w:b/>
              <w:bCs/>
              <w:color w:val="auto"/>
              <w:sz w:val="32"/>
              <w:szCs w:val="32"/>
            </w:rPr>
            <w:fldChar w:fldCharType="separate"/>
          </w:r>
          <w:r>
            <w:rPr>
              <w:rFonts w:hint="eastAsia" w:ascii="新宋体" w:hAnsi="新宋体" w:eastAsia="新宋体" w:cs="新宋体"/>
              <w:b/>
              <w:bCs/>
              <w:color w:val="auto"/>
              <w:sz w:val="32"/>
              <w:szCs w:val="32"/>
            </w:rPr>
            <w:t xml:space="preserve">1</w:t>
          </w:r>
          <w:r>
            <w:rPr>
              <w:rFonts w:hint="eastAsia" w:ascii="新宋体" w:hAnsi="新宋体" w:eastAsia="新宋体" w:cs="新宋体"/>
              <w:b/>
              <w:bCs/>
              <w:color w:val="auto"/>
              <w:sz w:val="32"/>
              <w:szCs w:val="32"/>
            </w:rPr>
            <w:fldChar w:fldCharType="end"/>
          </w:r>
          <w:r>
            <w:rPr>
              <w:rFonts w:hint="eastAsia" w:ascii="新宋体" w:hAnsi="新宋体" w:eastAsia="新宋体" w:cs="新宋体"/>
              <w:b/>
              <w:bCs/>
              <w:color w:val="auto"/>
              <w:sz w:val="32"/>
              <w:szCs w:val="32"/>
              <w:highlight w:val="none"/>
              <w:lang w:eastAsia="zh-CN"/>
            </w:rPr>
            <w:fldChar w:fldCharType="end"/>
          </w:r>
          <w:r/>
        </w:p>
        <w:p>
          <w:pPr>
            <w:pStyle w:val="829"/>
            <w:keepLines w:val="0"/>
            <w:keepNext w:val="0"/>
            <w:pageBreakBefore w:val="0"/>
            <w:spacing w:line="480" w:lineRule="auto"/>
            <w:widowControl w:val="off"/>
            <w:tabs>
              <w:tab w:val="right" w:pos="8953" w:leader="dot"/>
            </w:tabs>
            <w:rPr>
              <w:rFonts w:hint="eastAsia" w:ascii="新宋体" w:hAnsi="新宋体" w:eastAsia="新宋体" w:cs="新宋体"/>
              <w:b/>
              <w:bCs/>
              <w:color w:val="auto"/>
              <w:sz w:val="32"/>
              <w:szCs w:val="32"/>
            </w:rPr>
          </w:pPr>
          <w:r>
            <w:rPr>
              <w:rFonts w:hint="eastAsia" w:ascii="新宋体" w:hAnsi="新宋体" w:eastAsia="新宋体" w:cs="新宋体"/>
              <w:b/>
              <w:bCs/>
              <w:color w:val="auto"/>
              <w:sz w:val="32"/>
              <w:szCs w:val="32"/>
              <w:highlight w:val="none"/>
              <w:lang w:eastAsia="zh-CN"/>
            </w:rPr>
            <w:fldChar w:fldCharType="begin"/>
          </w:r>
          <w:r>
            <w:rPr>
              <w:rFonts w:hint="eastAsia" w:ascii="新宋体" w:hAnsi="新宋体" w:eastAsia="新宋体" w:cs="新宋体"/>
              <w:b/>
              <w:bCs/>
              <w:color w:val="auto"/>
              <w:sz w:val="32"/>
              <w:szCs w:val="32"/>
              <w:highlight w:val="none"/>
              <w:lang w:eastAsia="zh-CN"/>
            </w:rPr>
            <w:instrText xml:space="preserve"> HYPERLINK \l _Toc28644 </w:instrText>
          </w:r>
          <w:r>
            <w:rPr>
              <w:rFonts w:hint="eastAsia" w:ascii="新宋体" w:hAnsi="新宋体" w:eastAsia="新宋体" w:cs="新宋体"/>
              <w:b/>
              <w:bCs/>
              <w:color w:val="auto"/>
              <w:sz w:val="32"/>
              <w:szCs w:val="32"/>
              <w:highlight w:val="none"/>
              <w:lang w:eastAsia="zh-CN"/>
            </w:rPr>
            <w:fldChar w:fldCharType="separate"/>
          </w:r>
          <w:r>
            <w:rPr>
              <w:rFonts w:hint="eastAsia" w:ascii="新宋体" w:hAnsi="新宋体" w:eastAsia="新宋体" w:cs="新宋体"/>
              <w:b/>
              <w:bCs/>
              <w:color w:val="auto"/>
              <w:sz w:val="32"/>
              <w:szCs w:val="32"/>
              <w:highlight w:val="none"/>
            </w:rPr>
            <w:t xml:space="preserve">第二章 </w:t>
          </w:r>
          <w:r>
            <w:rPr>
              <w:rFonts w:hint="eastAsia" w:ascii="新宋体" w:hAnsi="新宋体" w:eastAsia="新宋体" w:cs="新宋体"/>
              <w:b/>
              <w:bCs/>
              <w:color w:val="auto"/>
              <w:sz w:val="32"/>
              <w:szCs w:val="32"/>
              <w:highlight w:val="none"/>
              <w:lang w:val="en-US" w:eastAsia="zh-CN"/>
            </w:rPr>
            <w:t xml:space="preserve">投标人</w:t>
          </w:r>
          <w:r>
            <w:rPr>
              <w:rFonts w:hint="eastAsia" w:ascii="新宋体" w:hAnsi="新宋体" w:eastAsia="新宋体" w:cs="新宋体"/>
              <w:b/>
              <w:bCs/>
              <w:color w:val="auto"/>
              <w:sz w:val="32"/>
              <w:szCs w:val="32"/>
              <w:highlight w:val="none"/>
            </w:rPr>
            <w:t xml:space="preserve">须知</w:t>
          </w:r>
          <w:r>
            <w:rPr>
              <w:rFonts w:hint="eastAsia" w:ascii="新宋体" w:hAnsi="新宋体" w:eastAsia="新宋体" w:cs="新宋体"/>
              <w:b/>
              <w:bCs/>
              <w:color w:val="auto"/>
              <w:sz w:val="32"/>
              <w:szCs w:val="32"/>
            </w:rPr>
            <w:tab/>
          </w:r>
          <w:r>
            <w:rPr>
              <w:rFonts w:hint="eastAsia" w:ascii="新宋体" w:hAnsi="新宋体" w:eastAsia="新宋体" w:cs="新宋体"/>
              <w:b/>
              <w:bCs/>
              <w:color w:val="auto"/>
              <w:sz w:val="32"/>
              <w:szCs w:val="32"/>
            </w:rPr>
            <w:fldChar w:fldCharType="begin"/>
          </w:r>
          <w:r>
            <w:rPr>
              <w:rFonts w:hint="eastAsia" w:ascii="新宋体" w:hAnsi="新宋体" w:eastAsia="新宋体" w:cs="新宋体"/>
              <w:b/>
              <w:bCs/>
              <w:color w:val="auto"/>
              <w:sz w:val="32"/>
              <w:szCs w:val="32"/>
            </w:rPr>
            <w:instrText xml:space="preserve"> PAGEREF _Toc28644 \h </w:instrText>
          </w:r>
          <w:r>
            <w:rPr>
              <w:rFonts w:hint="eastAsia" w:ascii="新宋体" w:hAnsi="新宋体" w:eastAsia="新宋体" w:cs="新宋体"/>
              <w:b/>
              <w:bCs/>
              <w:color w:val="auto"/>
              <w:sz w:val="32"/>
              <w:szCs w:val="32"/>
            </w:rPr>
            <w:fldChar w:fldCharType="separate"/>
          </w:r>
          <w:r>
            <w:rPr>
              <w:rFonts w:hint="eastAsia" w:ascii="新宋体" w:hAnsi="新宋体" w:eastAsia="新宋体" w:cs="新宋体"/>
              <w:b/>
              <w:bCs/>
              <w:color w:val="auto"/>
              <w:sz w:val="32"/>
              <w:szCs w:val="32"/>
            </w:rPr>
            <w:t xml:space="preserve">5</w:t>
          </w:r>
          <w:r>
            <w:rPr>
              <w:rFonts w:hint="eastAsia" w:ascii="新宋体" w:hAnsi="新宋体" w:eastAsia="新宋体" w:cs="新宋体"/>
              <w:b/>
              <w:bCs/>
              <w:color w:val="auto"/>
              <w:sz w:val="32"/>
              <w:szCs w:val="32"/>
            </w:rPr>
            <w:fldChar w:fldCharType="end"/>
          </w:r>
          <w:r>
            <w:rPr>
              <w:rFonts w:hint="eastAsia" w:ascii="新宋体" w:hAnsi="新宋体" w:eastAsia="新宋体" w:cs="新宋体"/>
              <w:b/>
              <w:bCs/>
              <w:color w:val="auto"/>
              <w:sz w:val="32"/>
              <w:szCs w:val="32"/>
              <w:highlight w:val="none"/>
              <w:lang w:eastAsia="zh-CN"/>
            </w:rPr>
            <w:fldChar w:fldCharType="end"/>
          </w:r>
          <w:r/>
        </w:p>
        <w:p>
          <w:pPr>
            <w:pStyle w:val="829"/>
            <w:keepLines w:val="0"/>
            <w:keepNext w:val="0"/>
            <w:pageBreakBefore w:val="0"/>
            <w:spacing w:line="480" w:lineRule="auto"/>
            <w:widowControl w:val="off"/>
            <w:tabs>
              <w:tab w:val="right" w:pos="8953" w:leader="dot"/>
            </w:tabs>
            <w:rPr>
              <w:rFonts w:hint="eastAsia" w:ascii="新宋体" w:hAnsi="新宋体" w:eastAsia="新宋体" w:cs="新宋体"/>
              <w:b/>
              <w:bCs/>
              <w:color w:val="auto"/>
              <w:sz w:val="32"/>
              <w:szCs w:val="32"/>
            </w:rPr>
          </w:pPr>
          <w:r>
            <w:rPr>
              <w:rFonts w:hint="eastAsia" w:ascii="新宋体" w:hAnsi="新宋体" w:eastAsia="新宋体" w:cs="新宋体"/>
              <w:b/>
              <w:bCs/>
              <w:color w:val="auto"/>
              <w:sz w:val="32"/>
              <w:szCs w:val="32"/>
              <w:highlight w:val="none"/>
              <w:lang w:eastAsia="zh-CN"/>
            </w:rPr>
            <w:fldChar w:fldCharType="begin"/>
          </w:r>
          <w:r>
            <w:rPr>
              <w:rFonts w:hint="eastAsia" w:ascii="新宋体" w:hAnsi="新宋体" w:eastAsia="新宋体" w:cs="新宋体"/>
              <w:b/>
              <w:bCs/>
              <w:color w:val="auto"/>
              <w:sz w:val="32"/>
              <w:szCs w:val="32"/>
              <w:highlight w:val="none"/>
              <w:lang w:eastAsia="zh-CN"/>
            </w:rPr>
            <w:instrText xml:space="preserve"> HYPERLINK \l _Toc21083 </w:instrText>
          </w:r>
          <w:r>
            <w:rPr>
              <w:rFonts w:hint="eastAsia" w:ascii="新宋体" w:hAnsi="新宋体" w:eastAsia="新宋体" w:cs="新宋体"/>
              <w:b/>
              <w:bCs/>
              <w:color w:val="auto"/>
              <w:sz w:val="32"/>
              <w:szCs w:val="32"/>
              <w:highlight w:val="none"/>
              <w:lang w:eastAsia="zh-CN"/>
            </w:rPr>
            <w:fldChar w:fldCharType="separate"/>
          </w:r>
          <w:r>
            <w:rPr>
              <w:rFonts w:hint="eastAsia" w:ascii="新宋体" w:hAnsi="新宋体" w:eastAsia="新宋体" w:cs="新宋体"/>
              <w:b/>
              <w:bCs/>
              <w:color w:val="auto"/>
              <w:sz w:val="32"/>
              <w:szCs w:val="32"/>
            </w:rPr>
            <w:t xml:space="preserve">第三章 合同文本</w:t>
          </w:r>
          <w:r>
            <w:rPr>
              <w:rFonts w:hint="eastAsia" w:ascii="新宋体" w:hAnsi="新宋体" w:eastAsia="新宋体" w:cs="新宋体"/>
              <w:b/>
              <w:bCs/>
              <w:color w:val="auto"/>
              <w:sz w:val="32"/>
              <w:szCs w:val="32"/>
            </w:rPr>
            <w:tab/>
          </w:r>
          <w:r>
            <w:rPr>
              <w:rFonts w:hint="eastAsia" w:ascii="新宋体" w:hAnsi="新宋体" w:eastAsia="新宋体" w:cs="新宋体"/>
              <w:b/>
              <w:bCs/>
              <w:color w:val="auto"/>
              <w:sz w:val="32"/>
              <w:szCs w:val="32"/>
            </w:rPr>
            <w:fldChar w:fldCharType="begin"/>
          </w:r>
          <w:r>
            <w:rPr>
              <w:rFonts w:hint="eastAsia" w:ascii="新宋体" w:hAnsi="新宋体" w:eastAsia="新宋体" w:cs="新宋体"/>
              <w:b/>
              <w:bCs/>
              <w:color w:val="auto"/>
              <w:sz w:val="32"/>
              <w:szCs w:val="32"/>
            </w:rPr>
            <w:instrText xml:space="preserve"> PAGEREF _Toc21083 \h </w:instrText>
          </w:r>
          <w:r>
            <w:rPr>
              <w:rFonts w:hint="eastAsia" w:ascii="新宋体" w:hAnsi="新宋体" w:eastAsia="新宋体" w:cs="新宋体"/>
              <w:b/>
              <w:bCs/>
              <w:color w:val="auto"/>
              <w:sz w:val="32"/>
              <w:szCs w:val="32"/>
            </w:rPr>
            <w:fldChar w:fldCharType="separate"/>
          </w:r>
          <w:r>
            <w:rPr>
              <w:rFonts w:hint="eastAsia" w:ascii="新宋体" w:hAnsi="新宋体" w:eastAsia="新宋体" w:cs="新宋体"/>
              <w:b/>
              <w:bCs/>
              <w:color w:val="auto"/>
              <w:sz w:val="32"/>
              <w:szCs w:val="32"/>
            </w:rPr>
            <w:t xml:space="preserve">22</w:t>
          </w:r>
          <w:r>
            <w:rPr>
              <w:rFonts w:hint="eastAsia" w:ascii="新宋体" w:hAnsi="新宋体" w:eastAsia="新宋体" w:cs="新宋体"/>
              <w:b/>
              <w:bCs/>
              <w:color w:val="auto"/>
              <w:sz w:val="32"/>
              <w:szCs w:val="32"/>
            </w:rPr>
            <w:fldChar w:fldCharType="end"/>
          </w:r>
          <w:r>
            <w:rPr>
              <w:rFonts w:hint="eastAsia" w:ascii="新宋体" w:hAnsi="新宋体" w:eastAsia="新宋体" w:cs="新宋体"/>
              <w:b/>
              <w:bCs/>
              <w:color w:val="auto"/>
              <w:sz w:val="32"/>
              <w:szCs w:val="32"/>
              <w:highlight w:val="none"/>
              <w:lang w:eastAsia="zh-CN"/>
            </w:rPr>
            <w:fldChar w:fldCharType="end"/>
          </w:r>
          <w:r/>
        </w:p>
        <w:p>
          <w:pPr>
            <w:pStyle w:val="829"/>
            <w:keepLines w:val="0"/>
            <w:keepNext w:val="0"/>
            <w:pageBreakBefore w:val="0"/>
            <w:spacing w:line="480" w:lineRule="auto"/>
            <w:widowControl w:val="off"/>
            <w:tabs>
              <w:tab w:val="right" w:pos="8953" w:leader="dot"/>
            </w:tabs>
            <w:rPr>
              <w:rFonts w:hint="eastAsia" w:ascii="新宋体" w:hAnsi="新宋体" w:eastAsia="新宋体" w:cs="新宋体"/>
              <w:b/>
              <w:bCs/>
              <w:color w:val="auto"/>
              <w:sz w:val="32"/>
              <w:szCs w:val="32"/>
            </w:rPr>
          </w:pPr>
          <w:r>
            <w:rPr>
              <w:rFonts w:hint="eastAsia" w:ascii="新宋体" w:hAnsi="新宋体" w:eastAsia="新宋体" w:cs="新宋体"/>
              <w:b/>
              <w:bCs/>
              <w:color w:val="auto"/>
              <w:sz w:val="32"/>
              <w:szCs w:val="32"/>
              <w:highlight w:val="none"/>
              <w:lang w:eastAsia="zh-CN"/>
            </w:rPr>
            <w:fldChar w:fldCharType="begin"/>
          </w:r>
          <w:r>
            <w:rPr>
              <w:rFonts w:hint="eastAsia" w:ascii="新宋体" w:hAnsi="新宋体" w:eastAsia="新宋体" w:cs="新宋体"/>
              <w:b/>
              <w:bCs/>
              <w:color w:val="auto"/>
              <w:sz w:val="32"/>
              <w:szCs w:val="32"/>
              <w:highlight w:val="none"/>
              <w:lang w:eastAsia="zh-CN"/>
            </w:rPr>
            <w:instrText xml:space="preserve"> HYPERLINK \l _Toc17571 </w:instrText>
          </w:r>
          <w:r>
            <w:rPr>
              <w:rFonts w:hint="eastAsia" w:ascii="新宋体" w:hAnsi="新宋体" w:eastAsia="新宋体" w:cs="新宋体"/>
              <w:b/>
              <w:bCs/>
              <w:color w:val="auto"/>
              <w:sz w:val="32"/>
              <w:szCs w:val="32"/>
              <w:highlight w:val="none"/>
              <w:lang w:eastAsia="zh-CN"/>
            </w:rPr>
            <w:fldChar w:fldCharType="separate"/>
          </w:r>
          <w:r>
            <w:rPr>
              <w:rFonts w:hint="eastAsia" w:ascii="新宋体" w:hAnsi="新宋体" w:eastAsia="新宋体" w:cs="新宋体"/>
              <w:b/>
              <w:bCs/>
              <w:color w:val="auto"/>
              <w:sz w:val="32"/>
              <w:szCs w:val="32"/>
            </w:rPr>
            <w:t xml:space="preserve">第四章</w:t>
          </w:r>
          <w:r>
            <w:rPr>
              <w:rFonts w:hint="eastAsia" w:ascii="新宋体" w:hAnsi="新宋体" w:eastAsia="新宋体" w:cs="新宋体"/>
              <w:b/>
              <w:bCs/>
              <w:color w:val="auto"/>
              <w:sz w:val="32"/>
              <w:szCs w:val="32"/>
              <w:lang w:val="en-US" w:eastAsia="zh-CN"/>
            </w:rPr>
            <w:t xml:space="preserve"> </w:t>
          </w:r>
          <w:r>
            <w:rPr>
              <w:rFonts w:hint="eastAsia" w:ascii="新宋体" w:hAnsi="新宋体" w:eastAsia="新宋体" w:cs="新宋体"/>
              <w:b/>
              <w:bCs/>
              <w:color w:val="auto"/>
              <w:sz w:val="32"/>
              <w:szCs w:val="32"/>
            </w:rPr>
            <w:t xml:space="preserve">采购需求</w:t>
          </w:r>
          <w:r>
            <w:rPr>
              <w:rFonts w:hint="eastAsia" w:ascii="新宋体" w:hAnsi="新宋体" w:eastAsia="新宋体" w:cs="新宋体"/>
              <w:b/>
              <w:bCs/>
              <w:color w:val="auto"/>
              <w:sz w:val="32"/>
              <w:szCs w:val="32"/>
            </w:rPr>
            <w:tab/>
          </w:r>
          <w:r>
            <w:rPr>
              <w:rFonts w:hint="eastAsia" w:ascii="新宋体" w:hAnsi="新宋体" w:eastAsia="新宋体" w:cs="新宋体"/>
              <w:b/>
              <w:bCs/>
              <w:color w:val="auto"/>
              <w:sz w:val="32"/>
              <w:szCs w:val="32"/>
            </w:rPr>
            <w:fldChar w:fldCharType="begin"/>
          </w:r>
          <w:r>
            <w:rPr>
              <w:rFonts w:hint="eastAsia" w:ascii="新宋体" w:hAnsi="新宋体" w:eastAsia="新宋体" w:cs="新宋体"/>
              <w:b/>
              <w:bCs/>
              <w:color w:val="auto"/>
              <w:sz w:val="32"/>
              <w:szCs w:val="32"/>
            </w:rPr>
            <w:instrText xml:space="preserve"> PAGEREF _Toc17571 \h </w:instrText>
          </w:r>
          <w:r>
            <w:rPr>
              <w:rFonts w:hint="eastAsia" w:ascii="新宋体" w:hAnsi="新宋体" w:eastAsia="新宋体" w:cs="新宋体"/>
              <w:b/>
              <w:bCs/>
              <w:color w:val="auto"/>
              <w:sz w:val="32"/>
              <w:szCs w:val="32"/>
            </w:rPr>
            <w:fldChar w:fldCharType="separate"/>
          </w:r>
          <w:r>
            <w:rPr>
              <w:rFonts w:hint="eastAsia" w:ascii="新宋体" w:hAnsi="新宋体" w:eastAsia="新宋体" w:cs="新宋体"/>
              <w:b/>
              <w:bCs/>
              <w:color w:val="auto"/>
              <w:sz w:val="32"/>
              <w:szCs w:val="32"/>
            </w:rPr>
            <w:t xml:space="preserve">29</w:t>
          </w:r>
          <w:r>
            <w:rPr>
              <w:rFonts w:hint="eastAsia" w:ascii="新宋体" w:hAnsi="新宋体" w:eastAsia="新宋体" w:cs="新宋体"/>
              <w:b/>
              <w:bCs/>
              <w:color w:val="auto"/>
              <w:sz w:val="32"/>
              <w:szCs w:val="32"/>
            </w:rPr>
            <w:fldChar w:fldCharType="end"/>
          </w:r>
          <w:r>
            <w:rPr>
              <w:rFonts w:hint="eastAsia" w:ascii="新宋体" w:hAnsi="新宋体" w:eastAsia="新宋体" w:cs="新宋体"/>
              <w:b/>
              <w:bCs/>
              <w:color w:val="auto"/>
              <w:sz w:val="32"/>
              <w:szCs w:val="32"/>
              <w:highlight w:val="none"/>
              <w:lang w:eastAsia="zh-CN"/>
            </w:rPr>
            <w:fldChar w:fldCharType="end"/>
          </w:r>
          <w:r/>
        </w:p>
        <w:p>
          <w:pPr>
            <w:pStyle w:val="829"/>
            <w:keepLines w:val="0"/>
            <w:keepNext w:val="0"/>
            <w:pageBreakBefore w:val="0"/>
            <w:spacing w:line="480" w:lineRule="auto"/>
            <w:widowControl w:val="off"/>
            <w:tabs>
              <w:tab w:val="right" w:pos="8953" w:leader="dot"/>
            </w:tabs>
            <w:rPr>
              <w:rFonts w:hint="eastAsia" w:ascii="新宋体" w:hAnsi="新宋体" w:eastAsia="新宋体" w:cs="新宋体"/>
              <w:b/>
              <w:bCs/>
              <w:color w:val="auto"/>
              <w:sz w:val="32"/>
              <w:szCs w:val="32"/>
            </w:rPr>
          </w:pPr>
          <w:r>
            <w:rPr>
              <w:rFonts w:hint="eastAsia" w:ascii="新宋体" w:hAnsi="新宋体" w:eastAsia="新宋体" w:cs="新宋体"/>
              <w:b/>
              <w:bCs/>
              <w:color w:val="auto"/>
              <w:sz w:val="32"/>
              <w:szCs w:val="32"/>
              <w:highlight w:val="none"/>
              <w:lang w:eastAsia="zh-CN"/>
            </w:rPr>
            <w:fldChar w:fldCharType="begin"/>
          </w:r>
          <w:r>
            <w:rPr>
              <w:rFonts w:hint="eastAsia" w:ascii="新宋体" w:hAnsi="新宋体" w:eastAsia="新宋体" w:cs="新宋体"/>
              <w:b/>
              <w:bCs/>
              <w:color w:val="auto"/>
              <w:sz w:val="32"/>
              <w:szCs w:val="32"/>
              <w:highlight w:val="none"/>
              <w:lang w:eastAsia="zh-CN"/>
            </w:rPr>
            <w:instrText xml:space="preserve"> HYPERLINK \l _Toc32755 </w:instrText>
          </w:r>
          <w:r>
            <w:rPr>
              <w:rFonts w:hint="eastAsia" w:ascii="新宋体" w:hAnsi="新宋体" w:eastAsia="新宋体" w:cs="新宋体"/>
              <w:b/>
              <w:bCs/>
              <w:color w:val="auto"/>
              <w:sz w:val="32"/>
              <w:szCs w:val="32"/>
              <w:highlight w:val="none"/>
              <w:lang w:eastAsia="zh-CN"/>
            </w:rPr>
            <w:fldChar w:fldCharType="separate"/>
          </w:r>
          <w:r>
            <w:rPr>
              <w:rFonts w:hint="eastAsia" w:ascii="新宋体" w:hAnsi="新宋体" w:eastAsia="新宋体" w:cs="新宋体"/>
              <w:b/>
              <w:bCs/>
              <w:color w:val="auto"/>
              <w:sz w:val="32"/>
              <w:szCs w:val="32"/>
            </w:rPr>
            <w:t xml:space="preserve">第五章 评标方法与评标标准</w:t>
          </w:r>
          <w:r>
            <w:rPr>
              <w:rFonts w:hint="eastAsia" w:ascii="新宋体" w:hAnsi="新宋体" w:eastAsia="新宋体" w:cs="新宋体"/>
              <w:b/>
              <w:bCs/>
              <w:color w:val="auto"/>
              <w:sz w:val="32"/>
              <w:szCs w:val="32"/>
            </w:rPr>
            <w:tab/>
          </w:r>
          <w:r>
            <w:rPr>
              <w:rFonts w:hint="eastAsia" w:ascii="新宋体" w:hAnsi="新宋体" w:eastAsia="新宋体" w:cs="新宋体"/>
              <w:b/>
              <w:bCs/>
              <w:color w:val="auto"/>
              <w:sz w:val="32"/>
              <w:szCs w:val="32"/>
            </w:rPr>
            <w:fldChar w:fldCharType="begin"/>
          </w:r>
          <w:r>
            <w:rPr>
              <w:rFonts w:hint="eastAsia" w:ascii="新宋体" w:hAnsi="新宋体" w:eastAsia="新宋体" w:cs="新宋体"/>
              <w:b/>
              <w:bCs/>
              <w:color w:val="auto"/>
              <w:sz w:val="32"/>
              <w:szCs w:val="32"/>
            </w:rPr>
            <w:instrText xml:space="preserve"> PAGEREF _Toc32755 \h </w:instrText>
          </w:r>
          <w:r>
            <w:rPr>
              <w:rFonts w:hint="eastAsia" w:ascii="新宋体" w:hAnsi="新宋体" w:eastAsia="新宋体" w:cs="新宋体"/>
              <w:b/>
              <w:bCs/>
              <w:color w:val="auto"/>
              <w:sz w:val="32"/>
              <w:szCs w:val="32"/>
            </w:rPr>
            <w:fldChar w:fldCharType="separate"/>
          </w:r>
          <w:r>
            <w:rPr>
              <w:rFonts w:hint="eastAsia" w:ascii="新宋体" w:hAnsi="新宋体" w:eastAsia="新宋体" w:cs="新宋体"/>
              <w:b/>
              <w:bCs/>
              <w:color w:val="auto"/>
              <w:sz w:val="32"/>
              <w:szCs w:val="32"/>
            </w:rPr>
            <w:t xml:space="preserve">48</w:t>
          </w:r>
          <w:r>
            <w:rPr>
              <w:rFonts w:hint="eastAsia" w:ascii="新宋体" w:hAnsi="新宋体" w:eastAsia="新宋体" w:cs="新宋体"/>
              <w:b/>
              <w:bCs/>
              <w:color w:val="auto"/>
              <w:sz w:val="32"/>
              <w:szCs w:val="32"/>
            </w:rPr>
            <w:fldChar w:fldCharType="end"/>
          </w:r>
          <w:r>
            <w:rPr>
              <w:rFonts w:hint="eastAsia" w:ascii="新宋体" w:hAnsi="新宋体" w:eastAsia="新宋体" w:cs="新宋体"/>
              <w:b/>
              <w:bCs/>
              <w:color w:val="auto"/>
              <w:sz w:val="32"/>
              <w:szCs w:val="32"/>
              <w:highlight w:val="none"/>
              <w:lang w:eastAsia="zh-CN"/>
            </w:rPr>
            <w:fldChar w:fldCharType="end"/>
          </w:r>
          <w:r/>
        </w:p>
        <w:p>
          <w:pPr>
            <w:pStyle w:val="829"/>
            <w:keepLines w:val="0"/>
            <w:keepNext w:val="0"/>
            <w:pageBreakBefore w:val="0"/>
            <w:spacing w:line="480" w:lineRule="auto"/>
            <w:widowControl w:val="off"/>
            <w:tabs>
              <w:tab w:val="right" w:pos="8953" w:leader="dot"/>
            </w:tabs>
            <w:rPr>
              <w:rFonts w:hint="eastAsia" w:ascii="新宋体" w:hAnsi="新宋体" w:eastAsia="新宋体" w:cs="新宋体"/>
              <w:b/>
              <w:bCs/>
              <w:color w:val="auto"/>
              <w:sz w:val="32"/>
              <w:szCs w:val="32"/>
            </w:rPr>
          </w:pPr>
          <w:r>
            <w:rPr>
              <w:rFonts w:hint="eastAsia" w:ascii="新宋体" w:hAnsi="新宋体" w:eastAsia="新宋体" w:cs="新宋体"/>
              <w:b/>
              <w:bCs/>
              <w:color w:val="auto"/>
              <w:sz w:val="32"/>
              <w:szCs w:val="32"/>
              <w:highlight w:val="none"/>
              <w:lang w:eastAsia="zh-CN"/>
            </w:rPr>
            <w:fldChar w:fldCharType="begin"/>
          </w:r>
          <w:r>
            <w:rPr>
              <w:rFonts w:hint="eastAsia" w:ascii="新宋体" w:hAnsi="新宋体" w:eastAsia="新宋体" w:cs="新宋体"/>
              <w:b/>
              <w:bCs/>
              <w:color w:val="auto"/>
              <w:sz w:val="32"/>
              <w:szCs w:val="32"/>
              <w:highlight w:val="none"/>
              <w:lang w:eastAsia="zh-CN"/>
            </w:rPr>
            <w:instrText xml:space="preserve"> HYPERLINK \l _Toc14849 </w:instrText>
          </w:r>
          <w:r>
            <w:rPr>
              <w:rFonts w:hint="eastAsia" w:ascii="新宋体" w:hAnsi="新宋体" w:eastAsia="新宋体" w:cs="新宋体"/>
              <w:b/>
              <w:bCs/>
              <w:color w:val="auto"/>
              <w:sz w:val="32"/>
              <w:szCs w:val="32"/>
              <w:highlight w:val="none"/>
              <w:lang w:eastAsia="zh-CN"/>
            </w:rPr>
            <w:fldChar w:fldCharType="separate"/>
          </w:r>
          <w:r>
            <w:rPr>
              <w:rFonts w:hint="eastAsia" w:ascii="新宋体" w:hAnsi="新宋体" w:eastAsia="新宋体" w:cs="新宋体"/>
              <w:b/>
              <w:bCs/>
              <w:color w:val="auto"/>
              <w:sz w:val="32"/>
              <w:szCs w:val="32"/>
            </w:rPr>
            <w:t xml:space="preserve">第六章 投标文件格式</w:t>
          </w:r>
          <w:r>
            <w:rPr>
              <w:rFonts w:hint="eastAsia" w:ascii="新宋体" w:hAnsi="新宋体" w:eastAsia="新宋体" w:cs="新宋体"/>
              <w:b/>
              <w:bCs/>
              <w:color w:val="auto"/>
              <w:sz w:val="32"/>
              <w:szCs w:val="32"/>
            </w:rPr>
            <w:tab/>
          </w:r>
          <w:r>
            <w:rPr>
              <w:rFonts w:hint="eastAsia" w:ascii="新宋体" w:hAnsi="新宋体" w:eastAsia="新宋体" w:cs="新宋体"/>
              <w:b/>
              <w:bCs/>
              <w:color w:val="auto"/>
              <w:sz w:val="32"/>
              <w:szCs w:val="32"/>
            </w:rPr>
            <w:fldChar w:fldCharType="begin"/>
          </w:r>
          <w:r>
            <w:rPr>
              <w:rFonts w:hint="eastAsia" w:ascii="新宋体" w:hAnsi="新宋体" w:eastAsia="新宋体" w:cs="新宋体"/>
              <w:b/>
              <w:bCs/>
              <w:color w:val="auto"/>
              <w:sz w:val="32"/>
              <w:szCs w:val="32"/>
            </w:rPr>
            <w:instrText xml:space="preserve"> PAGEREF _Toc14849 \h </w:instrText>
          </w:r>
          <w:r>
            <w:rPr>
              <w:rFonts w:hint="eastAsia" w:ascii="新宋体" w:hAnsi="新宋体" w:eastAsia="新宋体" w:cs="新宋体"/>
              <w:b/>
              <w:bCs/>
              <w:color w:val="auto"/>
              <w:sz w:val="32"/>
              <w:szCs w:val="32"/>
            </w:rPr>
            <w:fldChar w:fldCharType="separate"/>
          </w:r>
          <w:r>
            <w:rPr>
              <w:rFonts w:hint="eastAsia" w:ascii="新宋体" w:hAnsi="新宋体" w:eastAsia="新宋体" w:cs="新宋体"/>
              <w:b/>
              <w:bCs/>
              <w:color w:val="auto"/>
              <w:sz w:val="32"/>
              <w:szCs w:val="32"/>
            </w:rPr>
            <w:t xml:space="preserve">52</w:t>
          </w:r>
          <w:r>
            <w:rPr>
              <w:rFonts w:hint="eastAsia" w:ascii="新宋体" w:hAnsi="新宋体" w:eastAsia="新宋体" w:cs="新宋体"/>
              <w:b/>
              <w:bCs/>
              <w:color w:val="auto"/>
              <w:sz w:val="32"/>
              <w:szCs w:val="32"/>
            </w:rPr>
            <w:fldChar w:fldCharType="end"/>
          </w:r>
          <w:r>
            <w:rPr>
              <w:rFonts w:hint="eastAsia" w:ascii="新宋体" w:hAnsi="新宋体" w:eastAsia="新宋体" w:cs="新宋体"/>
              <w:b/>
              <w:bCs/>
              <w:color w:val="auto"/>
              <w:sz w:val="32"/>
              <w:szCs w:val="32"/>
              <w:highlight w:val="none"/>
              <w:lang w:eastAsia="zh-CN"/>
            </w:rPr>
            <w:fldChar w:fldCharType="end"/>
          </w:r>
          <w:r/>
        </w:p>
        <w:p>
          <w:pPr>
            <w:jc w:val="left"/>
            <w:tabs>
              <w:tab w:val="left" w:pos="8121" w:leader="none"/>
            </w:tabs>
            <w:rPr>
              <w:rFonts w:hint="eastAsia" w:ascii="Times New Roman" w:hAnsi="Times New Roman" w:eastAsia="宋体" w:cs="Times New Roman"/>
              <w:color w:val="auto"/>
              <w:sz w:val="21"/>
              <w:szCs w:val="21"/>
              <w:highlight w:val="none"/>
              <w:lang w:val="en-US" w:eastAsia="zh-CN" w:bidi="ar-SA"/>
            </w:rPr>
            <w:outlineLvl w:val="9"/>
          </w:pPr>
          <w:r>
            <w:rPr>
              <w:rFonts w:hint="eastAsia" w:eastAsia="宋体"/>
              <w:color w:val="auto"/>
              <w:highlight w:val="none"/>
              <w:lang w:eastAsia="zh-CN"/>
            </w:rPr>
            <w:fldChar w:fldCharType="end"/>
          </w:r>
          <w:r/>
        </w:p>
      </w:sdtContent>
    </w:sdt>
    <w:p>
      <w:pPr>
        <w:jc w:val="left"/>
        <w:tabs>
          <w:tab w:val="left" w:pos="8121" w:leader="none"/>
        </w:tabs>
        <w:rPr>
          <w:rFonts w:hint="eastAsia" w:ascii="Times New Roman" w:hAnsi="Times New Roman" w:eastAsia="宋体" w:cs="Times New Roman"/>
          <w:color w:val="auto"/>
          <w:sz w:val="21"/>
          <w:szCs w:val="21"/>
          <w:highlight w:val="none"/>
          <w:lang w:val="en-US" w:eastAsia="zh-CN" w:bidi="ar-SA"/>
        </w:rPr>
        <w:sectPr>
          <w:footerReference w:type="default" r:id="rId11"/>
          <w:footerReference w:type="first" r:id="rId12"/>
          <w:footnotePr/>
          <w:endnotePr/>
          <w:type w:val="nextPage"/>
          <w:pgSz w:w="11906" w:h="16838" w:orient="portrait"/>
          <w:pgMar w:top="1418" w:right="1588" w:bottom="1418" w:left="1365" w:header="851" w:footer="907" w:gutter="0"/>
          <w:pgNumType w:start="5"/>
          <w:cols w:num="1" w:sep="0" w:space="425" w:equalWidth="1"/>
          <w:docGrid w:linePitch="360"/>
          <w:titlePg/>
        </w:sectPr>
        <w:outlineLvl w:val="9"/>
      </w:pPr>
      <w:r>
        <w:rPr>
          <w:rFonts w:hint="eastAsia" w:ascii="Times New Roman" w:hAnsi="Times New Roman" w:eastAsia="宋体" w:cs="Times New Roman"/>
          <w:color w:val="auto"/>
          <w:sz w:val="21"/>
          <w:szCs w:val="21"/>
          <w:highlight w:val="none"/>
          <w:lang w:val="en-US" w:eastAsia="zh-CN" w:bidi="ar-SA"/>
        </w:rPr>
      </w:r>
      <w:r/>
    </w:p>
    <w:p>
      <w:pPr>
        <w:rPr>
          <w:color w:val="auto"/>
          <w:highlight w:val="none"/>
        </w:rPr>
        <w:outlineLvl w:val="9"/>
      </w:pPr>
      <w:r>
        <w:rPr>
          <w:color w:val="auto"/>
          <w:highlight w:val="none"/>
        </w:rPr>
      </w:r>
      <w:r/>
    </w:p>
    <w:p>
      <w:pPr>
        <w:pStyle w:val="785"/>
        <w:rPr>
          <w:color w:val="auto"/>
          <w:highlight w:val="none"/>
        </w:rPr>
      </w:pPr>
      <w:r/>
      <w:bookmarkStart w:id="1" w:name="_Toc32004"/>
      <w:r/>
      <w:bookmarkStart w:id="2" w:name="_Toc1286"/>
      <w:r>
        <w:rPr>
          <w:rFonts w:hint="eastAsia"/>
          <w:color w:val="auto"/>
          <w:highlight w:val="none"/>
        </w:rPr>
        <w:t xml:space="preserve">第一章 </w:t>
      </w:r>
      <w:r>
        <w:rPr>
          <w:rFonts w:hint="eastAsia"/>
          <w:color w:val="auto"/>
          <w:highlight w:val="none"/>
          <w:lang w:val="en-US" w:eastAsia="zh-CN"/>
        </w:rPr>
        <w:t xml:space="preserve">招标</w:t>
      </w:r>
      <w:r>
        <w:rPr>
          <w:rFonts w:hint="eastAsia"/>
          <w:color w:val="auto"/>
          <w:highlight w:val="none"/>
        </w:rPr>
        <w:t xml:space="preserve">公告</w:t>
      </w:r>
      <w:bookmarkEnd w:id="1"/>
      <w:r/>
      <w:bookmarkEnd w:id="2"/>
      <w:r/>
      <w:r/>
    </w:p>
    <w:p>
      <w:pPr>
        <w:ind w:left="239" w:firstLine="170"/>
        <w:jc w:val="left"/>
        <w:spacing w:line="360" w:lineRule="auto"/>
        <w:rPr>
          <w:rFonts w:hint="eastAsia" w:asciiTheme="majorEastAsia" w:hAnsiTheme="majorEastAsia" w:eastAsiaTheme="majorEastAsia" w:cstheme="majorEastAsia"/>
          <w:color w:val="auto"/>
          <w:sz w:val="24"/>
          <w:szCs w:val="24"/>
          <w:highlight w:val="none"/>
          <w:u w:val="single"/>
          <w:lang w:eastAsia="zh-CN"/>
        </w:rPr>
        <w:pBdr>
          <w:top w:val="single" w:color="auto" w:sz="4" w:space="1"/>
          <w:left w:val="single" w:color="auto" w:sz="4" w:space="4"/>
          <w:bottom w:val="single" w:color="auto" w:sz="4" w:space="1"/>
          <w:right w:val="single" w:color="auto" w:sz="4" w:space="4"/>
        </w:pBdr>
        <w:outlineLvl w:val="9"/>
      </w:pPr>
      <w:r/>
      <w:bookmarkStart w:id="3" w:name="_Toc35393621"/>
      <w:r/>
      <w:bookmarkStart w:id="4" w:name="_Toc28359079"/>
      <w:r/>
      <w:bookmarkStart w:id="5" w:name="_Toc28359002"/>
      <w:r/>
      <w:bookmarkStart w:id="6" w:name="_Toc35393790"/>
      <w:r/>
      <w:bookmarkStart w:id="7" w:name="_Hlk24379207"/>
      <w:r/>
      <w:r/>
    </w:p>
    <w:p>
      <w:pPr>
        <w:ind w:left="239" w:firstLine="170"/>
        <w:jc w:val="left"/>
        <w:spacing w:line="360" w:lineRule="auto"/>
        <w:rPr>
          <w:rFonts w:hint="eastAsia" w:asciiTheme="majorEastAsia" w:hAnsiTheme="majorEastAsia" w:eastAsiaTheme="majorEastAsia" w:cstheme="majorEastAsia"/>
          <w:color w:val="auto"/>
          <w:sz w:val="24"/>
          <w:szCs w:val="24"/>
          <w:highlight w:val="none"/>
          <w:u w:val="none"/>
          <w:lang w:eastAsia="zh-CN"/>
        </w:rPr>
        <w:pBdr>
          <w:top w:val="single" w:color="auto" w:sz="4" w:space="1"/>
          <w:left w:val="single" w:color="auto" w:sz="4" w:space="4"/>
          <w:bottom w:val="single" w:color="auto" w:sz="4" w:space="1"/>
          <w:right w:val="single" w:color="auto" w:sz="4" w:space="4"/>
        </w:pBdr>
        <w:outlineLvl w:val="9"/>
      </w:pPr>
      <w:r>
        <w:rPr>
          <w:rFonts w:hint="eastAsia" w:asciiTheme="majorEastAsia" w:hAnsiTheme="majorEastAsia" w:eastAsiaTheme="majorEastAsia" w:cstheme="majorEastAsia"/>
          <w:color w:val="auto"/>
          <w:sz w:val="24"/>
          <w:szCs w:val="24"/>
          <w:highlight w:val="none"/>
          <w:u w:val="none"/>
          <w:lang w:eastAsia="zh-CN"/>
        </w:rPr>
        <w:t xml:space="preserve">项目概况</w:t>
      </w:r>
      <w:r/>
    </w:p>
    <w:p>
      <w:pPr>
        <w:ind w:left="239" w:firstLine="170"/>
        <w:jc w:val="left"/>
        <w:spacing w:line="360" w:lineRule="auto"/>
        <w:rPr>
          <w:rFonts w:hint="eastAsia" w:asciiTheme="majorEastAsia" w:hAnsiTheme="majorEastAsia" w:eastAsiaTheme="majorEastAsia" w:cstheme="majorEastAsia"/>
          <w:color w:val="auto"/>
          <w:sz w:val="24"/>
          <w:szCs w:val="24"/>
          <w:highlight w:val="none"/>
          <w:u w:val="single"/>
          <w:lang w:eastAsia="zh-CN"/>
        </w:rPr>
        <w:pBdr>
          <w:top w:val="single" w:color="auto" w:sz="4" w:space="1"/>
          <w:left w:val="single" w:color="auto" w:sz="4" w:space="4"/>
          <w:bottom w:val="single" w:color="auto" w:sz="4" w:space="1"/>
          <w:right w:val="single" w:color="auto" w:sz="4" w:space="4"/>
        </w:pBdr>
        <w:outlineLvl w:val="9"/>
      </w:pPr>
      <w:r>
        <w:rPr>
          <w:rFonts w:hint="eastAsia" w:asciiTheme="majorEastAsia" w:hAnsiTheme="majorEastAsia" w:eastAsiaTheme="majorEastAsia" w:cstheme="majorEastAsia"/>
          <w:color w:val="auto"/>
          <w:sz w:val="24"/>
          <w:szCs w:val="24"/>
          <w:highlight w:val="none"/>
          <w:u w:val="single"/>
          <w:lang w:eastAsia="zh-CN"/>
        </w:rPr>
        <w:t xml:space="preserve">盐城市第一人民医院建筑消防设施维保及维修项目JSZC-320900-RHHH-</w:t>
      </w:r>
      <w:r>
        <w:rPr>
          <w:rFonts w:hint="eastAsia" w:asciiTheme="majorEastAsia" w:hAnsiTheme="majorEastAsia" w:eastAsiaTheme="majorEastAsia" w:cstheme="majorEastAsia"/>
          <w:color w:val="auto"/>
          <w:sz w:val="24"/>
          <w:szCs w:val="24"/>
          <w:highlight w:val="none"/>
          <w:u w:val="single"/>
          <w:lang w:val="en-US" w:eastAsia="zh-CN"/>
        </w:rPr>
        <w:t xml:space="preserve">G</w:t>
      </w:r>
      <w:r>
        <w:rPr>
          <w:rFonts w:hint="eastAsia" w:asciiTheme="majorEastAsia" w:hAnsiTheme="majorEastAsia" w:eastAsiaTheme="majorEastAsia" w:cstheme="majorEastAsia"/>
          <w:color w:val="auto"/>
          <w:sz w:val="24"/>
          <w:szCs w:val="24"/>
          <w:highlight w:val="none"/>
          <w:u w:val="single"/>
          <w:lang w:eastAsia="zh-CN"/>
        </w:rPr>
        <w:t xml:space="preserve">202</w:t>
      </w:r>
      <w:r>
        <w:rPr>
          <w:rFonts w:hint="eastAsia" w:asciiTheme="majorEastAsia" w:hAnsiTheme="majorEastAsia" w:eastAsiaTheme="majorEastAsia" w:cstheme="majorEastAsia"/>
          <w:color w:val="auto"/>
          <w:sz w:val="24"/>
          <w:szCs w:val="24"/>
          <w:highlight w:val="none"/>
          <w:u w:val="single"/>
          <w:lang w:val="en-US" w:eastAsia="zh-CN"/>
        </w:rPr>
        <w:t xml:space="preserve">6</w:t>
      </w:r>
      <w:r>
        <w:rPr>
          <w:rFonts w:hint="eastAsia" w:asciiTheme="majorEastAsia" w:hAnsiTheme="majorEastAsia" w:eastAsiaTheme="majorEastAsia" w:cstheme="majorEastAsia"/>
          <w:color w:val="auto"/>
          <w:sz w:val="24"/>
          <w:szCs w:val="24"/>
          <w:highlight w:val="none"/>
          <w:u w:val="single"/>
          <w:lang w:eastAsia="zh-CN"/>
        </w:rPr>
        <w:t xml:space="preserve">-</w:t>
      </w:r>
      <w:r>
        <w:rPr>
          <w:rFonts w:hint="eastAsia" w:asciiTheme="majorEastAsia" w:hAnsiTheme="majorEastAsia" w:eastAsiaTheme="majorEastAsia" w:cstheme="majorEastAsia"/>
          <w:color w:val="auto"/>
          <w:sz w:val="24"/>
          <w:szCs w:val="24"/>
          <w:highlight w:val="none"/>
          <w:u w:val="single"/>
          <w:lang w:val="en-US" w:eastAsia="zh-CN"/>
        </w:rPr>
        <w:t xml:space="preserve">0030招标项目</w:t>
      </w:r>
      <w:r>
        <w:rPr>
          <w:rFonts w:hint="eastAsia" w:asciiTheme="majorEastAsia" w:hAnsiTheme="majorEastAsia" w:eastAsiaTheme="majorEastAsia" w:cstheme="majorEastAsia"/>
          <w:color w:val="auto"/>
          <w:sz w:val="24"/>
          <w:szCs w:val="24"/>
          <w:highlight w:val="none"/>
          <w:u w:val="single"/>
          <w:lang w:eastAsia="zh-CN"/>
        </w:rPr>
        <w:t xml:space="preserve">的</w:t>
      </w:r>
      <w:r>
        <w:rPr>
          <w:rFonts w:hint="eastAsia" w:asciiTheme="majorEastAsia" w:hAnsiTheme="majorEastAsia" w:eastAsiaTheme="majorEastAsia" w:cstheme="majorEastAsia"/>
          <w:color w:val="auto"/>
          <w:sz w:val="24"/>
          <w:szCs w:val="24"/>
          <w:highlight w:val="none"/>
          <w:u w:val="single"/>
          <w:lang w:val="en-US" w:eastAsia="zh-CN"/>
        </w:rPr>
        <w:t xml:space="preserve">潜</w:t>
      </w:r>
      <w:r>
        <w:rPr>
          <w:rFonts w:hint="eastAsia" w:asciiTheme="majorEastAsia" w:hAnsiTheme="majorEastAsia" w:eastAsiaTheme="majorEastAsia" w:cstheme="majorEastAsia"/>
          <w:color w:val="auto"/>
          <w:sz w:val="24"/>
          <w:szCs w:val="24"/>
          <w:highlight w:val="none"/>
          <w:u w:val="single"/>
          <w:lang w:eastAsia="zh-CN"/>
        </w:rPr>
        <w:t xml:space="preserve">在投标人应在“苏采云”系统内免费下载（投标人必须在苏采云系统中获取采购文件，方能参与政府采购项目），并于</w:t>
      </w:r>
      <w:r>
        <w:rPr>
          <w:rFonts w:hint="eastAsia" w:asciiTheme="majorEastAsia" w:hAnsiTheme="majorEastAsia" w:eastAsiaTheme="majorEastAsia" w:cstheme="majorEastAsia"/>
          <w:color w:val="auto"/>
          <w:sz w:val="24"/>
          <w:szCs w:val="24"/>
          <w:highlight w:val="none"/>
          <w:u w:val="single"/>
          <w:lang w:val="en-US" w:eastAsia="zh-CN"/>
        </w:rPr>
        <w:t xml:space="preserve">2026</w:t>
      </w:r>
      <w:r>
        <w:rPr>
          <w:rFonts w:hint="eastAsia" w:asciiTheme="majorEastAsia" w:hAnsiTheme="majorEastAsia" w:eastAsiaTheme="majorEastAsia" w:cstheme="majorEastAsia"/>
          <w:color w:val="auto"/>
          <w:sz w:val="24"/>
          <w:szCs w:val="24"/>
          <w:highlight w:val="none"/>
          <w:u w:val="single"/>
          <w:lang w:eastAsia="zh-CN"/>
        </w:rPr>
        <w:t xml:space="preserve">年</w:t>
      </w:r>
      <w:r>
        <w:rPr>
          <w:rFonts w:hint="eastAsia" w:asciiTheme="majorEastAsia" w:hAnsiTheme="majorEastAsia" w:eastAsiaTheme="majorEastAsia" w:cstheme="majorEastAsia"/>
          <w:color w:val="auto"/>
          <w:sz w:val="24"/>
          <w:szCs w:val="24"/>
          <w:highlight w:val="none"/>
          <w:u w:val="single"/>
          <w:lang w:val="en-US" w:eastAsia="zh-CN"/>
        </w:rPr>
        <w:t xml:space="preserve">6</w:t>
      </w:r>
      <w:r>
        <w:rPr>
          <w:rFonts w:hint="eastAsia" w:asciiTheme="majorEastAsia" w:hAnsiTheme="majorEastAsia" w:eastAsiaTheme="majorEastAsia" w:cstheme="majorEastAsia"/>
          <w:color w:val="auto"/>
          <w:sz w:val="24"/>
          <w:szCs w:val="24"/>
          <w:highlight w:val="none"/>
          <w:u w:val="single"/>
          <w:lang w:eastAsia="zh-CN"/>
        </w:rPr>
        <w:t xml:space="preserve">月</w:t>
      </w:r>
      <w:r>
        <w:rPr>
          <w:rFonts w:hint="eastAsia" w:asciiTheme="majorEastAsia" w:hAnsiTheme="majorEastAsia" w:eastAsiaTheme="majorEastAsia" w:cstheme="majorEastAsia"/>
          <w:color w:val="auto"/>
          <w:sz w:val="24"/>
          <w:szCs w:val="24"/>
          <w:highlight w:val="none"/>
          <w:u w:val="single"/>
          <w:lang w:val="en-US" w:eastAsia="zh-CN"/>
        </w:rPr>
        <w:t xml:space="preserve">11</w:t>
      </w:r>
      <w:r>
        <w:rPr>
          <w:rFonts w:hint="eastAsia" w:asciiTheme="majorEastAsia" w:hAnsiTheme="majorEastAsia" w:eastAsiaTheme="majorEastAsia" w:cstheme="majorEastAsia"/>
          <w:color w:val="auto"/>
          <w:sz w:val="24"/>
          <w:szCs w:val="24"/>
          <w:highlight w:val="none"/>
          <w:u w:val="single"/>
          <w:lang w:eastAsia="zh-CN"/>
        </w:rPr>
        <w:t xml:space="preserve">日</w:t>
      </w:r>
      <w:r>
        <w:rPr>
          <w:rFonts w:hint="eastAsia" w:asciiTheme="majorEastAsia" w:hAnsiTheme="majorEastAsia" w:eastAsiaTheme="majorEastAsia" w:cstheme="majorEastAsia"/>
          <w:color w:val="auto"/>
          <w:sz w:val="24"/>
          <w:szCs w:val="24"/>
          <w:highlight w:val="none"/>
          <w:u w:val="single"/>
          <w:lang w:val="en-US" w:eastAsia="zh-CN"/>
        </w:rPr>
        <w:t xml:space="preserve">15</w:t>
      </w:r>
      <w:r>
        <w:rPr>
          <w:rFonts w:hint="eastAsia" w:asciiTheme="majorEastAsia" w:hAnsiTheme="majorEastAsia" w:eastAsiaTheme="majorEastAsia" w:cstheme="majorEastAsia"/>
          <w:color w:val="auto"/>
          <w:sz w:val="24"/>
          <w:szCs w:val="24"/>
          <w:highlight w:val="none"/>
          <w:u w:val="single"/>
          <w:lang w:eastAsia="zh-CN"/>
        </w:rPr>
        <w:t xml:space="preserve">点</w:t>
      </w:r>
      <w:r>
        <w:rPr>
          <w:rFonts w:hint="eastAsia" w:asciiTheme="majorEastAsia" w:hAnsiTheme="majorEastAsia" w:eastAsiaTheme="majorEastAsia" w:cstheme="majorEastAsia"/>
          <w:color w:val="auto"/>
          <w:sz w:val="24"/>
          <w:szCs w:val="24"/>
          <w:highlight w:val="none"/>
          <w:u w:val="single"/>
          <w:lang w:val="en-US" w:eastAsia="zh-CN"/>
        </w:rPr>
        <w:t xml:space="preserve">00</w:t>
      </w:r>
      <w:r>
        <w:rPr>
          <w:rFonts w:hint="eastAsia" w:asciiTheme="majorEastAsia" w:hAnsiTheme="majorEastAsia" w:eastAsiaTheme="majorEastAsia" w:cstheme="majorEastAsia"/>
          <w:color w:val="auto"/>
          <w:sz w:val="24"/>
          <w:szCs w:val="24"/>
          <w:highlight w:val="none"/>
          <w:u w:val="single"/>
          <w:lang w:eastAsia="zh-CN"/>
        </w:rPr>
        <w:t xml:space="preserve">分（北京时间）前递交投标文件。</w:t>
      </w:r>
      <w:r/>
    </w:p>
    <w:p>
      <w:pPr>
        <w:ind w:firstLine="482"/>
        <w:pageBreakBefore w:val="0"/>
        <w:spacing w:line="500" w:lineRule="exact"/>
        <w:rPr>
          <w:rFonts w:asciiTheme="majorEastAsia" w:hAnsiTheme="majorEastAsia" w:eastAsiaTheme="majorEastAsia" w:cstheme="majorEastAsia"/>
          <w:b/>
          <w:bCs/>
          <w:color w:val="auto"/>
          <w:sz w:val="24"/>
          <w:szCs w:val="24"/>
          <w:highlight w:val="none"/>
        </w:rPr>
        <w:outlineLvl w:val="9"/>
      </w:pPr>
      <w:r>
        <w:rPr>
          <w:rFonts w:hint="eastAsia" w:asciiTheme="majorEastAsia" w:hAnsiTheme="majorEastAsia" w:eastAsiaTheme="majorEastAsia" w:cstheme="majorEastAsia"/>
          <w:b/>
          <w:bCs/>
          <w:color w:val="auto"/>
          <w:sz w:val="24"/>
          <w:szCs w:val="24"/>
          <w:highlight w:val="none"/>
        </w:rPr>
        <w:t xml:space="preserve">一、项目基本情况</w:t>
      </w:r>
      <w:bookmarkEnd w:id="3"/>
      <w:r/>
      <w:bookmarkEnd w:id="4"/>
      <w:r/>
      <w:bookmarkEnd w:id="5"/>
      <w:r/>
      <w:bookmarkEnd w:id="6"/>
      <w:r/>
      <w:r/>
    </w:p>
    <w:p>
      <w:pPr>
        <w:ind w:firstLine="480"/>
        <w:keepLines w:val="0"/>
        <w:keepNext w:val="0"/>
        <w:pageBreakBefore w:val="0"/>
        <w:spacing w:line="520" w:lineRule="exact"/>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1.项目编号：JSZC-320900-RHHH-</w:t>
      </w:r>
      <w:r>
        <w:rPr>
          <w:rFonts w:hint="eastAsia" w:ascii="宋体" w:hAnsi="宋体" w:eastAsia="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0030</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2.项目名称：</w:t>
      </w:r>
      <w:bookmarkEnd w:id="7"/>
      <w:r>
        <w:rPr>
          <w:rFonts w:hint="eastAsia" w:ascii="宋体" w:hAnsi="宋体" w:eastAsia="宋体" w:cs="宋体"/>
          <w:color w:val="auto"/>
          <w:sz w:val="24"/>
          <w:szCs w:val="24"/>
          <w:highlight w:val="none"/>
          <w:lang w:eastAsia="zh-CN"/>
        </w:rPr>
        <w:t xml:space="preserve">盐城市第一人民医院建筑消防设施维保及维修项目</w:t>
      </w:r>
      <w:r/>
    </w:p>
    <w:p>
      <w:pPr>
        <w:pStyle w:val="841"/>
        <w:ind w:firstLine="480"/>
        <w:jc w:val="both"/>
        <w:keepLines w:val="0"/>
        <w:keepNext w:val="0"/>
        <w:pageBreakBefore w:val="0"/>
        <w:spacing w:before="0" w:beforeAutospacing="0" w:after="0" w:afterAutospacing="0" w:line="52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ind w:left="0" w:right="0" w:firstLine="480"/>
        <w:jc w:val="both"/>
        <w:keepLines w:val="0"/>
        <w:keepNext w:val="0"/>
        <w:pageBreakBefore w:val="0"/>
        <w:spacing w:before="0" w:after="0" w:line="52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260</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rPr>
        <w:t xml:space="preserve">。</w:t>
      </w:r>
      <w:r/>
    </w:p>
    <w:p>
      <w:pPr>
        <w:ind w:firstLine="480"/>
        <w:keepLines w:val="0"/>
        <w:keepNext w:val="0"/>
        <w:pageBreakBefore w:val="0"/>
        <w:spacing w:line="520" w:lineRule="exact"/>
        <w:rPr>
          <w:rFonts w:hint="eastAsia" w:ascii="宋体" w:hAnsi="宋体" w:eastAsia="宋体" w:cs="宋体"/>
          <w:color w:val="auto"/>
          <w:sz w:val="24"/>
          <w:szCs w:val="24"/>
          <w:highlight w:val="none"/>
          <w:u w:val="none"/>
          <w:lang w:val="en-US" w:eastAsia="zh-CN"/>
        </w:rPr>
        <w:outlineLvl w:val="9"/>
      </w:pP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.最高限价：</w:t>
      </w:r>
      <w:r>
        <w:rPr>
          <w:rFonts w:hint="eastAsia" w:ascii="宋体" w:hAnsi="宋体" w:cs="宋体"/>
          <w:color w:val="auto"/>
          <w:sz w:val="24"/>
          <w:szCs w:val="24"/>
          <w:highlight w:val="none"/>
          <w:lang w:val="en-US" w:eastAsia="zh-CN"/>
        </w:rPr>
        <w:t xml:space="preserve">260</w:t>
      </w:r>
      <w:r>
        <w:rPr>
          <w:rFonts w:hint="eastAsia" w:ascii="宋体" w:hAnsi="宋体" w:eastAsia="宋体" w:cs="宋体"/>
          <w:color w:val="auto"/>
          <w:sz w:val="24"/>
          <w:szCs w:val="24"/>
          <w:highlight w:val="none"/>
          <w:u w:val="none"/>
          <w:lang w:eastAsia="zh-CN"/>
        </w:rPr>
        <w:t xml:space="preserve">万元</w:t>
      </w:r>
      <w:r>
        <w:rPr>
          <w:rFonts w:hint="eastAsia" w:ascii="宋体" w:hAnsi="宋体" w:cs="宋体"/>
          <w:color w:val="auto"/>
          <w:sz w:val="24"/>
          <w:szCs w:val="24"/>
          <w:highlight w:val="none"/>
          <w:u w:val="none"/>
          <w:lang w:eastAsia="zh-CN"/>
        </w:rPr>
        <w:t xml:space="preserve">，其中建筑消防设施维保费</w:t>
      </w:r>
      <w:r>
        <w:rPr>
          <w:rFonts w:hint="eastAsia" w:ascii="宋体" w:hAnsi="宋体" w:eastAsia="宋体" w:cs="宋体"/>
          <w:color w:val="auto"/>
          <w:sz w:val="24"/>
          <w:szCs w:val="24"/>
          <w:highlight w:val="none"/>
          <w:u w:val="none"/>
          <w:lang w:eastAsia="zh-CN"/>
        </w:rPr>
        <w:t xml:space="preserve">最高限价</w:t>
      </w:r>
      <w:r>
        <w:rPr>
          <w:rFonts w:hint="eastAsia" w:ascii="宋体" w:hAnsi="宋体" w:cs="宋体"/>
          <w:color w:val="auto"/>
          <w:sz w:val="24"/>
          <w:szCs w:val="24"/>
          <w:highlight w:val="none"/>
          <w:u w:val="none"/>
          <w:lang w:val="en-US" w:eastAsia="zh-CN"/>
        </w:rPr>
        <w:t xml:space="preserve">180万元，</w:t>
      </w:r>
      <w:r>
        <w:rPr>
          <w:rFonts w:hint="eastAsia" w:ascii="宋体" w:hAnsi="宋体" w:eastAsia="宋体" w:cs="宋体"/>
          <w:color w:val="auto"/>
          <w:sz w:val="24"/>
          <w:szCs w:val="24"/>
          <w:highlight w:val="none"/>
          <w:lang w:eastAsia="zh-CN"/>
        </w:rPr>
        <w:t xml:space="preserve">建筑消防设施维修</w:t>
      </w:r>
      <w:r>
        <w:rPr>
          <w:rFonts w:hint="eastAsia" w:ascii="宋体" w:hAnsi="宋体" w:cs="宋体"/>
          <w:color w:val="auto"/>
          <w:sz w:val="24"/>
          <w:szCs w:val="24"/>
          <w:highlight w:val="none"/>
          <w:u w:val="none"/>
          <w:lang w:eastAsia="zh-CN"/>
        </w:rPr>
        <w:t xml:space="preserve">费</w:t>
      </w:r>
      <w:r>
        <w:rPr>
          <w:rFonts w:hint="eastAsia" w:ascii="宋体" w:hAnsi="宋体" w:eastAsia="宋体" w:cs="宋体"/>
          <w:color w:val="auto"/>
          <w:sz w:val="24"/>
          <w:szCs w:val="24"/>
          <w:highlight w:val="none"/>
          <w:u w:val="none"/>
          <w:lang w:eastAsia="zh-CN"/>
        </w:rPr>
        <w:t xml:space="preserve">最高限价</w:t>
      </w:r>
      <w:r>
        <w:rPr>
          <w:rFonts w:hint="eastAsia" w:ascii="宋体" w:hAnsi="宋体" w:cs="宋体"/>
          <w:color w:val="auto"/>
          <w:sz w:val="24"/>
          <w:szCs w:val="24"/>
          <w:highlight w:val="none"/>
          <w:u w:val="none"/>
          <w:lang w:val="en-US" w:eastAsia="zh-CN"/>
        </w:rPr>
        <w:t xml:space="preserve">80万元。</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.采购需求：盐城市第一人民医院建筑消防设施维保及维修项目，详细内容见本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val="en-US" w:eastAsia="zh-CN"/>
        </w:rPr>
        <w:t xml:space="preserve">项目需求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20" w:lineRule="exact"/>
        <w:tabs>
          <w:tab w:val="right" w:pos="8473"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8.本项目不接受联合体参与招标。</w:t>
      </w:r>
      <w:r/>
    </w:p>
    <w:p>
      <w:pPr>
        <w:ind w:firstLine="482"/>
        <w:pageBreakBefore w:val="0"/>
        <w:spacing w:line="500" w:lineRule="exact"/>
        <w:rPr>
          <w:rFonts w:asciiTheme="majorEastAsia" w:hAnsiTheme="majorEastAsia" w:eastAsiaTheme="majorEastAsia" w:cstheme="majorEastAsia"/>
          <w:b/>
          <w:bCs/>
          <w:color w:val="auto"/>
          <w:sz w:val="24"/>
          <w:szCs w:val="24"/>
          <w:highlight w:val="none"/>
        </w:rPr>
        <w:outlineLvl w:val="9"/>
      </w:pPr>
      <w:r/>
      <w:bookmarkStart w:id="8" w:name="_Toc35393791"/>
      <w:r/>
      <w:bookmarkStart w:id="9" w:name="_Toc28359080"/>
      <w:r/>
      <w:bookmarkStart w:id="10" w:name="_Toc35393622"/>
      <w:r/>
      <w:bookmarkStart w:id="11" w:name="_Toc28359003"/>
      <w:r>
        <w:rPr>
          <w:rFonts w:hint="eastAsia" w:asciiTheme="majorEastAsia" w:hAnsiTheme="majorEastAsia" w:eastAsiaTheme="majorEastAsia" w:cstheme="majorEastAsia"/>
          <w:b/>
          <w:bCs/>
          <w:color w:val="auto"/>
          <w:sz w:val="24"/>
          <w:szCs w:val="24"/>
          <w:highlight w:val="none"/>
        </w:rPr>
        <w:t xml:space="preserve">二、申请人的资格要求：</w:t>
      </w:r>
      <w:bookmarkEnd w:id="8"/>
      <w:r/>
      <w:bookmarkEnd w:id="9"/>
      <w:r/>
      <w:bookmarkEnd w:id="10"/>
      <w:r/>
      <w:bookmarkEnd w:id="11"/>
      <w:r/>
      <w:r/>
    </w:p>
    <w:p>
      <w:pPr>
        <w:ind w:firstLine="480"/>
        <w:pageBreakBefore w:val="0"/>
        <w:spacing w:line="500" w:lineRule="exact"/>
        <w:rPr>
          <w:rFonts w:ascii="宋体" w:hAnsi="宋体" w:cs="宋体"/>
          <w:color w:val="auto"/>
          <w:sz w:val="24"/>
          <w:szCs w:val="24"/>
          <w:highlight w:val="none"/>
        </w:rPr>
        <w:outlineLvl w:val="9"/>
      </w:pPr>
      <w:r/>
      <w:bookmarkStart w:id="12" w:name="_Toc35393623"/>
      <w:r/>
      <w:bookmarkStart w:id="13" w:name="_Toc28359081"/>
      <w:r/>
      <w:bookmarkStart w:id="14" w:name="_Toc28359004"/>
      <w:r/>
      <w:bookmarkStart w:id="15" w:name="_Toc35393792"/>
      <w:r>
        <w:rPr>
          <w:rFonts w:hint="eastAsia" w:ascii="宋体" w:hAnsi="宋体" w:cs="宋体"/>
          <w:color w:val="auto"/>
          <w:sz w:val="24"/>
          <w:szCs w:val="24"/>
          <w:highlight w:val="none"/>
        </w:rPr>
        <w:t xml:space="preserve">（一）通用资格要求</w:t>
      </w:r>
      <w:r/>
    </w:p>
    <w:p>
      <w:pPr>
        <w:ind w:firstLine="480"/>
        <w:pageBreakBefore w:val="0"/>
        <w:spacing w:line="500" w:lineRule="exac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1.满足《中华人民共和国政府采购法》第二十二条规定，并提供下列材料：</w:t>
      </w:r>
      <w:r/>
    </w:p>
    <w:p>
      <w:pPr>
        <w:ind w:firstLine="480"/>
        <w:pageBreakBefore w:val="0"/>
        <w:spacing w:line="500" w:lineRule="exac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法人或者其他组织的营业执照等证明文件，自然人的身份证明；</w:t>
      </w:r>
      <w:r/>
    </w:p>
    <w:p>
      <w:pPr>
        <w:ind w:firstLine="480"/>
        <w:pageBreakBefore w:val="0"/>
        <w:spacing w:line="500" w:lineRule="exac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上一年度的财务状况报表（2025年财务状况报表未出的，可使用2024年度报表，至少提供资产负债表、利润表、现金流量表，成立不满一年无需提供）</w:t>
      </w:r>
      <w:r>
        <w:rPr>
          <w:rFonts w:hint="eastAsia" w:ascii="宋体" w:hAnsi="宋体" w:cs="宋体"/>
          <w:color w:val="auto"/>
          <w:sz w:val="24"/>
          <w:szCs w:val="24"/>
          <w:highlight w:val="none"/>
        </w:rPr>
        <w:t xml:space="preserve">；</w:t>
      </w:r>
      <w:r/>
    </w:p>
    <w:p>
      <w:pPr>
        <w:ind w:firstLine="480"/>
        <w:pageBreakBefore w:val="0"/>
        <w:spacing w:line="500" w:lineRule="exac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具备履行合同所必需的设备和专业技术能力的书面声明；</w:t>
      </w:r>
      <w:r/>
    </w:p>
    <w:p>
      <w:pPr>
        <w:ind w:firstLine="480"/>
        <w:pageBreakBefore w:val="0"/>
        <w:spacing w:line="500" w:lineRule="exac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依法缴纳税收和社会保障资金的相关材料（提供</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w:t>
      </w:r>
      <w:r>
        <w:rPr>
          <w:rFonts w:hint="eastAsia" w:ascii="宋体" w:hAnsi="宋体" w:cs="宋体"/>
          <w:color w:val="auto"/>
          <w:sz w:val="24"/>
          <w:szCs w:val="24"/>
          <w:highlight w:val="none"/>
          <w:lang w:eastAsia="zh-CN"/>
        </w:rPr>
        <w:t xml:space="preserve">递交</w:t>
      </w:r>
      <w:r>
        <w:rPr>
          <w:rFonts w:hint="eastAsia" w:ascii="宋体" w:hAnsi="宋体" w:cs="宋体"/>
          <w:color w:val="auto"/>
          <w:sz w:val="24"/>
          <w:szCs w:val="24"/>
          <w:highlight w:val="none"/>
        </w:rPr>
        <w:t xml:space="preserve">截止时间前一年内至少一个月依法缴纳税收及缴纳社会保障资金的证明材料。供应商依法享受缓缴、免缴税收、社会保障资金的提供证明材料。）；</w:t>
      </w:r>
      <w:r/>
    </w:p>
    <w:p>
      <w:pPr>
        <w:ind w:firstLine="480"/>
        <w:pageBreakBefore w:val="0"/>
        <w:spacing w:line="500" w:lineRule="exact"/>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参加政府采购活动前3年内在经营活动中没有重大违法记录的书面声明</w:t>
      </w:r>
      <w:r>
        <w:rPr>
          <w:rFonts w:hint="eastAsia" w:ascii="宋体" w:hAnsi="宋体" w:cs="宋体"/>
          <w:color w:val="auto"/>
          <w:sz w:val="24"/>
          <w:szCs w:val="24"/>
          <w:highlight w:val="none"/>
          <w:lang w:eastAsia="zh-CN"/>
        </w:rPr>
        <w:t xml:space="preserve">；</w:t>
      </w:r>
      <w:r/>
    </w:p>
    <w:p>
      <w:pPr>
        <w:ind w:firstLine="480"/>
        <w:pageBreakBefore w:val="0"/>
        <w:spacing w:line="500" w:lineRule="exac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法律、行政法规规定的其他条件。</w:t>
      </w:r>
      <w:r/>
    </w:p>
    <w:p>
      <w:pPr>
        <w:ind w:firstLine="480"/>
        <w:pageBreakBefore w:val="0"/>
        <w:spacing w:line="500" w:lineRule="exac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文件中无需提供证明材料）</w:t>
      </w:r>
      <w:r/>
    </w:p>
    <w:p>
      <w:pPr>
        <w:ind w:firstLine="480"/>
        <w:pageBreakBefore w:val="0"/>
        <w:spacing w:line="500" w:lineRule="exac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单位负责人为同一人或者存在直接控股、管理关系的不同供应商，不得参加同一合同项下的政府采购活动。</w:t>
      </w:r>
      <w:r/>
    </w:p>
    <w:p>
      <w:pPr>
        <w:ind w:firstLine="480"/>
        <w:pageBreakBefore w:val="0"/>
        <w:spacing w:line="500" w:lineRule="exact"/>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本项目专门面向中小企业采购。采购标的的所属行业为</w:t>
      </w:r>
      <w:r>
        <w:rPr>
          <w:rFonts w:hint="eastAsia" w:ascii="宋体" w:hAnsi="宋体" w:cs="宋体"/>
          <w:b/>
          <w:bCs/>
          <w:color w:val="auto"/>
          <w:sz w:val="24"/>
          <w:szCs w:val="24"/>
          <w:highlight w:val="none"/>
          <w:lang w:eastAsia="zh-CN"/>
        </w:rPr>
        <w:t xml:space="preserve">其它未列明行业</w:t>
      </w:r>
      <w:r>
        <w:rPr>
          <w:rFonts w:hint="eastAsia" w:ascii="宋体" w:hAnsi="宋体" w:cs="宋体"/>
          <w:b/>
          <w:bCs/>
          <w:color w:val="auto"/>
          <w:sz w:val="24"/>
          <w:szCs w:val="24"/>
          <w:highlight w:val="none"/>
        </w:rPr>
        <w:t xml:space="preserve">，投标人需按照采购文件的要求提供相应的《中小企业声明函》。企业标准请参照《关于印发中小企业划型标准规定的通知》（工信部联企业〔2011〕300号）文件规定自行填写。</w:t>
      </w:r>
      <w:r/>
    </w:p>
    <w:p>
      <w:pPr>
        <w:ind w:firstLine="480"/>
        <w:pageBreakBefore w:val="0"/>
        <w:spacing w:line="500" w:lineRule="exact"/>
        <w:rPr>
          <w:rFonts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.本项目的特定资格要求：</w:t>
      </w:r>
      <w:r/>
    </w:p>
    <w:p>
      <w:pPr>
        <w:pStyle w:val="837"/>
        <w:ind w:left="0" w:firstLine="480"/>
        <w:pageBreakBefore w:val="0"/>
        <w:spacing w:line="500" w:lineRule="exact"/>
        <w:rPr>
          <w:rFonts w:hint="eastAsia" w:ascii="宋体" w:hAnsi="宋体" w:eastAsia="宋体" w:cs="宋体"/>
          <w:b w:val="0"/>
          <w:bCs/>
          <w:color w:val="auto"/>
          <w:sz w:val="24"/>
          <w:szCs w:val="24"/>
          <w:highlight w:val="none"/>
          <w:lang w:val="en-US" w:eastAsia="zh-CN" w:bidi="ar-SA"/>
        </w:rPr>
        <w:outlineLvl w:val="9"/>
      </w:pPr>
      <w:r/>
      <w:bookmarkStart w:id="16" w:name="_Toc28359014"/>
      <w:r>
        <w:rPr>
          <w:rFonts w:hint="eastAsia" w:hAnsi="宋体" w:cs="宋体"/>
          <w:b w:val="0"/>
          <w:bCs/>
          <w:color w:val="auto"/>
          <w:sz w:val="24"/>
          <w:szCs w:val="24"/>
          <w:highlight w:val="none"/>
          <w:lang w:val="en-US" w:eastAsia="zh-CN" w:bidi="ar-SA"/>
        </w:rPr>
        <w:t xml:space="preserve">投标人</w:t>
      </w:r>
      <w:r>
        <w:rPr>
          <w:rFonts w:hint="eastAsia" w:ascii="宋体" w:hAnsi="宋体" w:eastAsia="宋体" w:cs="宋体"/>
          <w:b w:val="0"/>
          <w:bCs/>
          <w:color w:val="auto"/>
          <w:sz w:val="24"/>
          <w:szCs w:val="24"/>
          <w:highlight w:val="none"/>
          <w:lang w:val="en-US" w:eastAsia="zh-CN" w:bidi="ar-SA"/>
        </w:rPr>
        <w:t xml:space="preserve">须具有在社会消防技术服务信息系统消防技术服务机构中备案公示且服务类型为消防设施维护保养检测（</w:t>
      </w:r>
      <w:r>
        <w:rPr>
          <w:rFonts w:hint="eastAsia" w:ascii="宋体" w:hAnsi="宋体" w:cs="宋体"/>
          <w:b w:val="0"/>
          <w:bCs/>
          <w:color w:val="auto"/>
          <w:sz w:val="24"/>
          <w:szCs w:val="24"/>
          <w:highlight w:val="none"/>
          <w:lang w:val="en-US" w:eastAsia="zh-CN" w:bidi="ar-SA"/>
        </w:rPr>
        <w:t xml:space="preserve">投标时</w:t>
      </w:r>
      <w:r>
        <w:rPr>
          <w:rFonts w:hint="eastAsia" w:ascii="宋体" w:hAnsi="宋体" w:eastAsia="宋体" w:cs="宋体"/>
          <w:b w:val="0"/>
          <w:bCs/>
          <w:color w:val="auto"/>
          <w:sz w:val="24"/>
          <w:szCs w:val="24"/>
          <w:highlight w:val="none"/>
          <w:lang w:val="en-US" w:eastAsia="zh-CN" w:bidi="ar-SA"/>
        </w:rPr>
        <w:t xml:space="preserve">提供网页查询截图扫描件加盖公章）</w:t>
      </w:r>
      <w:r>
        <w:rPr>
          <w:rFonts w:hint="eastAsia" w:hAnsi="宋体" w:cs="宋体"/>
          <w:b w:val="0"/>
          <w:bCs/>
          <w:color w:val="auto"/>
          <w:sz w:val="24"/>
          <w:szCs w:val="24"/>
          <w:highlight w:val="none"/>
          <w:lang w:val="en-US" w:eastAsia="zh-CN" w:bidi="ar-SA"/>
        </w:rPr>
        <w:t xml:space="preserve">，投标人</w:t>
      </w:r>
      <w:r>
        <w:rPr>
          <w:rFonts w:hint="eastAsia" w:ascii="宋体" w:hAnsi="宋体" w:eastAsia="宋体" w:cs="宋体"/>
          <w:b w:val="0"/>
          <w:bCs/>
          <w:color w:val="auto"/>
          <w:sz w:val="24"/>
          <w:szCs w:val="24"/>
          <w:highlight w:val="none"/>
          <w:lang w:val="en-US" w:eastAsia="zh-CN" w:bidi="ar-SA"/>
        </w:rPr>
        <w:t xml:space="preserve">须</w:t>
      </w:r>
      <w:r>
        <w:rPr>
          <w:rFonts w:hint="eastAsia" w:hAnsi="宋体" w:cs="宋体"/>
          <w:b w:val="0"/>
          <w:bCs/>
          <w:color w:val="auto"/>
          <w:sz w:val="24"/>
          <w:szCs w:val="24"/>
          <w:highlight w:val="none"/>
          <w:lang w:val="en-US" w:eastAsia="zh-CN" w:bidi="ar-SA"/>
        </w:rPr>
        <w:t xml:space="preserve">同时</w:t>
      </w:r>
      <w:r>
        <w:rPr>
          <w:rFonts w:hint="eastAsia" w:ascii="宋体" w:hAnsi="宋体" w:eastAsia="宋体" w:cs="宋体"/>
          <w:b w:val="0"/>
          <w:bCs/>
          <w:color w:val="auto"/>
          <w:sz w:val="24"/>
          <w:szCs w:val="24"/>
          <w:highlight w:val="none"/>
          <w:lang w:val="en-US" w:eastAsia="zh-CN" w:bidi="ar-SA"/>
        </w:rPr>
        <w:t xml:space="preserve">具有有效的二级及以上消防设施工程专业承包施工资质，并具备有效的安全生产许可证。</w:t>
      </w:r>
      <w:bookmarkEnd w:id="12"/>
      <w:r/>
      <w:bookmarkEnd w:id="13"/>
      <w:r/>
      <w:bookmarkEnd w:id="14"/>
      <w:r/>
      <w:bookmarkEnd w:id="15"/>
      <w:r/>
      <w:bookmarkEnd w:id="16"/>
      <w:r/>
      <w:r/>
    </w:p>
    <w:p>
      <w:pPr>
        <w:ind w:firstLine="498"/>
        <w:jc w:val="both"/>
        <w:keepLines/>
        <w:keepNext/>
        <w:pageBreakBefore w:val="0"/>
        <w:spacing w:before="145" w:beforeAutospacing="0" w:after="145" w:afterAutospacing="0" w:line="500" w:lineRule="exact"/>
        <w:widowControl w:val="off"/>
        <w:rPr>
          <w:rFonts w:hint="eastAsia" w:ascii="宋体" w:hAnsi="宋体" w:eastAsia="宋体" w:cs="宋体"/>
          <w:color w:val="auto"/>
          <w:sz w:val="24"/>
          <w:szCs w:val="24"/>
          <w:highlight w:val="none"/>
          <w:lang w:val="en-US" w:eastAsia="zh-CN" w:bidi="ar-SA"/>
        </w:rPr>
        <w:outlineLvl w:val="9"/>
      </w:pPr>
      <w:r/>
      <w:bookmarkStart w:id="17" w:name="_Toc35393793"/>
      <w:r/>
      <w:bookmarkStart w:id="18" w:name="_Toc28359005"/>
      <w:r/>
      <w:bookmarkStart w:id="19" w:name="_Toc35393624"/>
      <w:r/>
      <w:bookmarkStart w:id="20" w:name="_Toc28359082"/>
      <w:r/>
      <w:bookmarkStart w:id="21" w:name="_Toc120614211"/>
      <w:r/>
      <w:bookmarkStart w:id="22" w:name="_Toc28359021"/>
      <w:r/>
      <w:bookmarkStart w:id="23" w:name="_Toc35393639"/>
      <w:r/>
      <w:bookmarkStart w:id="24" w:name="_Toc35393808"/>
      <w:r/>
      <w:bookmarkStart w:id="25" w:name="_Toc28359098"/>
      <w:r>
        <w:rPr>
          <w:rFonts w:hint="eastAsia" w:ascii="宋体" w:hAnsi="宋体" w:eastAsia="宋体" w:cs="宋体"/>
          <w:b/>
          <w:color w:val="auto"/>
          <w:sz w:val="24"/>
          <w:szCs w:val="24"/>
          <w:highlight w:val="none"/>
          <w:lang w:val="en-US" w:eastAsia="zh-CN" w:bidi="ar-SA"/>
        </w:rPr>
        <w:t xml:space="preserve">三、获取招标文件</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outlineLvl w:val="9"/>
        <w:suppressLineNumbers w:val="0"/>
      </w:pPr>
      <w:r/>
      <w:bookmarkStart w:id="26" w:name="_Toc38985266"/>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26"/>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4.售价：0元</w:t>
      </w:r>
      <w:bookmarkEnd w:id="17"/>
      <w:r/>
      <w:bookmarkEnd w:id="18"/>
      <w:r/>
      <w:bookmarkEnd w:id="19"/>
      <w:r/>
      <w:bookmarkEnd w:id="20"/>
      <w:r/>
      <w:r/>
    </w:p>
    <w:p>
      <w:pPr>
        <w:ind w:firstLine="498"/>
        <w:jc w:val="both"/>
        <w:keepLines/>
        <w:keepNext/>
        <w:pageBreakBefore w:val="0"/>
        <w:spacing w:before="145" w:beforeAutospacing="0" w:after="145" w:afterAutospacing="0" w:line="500" w:lineRule="exact"/>
        <w:widowControl w:val="off"/>
        <w:rPr>
          <w:rFonts w:hint="eastAsia" w:ascii="宋体" w:hAnsi="宋体" w:eastAsia="宋体" w:cs="宋体"/>
          <w:color w:val="auto"/>
          <w:sz w:val="24"/>
          <w:szCs w:val="24"/>
          <w:highlight w:val="none"/>
          <w:lang w:val="en-US" w:eastAsia="zh-CN" w:bidi="ar-SA"/>
        </w:rPr>
        <w:outlineLvl w:val="9"/>
      </w:pPr>
      <w:r/>
      <w:bookmarkStart w:id="27" w:name="_Toc35393794"/>
      <w:r/>
      <w:bookmarkStart w:id="28" w:name="_Toc35393625"/>
      <w:r/>
      <w:bookmarkStart w:id="29" w:name="_Toc28359007"/>
      <w:r/>
      <w:bookmarkStart w:id="30" w:name="_Toc28359084"/>
      <w:r>
        <w:rPr>
          <w:rFonts w:hint="eastAsia" w:ascii="宋体" w:hAnsi="宋体" w:eastAsia="宋体" w:cs="宋体"/>
          <w:b/>
          <w:color w:val="auto"/>
          <w:sz w:val="24"/>
          <w:szCs w:val="24"/>
          <w:highlight w:val="none"/>
          <w:lang w:val="en-US" w:eastAsia="zh-CN" w:bidi="ar-SA"/>
        </w:rPr>
        <w:t xml:space="preserve">四、提交投标文件截止时间、开标时间和地点</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w:t>
      </w:r>
      <w:r>
        <w:rPr>
          <w:rFonts w:hint="eastAsia" w:ascii="宋体" w:hAnsi="宋体" w:cs="宋体"/>
          <w:color w:val="auto"/>
          <w:sz w:val="24"/>
          <w:szCs w:val="24"/>
          <w:highlight w:val="non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月11</w:t>
      </w:r>
      <w:r>
        <w:rPr>
          <w:rFonts w:hint="eastAsia" w:ascii="宋体" w:hAnsi="宋体" w:eastAsia="宋体" w:cs="宋体"/>
          <w:color w:val="auto"/>
          <w:sz w:val="24"/>
          <w:szCs w:val="24"/>
          <w:highlight w:val="none"/>
          <w:lang w:val="en-US" w:eastAsia="zh-CN" w:bidi="ar-SA"/>
        </w:rPr>
        <w:t xml:space="preserve">日</w:t>
      </w:r>
      <w:r>
        <w:rPr>
          <w:rFonts w:hint="eastAsia" w:ascii="宋体" w:hAnsi="宋体" w:cs="宋体" w:eastAsiaTheme="majorEastAsia"/>
          <w:color w:val="auto"/>
          <w:sz w:val="24"/>
          <w:szCs w:val="24"/>
          <w:highlight w:val="none"/>
          <w:u w:val="none"/>
          <w:lang w:val="en-US" w:eastAsia="zh-CN"/>
        </w:rPr>
        <w:t xml:space="preserve">15</w:t>
      </w:r>
      <w:r>
        <w:rPr>
          <w:rFonts w:hint="eastAsia" w:ascii="宋体" w:hAnsi="宋体" w:cs="宋体" w:eastAsiaTheme="majorEastAsia"/>
          <w:color w:val="auto"/>
          <w:sz w:val="24"/>
          <w:szCs w:val="24"/>
          <w:highlight w:val="none"/>
          <w:u w:val="none"/>
          <w:lang w:eastAsia="zh-CN"/>
        </w:rPr>
        <w:t xml:space="preserve">点</w:t>
      </w:r>
      <w:r>
        <w:rPr>
          <w:rFonts w:hint="eastAsia" w:ascii="宋体" w:hAnsi="宋体" w:cs="宋体" w:eastAsiaTheme="majorEastAsia"/>
          <w:color w:val="auto"/>
          <w:sz w:val="24"/>
          <w:szCs w:val="24"/>
          <w:highlight w:val="none"/>
          <w:u w:val="none"/>
          <w:lang w:val="en-US" w:eastAsia="zh-CN"/>
        </w:rPr>
        <w:t xml:space="preserve">00</w:t>
      </w:r>
      <w:r>
        <w:rPr>
          <w:rFonts w:hint="eastAsia" w:ascii="宋体" w:hAnsi="宋体" w:cs="宋体" w:eastAsiaTheme="majorEastAsia"/>
          <w:color w:val="auto"/>
          <w:sz w:val="24"/>
          <w:szCs w:val="24"/>
          <w:highlight w:val="none"/>
          <w:u w:val="none"/>
          <w:lang w:eastAsia="zh-CN"/>
        </w:rPr>
        <w:t xml:space="preserve">分</w:t>
      </w:r>
      <w:r>
        <w:rPr>
          <w:rFonts w:hint="eastAsia" w:ascii="宋体" w:hAnsi="宋体" w:eastAsia="宋体" w:cs="宋体"/>
          <w:color w:val="auto"/>
          <w:sz w:val="24"/>
          <w:szCs w:val="24"/>
          <w:highlight w:val="none"/>
          <w:lang w:val="en-US" w:eastAsia="zh-CN" w:bidi="ar-SA"/>
        </w:rPr>
        <w:t xml:space="preserve">（北京时间）</w:t>
      </w:r>
      <w:r/>
    </w:p>
    <w:p>
      <w:pPr>
        <w:ind w:firstLine="480"/>
        <w:pageBreakBefore w:val="0"/>
        <w:spacing w:line="5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2.地点：苏采云“不见面”开标大厅。</w:t>
      </w:r>
      <w:r/>
    </w:p>
    <w:p>
      <w:pPr>
        <w:ind w:firstLine="498"/>
        <w:jc w:val="both"/>
        <w:keepLines/>
        <w:keepNext/>
        <w:pageBreakBefore w:val="0"/>
        <w:spacing w:before="145" w:beforeAutospacing="0" w:after="145" w:afterAutospacing="0" w:line="500" w:lineRule="exact"/>
        <w:widowControl w:val="off"/>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五、公告期限</w:t>
      </w:r>
      <w:bookmarkEnd w:id="27"/>
      <w:r/>
      <w:bookmarkEnd w:id="28"/>
      <w:r/>
      <w:bookmarkEnd w:id="29"/>
      <w:r/>
      <w:bookmarkEnd w:id="30"/>
      <w:r/>
      <w:r/>
    </w:p>
    <w:p>
      <w:pPr>
        <w:ind w:firstLine="480"/>
        <w:pageBreakBefore w:val="0"/>
        <w:spacing w:line="500" w:lineRule="exact"/>
        <w:rPr>
          <w:rFonts w:asciiTheme="majorEastAsia" w:hAnsiTheme="majorEastAsia" w:eastAsiaTheme="majorEastAsia" w:cstheme="majorEastAsia"/>
          <w:color w:val="auto"/>
          <w:sz w:val="24"/>
          <w:szCs w:val="24"/>
          <w:highlight w:val="none"/>
        </w:rPr>
        <w:outlineLvl w:val="9"/>
      </w:pPr>
      <w:r>
        <w:rPr>
          <w:rFonts w:hint="eastAsia" w:asciiTheme="majorEastAsia" w:hAnsiTheme="majorEastAsia" w:eastAsiaTheme="majorEastAsia" w:cstheme="majorEastAsia"/>
          <w:color w:val="auto"/>
          <w:sz w:val="24"/>
          <w:szCs w:val="24"/>
          <w:highlight w:val="none"/>
        </w:rPr>
        <w:t xml:space="preserve">自本公告发布之日起5个工作日。</w:t>
      </w:r>
      <w:r/>
    </w:p>
    <w:p>
      <w:pPr>
        <w:ind w:firstLine="498"/>
        <w:jc w:val="both"/>
        <w:keepLines/>
        <w:keepNext/>
        <w:pageBreakBefore w:val="0"/>
        <w:spacing w:before="145" w:beforeAutospacing="0" w:after="145" w:afterAutospacing="0" w:line="500" w:lineRule="exact"/>
        <w:widowControl w:val="off"/>
        <w:rPr>
          <w:rFonts w:hint="eastAsia" w:ascii="宋体" w:hAnsi="宋体" w:eastAsia="宋体" w:cs="宋体"/>
          <w:color w:val="auto"/>
          <w:sz w:val="24"/>
          <w:szCs w:val="24"/>
          <w:highlight w:val="none"/>
          <w:lang w:val="en-US" w:eastAsia="zh-CN" w:bidi="ar-SA"/>
        </w:rPr>
        <w:outlineLvl w:val="9"/>
      </w:pPr>
      <w:r/>
      <w:bookmarkStart w:id="31" w:name="_Toc28359019"/>
      <w:r/>
      <w:bookmarkStart w:id="32" w:name="_Toc35393806"/>
      <w:r/>
      <w:bookmarkStart w:id="33" w:name="_Toc35393637"/>
      <w:r/>
      <w:bookmarkStart w:id="34" w:name="_Toc28359096"/>
      <w:r>
        <w:rPr>
          <w:rFonts w:hint="eastAsia" w:ascii="宋体" w:hAnsi="宋体" w:eastAsia="宋体" w:cs="宋体"/>
          <w:b/>
          <w:color w:val="auto"/>
          <w:sz w:val="24"/>
          <w:szCs w:val="24"/>
          <w:highlight w:val="none"/>
          <w:lang w:val="en-US" w:eastAsia="zh-CN" w:bidi="ar-SA"/>
        </w:rPr>
        <w:t xml:space="preserve">六、其他补充事宜</w:t>
      </w:r>
      <w:r/>
    </w:p>
    <w:p>
      <w:pPr>
        <w:ind w:firstLine="480"/>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bookmarkStart w:id="35" w:name="_Toc28359018"/>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2.潜在供应商访问电子招标响应交易平台的网络地址和方法：</w:t>
      </w:r>
      <w:r/>
    </w:p>
    <w:p>
      <w:pPr>
        <w:ind w:firstLine="480"/>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2.2 潜在投标人访问“苏采云”系统方法：江苏省政府采购网首页-“苏采云”链接。</w:t>
      </w:r>
      <w:r/>
    </w:p>
    <w:p>
      <w:pPr>
        <w:ind w:firstLine="480"/>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2.3 采购文件（后缀名为“.kedt”）、供应商操作手册及政府采购客户端 工具可通过“苏采云”系统相应链接进行下载。</w:t>
      </w:r>
      <w:r/>
    </w:p>
    <w:p>
      <w:pPr>
        <w:ind w:firstLine="480"/>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2.4 采购代理机构将数据电文形式的采购文件加载至“苏采云”系统，供潜在供应商下载或者查阅。</w:t>
      </w:r>
      <w:r/>
    </w:p>
    <w:p>
      <w:pPr>
        <w:ind w:firstLine="480"/>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2.5 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如潜在投标人未按上述要求操作，将自行承担所产生的风险。</w:t>
      </w:r>
      <w:r/>
    </w:p>
    <w:p>
      <w:pPr>
        <w:ind w:firstLine="480"/>
        <w:jc w:val="left"/>
        <w:keepLines w:val="0"/>
        <w:keepNext w:val="0"/>
        <w:pageBreakBefore w:val="0"/>
        <w:spacing w:line="500" w:lineRule="exact"/>
        <w:shd w:val="clear" w:color="auto"/>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w:t>
      </w:r>
      <w:r>
        <w:rPr>
          <w:rFonts w:hint="eastAsia" w:ascii="宋体" w:hAnsi="宋体" w:cs="宋体"/>
          <w:color w:val="auto"/>
          <w:sz w:val="24"/>
          <w:szCs w:val="24"/>
          <w:highlight w:val="none"/>
          <w:lang w:val="en-US" w:eastAsia="zh-CN" w:bidi="ar-SA"/>
        </w:rPr>
        <w:t xml:space="preserve">采购代理机构</w:t>
      </w:r>
      <w:r>
        <w:rPr>
          <w:rFonts w:hint="eastAsia" w:ascii="宋体" w:hAnsi="宋体" w:eastAsia="宋体" w:cs="宋体"/>
          <w:color w:val="auto"/>
          <w:sz w:val="24"/>
          <w:szCs w:val="24"/>
          <w:highlight w:val="none"/>
          <w:lang w:val="en-US" w:eastAsia="zh-CN" w:bidi="ar-SA"/>
        </w:rPr>
        <w:t xml:space="preserve">在“中国政府采购网”、“江苏政府采购网”、“盐城市政府采购网”发布的更正公告。</w:t>
      </w:r>
      <w:r/>
    </w:p>
    <w:p>
      <w:pPr>
        <w:ind w:left="0" w:right="0" w:firstLine="560"/>
        <w:jc w:val="both"/>
        <w:keepLines w:val="0"/>
        <w:keepNext w:val="0"/>
        <w:pageBreakBefore w:val="0"/>
        <w:spacing w:before="0" w:beforeAutospacing="0" w:after="0" w:afterAutospacing="0" w:line="500" w:lineRule="exact"/>
        <w:shd w:val="clear" w:color="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auto"/>
          <w:sz w:val="24"/>
          <w:szCs w:val="24"/>
          <w:highlight w:val="none"/>
          <w:lang w:val="en-US" w:eastAsia="zh-CN" w:bidi="ar-SA"/>
        </w:rPr>
        <w:t xml:space="preserve">4.本次招标不收取投标保证金，不收取质量保证金。</w:t>
      </w:r>
      <w:r/>
    </w:p>
    <w:p>
      <w:pPr>
        <w:ind w:left="0" w:right="0" w:firstLine="482"/>
        <w:jc w:val="both"/>
        <w:keepLines w:val="0"/>
        <w:keepNext w:val="0"/>
        <w:pageBreakBefore w:val="0"/>
        <w:spacing w:before="0" w:beforeAutospacing="0" w:after="0" w:afterAutospacing="0" w:line="500" w:lineRule="exact"/>
        <w:shd w:val="clear" w:color="auto"/>
        <w:widowControl/>
        <w:rPr>
          <w:rFonts w:hint="eastAsia" w:ascii="宋体" w:hAnsi="宋体" w:eastAsia="宋体" w:cs="宋体"/>
          <w:b/>
          <w:bCs/>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bidi="ar"/>
        </w:rPr>
        <w:t xml:space="preserve">七、对本次招标提出询问，请按以下方式联系。</w:t>
      </w:r>
      <w:bookmarkEnd w:id="35"/>
      <w:r/>
      <w:r/>
    </w:p>
    <w:p>
      <w:pPr>
        <w:ind w:firstLine="480"/>
        <w:pageBreakBefore w:val="0"/>
        <w:spacing w:line="500" w:lineRule="exact"/>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bookmarkEnd w:id="31"/>
      <w:r/>
      <w:bookmarkEnd w:id="32"/>
      <w:r/>
      <w:bookmarkEnd w:id="33"/>
      <w:r/>
      <w:bookmarkEnd w:id="34"/>
      <w:r/>
      <w:r/>
    </w:p>
    <w:p>
      <w:pPr>
        <w:ind w:firstLine="480"/>
        <w:pageBreakBefore w:val="0"/>
        <w:spacing w:line="500" w:lineRule="exact"/>
        <w:shd w:val="clear" w:color="auto"/>
        <w:rPr>
          <w:rFonts w:hint="eastAsia" w:ascii="宋体" w:hAnsi="宋体" w:eastAsia="宋体" w:cs="宋体"/>
          <w:color w:val="auto"/>
          <w:sz w:val="24"/>
          <w:szCs w:val="24"/>
          <w:highlight w:val="none"/>
        </w:rPr>
        <w:outlineLvl w:val="9"/>
      </w:pPr>
      <w:r/>
      <w:bookmarkStart w:id="36" w:name="_Toc28359020"/>
      <w:r/>
      <w:bookmarkStart w:id="37" w:name="_Toc35393638"/>
      <w:r/>
      <w:bookmarkStart w:id="38" w:name="_Toc35393807"/>
      <w:r/>
      <w:bookmarkStart w:id="39" w:name="_Toc28359097"/>
      <w:r>
        <w:rPr>
          <w:rFonts w:hint="eastAsia" w:ascii="宋体" w:hAnsi="宋体" w:eastAsia="宋体" w:cs="宋体"/>
          <w:color w:val="auto"/>
          <w:sz w:val="24"/>
          <w:szCs w:val="24"/>
          <w:highlight w:val="none"/>
        </w:rPr>
        <w:t xml:space="preserve">名称：盐城市第一人民医院</w:t>
      </w:r>
      <w:r/>
    </w:p>
    <w:p>
      <w:pPr>
        <w:ind w:firstLine="480"/>
        <w:pageBreakBefore w:val="0"/>
        <w:spacing w:line="500" w:lineRule="exact"/>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地址：盐城市人民南路66号</w:t>
      </w:r>
      <w:r/>
    </w:p>
    <w:p>
      <w:pPr>
        <w:ind w:firstLine="480"/>
        <w:pageBreakBefore w:val="0"/>
        <w:spacing w:line="500" w:lineRule="exact"/>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何老师</w:t>
      </w:r>
      <w:r/>
    </w:p>
    <w:p>
      <w:pPr>
        <w:ind w:firstLine="480"/>
        <w:pageBreakBefore w:val="0"/>
        <w:spacing w:line="500" w:lineRule="exact"/>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联系电话：0515-66696855</w:t>
      </w:r>
      <w:r/>
    </w:p>
    <w:p>
      <w:pPr>
        <w:ind w:firstLine="480"/>
        <w:pageBreakBefore w:val="0"/>
        <w:spacing w:line="500" w:lineRule="exact"/>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bookmarkEnd w:id="36"/>
      <w:r/>
      <w:bookmarkEnd w:id="37"/>
      <w:r/>
      <w:bookmarkEnd w:id="38"/>
      <w:r/>
      <w:bookmarkEnd w:id="39"/>
      <w:r/>
      <w:r/>
    </w:p>
    <w:p>
      <w:pPr>
        <w:ind w:firstLine="48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名称：江苏仁禾中衡工程咨询房地产估价有限公司</w:t>
      </w:r>
      <w:r/>
    </w:p>
    <w:p>
      <w:pPr>
        <w:ind w:firstLine="48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地址：盐城市青年西路8号</w:t>
      </w:r>
      <w:r/>
    </w:p>
    <w:p>
      <w:pPr>
        <w:ind w:firstLine="48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联系人：胡女士</w:t>
      </w:r>
      <w:r/>
    </w:p>
    <w:p>
      <w:pPr>
        <w:ind w:firstLine="48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联系电话：13815581495</w:t>
      </w:r>
      <w:r/>
    </w:p>
    <w:p>
      <w:pPr>
        <w:ind w:firstLine="48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r/>
    </w:p>
    <w:p>
      <w:pPr>
        <w:ind w:firstLine="480"/>
        <w:pageBreakBefore w:val="0"/>
        <w:spacing w:line="5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徐老师</w:t>
      </w:r>
      <w:r/>
    </w:p>
    <w:p>
      <w:pPr>
        <w:ind w:firstLine="480"/>
        <w:pageBreakBefore w:val="0"/>
        <w:spacing w:line="5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15950200100</w:t>
      </w:r>
      <w:bookmarkEnd w:id="21"/>
      <w:r/>
      <w:bookmarkEnd w:id="22"/>
      <w:r/>
      <w:bookmarkEnd w:id="23"/>
      <w:r/>
      <w:bookmarkEnd w:id="24"/>
      <w:r/>
      <w:bookmarkEnd w:id="25"/>
      <w:r/>
      <w:r/>
    </w:p>
    <w:p>
      <w:pPr>
        <w:pStyle w:val="837"/>
        <w:rPr>
          <w:color w:val="auto"/>
          <w:highlight w:val="none"/>
        </w:rPr>
        <w:outlineLvl w:val="9"/>
      </w:pPr>
      <w:r>
        <w:rPr>
          <w:color w:val="auto"/>
          <w:highlight w:val="none"/>
        </w:rPr>
      </w:r>
      <w:r/>
    </w:p>
    <w:p>
      <w:pPr>
        <w:rPr>
          <w:color w:val="auto"/>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425" w:equalWidth="1"/>
          <w:docGrid w:linePitch="360"/>
          <w:titlePg/>
        </w:sectPr>
        <w:outlineLvl w:val="9"/>
      </w:pPr>
      <w:r>
        <w:rPr>
          <w:color w:val="auto"/>
          <w:highlight w:val="none"/>
        </w:rPr>
      </w:r>
      <w:r/>
    </w:p>
    <w:p>
      <w:pPr>
        <w:pStyle w:val="785"/>
        <w:rPr>
          <w:color w:val="auto"/>
          <w:highlight w:val="none"/>
        </w:rPr>
      </w:pPr>
      <w:r/>
      <w:bookmarkStart w:id="40" w:name="_Toc12885"/>
      <w:r/>
      <w:bookmarkStart w:id="41" w:name="_Toc16938518"/>
      <w:r/>
      <w:bookmarkStart w:id="42" w:name="_Toc20823274"/>
      <w:r/>
      <w:bookmarkStart w:id="43" w:name="_Toc513029202"/>
      <w:r/>
      <w:bookmarkStart w:id="44" w:name="_Toc120614213"/>
      <w:r/>
      <w:bookmarkStart w:id="45" w:name="_Toc28644"/>
      <w:r>
        <w:rPr>
          <w:rFonts w:hint="eastAsia"/>
          <w:color w:val="auto"/>
          <w:highlight w:val="none"/>
        </w:rPr>
        <w:t xml:space="preserve">第二章 </w:t>
      </w:r>
      <w:r>
        <w:rPr>
          <w:rFonts w:hint="eastAsia"/>
          <w:color w:val="auto"/>
          <w:highlight w:val="none"/>
          <w:lang w:val="en-US" w:eastAsia="zh-CN"/>
        </w:rPr>
        <w:t xml:space="preserve">投标人</w:t>
      </w:r>
      <w:r>
        <w:rPr>
          <w:rFonts w:hint="eastAsia"/>
          <w:color w:val="auto"/>
          <w:highlight w:val="none"/>
        </w:rPr>
        <w:t xml:space="preserve">须知</w:t>
      </w:r>
      <w:bookmarkEnd w:id="40"/>
      <w:r/>
      <w:bookmarkEnd w:id="41"/>
      <w:r/>
      <w:bookmarkEnd w:id="42"/>
      <w:r/>
      <w:bookmarkEnd w:id="43"/>
      <w:r/>
      <w:bookmarkEnd w:id="44"/>
      <w:r/>
      <w:bookmarkEnd w:id="45"/>
      <w:r/>
      <w:r/>
    </w:p>
    <w:p>
      <w:pPr>
        <w:ind w:left="0" w:firstLine="480"/>
        <w:pageBreakBefore w:val="0"/>
        <w:spacing w:line="240" w:lineRule="auto"/>
        <w:widowControl w:val="off"/>
        <w:tabs>
          <w:tab w:val="left" w:pos="900" w:leader="none"/>
        </w:tabs>
        <w:rPr>
          <w:rFonts w:ascii="宋体" w:hAnsi="宋体" w:cs="宋体"/>
          <w:color w:val="auto"/>
          <w:sz w:val="24"/>
          <w:highlight w:val="none"/>
        </w:rPr>
        <w:outlineLvl w:val="9"/>
      </w:pPr>
      <w:r>
        <w:rPr>
          <w:rFonts w:ascii="宋体" w:hAnsi="宋体" w:cs="宋体"/>
          <w:color w:val="auto"/>
          <w:sz w:val="24"/>
          <w:highlight w:val="none"/>
        </w:rPr>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46" w:name="_Toc120614214"/>
      <w:r/>
      <w:bookmarkStart w:id="47" w:name="_Toc16938519"/>
      <w:r/>
      <w:bookmarkStart w:id="48" w:name="_Toc20823275"/>
      <w:r/>
      <w:bookmarkStart w:id="49" w:name="_Toc513029203"/>
      <w:r>
        <w:rPr>
          <w:rFonts w:hint="eastAsia" w:ascii="宋体" w:hAnsi="宋体" w:eastAsia="宋体" w:cs="宋体"/>
          <w:b/>
          <w:color w:val="auto"/>
          <w:sz w:val="24"/>
          <w:szCs w:val="24"/>
          <w:highlight w:val="none"/>
          <w:lang w:val="en-US" w:eastAsia="zh-CN" w:bidi="ar-SA"/>
        </w:rPr>
        <w:t xml:space="preserve">一、总则</w:t>
      </w:r>
      <w:bookmarkEnd w:id="46"/>
      <w:r/>
      <w:bookmarkEnd w:id="47"/>
      <w:r/>
      <w:bookmarkEnd w:id="48"/>
      <w:r/>
      <w:bookmarkEnd w:id="49"/>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50" w:name="_Toc16938520"/>
      <w:r/>
      <w:bookmarkStart w:id="51" w:name="_Toc513029204"/>
      <w:r/>
      <w:bookmarkStart w:id="52" w:name="_Toc458694821"/>
      <w:r/>
      <w:bookmarkStart w:id="53" w:name="_Toc20823276"/>
      <w:r>
        <w:rPr>
          <w:rFonts w:hint="eastAsia" w:ascii="宋体" w:hAnsi="宋体" w:eastAsia="宋体" w:cs="宋体"/>
          <w:color w:val="auto"/>
          <w:sz w:val="24"/>
          <w:szCs w:val="24"/>
          <w:highlight w:val="none"/>
          <w:lang w:val="en-US" w:eastAsia="zh-CN" w:bidi="ar-SA"/>
        </w:rPr>
        <w:t xml:space="preserve">1</w:t>
      </w:r>
      <w:bookmarkEnd w:id="50"/>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招标方式</w:t>
      </w:r>
      <w:bookmarkEnd w:id="51"/>
      <w:r/>
      <w:bookmarkEnd w:id="52"/>
      <w:r/>
      <w:bookmarkEnd w:id="53"/>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1.1本次招标采取公开招标方式，本招标文件仅适用于招标公告中所述项目。</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54" w:name="_Toc513029205"/>
      <w:r/>
      <w:bookmarkStart w:id="55" w:name="_Toc16938521"/>
      <w:r/>
      <w:bookmarkStart w:id="56" w:name="_Toc20823277"/>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合格的投标人</w:t>
      </w:r>
      <w:bookmarkEnd w:id="54"/>
      <w:r/>
      <w:bookmarkEnd w:id="55"/>
      <w:r/>
      <w:bookmarkEnd w:id="56"/>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2.1满足招标公告中供应商的资格要求的规定。</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2.2满足本文件实质性要求和条件的规定。</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57" w:name="_Toc513029206"/>
      <w:r/>
      <w:bookmarkStart w:id="58" w:name="_Toc20823278"/>
      <w:r/>
      <w:bookmarkStart w:id="59" w:name="_Toc16938522"/>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适用法律</w:t>
      </w:r>
      <w:bookmarkEnd w:id="57"/>
      <w:r/>
      <w:bookmarkEnd w:id="58"/>
      <w:r/>
      <w:bookmarkEnd w:id="59"/>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3.1本次招标及由此产生的合同受中华人民共和国有关的法律法规制约和保护。</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60" w:name="_Toc16938523"/>
      <w:r/>
      <w:bookmarkStart w:id="61" w:name="_Toc513029207"/>
      <w:r/>
      <w:bookmarkStart w:id="62" w:name="_Toc462564067"/>
      <w:r/>
      <w:bookmarkStart w:id="63" w:name="_Toc20823279"/>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投标费用</w:t>
      </w:r>
      <w:bookmarkEnd w:id="60"/>
      <w:r/>
      <w:bookmarkEnd w:id="61"/>
      <w:r/>
      <w:bookmarkEnd w:id="62"/>
      <w:r/>
      <w:bookmarkEnd w:id="63"/>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4.1投标人应自行承担所有与参加投标有关的费用，无论投标过程中的做法和结果如何，采购人和代理机构在任何情况下均无义务和责任承担这些费用。</w:t>
      </w:r>
      <w:r/>
    </w:p>
    <w:p>
      <w:pPr>
        <w:ind w:left="0" w:firstLine="480"/>
        <w:jc w:val="both"/>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eastAsia="zh-CN" w:bidi="ar-SA"/>
        </w:rPr>
        <w:outlineLvl w:val="9"/>
      </w:pPr>
      <w:r>
        <w:rPr>
          <w:rFonts w:hint="eastAsia" w:ascii="宋体" w:hAnsi="宋体" w:eastAsia="宋体" w:cs="宋体"/>
          <w:color w:val="auto"/>
          <w:sz w:val="24"/>
          <w:szCs w:val="24"/>
          <w:highlight w:val="none"/>
          <w:lang w:val="en-US" w:eastAsia="zh-CN" w:bidi="ar-SA"/>
        </w:rPr>
        <w:t xml:space="preserve">4.2本次招标招标代理机构和采购人不</w:t>
      </w:r>
      <w:r>
        <w:rPr>
          <w:rFonts w:hint="default" w:ascii="宋体" w:hAnsi="宋体" w:cs="宋体"/>
          <w:color w:val="auto"/>
          <w:sz w:val="24"/>
          <w:szCs w:val="24"/>
          <w:highlight w:val="none"/>
          <w:lang w:eastAsia="zh-CN" w:bidi="ar-SA"/>
        </w:rPr>
        <w:t xml:space="preserve">收取工本费。</w:t>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5</w:t>
      </w:r>
      <w:r>
        <w:rPr>
          <w:rFonts w:hint="eastAsia" w:ascii="宋体" w:hAnsi="宋体" w:cs="宋体"/>
          <w:b/>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招标文件的约束力</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5.1投标人一旦参加本项目采购活动，即被认为接受了本招标文件的规定和约束。</w:t>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64" w:name="_Toc16938525"/>
      <w:r/>
      <w:bookmarkStart w:id="65" w:name="_Toc20823281"/>
      <w:r/>
      <w:bookmarkStart w:id="66" w:name="_Toc120614215"/>
      <w:r/>
      <w:bookmarkStart w:id="67" w:name="_Toc513029209"/>
      <w:r>
        <w:rPr>
          <w:rFonts w:hint="eastAsia" w:ascii="宋体" w:hAnsi="宋体" w:eastAsia="宋体" w:cs="宋体"/>
          <w:b/>
          <w:color w:val="auto"/>
          <w:sz w:val="24"/>
          <w:szCs w:val="24"/>
          <w:highlight w:val="none"/>
          <w:lang w:val="en-US" w:eastAsia="zh-CN" w:bidi="ar-SA"/>
        </w:rPr>
        <w:t xml:space="preserve">二、招标文件</w:t>
      </w:r>
      <w:bookmarkEnd w:id="64"/>
      <w:r/>
      <w:bookmarkEnd w:id="65"/>
      <w:r/>
      <w:bookmarkEnd w:id="66"/>
      <w:r/>
      <w:bookmarkEnd w:id="67"/>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68" w:name="_Toc513029210"/>
      <w:r/>
      <w:bookmarkStart w:id="69" w:name="_Toc20823282"/>
      <w:r/>
      <w:bookmarkStart w:id="70" w:name="_Toc16938526"/>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招标文件构成</w:t>
      </w:r>
      <w:bookmarkEnd w:id="68"/>
      <w:r/>
      <w:bookmarkEnd w:id="69"/>
      <w:r/>
      <w:bookmarkEnd w:id="70"/>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6.1招标文件由以下部分组成：</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（1）招标公告</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（2）投标人须知</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（3）合同文本</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（4）采购需求</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（5）评标方法与评标标准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（6）投标文件格式</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请仔细检查招标文件是否齐全，如有缺漏请立即与招标代理机构联系解决。</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71" w:name="_Toc16938527"/>
      <w:r/>
      <w:bookmarkStart w:id="72" w:name="_Toc462564070"/>
      <w:r/>
      <w:bookmarkStart w:id="73" w:name="_Toc20823283"/>
      <w:r/>
      <w:bookmarkStart w:id="74" w:name="_Toc513029211"/>
      <w:r>
        <w:rPr>
          <w:rFonts w:hint="eastAsia" w:ascii="宋体" w:hAnsi="宋体" w:eastAsia="宋体" w:cs="宋体"/>
          <w:color w:val="auto"/>
          <w:sz w:val="24"/>
          <w:szCs w:val="24"/>
          <w:highlight w:val="none"/>
          <w:lang w:val="en-US" w:eastAsia="zh-CN" w:bidi="ar-SA"/>
        </w:rPr>
        <w:t xml:space="preserve">7</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招标文件的澄清</w:t>
      </w:r>
      <w:bookmarkEnd w:id="71"/>
      <w:r/>
      <w:bookmarkEnd w:id="72"/>
      <w:r/>
      <w:bookmarkEnd w:id="73"/>
      <w:r/>
      <w:bookmarkEnd w:id="74"/>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7.1任何要求对招标文件进行澄清的投标人，应在投标截止期</w:t>
      </w:r>
      <w:r>
        <w:rPr>
          <w:rFonts w:hint="eastAsia" w:ascii="宋体" w:hAnsi="宋体" w:eastAsia="宋体" w:cs="宋体"/>
          <w:b/>
          <w:color w:val="auto"/>
          <w:sz w:val="24"/>
          <w:szCs w:val="24"/>
          <w:highlight w:val="none"/>
          <w:lang w:val="en-US" w:eastAsia="zh-CN" w:bidi="ar-SA"/>
        </w:rPr>
        <w:t xml:space="preserve">十日</w:t>
      </w:r>
      <w:r>
        <w:rPr>
          <w:rFonts w:hint="eastAsia" w:ascii="宋体" w:hAnsi="宋体" w:eastAsia="宋体" w:cs="宋体"/>
          <w:color w:val="auto"/>
          <w:sz w:val="24"/>
          <w:szCs w:val="24"/>
          <w:highlight w:val="none"/>
          <w:lang w:val="en-US" w:eastAsia="zh-CN" w:bidi="ar-SA"/>
        </w:rPr>
        <w:t xml:space="preserve">前按招标公告中的通讯地址，以书面形式通知采购人。</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75" w:name="_Toc20823284"/>
      <w:r/>
      <w:bookmarkStart w:id="76" w:name="_Toc16938528"/>
      <w:r/>
      <w:bookmarkStart w:id="77" w:name="_Toc462564071"/>
      <w:r/>
      <w:bookmarkStart w:id="78" w:name="_Toc513029212"/>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招标文件的修改</w:t>
      </w:r>
      <w:bookmarkEnd w:id="75"/>
      <w:r/>
      <w:bookmarkEnd w:id="76"/>
      <w:r/>
      <w:bookmarkEnd w:id="77"/>
      <w:r/>
      <w:bookmarkEnd w:id="78"/>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8.1在投标截止时间前，采购人可以对招标文件进行修改。</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8.2采购人有权按照法定的要求推迟投标截止日期和开标日期。</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8.3招标文件的修改将在中国政府采购网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江苏政府采购网、盐城市政府采购网公布，补充文件将作为招标文件的组成部分，并对投标人具有约束力。</w:t>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79" w:name="_Toc462564072"/>
      <w:r/>
      <w:bookmarkStart w:id="80" w:name="_Toc20823285"/>
      <w:r/>
      <w:bookmarkStart w:id="81" w:name="_Toc120614216"/>
      <w:r/>
      <w:bookmarkStart w:id="82" w:name="_Toc16938529"/>
      <w:r/>
      <w:bookmarkStart w:id="83" w:name="_Toc513029213"/>
      <w:r>
        <w:rPr>
          <w:rFonts w:hint="eastAsia" w:ascii="宋体" w:hAnsi="宋体" w:eastAsia="宋体" w:cs="宋体"/>
          <w:b/>
          <w:color w:val="auto"/>
          <w:sz w:val="24"/>
          <w:szCs w:val="24"/>
          <w:highlight w:val="none"/>
          <w:lang w:val="en-US" w:eastAsia="zh-CN" w:bidi="ar-SA"/>
        </w:rPr>
        <w:t xml:space="preserve">三、投标文件的编制</w:t>
      </w:r>
      <w:bookmarkEnd w:id="79"/>
      <w:r/>
      <w:bookmarkEnd w:id="80"/>
      <w:r/>
      <w:bookmarkEnd w:id="81"/>
      <w:r/>
      <w:bookmarkEnd w:id="82"/>
      <w:r/>
      <w:bookmarkEnd w:id="83"/>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84" w:name="_Toc462564073"/>
      <w:r/>
      <w:bookmarkStart w:id="85" w:name="_Toc513029214"/>
      <w:r/>
      <w:bookmarkStart w:id="86" w:name="_Toc16938530"/>
      <w:r/>
      <w:bookmarkStart w:id="87" w:name="_Toc20823286"/>
      <w:r>
        <w:rPr>
          <w:rFonts w:hint="eastAsia" w:ascii="宋体" w:hAnsi="宋体" w:eastAsia="宋体" w:cs="宋体"/>
          <w:color w:val="auto"/>
          <w:sz w:val="24"/>
          <w:szCs w:val="24"/>
          <w:highlight w:val="none"/>
          <w:lang w:val="en-US" w:eastAsia="zh-CN" w:bidi="ar-SA"/>
        </w:rPr>
        <w:t xml:space="preserve">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投标文件的语言及度量衡单位</w:t>
      </w:r>
      <w:bookmarkEnd w:id="84"/>
      <w:r/>
      <w:bookmarkEnd w:id="85"/>
      <w:r/>
      <w:bookmarkEnd w:id="86"/>
      <w:r/>
      <w:bookmarkEnd w:id="87"/>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9.1投标人提交的投标文件以及投标人与采购人就有关投标的所有来往通知、函件和文件均应使用</w:t>
      </w:r>
      <w:r>
        <w:rPr>
          <w:rFonts w:hint="eastAsia" w:ascii="宋体" w:hAnsi="宋体" w:eastAsia="宋体" w:cs="宋体"/>
          <w:b/>
          <w:color w:val="auto"/>
          <w:sz w:val="24"/>
          <w:szCs w:val="24"/>
          <w:highlight w:val="none"/>
          <w:lang w:val="en-US" w:eastAsia="zh-CN" w:bidi="ar-SA"/>
        </w:rPr>
        <w:t xml:space="preserve">简体中文</w:t>
      </w:r>
      <w:r>
        <w:rPr>
          <w:rFonts w:hint="eastAsia" w:ascii="宋体" w:hAnsi="宋体" w:eastAsia="宋体" w:cs="宋体"/>
          <w:color w:val="auto"/>
          <w:sz w:val="24"/>
          <w:szCs w:val="24"/>
          <w:highlight w:val="none"/>
          <w:lang w:val="en-US" w:eastAsia="zh-CN" w:bidi="ar-SA"/>
        </w:rPr>
        <w:t xml:space="preserve">。</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9.2除技术性能另有规定外，投标文件所使用的度量衡单位，均须采用国家法定计量单位。</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88" w:name="_Toc20823287"/>
      <w:r/>
      <w:bookmarkStart w:id="89" w:name="_Toc513029215"/>
      <w:r/>
      <w:bookmarkStart w:id="90" w:name="_Toc16938531"/>
      <w:r/>
      <w:bookmarkStart w:id="91" w:name="_Toc462564074"/>
      <w:r>
        <w:rPr>
          <w:rFonts w:hint="eastAsia" w:ascii="宋体" w:hAnsi="宋体" w:eastAsia="宋体" w:cs="宋体"/>
          <w:color w:val="auto"/>
          <w:sz w:val="24"/>
          <w:szCs w:val="24"/>
          <w:highlight w:val="none"/>
          <w:lang w:val="en-US" w:eastAsia="zh-CN" w:bidi="ar-SA"/>
        </w:rPr>
        <w:t xml:space="preserve">10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投标文件构成</w:t>
      </w:r>
      <w:bookmarkEnd w:id="88"/>
      <w:r/>
      <w:bookmarkEnd w:id="89"/>
      <w:r/>
      <w:bookmarkEnd w:id="90"/>
      <w:r/>
      <w:bookmarkEnd w:id="91"/>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10.1投标人编写的投标文件应包括资格证明文件、符合性证明文件、投标分项报价表、技术要求响应及偏离表、商务要求响应及偏离表、其他证明文件、投标函、开标一览表等部分。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“江苏政府采购网”、“盐城市政府采购网”发布的招标文件为准。</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92" w:name="_Toc14577357"/>
      <w:r/>
      <w:bookmarkStart w:id="93" w:name="_Toc49090509"/>
      <w:r/>
      <w:bookmarkStart w:id="94" w:name="_Toc14577354"/>
      <w:r/>
      <w:bookmarkStart w:id="95" w:name="_Toc513029216"/>
      <w:r/>
      <w:bookmarkStart w:id="96" w:name="_Toc513029219"/>
      <w:r/>
      <w:bookmarkStart w:id="97" w:name="_Toc49090507"/>
      <w:r>
        <w:rPr>
          <w:rFonts w:hint="eastAsia" w:ascii="宋体" w:hAnsi="宋体" w:eastAsia="宋体" w:cs="宋体"/>
          <w:color w:val="auto"/>
          <w:sz w:val="24"/>
          <w:szCs w:val="24"/>
          <w:highlight w:val="none"/>
          <w:lang w:val="en-US" w:eastAsia="zh-CN" w:bidi="ar-SA"/>
        </w:rPr>
        <w:t xml:space="preserve">11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证明投标人及投标标的符合招标文件规定的文件</w:t>
      </w:r>
      <w:bookmarkEnd w:id="92"/>
      <w:r/>
      <w:bookmarkEnd w:id="93"/>
      <w:r/>
      <w:bookmarkEnd w:id="94"/>
      <w:r/>
      <w:bookmarkEnd w:id="95"/>
      <w:r/>
      <w:bookmarkEnd w:id="96"/>
      <w:r/>
      <w:bookmarkEnd w:id="97"/>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98" w:name="_Toc14577355"/>
      <w:r/>
      <w:bookmarkStart w:id="99" w:name="_Toc49090508"/>
      <w:r>
        <w:rPr>
          <w:rFonts w:hint="eastAsia" w:ascii="宋体" w:hAnsi="宋体" w:eastAsia="宋体" w:cs="宋体"/>
          <w:color w:val="auto"/>
          <w:sz w:val="24"/>
          <w:szCs w:val="24"/>
          <w:highlight w:val="none"/>
          <w:lang w:val="en-US" w:eastAsia="zh-CN" w:bidi="ar-SA"/>
        </w:rPr>
        <w:t xml:space="preserve">11.1投标人应按照法律、法规、规章和规范性文件以及招标文件要求提交证明文件，证明其及投标标的符合招标文件规定。</w:t>
      </w:r>
      <w:bookmarkEnd w:id="98"/>
      <w:r/>
      <w:bookmarkEnd w:id="99"/>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11.2招标文件对证明文件无明确形式要求的，证明文件可以以文字资料、图纸和数据等形式提交。</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投标分项报价表</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12.1投标人应按照招标文件规定格式填报投标分项报价表。</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12.2投标货币。投标文件中的单价和总价无特殊规定的采用人民币报价，以元为单位标注。招标文件中另有规定的按规定执行。</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技术要求响应及偏离表、商务要求响应及偏离表</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13.1投标人需对招标文件中的技术要求与商务要求逐项作出响应或偏离，并说明原因。</w:t>
      </w:r>
      <w:r/>
    </w:p>
    <w:p>
      <w:pPr>
        <w:ind w:left="0" w:firstLine="480"/>
        <w:jc w:val="both"/>
        <w:pageBreakBefore w:val="0"/>
        <w:spacing w:before="0" w:beforeAutospacing="0" w:after="0" w:afterAutospacing="0" w:line="520" w:lineRule="exact"/>
        <w:widowControl w:val="off"/>
        <w:tabs>
          <w:tab w:val="left" w:pos="1036"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13.2投标人可在投标文件中提供认为需要的其他技术文件或说明。</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00" w:name="_Toc14577359"/>
      <w:r/>
      <w:bookmarkStart w:id="101" w:name="_Toc49090510"/>
      <w:r>
        <w:rPr>
          <w:rFonts w:hint="eastAsia" w:ascii="宋体" w:hAnsi="宋体" w:eastAsia="宋体" w:cs="宋体"/>
          <w:color w:val="auto"/>
          <w:sz w:val="24"/>
          <w:szCs w:val="24"/>
          <w:highlight w:val="none"/>
          <w:lang w:val="en-US" w:eastAsia="zh-CN" w:bidi="ar-SA"/>
        </w:rPr>
        <w:t xml:space="preserve">14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投标函和开标一览表</w:t>
      </w:r>
      <w:bookmarkEnd w:id="100"/>
      <w:r/>
      <w:bookmarkEnd w:id="101"/>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14.1投标人应按照招标文件中提供的格式完整、正确填写投标函、开标一览表。</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lang w:val="en-US" w:eastAsia="zh-CN" w:bidi="ar-SA"/>
        </w:rPr>
        <w:t xml:space="preserve">。</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02" w:name="_Toc49090511"/>
      <w:r/>
      <w:bookmarkStart w:id="103" w:name="_Toc14577360"/>
      <w:r>
        <w:rPr>
          <w:rFonts w:hint="eastAsia" w:ascii="宋体" w:hAnsi="宋体" w:eastAsia="宋体" w:cs="宋体"/>
          <w:color w:val="auto"/>
          <w:sz w:val="24"/>
          <w:szCs w:val="24"/>
          <w:highlight w:val="none"/>
          <w:lang w:val="en-US" w:eastAsia="zh-CN" w:bidi="ar-SA"/>
        </w:rPr>
        <w:t xml:space="preserve">15</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投标有效期</w:t>
      </w:r>
      <w:bookmarkEnd w:id="102"/>
      <w:r/>
      <w:bookmarkEnd w:id="103"/>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15.1投标有效期为采购人规定的开标之日后</w:t>
      </w:r>
      <w:r>
        <w:rPr>
          <w:rFonts w:hint="eastAsia" w:ascii="宋体" w:hAnsi="宋体" w:eastAsia="宋体" w:cs="宋体"/>
          <w:b/>
          <w:color w:val="auto"/>
          <w:sz w:val="24"/>
          <w:szCs w:val="24"/>
          <w:highlight w:val="none"/>
          <w:u w:val="single"/>
          <w:lang w:val="en-US" w:eastAsia="zh-CN" w:bidi="ar-SA"/>
        </w:rPr>
        <w:t xml:space="preserve">九十（90）天</w:t>
      </w:r>
      <w:r>
        <w:rPr>
          <w:rFonts w:hint="eastAsia" w:ascii="宋体" w:hAnsi="宋体" w:eastAsia="宋体" w:cs="宋体"/>
          <w:color w:val="auto"/>
          <w:sz w:val="24"/>
          <w:szCs w:val="24"/>
          <w:highlight w:val="none"/>
          <w:lang w:val="en-US" w:eastAsia="zh-CN" w:bidi="ar-SA"/>
        </w:rPr>
        <w:t xml:space="preserve">。投标有效期比规定短的将被视为未实质性响应招标文件而予以拒绝。</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16</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投标有效期的延长</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04" w:name="_Toc20823296"/>
      <w:r/>
      <w:bookmarkStart w:id="105" w:name="_Toc16938540"/>
      <w:r/>
      <w:bookmarkStart w:id="106" w:name="_Toc120614217"/>
      <w:r/>
      <w:bookmarkStart w:id="107" w:name="_Toc513029224"/>
      <w:r>
        <w:rPr>
          <w:rFonts w:hint="eastAsia" w:ascii="宋体" w:hAnsi="宋体" w:eastAsia="宋体" w:cs="宋体"/>
          <w:b/>
          <w:color w:val="auto"/>
          <w:sz w:val="24"/>
          <w:szCs w:val="24"/>
          <w:highlight w:val="none"/>
          <w:lang w:val="en-US" w:eastAsia="zh-CN" w:bidi="ar-SA"/>
        </w:rPr>
        <w:t xml:space="preserve">四、投标文件的递交</w:t>
      </w:r>
      <w:bookmarkEnd w:id="104"/>
      <w:r/>
      <w:bookmarkEnd w:id="105"/>
      <w:r/>
      <w:bookmarkEnd w:id="106"/>
      <w:r/>
      <w:bookmarkEnd w:id="107"/>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08" w:name="_Toc462564084"/>
      <w:r/>
      <w:bookmarkStart w:id="109" w:name="_Toc20823297"/>
      <w:r/>
      <w:bookmarkStart w:id="110" w:name="_Toc513029225"/>
      <w:r/>
      <w:bookmarkStart w:id="111" w:name="_Toc16938541"/>
      <w:r>
        <w:rPr>
          <w:rFonts w:hint="eastAsia" w:ascii="宋体" w:hAnsi="宋体" w:eastAsia="宋体" w:cs="宋体"/>
          <w:color w:val="auto"/>
          <w:sz w:val="24"/>
          <w:szCs w:val="24"/>
          <w:highlight w:val="none"/>
          <w:lang w:val="en-US" w:eastAsia="zh-CN" w:bidi="ar-SA"/>
        </w:rPr>
        <w:t xml:space="preserve">17</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w:t>
      </w:r>
      <w:bookmarkEnd w:id="108"/>
      <w:r/>
      <w:bookmarkEnd w:id="109"/>
      <w:r/>
      <w:bookmarkEnd w:id="110"/>
      <w:r/>
      <w:bookmarkEnd w:id="111"/>
      <w:r>
        <w:rPr>
          <w:rFonts w:hint="eastAsia" w:ascii="宋体" w:hAnsi="宋体" w:eastAsia="宋体" w:cs="宋体"/>
          <w:color w:val="auto"/>
          <w:sz w:val="24"/>
          <w:szCs w:val="24"/>
          <w:highlight w:val="none"/>
          <w:lang w:val="en-US" w:eastAsia="zh-CN" w:bidi="ar-SA"/>
        </w:rPr>
        <w:t xml:space="preserve">的递交</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17.1 电子投标文件的递交</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投标人应当按照《操作手册》规定，在投标截止时间前制作并上传电子投标文件。</w:t>
      </w:r>
      <w:bookmarkStart w:id="112" w:name="_Toc16938542"/>
      <w:r/>
      <w:bookmarkEnd w:id="112"/>
      <w:r/>
      <w:bookmarkStart w:id="113" w:name="_Toc20823298"/>
      <w:r/>
      <w:bookmarkEnd w:id="113"/>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投标截止时间</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i/>
          <w:color w:val="auto"/>
          <w:sz w:val="24"/>
          <w:szCs w:val="24"/>
          <w:highlight w:val="none"/>
          <w:u w:val="single"/>
          <w:lang w:val="en-US" w:eastAsia="zh-CN" w:bidi="ar-SA"/>
        </w:rPr>
        <w:t xml:space="preserve">18.1投标人上传电子投标文件的时间不得迟于招标公告中规定的投标截止时间。</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投标人应充分考虑到网络环境、网络带宽等风险因素，如因投标人自身原因造成的电子投标文件上传不成功的按照本招标文件第二章第26.1.2条规定做无效投标处理。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18.2采购人可以按照规定，通过修改招标文件酌情延长投标截止时间，在此情况下，投标人的所有权利和义务以及投标人受制的截止时间均应以延长后新的截止时间为准。</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14" w:name="_Toc513029227"/>
      <w:r/>
      <w:bookmarkStart w:id="115" w:name="_Toc20823299"/>
      <w:r/>
      <w:bookmarkStart w:id="116" w:name="_Toc16938543"/>
      <w:r>
        <w:rPr>
          <w:rFonts w:hint="eastAsia" w:ascii="宋体" w:hAnsi="宋体" w:eastAsia="宋体" w:cs="宋体"/>
          <w:color w:val="auto"/>
          <w:sz w:val="24"/>
          <w:szCs w:val="24"/>
          <w:highlight w:val="none"/>
          <w:lang w:val="en-US" w:eastAsia="zh-CN" w:bidi="ar-SA"/>
        </w:rPr>
        <w:t xml:space="preserve">19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w:t>
      </w:r>
      <w:bookmarkEnd w:id="114"/>
      <w:r/>
      <w:bookmarkEnd w:id="115"/>
      <w:r/>
      <w:bookmarkEnd w:id="116"/>
      <w:r>
        <w:rPr>
          <w:rFonts w:hint="eastAsia" w:ascii="宋体" w:hAnsi="宋体" w:eastAsia="宋体" w:cs="宋体"/>
          <w:color w:val="auto"/>
          <w:sz w:val="24"/>
          <w:szCs w:val="24"/>
          <w:highlight w:val="none"/>
          <w:lang w:val="en-US" w:eastAsia="zh-CN" w:bidi="ar-SA"/>
        </w:rPr>
        <w:t xml:space="preserve">的拒收</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19.1采购人拒绝接收在其规定的投标截止时间后上传的任何投标文件。</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17" w:name="_Toc513029228"/>
      <w:r/>
      <w:bookmarkStart w:id="118" w:name="_Toc16938544"/>
      <w:r/>
      <w:bookmarkStart w:id="119" w:name="_Toc20823300"/>
      <w:r>
        <w:rPr>
          <w:rFonts w:hint="eastAsia" w:ascii="宋体" w:hAnsi="宋体" w:eastAsia="宋体" w:cs="宋体"/>
          <w:color w:val="auto"/>
          <w:sz w:val="24"/>
          <w:szCs w:val="24"/>
          <w:highlight w:val="none"/>
          <w:lang w:val="en-US" w:eastAsia="zh-CN" w:bidi="ar-SA"/>
        </w:rPr>
        <w:t xml:space="preserve">20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投标文件的撤回和修改</w:t>
      </w:r>
      <w:bookmarkEnd w:id="117"/>
      <w:r/>
      <w:bookmarkEnd w:id="118"/>
      <w:r/>
      <w:bookmarkEnd w:id="119"/>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20.1投标文件的撤回</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20.1.1电子投标文件的撤回</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投标人可在投标截止时间前，撤回其电子投标文件，具体操作方法见《操作手册》。</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20.1.2投标人撤回电子投标文件，则认为其不再参与本项目投标活动。</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20.2投标文件的修改</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20.2.1投标人可在投标截止时间前，对其电子投标文件进行修改，具体操作方法见《操作手册》。</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20.2.2在投标截止时间之后，投标人不得对其电子投标文件作任何修改。</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20.3在投标截止时间至招标文件中规定的投标有效期满之间的这段时间内，投标人不得撤回其投标。</w:t>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20" w:name="_Toc513029229"/>
      <w:r/>
      <w:bookmarkStart w:id="121" w:name="_Toc16938545"/>
      <w:r/>
      <w:bookmarkStart w:id="122" w:name="_Toc20823301"/>
      <w:r/>
      <w:bookmarkStart w:id="123" w:name="_Toc120614218"/>
      <w:r>
        <w:rPr>
          <w:rFonts w:hint="eastAsia" w:ascii="宋体" w:hAnsi="宋体" w:eastAsia="宋体" w:cs="宋体"/>
          <w:b/>
          <w:color w:val="auto"/>
          <w:sz w:val="24"/>
          <w:szCs w:val="24"/>
          <w:highlight w:val="none"/>
          <w:lang w:val="en-US" w:eastAsia="zh-CN" w:bidi="ar-SA"/>
        </w:rPr>
        <w:t xml:space="preserve">五、开标与评标</w:t>
      </w:r>
      <w:bookmarkEnd w:id="120"/>
      <w:r/>
      <w:bookmarkEnd w:id="121"/>
      <w:r/>
      <w:bookmarkEnd w:id="122"/>
      <w:r/>
      <w:bookmarkEnd w:id="123"/>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24" w:name="_Toc513029230"/>
      <w:r/>
      <w:bookmarkStart w:id="125" w:name="_Toc20823302"/>
      <w:r/>
      <w:bookmarkStart w:id="126" w:name="_Toc16938546"/>
      <w:r>
        <w:rPr>
          <w:rFonts w:hint="eastAsia" w:ascii="宋体" w:hAnsi="宋体" w:eastAsia="宋体" w:cs="宋体"/>
          <w:color w:val="auto"/>
          <w:sz w:val="24"/>
          <w:szCs w:val="24"/>
          <w:highlight w:val="none"/>
          <w:lang w:val="en-US" w:eastAsia="zh-CN" w:bidi="ar-SA"/>
        </w:rPr>
        <w:t xml:space="preserve">21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开标</w:t>
      </w:r>
      <w:bookmarkEnd w:id="124"/>
      <w:r/>
      <w:bookmarkEnd w:id="125"/>
      <w:r/>
      <w:bookmarkEnd w:id="126"/>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21.1招标代理机构将在招标公告中规定的时间和地点组织公开开标。投标人应当按照《操作手册》规定，参加开标活动和在苏采云系统规定的时间内对投标文件进行解密。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21.2开标仪式由招标代理机构组织。苏采云系统将自动对项目进行开标，并宣布各投标人名称和投标价格。</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21.3投标人在开标过程中涉及到的投标文件解密、开标结果确认等工作，应按照《操作手册》规定执行。</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21.4投标人如果对开标过程和开标记录有疑义，应当根据《操作手册》规定提出，如苏采云系统中《开标记录表》宣布后5分钟内未提出的，视同认可开标结果。</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27" w:name="_Toc513029231"/>
      <w:r/>
      <w:bookmarkStart w:id="128" w:name="_Toc20823303"/>
      <w:r/>
      <w:bookmarkStart w:id="129" w:name="_Toc16938547"/>
      <w:r>
        <w:rPr>
          <w:rFonts w:hint="eastAsia" w:ascii="宋体" w:hAnsi="宋体" w:eastAsia="宋体" w:cs="宋体"/>
          <w:color w:val="auto"/>
          <w:sz w:val="24"/>
          <w:szCs w:val="24"/>
          <w:highlight w:val="none"/>
          <w:lang w:val="en-US" w:eastAsia="zh-CN" w:bidi="ar-SA"/>
        </w:rPr>
        <w:t xml:space="preserve">22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评标委员会</w:t>
      </w:r>
      <w:bookmarkEnd w:id="127"/>
      <w:r/>
      <w:bookmarkEnd w:id="128"/>
      <w:r/>
      <w:bookmarkEnd w:id="129"/>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22.1开标后，采购人将立即组织评标委员会（以下简称评委会）进行评标。</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22.2评委会由采购人代表和有关技术、经济等方面的专家组成，且人员构成符合政府采购有关规定。</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22.3评委会独立工作，负责评审所有投标文件并确定中标</w:t>
      </w:r>
      <w:r>
        <w:rPr>
          <w:rFonts w:hint="eastAsia" w:ascii="宋体" w:hAnsi="宋体" w:cs="宋体"/>
          <w:color w:val="auto"/>
          <w:sz w:val="24"/>
          <w:szCs w:val="24"/>
          <w:highlight w:val="none"/>
          <w:lang w:val="en-US" w:eastAsia="zh-CN" w:bidi="ar-SA"/>
        </w:rPr>
        <w:t xml:space="preserve">候选人</w:t>
      </w:r>
      <w:r>
        <w:rPr>
          <w:rFonts w:hint="eastAsia" w:ascii="宋体" w:hAnsi="宋体" w:eastAsia="宋体" w:cs="宋体"/>
          <w:color w:val="auto"/>
          <w:sz w:val="24"/>
          <w:szCs w:val="24"/>
          <w:highlight w:val="none"/>
          <w:lang w:val="en-US" w:eastAsia="zh-CN" w:bidi="ar-SA"/>
        </w:rPr>
        <w:t xml:space="preserve">。</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评标过程的保密与公正</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23.1凡是与审查、澄清、评价和比较投标的有关资料以及授标建议等，采购人、评委、招标代理机构均不得向投标人或与评标无关的其他人员透露。</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23.2在评标过程中，投标人不得以任何行为影响评标过程，否则其投标文件将被作为无效投标文件。</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23.3采购人和评标委员会不向未中标的投标人解释未中标原因，也不公布评标过程中的相关细节。</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23.4采用综合评分法的项目，未中标的投标人可于中标结果公告期限届满之日起通过苏采云系统查看自己的评审得分及排序情况。</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30" w:name="_Toc16938548"/>
      <w:r/>
      <w:bookmarkStart w:id="131" w:name="_Toc20823304"/>
      <w:r/>
      <w:bookmarkStart w:id="132" w:name="_Toc513029232"/>
      <w:r>
        <w:rPr>
          <w:rFonts w:hint="eastAsia" w:ascii="宋体" w:hAnsi="宋体" w:eastAsia="宋体" w:cs="宋体"/>
          <w:color w:val="auto"/>
          <w:sz w:val="24"/>
          <w:szCs w:val="24"/>
          <w:highlight w:val="none"/>
          <w:lang w:val="en-US" w:eastAsia="zh-CN" w:bidi="ar-SA"/>
        </w:rPr>
        <w:t xml:space="preserve">24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投标文件的澄清</w:t>
      </w:r>
      <w:bookmarkEnd w:id="130"/>
      <w:r/>
      <w:bookmarkEnd w:id="131"/>
      <w:r/>
      <w:bookmarkEnd w:id="132"/>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24.1评标期间，评委会对投标文件中含义不明确、同类问题表述不一致或者有明显文字和计算错误的内容 ，有权要求投标人作出必要的澄清、说明或者补正。</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投标人的澄清、说明或者补正不得超出投标文件的范围或者改变投标文件的实质性内容。</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评标委员会并非对每个投标人都做澄清要求。</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24.3接到评委会澄清、说明和补正要求的投标人如未按规定做出澄清、说明和补正，其风险由投标人自行承担。</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33" w:name="_Toc20823305"/>
      <w:r/>
      <w:bookmarkStart w:id="134" w:name="_Toc16938549"/>
      <w:r/>
      <w:bookmarkStart w:id="135" w:name="_Toc513029233"/>
      <w:r>
        <w:rPr>
          <w:rFonts w:hint="eastAsia" w:ascii="宋体" w:hAnsi="宋体" w:eastAsia="宋体" w:cs="宋体"/>
          <w:color w:val="auto"/>
          <w:sz w:val="24"/>
          <w:szCs w:val="24"/>
          <w:highlight w:val="none"/>
          <w:lang w:val="en-US" w:eastAsia="zh-CN" w:bidi="ar-SA"/>
        </w:rPr>
        <w:t xml:space="preserve">25</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对投标文件的初审</w:t>
      </w:r>
      <w:bookmarkEnd w:id="133"/>
      <w:r/>
      <w:bookmarkEnd w:id="134"/>
      <w:r/>
      <w:bookmarkEnd w:id="135"/>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25.1投标文件初审分为资格审查和符合性审查。</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25.1.1资格审查：依据法律法规和招标文件的规定，由采购人对投标文件中的资格证明文件进行审查。资格审查的结论，采购人以书面形式向评委会进行反馈。</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采购人在进行资格性审查的同时，将在“信用中国”网站（www.creditchina.gov.cn）查询投标人的信用记录，以确定投标人是否具备投标资格</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查询结果留存并归档。</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联合体成员存在不良信用记录的，视同联合体存在不良应用记录。</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25.1.2符合性审查：依据招标文件的规定，由评委会从投标文件的有效性、完整性和对招标文件的响应程度进行审查，以确定是否对招标文件的实质性要求作出响应。</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25.1.3未通过资格审查或符合性审查的投标人，招标代理机构将在苏采云系统中告知未通过资格审查或符合性审查的原因，评标结束后，招标代理机构将不再告知未通过资格审查和符合性审查的原因。</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25.3如果投标文件实质上没有响应招标文件的要求，评委会将予以拒绝，投标人不得通过修改或撤销不合要求的偏离或保留而使其投标成为实质性响应的投标。</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25.4评委会将对确定为实质性响应的投标进行进一步审核，确定其是否有计算上或累加上的算术错误，修正错误的原则如下：</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（1）投标文件中开标一览表内容与投标文件中相应内容不一致的，以开标一览表为准。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（2）大写金额和小写金额不一致的，以大写金额为准。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（3）单价金额小数点或者百分比有明显错位的，以开标一览表的总价为准，并修改单价。</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（4）总价金额与按单价汇总金额不一致的，以单价金额计算结果为准。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同时出现两种以上错误的，按照前款规定的顺序修正。</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36" w:name="_Toc513029234"/>
      <w:r/>
      <w:bookmarkStart w:id="137" w:name="_Toc20823306"/>
      <w:r/>
      <w:bookmarkStart w:id="138" w:name="_Toc16938550"/>
      <w:r>
        <w:rPr>
          <w:rFonts w:hint="eastAsia" w:ascii="宋体" w:hAnsi="宋体" w:eastAsia="宋体" w:cs="宋体"/>
          <w:color w:val="auto"/>
          <w:sz w:val="24"/>
          <w:szCs w:val="24"/>
          <w:highlight w:val="none"/>
          <w:lang w:val="en-US" w:eastAsia="zh-CN" w:bidi="ar-SA"/>
        </w:rPr>
        <w:t xml:space="preserve">25.6投标人在开、评标全过程中应保持通讯畅通，及时登录苏采云系统查阅、答复相关信息，并安排专人与采购人及评标委员会联系。</w:t>
      </w:r>
      <w:bookmarkEnd w:id="136"/>
      <w:r/>
      <w:bookmarkEnd w:id="137"/>
      <w:r/>
      <w:bookmarkEnd w:id="138"/>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无效投标条款和废标条款</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39" w:name="_Toc513029235"/>
      <w:r/>
      <w:bookmarkStart w:id="140" w:name="_Toc20823307"/>
      <w:r/>
      <w:bookmarkStart w:id="141" w:name="_Toc16938551"/>
      <w:r>
        <w:rPr>
          <w:rFonts w:hint="eastAsia" w:ascii="宋体" w:hAnsi="宋体" w:eastAsia="宋体" w:cs="宋体"/>
          <w:color w:val="auto"/>
          <w:sz w:val="24"/>
          <w:szCs w:val="24"/>
          <w:highlight w:val="none"/>
          <w:lang w:val="en-US" w:eastAsia="zh-CN" w:bidi="ar-SA"/>
        </w:rPr>
        <w:t xml:space="preserve">26.1无效投标条款</w:t>
      </w:r>
      <w:bookmarkEnd w:id="139"/>
      <w:r/>
      <w:bookmarkEnd w:id="140"/>
      <w:r/>
      <w:bookmarkEnd w:id="141"/>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26.1.1投标人在苏采云系统规定的时间内未成功解密电子投标文件的。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26.1.2投标人未按照招标文件要求上传电子投标文件的。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26.1.3同一投标人提交两个（含两个）以上不同的投标报价的。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26.1.4投标人不具备招标文件中规定资格要求的。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26.1.5投标人的报价超过了采购预算或最高限价的。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26.1.6未通过符合性审查的。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26.1.7不符合招标文件中规定的实质性要求和条件的（</w:t>
      </w:r>
      <w:r>
        <w:rPr>
          <w:rFonts w:hint="eastAsia" w:ascii="宋体" w:hAnsi="宋体" w:eastAsia="宋体" w:cs="宋体"/>
          <w:i/>
          <w:color w:val="auto"/>
          <w:sz w:val="24"/>
          <w:szCs w:val="24"/>
          <w:highlight w:val="none"/>
          <w:u w:val="single"/>
          <w:lang w:val="en-US" w:eastAsia="zh-CN" w:bidi="ar-SA"/>
        </w:rPr>
        <w:t xml:space="preserve">本招标文件中斜体且有下划线部分为实质性要求和条件）。</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26.1.9投标文件含有采购人不能接受的附加条件的。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26.1.10投标人不能证明其报价合理性的，评标委员会应当将其作为无效投标处理。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（一）评审过程中出现下列情形之一的，评标委员会应当启动异常低价投标审查程序：</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全部通过符合性审查供应商投标（响应）报价平均值×50%；</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通过符合性审查的次低报价供应商投标（响应）报价×50%；</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3.投标（响应）报价低于采购项目最高限价45%的，即投标（响应）报价</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采购项目最高限价×45%；</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4.评审委员会基于专业判断，认为供应商报价过低，有可能影响产品质量或者不能诚信履约的其他情形。</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提醒：采购人可以结合具体项目实际情况，提高上述第1项至第3项中启动异常低价投标（响应）审查的数值标准，但是最高不得超过65%。</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26.1.11投标文件未按照招标文件要求加盖CA电子公章的。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26.1.12其他法律、法规及本招标文件规定的属无效投标的情形。</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26.2废标条款</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26.2.1符合专业条件的供应商或者对招标文件作实质响应的供应商不足三家的。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26.2.2出现影响采购公正的违法、违规行为的。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26.2.3因重大变故，采购任务取消的。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26.2.4评标委员会认定招标文件存在歧义、重大缺陷导致评审工作无法进行。</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26.2.5因苏采云系统系统故障原因造成开标不成功的。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26.3 投标截止时间结束后参加投标的供应商不足三家的处理：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26.3.1如出现投标截止时间结束后参加投标的供应商或者在评标期间对招标文件做出实质响应的供应商不足三家情况，按政府采购相关规定执行。</w:t>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42" w:name="_Toc120614219"/>
      <w:r>
        <w:rPr>
          <w:rFonts w:hint="eastAsia" w:ascii="宋体" w:hAnsi="宋体" w:eastAsia="宋体" w:cs="宋体"/>
          <w:b/>
          <w:color w:val="auto"/>
          <w:sz w:val="24"/>
          <w:szCs w:val="24"/>
          <w:highlight w:val="none"/>
          <w:lang w:val="en-US" w:eastAsia="zh-CN" w:bidi="ar-SA"/>
        </w:rPr>
        <w:t xml:space="preserve">六、定标</w:t>
      </w:r>
      <w:bookmarkEnd w:id="142"/>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43" w:name="_Toc20823310"/>
      <w:r/>
      <w:bookmarkStart w:id="144" w:name="_Toc513029238"/>
      <w:r/>
      <w:bookmarkStart w:id="145" w:name="_Toc16938554"/>
      <w:r>
        <w:rPr>
          <w:rFonts w:hint="eastAsia" w:ascii="宋体" w:hAnsi="宋体" w:eastAsia="宋体" w:cs="宋体"/>
          <w:color w:val="auto"/>
          <w:sz w:val="24"/>
          <w:szCs w:val="24"/>
          <w:highlight w:val="none"/>
          <w:lang w:val="en-US" w:eastAsia="zh-CN" w:bidi="ar-SA"/>
        </w:rPr>
        <w:t xml:space="preserve">27</w:t>
      </w:r>
      <w:bookmarkEnd w:id="143"/>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确定</w:t>
      </w:r>
      <w:bookmarkEnd w:id="144"/>
      <w:r/>
      <w:bookmarkEnd w:id="145"/>
      <w:r>
        <w:rPr>
          <w:rFonts w:hint="eastAsia" w:ascii="宋体" w:hAnsi="宋体" w:eastAsia="宋体" w:cs="宋体"/>
          <w:color w:val="auto"/>
          <w:sz w:val="24"/>
          <w:szCs w:val="24"/>
          <w:highlight w:val="none"/>
          <w:lang w:val="en-US" w:eastAsia="zh-CN" w:bidi="ar-SA"/>
        </w:rPr>
        <w:t xml:space="preserve">中标单位</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27.1中标候选人的选取原则和数量见招标文件第五章规定。 </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27.2采购人应根据评委会推荐的中标候选人确定中标人。</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27.3采购人将在“中国政府采购网”、“江苏政府采购网”、“盐城市政府采购网”发布中标公告，公告期限为1个工作日。</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27.4若有充分证据证明，中标人出现下列情况之一的，一经查实，将被取消中标资格：</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27.4.1提供虚假材料谋取中标的。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27.4.2向采购人、招标代理机构行贿或者提供其他不正当利益的。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27.4.3属于本文件规定的无效条件，但在评标过程中又未被评委会发现的。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27.4.4与采购人或者其他供应商恶意串通的。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27.4.5采取不正当手段诋毁、排挤其他供应商的。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46" w:name="_Toc200451960"/>
      <w:r>
        <w:rPr>
          <w:rFonts w:hint="eastAsia" w:ascii="宋体" w:hAnsi="宋体" w:eastAsia="宋体" w:cs="宋体"/>
          <w:color w:val="auto"/>
          <w:sz w:val="24"/>
          <w:szCs w:val="24"/>
          <w:highlight w:val="none"/>
          <w:lang w:val="en-US" w:eastAsia="zh-CN" w:bidi="ar-SA"/>
        </w:rPr>
        <w:t xml:space="preserve">27.5 有下列情形之一的，视为投标人串通投标，投标无效：</w:t>
      </w:r>
      <w:bookmarkEnd w:id="146"/>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27.5.1不同投标人的投标文件由同一单位或者个人编制。</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27.5.2不同投标人委托同一单位或者个人办理投标事宜。</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27.5.3不同投标人的投标文件载明的项目管理成员或者联系人员为同一人。</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27.5.4不同投标人的投标文件异常一致或者投标报价呈规律性差异。</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质疑处理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28.1提出质疑的供应商应当是参与所质疑项目采购活动的供应商。潜在供应商依法获取其可质疑的采购文件的，可以对采购文件提出质疑。</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28.2.1对可以质疑的采购文件提出质疑的，为收到采购文件之日或者采购文件公告期限届满之日；</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28.2.2对采购过程提出质疑的，为各采购程序环节结束之日；</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28.2.3对中标或者成交结果提出质疑的，为中标或者成交结果公告期限届满之日。</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r/>
    </w:p>
    <w:p>
      <w:pPr>
        <w:ind w:left="0" w:firstLine="480"/>
        <w:jc w:val="left"/>
        <w:pageBreakBefore w:val="0"/>
        <w:spacing w:line="520" w:lineRule="exact"/>
        <w:widowControl w:val="off"/>
        <w:tabs>
          <w:tab w:val="left" w:pos="133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招标代理机构及采购人只接收以纸质原件形式送达的质疑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采购人和招标代理机构不接受未填写快递运单的快件。质疑接收</w:t>
      </w:r>
      <w:r>
        <w:rPr>
          <w:rFonts w:hint="eastAsia" w:ascii="宋体" w:hAnsi="宋体" w:cs="宋体"/>
          <w:color w:val="auto"/>
          <w:sz w:val="24"/>
          <w:szCs w:val="24"/>
          <w:highlight w:val="none"/>
          <w:lang w:val="en-US" w:eastAsia="zh-CN" w:bidi="ar-SA"/>
        </w:rPr>
        <w:t xml:space="preserve">地址：盐城青年西路8号8楼805</w:t>
      </w:r>
      <w:r>
        <w:rPr>
          <w:rFonts w:hint="eastAsia" w:ascii="宋体" w:hAnsi="宋体" w:eastAsia="宋体" w:cs="宋体"/>
          <w:color w:val="auto"/>
          <w:sz w:val="24"/>
          <w:szCs w:val="24"/>
          <w:highlight w:val="none"/>
          <w:lang w:val="en-US" w:eastAsia="zh-CN" w:bidi="ar-SA"/>
        </w:rPr>
        <w:t xml:space="preserve">，联系电话：0515-</w:t>
      </w:r>
      <w:r>
        <w:rPr>
          <w:rFonts w:hint="eastAsia" w:ascii="宋体" w:hAnsi="宋体" w:cs="宋体"/>
          <w:color w:val="auto"/>
          <w:sz w:val="24"/>
          <w:szCs w:val="24"/>
          <w:highlight w:val="none"/>
          <w:lang w:val="en-US" w:eastAsia="zh-CN" w:bidi="ar-SA"/>
        </w:rPr>
        <w:t xml:space="preserve">69057406</w:t>
      </w:r>
      <w:r>
        <w:rPr>
          <w:rFonts w:hint="eastAsia" w:ascii="宋体" w:hAnsi="宋体" w:eastAsia="宋体" w:cs="宋体"/>
          <w:color w:val="auto"/>
          <w:sz w:val="24"/>
          <w:szCs w:val="24"/>
          <w:highlight w:val="none"/>
          <w:lang w:val="en-US" w:eastAsia="zh-CN" w:bidi="ar-SA"/>
        </w:rPr>
        <w:t xml:space="preserve">。</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 以下情形的质疑不予受理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28.5.1内容不符合《政府采购质疑和投诉办法》第十二条规定的质疑。</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28.5.2超出政府采购法定期限的质疑。</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28.5.3以传真、电子邮件等方式递交的非原件形式的质疑。</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28.5.4未参加投标活动的供应商或在投标活动中自身权益未受到损害的供应商所提出的质疑。</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28.5.5供应商组成联合体参加投标，联合体中任何一方或多方未按要求签字、盖章、加盖公章的质疑。</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中标通知书</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29.l中标结果确定后，采购人将向中标人发出中标通知书。请中标人在中标结果公告届满之日起30日内</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因未及时下载而造成的不利后果由中标人自行承担。</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29.2中标通知书将是合同的一个组成部分。对采购人和中标人均具有法律效力。中标通知书发出后，采购人改变中标结果的，或者中标人放弃中标项目的，应当依法承担法律责任。</w:t>
      </w:r>
      <w:r/>
    </w:p>
    <w:p>
      <w:pPr>
        <w:ind w:left="0" w:firstLine="482"/>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47" w:name="_Toc20823308"/>
      <w:r/>
      <w:bookmarkStart w:id="148" w:name="_Toc513029236"/>
      <w:r/>
      <w:bookmarkStart w:id="149" w:name="_Toc16938552"/>
      <w:r/>
      <w:bookmarkStart w:id="150" w:name="_Toc120614220"/>
      <w:r>
        <w:rPr>
          <w:rFonts w:hint="eastAsia" w:ascii="宋体" w:hAnsi="宋体" w:eastAsia="宋体" w:cs="宋体"/>
          <w:b/>
          <w:color w:val="auto"/>
          <w:sz w:val="24"/>
          <w:szCs w:val="24"/>
          <w:highlight w:val="none"/>
          <w:lang w:val="en-US" w:eastAsia="zh-CN" w:bidi="ar-SA"/>
        </w:rPr>
        <w:t xml:space="preserve">七、授予合同</w:t>
      </w:r>
      <w:bookmarkEnd w:id="147"/>
      <w:r/>
      <w:bookmarkEnd w:id="148"/>
      <w:r/>
      <w:bookmarkEnd w:id="149"/>
      <w:r/>
      <w:bookmarkEnd w:id="150"/>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bookmarkStart w:id="151" w:name="_Toc513029237"/>
      <w:r/>
      <w:bookmarkStart w:id="152" w:name="_Toc20823309"/>
      <w:r/>
      <w:bookmarkStart w:id="153" w:name="_Toc16938553"/>
      <w:r>
        <w:rPr>
          <w:rFonts w:hint="eastAsia" w:ascii="宋体" w:hAnsi="宋体" w:eastAsia="宋体" w:cs="宋体"/>
          <w:color w:val="auto"/>
          <w:sz w:val="24"/>
          <w:szCs w:val="24"/>
          <w:highlight w:val="none"/>
          <w:lang w:val="en-US" w:eastAsia="zh-CN" w:bidi="ar-SA"/>
        </w:rPr>
        <w:t xml:space="preserve">30.签订合同</w:t>
      </w:r>
      <w:bookmarkEnd w:id="151"/>
      <w:r/>
      <w:bookmarkEnd w:id="152"/>
      <w:r/>
      <w:bookmarkEnd w:id="153"/>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30.l中标人应当在中标通知书发出之日起三十日内，按照招标文件确定的事项与采购人签订政府采购合同。</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30.2招标文件、中标人的投标文件及招标过程中有关澄清、承诺文件均应作为合同附件。</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30.3签订合同后，</w:t>
      </w:r>
      <w:r>
        <w:rPr>
          <w:rFonts w:hint="eastAsia" w:ascii="宋体" w:hAnsi="宋体" w:eastAsia="宋体" w:cs="宋体"/>
          <w:i/>
          <w:color w:val="auto"/>
          <w:sz w:val="24"/>
          <w:szCs w:val="24"/>
          <w:highlight w:val="none"/>
          <w:u w:val="single"/>
          <w:lang w:val="en-US" w:eastAsia="zh-CN" w:bidi="ar-SA"/>
        </w:rPr>
        <w:t xml:space="preserve">中标人不得将合同标的进行转包</w:t>
      </w:r>
      <w:r>
        <w:rPr>
          <w:rFonts w:hint="eastAsia" w:ascii="宋体" w:hAnsi="宋体" w:eastAsia="宋体" w:cs="宋体"/>
          <w:color w:val="auto"/>
          <w:sz w:val="24"/>
          <w:szCs w:val="24"/>
          <w:highlight w:val="none"/>
          <w:lang w:val="en-US" w:eastAsia="zh-CN" w:bidi="ar-SA"/>
        </w:rPr>
        <w:t xml:space="preserve">。未经采购人同意，中标人也不得采用分包的形式履行合同，否则采购人有权终止合同。转包或分包造成采购人损失的，中标人应承担相应赔偿责任。</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服务（包含与服务相关的货物）的追加</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32.政府采购政策功能落实</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32.1政府采购线上合同信用融资政策</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根据《转发江苏省财政厅 中国人民银行南京分行</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关于深入推进政府采购线上合同信用融资工作的通知</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32.2进口产品</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32.3.1中小企业定义：</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中小企业是</w:t>
      </w:r>
      <w:r>
        <w:rPr>
          <w:rFonts w:hint="eastAsia" w:ascii="宋体" w:hAnsi="宋体" w:eastAsia="宋体" w:cs="宋体"/>
          <w:color w:val="auto"/>
          <w:sz w:val="24"/>
          <w:szCs w:val="24"/>
          <w:highlight w:val="none"/>
          <w:lang w:val="en-US" w:eastAsia="zh-CN" w:bidi="ar-S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32.3.2供应商提供的货物、工程或者服务符合下列情形的，享受中小企业扶持政策：</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32.3.2.1在货物采购项目中，货物由中小企业制造，即货物由中小企业生产且使用该中小企业商号或者注册商标；</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32.3.2.2在工程采购项目中，工程由中小企业承建，即工程施工单位为中小企业；</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32.3.2.3在服务采购项目中，服务由中小企业承接，即提供服务的人员为中小企业依照《中华人民共和国劳动合同法》订立劳动合同的从业人员。</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32.3.3在货物采购项目中，供应商提供的货物既有中小企业制造货物，也有大型企业制造货物的，不享受中小企业扶持政策。</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32.3.4以联合体形式参加政府采购活动，联合体各方均为中小企业的，联合体视同中小企业。其中，联合体各方均为小微企业的，联合体视同小微企业。</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32.3.6残疾人福利单位定义：享受政府采购支持政策的残疾人福利性单位应当同时满足以下条件：</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32.3.6.1安置的残疾人占本单位在职职工人数的比例不低于25%（含25%），并且安置的残疾人人数不少于10 人（含10 人）；</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32.3.6.2依法与安置的每位残疾人签订了一年以上（含一年）的劳动合同或服务协议；</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32.3.6.3为安置的每位残疾人按月足额缴纳了基本养老保险、基本医疗保险、失业保险、工伤保险和生育保险等社会保险费；</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32.3.6.4通过银行等金融机构向安置的每位残疾人，按月支付了不低于单位所在区县适用的经省级人民政府批准的月最低工资标准的工资；</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32.3.6.5提供本单位制造的货物、承担的工程或者服务（以下简称产品），或者提供其他残疾人福利性单位制造的货物（不包括使用非残疾人福利性单位注册商标的货物）；</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32.3.7本项目是否专门面向中小企业预留采购份额见第一章《招标公告》。</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32.3.8采购标的对应的中小企业划分标准所属行业见第四章《采购需求》。</w:t>
      </w:r>
      <w:r/>
    </w:p>
    <w:p>
      <w:pPr>
        <w:ind w:left="0" w:firstLine="480"/>
        <w:jc w:val="both"/>
        <w:keepLines/>
        <w:keepNext/>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32.4.1严格执行政府采购关于支持</w:t>
      </w:r>
      <w:r>
        <w:rPr>
          <w:rFonts w:hint="eastAsia" w:ascii="宋体" w:hAnsi="宋体" w:eastAsia="宋体" w:cs="宋体"/>
          <w:color w:val="auto"/>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32.5绿色包装</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在供货、安装过程中能做到低碳物流、环保节约、提高资源利用率。</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32.6政府采购创新产品</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32.7绿色数据中心政策</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32.8.1</w:t>
      </w:r>
      <w:r>
        <w:rPr>
          <w:rFonts w:hint="eastAsia" w:ascii="宋体" w:hAnsi="宋体" w:eastAsia="宋体" w:cs="宋体"/>
          <w:color w:val="auto"/>
          <w:sz w:val="24"/>
          <w:szCs w:val="24"/>
          <w:highlight w:val="none"/>
          <w:lang w:val="en-US" w:eastAsia="zh-CN" w:bidi="ar-SA"/>
        </w:rPr>
        <w:t xml:space="preserve">本项目对采购本国产品给予政策支持，具体内容见招标文件“第五章评标方法与评标标准”。</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32.8.2</w:t>
      </w:r>
      <w:r>
        <w:rPr>
          <w:rFonts w:hint="eastAsia" w:ascii="宋体" w:hAnsi="宋体" w:eastAsia="宋体" w:cs="宋体"/>
          <w:color w:val="auto"/>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32.8.3</w:t>
      </w:r>
      <w:r>
        <w:rPr>
          <w:rFonts w:hint="eastAsia" w:ascii="宋体" w:hAnsi="宋体" w:eastAsia="宋体" w:cs="宋体"/>
          <w:color w:val="auto"/>
          <w:sz w:val="24"/>
          <w:szCs w:val="24"/>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u w:val="single"/>
          <w:lang w:val="en-US" w:eastAsia="zh-CN" w:bidi="ar-SA"/>
        </w:rPr>
        <w:outlineLvl w:val="9"/>
      </w:pPr>
      <w:r>
        <w:rPr>
          <w:rFonts w:hint="eastAsia" w:ascii="宋体" w:hAnsi="宋体" w:cs="宋体"/>
          <w:color w:val="auto"/>
          <w:sz w:val="24"/>
          <w:szCs w:val="24"/>
          <w:highlight w:val="none"/>
          <w:lang w:val="en-US" w:eastAsia="zh-CN" w:bidi="ar-SA"/>
        </w:rPr>
        <w:t xml:space="preserve">32.8.4</w:t>
      </w:r>
      <w:r>
        <w:rPr>
          <w:rFonts w:hint="eastAsia" w:ascii="宋体" w:hAnsi="宋体" w:eastAsia="宋体" w:cs="宋体"/>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32.</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履约保证金政策</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33.预付款制度</w:t>
      </w:r>
      <w:r/>
    </w:p>
    <w:p>
      <w:pPr>
        <w:ind w:left="0" w:firstLine="480"/>
        <w:jc w:val="both"/>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ind w:firstLine="482"/>
        <w:jc w:val="left"/>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八、其他</w:t>
      </w:r>
      <w:r/>
    </w:p>
    <w:p>
      <w:pPr>
        <w:ind w:firstLine="480"/>
        <w:jc w:val="left"/>
        <w:spacing w:line="500" w:lineRule="exact"/>
        <w:rPr>
          <w:rFonts w:hint="eastAsia" w:ascii="宋体" w:hAnsi="宋体" w:cs="宋体"/>
          <w:b w:val="0"/>
          <w:bCs/>
          <w:color w:val="auto"/>
          <w:sz w:val="24"/>
          <w:highlight w:val="none"/>
        </w:rPr>
        <w:sectPr>
          <w:footerReference w:type="default" r:id="rId15"/>
          <w:footnotePr/>
          <w:endnotePr/>
          <w:type w:val="nextPage"/>
          <w:pgSz w:w="11906" w:h="16838" w:orient="portrait"/>
          <w:pgMar w:top="1440" w:right="1474" w:bottom="1440" w:left="1474" w:header="851" w:footer="992" w:gutter="0"/>
          <w:cols w:num="1" w:sep="0" w:space="0" w:equalWidth="1"/>
          <w:docGrid w:linePitch="360"/>
        </w:sectPr>
      </w:pPr>
      <w:r>
        <w:rPr>
          <w:rFonts w:hint="eastAsia" w:ascii="宋体" w:hAnsi="宋体" w:eastAsia="宋体" w:cs="宋体"/>
          <w:b w:val="0"/>
          <w:bCs/>
          <w:color w:val="auto"/>
          <w:sz w:val="24"/>
          <w:highlight w:val="none"/>
        </w:rPr>
        <w:t xml:space="preserve">本项目代理机构按项目中标金额的下列比例收取代理服务费，由中标供应商在领取中标通知书前一次性向代理机构付清，中标金额的100万及以下部分费率为0.825%，100万（以上）至500万（含500万）部分费率为0.44%。上述费用招标人已列入</w:t>
      </w:r>
      <w:r>
        <w:rPr>
          <w:rFonts w:hint="eastAsia" w:ascii="宋体" w:hAnsi="宋体" w:cs="宋体"/>
          <w:b w:val="0"/>
          <w:bCs/>
          <w:color w:val="auto"/>
          <w:sz w:val="24"/>
          <w:highlight w:val="none"/>
          <w:lang w:val="en-US" w:eastAsia="zh-CN"/>
        </w:rPr>
        <w:t xml:space="preserve">本</w:t>
      </w:r>
      <w:r>
        <w:rPr>
          <w:rFonts w:hint="eastAsia" w:ascii="宋体" w:hAnsi="宋体" w:eastAsia="宋体" w:cs="宋体"/>
          <w:b w:val="0"/>
          <w:bCs/>
          <w:color w:val="auto"/>
          <w:sz w:val="24"/>
          <w:highlight w:val="none"/>
        </w:rPr>
        <w:t xml:space="preserve">采购项目预算</w:t>
      </w:r>
      <w:r>
        <w:rPr>
          <w:rFonts w:hint="eastAsia" w:ascii="宋体" w:hAnsi="宋体" w:cs="宋体"/>
          <w:b w:val="0"/>
          <w:bCs/>
          <w:color w:val="auto"/>
          <w:sz w:val="24"/>
          <w:highlight w:val="none"/>
          <w:lang w:val="en-US" w:eastAsia="zh-CN"/>
        </w:rPr>
        <w:t xml:space="preserve">总价中</w:t>
      </w:r>
      <w:r>
        <w:rPr>
          <w:rFonts w:hint="eastAsia" w:ascii="宋体" w:hAnsi="宋体" w:eastAsia="宋体" w:cs="宋体"/>
          <w:b w:val="0"/>
          <w:bCs/>
          <w:color w:val="auto"/>
          <w:sz w:val="24"/>
          <w:highlight w:val="none"/>
        </w:rPr>
        <w:t xml:space="preserve">，中标人应自行综合考虑到投标报价中，无须单独列项，招标人不另支付上述费用。</w:t>
      </w:r>
      <w:r/>
    </w:p>
    <w:p>
      <w:pPr>
        <w:pStyle w:val="785"/>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bookmarkStart w:id="154" w:name="_Toc21083"/>
      <w:r/>
      <w:bookmarkStart w:id="155" w:name="_Toc8695"/>
      <w:r>
        <w:rPr>
          <w:rFonts w:ascii="黑体" w:hAnsi="黑体" w:eastAsia="黑体" w:cs="黑体"/>
          <w:b/>
          <w:color w:val="auto"/>
          <w:sz w:val="44"/>
        </w:rPr>
        <w:t xml:space="preserve">第三章 合同文本</w:t>
      </w:r>
      <w:bookmarkEnd w:id="154"/>
      <w:r/>
      <w:bookmarkEnd w:id="155"/>
      <w:r/>
      <w:r/>
    </w:p>
    <w:p>
      <w:pPr>
        <w:ind w:left="0" w:right="0" w:firstLine="480"/>
        <w:jc w:val="both"/>
        <w:spacing w:before="0" w:after="0" w:line="85"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甲方：</w:t>
      </w:r>
      <w:r>
        <w:rPr>
          <w:rFonts w:ascii="宋体" w:hAnsi="宋体" w:eastAsia="宋体" w:cs="宋体"/>
          <w:color w:val="auto"/>
          <w:sz w:val="24"/>
          <w:u w:val="single"/>
        </w:rPr>
        <w:t xml:space="preserve">盐城市第一人民医院</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乙方：</w:t>
      </w:r>
      <w:r>
        <w:rPr>
          <w:rFonts w:ascii="宋体" w:hAnsi="宋体" w:eastAsia="宋体" w:cs="宋体"/>
          <w:color w:val="auto"/>
          <w:sz w:val="24"/>
          <w:u w:val="single"/>
        </w:rPr>
        <w:t xml:space="preserve">        </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甲乙双方根据《中华人民共和国民法典》、《中华人民共和国消防法》和《江苏省消防条例》等规定，明确双方的权利和义务，结合具体情况，经协商达成如下协议，特订立本合同，以便共同遵守。</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一、项目名称：</w:t>
      </w:r>
      <w:r>
        <w:rPr>
          <w:rFonts w:hint="eastAsia" w:ascii="宋体" w:hAnsi="宋体" w:eastAsia="宋体" w:cs="宋体"/>
          <w:color w:val="auto"/>
          <w:sz w:val="24"/>
        </w:rPr>
        <w:t xml:space="preserve">盐城市第一人民医院建筑消防设施维保及维修项目</w:t>
      </w:r>
      <w:r>
        <w:rPr>
          <w:rFonts w:ascii="宋体" w:hAnsi="宋体" w:eastAsia="宋体" w:cs="宋体"/>
          <w:color w:val="auto"/>
          <w:sz w:val="24"/>
        </w:rPr>
        <w:t xml:space="preserve">。</w:t>
      </w:r>
      <w:r/>
    </w:p>
    <w:p>
      <w:pPr>
        <w:ind w:left="0" w:right="0" w:firstLine="480"/>
        <w:jc w:val="both"/>
        <w:spacing w:before="0" w:after="0" w:line="439" w:lineRule="atLeast"/>
        <w:tabs>
          <w:tab w:val="left" w:pos="490" w:leader="none"/>
        </w:tabs>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w:t>
      </w:r>
      <w:r>
        <w:rPr>
          <w:rFonts w:hint="eastAsia" w:ascii="宋体" w:hAnsi="宋体" w:cs="宋体"/>
          <w:color w:val="auto"/>
          <w:sz w:val="24"/>
          <w:lang w:eastAsia="zh-CN"/>
        </w:rPr>
        <w:t xml:space="preserve">服务</w:t>
      </w:r>
      <w:r>
        <w:rPr>
          <w:rFonts w:ascii="宋体" w:hAnsi="宋体" w:eastAsia="宋体" w:cs="宋体"/>
          <w:color w:val="auto"/>
          <w:sz w:val="24"/>
        </w:rPr>
        <w:t xml:space="preserve">地点：盐城第一人民医院北区、南区、儿童医院、五官科医院、紫薇门诊等全部直属院区。</w:t>
      </w:r>
      <w:r/>
    </w:p>
    <w:p>
      <w:pPr>
        <w:ind w:left="0" w:right="0" w:firstLine="480"/>
        <w:jc w:val="both"/>
        <w:spacing w:before="0" w:after="0" w:line="43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.甲方代表联系人</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rPr>
        <w:t xml:space="preserve">（电话：</w:t>
      </w:r>
      <w:r>
        <w:rPr>
          <w:rFonts w:ascii="宋体" w:hAnsi="宋体" w:eastAsia="宋体" w:cs="宋体"/>
          <w:color w:val="auto"/>
          <w:sz w:val="24"/>
          <w:u w:val="single"/>
        </w:rPr>
        <w:t xml:space="preserve">        </w:t>
      </w:r>
      <w:r>
        <w:rPr>
          <w:rFonts w:ascii="宋体" w:hAnsi="宋体" w:eastAsia="宋体" w:cs="宋体"/>
          <w:color w:val="auto"/>
          <w:sz w:val="24"/>
        </w:rPr>
        <w:t xml:space="preserve">）。</w:t>
      </w:r>
      <w:r/>
    </w:p>
    <w:p>
      <w:pPr>
        <w:ind w:left="0" w:right="0" w:firstLine="480"/>
        <w:jc w:val="both"/>
        <w:spacing w:before="0" w:after="0" w:line="43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.乙方</w:t>
      </w:r>
      <w:r>
        <w:rPr>
          <w:rFonts w:hint="eastAsia" w:ascii="宋体" w:hAnsi="宋体" w:eastAsia="宋体" w:cs="宋体"/>
          <w:color w:val="auto"/>
          <w:sz w:val="24"/>
          <w:lang w:eastAsia="zh-CN"/>
        </w:rPr>
        <w:t xml:space="preserve">项目负责人</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rPr>
        <w:t xml:space="preserve">（电话：</w:t>
      </w:r>
      <w:r>
        <w:rPr>
          <w:rFonts w:ascii="宋体" w:hAnsi="宋体" w:eastAsia="宋体" w:cs="宋体"/>
          <w:color w:val="auto"/>
          <w:sz w:val="24"/>
          <w:u w:val="single"/>
        </w:rPr>
        <w:t xml:space="preserve">        </w:t>
      </w:r>
      <w:r>
        <w:rPr>
          <w:rFonts w:ascii="宋体" w:hAnsi="宋体" w:eastAsia="宋体" w:cs="宋体"/>
          <w:color w:val="auto"/>
          <w:sz w:val="24"/>
        </w:rPr>
        <w:t xml:space="preserve">）。</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w:t>
      </w:r>
      <w:r>
        <w:rPr>
          <w:rFonts w:hint="eastAsia" w:ascii="宋体" w:hAnsi="宋体" w:cs="宋体"/>
          <w:color w:val="auto"/>
          <w:sz w:val="24"/>
          <w:lang w:eastAsia="zh-CN"/>
        </w:rPr>
        <w:t xml:space="preserve">服务</w:t>
      </w:r>
      <w:r>
        <w:rPr>
          <w:rFonts w:ascii="宋体" w:hAnsi="宋体" w:eastAsia="宋体" w:cs="宋体"/>
          <w:color w:val="auto"/>
          <w:sz w:val="24"/>
        </w:rPr>
        <w:t xml:space="preserve">范围：</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四、服务期限：</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服务期</w:t>
      </w:r>
      <w:r>
        <w:rPr>
          <w:rFonts w:hint="eastAsia" w:ascii="宋体" w:hAnsi="宋体" w:cs="宋体"/>
          <w:color w:val="auto"/>
          <w:sz w:val="24"/>
          <w:lang w:eastAsia="zh-CN"/>
        </w:rPr>
        <w:t xml:space="preserve">两</w:t>
      </w:r>
      <w:r>
        <w:rPr>
          <w:rFonts w:ascii="宋体" w:hAnsi="宋体" w:eastAsia="宋体" w:cs="宋体"/>
          <w:color w:val="auto"/>
          <w:sz w:val="24"/>
        </w:rPr>
        <w:t xml:space="preserve">年。开始日期自</w:t>
      </w:r>
      <w:r>
        <w:rPr>
          <w:rFonts w:hint="eastAsia" w:ascii="宋体" w:hAnsi="宋体" w:cs="宋体"/>
          <w:color w:val="auto"/>
          <w:sz w:val="24"/>
          <w:u w:val="single"/>
          <w:lang w:val="en-US" w:eastAsia="zh-CN"/>
        </w:rPr>
        <w:t xml:space="preserve">    </w:t>
      </w:r>
      <w:r>
        <w:rPr>
          <w:rFonts w:ascii="宋体" w:hAnsi="宋体" w:eastAsia="宋体" w:cs="宋体"/>
          <w:color w:val="auto"/>
          <w:sz w:val="24"/>
        </w:rPr>
        <w:t xml:space="preserve">年</w:t>
      </w:r>
      <w:r>
        <w:rPr>
          <w:rFonts w:hint="eastAsia" w:ascii="宋体" w:hAnsi="宋体" w:cs="宋体"/>
          <w:color w:val="auto"/>
          <w:sz w:val="24"/>
          <w:u w:val="single"/>
          <w:lang w:val="en-US" w:eastAsia="zh-CN"/>
        </w:rPr>
        <w:t xml:space="preserve">    </w:t>
      </w:r>
      <w:r>
        <w:rPr>
          <w:rFonts w:ascii="宋体" w:hAnsi="宋体" w:eastAsia="宋体" w:cs="宋体"/>
          <w:color w:val="auto"/>
          <w:sz w:val="24"/>
        </w:rPr>
        <w:t xml:space="preserve">月</w:t>
      </w:r>
      <w:r>
        <w:rPr>
          <w:rFonts w:hint="eastAsia" w:ascii="宋体" w:hAnsi="宋体" w:cs="宋体"/>
          <w:color w:val="auto"/>
          <w:sz w:val="24"/>
          <w:u w:val="single"/>
          <w:lang w:val="en-US" w:eastAsia="zh-CN"/>
        </w:rPr>
        <w:t xml:space="preserve">    </w:t>
      </w:r>
      <w:r>
        <w:rPr>
          <w:rFonts w:ascii="宋体" w:hAnsi="宋体" w:eastAsia="宋体" w:cs="宋体"/>
          <w:color w:val="auto"/>
          <w:sz w:val="24"/>
        </w:rPr>
        <w:t xml:space="preserve">日起至</w:t>
      </w:r>
      <w:r>
        <w:rPr>
          <w:rFonts w:hint="eastAsia" w:ascii="宋体" w:hAnsi="宋体" w:cs="宋体"/>
          <w:color w:val="auto"/>
          <w:sz w:val="24"/>
          <w:u w:val="single"/>
          <w:lang w:val="en-US" w:eastAsia="zh-CN"/>
        </w:rPr>
        <w:t xml:space="preserve">    </w:t>
      </w:r>
      <w:r>
        <w:rPr>
          <w:rFonts w:ascii="宋体" w:hAnsi="宋体" w:eastAsia="宋体" w:cs="宋体"/>
          <w:color w:val="auto"/>
          <w:sz w:val="24"/>
        </w:rPr>
        <w:t xml:space="preserve">年</w:t>
      </w:r>
      <w:r>
        <w:rPr>
          <w:rFonts w:hint="eastAsia" w:ascii="宋体" w:hAnsi="宋体" w:cs="宋体"/>
          <w:color w:val="auto"/>
          <w:sz w:val="24"/>
          <w:u w:val="single"/>
          <w:lang w:val="en-US" w:eastAsia="zh-CN"/>
        </w:rPr>
        <w:t xml:space="preserve">    </w:t>
      </w:r>
      <w:r>
        <w:rPr>
          <w:rFonts w:ascii="宋体" w:hAnsi="宋体" w:eastAsia="宋体" w:cs="宋体"/>
          <w:color w:val="auto"/>
          <w:sz w:val="24"/>
        </w:rPr>
        <w:t xml:space="preserve">月</w:t>
      </w:r>
      <w:r>
        <w:rPr>
          <w:rFonts w:hint="eastAsia" w:ascii="宋体" w:hAnsi="宋体" w:cs="宋体"/>
          <w:color w:val="auto"/>
          <w:sz w:val="24"/>
          <w:u w:val="single"/>
          <w:lang w:val="en-US" w:eastAsia="zh-CN"/>
        </w:rPr>
        <w:t xml:space="preserve">   </w:t>
      </w:r>
      <w:r>
        <w:rPr>
          <w:rFonts w:ascii="宋体" w:hAnsi="宋体" w:eastAsia="宋体" w:cs="宋体"/>
          <w:color w:val="auto"/>
          <w:sz w:val="24"/>
        </w:rPr>
        <w:t xml:space="preserve">日止。</w:t>
      </w:r>
      <w:r/>
    </w:p>
    <w:p>
      <w:pPr>
        <w:ind w:left="0" w:right="0" w:firstLine="480"/>
        <w:jc w:val="both"/>
        <w:spacing w:before="0" w:after="0" w:line="439" w:lineRule="atLeast"/>
        <w:tabs>
          <w:tab w:val="left" w:pos="490" w:leader="none"/>
        </w:tabs>
        <w:rPr>
          <w:rFonts w:hint="default" w:ascii="宋体" w:hAnsi="宋体" w:eastAsia="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eastAsia="zh-CN"/>
        </w:rPr>
        <w:t xml:space="preserve">质量保修期</w:t>
      </w:r>
      <w:r>
        <w:rPr>
          <w:rFonts w:hint="eastAsia" w:ascii="宋体" w:hAnsi="宋体" w:cs="宋体"/>
          <w:b/>
          <w:bCs/>
          <w:color w:val="auto"/>
          <w:sz w:val="24"/>
          <w:lang w:val="en-US" w:eastAsia="zh-CN"/>
        </w:rPr>
        <w:t xml:space="preserve">2年。</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五、甲方的权利、义务：</w:t>
      </w:r>
      <w:r>
        <w:rPr>
          <w:rFonts w:ascii="宋体" w:hAnsi="宋体" w:eastAsia="宋体" w:cs="宋体"/>
          <w:color w:val="auto"/>
          <w:sz w:val="24"/>
        </w:rPr>
        <w:tab/>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1.有权核查乙方现场维修保养人员执业资格证书。</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2.按规定配备值班和管理人员，落实值班和管理措施。</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3.要求乙方对甲方指定人员（至少2人）进行专业培训与技术指导，并保证甲方指定人员熟练掌握相关专业技术。发现消防设施存在问题和故障并及时通知乙方修复。</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4.根据需要及时组织更换建筑消防设施配件，承担建筑消防设施换件和维修保养费用。</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5.甲方与乙方建立每个月一次的消防维保维修会商制度，听取乙方维保维修方面的建议和意见，甲方对当月乙方维保维修方面做得好的给予表扬；对存在的不足之处给予诫勉谈话、警告，直至解除合同。</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六、乙方的权利、义务：</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1、具备消防设施维护维修保养的相应资质、资格，依照法律法规、技术标准和执业准则，开展建筑消防设施维修保养技术服务活动，对维护维修保养质量负责。</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2.根据盐城市第一人民医院的消防维护维修保养的具体情况，拟定具体的维修保养方案，明确项目负责人，每天至少委派2名执业人员分各院区负责实施。执业人员维修保养时应认真如实填写维修保养记录。</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3.按照最新的消防技术标准规定的内容、程序、周期等要求，对合同范围内的建筑消防开展检查、维修、保养、测试等技术服务活动。</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4.乙方应确保对消防设施每周全院区至少巡查一次，每半年进行一次全面检查测试，并在每年七月十日、十二月十日前向甲方提交上、下半年检测报告。</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在巡查、检测过程中，发现建筑消防设施存在问题、故障或接甲方通知要求维修的，能当场修复的应当立即修复，在两小时内解决；没有条件立即修复的，乙方应组织工程师到场协商并在24小时内组织维修，尽快排除故障。</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6.对故障零部件提供临时备件，保障能够应对紧急状态；对故障零部件确需要更换的，应向甲方提出建议，经甲方书面确认后方可更换部件，出示更换报废证明。</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7.乙方进场后，需对甲方指定人员（至少2人）进行专业技术指导培训，并保证甲方指定人员熟练掌握相关专业技术。</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8.乙方进场后，需在15日内对整个项目的消防设施进行全面检查，并出具检查报告，以便甲方在消防维保期内安排施工单位及时整改。</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9.乙方承诺无条件接受并严格执行甲方制定一系列具体的服务标准及考核细则。</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10.乙方对甲方指定人员培训指导后掌握建筑消防设施的使用、操作规程。</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七、服务费用：</w:t>
      </w:r>
      <w:r/>
    </w:p>
    <w:p>
      <w:pPr>
        <w:ind w:left="0" w:right="0" w:firstLine="480"/>
        <w:jc w:val="both"/>
        <w:spacing w:before="0" w:after="0" w:line="439" w:lineRule="atLeast"/>
        <w:tabs>
          <w:tab w:val="left" w:pos="490" w:leader="none"/>
        </w:tabs>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7.1</w:t>
      </w:r>
      <w:r>
        <w:rPr>
          <w:rFonts w:ascii="宋体" w:hAnsi="宋体" w:eastAsia="宋体" w:cs="宋体"/>
          <w:color w:val="auto"/>
          <w:sz w:val="24"/>
        </w:rPr>
        <w:t xml:space="preserve">合同价</w:t>
      </w:r>
      <w:r>
        <w:rPr>
          <w:rFonts w:hint="eastAsia" w:ascii="宋体" w:hAnsi="宋体" w:cs="宋体"/>
          <w:color w:val="auto"/>
          <w:sz w:val="24"/>
          <w:lang w:eastAsia="zh-CN"/>
        </w:rPr>
        <w:t xml:space="preserve">暂定</w:t>
      </w:r>
      <w:r>
        <w:rPr>
          <w:rFonts w:ascii="宋体" w:hAnsi="宋体" w:eastAsia="宋体" w:cs="宋体"/>
          <w:color w:val="auto"/>
          <w:sz w:val="24"/>
        </w:rPr>
        <w:t xml:space="preserve">为人民币大写</w:t>
      </w:r>
      <w:r>
        <w:rPr>
          <w:rFonts w:ascii="宋体" w:hAnsi="宋体" w:eastAsia="宋体" w:cs="宋体"/>
          <w:color w:val="auto"/>
          <w:sz w:val="24"/>
          <w:u w:val="single"/>
        </w:rPr>
        <w:t xml:space="preserve">         </w:t>
      </w:r>
      <w:r>
        <w:rPr>
          <w:rFonts w:ascii="宋体" w:hAnsi="宋体" w:eastAsia="宋体" w:cs="宋体"/>
          <w:color w:val="auto"/>
          <w:sz w:val="24"/>
        </w:rPr>
        <w:t xml:space="preserve">（小写</w:t>
      </w:r>
      <w:r>
        <w:rPr>
          <w:rFonts w:ascii="宋体" w:hAnsi="宋体" w:eastAsia="宋体" w:cs="宋体"/>
          <w:color w:val="auto"/>
          <w:sz w:val="24"/>
          <w:u w:val="single"/>
        </w:rPr>
        <w:t xml:space="preserve">       </w:t>
      </w:r>
      <w:r>
        <w:rPr>
          <w:rFonts w:ascii="宋体" w:hAnsi="宋体" w:eastAsia="宋体" w:cs="宋体"/>
          <w:color w:val="auto"/>
          <w:sz w:val="24"/>
        </w:rPr>
        <w:t xml:space="preserve">）。</w:t>
      </w:r>
      <w:r/>
    </w:p>
    <w:p>
      <w:pPr>
        <w:ind w:left="0" w:right="0" w:firstLine="480"/>
        <w:jc w:val="both"/>
        <w:spacing w:before="0" w:after="0" w:line="439" w:lineRule="atLeast"/>
        <w:tabs>
          <w:tab w:val="left" w:pos="490" w:leader="none"/>
        </w:tabs>
        <w:rPr>
          <w:rFonts w:hint="eastAsia" w:ascii="宋体" w:hAnsi="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7.2</w:t>
      </w:r>
      <w:r>
        <w:rPr>
          <w:rFonts w:hint="eastAsia" w:ascii="宋体" w:hAnsi="宋体" w:cs="宋体"/>
          <w:color w:val="auto"/>
          <w:sz w:val="24"/>
          <w:lang w:eastAsia="zh-CN"/>
        </w:rPr>
        <w:t xml:space="preserve">其中维保费合同金额为</w:t>
      </w: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 xml:space="preserve">，</w:t>
      </w:r>
      <w:r>
        <w:rPr>
          <w:rFonts w:ascii="宋体" w:hAnsi="宋体" w:eastAsia="宋体" w:cs="宋体"/>
          <w:color w:val="auto"/>
          <w:sz w:val="24"/>
        </w:rPr>
        <w:t xml:space="preserve">维保费用采用“固定总价”</w:t>
      </w:r>
      <w:r>
        <w:rPr>
          <w:rFonts w:hint="eastAsia" w:ascii="宋体" w:hAnsi="宋体" w:cs="宋体"/>
          <w:color w:val="auto"/>
          <w:sz w:val="24"/>
          <w:lang w:eastAsia="zh-CN"/>
        </w:rPr>
        <w:t xml:space="preserve">方式</w:t>
      </w:r>
      <w:r>
        <w:rPr>
          <w:rFonts w:ascii="宋体" w:hAnsi="宋体" w:eastAsia="宋体" w:cs="宋体"/>
          <w:color w:val="auto"/>
          <w:sz w:val="24"/>
        </w:rPr>
        <w:t xml:space="preserve">。维保费用包含完成盐城市第一人民医院建筑消防设施维护保养所涉及的全部费用及利润和税金等</w:t>
      </w:r>
      <w:r>
        <w:rPr>
          <w:rFonts w:hint="eastAsia" w:ascii="宋体" w:hAnsi="宋体" w:cs="宋体"/>
          <w:color w:val="auto"/>
          <w:sz w:val="24"/>
          <w:lang w:eastAsia="zh-CN"/>
        </w:rPr>
        <w:t xml:space="preserve">，除日常设备维护保养内容外，乙方还需承担部分常见小额易损件消防设施故障损害的人工费、材料费、机械机具使用费、措施项目费、拆除费、安装费、规费、税金等一切费用。此类维修费用甲方不再额外支付。</w:t>
      </w:r>
      <w:r/>
    </w:p>
    <w:p>
      <w:pPr>
        <w:ind w:left="0" w:right="0" w:firstLine="480"/>
        <w:jc w:val="both"/>
        <w:spacing w:before="0" w:after="0" w:line="439" w:lineRule="atLeast"/>
        <w:tabs>
          <w:tab w:val="left" w:pos="490" w:leader="none"/>
        </w:tabs>
        <w:rPr>
          <w:rFonts w:hint="default" w:ascii="宋体" w:hAnsi="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7.3维修费合同金额</w:t>
      </w:r>
      <w:r>
        <w:rPr>
          <w:rFonts w:hint="eastAsia" w:ascii="宋体" w:hAnsi="宋体" w:cs="宋体"/>
          <w:color w:val="auto"/>
          <w:sz w:val="24"/>
          <w:lang w:eastAsia="zh-CN"/>
        </w:rPr>
        <w:t xml:space="preserve">为</w:t>
      </w:r>
      <w:r>
        <w:rPr>
          <w:rFonts w:hint="eastAsia" w:ascii="宋体" w:hAnsi="宋体" w:cs="宋体"/>
          <w:color w:val="auto"/>
          <w:sz w:val="24"/>
          <w:u w:val="single"/>
          <w:lang w:val="en-US" w:eastAsia="zh-CN"/>
        </w:rPr>
        <w:t xml:space="preserve">          </w:t>
      </w:r>
      <w:r>
        <w:rPr>
          <w:rFonts w:hint="eastAsia" w:ascii="宋体" w:hAnsi="宋体" w:cs="宋体"/>
          <w:color w:val="auto"/>
          <w:sz w:val="24"/>
          <w:lang w:val="en-US" w:eastAsia="zh-CN"/>
        </w:rPr>
        <w:t xml:space="preserve">。维修费用主要包括常见小额易损件维修内容清单列明项目的以外部分。采用费率法结算。即包含与本合同有关的全部费用，包括人工费、材料费、机械机具使用费、拆除费、安装费、规费、税金等一切费用。维修费结算价=按现行江苏省安装计价预算*中标折扣率。按实结算（80万元*中标折扣率%，中标折扣率=中标价/80万元*100%），且结算总额不超过维修费中标价。</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八、付款方式：</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1.</w:t>
      </w:r>
      <w:r>
        <w:rPr>
          <w:rFonts w:ascii="宋体" w:hAnsi="宋体" w:eastAsia="宋体" w:cs="宋体"/>
          <w:color w:val="auto"/>
          <w:sz w:val="24"/>
        </w:rPr>
        <w:t xml:space="preserve">消防维保服务费</w:t>
      </w:r>
      <w:r>
        <w:rPr>
          <w:rFonts w:hint="eastAsia" w:ascii="宋体" w:hAnsi="宋体" w:cs="宋体"/>
          <w:color w:val="auto"/>
          <w:sz w:val="24"/>
          <w:lang w:eastAsia="zh-CN"/>
        </w:rPr>
        <w:t xml:space="preserve">支付</w:t>
      </w:r>
      <w:r>
        <w:rPr>
          <w:rFonts w:ascii="宋体" w:hAnsi="宋体" w:eastAsia="宋体" w:cs="宋体"/>
          <w:color w:val="auto"/>
          <w:sz w:val="24"/>
        </w:rPr>
        <w:t xml:space="preserve">：</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1.1</w:t>
      </w:r>
      <w:r>
        <w:rPr>
          <w:rFonts w:ascii="宋体" w:hAnsi="宋体" w:eastAsia="宋体" w:cs="宋体"/>
          <w:color w:val="auto"/>
          <w:sz w:val="24"/>
        </w:rPr>
        <w:t xml:space="preserve">本项目预付款支付时间：合同签订后，甲方收到预付款发票后10个工作日内；预付款支付比例：预付款为合同价的30%；</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1.2甲方对</w:t>
      </w:r>
      <w:r>
        <w:rPr>
          <w:rFonts w:ascii="宋体" w:hAnsi="宋体" w:eastAsia="宋体" w:cs="宋体"/>
          <w:color w:val="auto"/>
          <w:sz w:val="24"/>
        </w:rPr>
        <w:t xml:space="preserve">乙方的维保服务进行</w:t>
      </w:r>
      <w:r>
        <w:rPr>
          <w:rFonts w:hint="eastAsia" w:ascii="宋体" w:hAnsi="宋体" w:cs="宋体"/>
          <w:color w:val="auto"/>
          <w:sz w:val="24"/>
          <w:lang w:eastAsia="zh-CN"/>
        </w:rPr>
        <w:t xml:space="preserve">按月</w:t>
      </w:r>
      <w:r>
        <w:rPr>
          <w:rFonts w:ascii="宋体" w:hAnsi="宋体" w:eastAsia="宋体" w:cs="宋体"/>
          <w:color w:val="auto"/>
          <w:sz w:val="24"/>
        </w:rPr>
        <w:t xml:space="preserve">考核，经考核合格后</w:t>
      </w:r>
      <w:r>
        <w:rPr>
          <w:rFonts w:hint="eastAsia" w:ascii="宋体" w:hAnsi="宋体" w:eastAsia="宋体" w:cs="宋体"/>
          <w:color w:val="auto"/>
          <w:sz w:val="24"/>
          <w:lang w:eastAsia="zh-CN"/>
        </w:rPr>
        <w:t xml:space="preserve">，按月支付，</w:t>
      </w:r>
      <w:r>
        <w:rPr>
          <w:rFonts w:ascii="宋体" w:hAnsi="宋体" w:eastAsia="宋体" w:cs="宋体"/>
          <w:color w:val="auto"/>
          <w:sz w:val="24"/>
        </w:rPr>
        <w:t xml:space="preserve">甲方收到发票后10个工作日内，支付至</w:t>
      </w:r>
      <w:r>
        <w:rPr>
          <w:rFonts w:hint="eastAsia" w:ascii="宋体" w:hAnsi="宋体" w:cs="宋体"/>
          <w:color w:val="auto"/>
          <w:sz w:val="24"/>
          <w:lang w:eastAsia="zh-CN"/>
        </w:rPr>
        <w:t xml:space="preserve">维保</w:t>
      </w:r>
      <w:r>
        <w:rPr>
          <w:rFonts w:ascii="宋体" w:hAnsi="宋体" w:eastAsia="宋体" w:cs="宋体"/>
          <w:color w:val="auto"/>
          <w:sz w:val="24"/>
        </w:rPr>
        <w:t xml:space="preserve">合同价款的</w:t>
      </w:r>
      <w:r>
        <w:rPr>
          <w:rFonts w:hint="eastAsia" w:ascii="宋体" w:hAnsi="宋体" w:cs="宋体"/>
          <w:color w:val="auto"/>
          <w:sz w:val="24"/>
          <w:lang w:val="en-US" w:eastAsia="zh-CN"/>
        </w:rPr>
        <w:t xml:space="preserve">1/24（如有考核扣款的，按考核结果结算）</w:t>
      </w:r>
      <w:r>
        <w:rPr>
          <w:rFonts w:ascii="宋体" w:hAnsi="宋体" w:eastAsia="宋体" w:cs="宋体"/>
          <w:color w:val="auto"/>
          <w:sz w:val="24"/>
        </w:rPr>
        <w:t xml:space="preserve">。</w:t>
      </w:r>
      <w:r/>
    </w:p>
    <w:p>
      <w:pPr>
        <w:ind w:left="0" w:right="0" w:firstLine="480"/>
        <w:jc w:val="both"/>
        <w:spacing w:before="0" w:after="0" w:line="439" w:lineRule="atLeast"/>
        <w:tabs>
          <w:tab w:val="left" w:pos="490" w:leader="none"/>
        </w:tabs>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hint="eastAsia" w:ascii="宋体" w:hAnsi="宋体" w:cs="宋体"/>
          <w:color w:val="auto"/>
          <w:sz w:val="24"/>
          <w:lang w:val="en-US" w:eastAsia="zh-CN"/>
        </w:rPr>
        <w:t xml:space="preserve">.</w:t>
      </w:r>
      <w:r>
        <w:rPr>
          <w:rFonts w:hint="eastAsia" w:ascii="宋体" w:hAnsi="宋体" w:eastAsia="宋体" w:cs="宋体"/>
          <w:color w:val="auto"/>
          <w:sz w:val="24"/>
          <w:lang w:val="en-US" w:eastAsia="zh-CN"/>
        </w:rPr>
        <w:t xml:space="preserve">维修费用支付：</w:t>
      </w:r>
      <w:r>
        <w:rPr>
          <w:rFonts w:ascii="宋体" w:hAnsi="宋体" w:eastAsia="宋体" w:cs="宋体"/>
          <w:color w:val="auto"/>
          <w:sz w:val="24"/>
        </w:rPr>
        <w:t xml:space="preserve">每半年结算一次，维修工程须经甲方验收合格，甲方收到发票后10个工作日内，付至已完合格工程价款审定结算价97%；余3%在验收合格两年后无质量问题付清。</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九、履约保证金</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1.乙方交纳人民币</w:t>
      </w:r>
      <w:r>
        <w:rPr>
          <w:rFonts w:ascii="宋体" w:hAnsi="宋体" w:eastAsia="宋体" w:cs="宋体"/>
          <w:color w:val="auto"/>
          <w:sz w:val="24"/>
          <w:u w:val="single"/>
        </w:rPr>
        <w:t xml:space="preserve">      </w:t>
      </w:r>
      <w:r>
        <w:rPr>
          <w:rFonts w:ascii="宋体" w:hAnsi="宋体" w:eastAsia="宋体" w:cs="宋体"/>
          <w:color w:val="auto"/>
          <w:sz w:val="24"/>
        </w:rPr>
        <w:t xml:space="preserve">元(合同价的10%)作为本合同的履约保证金。</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3.如乙方为第三方信用服务机构依据标准规范评定为 AA 级及以上的政府采购供应商（需在签订采购合同前提供信用管理部门备案的第三方信用报告，且信用报告通过“信用盐城网”可查实），降低履约保证金缴纳比例为5%。</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4.合同履行结束后，甲方应及时退还交纳的履约保证金。</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4.1履约保证金的退还：</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4.4.1方式：无息退还至乙方缴纳履约保证金的账户。如为保函，在到期时自行失效。</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4.4.2时间：合同履行期满并经甲方验收合格后30日内。</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4.4.3条件：按合同要求全部履约完成并经甲方验收合格。</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4.4.4不予退还情形：</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除不可抗力情况外，乙方出现下列情形之一的，其履约保证金，甲方将视情节决定不予退还或部分不予退还。</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（1）乙方无正当理由拒绝签订合同的，或者在签订合同时向就甲方提出附加条件或者更改合同实质性内容要求的；</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（2）乙方不履行与采购人订立的合同的；</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（3）乙方所供货物或服务不符合招标文件规定要求的；</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（4）乙方采取欺骗、弄虚作假方式投标的或与其它投标人串通投标的；</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（5）乙方将合同内容转包、违法分包的；</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（6）乙方故意捏造事实或伪造证明材料，进行虚假恶意投诉或反映的。</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4.4.5逾期退还的违约责任：甲方逾期无故未退还履约保证金的，按中国人民银行同期贷款基准利率上浮20%后的利率支付超期资金占用费，但因供应商自身原因导致无法及时退还的除外。</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如果乙方未能按合同、招标投标文件履约的，合同中止，履约保证金不予退还，且不予支付服务期间的费用。甲方有权终止合同的履行，乙方应承担相应的完全责任，包括赔偿因此而给本单位及第三人带来的相应损失。</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十、违约责任</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1.甲方未按规定落实值班和管理措施，导致未发现设施问题，或发现问题未及时通知乙方修复，擅自违规操作造成故障的，应当承担相应责任。</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2.甲方不按时支付维保费用，乙方有权解除合同。</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3.乙方不按规定和本合同约定履行职责、义务，造成甲方损失的，应当承担赔偿责任。</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4.乙方在维保、检查测试中弄虚作假或严重不负责任的，甲方有权解除维保合同并追究其相关责任。</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十、解决合同纠纷的方式：本合同履行过程中发生争议，双方应协商解决。协商不成时，向</w:t>
      </w:r>
      <w:r>
        <w:rPr>
          <w:rFonts w:hint="eastAsia" w:ascii="宋体" w:hAnsi="宋体" w:cs="宋体"/>
          <w:color w:val="auto"/>
          <w:sz w:val="24"/>
          <w:u w:val="single"/>
          <w:lang w:eastAsia="zh-CN"/>
        </w:rPr>
        <w:t xml:space="preserve">项目</w:t>
      </w:r>
      <w:r>
        <w:rPr>
          <w:rFonts w:ascii="宋体" w:hAnsi="宋体" w:eastAsia="宋体" w:cs="宋体"/>
          <w:color w:val="auto"/>
          <w:sz w:val="24"/>
          <w:u w:val="single"/>
        </w:rPr>
        <w:t xml:space="preserve">所在地</w:t>
      </w:r>
      <w:r>
        <w:rPr>
          <w:rFonts w:hint="eastAsia" w:ascii="宋体" w:hAnsi="宋体" w:cs="宋体"/>
          <w:color w:val="auto"/>
          <w:sz w:val="24"/>
          <w:u w:val="single"/>
          <w:lang w:eastAsia="zh-CN"/>
        </w:rPr>
        <w:t xml:space="preserve">人民</w:t>
      </w:r>
      <w:r>
        <w:rPr>
          <w:rFonts w:ascii="宋体" w:hAnsi="宋体" w:eastAsia="宋体" w:cs="宋体"/>
          <w:color w:val="auto"/>
          <w:sz w:val="24"/>
        </w:rPr>
        <w:t xml:space="preserve">法院起诉解决。</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十一、其他条款：</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1.合同履行过程中，任何状况下的安全责任，非甲方原因发生的一切问题和责任与甲方无关，相关的一切费用或民事、刑事责任均由乙方自行承担。</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在甲方支付合同款项前7日内，乙方应按各期付款金额向甲方开具符合国家法律法规和标准的增值税专用发票，乙方开具发票的形式与内容均合法、有效、完整、准确，不开具有效发票的，甲方有权延迟支付应付款项直至乙方开具合格票据之日且甲方不承担任何违约责任。</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3.合同期内，任何一方提出提前终止合同，必须提前三个月书面通知对方。</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4.本合同未尽事宜，由甲、乙双方协商解决。</w:t>
      </w:r>
      <w:r/>
    </w:p>
    <w:p>
      <w:pPr>
        <w:ind w:left="0" w:right="0" w:firstLine="480"/>
        <w:jc w:val="both"/>
        <w:spacing w:before="0" w:after="0" w:line="439" w:lineRule="atLeast"/>
        <w:tabs>
          <w:tab w:val="left" w:pos="49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5.本合同经甲、乙双方签字盖章后生效。</w:t>
      </w:r>
      <w:r/>
    </w:p>
    <w:p>
      <w:pPr>
        <w:ind w:left="0" w:right="0" w:firstLine="480"/>
        <w:jc w:val="both"/>
        <w:spacing w:before="0" w:after="0" w:line="439" w:lineRule="atLeast"/>
        <w:tabs>
          <w:tab w:val="left" w:pos="490" w:leader="none"/>
        </w:tabs>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6.本合同一式6份，甲方执4份、乙方执2份，具有同等的法律效力。</w:t>
      </w:r>
      <w:r/>
    </w:p>
    <w:p>
      <w:pPr>
        <w:ind w:left="0" w:right="0" w:firstLine="480"/>
        <w:jc w:val="both"/>
        <w:spacing w:before="0" w:after="0" w:line="439" w:lineRule="atLeast"/>
        <w:tabs>
          <w:tab w:val="left" w:pos="490" w:leader="none"/>
        </w:tabs>
        <w:rPr>
          <w:rFonts w:hint="eastAsia" w:ascii="宋体" w:hAnsi="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r>
      <w:r/>
    </w:p>
    <w:p>
      <w:pPr>
        <w:ind w:left="0" w:right="0" w:firstLine="480"/>
        <w:jc w:val="both"/>
        <w:spacing w:before="0" w:after="0" w:line="439" w:lineRule="atLeast"/>
        <w:tabs>
          <w:tab w:val="left" w:pos="490" w:leader="none"/>
        </w:tabs>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附件：《盐城市第一人民医院建筑设施消防维保及维修合同考核细则》</w:t>
      </w:r>
      <w:r/>
    </w:p>
    <w:p>
      <w:pPr>
        <w:ind w:left="0" w:right="0" w:firstLine="480"/>
        <w:jc w:val="both"/>
        <w:spacing w:before="0" w:after="0" w:line="439" w:lineRule="atLeast"/>
        <w:tabs>
          <w:tab w:val="left" w:pos="490" w:leader="none"/>
        </w:tabs>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jc w:val="both"/>
        <w:spacing w:before="0" w:after="0" w:line="439" w:lineRule="atLeast"/>
        <w:tabs>
          <w:tab w:val="left" w:pos="490" w:leader="none"/>
        </w:tabs>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jc w:val="both"/>
        <w:spacing w:before="0" w:after="0" w:line="439" w:lineRule="atLeast"/>
        <w:tabs>
          <w:tab w:val="left" w:pos="490" w:leader="none"/>
        </w:tabs>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（以下无正文）</w:t>
      </w:r>
      <w:r/>
    </w:p>
    <w:p>
      <w:pPr>
        <w:ind w:left="0" w:right="0" w:firstLine="480"/>
        <w:jc w:val="both"/>
        <w:spacing w:before="120" w:after="12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甲方（盖章）：</w:t>
      </w:r>
      <w:r>
        <w:rPr>
          <w:rFonts w:hint="eastAsia" w:ascii="宋体" w:hAnsi="宋体" w:cs="宋体"/>
          <w:color w:val="auto"/>
          <w:sz w:val="24"/>
          <w:lang w:val="en-US" w:eastAsia="zh-CN"/>
        </w:rPr>
        <w:t xml:space="preserve">                      </w:t>
      </w:r>
      <w:r>
        <w:rPr>
          <w:rFonts w:ascii="宋体" w:hAnsi="宋体" w:eastAsia="宋体" w:cs="宋体"/>
          <w:color w:val="auto"/>
          <w:sz w:val="24"/>
        </w:rPr>
        <w:t xml:space="preserve">乙方（盖章）：</w:t>
      </w:r>
      <w:r/>
    </w:p>
    <w:p>
      <w:pPr>
        <w:ind w:left="0" w:right="0" w:firstLine="480"/>
        <w:jc w:val="both"/>
        <w:spacing w:before="120" w:after="12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rPr>
          <w:rFonts w:hint="eastAsia" w:ascii="宋体" w:hAnsi="宋体" w:cs="宋体"/>
          <w:color w:val="auto"/>
          <w:sz w:val="24"/>
          <w:lang w:val="en-US" w:eastAsia="zh-CN"/>
        </w:rPr>
        <w:t xml:space="preserve">                              </w:t>
      </w:r>
      <w:r>
        <w:rPr>
          <w:rFonts w:ascii="宋体" w:hAnsi="宋体" w:eastAsia="宋体" w:cs="宋体"/>
          <w:color w:val="auto"/>
          <w:sz w:val="24"/>
        </w:rPr>
        <w:t xml:space="preserve">地址：</w:t>
      </w:r>
      <w:r/>
    </w:p>
    <w:p>
      <w:pPr>
        <w:ind w:left="0" w:right="0" w:firstLine="480"/>
        <w:jc w:val="both"/>
        <w:spacing w:before="120" w:after="12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法定代表人（签字或盖章）：</w:t>
      </w:r>
      <w:r>
        <w:rPr>
          <w:rFonts w:hint="eastAsia" w:ascii="宋体" w:hAnsi="宋体" w:cs="宋体"/>
          <w:color w:val="auto"/>
          <w:sz w:val="24"/>
          <w:lang w:val="en-US" w:eastAsia="zh-CN"/>
        </w:rPr>
        <w:t xml:space="preserve">          </w:t>
      </w:r>
      <w:r>
        <w:rPr>
          <w:rFonts w:ascii="宋体" w:hAnsi="宋体" w:eastAsia="宋体" w:cs="宋体"/>
          <w:color w:val="auto"/>
          <w:sz w:val="24"/>
        </w:rPr>
        <w:t xml:space="preserve">法定代表人（签字或盖章）：</w:t>
      </w:r>
      <w:r/>
    </w:p>
    <w:p>
      <w:pPr>
        <w:ind w:left="0" w:right="0" w:firstLine="480"/>
        <w:jc w:val="center"/>
        <w:spacing w:before="120" w:after="12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w:t>
      </w:r>
      <w:r>
        <w:rPr>
          <w:rFonts w:hint="eastAsia" w:ascii="宋体" w:hAnsi="宋体" w:cs="宋体"/>
          <w:color w:val="auto"/>
          <w:sz w:val="24"/>
          <w:lang w:val="en-US" w:eastAsia="zh-CN"/>
        </w:rPr>
        <w:t xml:space="preserve">   </w:t>
      </w:r>
      <w:r>
        <w:rPr>
          <w:rFonts w:ascii="宋体" w:hAnsi="宋体" w:eastAsia="宋体" w:cs="宋体"/>
          <w:color w:val="auto"/>
          <w:sz w:val="24"/>
        </w:rPr>
        <w:t xml:space="preserve">年</w:t>
      </w:r>
      <w:r>
        <w:rPr>
          <w:rFonts w:hint="eastAsia" w:ascii="宋体" w:hAnsi="宋体" w:cs="宋体"/>
          <w:color w:val="auto"/>
          <w:sz w:val="24"/>
          <w:lang w:val="en-US" w:eastAsia="zh-CN"/>
        </w:rPr>
        <w:t xml:space="preserve">   </w:t>
      </w:r>
      <w:r>
        <w:rPr>
          <w:rFonts w:ascii="宋体" w:hAnsi="宋体" w:eastAsia="宋体" w:cs="宋体"/>
          <w:color w:val="auto"/>
          <w:sz w:val="24"/>
        </w:rPr>
        <w:t xml:space="preserve">月</w:t>
      </w:r>
      <w:r>
        <w:rPr>
          <w:rFonts w:hint="eastAsia" w:ascii="宋体" w:hAnsi="宋体" w:cs="宋体"/>
          <w:color w:val="auto"/>
          <w:sz w:val="24"/>
          <w:lang w:val="en-US" w:eastAsia="zh-CN"/>
        </w:rPr>
        <w:t xml:space="preserve">  </w:t>
      </w:r>
      <w:r>
        <w:rPr>
          <w:rFonts w:ascii="宋体" w:hAnsi="宋体" w:eastAsia="宋体" w:cs="宋体"/>
          <w:color w:val="auto"/>
          <w:sz w:val="24"/>
        </w:rPr>
        <w:t xml:space="preserve">日</w:t>
      </w:r>
      <w:r/>
    </w:p>
    <w:p>
      <w:pPr>
        <w:ind w:left="0" w:right="0" w:firstLine="723"/>
        <w:jc w:val="both"/>
        <w:spacing w:before="0" w:after="0" w:line="439"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both"/>
        <w:spacing w:before="0" w:after="0"/>
        <w:rPr>
          <w:rFonts w:hint="eastAsia"/>
          <w:color w:val="auto"/>
          <w:lang w:eastAsia="zh-CN"/>
        </w:rPr>
        <w:pBdr>
          <w:top w:val="none" w:color="000000" w:sz="0" w:space="0"/>
          <w:left w:val="none" w:color="000000" w:sz="0" w:space="0"/>
          <w:bottom w:val="none" w:color="000000" w:sz="0" w:space="0"/>
          <w:right w:val="none" w:color="000000" w:sz="0" w:space="0"/>
        </w:pBdr>
      </w:pPr>
      <w:r>
        <w:rPr>
          <w:rFonts w:hint="eastAsia"/>
          <w:color w:val="auto"/>
          <w:lang w:eastAsia="zh-CN"/>
        </w:rPr>
        <w:t xml:space="preserve">附件</w:t>
      </w:r>
      <w:r/>
    </w:p>
    <w:p>
      <w:pPr>
        <w:ind w:left="0" w:right="0" w:firstLine="0"/>
        <w:jc w:val="both"/>
        <w:spacing w:before="0" w:after="0"/>
        <w:rPr>
          <w:rFonts w:hint="eastAsia"/>
          <w:color w:val="auto"/>
          <w:lang w:eastAsia="zh-CN"/>
        </w:rPr>
        <w:pBdr>
          <w:top w:val="none" w:color="000000" w:sz="0" w:space="0"/>
          <w:left w:val="none" w:color="000000" w:sz="0" w:space="0"/>
          <w:bottom w:val="none" w:color="000000" w:sz="0" w:space="0"/>
          <w:right w:val="none" w:color="000000" w:sz="0" w:space="0"/>
        </w:pBdr>
      </w:pPr>
      <w:r>
        <w:rPr>
          <w:rFonts w:hint="eastAsia"/>
          <w:color w:val="auto"/>
          <w:lang w:eastAsia="zh-CN"/>
        </w:rPr>
      </w:r>
      <w:r/>
    </w:p>
    <w:p>
      <w:pPr>
        <w:jc w:val="center"/>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 xml:space="preserve">盐城市第一人民医院建筑设施消防维保及维修合同考核细则</w:t>
      </w:r>
      <w:r/>
    </w:p>
    <w:p>
      <w:pPr>
        <w:jc w:val="center"/>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rPr>
        <w:t xml:space="preserve">考核总则</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 考核主体：甲方；考核对象：</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；考核周期：月度考核（每月5日前完成上月服务考核）；</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考核满分100分，80分及以上为合格，考核结果作为当月维保费用支付的</w:t>
      </w:r>
      <w:r>
        <w:rPr>
          <w:rFonts w:hint="eastAsia" w:ascii="宋体" w:hAnsi="宋体" w:eastAsia="宋体" w:cs="宋体"/>
          <w:color w:val="auto"/>
          <w:sz w:val="24"/>
          <w:szCs w:val="24"/>
          <w:lang w:val="en-US" w:eastAsia="zh-CN"/>
        </w:rPr>
        <w:t xml:space="preserve">重要</w:t>
      </w:r>
      <w:r>
        <w:rPr>
          <w:rFonts w:hint="eastAsia" w:ascii="宋体" w:hAnsi="宋体" w:eastAsia="宋体" w:cs="宋体"/>
          <w:color w:val="auto"/>
          <w:sz w:val="24"/>
          <w:szCs w:val="24"/>
        </w:rPr>
        <w:t xml:space="preserve">依据；</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考核依据：</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维保记录、故障处理台账、甲方现场检查记录、维保报告，所有扣分项均需有书面记录佐证；</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 考核方式：采用扣分类评分，无基础分抵扣，按实际问题扣减对应维度分值，扣完该</w:t>
      </w: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rPr>
        <w:t xml:space="preserve">分值即止，不跨</w:t>
      </w: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rPr>
        <w:t xml:space="preserve">扣分。</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二、具体考核指标及扣分标准（总分100分）</w:t>
      </w:r>
      <w:r/>
    </w:p>
    <w:tbl>
      <w:tblPr>
        <w:tblStyle w:val="795"/>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693"/>
        <w:gridCol w:w="780"/>
        <w:gridCol w:w="2662"/>
        <w:gridCol w:w="4060"/>
      </w:tblGrid>
      <w:tr>
        <w:trPr>
          <w:jc w:val="center"/>
        </w:trPr>
        <w:tc>
          <w:tcPr>
            <w:tcMar>
              <w:left w:w="120" w:type="dxa"/>
              <w:top w:w="60" w:type="dxa"/>
              <w:right w:w="120" w:type="dxa"/>
              <w:bottom w:w="30" w:type="dxa"/>
            </w:tcMar>
            <w:tcW w:w="920" w:type="pct"/>
            <w:textDirection w:val="lrTb"/>
            <w:noWrap w:val="false"/>
          </w:tcPr>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考核</w:t>
            </w:r>
            <w:r>
              <w:rPr>
                <w:rFonts w:hint="eastAsia" w:ascii="宋体" w:hAnsi="宋体" w:eastAsia="宋体" w:cs="宋体"/>
                <w:color w:val="auto"/>
                <w:sz w:val="24"/>
                <w:szCs w:val="24"/>
                <w:lang w:val="en-US" w:eastAsia="zh-CN"/>
              </w:rPr>
              <w:t xml:space="preserve">项目</w:t>
            </w:r>
            <w:r/>
          </w:p>
        </w:tc>
        <w:tc>
          <w:tcPr>
            <w:tcMar>
              <w:left w:w="120" w:type="dxa"/>
              <w:top w:w="60" w:type="dxa"/>
              <w:right w:w="120" w:type="dxa"/>
              <w:bottom w:w="30" w:type="dxa"/>
            </w:tcMar>
            <w:tcW w:w="424"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w:t>
            </w:r>
            <w:r/>
          </w:p>
        </w:tc>
        <w:tc>
          <w:tcPr>
            <w:tcMar>
              <w:left w:w="120" w:type="dxa"/>
              <w:top w:w="60" w:type="dxa"/>
              <w:right w:w="120" w:type="dxa"/>
              <w:bottom w:w="30" w:type="dxa"/>
            </w:tcMar>
            <w:tcW w:w="1447"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核心考核内容</w:t>
            </w:r>
            <w:r/>
          </w:p>
        </w:tc>
        <w:tc>
          <w:tcPr>
            <w:tcMar>
              <w:left w:w="120" w:type="dxa"/>
              <w:top w:w="60" w:type="dxa"/>
              <w:right w:w="120" w:type="dxa"/>
              <w:bottom w:w="30" w:type="dxa"/>
            </w:tcMar>
            <w:tcW w:w="2207"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具体扣分标准（量化、易操作）</w:t>
            </w:r>
            <w:r/>
          </w:p>
        </w:tc>
      </w:tr>
      <w:tr>
        <w:trPr>
          <w:jc w:val="center"/>
        </w:trPr>
        <w:tc>
          <w:tcPr>
            <w:tcMar>
              <w:left w:w="120" w:type="dxa"/>
              <w:top w:w="60" w:type="dxa"/>
              <w:right w:w="120" w:type="dxa"/>
              <w:bottom w:w="30" w:type="dxa"/>
            </w:tcMar>
            <w:tcW w:w="920"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基础维保工作</w:t>
            </w:r>
            <w:r/>
          </w:p>
        </w:tc>
        <w:tc>
          <w:tcPr>
            <w:tcMar>
              <w:left w:w="120" w:type="dxa"/>
              <w:top w:w="60" w:type="dxa"/>
              <w:right w:w="120" w:type="dxa"/>
              <w:bottom w:w="30" w:type="dxa"/>
            </w:tcMar>
            <w:tcW w:w="424"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20分</w:t>
            </w:r>
            <w:r/>
          </w:p>
        </w:tc>
        <w:tc>
          <w:tcPr>
            <w:tcMar>
              <w:left w:w="120" w:type="dxa"/>
              <w:top w:w="60" w:type="dxa"/>
              <w:right w:w="120" w:type="dxa"/>
              <w:bottom w:w="30" w:type="dxa"/>
            </w:tcMar>
            <w:tcW w:w="1447"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 按规范完成周/月/季维保，记录完整（含检查项、结果、双方签字）；2. 每月5日前提交完整维保报告；3. 200元以下易损件库存充足，无缺货影响故障处理</w:t>
            </w:r>
            <w:r/>
          </w:p>
        </w:tc>
        <w:tc>
          <w:tcPr>
            <w:tcMar>
              <w:left w:w="120" w:type="dxa"/>
              <w:top w:w="60" w:type="dxa"/>
              <w:right w:w="120" w:type="dxa"/>
              <w:bottom w:w="30" w:type="dxa"/>
            </w:tcMar>
            <w:tcW w:w="2207"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 维保频次缺失1次扣5分，记录缺项/无签字1处扣2分；2. 未按时提交维保报告扣3分，报告内容敷衍/缺核心项扣2-5分；3. 易损件缺货1类扣2分，因缺货导致故障无法及时处理扣5分/次</w:t>
            </w:r>
            <w:r/>
          </w:p>
        </w:tc>
      </w:tr>
      <w:tr>
        <w:trPr>
          <w:jc w:val="center"/>
        </w:trPr>
        <w:tc>
          <w:tcPr>
            <w:tcMar>
              <w:left w:w="120" w:type="dxa"/>
              <w:top w:w="60" w:type="dxa"/>
              <w:right w:w="120" w:type="dxa"/>
              <w:bottom w:w="30" w:type="dxa"/>
            </w:tcMar>
            <w:tcW w:w="920"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故障处理效率</w:t>
            </w:r>
            <w:r/>
          </w:p>
        </w:tc>
        <w:tc>
          <w:tcPr>
            <w:tcMar>
              <w:left w:w="120" w:type="dxa"/>
              <w:top w:w="60" w:type="dxa"/>
              <w:right w:w="120" w:type="dxa"/>
              <w:bottom w:w="30" w:type="dxa"/>
            </w:tcMar>
            <w:tcW w:w="424"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30分</w:t>
            </w:r>
            <w:r/>
          </w:p>
        </w:tc>
        <w:tc>
          <w:tcPr>
            <w:tcMar>
              <w:left w:w="120" w:type="dxa"/>
              <w:top w:w="60" w:type="dxa"/>
              <w:right w:w="120" w:type="dxa"/>
              <w:bottom w:w="30" w:type="dxa"/>
            </w:tcMar>
            <w:tcW w:w="1447"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 按合同约定时限响应、修复各类故障；2. 无扯皮、推诿行为，故障处理全流程闭环（有报修、处理、验收完整记录）</w:t>
            </w:r>
            <w:r/>
          </w:p>
        </w:tc>
        <w:tc>
          <w:tcPr>
            <w:tcMar>
              <w:left w:w="120" w:type="dxa"/>
              <w:top w:w="60" w:type="dxa"/>
              <w:right w:w="120" w:type="dxa"/>
              <w:bottom w:w="30" w:type="dxa"/>
            </w:tcMar>
            <w:tcW w:w="2207"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 响应超时1次扣3分，修复超时1次扣5分；2. 紧急故障未立即到场扣10分/次，应急处理超时扣8分/次；3. 出现扯皮、推诿行为扣10分/次，情节严重（导致故障扩大）此项记0分</w:t>
            </w:r>
            <w:r/>
          </w:p>
        </w:tc>
      </w:tr>
      <w:tr>
        <w:trPr>
          <w:jc w:val="center"/>
        </w:trPr>
        <w:tc>
          <w:tcPr>
            <w:tcMar>
              <w:left w:w="120" w:type="dxa"/>
              <w:top w:w="60" w:type="dxa"/>
              <w:right w:w="120" w:type="dxa"/>
              <w:bottom w:w="30" w:type="dxa"/>
            </w:tcMar>
            <w:tcW w:w="920"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维保/维修质量</w:t>
            </w:r>
            <w:r/>
          </w:p>
        </w:tc>
        <w:tc>
          <w:tcPr>
            <w:tcMar>
              <w:left w:w="120" w:type="dxa"/>
              <w:top w:w="60" w:type="dxa"/>
              <w:right w:w="120" w:type="dxa"/>
              <w:bottom w:w="30" w:type="dxa"/>
            </w:tcMar>
            <w:tcW w:w="424"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25分</w:t>
            </w:r>
            <w:r/>
          </w:p>
        </w:tc>
        <w:tc>
          <w:tcPr>
            <w:tcMar>
              <w:left w:w="120" w:type="dxa"/>
              <w:top w:w="60" w:type="dxa"/>
              <w:right w:w="120" w:type="dxa"/>
              <w:bottom w:w="30" w:type="dxa"/>
            </w:tcMar>
            <w:tcW w:w="1447"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 维保/维修后设施经甲方一次验收合格；2. 同一位置/设备30天内无重复故障；3. 免费更换易损件、维修材料符合合同及国家消防标准</w:t>
            </w:r>
            <w:r/>
          </w:p>
        </w:tc>
        <w:tc>
          <w:tcPr>
            <w:tcMar>
              <w:left w:w="120" w:type="dxa"/>
              <w:top w:w="60" w:type="dxa"/>
              <w:right w:w="120" w:type="dxa"/>
              <w:bottom w:w="30" w:type="dxa"/>
            </w:tcMar>
            <w:tcW w:w="2207"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 验收不合格需返工扣5分/次，同一故障30天内重复出现扣6分/次；2. 配件/材料质量不达标（无3C/非国标）扣8分/次；3. 因操作不当导致设施二次损坏扣10分/次，造成损失的另行追责</w:t>
            </w:r>
            <w:r/>
          </w:p>
        </w:tc>
      </w:tr>
      <w:tr>
        <w:trPr>
          <w:jc w:val="center"/>
        </w:trPr>
        <w:tc>
          <w:tcPr>
            <w:tcMar>
              <w:left w:w="120" w:type="dxa"/>
              <w:top w:w="60" w:type="dxa"/>
              <w:right w:w="120" w:type="dxa"/>
              <w:bottom w:w="30" w:type="dxa"/>
            </w:tcMar>
            <w:tcW w:w="920"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责任落实与沟通</w:t>
            </w:r>
            <w:r/>
          </w:p>
        </w:tc>
        <w:tc>
          <w:tcPr>
            <w:tcMar>
              <w:left w:w="120" w:type="dxa"/>
              <w:top w:w="60" w:type="dxa"/>
              <w:right w:w="120" w:type="dxa"/>
              <w:bottom w:w="30" w:type="dxa"/>
            </w:tcMar>
            <w:tcW w:w="424"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15分</w:t>
            </w:r>
            <w:r/>
          </w:p>
        </w:tc>
        <w:tc>
          <w:tcPr>
            <w:tcMar>
              <w:left w:w="120" w:type="dxa"/>
              <w:top w:w="60" w:type="dxa"/>
              <w:right w:w="120" w:type="dxa"/>
              <w:bottom w:w="30" w:type="dxa"/>
            </w:tcMar>
            <w:tcW w:w="1447"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 维保中发现付费维修问题，第一时间书面报备甲方，无隐瞒、漏报；2. 配合甲方现场检查、月度考核及第三方争议判定；3. 及时反馈故障处理进度，24小时内回复甲方咨询</w:t>
            </w:r>
            <w:r/>
          </w:p>
        </w:tc>
        <w:tc>
          <w:tcPr>
            <w:tcMar>
              <w:left w:w="120" w:type="dxa"/>
              <w:top w:w="60" w:type="dxa"/>
              <w:right w:w="120" w:type="dxa"/>
              <w:bottom w:w="30" w:type="dxa"/>
            </w:tcMar>
            <w:tcW w:w="2207"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 隐瞒/漏报需付费维修问题扣5分/次；2. 不配合检查/考核/第三方判定扣4分/次；3. 未及时反馈进度/回复咨询扣2分/次</w:t>
            </w:r>
            <w:r/>
          </w:p>
        </w:tc>
      </w:tr>
      <w:tr>
        <w:trPr>
          <w:jc w:val="center"/>
        </w:trPr>
        <w:tc>
          <w:tcPr>
            <w:tcMar>
              <w:left w:w="120" w:type="dxa"/>
              <w:top w:w="60" w:type="dxa"/>
              <w:right w:w="120" w:type="dxa"/>
              <w:bottom w:w="30" w:type="dxa"/>
            </w:tcMar>
            <w:tcW w:w="920"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人员与现场管理</w:t>
            </w:r>
            <w:r/>
          </w:p>
        </w:tc>
        <w:tc>
          <w:tcPr>
            <w:tcMar>
              <w:left w:w="120" w:type="dxa"/>
              <w:top w:w="60" w:type="dxa"/>
              <w:right w:w="120" w:type="dxa"/>
              <w:bottom w:w="30" w:type="dxa"/>
            </w:tcMar>
            <w:tcW w:w="424"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10分</w:t>
            </w:r>
            <w:r/>
          </w:p>
        </w:tc>
        <w:tc>
          <w:tcPr>
            <w:tcMar>
              <w:left w:w="120" w:type="dxa"/>
              <w:top w:w="60" w:type="dxa"/>
              <w:right w:w="120" w:type="dxa"/>
              <w:bottom w:w="30" w:type="dxa"/>
            </w:tcMar>
            <w:tcW w:w="1447"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 维保/维修人员全部持证上岗，无随意更换人员情况；2. 遵守甲方现场管理规定，作业无安全事故、违规操作</w:t>
            </w:r>
            <w:r/>
          </w:p>
        </w:tc>
        <w:tc>
          <w:tcPr>
            <w:tcMar>
              <w:left w:w="120" w:type="dxa"/>
              <w:top w:w="60" w:type="dxa"/>
              <w:right w:w="120" w:type="dxa"/>
              <w:bottom w:w="30" w:type="dxa"/>
            </w:tcMar>
            <w:tcW w:w="2207"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 人员无证上岗1人扣3分，随意更换人员未提前告知扣2分/次；2. 出现现场安全事故/违规操作，此项直接记0分，造成损失的另行追责</w:t>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三、考核结果应用</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1.考核得分≥90分：全额支付当月维保费用；</w:t>
      </w:r>
      <w:r/>
    </w:p>
    <w:p>
      <w:pPr>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2.80≤考核得分＜90分：按实际得分/100的比例支付当月维保费用；</w:t>
      </w:r>
      <w:r/>
    </w:p>
    <w:p>
      <w:pPr>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3.考核得分＜80分：① 按实际得分/100比例支付费用；② 扣除当月维保费用的10%作为整改保证金；③ 中标单位需在3日内提交书面整改方案，7日内完成整改，甲方复核合格后无息返还保证金，整改不合格的保证金不予返还，且甲方有权要求更换服务团队；</w:t>
      </w:r>
      <w:r/>
    </w:p>
    <w:p>
      <w:pPr>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4.连续3个月考核不合格：甲方有权单方面解除合同，中标单位需向甲方支付合同总金额20%的违约金，并赔偿甲方因此造成的全部经济损失。</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四、考核复核</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中标单位对考核结果有异议的，可在考核结果告知后3日内以书面形式向甲方提出复核申请，需附相关佐证材料；甲方在5日内完成复核并出具书面复核结果，复核结果为最终结果。</w:t>
      </w:r>
      <w:r/>
    </w:p>
    <w:p>
      <w:pPr>
        <w:numPr>
          <w:ilvl w:val="0"/>
          <w:numId w:val="0"/>
        </w:numPr>
        <w:ind w:left="0" w:firstLine="42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785"/>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bookmarkStart w:id="156" w:name="_Toc17571"/>
      <w:r/>
      <w:bookmarkStart w:id="157" w:name="_Toc24078"/>
      <w:r>
        <w:rPr>
          <w:rFonts w:ascii="黑体" w:hAnsi="黑体" w:eastAsia="黑体" w:cs="黑体"/>
          <w:b/>
          <w:color w:val="auto"/>
          <w:sz w:val="44"/>
        </w:rPr>
        <w:t xml:space="preserve">第四章 采购需求</w:t>
      </w:r>
      <w:bookmarkEnd w:id="156"/>
      <w:r/>
      <w:bookmarkEnd w:id="157"/>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482"/>
        <w:jc w:val="both"/>
        <w:keepLines w:val="0"/>
        <w:keepNext w:val="0"/>
        <w:pageBreakBefore w:val="0"/>
        <w:spacing w:before="0" w:after="0" w:line="360" w:lineRule="auto"/>
        <w:tabs>
          <w:tab w:val="left" w:pos="490" w:leader="none"/>
        </w:tabs>
        <w:rPr>
          <w:rFonts w:hint="eastAsia" w:ascii="宋体" w:hAnsi="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r>
      <w:r/>
    </w:p>
    <w:p>
      <w:pPr>
        <w:ind w:left="0" w:right="0" w:firstLine="482"/>
        <w:jc w:val="both"/>
        <w:keepLines w:val="0"/>
        <w:keepNext w:val="0"/>
        <w:pageBreakBefore w:val="0"/>
        <w:spacing w:before="0" w:after="0" w:line="360" w:lineRule="auto"/>
        <w:tabs>
          <w:tab w:val="left" w:pos="490" w:leader="none"/>
        </w:tabs>
        <w:rPr>
          <w:rFonts w:hint="default" w:ascii="宋体" w:hAnsi="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一、采购标的</w:t>
      </w:r>
      <w:r/>
    </w:p>
    <w:p>
      <w:pPr>
        <w:ind w:left="0" w:right="0" w:firstLine="480"/>
        <w:jc w:val="both"/>
        <w:keepLines w:val="0"/>
        <w:keepNext w:val="0"/>
        <w:pageBreakBefore w:val="0"/>
        <w:spacing w:before="0" w:after="0" w:line="360" w:lineRule="auto"/>
        <w:tabs>
          <w:tab w:val="left" w:pos="490" w:leader="none"/>
        </w:tabs>
        <w:rPr>
          <w:rFonts w:hint="eastAsia" w:ascii="宋体" w:hAnsi="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1、项目名称：盐城市第一人民医院建筑消防设施维保及维修项目</w:t>
      </w:r>
      <w:r/>
    </w:p>
    <w:p>
      <w:pPr>
        <w:pStyle w:val="796"/>
        <w:ind w:left="0"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2、采购标的：建筑消防设施维保及维修服务</w:t>
      </w:r>
      <w:r/>
    </w:p>
    <w:p>
      <w:pPr>
        <w:pStyle w:val="796"/>
        <w:ind w:left="0" w:right="0" w:firstLine="480"/>
        <w:keepLines w:val="0"/>
        <w:keepNext w:val="0"/>
        <w:pageBreakBefore w:val="0"/>
        <w:spacing w:line="360" w:lineRule="auto"/>
        <w:rPr>
          <w:rFonts w:hint="eastAsia" w:ascii="宋体" w:hAnsi="宋体" w:cs="宋体"/>
          <w:b w:val="0"/>
          <w:bCs/>
          <w:color w:val="auto"/>
          <w:sz w:val="24"/>
          <w:lang w:eastAsia="zh-CN"/>
        </w:rPr>
      </w:pPr>
      <w:r>
        <w:rPr>
          <w:rFonts w:hint="eastAsia" w:ascii="宋体" w:hAnsi="宋体" w:cs="宋体"/>
          <w:b w:val="0"/>
          <w:bCs/>
          <w:color w:val="auto"/>
          <w:sz w:val="24"/>
          <w:lang w:val="en-US" w:eastAsia="zh-CN"/>
        </w:rPr>
        <w:t xml:space="preserve">3、服务范围：1、</w:t>
      </w:r>
      <w:r>
        <w:rPr>
          <w:rFonts w:hint="eastAsia" w:ascii="宋体" w:hAnsi="宋体" w:cs="宋体"/>
          <w:b w:val="0"/>
          <w:bCs/>
          <w:color w:val="auto"/>
          <w:sz w:val="24"/>
          <w:lang w:eastAsia="zh-CN"/>
        </w:rPr>
        <w:t xml:space="preserve">本次建筑设施消防维保范围包含盐城第一人民医院北区、南区、儿童医院一期</w:t>
      </w:r>
      <w:r>
        <w:rPr>
          <w:rFonts w:hint="eastAsia" w:ascii="宋体" w:hAnsi="宋体" w:cs="宋体"/>
          <w:b w:val="0"/>
          <w:bCs/>
          <w:color w:val="auto"/>
          <w:sz w:val="24"/>
          <w:lang w:val="en-US" w:eastAsia="zh-CN"/>
        </w:rPr>
        <w:t xml:space="preserve"> 二期</w:t>
      </w:r>
      <w:r>
        <w:rPr>
          <w:rFonts w:hint="eastAsia" w:ascii="宋体" w:hAnsi="宋体" w:cs="宋体"/>
          <w:b w:val="0"/>
          <w:bCs/>
          <w:color w:val="auto"/>
          <w:sz w:val="24"/>
          <w:lang w:eastAsia="zh-CN"/>
        </w:rPr>
        <w:t xml:space="preserve">、五官科医院、紫薇门诊等。总建筑面积约</w:t>
      </w:r>
      <w:r>
        <w:rPr>
          <w:rFonts w:hint="eastAsia" w:ascii="宋体" w:hAnsi="宋体" w:cs="宋体"/>
          <w:b w:val="0"/>
          <w:bCs/>
          <w:color w:val="auto"/>
          <w:sz w:val="24"/>
          <w:lang w:val="en-US" w:eastAsia="zh-CN"/>
        </w:rPr>
        <w:t xml:space="preserve">44.2</w:t>
      </w:r>
      <w:r>
        <w:rPr>
          <w:rFonts w:hint="eastAsia" w:ascii="宋体" w:hAnsi="宋体" w:cs="宋体"/>
          <w:b w:val="0"/>
          <w:bCs/>
          <w:color w:val="auto"/>
          <w:sz w:val="24"/>
          <w:lang w:eastAsia="zh-CN"/>
        </w:rPr>
        <w:t xml:space="preserve">万平方米。</w:t>
      </w:r>
      <w:r/>
    </w:p>
    <w:p>
      <w:pPr>
        <w:numPr>
          <w:ilvl w:val="0"/>
          <w:numId w:val="0"/>
        </w:numPr>
        <w:ind w:left="0" w:right="0" w:firstLine="480"/>
        <w:jc w:val="both"/>
        <w:keepLines w:val="0"/>
        <w:keepNext w:val="0"/>
        <w:pageBreakBefore w:val="0"/>
        <w:spacing w:before="0" w:after="0" w:line="360" w:lineRule="auto"/>
        <w:tabs>
          <w:tab w:val="left" w:pos="490" w:leader="none"/>
        </w:tabs>
        <w:rPr>
          <w:rFonts w:hint="eastAsia" w:ascii="宋体" w:hAnsi="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本次建筑设施消防维修范围包含盐城第一人民医院北区、南区、儿童医院一</w:t>
      </w:r>
      <w:r/>
    </w:p>
    <w:p>
      <w:pPr>
        <w:numPr>
          <w:ilvl w:val="0"/>
          <w:numId w:val="0"/>
        </w:numPr>
        <w:ind w:left="0" w:right="0" w:firstLine="0"/>
        <w:jc w:val="both"/>
        <w:keepLines w:val="0"/>
        <w:keepNext w:val="0"/>
        <w:pageBreakBefore w:val="0"/>
        <w:spacing w:before="0" w:after="0" w:line="360" w:lineRule="auto"/>
        <w:tabs>
          <w:tab w:val="left" w:pos="490" w:leader="none"/>
        </w:tabs>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期、五官科医院、紫薇门诊等。</w:t>
      </w:r>
      <w:r/>
    </w:p>
    <w:p>
      <w:pPr>
        <w:pStyle w:val="796"/>
        <w:numPr>
          <w:ilvl w:val="0"/>
          <w:numId w:val="0"/>
        </w:numPr>
        <w:ind w:left="0" w:right="0" w:firstLine="480"/>
        <w:keepLines w:val="0"/>
        <w:keepNext w:val="0"/>
        <w:pageBreakBefore w:val="0"/>
        <w:spacing w:line="360" w:lineRule="auto"/>
        <w:widowControl/>
        <w:rPr>
          <w:rFonts w:hint="default"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5、服务期：两年。</w:t>
      </w:r>
      <w:r/>
    </w:p>
    <w:p>
      <w:pPr>
        <w:ind w:left="0" w:right="0" w:firstLine="482"/>
        <w:jc w:val="both"/>
        <w:keepLines w:val="0"/>
        <w:keepNext w:val="0"/>
        <w:pageBreakBefore w:val="0"/>
        <w:spacing w:before="0" w:after="0" w:line="360" w:lineRule="auto"/>
        <w:rPr>
          <w:rFonts w:hint="eastAsia" w:ascii="宋体" w:hAnsi="宋体" w:eastAsia="宋体" w:cs="宋体"/>
          <w:b/>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lang w:eastAsia="zh-CN"/>
        </w:rPr>
        <w:t xml:space="preserve">二、建筑消防设施维护保养内容和周期</w:t>
      </w:r>
      <w:r/>
    </w:p>
    <w:tbl>
      <w:tblPr>
        <w:tblStyle w:val="795"/>
        <w:tblW w:w="9812" w:type="dxa"/>
        <w:tblInd w:w="-1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11"/>
        <w:gridCol w:w="259"/>
        <w:gridCol w:w="776"/>
        <w:gridCol w:w="280"/>
        <w:gridCol w:w="1886"/>
        <w:gridCol w:w="3309"/>
        <w:gridCol w:w="1991"/>
      </w:tblGrid>
      <w:tr>
        <w:trPr>
          <w:trHeight w:val="719"/>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系统类型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设施设备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维护保养内容</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周期</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消防电源及供配电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消防电源配电柜（箱）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消防主、备电源</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消防设备末端配电切换装置</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每半年全数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自备发电机组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发电机和储油箱</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每年一次，全数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散热水箱</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每季度全数</w:t>
            </w:r>
            <w:r/>
          </w:p>
        </w:tc>
      </w:tr>
      <w:tr>
        <w:trPr>
          <w:trHeight w:val="1225"/>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发电机组启动</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手动启动每季度一次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自动启动每半年一次</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通风设施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每季度一次，全数</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充放电循环</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每半年一次，全数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蓄电池应急电源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蓄电池间</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设备外观</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、显示屏检查</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每季度全数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蓄电池电压和应急转换</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充放电功能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每年一次，全数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消防设备电源监控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外观检查</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故障报警功能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每年全数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消防控制室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环境清洁，疏散门畅通</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每月一次全数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设备和布线外观完好无损</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火灾报警的外线电话</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火灾自动报警系统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火灾报警控制器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外观</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、标识</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每月一次全数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注册点位数，正常和异常点位数</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主备用电源工作状态</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、备用电源容量</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火灾报警</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、故障</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、自检功能测试</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消声</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、复位功能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打印和记忆功能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总线制短路隔离器检查</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529"/>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non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火灾报警探测器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、手动火灾报警 、</w:t>
            </w:r>
            <w:r>
              <w:rPr>
                <w:rStyle w:val="1073"/>
                <w:color w:val="auto"/>
                <w:sz w:val="24"/>
                <w:szCs w:val="24"/>
                <w:lang w:val="en-US" w:eastAsia="zh-CN" w:bidi="ar"/>
              </w:rPr>
              <w:br/>
            </w:r>
            <w:r>
              <w:rPr>
                <w:rStyle w:val="1073"/>
                <w:color w:val="auto"/>
                <w:sz w:val="24"/>
                <w:szCs w:val="24"/>
                <w:lang w:val="en-US" w:eastAsia="zh-CN" w:bidi="ar"/>
              </w:rPr>
              <w:t xml:space="preserve">消火栓按钮</w:t>
            </w:r>
            <w:r/>
          </w:p>
        </w:tc>
        <w:tc>
          <w:tcPr>
            <w:gridSpan w:val="2"/>
            <w:shd w:val="clear" w:color="auto" w:fill="auto"/>
            <w:tcBorders>
              <w:top w:val="single" w:color="000000" w:sz="4" w:space="0"/>
              <w:left w:val="single" w:color="000000" w:sz="4" w:space="0"/>
              <w:bottom w:val="non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安装位置和外观</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每月不少于全数的</w:t>
            </w:r>
            <w:r>
              <w:rPr>
                <w:rStyle w:val="1074"/>
                <w:rFonts w:eastAsia="宋体"/>
                <w:color w:val="auto"/>
                <w:sz w:val="24"/>
                <w:szCs w:val="24"/>
                <w:lang w:val="en-US" w:eastAsia="zh-CN" w:bidi="ar"/>
              </w:rPr>
              <w:t xml:space="preserve">10%</w:t>
            </w:r>
            <w:r>
              <w:rPr>
                <w:rStyle w:val="1073"/>
                <w:color w:val="auto"/>
                <w:sz w:val="24"/>
                <w:szCs w:val="24"/>
                <w:lang w:val="en-US" w:eastAsia="zh-CN" w:bidi="ar"/>
              </w:rPr>
              <w:t xml:space="preserve">，每年全数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编码和中文注释火灾显示器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安装位置和外观</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每月不少于全数的</w:t>
            </w:r>
            <w:r>
              <w:rPr>
                <w:rStyle w:val="1074"/>
                <w:rFonts w:eastAsia="宋体"/>
                <w:color w:val="auto"/>
                <w:sz w:val="24"/>
                <w:szCs w:val="24"/>
                <w:lang w:val="en-US" w:eastAsia="zh-CN" w:bidi="ar"/>
              </w:rPr>
              <w:t xml:space="preserve">10%</w:t>
            </w:r>
            <w:r>
              <w:rPr>
                <w:rStyle w:val="1073"/>
                <w:color w:val="auto"/>
                <w:sz w:val="24"/>
                <w:szCs w:val="24"/>
                <w:lang w:val="en-US" w:eastAsia="zh-CN" w:bidi="ar"/>
              </w:rPr>
              <w:t xml:space="preserve">，每年全数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火灾报警显示功能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报警信息注释</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消防联动控制器</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外观</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、标识</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每月一次全数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手动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、自动功能转换功能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工作状态显示</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整体联动控制功能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每年每一个报警区域至少进行一次</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输出模块</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每月一次，每年输出模块全数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手动直接控制装置</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每月一次全数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消防专用电话</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消防电话总机</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每月一次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每年电话分机 、电话插孔全数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电话分机</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、电话插孔</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消防应急广播</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扬声器设置</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每月一次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每年扬声器全数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扩音机</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语音和声压级</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普通广播合用时，强制切入功能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图形显示装置（火灾报警平面的显示优先）</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显示信息内容符合</w:t>
            </w:r>
            <w:r>
              <w:rPr>
                <w:rStyle w:val="1074"/>
                <w:rFonts w:eastAsia="宋体"/>
                <w:color w:val="auto"/>
                <w:sz w:val="24"/>
                <w:szCs w:val="24"/>
                <w:lang w:val="en-US" w:eastAsia="zh-CN" w:bidi="ar"/>
              </w:rPr>
              <w:t xml:space="preserve">GB50116</w:t>
            </w:r>
            <w:r>
              <w:rPr>
                <w:rStyle w:val="1073"/>
                <w:color w:val="auto"/>
                <w:sz w:val="24"/>
                <w:szCs w:val="24"/>
                <w:lang w:val="en-US" w:eastAsia="zh-CN"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火灾报警和联动控制信号显示功能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多报警平面显示功能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火灾警报装置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外观</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、设置部位</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每月不少于全数的</w:t>
            </w:r>
            <w:r>
              <w:rPr>
                <w:rStyle w:val="1074"/>
                <w:rFonts w:eastAsia="宋体"/>
                <w:color w:val="auto"/>
                <w:sz w:val="24"/>
                <w:szCs w:val="24"/>
                <w:lang w:val="en-US" w:eastAsia="zh-CN" w:bidi="ar"/>
              </w:rPr>
              <w:t xml:space="preserve">10%</w:t>
            </w:r>
            <w:r>
              <w:rPr>
                <w:rStyle w:val="1073"/>
                <w:color w:val="auto"/>
                <w:sz w:val="24"/>
                <w:szCs w:val="24"/>
                <w:lang w:val="en-US" w:eastAsia="zh-CN" w:bidi="ar"/>
              </w:rPr>
              <w:t xml:space="preserve">，</w:t>
            </w:r>
            <w:r>
              <w:rPr>
                <w:rStyle w:val="1073"/>
                <w:color w:val="auto"/>
                <w:sz w:val="24"/>
                <w:szCs w:val="24"/>
                <w:lang w:val="en-US" w:eastAsia="zh-CN" w:bidi="ar"/>
              </w:rPr>
              <w:br/>
            </w:r>
            <w:r>
              <w:rPr>
                <w:rStyle w:val="1073"/>
                <w:color w:val="auto"/>
                <w:sz w:val="24"/>
                <w:szCs w:val="24"/>
                <w:lang w:val="en-US" w:eastAsia="zh-CN" w:bidi="ar"/>
              </w:rPr>
              <w:t xml:space="preserve">每年全数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声压级符合</w:t>
            </w:r>
            <w:r>
              <w:rPr>
                <w:rStyle w:val="1074"/>
                <w:rFonts w:eastAsia="宋体"/>
                <w:color w:val="auto"/>
                <w:sz w:val="24"/>
                <w:szCs w:val="24"/>
                <w:lang w:val="en-US" w:eastAsia="zh-CN" w:bidi="ar"/>
              </w:rPr>
              <w:t xml:space="preserve"> GB 50116 </w:t>
            </w:r>
            <w:r>
              <w:rPr>
                <w:rStyle w:val="1073"/>
                <w:color w:val="auto"/>
                <w:sz w:val="24"/>
                <w:szCs w:val="24"/>
                <w:lang w:val="en-US" w:eastAsia="zh-CN"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火灾声警报与消防应急广播交替循环播放功能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消防电梯</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消防控制室和紧急按钮的控制功能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每月不少于全数的</w:t>
            </w:r>
            <w:r>
              <w:rPr>
                <w:rStyle w:val="1074"/>
                <w:rFonts w:eastAsia="宋体"/>
                <w:color w:val="auto"/>
                <w:sz w:val="24"/>
                <w:szCs w:val="24"/>
                <w:lang w:val="en-US" w:eastAsia="zh-CN" w:bidi="ar"/>
              </w:rPr>
              <w:t xml:space="preserve">10%</w:t>
            </w:r>
            <w:r>
              <w:rPr>
                <w:rStyle w:val="1073"/>
                <w:color w:val="auto"/>
                <w:sz w:val="24"/>
                <w:szCs w:val="24"/>
                <w:lang w:val="en-US" w:eastAsia="zh-CN" w:bidi="ar"/>
              </w:rPr>
              <w:t xml:space="preserve">，</w:t>
            </w:r>
            <w:r>
              <w:rPr>
                <w:rStyle w:val="1073"/>
                <w:color w:val="auto"/>
                <w:sz w:val="24"/>
                <w:szCs w:val="24"/>
                <w:lang w:val="en-US" w:eastAsia="zh-CN" w:bidi="ar"/>
              </w:rPr>
              <w:br/>
            </w:r>
            <w:r>
              <w:rPr>
                <w:rStyle w:val="1073"/>
                <w:color w:val="auto"/>
                <w:sz w:val="24"/>
                <w:szCs w:val="24"/>
                <w:lang w:val="en-US" w:eastAsia="zh-CN" w:bidi="ar"/>
              </w:rPr>
              <w:t xml:space="preserve">每年全数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消防电梯迫降后应具备的消防功能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消防电梯的联动控制功能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电气火灾监控系统</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电气火灾监控设备功能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每月一次全数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电气火灾监控设备监视状态</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电气火灾监控探测器的监控报警功能和报警值设定</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每月一次，每年全数</w:t>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消防应急</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照明和疏散指示系统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集中控制型系统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灯具外观，安装位置</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每月不少于全数的</w:t>
            </w:r>
            <w:r>
              <w:rPr>
                <w:rStyle w:val="1074"/>
                <w:rFonts w:eastAsia="宋体"/>
                <w:color w:val="auto"/>
                <w:sz w:val="24"/>
                <w:szCs w:val="24"/>
                <w:lang w:val="en-US" w:eastAsia="zh-CN" w:bidi="ar"/>
              </w:rPr>
              <w:t xml:space="preserve">10%</w:t>
            </w:r>
            <w:r>
              <w:rPr>
                <w:rStyle w:val="1073"/>
                <w:color w:val="auto"/>
                <w:sz w:val="24"/>
                <w:szCs w:val="24"/>
                <w:lang w:val="en-US" w:eastAsia="zh-CN" w:bidi="ar"/>
              </w:rPr>
              <w:t xml:space="preserve">，每年全数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手动应急启动功能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每月一次全数</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蓄电池持续工作时间，充电 、放电功能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每月对每一台灯具一次</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火灾状态下自动应急启动功能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每年对每一个防火分区至少一次</w:t>
            </w:r>
            <w:r/>
          </w:p>
        </w:tc>
      </w:tr>
      <w:tr>
        <w:trPr>
          <w:trHeight w:val="596"/>
        </w:trPr>
        <w:tc>
          <w:tcPr>
            <w:gridSpan w:val="4"/>
            <w:shd w:val="clear" w:color="auto" w:fill="auto"/>
            <w:tcBorders>
              <w:top w:val="single" w:color="000000" w:sz="4" w:space="0"/>
              <w:left w:val="single" w:color="000000" w:sz="4" w:space="0"/>
              <w:bottom w:val="single" w:color="000000" w:sz="4" w:space="0"/>
              <w:right w:val="single" w:color="000000" w:sz="4" w:space="0"/>
            </w:tcBorders>
            <w:tcW w:w="26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消防给水系统</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市政给水管网</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压力和流量</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每季一次全数</w:t>
            </w:r>
            <w:r/>
          </w:p>
        </w:tc>
      </w:tr>
      <w:tr>
        <w:trPr>
          <w:trHeight w:val="596"/>
        </w:trPr>
        <w:tc>
          <w:tcPr>
            <w:gridSpan w:val="4"/>
            <w:shd w:val="clear" w:color="auto" w:fill="auto"/>
            <w:tcBorders>
              <w:top w:val="single" w:color="000000" w:sz="4" w:space="0"/>
              <w:left w:val="single" w:color="000000" w:sz="4" w:space="0"/>
              <w:bottom w:val="single" w:color="000000" w:sz="4" w:space="0"/>
              <w:right w:val="single" w:color="000000" w:sz="4" w:space="0"/>
            </w:tcBorders>
            <w:tcW w:w="262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消防水池</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水位</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、补水措施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每月一次全数</w:t>
            </w:r>
            <w:r/>
          </w:p>
        </w:tc>
      </w:tr>
      <w:tr>
        <w:trPr>
          <w:trHeight w:val="617"/>
        </w:trPr>
        <w:tc>
          <w:tcPr>
            <w:gridSpan w:val="4"/>
            <w:shd w:val="clear" w:color="auto" w:fill="auto"/>
            <w:tcBorders>
              <w:top w:val="single" w:color="000000" w:sz="4" w:space="0"/>
              <w:left w:val="single" w:color="000000" w:sz="4" w:space="0"/>
              <w:bottom w:val="none" w:color="000000" w:sz="4" w:space="0"/>
              <w:right w:val="single" w:color="000000" w:sz="4" w:space="0"/>
            </w:tcBorders>
            <w:tcW w:w="26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水源（箱）、高位消防水箱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清洗水池（箱）及其组件</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每两年全数</w:t>
            </w:r>
            <w:r/>
          </w:p>
        </w:tc>
      </w:tr>
      <w:tr>
        <w:trPr>
          <w:trHeight w:val="617"/>
        </w:trPr>
        <w:tc>
          <w:tcPr>
            <w:gridSpan w:val="4"/>
            <w:shd w:val="clear" w:color="auto" w:fill="auto"/>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消防设备 、阀门 、管道等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标志标识</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每月一次全数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给水 设施</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稳压泵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外观检查和元器件</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每月一次全数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启停泵压力</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、启停次数</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91"/>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手动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、自动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、故障切换功能测试</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每季，全数</w:t>
            </w:r>
            <w:r/>
          </w:p>
        </w:tc>
      </w:tr>
      <w:tr>
        <w:trPr>
          <w:trHeight w:val="791"/>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消防水泵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消防水泵</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、控制柜外观和电气元件</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启泵功能</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、出水压力</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主备用泵自动切换功能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91"/>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气压水罐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检测气压</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、水位</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、有效容积</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水泵接合器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检查完好状况</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每月一次全数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通水试验</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每年一次全数</w:t>
            </w:r>
            <w:r/>
          </w:p>
        </w:tc>
      </w:tr>
      <w:tr>
        <w:trPr>
          <w:trHeight w:val="596"/>
        </w:trPr>
        <w:tc>
          <w:tcPr>
            <w:gridSpan w:val="4"/>
            <w:shd w:val="clear" w:color="auto" w:fill="auto"/>
            <w:tcBorders>
              <w:top w:val="single" w:color="000000" w:sz="4" w:space="0"/>
              <w:left w:val="single" w:color="000000" w:sz="4" w:space="0"/>
              <w:bottom w:val="single" w:color="000000" w:sz="4" w:space="0"/>
              <w:right w:val="single" w:color="000000" w:sz="4" w:space="0"/>
            </w:tcBorders>
            <w:tcW w:w="26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减压阀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放水</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每月，每年全数</w:t>
            </w:r>
            <w:r/>
          </w:p>
        </w:tc>
      </w:tr>
      <w:tr>
        <w:trPr>
          <w:trHeight w:val="596"/>
        </w:trPr>
        <w:tc>
          <w:tcPr>
            <w:gridSpan w:val="4"/>
            <w:shd w:val="clear" w:color="auto" w:fill="auto"/>
            <w:tcBorders>
              <w:top w:val="single" w:color="000000" w:sz="4" w:space="0"/>
              <w:left w:val="single" w:color="000000" w:sz="4" w:space="0"/>
              <w:bottom w:val="single" w:color="000000" w:sz="4" w:space="0"/>
              <w:right w:val="single" w:color="000000" w:sz="4" w:space="0"/>
            </w:tcBorders>
            <w:tcW w:w="262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测试流量和压力</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每年全数</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阀门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雨淋阀的附属电磁阀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检测开启功能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每月，每年全数</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电动阀或电磁阀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检测供电</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、启闭功能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系统所有控制阀门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铅封</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、锁链的状况</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每月，每年全数</w:t>
            </w:r>
            <w:r/>
          </w:p>
        </w:tc>
      </w:tr>
      <w:tr>
        <w:trPr>
          <w:trHeight w:val="791"/>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室外阀门井中控制阀门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检查开启状态</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每季全数</w:t>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水源控制阀</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、报警阀组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检查外观和漏水</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末端试水阀</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、报警阀的试水阀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每月不少于全数的</w:t>
            </w:r>
            <w:r>
              <w:rPr>
                <w:rStyle w:val="1074"/>
                <w:rFonts w:eastAsia="宋体"/>
                <w:color w:val="auto"/>
                <w:sz w:val="24"/>
                <w:szCs w:val="24"/>
                <w:lang w:val="en-US" w:eastAsia="zh-CN" w:bidi="ar"/>
              </w:rPr>
              <w:t xml:space="preserve">10%</w:t>
            </w:r>
            <w:r>
              <w:rPr>
                <w:rStyle w:val="1073"/>
                <w:color w:val="auto"/>
                <w:sz w:val="24"/>
                <w:szCs w:val="24"/>
                <w:lang w:val="en-US" w:eastAsia="zh-CN" w:bidi="ar"/>
              </w:rPr>
              <w:t xml:space="preserve">，每年全数</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每月不少于全数的</w:t>
            </w:r>
            <w:r>
              <w:rPr>
                <w:rStyle w:val="1074"/>
                <w:rFonts w:eastAsia="宋体"/>
                <w:color w:val="auto"/>
                <w:sz w:val="24"/>
                <w:szCs w:val="24"/>
                <w:lang w:val="en-US" w:eastAsia="zh-CN" w:bidi="ar"/>
              </w:rPr>
              <w:t xml:space="preserve">10%</w:t>
            </w:r>
            <w:r>
              <w:rPr>
                <w:rStyle w:val="1073"/>
                <w:color w:val="auto"/>
                <w:sz w:val="24"/>
                <w:szCs w:val="24"/>
                <w:lang w:val="en-US" w:eastAsia="zh-CN" w:bidi="ar"/>
              </w:rPr>
              <w:t xml:space="preserve">，每年全数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消火栓系统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w:t>
            </w:r>
            <w:r/>
          </w:p>
        </w:tc>
        <w:tc>
          <w:tcPr>
            <w:shd w:val="clear" w:color="auto" w:fill="auto"/>
            <w:tcBorders>
              <w:top w:val="non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室外消火栓</w:t>
            </w:r>
            <w:r/>
          </w:p>
        </w:tc>
        <w:tc>
          <w:tcPr>
            <w:shd w:val="clear" w:color="auto" w:fill="auto"/>
            <w:tcBorders>
              <w:top w:val="non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外观和漏水检查</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每季全数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室内</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消火栓箱</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外观、可开启角度</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每月不少于全数的</w:t>
            </w:r>
            <w:r>
              <w:rPr>
                <w:rStyle w:val="1074"/>
                <w:rFonts w:eastAsia="宋体"/>
                <w:color w:val="auto"/>
                <w:sz w:val="24"/>
                <w:szCs w:val="24"/>
                <w:lang w:val="en-US" w:eastAsia="zh-CN" w:bidi="ar"/>
              </w:rPr>
              <w:t xml:space="preserve">10%</w:t>
            </w:r>
            <w:r>
              <w:rPr>
                <w:rStyle w:val="1073"/>
                <w:color w:val="auto"/>
                <w:sz w:val="24"/>
                <w:szCs w:val="24"/>
                <w:lang w:val="en-US" w:eastAsia="zh-CN" w:bidi="ar"/>
              </w:rPr>
              <w:t xml:space="preserve">，每年全数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配件、标志标识</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消火栓按钮</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启泵或报警功能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软管卷盘</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外观和漏水检查</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外观</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系统联锁试验</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系统运行功能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每年</w:t>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自动喷水灭火系统</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喷头</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检查完好状况、清除异物</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每月不少于全数的</w:t>
            </w:r>
            <w:r>
              <w:rPr>
                <w:rStyle w:val="1074"/>
                <w:rFonts w:eastAsia="宋体"/>
                <w:color w:val="auto"/>
                <w:sz w:val="24"/>
                <w:szCs w:val="24"/>
                <w:lang w:val="en-US" w:eastAsia="zh-CN" w:bidi="ar"/>
              </w:rPr>
              <w:t xml:space="preserve">10%</w:t>
            </w:r>
            <w:r>
              <w:rPr>
                <w:rStyle w:val="1073"/>
                <w:color w:val="auto"/>
                <w:sz w:val="24"/>
                <w:szCs w:val="24"/>
                <w:lang w:val="en-US" w:eastAsia="zh-CN" w:bidi="ar"/>
              </w:rPr>
              <w:t xml:space="preserve">，每年全数</w:t>
            </w:r>
            <w:r/>
          </w:p>
        </w:tc>
      </w:tr>
      <w:tr>
        <w:trPr>
          <w:trHeight w:val="596"/>
        </w:trPr>
        <w:tc>
          <w:tcPr>
            <w:gridSpan w:val="5"/>
            <w:shd w:val="clear" w:color="auto" w:fill="auto"/>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报警阀组</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外观</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、报警试验功能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gridSpan w:val="5"/>
            <w:shd w:val="clear" w:color="auto" w:fill="auto"/>
            <w:tcBorders>
              <w:top w:val="single" w:color="000000" w:sz="4" w:space="0"/>
              <w:left w:val="single" w:color="000000" w:sz="4" w:space="0"/>
              <w:bottom w:val="single" w:color="000000" w:sz="4" w:space="0"/>
              <w:right w:val="single" w:color="000000" w:sz="4" w:space="0"/>
            </w:tcBorders>
            <w:tcW w:w="45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控制阀门</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铅封或锁具，开启状态</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gridSpan w:val="5"/>
            <w:shd w:val="clear" w:color="auto" w:fill="auto"/>
            <w:tcBorders>
              <w:top w:val="single" w:color="000000" w:sz="4" w:space="0"/>
              <w:left w:val="single" w:color="000000" w:sz="4" w:space="0"/>
              <w:bottom w:val="single" w:color="000000" w:sz="4" w:space="0"/>
              <w:right w:val="single" w:color="000000" w:sz="4" w:space="0"/>
            </w:tcBorders>
            <w:tcW w:w="4512"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室外阀门井中阀门</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每季全数</w:t>
            </w:r>
            <w:r/>
          </w:p>
        </w:tc>
      </w:tr>
      <w:tr>
        <w:trPr>
          <w:trHeight w:val="596"/>
        </w:trPr>
        <w:tc>
          <w:tcPr>
            <w:gridSpan w:val="5"/>
            <w:shd w:val="clear" w:color="auto" w:fill="auto"/>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末端试水装置</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外观</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、排水设施</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、放水试验</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每月不少于全数的</w:t>
            </w:r>
            <w:r>
              <w:rPr>
                <w:rStyle w:val="1074"/>
                <w:rFonts w:eastAsia="宋体"/>
                <w:color w:val="auto"/>
                <w:sz w:val="24"/>
                <w:szCs w:val="24"/>
                <w:lang w:val="en-US" w:eastAsia="zh-CN" w:bidi="ar"/>
              </w:rPr>
              <w:t xml:space="preserve">10 %</w:t>
            </w:r>
            <w:r>
              <w:rPr>
                <w:rStyle w:val="1073"/>
                <w:color w:val="auto"/>
                <w:sz w:val="24"/>
                <w:szCs w:val="24"/>
                <w:lang w:val="en-US" w:eastAsia="zh-CN" w:bidi="ar"/>
              </w:rPr>
              <w:t xml:space="preserve">，每年全数</w:t>
            </w:r>
            <w:r/>
          </w:p>
        </w:tc>
      </w:tr>
      <w:tr>
        <w:trPr>
          <w:trHeight w:val="596"/>
        </w:trPr>
        <w:tc>
          <w:tcPr>
            <w:gridSpan w:val="5"/>
            <w:shd w:val="clear" w:color="auto" w:fill="auto"/>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试验报警</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gridSpan w:val="5"/>
            <w:shd w:val="clear" w:color="auto" w:fill="auto"/>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系统联锁试验</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系统运行功能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每年全数</w:t>
            </w:r>
            <w:r/>
          </w:p>
        </w:tc>
      </w:tr>
      <w:tr>
        <w:trPr>
          <w:trHeight w:val="791"/>
        </w:trPr>
        <w:tc>
          <w:tcPr>
            <w:gridSpan w:val="4"/>
            <w:shd w:val="clear" w:color="auto" w:fill="auto"/>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自动跟踪定位射流灭火系统</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灭火装置</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外观，检查喷水是否正常，检查回转机构动作是否正常</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shd w:val="clear" w:color="auto" w:fill="auto"/>
            <w:tcBorders>
              <w:top w:val="single" w:color="000000" w:sz="4" w:space="0"/>
              <w:left w:val="single" w:color="000000" w:sz="4" w:space="0"/>
              <w:right w:val="single" w:color="000000" w:sz="4" w:space="0"/>
            </w:tcBorders>
            <w:tcW w:w="1311" w:type="dxa"/>
            <w:vAlign w:val="center"/>
            <w:vMerge w:val="restart"/>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探测装置</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外观，检查探测是否正常</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控制装置</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外观，检查运行是否正常</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91"/>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气体、灭火系统</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系统各组件</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外观</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、铭牌和标识</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、运行情况</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、固定</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情况</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、防护罩</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、铅封</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防护区</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可燃物种类</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、分布情况，防护区开口情况</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每季全数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储存装置间</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设备</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、管道</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、支架的固定情况</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灭火剂储存装置</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容器外观和铭牌标志，压力、液位计、重量等</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定期校验计量仪器</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每年全数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驱动气储存容器</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外观</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、铭牌</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、压力</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喷嘴</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孔口有无堵塞</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每季全数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输送管道</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有无损伤和堵塞</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系统功能</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模拟启动试验、模拟喷气试验</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每年全部防护区</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金属软管（连接管）</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水压强度试验和气密性试验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每三年全数</w:t>
            </w:r>
            <w:r/>
          </w:p>
        </w:tc>
      </w:tr>
      <w:tr>
        <w:trPr>
          <w:trHeight w:val="791"/>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释放过灭火剂的储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瓶</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、相关阀门</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水压强度试验和气密性试验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每年全数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水喷雾灭火系统</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喷头</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外观，是否有异物</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启动试验</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系统功能</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放水试验，检查系统启动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、报警功能以</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及出水情况</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每季全数</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报警阀组、控制阀门</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外观</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、工作状态</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、铅封或锁具完好 、 启闭功能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791"/>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防烟</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、排烟系统</w:t>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通用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部分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风管（道）及风口等部件</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检查完好状况，有无异物变形（可依托委托单位日常巡查进行）</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596"/>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室外进风</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口</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、排烟口</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检查进风口 、出风口是否通畅</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系统电源</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巡查电源状态</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、电压</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52"/>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供电线路</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检查供电线路有无老化，双回路自动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切换电源功能等</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控制柜</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外观及工作状态，按钮启动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、停止风机功能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每季全数</w:t>
            </w:r>
            <w:r/>
          </w:p>
        </w:tc>
      </w:tr>
      <w:tr>
        <w:trPr>
          <w:trHeight w:val="791"/>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防烟</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、排烟风机</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手动或自动启动试运转，检查外观有无锈蚀</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、螺丝松动</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系统联动试验</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检验系统的联动功能及主要技术性能参数</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每年全数</w:t>
            </w:r>
            <w:r/>
          </w:p>
        </w:tc>
      </w:tr>
      <w:tr>
        <w:trPr>
          <w:trHeight w:val="791"/>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排烟</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电动挡烟垂壁</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手动或自动启动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、复位试验，有无升降障碍，动作信号反馈</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每月不少于全数的</w:t>
            </w:r>
            <w:r>
              <w:rPr>
                <w:rStyle w:val="1074"/>
                <w:rFonts w:eastAsia="宋体"/>
                <w:color w:val="auto"/>
                <w:sz w:val="24"/>
                <w:szCs w:val="24"/>
                <w:lang w:val="en-US" w:eastAsia="zh-CN" w:bidi="ar"/>
              </w:rPr>
              <w:t xml:space="preserve">10%</w:t>
            </w:r>
            <w:r>
              <w:rPr>
                <w:rStyle w:val="1073"/>
                <w:color w:val="auto"/>
                <w:sz w:val="24"/>
                <w:szCs w:val="24"/>
                <w:lang w:val="en-US" w:eastAsia="zh-CN" w:bidi="ar"/>
              </w:rPr>
              <w:t xml:space="preserve">，每年全数</w:t>
            </w:r>
            <w:r/>
          </w:p>
        </w:tc>
      </w:tr>
      <w:tr>
        <w:trPr>
          <w:trHeight w:val="596"/>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排烟窗</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手动或自动启动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、复位试验，有无开关障碍</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921"/>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排烟阀或排</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烟口</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手动或自动启动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、复位试验检查，有无变形</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、锈蚀及弹簧性能，确认性能可靠，</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动作信号反馈</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921"/>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排烟防火阀</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手动或自动启动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、复位试验检查，有无变形</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、锈蚀及弹簧性能，确认性能可靠，动作信号反馈</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每月不少于全数的</w:t>
            </w:r>
            <w:r>
              <w:rPr>
                <w:rStyle w:val="1074"/>
                <w:rFonts w:eastAsia="宋体"/>
                <w:color w:val="auto"/>
                <w:sz w:val="24"/>
                <w:szCs w:val="24"/>
                <w:lang w:val="en-US" w:eastAsia="zh-CN" w:bidi="ar"/>
              </w:rPr>
              <w:t xml:space="preserve">10%</w:t>
            </w:r>
            <w:r>
              <w:rPr>
                <w:rStyle w:val="1073"/>
                <w:color w:val="auto"/>
                <w:sz w:val="24"/>
                <w:szCs w:val="24"/>
                <w:lang w:val="en-US" w:eastAsia="zh-CN" w:bidi="ar"/>
              </w:rPr>
              <w:t xml:space="preserve">，每年全数</w:t>
            </w:r>
            <w:r/>
          </w:p>
        </w:tc>
      </w:tr>
      <w:tr>
        <w:trPr>
          <w:trHeight w:val="791"/>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防烟</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送风阀或送</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手动或自动启动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、复位试验检查，有无变形</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、锈蚀及弹簧性能，确认性能可靠，动作信号反馈</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每月不少于全数的</w:t>
            </w:r>
            <w:r>
              <w:rPr>
                <w:rStyle w:val="1074"/>
                <w:rFonts w:eastAsia="宋体"/>
                <w:color w:val="auto"/>
                <w:sz w:val="24"/>
                <w:szCs w:val="24"/>
                <w:lang w:val="en-US" w:eastAsia="zh-CN" w:bidi="ar"/>
              </w:rPr>
              <w:t xml:space="preserve">10%</w:t>
            </w:r>
            <w:r>
              <w:rPr>
                <w:rStyle w:val="1073"/>
                <w:color w:val="auto"/>
                <w:sz w:val="24"/>
                <w:szCs w:val="24"/>
                <w:lang w:val="en-US" w:eastAsia="zh-CN" w:bidi="ar"/>
              </w:rPr>
              <w:t xml:space="preserve">，每年全数</w:t>
            </w:r>
            <w:r/>
          </w:p>
        </w:tc>
      </w:tr>
      <w:tr>
        <w:trPr>
          <w:trHeight w:val="791"/>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手动或自动启动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、复位试验检查，有无变形</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、锈蚀及弹簧性能，确认性能可靠，动作信号反馈</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91"/>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防火分隔设施</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防火门</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、防火窗</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外观及配件完整性，信号反馈，自动关</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闭功能，动作信号反馈</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每月不少于全数的</w:t>
            </w:r>
            <w:r>
              <w:rPr>
                <w:rStyle w:val="1074"/>
                <w:rFonts w:eastAsia="宋体"/>
                <w:color w:val="auto"/>
                <w:sz w:val="24"/>
                <w:szCs w:val="24"/>
                <w:lang w:val="en-US" w:eastAsia="zh-CN" w:bidi="ar"/>
              </w:rPr>
              <w:t xml:space="preserve">10%</w:t>
            </w:r>
            <w:r>
              <w:rPr>
                <w:rStyle w:val="1073"/>
                <w:color w:val="auto"/>
                <w:sz w:val="24"/>
                <w:szCs w:val="24"/>
                <w:lang w:val="en-US" w:eastAsia="zh-CN" w:bidi="ar"/>
              </w:rPr>
              <w:t xml:space="preserve">，每年全数</w:t>
            </w:r>
            <w:r/>
          </w:p>
        </w:tc>
      </w:tr>
      <w:tr>
        <w:trPr>
          <w:trHeight w:val="617"/>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防火卷帘</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外观及配件完整性，手动 、自动升降功能，动作信号反馈</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每月不少于全数的10%，每年全数</w:t>
            </w:r>
            <w:r/>
          </w:p>
        </w:tc>
      </w:tr>
      <w:tr>
        <w:trPr>
          <w:trHeight w:val="791"/>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Style w:val="1073"/>
                <w:color w:val="auto"/>
                <w:sz w:val="24"/>
                <w:szCs w:val="24"/>
                <w:lang w:val="en-US" w:eastAsia="zh-CN" w:bidi="ar"/>
              </w:rPr>
              <w:t xml:space="preserve">外观及配件完整</w:t>
            </w:r>
            <w:r>
              <w:rPr>
                <w:rStyle w:val="1074"/>
                <w:rFonts w:eastAsia="宋体"/>
                <w:color w:val="auto"/>
                <w:sz w:val="24"/>
                <w:szCs w:val="24"/>
                <w:lang w:val="en-US" w:eastAsia="zh-CN" w:bidi="ar"/>
              </w:rPr>
              <w:t xml:space="preserve"> </w:t>
            </w:r>
            <w:r>
              <w:rPr>
                <w:rStyle w:val="1073"/>
                <w:color w:val="auto"/>
                <w:sz w:val="24"/>
                <w:szCs w:val="24"/>
                <w:lang w:val="en-US" w:eastAsia="zh-CN" w:bidi="ar"/>
              </w:rPr>
              <w:t xml:space="preserve">、安装牢固，测试手动操作功能，方便灵活</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96"/>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系统联锁功能</w:t>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消防控制室远程控制</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每月全数</w:t>
            </w:r>
            <w:r/>
          </w:p>
        </w:tc>
      </w:tr>
      <w:tr>
        <w:trPr>
          <w:trHeight w:val="606"/>
        </w:trPr>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42"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火灾自动报警系统联动功能</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每年全数</w:t>
            </w:r>
            <w:r/>
          </w:p>
        </w:tc>
      </w:tr>
    </w:tbl>
    <w:p>
      <w:pPr>
        <w:ind w:left="0" w:right="0" w:firstLine="482"/>
        <w:jc w:val="both"/>
        <w:spacing w:before="0" w:after="0" w:line="519"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r>
      <w:r/>
    </w:p>
    <w:p>
      <w:pPr>
        <w:ind w:left="0" w:right="0" w:firstLine="482"/>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备注：乙方应确保消防设施每周至少巡查一次，每半年进行一次全面检查测试，并按照规定向甲方报送</w:t>
      </w:r>
      <w:r>
        <w:rPr>
          <w:rFonts w:hint="eastAsia" w:ascii="宋体" w:hAnsi="宋体" w:cs="宋体"/>
          <w:b/>
          <w:color w:val="auto"/>
          <w:sz w:val="24"/>
          <w:lang w:eastAsia="zh-CN"/>
        </w:rPr>
        <w:t xml:space="preserve">投标人</w:t>
      </w:r>
      <w:r>
        <w:rPr>
          <w:rFonts w:ascii="宋体" w:hAnsi="宋体" w:eastAsia="宋体" w:cs="宋体"/>
          <w:b/>
          <w:color w:val="auto"/>
          <w:sz w:val="24"/>
        </w:rPr>
        <w:t xml:space="preserve">自身具有资质和能力</w:t>
      </w:r>
      <w:r>
        <w:rPr>
          <w:rFonts w:hint="eastAsia" w:ascii="宋体" w:hAnsi="宋体" w:cs="宋体"/>
          <w:b/>
          <w:color w:val="auto"/>
          <w:sz w:val="24"/>
          <w:lang w:val="en-US" w:eastAsia="zh-CN"/>
        </w:rPr>
        <w:t xml:space="preserve">并</w:t>
      </w:r>
      <w:r>
        <w:rPr>
          <w:rFonts w:ascii="宋体" w:hAnsi="宋体" w:eastAsia="宋体" w:cs="宋体"/>
          <w:b/>
          <w:color w:val="auto"/>
          <w:sz w:val="24"/>
        </w:rPr>
        <w:t xml:space="preserve">出具上、下半年检测的报告。</w:t>
      </w:r>
      <w:r/>
    </w:p>
    <w:p>
      <w:pPr>
        <w:ind w:left="0" w:right="0" w:firstLine="480"/>
        <w:jc w:val="both"/>
        <w:spacing w:before="0" w:after="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numPr>
          <w:ilvl w:val="0"/>
          <w:numId w:val="2"/>
        </w:numPr>
        <w:ind w:left="0" w:right="0" w:firstLine="480"/>
        <w:jc w:val="both"/>
        <w:spacing w:before="0" w:after="0"/>
        <w:rPr>
          <w:rFonts w:hint="eastAsia" w:ascii="宋体" w:hAnsi="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消防设施数量清单、点位分布</w:t>
      </w:r>
      <w:r/>
    </w:p>
    <w:p>
      <w:pPr>
        <w:numPr>
          <w:ilvl w:val="0"/>
          <w:numId w:val="0"/>
        </w:numPr>
        <w:ind w:left="480" w:right="0"/>
        <w:jc w:val="both"/>
        <w:spacing w:before="0" w:after="0"/>
        <w:rPr>
          <w:rFonts w:hint="eastAsia" w:ascii="宋体" w:hAnsi="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r>
      <w:r/>
    </w:p>
    <w:p>
      <w:pPr>
        <w:numPr>
          <w:ilvl w:val="0"/>
          <w:numId w:val="0"/>
        </w:numPr>
        <w:ind w:left="480" w:right="0"/>
        <w:jc w:val="center"/>
        <w:spacing w:before="0" w:after="0"/>
        <w:rPr>
          <w:rFonts w:hint="eastAsia" w:ascii="宋体" w:hAnsi="宋体" w:cs="宋体"/>
          <w:color w:val="auto"/>
          <w:sz w:val="32"/>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32"/>
          <w:szCs w:val="32"/>
          <w:u w:val="none"/>
          <w:lang w:val="en-US" w:eastAsia="zh-CN" w:bidi="ar"/>
        </w:rPr>
        <w:t xml:space="preserve">南院区消防设施数量清单</w:t>
      </w:r>
      <w:r/>
    </w:p>
    <w:p>
      <w:pPr>
        <w:ind w:left="0" w:right="0" w:firstLine="480"/>
        <w:jc w:val="both"/>
        <w:spacing w:before="0" w:after="0"/>
        <w:rPr>
          <w:rFonts w:ascii="宋体" w:hAnsi="宋体" w:eastAsia="宋体" w:cs="宋体"/>
          <w:color w:val="auto"/>
          <w:sz w:val="28"/>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2"/>
        </w:rPr>
      </w:r>
      <w:r/>
    </w:p>
    <w:tbl>
      <w:tblPr>
        <w:tblStyle w:val="795"/>
        <w:tblW w:w="914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038"/>
        <w:gridCol w:w="2049"/>
        <w:gridCol w:w="1577"/>
        <w:gridCol w:w="2483"/>
      </w:tblGrid>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住院楼</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门诊楼</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合计</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火灾报警控制器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火灾报警联动控制器</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消防监控系统（CRT）</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感烟探测器</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6715</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感温探测器</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2600</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614</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火灾显示器</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消火栓按钮</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1352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476</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输入模块</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1568</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输出模块</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73</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输入输出模块</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1679</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接线端子箱</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隔离器</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消防电话分机HY5716B</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136</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消防电话分机HY2713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消防电话插孔HY5714</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广播功率放大器HY2733D/500W</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消防广播控制盘</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消防电话总机</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扬声器TX3353</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1178</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红外对射探测器</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1157</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水带</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1157</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枪头</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1157</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室外水泵接合器</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57</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湿式报警阀</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自动喷水灭火系统喷淋头</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26202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自动扫描水炮</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雨淋阀组</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雨淋冷却系统喷头</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1094</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木质防火门乙级</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木质防火门丙级</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防火卷帘</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198</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正压风机</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多叶送风口</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排烟风机</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排烟口</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632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排烟阀</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801</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疏散指示灯</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2050</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安全出口指示灯</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758</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应急照明灯</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1292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喷淋泵</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室内消火栓泵</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室外消火栓泵</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消火栓稳压系统</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喷淋稳压系统</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七氟丙烷气体灭火系统喷头</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96</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七氟丙烷气体灭火系统钢瓶</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03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1705</w:t>
            </w:r>
            <w:r/>
          </w:p>
        </w:tc>
        <w:tc>
          <w:tcPr>
            <w:shd w:val="clear" w:color="auto" w:fill="auto"/>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2737</w:t>
            </w:r>
            <w:r/>
          </w:p>
        </w:tc>
      </w:tr>
    </w:tbl>
    <w:p>
      <w:pPr>
        <w:ind w:left="0" w:right="0" w:firstLine="480"/>
        <w:jc w:val="both"/>
        <w:spacing w:before="0" w:after="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jc w:val="both"/>
        <w:spacing w:before="0" w:after="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jc w:val="both"/>
        <w:spacing w:before="0" w:after="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jc w:val="both"/>
        <w:spacing w:before="0" w:after="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jc w:val="center"/>
        <w:keepLines w:val="0"/>
        <w:keepNext w:val="0"/>
        <w:widowControl/>
        <w:rPr>
          <w:rFonts w:hint="eastAsia" w:ascii="宋体" w:hAnsi="宋体" w:eastAsia="宋体" w:cs="宋体"/>
          <w:b/>
          <w:bCs/>
          <w:i w:val="0"/>
          <w:iCs w:val="0"/>
          <w:color w:val="auto"/>
          <w:sz w:val="32"/>
          <w:szCs w:val="32"/>
          <w:u w:val="none"/>
          <w:lang w:val="en-US" w:eastAsia="zh-CN" w:bidi="ar"/>
        </w:rPr>
        <w:suppressLineNumbers w:val="0"/>
      </w:pPr>
      <w:r>
        <w:rPr>
          <w:rFonts w:hint="eastAsia" w:ascii="宋体" w:hAnsi="宋体" w:eastAsia="宋体" w:cs="宋体"/>
          <w:b/>
          <w:bCs/>
          <w:i w:val="0"/>
          <w:iCs w:val="0"/>
          <w:color w:val="auto"/>
          <w:sz w:val="32"/>
          <w:szCs w:val="32"/>
          <w:u w:val="none"/>
          <w:lang w:val="en-US" w:eastAsia="zh-CN" w:bidi="ar"/>
        </w:rPr>
        <w:t xml:space="preserve">北院区消防设施点位分布情况</w:t>
      </w:r>
      <w:r/>
    </w:p>
    <w:p>
      <w:pPr>
        <w:ind w:left="0" w:right="0" w:firstLine="480"/>
        <w:jc w:val="both"/>
        <w:spacing w:before="0" w:after="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tbl>
      <w:tblPr>
        <w:tblStyle w:val="795"/>
        <w:tblW w:w="1012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928"/>
        <w:gridCol w:w="933"/>
        <w:gridCol w:w="933"/>
        <w:gridCol w:w="1308"/>
        <w:gridCol w:w="1292"/>
        <w:gridCol w:w="1018"/>
        <w:gridCol w:w="868"/>
        <w:gridCol w:w="932"/>
        <w:gridCol w:w="909"/>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住院部</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门诊楼</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老干部一期</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老干部二期</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7号楼</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9号楼</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10号楼</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合计</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感烟探测器</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1353</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3607</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感温探测器</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94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315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楼层显示器</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76</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93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消防广播</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128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消火栓箱</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394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76</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湿式报警阀</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10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喷淋头</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3920</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1578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7321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木质防火门甲级</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65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木质防火门乙级</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244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木质防火门丙级</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40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正压风机</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10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多叶送风口</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77</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排烟风机</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18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排烟口</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104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疏散指示灯</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775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应急照明灯</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165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水泵接合器</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8</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木质防火门</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65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钢质防火卷帘</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33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无机不基卷帘门</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喷淋泵</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消火栓泵</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消火栓稳压泵</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喷淋稳压泵</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3</w:t>
            </w:r>
            <w:r/>
          </w:p>
        </w:tc>
      </w:tr>
    </w:tbl>
    <w:p>
      <w:pPr>
        <w:ind w:left="0" w:right="0" w:firstLine="480"/>
        <w:jc w:val="both"/>
        <w:spacing w:before="0" w:after="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四</w:t>
      </w:r>
      <w:r>
        <w:rPr>
          <w:rFonts w:ascii="宋体" w:hAnsi="宋体" w:eastAsia="宋体" w:cs="宋体"/>
          <w:color w:val="auto"/>
          <w:sz w:val="24"/>
        </w:rPr>
        <w:t xml:space="preserve">、服务要求</w:t>
      </w:r>
      <w:r/>
    </w:p>
    <w:p>
      <w:pPr>
        <w:ind w:left="0" w:right="0" w:firstLine="480"/>
        <w:keepLines w:val="0"/>
        <w:keepNext w:val="0"/>
        <w:pageBreakBefore w:val="0"/>
        <w:spacing w:line="520" w:lineRule="exact"/>
        <w:widowControl w:val="off"/>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1、</w:t>
      </w:r>
      <w:r>
        <w:rPr>
          <w:rFonts w:hint="eastAsia" w:ascii="宋体" w:hAnsi="宋体" w:eastAsia="宋体" w:cs="宋体"/>
          <w:b/>
          <w:bCs/>
          <w:color w:val="auto"/>
          <w:sz w:val="24"/>
        </w:rPr>
        <w:t xml:space="preserve">维保范围内包括的免费维修/更换范围及</w:t>
      </w:r>
      <w:r>
        <w:rPr>
          <w:rFonts w:hint="eastAsia" w:ascii="宋体" w:hAnsi="宋体" w:cs="宋体"/>
          <w:b/>
          <w:bCs/>
          <w:color w:val="auto"/>
          <w:sz w:val="24"/>
          <w:lang w:val="en-US" w:eastAsia="zh-CN"/>
        </w:rPr>
        <w:t xml:space="preserve">技术服务</w:t>
      </w:r>
      <w:r>
        <w:rPr>
          <w:rFonts w:hint="eastAsia" w:ascii="宋体" w:hAnsi="宋体" w:eastAsia="宋体" w:cs="宋体"/>
          <w:b/>
          <w:bCs/>
          <w:color w:val="auto"/>
          <w:sz w:val="24"/>
        </w:rPr>
        <w:t xml:space="preserve">要求</w:t>
      </w:r>
      <w:r/>
    </w:p>
    <w:p>
      <w:pPr>
        <w:ind w:left="0" w:right="0" w:firstLine="480"/>
        <w:keepLines w:val="0"/>
        <w:keepNext w:val="0"/>
        <w:pageBreakBefore w:val="0"/>
        <w:spacing w:line="520" w:lineRule="exact"/>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（1）故障类型限定：仅针对设备自然老化、正常损耗、自身质量问题导致的故障提供免费维修/更换；人为损坏、不可抗力（地震、洪水等）、</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操作不当导致的故障，均纳入付费维修范围。</w:t>
      </w:r>
      <w:r/>
    </w:p>
    <w:p>
      <w:pPr>
        <w:ind w:left="0" w:right="0" w:firstLine="480"/>
        <w:keepLines w:val="0"/>
        <w:keepNext w:val="0"/>
        <w:pageBreakBefore w:val="0"/>
        <w:spacing w:line="520" w:lineRule="exact"/>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（2）易损件要求：免费更换的易损件以项目清单为准，清单需贴合市场消防维保通用标准及</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现场设施实际适配情况（详见本</w:t>
      </w:r>
      <w:r>
        <w:rPr>
          <w:rFonts w:hint="eastAsia" w:ascii="宋体" w:hAnsi="宋体" w:cs="宋体"/>
          <w:color w:val="auto"/>
          <w:sz w:val="24"/>
          <w:lang w:eastAsia="zh-CN"/>
        </w:rPr>
        <w:t xml:space="preserve">项目</w:t>
      </w:r>
      <w:r>
        <w:rPr>
          <w:rFonts w:hint="eastAsia" w:ascii="宋体" w:hAnsi="宋体" w:eastAsia="宋体" w:cs="宋体"/>
          <w:color w:val="auto"/>
          <w:sz w:val="24"/>
        </w:rPr>
        <w:t xml:space="preserve">需求</w:t>
      </w:r>
      <w:r>
        <w:rPr>
          <w:rFonts w:hint="eastAsia" w:ascii="宋体" w:hAnsi="宋体" w:cs="宋体"/>
          <w:color w:val="auto"/>
          <w:sz w:val="24"/>
          <w:lang w:eastAsia="zh-CN"/>
        </w:rPr>
        <w:t xml:space="preserve">第三条消防设施数量清单、点位分布</w:t>
      </w:r>
      <w:r>
        <w:rPr>
          <w:rFonts w:hint="eastAsia" w:ascii="宋体" w:hAnsi="宋体" w:eastAsia="宋体" w:cs="宋体"/>
          <w:color w:val="auto"/>
          <w:sz w:val="24"/>
        </w:rPr>
        <w:t xml:space="preserve">），中标单位需提前提交易损件清单（含品名、单价、品牌规格）报</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确认，且保证库存充足，不影响故障及时处理。</w:t>
      </w:r>
      <w:r/>
    </w:p>
    <w:p>
      <w:pPr>
        <w:ind w:left="0" w:right="0" w:firstLine="480"/>
        <w:keepLines w:val="0"/>
        <w:keepNext w:val="0"/>
        <w:pageBreakBefore w:val="0"/>
        <w:spacing w:line="520" w:lineRule="exact"/>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（3）更换标准：配件需达到“无法修复”或“修复成本超新件50%”可免费更换，维修/更换后同一位置/设备30天内无重复故障。</w:t>
      </w:r>
      <w:r/>
    </w:p>
    <w:p>
      <w:pPr>
        <w:ind w:left="0" w:right="0" w:firstLine="480"/>
        <w:keepLines w:val="0"/>
        <w:keepNext w:val="0"/>
        <w:pageBreakBefore w:val="0"/>
        <w:spacing w:line="520" w:lineRule="exact"/>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（4）特殊约定：高端进口设备配件可提供国产替代件免费更换，若</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要求原厂件，中标单位需列明差价，由甲方补足后提供；新安装设备在厂家质保期内的，由中标单位协调厂家完成维修/更换，不产生额外费用。</w:t>
      </w:r>
      <w:r/>
    </w:p>
    <w:p>
      <w:pPr>
        <w:ind w:left="0" w:right="0" w:firstLine="480"/>
        <w:keepLines w:val="0"/>
        <w:keepNext w:val="0"/>
        <w:pageBreakBefore w:val="0"/>
        <w:spacing w:line="520" w:lineRule="exact"/>
        <w:widowControl w:val="off"/>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（5）材料/配件的更换及维修，人工费用包含在维保服务中，</w:t>
      </w:r>
      <w:r>
        <w:rPr>
          <w:rFonts w:hint="eastAsia" w:ascii="宋体" w:hAnsi="宋体" w:cs="宋体"/>
          <w:color w:val="auto"/>
          <w:sz w:val="24"/>
          <w:lang w:eastAsia="zh-CN"/>
        </w:rPr>
        <w:t xml:space="preserve">采购人不另行增加费用</w:t>
      </w:r>
      <w:r>
        <w:rPr>
          <w:rFonts w:hint="eastAsia" w:ascii="宋体" w:hAnsi="宋体" w:eastAsia="宋体" w:cs="宋体"/>
          <w:color w:val="auto"/>
          <w:sz w:val="24"/>
        </w:rPr>
        <w:t xml:space="preserve">，材料/配件费用经</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审计后按市场公允价实报实销，</w:t>
      </w:r>
      <w:r>
        <w:rPr>
          <w:rFonts w:hint="eastAsia" w:ascii="宋体" w:hAnsi="宋体" w:eastAsia="宋体" w:cs="宋体"/>
          <w:b/>
          <w:bCs/>
          <w:color w:val="auto"/>
          <w:sz w:val="24"/>
        </w:rPr>
        <w:t xml:space="preserve">中标人</w:t>
      </w:r>
      <w:r>
        <w:rPr>
          <w:rFonts w:hint="eastAsia" w:ascii="宋体" w:hAnsi="宋体" w:cs="宋体"/>
          <w:b/>
          <w:bCs/>
          <w:color w:val="auto"/>
          <w:sz w:val="24"/>
          <w:lang w:eastAsia="zh-CN"/>
        </w:rPr>
        <w:t xml:space="preserve">中标后</w:t>
      </w:r>
      <w:r>
        <w:rPr>
          <w:rFonts w:hint="eastAsia" w:ascii="宋体" w:hAnsi="宋体" w:eastAsia="宋体" w:cs="宋体"/>
          <w:b/>
          <w:bCs/>
          <w:color w:val="auto"/>
          <w:sz w:val="24"/>
        </w:rPr>
        <w:t xml:space="preserve">需承诺材料无虚报、加价不超市场公允价。</w:t>
      </w:r>
      <w:r/>
    </w:p>
    <w:p>
      <w:pPr>
        <w:ind w:left="0" w:right="0" w:firstLine="480"/>
        <w:keepLines w:val="0"/>
        <w:keepNext w:val="0"/>
        <w:pageBreakBefore w:val="0"/>
        <w:spacing w:line="520" w:lineRule="exac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合同履行过程中，</w:t>
      </w:r>
      <w:r>
        <w:rPr>
          <w:rFonts w:hint="eastAsia" w:ascii="宋体" w:hAnsi="宋体" w:cs="宋体"/>
          <w:color w:val="auto"/>
          <w:sz w:val="24"/>
          <w:lang w:eastAsia="zh-CN"/>
        </w:rPr>
        <w:t xml:space="preserve">采购人将</w:t>
      </w:r>
      <w:r>
        <w:rPr>
          <w:rFonts w:hint="eastAsia" w:ascii="宋体" w:hAnsi="宋体" w:eastAsia="宋体" w:cs="宋体"/>
          <w:color w:val="auto"/>
          <w:sz w:val="24"/>
        </w:rPr>
        <w:t xml:space="preserve">加强更换的材料/配件的质量控制和验收。</w:t>
      </w:r>
      <w:r/>
    </w:p>
    <w:p>
      <w:pPr>
        <w:ind w:left="0" w:right="0" w:firstLine="480"/>
        <w:keepLines w:val="0"/>
        <w:keepNext w:val="0"/>
        <w:pageBreakBefore w:val="0"/>
        <w:spacing w:line="520" w:lineRule="exact"/>
        <w:widowControl w:val="off"/>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2、维修范围内的</w:t>
      </w:r>
      <w:r>
        <w:rPr>
          <w:rFonts w:hint="eastAsia" w:ascii="宋体" w:hAnsi="宋体" w:cs="宋体"/>
          <w:color w:val="auto"/>
          <w:sz w:val="24"/>
          <w:lang w:val="en-US" w:eastAsia="zh-CN"/>
        </w:rPr>
        <w:t xml:space="preserve">服务</w:t>
      </w:r>
      <w:r>
        <w:rPr>
          <w:rFonts w:hint="eastAsia" w:ascii="宋体" w:hAnsi="宋体" w:eastAsia="宋体" w:cs="宋体"/>
          <w:color w:val="auto"/>
          <w:sz w:val="24"/>
          <w:lang w:val="en-US" w:eastAsia="zh-CN"/>
        </w:rPr>
        <w:t xml:space="preserve">要求</w:t>
      </w:r>
      <w:r/>
    </w:p>
    <w:p>
      <w:pPr>
        <w:ind w:left="0" w:right="0" w:firstLine="480"/>
        <w:keepLines w:val="0"/>
        <w:keepNext w:val="0"/>
        <w:pageBreakBefore w:val="0"/>
        <w:spacing w:line="520" w:lineRule="exact"/>
        <w:widowControl w:val="off"/>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严格执行采购人管理要求</w:t>
      </w:r>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（1）</w:t>
      </w:r>
      <w:r>
        <w:rPr>
          <w:rFonts w:hint="eastAsia" w:ascii="宋体" w:hAnsi="宋体" w:eastAsia="宋体" w:cs="宋体"/>
          <w:color w:val="auto"/>
          <w:sz w:val="24"/>
          <w:lang w:val="en-US" w:eastAsia="zh-CN"/>
        </w:rPr>
        <w:t xml:space="preserve">保卫处发出派工单，中标供应商提出计划和实施方案、编制预算，经保卫处确认；</w:t>
      </w:r>
      <w:r>
        <w:rPr>
          <w:rFonts w:hint="eastAsia" w:ascii="宋体" w:hAnsi="宋体" w:cs="宋体"/>
          <w:color w:val="auto"/>
          <w:sz w:val="24"/>
          <w:lang w:val="en-US" w:eastAsia="zh-CN"/>
        </w:rPr>
        <w:t xml:space="preserve">（2）</w:t>
      </w:r>
      <w:r>
        <w:rPr>
          <w:rFonts w:hint="eastAsia" w:ascii="宋体" w:hAnsi="宋体" w:eastAsia="宋体" w:cs="宋体"/>
          <w:color w:val="auto"/>
          <w:sz w:val="24"/>
          <w:lang w:val="en-US" w:eastAsia="zh-CN"/>
        </w:rPr>
        <w:t xml:space="preserve">中标供应商按批准的实施方案开始执行；</w:t>
      </w:r>
      <w:r>
        <w:rPr>
          <w:rFonts w:hint="eastAsia" w:ascii="宋体" w:hAnsi="宋体" w:cs="宋体"/>
          <w:color w:val="auto"/>
          <w:sz w:val="24"/>
          <w:lang w:val="en-US" w:eastAsia="zh-CN"/>
        </w:rPr>
        <w:t xml:space="preserve">（3）</w:t>
      </w:r>
      <w:r>
        <w:rPr>
          <w:rFonts w:hint="eastAsia" w:ascii="宋体" w:hAnsi="宋体" w:eastAsia="宋体" w:cs="宋体"/>
          <w:color w:val="auto"/>
          <w:sz w:val="24"/>
          <w:lang w:val="en-US" w:eastAsia="zh-CN"/>
        </w:rPr>
        <w:t xml:space="preserve">保卫处检查实施过程；</w:t>
      </w:r>
      <w:r>
        <w:rPr>
          <w:rFonts w:hint="eastAsia" w:ascii="宋体" w:hAnsi="宋体" w:cs="宋体"/>
          <w:color w:val="auto"/>
          <w:sz w:val="24"/>
          <w:lang w:val="en-US" w:eastAsia="zh-CN"/>
        </w:rPr>
        <w:t xml:space="preserve">（4）</w:t>
      </w:r>
      <w:r>
        <w:rPr>
          <w:rFonts w:hint="eastAsia" w:ascii="宋体" w:hAnsi="宋体" w:eastAsia="宋体" w:cs="宋体"/>
          <w:color w:val="auto"/>
          <w:sz w:val="24"/>
          <w:lang w:val="en-US" w:eastAsia="zh-CN"/>
        </w:rPr>
        <w:t xml:space="preserve">保卫处对维修内容进行验收，验收合格后予以结算。</w:t>
      </w:r>
      <w:r/>
    </w:p>
    <w:p>
      <w:pPr>
        <w:ind w:left="0" w:right="0" w:firstLine="480"/>
        <w:keepLines w:val="0"/>
        <w:keepNext w:val="0"/>
        <w:pageBreakBefore w:val="0"/>
        <w:spacing w:line="520" w:lineRule="exact"/>
        <w:widowControl w:val="off"/>
        <w:rPr>
          <w:rFonts w:hint="eastAsia" w:ascii="宋体" w:hAnsi="宋体" w:eastAsia="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3、商务要求</w:t>
      </w:r>
      <w:r/>
    </w:p>
    <w:p>
      <w:pPr>
        <w:ind w:left="0" w:right="0" w:firstLine="480"/>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ascii="宋体" w:hAnsi="宋体" w:eastAsia="宋体" w:cs="宋体"/>
          <w:color w:val="auto"/>
          <w:sz w:val="24"/>
        </w:rPr>
        <w:t xml:space="preserve">维保单位须根据采购人的维保服务范围及内容，消防有关规范标准，配备齐全的消防维护保养所需的仪器设备。</w:t>
      </w:r>
      <w:r/>
    </w:p>
    <w:p>
      <w:pPr>
        <w:ind w:left="0" w:right="0" w:firstLine="480"/>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ascii="宋体" w:hAnsi="宋体" w:eastAsia="宋体" w:cs="宋体"/>
          <w:color w:val="auto"/>
          <w:sz w:val="24"/>
        </w:rPr>
        <w:t xml:space="preserve">根据采购人的项目需求，制定详细的消防建筑设施维护保养实施方案。</w:t>
      </w:r>
      <w:r/>
    </w:p>
    <w:p>
      <w:pPr>
        <w:ind w:left="0" w:right="0" w:firstLine="480"/>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ascii="宋体" w:hAnsi="宋体" w:eastAsia="宋体" w:cs="宋体"/>
          <w:color w:val="auto"/>
          <w:sz w:val="24"/>
        </w:rPr>
        <w:t xml:space="preserve">服务质量须达到消防有关规范标准，并按照规定向采购人提交合格的年度消防检测报告。合同履行过程中，维保单位应承担任何状况下的安全责任.</w:t>
      </w:r>
      <w:r/>
    </w:p>
    <w:p>
      <w:pPr>
        <w:ind w:left="0" w:right="0" w:firstLine="480"/>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w:t>
      </w:r>
      <w:r>
        <w:rPr>
          <w:rFonts w:ascii="宋体" w:hAnsi="宋体" w:eastAsia="宋体" w:cs="宋体"/>
          <w:color w:val="auto"/>
          <w:sz w:val="24"/>
        </w:rPr>
        <w:t xml:space="preserve">加强安全安全防范意识。维保单位应根据采购需求制定突发事件（如火灾、冷冻天气、雨雪等其他突发性时间）应急预案。</w:t>
      </w:r>
      <w:r/>
    </w:p>
    <w:p>
      <w:pPr>
        <w:ind w:left="0" w:right="0" w:firstLine="480"/>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w:t>
      </w:r>
      <w:r>
        <w:rPr>
          <w:rFonts w:ascii="宋体" w:hAnsi="宋体" w:eastAsia="宋体" w:cs="宋体"/>
          <w:color w:val="auto"/>
          <w:sz w:val="24"/>
        </w:rPr>
        <w:t xml:space="preserve">服务期满后，维保单位应积极配合采购人做好维保服务移交工作，包括向采购人委托的新的维保单位做好对接工作和移交工作。</w:t>
      </w:r>
      <w:r/>
    </w:p>
    <w:p>
      <w:pPr>
        <w:ind w:left="0" w:right="0" w:firstLine="480"/>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6</w:t>
      </w:r>
      <w:r>
        <w:rPr>
          <w:rFonts w:hint="eastAsia" w:ascii="宋体" w:hAnsi="宋体" w:cs="宋体"/>
          <w:color w:val="auto"/>
          <w:sz w:val="24"/>
          <w:lang w:eastAsia="zh-CN"/>
        </w:rPr>
        <w:t xml:space="preserve">）</w:t>
      </w:r>
      <w:r>
        <w:rPr>
          <w:rFonts w:ascii="宋体" w:hAnsi="宋体" w:eastAsia="宋体" w:cs="宋体"/>
          <w:color w:val="auto"/>
          <w:sz w:val="24"/>
        </w:rPr>
        <w:t xml:space="preserve">维保驻点的人员数量要求。</w:t>
      </w:r>
      <w:r/>
    </w:p>
    <w:p>
      <w:pPr>
        <w:ind w:left="0" w:right="0" w:firstLine="480"/>
        <w:keepLines w:val="0"/>
        <w:keepNext w:val="0"/>
        <w:pageBreakBefore w:val="0"/>
        <w:spacing w:line="520" w:lineRule="exac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人员数量：</w:t>
      </w:r>
      <w:r>
        <w:rPr>
          <w:rFonts w:hint="eastAsia" w:ascii="宋体" w:hAnsi="宋体" w:cs="宋体"/>
          <w:color w:val="auto"/>
          <w:sz w:val="24"/>
          <w:lang w:eastAsia="zh-CN"/>
        </w:rPr>
        <w:t xml:space="preserve">中标单位</w:t>
      </w:r>
      <w:r>
        <w:rPr>
          <w:rFonts w:hint="eastAsia" w:ascii="宋体" w:hAnsi="宋体" w:eastAsia="宋体" w:cs="宋体"/>
          <w:color w:val="auto"/>
          <w:sz w:val="24"/>
        </w:rPr>
        <w:t xml:space="preserve">需要明确项目负责人1名，每天至少委派2名</w:t>
      </w:r>
      <w:r>
        <w:rPr>
          <w:rFonts w:hint="eastAsia" w:ascii="宋体" w:hAnsi="宋体" w:cs="宋体"/>
          <w:color w:val="auto"/>
          <w:sz w:val="24"/>
          <w:lang w:eastAsia="zh-CN"/>
        </w:rPr>
        <w:t xml:space="preserve">专职</w:t>
      </w:r>
      <w:r>
        <w:rPr>
          <w:rFonts w:hint="eastAsia" w:ascii="宋体" w:hAnsi="宋体" w:eastAsia="宋体" w:cs="宋体"/>
          <w:color w:val="auto"/>
          <w:sz w:val="24"/>
        </w:rPr>
        <w:t xml:space="preserve">人员分各院区负责实施。</w:t>
      </w:r>
      <w:r/>
    </w:p>
    <w:p>
      <w:pPr>
        <w:ind w:left="0" w:right="0" w:firstLine="480"/>
        <w:jc w:val="both"/>
        <w:keepLines w:val="0"/>
        <w:keepNext w:val="0"/>
        <w:pageBreakBefore w:val="0"/>
        <w:spacing w:line="520" w:lineRule="exact"/>
        <w:widowControl w:val="off"/>
        <w:rPr>
          <w:rFonts w:hint="eastAsia" w:ascii="宋体" w:hAnsi="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五、费用结算规则</w:t>
      </w:r>
      <w:r/>
    </w:p>
    <w:p>
      <w:pPr>
        <w:ind w:left="0" w:right="0" w:firstLine="480"/>
        <w:jc w:val="both"/>
        <w:keepLines w:val="0"/>
        <w:keepNext w:val="0"/>
        <w:pageBreakBefore w:val="0"/>
        <w:spacing w:line="520" w:lineRule="exact"/>
        <w:widowControl w:val="off"/>
        <w:rPr>
          <w:rFonts w:hint="eastAsia" w:ascii="宋体" w:hAnsi="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（1）维保费用为包干总价，最高限价为</w:t>
      </w:r>
      <w:r>
        <w:rPr>
          <w:rFonts w:hint="eastAsia" w:ascii="宋体" w:hAnsi="宋体" w:cs="宋体"/>
          <w:color w:val="auto"/>
          <w:sz w:val="24"/>
          <w:lang w:val="en-US" w:eastAsia="zh-CN"/>
        </w:rPr>
        <w:t xml:space="preserve">180</w:t>
      </w:r>
      <w:r>
        <w:rPr>
          <w:rFonts w:hint="eastAsia" w:ascii="宋体" w:hAnsi="宋体" w:cs="宋体"/>
          <w:color w:val="auto"/>
          <w:sz w:val="24"/>
          <w:lang w:eastAsia="zh-CN"/>
        </w:rPr>
        <w:t xml:space="preserve">万元</w:t>
      </w:r>
      <w:r>
        <w:rPr>
          <w:rFonts w:hint="eastAsia" w:ascii="宋体" w:hAnsi="宋体" w:cs="宋体"/>
          <w:color w:val="auto"/>
          <w:sz w:val="24"/>
          <w:lang w:val="en-US" w:eastAsia="zh-CN"/>
        </w:rPr>
        <w:t xml:space="preserve">/两年</w:t>
      </w:r>
      <w:r>
        <w:rPr>
          <w:rFonts w:hint="eastAsia" w:ascii="宋体" w:hAnsi="宋体" w:cs="宋体"/>
          <w:color w:val="auto"/>
          <w:sz w:val="24"/>
          <w:lang w:eastAsia="zh-CN"/>
        </w:rPr>
        <w:t xml:space="preserve">，按实际中标价结算。费用除日常设备维护保养内容外，还需承担部分常见小额易损件消防设施故障损害的人工费、材料费、机械机具使用费、措施项目费、拆除费、安装费、规费、税金等一切费用。此类维修费用采购人不再额外支付。</w:t>
      </w:r>
      <w:r/>
    </w:p>
    <w:p>
      <w:pPr>
        <w:ind w:left="0" w:right="0" w:firstLine="480"/>
        <w:jc w:val="both"/>
        <w:keepLines w:val="0"/>
        <w:keepNext w:val="0"/>
        <w:pageBreakBefore w:val="0"/>
        <w:spacing w:line="520" w:lineRule="exact"/>
        <w:widowControl w:val="off"/>
        <w:rPr>
          <w:rFonts w:hint="default" w:ascii="宋体" w:hAnsi="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（2）维修范围内的费用最高限价</w:t>
      </w:r>
      <w:r>
        <w:rPr>
          <w:rFonts w:hint="eastAsia" w:ascii="宋体" w:hAnsi="宋体" w:cs="宋体"/>
          <w:color w:val="auto"/>
          <w:sz w:val="24"/>
          <w:lang w:val="en-US" w:eastAsia="zh-CN"/>
        </w:rPr>
        <w:t xml:space="preserve">80</w:t>
      </w:r>
      <w:r>
        <w:rPr>
          <w:rFonts w:hint="eastAsia" w:ascii="宋体" w:hAnsi="宋体" w:cs="宋体"/>
          <w:color w:val="auto"/>
          <w:sz w:val="24"/>
          <w:lang w:eastAsia="zh-CN"/>
        </w:rPr>
        <w:t xml:space="preserve">万元</w:t>
      </w:r>
      <w:r>
        <w:rPr>
          <w:rFonts w:hint="eastAsia" w:ascii="宋体" w:hAnsi="宋体" w:cs="宋体"/>
          <w:color w:val="auto"/>
          <w:sz w:val="24"/>
          <w:lang w:val="en-US" w:eastAsia="zh-CN"/>
        </w:rPr>
        <w:t xml:space="preserve">/两年</w:t>
      </w:r>
      <w:r>
        <w:rPr>
          <w:rFonts w:hint="eastAsia" w:ascii="宋体" w:hAnsi="宋体" w:cs="宋体"/>
          <w:color w:val="auto"/>
          <w:sz w:val="24"/>
          <w:lang w:eastAsia="zh-CN"/>
        </w:rPr>
        <w:t xml:space="preserve">。按实结算，总额不超过维修费投标报价（</w:t>
      </w:r>
      <w:r>
        <w:rPr>
          <w:rFonts w:hint="eastAsia" w:ascii="宋体" w:hAnsi="宋体" w:cs="宋体"/>
          <w:color w:val="auto"/>
          <w:sz w:val="24"/>
          <w:lang w:val="en-US" w:eastAsia="zh-CN"/>
        </w:rPr>
        <w:t xml:space="preserve">80</w:t>
      </w:r>
      <w:r>
        <w:rPr>
          <w:rFonts w:hint="eastAsia" w:ascii="宋体" w:hAnsi="宋体" w:cs="宋体"/>
          <w:color w:val="auto"/>
          <w:sz w:val="24"/>
          <w:lang w:eastAsia="zh-CN"/>
        </w:rPr>
        <w:t xml:space="preserve">万元*投标折扣率%）。维修费用主要包括常见小额易损件维修内容清单列明项目的以外部分。并按维修合同约定填报折扣率，采用费率法结算。即包含与本合同有关的全部费用，包括人工费、材料费、机械机具使用费、拆除费、安装费、规费、税金等一切费用。维修费结算价=按江苏省现行计价规范计算出预算*中标折扣率。中标折扣率</w:t>
      </w:r>
      <w:r>
        <w:rPr>
          <w:rFonts w:hint="eastAsia" w:ascii="宋体" w:hAnsi="宋体" w:cs="宋体"/>
          <w:color w:val="auto"/>
          <w:sz w:val="24"/>
          <w:lang w:val="en-US" w:eastAsia="zh-CN"/>
        </w:rPr>
        <w:t xml:space="preserve">=维修报价/80*100%。</w:t>
      </w:r>
      <w:r/>
    </w:p>
    <w:p>
      <w:pPr>
        <w:ind w:left="0" w:right="0" w:firstLine="480"/>
        <w:jc w:val="both"/>
        <w:keepLines w:val="0"/>
        <w:keepNext w:val="0"/>
        <w:pageBreakBefore w:val="0"/>
        <w:spacing w:line="520" w:lineRule="exact"/>
        <w:widowControl w:val="off"/>
        <w:rPr>
          <w:rFonts w:hint="eastAsia" w:ascii="宋体" w:hAnsi="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（3）单次维修1万元及以上的项目实行一事一议，需要事先书面报告甲方，并请示院领导同意后实施维修，费用由维修合同中列支。</w:t>
      </w:r>
      <w:r/>
    </w:p>
    <w:p>
      <w:pPr>
        <w:ind w:left="0" w:right="0" w:firstLine="480"/>
        <w:jc w:val="both"/>
        <w:keepLines w:val="0"/>
        <w:keepNext w:val="0"/>
        <w:pageBreakBefore w:val="0"/>
        <w:spacing w:line="520" w:lineRule="exact"/>
        <w:widowControl w:val="off"/>
        <w:rPr>
          <w:rFonts w:hint="eastAsia" w:ascii="宋体" w:hAnsi="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六、免费更换消防设施小额易损件清单</w:t>
      </w:r>
      <w:r/>
    </w:p>
    <w:p>
      <w:pPr>
        <w:ind w:left="0" w:right="0" w:firstLine="480"/>
        <w:jc w:val="both"/>
        <w:keepLines w:val="0"/>
        <w:keepNext w:val="0"/>
        <w:pageBreakBefore w:val="0"/>
        <w:spacing w:line="520" w:lineRule="exact"/>
        <w:widowControl w:val="off"/>
        <w:rPr>
          <w:rFonts w:hint="eastAsia" w:ascii="宋体" w:hAnsi="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r>
      <w:r/>
    </w:p>
    <w:p>
      <w:pPr>
        <w:jc w:val="center"/>
        <w:rPr>
          <w:rFonts w:hint="eastAsia" w:eastAsiaTheme="minorEastAsia"/>
          <w:b/>
          <w:bCs/>
          <w:color w:val="auto"/>
          <w:sz w:val="32"/>
          <w:szCs w:val="32"/>
          <w:lang w:val="en-US" w:eastAsia="zh-CN"/>
        </w:rPr>
      </w:pPr>
      <w:r>
        <w:rPr>
          <w:rFonts w:hint="eastAsia"/>
          <w:b/>
          <w:bCs/>
          <w:color w:val="auto"/>
          <w:sz w:val="32"/>
          <w:szCs w:val="32"/>
          <w:lang w:val="en-US" w:eastAsia="zh-CN"/>
        </w:rPr>
        <w:t xml:space="preserve">免费更换</w:t>
      </w:r>
      <w:r>
        <w:rPr>
          <w:b/>
          <w:bCs/>
          <w:color w:val="auto"/>
          <w:sz w:val="32"/>
          <w:szCs w:val="32"/>
        </w:rPr>
        <w:t xml:space="preserve">消防设施</w:t>
      </w:r>
      <w:r>
        <w:rPr>
          <w:rFonts w:hint="eastAsia"/>
          <w:b/>
          <w:bCs/>
          <w:color w:val="auto"/>
          <w:sz w:val="32"/>
          <w:szCs w:val="32"/>
          <w:lang w:val="en-US" w:eastAsia="zh-CN"/>
        </w:rPr>
        <w:t xml:space="preserve">小额</w:t>
      </w:r>
      <w:r>
        <w:rPr>
          <w:b/>
          <w:bCs/>
          <w:color w:val="auto"/>
          <w:sz w:val="32"/>
          <w:szCs w:val="32"/>
        </w:rPr>
        <w:t xml:space="preserve">易损件</w:t>
      </w:r>
      <w:r>
        <w:rPr>
          <w:rFonts w:hint="eastAsia"/>
          <w:b/>
          <w:bCs/>
          <w:color w:val="auto"/>
          <w:sz w:val="32"/>
          <w:szCs w:val="32"/>
          <w:lang w:val="en-US" w:eastAsia="zh-CN"/>
        </w:rPr>
        <w:t xml:space="preserve">清单</w:t>
      </w:r>
      <w:r/>
    </w:p>
    <w:p>
      <w:pPr>
        <w:jc w:val="right"/>
        <w:rPr>
          <w:rFonts w:hint="default" w:eastAsiaTheme="minorEastAsia"/>
          <w:color w:val="auto"/>
          <w:sz w:val="28"/>
          <w:szCs w:val="28"/>
          <w:lang w:val="en-US" w:eastAsia="zh-CN"/>
        </w:rPr>
      </w:pPr>
      <w:r>
        <w:rPr>
          <w:rFonts w:hint="default" w:eastAsiaTheme="minorEastAsia"/>
          <w:color w:val="auto"/>
          <w:sz w:val="28"/>
          <w:szCs w:val="28"/>
          <w:lang w:val="en-US" w:eastAsia="zh-CN"/>
        </w:rPr>
      </w:r>
      <w:r/>
    </w:p>
    <w:tbl>
      <w:tblPr>
        <w:tblStyle w:val="795"/>
        <w:tblW w:w="48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27"/>
        <w:gridCol w:w="1605"/>
        <w:gridCol w:w="2213"/>
        <w:gridCol w:w="2206"/>
        <w:gridCol w:w="1809"/>
      </w:tblGrid>
      <w:tr>
        <w:trPr>
          <w:jc w:val="center"/>
          <w:trHeight w:val="442"/>
        </w:trPr>
        <w:tc>
          <w:tcPr>
            <w:tcMar>
              <w:left w:w="120" w:type="dxa"/>
              <w:top w:w="60" w:type="dxa"/>
              <w:right w:w="120" w:type="dxa"/>
              <w:bottom w:w="30" w:type="dxa"/>
            </w:tcMar>
            <w:tcW w:w="827" w:type="dxa"/>
            <w:vAlign w:val="center"/>
            <w:textDirection w:val="lrTb"/>
            <w:noWrap w:val="false"/>
          </w:tcPr>
          <w:p>
            <w:pPr>
              <w:jc w:val="center"/>
              <w:rPr>
                <w:b/>
                <w:bCs/>
                <w:color w:val="auto"/>
                <w:sz w:val="24"/>
                <w:szCs w:val="24"/>
              </w:rPr>
            </w:pPr>
            <w:r>
              <w:rPr>
                <w:b/>
                <w:bCs/>
                <w:color w:val="auto"/>
                <w:sz w:val="24"/>
                <w:szCs w:val="24"/>
              </w:rPr>
              <w:t xml:space="preserve">序号</w:t>
            </w:r>
            <w:r/>
          </w:p>
        </w:tc>
        <w:tc>
          <w:tcPr>
            <w:tcMar>
              <w:left w:w="120" w:type="dxa"/>
              <w:top w:w="60" w:type="dxa"/>
              <w:right w:w="120" w:type="dxa"/>
              <w:bottom w:w="30" w:type="dxa"/>
            </w:tcMar>
            <w:tcW w:w="1605" w:type="dxa"/>
            <w:vAlign w:val="center"/>
            <w:textDirection w:val="lrTb"/>
            <w:noWrap w:val="false"/>
          </w:tcPr>
          <w:p>
            <w:pPr>
              <w:jc w:val="center"/>
              <w:rPr>
                <w:b/>
                <w:bCs/>
                <w:color w:val="auto"/>
                <w:sz w:val="24"/>
                <w:szCs w:val="24"/>
              </w:rPr>
            </w:pPr>
            <w:r>
              <w:rPr>
                <w:b/>
                <w:bCs/>
                <w:color w:val="auto"/>
                <w:sz w:val="24"/>
                <w:szCs w:val="24"/>
              </w:rPr>
              <w:t xml:space="preserve">所属系统</w:t>
            </w:r>
            <w:r/>
          </w:p>
        </w:tc>
        <w:tc>
          <w:tcPr>
            <w:tcMar>
              <w:left w:w="120" w:type="dxa"/>
              <w:top w:w="60" w:type="dxa"/>
              <w:right w:w="120" w:type="dxa"/>
              <w:bottom w:w="30" w:type="dxa"/>
            </w:tcMar>
            <w:tcW w:w="2213" w:type="dxa"/>
            <w:vAlign w:val="center"/>
            <w:textDirection w:val="lrTb"/>
            <w:noWrap w:val="false"/>
          </w:tcPr>
          <w:p>
            <w:pPr>
              <w:jc w:val="center"/>
              <w:rPr>
                <w:b/>
                <w:bCs/>
                <w:color w:val="auto"/>
                <w:sz w:val="24"/>
                <w:szCs w:val="24"/>
              </w:rPr>
            </w:pPr>
            <w:r>
              <w:rPr>
                <w:b/>
                <w:bCs/>
                <w:color w:val="auto"/>
                <w:sz w:val="24"/>
                <w:szCs w:val="24"/>
              </w:rPr>
              <w:t xml:space="preserve">易损件品名</w:t>
            </w:r>
            <w:r/>
          </w:p>
        </w:tc>
        <w:tc>
          <w:tcPr>
            <w:tcMar>
              <w:left w:w="120" w:type="dxa"/>
              <w:top w:w="60" w:type="dxa"/>
              <w:right w:w="120" w:type="dxa"/>
              <w:bottom w:w="30" w:type="dxa"/>
            </w:tcMar>
            <w:tcW w:w="2206" w:type="dxa"/>
            <w:vAlign w:val="center"/>
            <w:textDirection w:val="lrTb"/>
            <w:noWrap w:val="false"/>
          </w:tcPr>
          <w:p>
            <w:pPr>
              <w:jc w:val="center"/>
              <w:rPr>
                <w:b/>
                <w:bCs/>
                <w:color w:val="auto"/>
                <w:sz w:val="24"/>
                <w:szCs w:val="24"/>
              </w:rPr>
            </w:pPr>
            <w:r>
              <w:rPr>
                <w:b/>
                <w:bCs/>
                <w:color w:val="auto"/>
                <w:sz w:val="24"/>
                <w:szCs w:val="24"/>
              </w:rPr>
              <w:t xml:space="preserve">规格/通用要求</w:t>
            </w:r>
            <w:r/>
          </w:p>
        </w:tc>
        <w:tc>
          <w:tcPr>
            <w:tcMar>
              <w:left w:w="120" w:type="dxa"/>
              <w:top w:w="60" w:type="dxa"/>
              <w:right w:w="120" w:type="dxa"/>
              <w:bottom w:w="30" w:type="dxa"/>
            </w:tcMar>
            <w:tcW w:w="1809" w:type="dxa"/>
            <w:vAlign w:val="center"/>
            <w:textDirection w:val="lrTb"/>
            <w:noWrap w:val="false"/>
          </w:tcPr>
          <w:p>
            <w:pPr>
              <w:jc w:val="center"/>
              <w:rPr>
                <w:b/>
                <w:bCs/>
                <w:color w:val="auto"/>
                <w:sz w:val="24"/>
                <w:szCs w:val="24"/>
              </w:rPr>
            </w:pPr>
            <w:r>
              <w:rPr>
                <w:b/>
                <w:bCs/>
                <w:color w:val="auto"/>
                <w:sz w:val="24"/>
                <w:szCs w:val="24"/>
              </w:rPr>
              <w:t xml:space="preserve">备注</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1</w:t>
            </w:r>
            <w:r/>
          </w:p>
        </w:tc>
        <w:tc>
          <w:tcPr>
            <w:tcMar>
              <w:left w:w="120" w:type="dxa"/>
              <w:top w:w="60" w:type="dxa"/>
              <w:right w:w="120" w:type="dxa"/>
              <w:bottom w:w="30" w:type="dxa"/>
            </w:tcMar>
            <w:tcW w:w="1605" w:type="dxa"/>
            <w:vAlign w:val="center"/>
            <w:vMerge w:val="restart"/>
            <w:textDirection w:val="lrTb"/>
            <w:noWrap w:val="false"/>
          </w:tcPr>
          <w:p>
            <w:pPr>
              <w:jc w:val="center"/>
              <w:rPr>
                <w:color w:val="auto"/>
                <w:sz w:val="24"/>
                <w:szCs w:val="24"/>
              </w:rPr>
            </w:pPr>
            <w:r>
              <w:rPr>
                <w:color w:val="auto"/>
                <w:sz w:val="24"/>
                <w:szCs w:val="24"/>
              </w:rPr>
              <w:t xml:space="preserve">火灾自动报警系统</w:t>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光电感烟探测器</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通用型，匹配现场报警主机</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国标3C认证</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2</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定温感温探测器</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68℃/93℃常规规格</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国标3C认证</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3</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手动火灾报警按钮</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通用型</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国标3C认证</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4</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消火栓启泵按钮</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通用型</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国标3C认证</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5</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输入/输出模块</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通用型</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国标3C认证</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6</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隔离模块</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通用型</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国标3C认证</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7</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声光报警器</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24V，常规款</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国标3C认证</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8</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消防报警主机打印纸/色带</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匹配现场主机型号</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通用耗材</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9</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报警系统熔丝/保险丝</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各类常规规格</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适配消防系统电压</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10</w:t>
            </w:r>
            <w:r/>
          </w:p>
        </w:tc>
        <w:tc>
          <w:tcPr>
            <w:tcMar>
              <w:left w:w="120" w:type="dxa"/>
              <w:top w:w="60" w:type="dxa"/>
              <w:right w:w="120" w:type="dxa"/>
              <w:bottom w:w="30" w:type="dxa"/>
            </w:tcMar>
            <w:tcW w:w="1605" w:type="dxa"/>
            <w:vAlign w:val="center"/>
            <w:vMerge w:val="restart"/>
            <w:textDirection w:val="lrTb"/>
            <w:noWrap w:val="false"/>
          </w:tcPr>
          <w:p>
            <w:pPr>
              <w:jc w:val="center"/>
              <w:rPr>
                <w:color w:val="auto"/>
                <w:sz w:val="24"/>
                <w:szCs w:val="24"/>
              </w:rPr>
            </w:pPr>
            <w:r>
              <w:rPr>
                <w:color w:val="auto"/>
                <w:sz w:val="24"/>
                <w:szCs w:val="24"/>
              </w:rPr>
              <w:t xml:space="preserve">自动喷水灭火系统</w:t>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洒水喷淋头（上/下喷）</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68℃/93℃，国标</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国标3C认证</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11</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压力表（普通/耐震型）</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0-</w:t>
            </w:r>
            <w:r>
              <w:rPr>
                <w:rFonts w:hint="eastAsia"/>
                <w:color w:val="auto"/>
                <w:sz w:val="24"/>
                <w:szCs w:val="24"/>
                <w:lang w:val="en-US" w:eastAsia="zh-CN"/>
              </w:rPr>
              <w:t xml:space="preserve">2.5</w:t>
            </w:r>
            <w:r>
              <w:rPr>
                <w:color w:val="auto"/>
                <w:sz w:val="24"/>
                <w:szCs w:val="24"/>
              </w:rPr>
              <w:t xml:space="preserve">MPa常规量程</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消防专用</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12</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铜球阀</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DN15/DN20/DN25</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国标消防专用</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13</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蝶阀</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DN50/DN80/DN100</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国标消防专用</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14</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消防管道卡箍</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DN50-DN100</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镀锌国标</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15</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rFonts w:hint="eastAsia"/>
                <w:color w:val="auto"/>
                <w:sz w:val="24"/>
                <w:szCs w:val="24"/>
                <w:lang w:val="en-US" w:eastAsia="zh-CN"/>
              </w:rPr>
              <w:t xml:space="preserve">管道</w:t>
            </w:r>
            <w:r>
              <w:rPr>
                <w:color w:val="auto"/>
                <w:sz w:val="24"/>
                <w:szCs w:val="24"/>
              </w:rPr>
              <w:t xml:space="preserve">弯头/三通/直接</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DN50-DN100</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镀锌国标管件</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16</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喷淋管密封圈/垫片</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各类常规规格</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耐高压、耐腐蚀</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17</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水箱专用浮球阀</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常规规格</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消防水箱适配</w:t>
            </w:r>
            <w:r/>
          </w:p>
        </w:tc>
      </w:tr>
      <w:tr>
        <w:trPr>
          <w:jc w:val="center"/>
        </w:trPr>
        <w:tc>
          <w:tcPr>
            <w:tcMar>
              <w:left w:w="120" w:type="dxa"/>
              <w:top w:w="60" w:type="dxa"/>
              <w:right w:w="120" w:type="dxa"/>
              <w:bottom w:w="30" w:type="dxa"/>
            </w:tcMar>
            <w:tcW w:w="827" w:type="dxa"/>
            <w:vAlign w:val="center"/>
            <w:textDirection w:val="lrTb"/>
            <w:noWrap w:val="false"/>
          </w:tcPr>
          <w:p>
            <w:pPr>
              <w:jc w:val="center"/>
              <w:rPr>
                <w:color w:val="auto"/>
                <w:sz w:val="24"/>
                <w:szCs w:val="24"/>
              </w:rPr>
            </w:pPr>
            <w:r>
              <w:rPr>
                <w:color w:val="auto"/>
                <w:sz w:val="24"/>
                <w:szCs w:val="24"/>
              </w:rPr>
              <w:t xml:space="preserve">18</w:t>
            </w:r>
            <w:r/>
          </w:p>
        </w:tc>
        <w:tc>
          <w:tcPr>
            <w:tcMar>
              <w:left w:w="120" w:type="dxa"/>
              <w:top w:w="60" w:type="dxa"/>
              <w:right w:w="120" w:type="dxa"/>
              <w:bottom w:w="30" w:type="dxa"/>
            </w:tcMar>
            <w:tcW w:w="1605" w:type="dxa"/>
            <w:vAlign w:val="center"/>
            <w:vMerge w:val="restart"/>
            <w:textDirection w:val="lrTb"/>
            <w:noWrap w:val="false"/>
          </w:tcPr>
          <w:p>
            <w:pPr>
              <w:jc w:val="center"/>
              <w:rPr>
                <w:color w:val="auto"/>
                <w:sz w:val="24"/>
                <w:szCs w:val="24"/>
              </w:rPr>
            </w:pPr>
            <w:r>
              <w:rPr>
                <w:color w:val="auto"/>
                <w:sz w:val="24"/>
                <w:szCs w:val="24"/>
              </w:rPr>
              <w:t xml:space="preserve">消火栓系统</w:t>
            </w:r>
            <w:r/>
          </w:p>
        </w:tc>
        <w:tc>
          <w:tcPr>
            <w:shd w:val="clear" w:color="auto" w:fill="auto"/>
            <w:tcMar>
              <w:left w:w="120" w:type="dxa"/>
              <w:top w:w="60" w:type="dxa"/>
              <w:right w:w="120" w:type="dxa"/>
              <w:bottom w:w="30" w:type="dxa"/>
            </w:tcMar>
            <w:tcW w:w="2213" w:type="dxa"/>
            <w:vAlign w:val="center"/>
            <w:textDirection w:val="lrTb"/>
            <w:noWrap w:val="false"/>
          </w:tcPr>
          <w:p>
            <w:pPr>
              <w:jc w:val="center"/>
              <w:rPr>
                <w:rFonts w:asciiTheme="minorHAnsi" w:hAnsiTheme="minorHAnsi" w:eastAsiaTheme="minorEastAsia" w:cstheme="minorBidi"/>
                <w:color w:val="auto"/>
                <w:sz w:val="24"/>
                <w:szCs w:val="24"/>
                <w:lang w:val="en-US" w:eastAsia="zh-CN" w:bidi="ar-SA"/>
              </w:rPr>
            </w:pPr>
            <w:r>
              <w:rPr>
                <w:color w:val="auto"/>
                <w:sz w:val="24"/>
                <w:szCs w:val="24"/>
              </w:rPr>
              <w:t xml:space="preserve">消火栓箱闭门器/合页</w:t>
            </w:r>
            <w:r/>
          </w:p>
        </w:tc>
        <w:tc>
          <w:tcPr>
            <w:shd w:val="clear" w:color="auto" w:fill="auto"/>
            <w:tcMar>
              <w:left w:w="120" w:type="dxa"/>
              <w:top w:w="60" w:type="dxa"/>
              <w:right w:w="120" w:type="dxa"/>
              <w:bottom w:w="30" w:type="dxa"/>
            </w:tcMar>
            <w:tcW w:w="2206" w:type="dxa"/>
            <w:vAlign w:val="center"/>
            <w:textDirection w:val="lrTb"/>
            <w:noWrap w:val="false"/>
          </w:tcPr>
          <w:p>
            <w:pPr>
              <w:jc w:val="center"/>
              <w:rPr>
                <w:rFonts w:asciiTheme="minorHAnsi" w:hAnsiTheme="minorHAnsi" w:eastAsiaTheme="minorEastAsia" w:cstheme="minorBidi"/>
                <w:color w:val="auto"/>
                <w:sz w:val="24"/>
                <w:szCs w:val="24"/>
                <w:lang w:val="en-US" w:eastAsia="zh-CN" w:bidi="ar-SA"/>
              </w:rPr>
            </w:pPr>
            <w:r>
              <w:rPr>
                <w:color w:val="auto"/>
                <w:sz w:val="24"/>
                <w:szCs w:val="24"/>
              </w:rPr>
              <w:t xml:space="preserve">通用型</w:t>
            </w:r>
            <w:r/>
          </w:p>
        </w:tc>
        <w:tc>
          <w:tcPr>
            <w:shd w:val="clear" w:color="auto" w:fill="auto"/>
            <w:tcMar>
              <w:left w:w="120" w:type="dxa"/>
              <w:top w:w="60" w:type="dxa"/>
              <w:right w:w="120" w:type="dxa"/>
              <w:bottom w:w="30" w:type="dxa"/>
            </w:tcMar>
            <w:tcW w:w="1809" w:type="dxa"/>
            <w:vAlign w:val="center"/>
            <w:textDirection w:val="lrTb"/>
            <w:noWrap w:val="false"/>
          </w:tcPr>
          <w:p>
            <w:pPr>
              <w:jc w:val="center"/>
              <w:rPr>
                <w:rFonts w:asciiTheme="minorHAnsi" w:hAnsiTheme="minorHAnsi" w:eastAsiaTheme="minorEastAsia" w:cstheme="minorBidi"/>
                <w:color w:val="auto"/>
                <w:sz w:val="24"/>
                <w:szCs w:val="24"/>
                <w:lang w:val="en-US" w:eastAsia="zh-CN" w:bidi="ar-SA"/>
              </w:rPr>
            </w:pPr>
            <w:r>
              <w:rPr>
                <w:color w:val="auto"/>
                <w:sz w:val="24"/>
                <w:szCs w:val="24"/>
              </w:rPr>
              <w:t xml:space="preserve">适配消火栓箱规格</w:t>
            </w:r>
            <w:r/>
          </w:p>
        </w:tc>
      </w:tr>
      <w:tr>
        <w:trPr>
          <w:jc w:val="center"/>
        </w:trPr>
        <w:tc>
          <w:tcPr>
            <w:tcMar>
              <w:left w:w="120" w:type="dxa"/>
              <w:top w:w="60" w:type="dxa"/>
              <w:right w:w="120" w:type="dxa"/>
              <w:bottom w:w="30" w:type="dxa"/>
            </w:tcMar>
            <w:tcW w:w="827" w:type="dxa"/>
            <w:vAlign w:val="center"/>
            <w:textDirection w:val="lrTb"/>
            <w:noWrap w:val="false"/>
          </w:tcPr>
          <w:p>
            <w:pPr>
              <w:jc w:val="center"/>
              <w:rPr>
                <w:rFonts w:hint="default" w:eastAsiaTheme="minorEastAsia"/>
                <w:color w:val="auto"/>
                <w:sz w:val="24"/>
                <w:szCs w:val="24"/>
                <w:lang w:val="en-US" w:eastAsia="zh-CN"/>
              </w:rPr>
            </w:pPr>
            <w:r>
              <w:rPr>
                <w:rFonts w:hint="eastAsia"/>
                <w:color w:val="auto"/>
                <w:sz w:val="24"/>
                <w:szCs w:val="24"/>
                <w:lang w:val="en-US" w:eastAsia="zh-CN"/>
              </w:rPr>
              <w:t xml:space="preserve">19</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消火栓箱</w:t>
            </w:r>
            <w:r>
              <w:rPr>
                <w:rFonts w:hint="eastAsia"/>
                <w:color w:val="auto"/>
                <w:sz w:val="24"/>
                <w:szCs w:val="24"/>
                <w:lang w:val="en-US" w:eastAsia="zh-CN"/>
              </w:rPr>
              <w:t xml:space="preserve">玻璃</w:t>
            </w:r>
            <w:r>
              <w:rPr>
                <w:color w:val="auto"/>
                <w:sz w:val="24"/>
                <w:szCs w:val="24"/>
              </w:rPr>
              <w:t xml:space="preserve">面板</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通用型</w:t>
            </w:r>
            <w:r/>
          </w:p>
        </w:tc>
        <w:tc>
          <w:tcPr>
            <w:shd w:val="clear" w:color="auto" w:fill="auto"/>
            <w:tcMar>
              <w:left w:w="120" w:type="dxa"/>
              <w:top w:w="60" w:type="dxa"/>
              <w:right w:w="120" w:type="dxa"/>
              <w:bottom w:w="30" w:type="dxa"/>
            </w:tcMar>
            <w:tcW w:w="1809" w:type="dxa"/>
            <w:vAlign w:val="center"/>
            <w:textDirection w:val="lrTb"/>
            <w:noWrap w:val="false"/>
          </w:tcPr>
          <w:p>
            <w:pPr>
              <w:jc w:val="center"/>
              <w:rPr>
                <w:rFonts w:asciiTheme="minorHAnsi" w:hAnsiTheme="minorHAnsi" w:eastAsiaTheme="minorEastAsia" w:cstheme="minorBidi"/>
                <w:color w:val="auto"/>
                <w:sz w:val="24"/>
                <w:szCs w:val="24"/>
                <w:lang w:val="en-US" w:eastAsia="zh-CN" w:bidi="ar-SA"/>
              </w:rPr>
            </w:pPr>
            <w:r>
              <w:rPr>
                <w:color w:val="auto"/>
                <w:sz w:val="24"/>
                <w:szCs w:val="24"/>
              </w:rPr>
              <w:t xml:space="preserve">适配消火栓箱规格</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eastAsia" w:asciiTheme="minorHAnsi" w:hAnsiTheme="minorHAnsi" w:eastAsiaTheme="minorEastAsia" w:cstheme="minorBidi"/>
                <w:color w:val="auto"/>
                <w:sz w:val="24"/>
                <w:szCs w:val="24"/>
                <w:lang w:val="en-US" w:eastAsia="zh-CN" w:bidi="ar-SA"/>
              </w:rPr>
            </w:pPr>
            <w:r>
              <w:rPr>
                <w:color w:val="auto"/>
                <w:sz w:val="24"/>
                <w:szCs w:val="24"/>
              </w:rPr>
              <w:t xml:space="preserve">2</w:t>
            </w:r>
            <w:r>
              <w:rPr>
                <w:rFonts w:hint="eastAsia"/>
                <w:color w:val="auto"/>
                <w:sz w:val="24"/>
                <w:szCs w:val="24"/>
                <w:lang w:val="en-US" w:eastAsia="zh-CN"/>
              </w:rPr>
              <w:t xml:space="preserve">0</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rFonts w:hint="eastAsia" w:eastAsiaTheme="minorEastAsia"/>
                <w:color w:val="auto"/>
                <w:sz w:val="24"/>
                <w:szCs w:val="24"/>
                <w:lang w:val="en-US" w:eastAsia="zh-CN"/>
              </w:rPr>
            </w:pPr>
            <w:r>
              <w:rPr>
                <w:color w:val="auto"/>
                <w:sz w:val="24"/>
                <w:szCs w:val="24"/>
              </w:rPr>
              <w:t xml:space="preserve">消火栓</w:t>
            </w:r>
            <w:r>
              <w:rPr>
                <w:rFonts w:hint="eastAsia"/>
                <w:color w:val="auto"/>
                <w:sz w:val="24"/>
                <w:szCs w:val="24"/>
                <w:lang w:val="en-US" w:eastAsia="zh-CN"/>
              </w:rPr>
              <w:t xml:space="preserve">阀门</w:t>
            </w:r>
            <w:r>
              <w:rPr>
                <w:color w:val="auto"/>
                <w:sz w:val="24"/>
                <w:szCs w:val="24"/>
              </w:rPr>
              <w:t xml:space="preserve">/</w:t>
            </w:r>
            <w:r>
              <w:rPr>
                <w:rFonts w:hint="eastAsia"/>
                <w:color w:val="auto"/>
                <w:sz w:val="24"/>
                <w:szCs w:val="24"/>
                <w:lang w:val="en-US" w:eastAsia="zh-CN"/>
              </w:rPr>
              <w:t xml:space="preserve">栓头</w:t>
            </w:r>
            <w:r/>
          </w:p>
        </w:tc>
        <w:tc>
          <w:tcPr>
            <w:shd w:val="clear" w:color="auto" w:fill="auto"/>
            <w:tcMar>
              <w:left w:w="120" w:type="dxa"/>
              <w:top w:w="60" w:type="dxa"/>
              <w:right w:w="120" w:type="dxa"/>
              <w:bottom w:w="30" w:type="dxa"/>
            </w:tcMar>
            <w:tcW w:w="2206" w:type="dxa"/>
            <w:vAlign w:val="center"/>
            <w:textDirection w:val="lrTb"/>
            <w:noWrap w:val="false"/>
          </w:tcPr>
          <w:p>
            <w:pPr>
              <w:jc w:val="center"/>
              <w:rPr>
                <w:rFonts w:asciiTheme="minorHAnsi" w:hAnsiTheme="minorHAnsi" w:eastAsiaTheme="minorEastAsia" w:cstheme="minorBidi"/>
                <w:color w:val="auto"/>
                <w:sz w:val="24"/>
                <w:szCs w:val="24"/>
                <w:lang w:val="en-US" w:eastAsia="zh-CN" w:bidi="ar-SA"/>
              </w:rPr>
            </w:pPr>
            <w:r>
              <w:rPr>
                <w:color w:val="auto"/>
                <w:sz w:val="24"/>
                <w:szCs w:val="24"/>
              </w:rPr>
              <w:t xml:space="preserve">通用型</w:t>
            </w:r>
            <w:r/>
          </w:p>
        </w:tc>
        <w:tc>
          <w:tcPr>
            <w:shd w:val="clear" w:color="auto" w:fill="auto"/>
            <w:tcMar>
              <w:left w:w="120" w:type="dxa"/>
              <w:top w:w="60" w:type="dxa"/>
              <w:right w:w="120" w:type="dxa"/>
              <w:bottom w:w="30" w:type="dxa"/>
            </w:tcMar>
            <w:tcW w:w="1809" w:type="dxa"/>
            <w:vAlign w:val="center"/>
            <w:textDirection w:val="lrTb"/>
            <w:noWrap w:val="false"/>
          </w:tcPr>
          <w:p>
            <w:pPr>
              <w:jc w:val="center"/>
              <w:rPr>
                <w:rFonts w:asciiTheme="minorHAnsi" w:hAnsiTheme="minorHAnsi" w:eastAsiaTheme="minorEastAsia" w:cstheme="minorBidi"/>
                <w:color w:val="auto"/>
                <w:sz w:val="24"/>
                <w:szCs w:val="24"/>
                <w:lang w:val="en-US" w:eastAsia="zh-CN" w:bidi="ar-SA"/>
              </w:rPr>
            </w:pPr>
            <w:r>
              <w:rPr>
                <w:color w:val="auto"/>
                <w:sz w:val="24"/>
                <w:szCs w:val="24"/>
              </w:rPr>
              <w:t xml:space="preserve">适配消火栓规格</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eastAsia" w:asciiTheme="minorHAnsi" w:hAnsiTheme="minorHAnsi" w:eastAsiaTheme="minorEastAsia" w:cstheme="minorBidi"/>
                <w:color w:val="auto"/>
                <w:sz w:val="24"/>
                <w:szCs w:val="24"/>
                <w:lang w:val="en-US" w:eastAsia="zh-CN" w:bidi="ar-SA"/>
              </w:rPr>
            </w:pPr>
            <w:r>
              <w:rPr>
                <w:color w:val="auto"/>
                <w:sz w:val="24"/>
                <w:szCs w:val="24"/>
              </w:rPr>
              <w:t xml:space="preserve">2</w:t>
            </w:r>
            <w:r>
              <w:rPr>
                <w:rFonts w:hint="eastAsia"/>
                <w:color w:val="auto"/>
                <w:sz w:val="24"/>
                <w:szCs w:val="24"/>
                <w:lang w:val="en-US" w:eastAsia="zh-CN"/>
              </w:rPr>
              <w:t xml:space="preserve">1</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rFonts w:hint="default" w:eastAsiaTheme="minorEastAsia"/>
                <w:color w:val="auto"/>
                <w:sz w:val="24"/>
                <w:szCs w:val="24"/>
                <w:lang w:val="en-US" w:eastAsia="zh-CN"/>
              </w:rPr>
            </w:pPr>
            <w:r>
              <w:rPr>
                <w:rFonts w:hint="eastAsia"/>
                <w:color w:val="auto"/>
                <w:sz w:val="24"/>
                <w:szCs w:val="24"/>
                <w:lang w:val="en-US" w:eastAsia="zh-CN"/>
              </w:rPr>
              <w:t xml:space="preserve">消防软管卡箍、连接头</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通用型</w:t>
            </w:r>
            <w:r/>
          </w:p>
        </w:tc>
        <w:tc>
          <w:tcPr>
            <w:shd w:val="clear" w:color="auto" w:fill="auto"/>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适配消火栓规格</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eastAsia" w:asciiTheme="minorHAnsi" w:hAnsiTheme="minorHAnsi" w:eastAsiaTheme="minorEastAsia" w:cstheme="minorBidi"/>
                <w:color w:val="auto"/>
                <w:sz w:val="24"/>
                <w:szCs w:val="24"/>
                <w:lang w:val="en-US" w:eastAsia="zh-CN" w:bidi="ar-SA"/>
              </w:rPr>
            </w:pPr>
            <w:r>
              <w:rPr>
                <w:color w:val="auto"/>
                <w:sz w:val="24"/>
                <w:szCs w:val="24"/>
              </w:rPr>
              <w:t xml:space="preserve">2</w:t>
            </w:r>
            <w:r>
              <w:rPr>
                <w:rFonts w:hint="eastAsia"/>
                <w:color w:val="auto"/>
                <w:sz w:val="24"/>
                <w:szCs w:val="24"/>
                <w:lang w:val="en-US" w:eastAsia="zh-CN"/>
              </w:rPr>
              <w:t xml:space="preserve">2</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rFonts w:hint="default"/>
                <w:color w:val="auto"/>
                <w:sz w:val="24"/>
                <w:szCs w:val="24"/>
                <w:lang w:val="en-US" w:eastAsia="zh-CN"/>
              </w:rPr>
            </w:pPr>
            <w:r>
              <w:rPr>
                <w:rFonts w:hint="eastAsia"/>
                <w:color w:val="auto"/>
                <w:sz w:val="24"/>
                <w:szCs w:val="24"/>
                <w:lang w:val="en-US" w:eastAsia="zh-CN"/>
              </w:rPr>
              <w:t xml:space="preserve">消防软管枪头</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通用型</w:t>
            </w:r>
            <w:r/>
          </w:p>
        </w:tc>
        <w:tc>
          <w:tcPr>
            <w:shd w:val="clear" w:color="auto" w:fill="auto"/>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适配消火栓规格</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eastAsia" w:asciiTheme="minorHAnsi" w:hAnsiTheme="minorHAnsi" w:eastAsiaTheme="minorEastAsia" w:cstheme="minorBidi"/>
                <w:color w:val="auto"/>
                <w:sz w:val="24"/>
                <w:szCs w:val="24"/>
                <w:lang w:val="en-US" w:eastAsia="zh-CN" w:bidi="ar-SA"/>
              </w:rPr>
            </w:pPr>
            <w:r>
              <w:rPr>
                <w:color w:val="auto"/>
                <w:sz w:val="24"/>
                <w:szCs w:val="24"/>
              </w:rPr>
              <w:t xml:space="preserve">2</w:t>
            </w:r>
            <w:r>
              <w:rPr>
                <w:rFonts w:hint="eastAsia"/>
                <w:color w:val="auto"/>
                <w:sz w:val="24"/>
                <w:szCs w:val="24"/>
                <w:lang w:val="en-US" w:eastAsia="zh-CN"/>
              </w:rPr>
              <w:t xml:space="preserve">3</w:t>
            </w:r>
            <w:r/>
          </w:p>
        </w:tc>
        <w:tc>
          <w:tcPr>
            <w:tcMar>
              <w:left w:w="120" w:type="dxa"/>
              <w:top w:w="60" w:type="dxa"/>
              <w:right w:w="120" w:type="dxa"/>
              <w:bottom w:w="30" w:type="dxa"/>
            </w:tcMar>
            <w:tcW w:w="1605" w:type="dxa"/>
            <w:vAlign w:val="center"/>
            <w:vMerge w:val="restart"/>
            <w:textDirection w:val="lrTb"/>
            <w:noWrap w:val="false"/>
          </w:tcPr>
          <w:p>
            <w:pPr>
              <w:jc w:val="center"/>
              <w:rPr>
                <w:color w:val="auto"/>
                <w:sz w:val="24"/>
                <w:szCs w:val="24"/>
              </w:rPr>
            </w:pPr>
            <w:r>
              <w:rPr>
                <w:color w:val="auto"/>
                <w:sz w:val="24"/>
                <w:szCs w:val="24"/>
              </w:rPr>
              <w:t xml:space="preserve">应急照明与疏散指示系统</w:t>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消防应急</w:t>
            </w:r>
            <w:r>
              <w:rPr>
                <w:rFonts w:hint="eastAsia"/>
                <w:color w:val="auto"/>
                <w:sz w:val="24"/>
                <w:szCs w:val="24"/>
                <w:lang w:val="en-US" w:eastAsia="zh-CN"/>
              </w:rPr>
              <w:t xml:space="preserve">照明</w:t>
            </w:r>
            <w:r>
              <w:rPr>
                <w:color w:val="auto"/>
                <w:sz w:val="24"/>
                <w:szCs w:val="24"/>
              </w:rPr>
              <w:t xml:space="preserve">灯</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壁挂/嵌入式</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国标3C认证，符合消防新规</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eastAsia" w:asciiTheme="minorHAnsi" w:hAnsiTheme="minorHAnsi" w:eastAsiaTheme="minorEastAsia" w:cstheme="minorBidi"/>
                <w:color w:val="auto"/>
                <w:sz w:val="24"/>
                <w:szCs w:val="24"/>
                <w:lang w:val="en-US" w:eastAsia="zh-CN" w:bidi="ar-SA"/>
              </w:rPr>
            </w:pPr>
            <w:r>
              <w:rPr>
                <w:color w:val="auto"/>
                <w:sz w:val="24"/>
                <w:szCs w:val="24"/>
              </w:rPr>
              <w:t xml:space="preserve">2</w:t>
            </w:r>
            <w:r>
              <w:rPr>
                <w:rFonts w:hint="eastAsia"/>
                <w:color w:val="auto"/>
                <w:sz w:val="24"/>
                <w:szCs w:val="24"/>
                <w:lang w:val="en-US" w:eastAsia="zh-CN"/>
              </w:rPr>
              <w:t xml:space="preserve">4</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消防疏散指示标志灯</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安全出口/方向指示</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国标3C认证，符合消防新规</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eastAsia" w:asciiTheme="minorHAnsi" w:hAnsiTheme="minorHAnsi" w:eastAsiaTheme="minorEastAsia" w:cstheme="minorBidi"/>
                <w:color w:val="auto"/>
                <w:sz w:val="24"/>
                <w:szCs w:val="24"/>
                <w:lang w:val="en-US" w:eastAsia="zh-CN" w:bidi="ar-SA"/>
              </w:rPr>
            </w:pPr>
            <w:r>
              <w:rPr>
                <w:color w:val="auto"/>
                <w:sz w:val="24"/>
                <w:szCs w:val="24"/>
              </w:rPr>
              <w:t xml:space="preserve">2</w:t>
            </w:r>
            <w:r>
              <w:rPr>
                <w:rFonts w:hint="eastAsia"/>
                <w:color w:val="auto"/>
                <w:sz w:val="24"/>
                <w:szCs w:val="24"/>
                <w:lang w:val="en-US" w:eastAsia="zh-CN"/>
              </w:rPr>
              <w:t xml:space="preserve">5</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应急灯驱动电源/镇流器</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通用型</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匹配现场应急灯具</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eastAsia" w:asciiTheme="minorHAnsi" w:hAnsiTheme="minorHAnsi" w:eastAsiaTheme="minorEastAsia" w:cstheme="minorBidi"/>
                <w:color w:val="auto"/>
                <w:sz w:val="24"/>
                <w:szCs w:val="24"/>
                <w:lang w:val="en-US" w:eastAsia="zh-CN" w:bidi="ar-SA"/>
              </w:rPr>
            </w:pPr>
            <w:r>
              <w:rPr>
                <w:color w:val="auto"/>
                <w:sz w:val="24"/>
                <w:szCs w:val="24"/>
              </w:rPr>
              <w:t xml:space="preserve">2</w:t>
            </w:r>
            <w:r>
              <w:rPr>
                <w:rFonts w:hint="eastAsia"/>
                <w:color w:val="auto"/>
                <w:sz w:val="24"/>
                <w:szCs w:val="24"/>
                <w:lang w:val="en-US" w:eastAsia="zh-CN"/>
              </w:rPr>
              <w:t xml:space="preserve">6</w:t>
            </w:r>
            <w:r/>
          </w:p>
        </w:tc>
        <w:tc>
          <w:tcPr>
            <w:tcMar>
              <w:left w:w="120" w:type="dxa"/>
              <w:top w:w="60" w:type="dxa"/>
              <w:right w:w="120" w:type="dxa"/>
              <w:bottom w:w="30" w:type="dxa"/>
            </w:tcMar>
            <w:tcW w:w="1605" w:type="dxa"/>
            <w:vAlign w:val="center"/>
            <w:vMerge w:val="restart"/>
            <w:textDirection w:val="lrTb"/>
            <w:noWrap w:val="false"/>
          </w:tcPr>
          <w:p>
            <w:pPr>
              <w:jc w:val="center"/>
              <w:rPr>
                <w:color w:val="auto"/>
                <w:sz w:val="24"/>
                <w:szCs w:val="24"/>
              </w:rPr>
            </w:pPr>
            <w:r>
              <w:rPr>
                <w:color w:val="auto"/>
                <w:sz w:val="24"/>
                <w:szCs w:val="24"/>
              </w:rPr>
              <w:t xml:space="preserve">防排烟及防火分隔系统</w:t>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防火阀/排烟口执行器</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电动/手动，通用型</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消防专用</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eastAsia" w:asciiTheme="minorHAnsi" w:hAnsiTheme="minorHAnsi" w:eastAsiaTheme="minorEastAsia" w:cstheme="minorBidi"/>
                <w:color w:val="auto"/>
                <w:sz w:val="24"/>
                <w:szCs w:val="24"/>
                <w:lang w:val="en-US" w:eastAsia="zh-CN" w:bidi="ar-SA"/>
              </w:rPr>
            </w:pPr>
            <w:r>
              <w:rPr>
                <w:rFonts w:hint="eastAsia"/>
                <w:color w:val="auto"/>
                <w:sz w:val="24"/>
                <w:szCs w:val="24"/>
                <w:lang w:val="en-US" w:eastAsia="zh-CN"/>
              </w:rPr>
              <w:t xml:space="preserve">27</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防火门闭门器</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通用型</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消防专用</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eastAsia" w:asciiTheme="minorHAnsi" w:hAnsiTheme="minorHAnsi" w:eastAsiaTheme="minorEastAsia" w:cstheme="minorBidi"/>
                <w:color w:val="auto"/>
                <w:sz w:val="24"/>
                <w:szCs w:val="24"/>
                <w:lang w:val="en-US" w:eastAsia="zh-CN" w:bidi="ar-SA"/>
              </w:rPr>
            </w:pPr>
            <w:r>
              <w:rPr>
                <w:rFonts w:hint="eastAsia"/>
                <w:color w:val="auto"/>
                <w:sz w:val="24"/>
                <w:szCs w:val="24"/>
                <w:lang w:val="en-US" w:eastAsia="zh-CN"/>
              </w:rPr>
              <w:t xml:space="preserve">28</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防火门释放器</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通用型</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消防专用</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default" w:asciiTheme="minorHAnsi" w:hAnsiTheme="minorHAnsi" w:eastAsiaTheme="minorEastAsia" w:cstheme="minorBidi"/>
                <w:color w:val="auto"/>
                <w:sz w:val="24"/>
                <w:szCs w:val="24"/>
                <w:lang w:val="en-US" w:eastAsia="zh-CN" w:bidi="ar-SA"/>
              </w:rPr>
            </w:pPr>
            <w:r>
              <w:rPr>
                <w:rFonts w:hint="eastAsia"/>
                <w:color w:val="auto"/>
                <w:sz w:val="24"/>
                <w:szCs w:val="24"/>
                <w:lang w:val="en-US" w:eastAsia="zh-CN"/>
              </w:rPr>
              <w:t xml:space="preserve">29</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排烟风机三角带</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各类常规规格</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适配现场风机</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default" w:asciiTheme="minorHAnsi" w:hAnsiTheme="minorHAnsi" w:eastAsiaTheme="minorEastAsia" w:cstheme="minorBidi"/>
                <w:color w:val="auto"/>
                <w:sz w:val="24"/>
                <w:szCs w:val="24"/>
                <w:lang w:val="en-US" w:eastAsia="zh-CN" w:bidi="ar-SA"/>
              </w:rPr>
            </w:pPr>
            <w:r>
              <w:rPr>
                <w:color w:val="auto"/>
                <w:sz w:val="24"/>
                <w:szCs w:val="24"/>
              </w:rPr>
              <w:t xml:space="preserve">3</w:t>
            </w:r>
            <w:r>
              <w:rPr>
                <w:rFonts w:hint="eastAsia"/>
                <w:color w:val="auto"/>
                <w:sz w:val="24"/>
                <w:szCs w:val="24"/>
                <w:lang w:val="en-US" w:eastAsia="zh-CN"/>
              </w:rPr>
              <w:t xml:space="preserve">0</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风机轴承+润滑脂</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常规规格</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消防风机专用</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default" w:asciiTheme="minorHAnsi" w:hAnsiTheme="minorHAnsi" w:eastAsiaTheme="minorEastAsia" w:cstheme="minorBidi"/>
                <w:color w:val="auto"/>
                <w:sz w:val="24"/>
                <w:szCs w:val="24"/>
                <w:lang w:val="en-US" w:eastAsia="zh-CN" w:bidi="ar-SA"/>
              </w:rPr>
            </w:pPr>
            <w:r>
              <w:rPr>
                <w:color w:val="auto"/>
                <w:sz w:val="24"/>
                <w:szCs w:val="24"/>
              </w:rPr>
              <w:t xml:space="preserve">3</w:t>
            </w:r>
            <w:r>
              <w:rPr>
                <w:rFonts w:hint="eastAsia"/>
                <w:color w:val="auto"/>
                <w:sz w:val="24"/>
                <w:szCs w:val="24"/>
                <w:lang w:val="en-US" w:eastAsia="zh-CN"/>
              </w:rPr>
              <w:t xml:space="preserve">1</w:t>
            </w:r>
            <w:r/>
          </w:p>
        </w:tc>
        <w:tc>
          <w:tcPr>
            <w:tcMar>
              <w:left w:w="120" w:type="dxa"/>
              <w:top w:w="60" w:type="dxa"/>
              <w:right w:w="120" w:type="dxa"/>
              <w:bottom w:w="30" w:type="dxa"/>
            </w:tcMar>
            <w:tcW w:w="1605" w:type="dxa"/>
            <w:vAlign w:val="center"/>
            <w:vMerge w:val="restart"/>
            <w:textDirection w:val="lrTb"/>
            <w:noWrap w:val="false"/>
          </w:tcPr>
          <w:p>
            <w:pPr>
              <w:jc w:val="center"/>
              <w:rPr>
                <w:color w:val="auto"/>
                <w:sz w:val="24"/>
                <w:szCs w:val="24"/>
              </w:rPr>
            </w:pPr>
            <w:r>
              <w:rPr>
                <w:color w:val="auto"/>
                <w:sz w:val="24"/>
                <w:szCs w:val="24"/>
              </w:rPr>
              <w:t xml:space="preserve">其他通用消防设施</w:t>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消防小型蓄电池</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报警主机专用</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适配设备电压</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eastAsia" w:asciiTheme="minorHAnsi" w:hAnsiTheme="minorHAnsi" w:eastAsiaTheme="minorEastAsia" w:cstheme="minorBidi"/>
                <w:color w:val="auto"/>
                <w:sz w:val="24"/>
                <w:szCs w:val="24"/>
                <w:lang w:val="en-US" w:eastAsia="zh-CN" w:bidi="ar-SA"/>
              </w:rPr>
            </w:pPr>
            <w:r>
              <w:rPr>
                <w:rFonts w:hint="eastAsia"/>
                <w:color w:val="auto"/>
                <w:sz w:val="24"/>
                <w:szCs w:val="24"/>
                <w:lang w:val="en-US" w:eastAsia="zh-CN"/>
              </w:rPr>
              <w:t xml:space="preserve">32</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消防管道管卡/支架</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各类常规规格</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镀锌国标</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default" w:asciiTheme="minorHAnsi" w:hAnsiTheme="minorHAnsi" w:eastAsiaTheme="minorEastAsia" w:cstheme="minorBidi"/>
                <w:color w:val="auto"/>
                <w:sz w:val="24"/>
                <w:szCs w:val="24"/>
                <w:lang w:val="en-US" w:eastAsia="zh-CN" w:bidi="ar-SA"/>
              </w:rPr>
            </w:pPr>
            <w:r>
              <w:rPr>
                <w:rFonts w:hint="eastAsia" w:cstheme="minorBidi"/>
                <w:color w:val="auto"/>
                <w:sz w:val="24"/>
                <w:szCs w:val="24"/>
                <w:lang w:val="en-US" w:eastAsia="zh-CN" w:bidi="ar-SA"/>
              </w:rPr>
              <w:t xml:space="preserve">33</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color w:val="auto"/>
                <w:sz w:val="24"/>
                <w:szCs w:val="24"/>
              </w:rPr>
            </w:pPr>
            <w:r>
              <w:rPr>
                <w:color w:val="auto"/>
                <w:sz w:val="24"/>
                <w:szCs w:val="24"/>
              </w:rPr>
              <w:t xml:space="preserve">消防系统密封胶圈/垫片</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各类常规规格</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耐油、耐高压、耐腐蚀</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default" w:asciiTheme="minorHAnsi" w:hAnsiTheme="minorHAnsi" w:eastAsiaTheme="minorEastAsia" w:cstheme="minorBidi"/>
                <w:color w:val="auto"/>
                <w:sz w:val="24"/>
                <w:szCs w:val="24"/>
                <w:lang w:val="en-US" w:eastAsia="zh-CN" w:bidi="ar-SA"/>
              </w:rPr>
            </w:pPr>
            <w:r>
              <w:rPr>
                <w:rFonts w:hint="eastAsia"/>
                <w:color w:val="auto"/>
                <w:sz w:val="24"/>
                <w:szCs w:val="24"/>
                <w:lang w:val="en-US" w:eastAsia="zh-CN"/>
              </w:rPr>
              <w:t xml:space="preserve">34</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rFonts w:hint="default"/>
                <w:color w:val="auto"/>
                <w:sz w:val="24"/>
                <w:szCs w:val="24"/>
                <w:lang w:val="en-US" w:eastAsia="zh-CN"/>
              </w:rPr>
            </w:pPr>
            <w:r>
              <w:rPr>
                <w:rFonts w:hint="eastAsia"/>
                <w:color w:val="auto"/>
                <w:sz w:val="24"/>
                <w:szCs w:val="24"/>
                <w:lang w:val="en-US" w:eastAsia="zh-CN"/>
              </w:rPr>
              <w:t xml:space="preserve">消防设备标识牌、警示牌</w:t>
            </w:r>
            <w:r/>
          </w:p>
        </w:tc>
        <w:tc>
          <w:tcPr>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各类常规规格</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国标3C认证，符合消防新规</w:t>
            </w:r>
            <w:r/>
          </w:p>
        </w:tc>
      </w:tr>
      <w:tr>
        <w:trPr>
          <w:jc w:val="center"/>
        </w:trPr>
        <w:tc>
          <w:tcPr>
            <w:shd w:val="clear" w:color="auto" w:fill="auto"/>
            <w:tcMar>
              <w:left w:w="120" w:type="dxa"/>
              <w:top w:w="60" w:type="dxa"/>
              <w:right w:w="120" w:type="dxa"/>
              <w:bottom w:w="30" w:type="dxa"/>
            </w:tcMar>
            <w:tcW w:w="827" w:type="dxa"/>
            <w:vAlign w:val="center"/>
            <w:textDirection w:val="lrTb"/>
            <w:noWrap w:val="false"/>
          </w:tcPr>
          <w:p>
            <w:pPr>
              <w:jc w:val="center"/>
              <w:rPr>
                <w:rFonts w:hint="default" w:asciiTheme="minorHAnsi" w:hAnsiTheme="minorHAnsi" w:eastAsiaTheme="minorEastAsia" w:cstheme="minorBidi"/>
                <w:color w:val="auto"/>
                <w:sz w:val="24"/>
                <w:szCs w:val="24"/>
                <w:lang w:val="en-US" w:eastAsia="zh-CN" w:bidi="ar-SA"/>
              </w:rPr>
            </w:pPr>
            <w:r>
              <w:rPr>
                <w:rFonts w:hint="eastAsia"/>
                <w:color w:val="auto"/>
                <w:sz w:val="24"/>
                <w:szCs w:val="24"/>
                <w:lang w:val="en-US" w:eastAsia="zh-CN"/>
              </w:rPr>
              <w:t xml:space="preserve">35</w:t>
            </w:r>
            <w:r/>
          </w:p>
        </w:tc>
        <w:tc>
          <w:tcPr>
            <w:tcMar>
              <w:left w:w="120" w:type="dxa"/>
              <w:top w:w="60" w:type="dxa"/>
              <w:right w:w="120" w:type="dxa"/>
              <w:bottom w:w="30" w:type="dxa"/>
            </w:tcMar>
            <w:tcW w:w="1605" w:type="dxa"/>
            <w:vAlign w:val="center"/>
            <w:vMerge w:val="continue"/>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rFonts w:hint="default"/>
                <w:color w:val="auto"/>
                <w:sz w:val="24"/>
                <w:szCs w:val="24"/>
                <w:lang w:val="en-US" w:eastAsia="zh-CN"/>
              </w:rPr>
            </w:pPr>
            <w:r>
              <w:rPr>
                <w:rFonts w:hint="eastAsia"/>
                <w:color w:val="auto"/>
                <w:sz w:val="24"/>
                <w:szCs w:val="24"/>
                <w:lang w:val="en-US" w:eastAsia="zh-CN"/>
              </w:rPr>
              <w:t xml:space="preserve">各类涂色油漆</w:t>
            </w:r>
            <w:r/>
          </w:p>
        </w:tc>
        <w:tc>
          <w:tcPr>
            <w:shd w:val="clear" w:color="auto" w:fill="auto"/>
            <w:tcMar>
              <w:left w:w="120" w:type="dxa"/>
              <w:top w:w="60" w:type="dxa"/>
              <w:right w:w="120" w:type="dxa"/>
              <w:bottom w:w="30" w:type="dxa"/>
            </w:tcMar>
            <w:tcW w:w="2206" w:type="dxa"/>
            <w:vAlign w:val="center"/>
            <w:textDirection w:val="lrTb"/>
            <w:noWrap w:val="false"/>
          </w:tcPr>
          <w:p>
            <w:pPr>
              <w:jc w:val="center"/>
              <w:rPr>
                <w:rFonts w:asciiTheme="minorHAnsi" w:hAnsiTheme="minorHAnsi" w:eastAsiaTheme="minorEastAsia" w:cstheme="minorBidi"/>
                <w:color w:val="auto"/>
                <w:sz w:val="24"/>
                <w:szCs w:val="24"/>
                <w:lang w:val="en-US" w:eastAsia="zh-CN" w:bidi="ar-SA"/>
              </w:rPr>
            </w:pPr>
            <w:r>
              <w:rPr>
                <w:color w:val="auto"/>
                <w:sz w:val="24"/>
                <w:szCs w:val="24"/>
              </w:rPr>
              <w:t xml:space="preserve">各类常规规格</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国标3C认证，符合消防新规</w:t>
            </w:r>
            <w:r/>
          </w:p>
        </w:tc>
      </w:tr>
      <w:tr>
        <w:trPr>
          <w:jc w:val="center"/>
        </w:trPr>
        <w:tc>
          <w:tcPr>
            <w:tcMar>
              <w:left w:w="120" w:type="dxa"/>
              <w:top w:w="60" w:type="dxa"/>
              <w:right w:w="120" w:type="dxa"/>
              <w:bottom w:w="30" w:type="dxa"/>
            </w:tcMar>
            <w:tcW w:w="827" w:type="dxa"/>
            <w:vAlign w:val="center"/>
            <w:textDirection w:val="lrTb"/>
            <w:noWrap w:val="false"/>
          </w:tcPr>
          <w:p>
            <w:pPr>
              <w:jc w:val="center"/>
              <w:rPr>
                <w:rFonts w:hint="default"/>
                <w:color w:val="auto"/>
                <w:sz w:val="24"/>
                <w:szCs w:val="24"/>
                <w:lang w:val="en-US" w:eastAsia="zh-CN"/>
              </w:rPr>
            </w:pPr>
            <w:r>
              <w:rPr>
                <w:rFonts w:hint="eastAsia"/>
                <w:color w:val="auto"/>
                <w:sz w:val="24"/>
                <w:szCs w:val="24"/>
                <w:lang w:val="en-US" w:eastAsia="zh-CN"/>
              </w:rPr>
              <w:t xml:space="preserve">36</w:t>
            </w:r>
            <w:r/>
          </w:p>
        </w:tc>
        <w:tc>
          <w:tcPr>
            <w:tcMar>
              <w:left w:w="120" w:type="dxa"/>
              <w:top w:w="60" w:type="dxa"/>
              <w:right w:w="120" w:type="dxa"/>
              <w:bottom w:w="30" w:type="dxa"/>
            </w:tcMar>
            <w:tcW w:w="1605" w:type="dxa"/>
            <w:vAlign w:val="center"/>
            <w:textDirection w:val="lrTb"/>
            <w:noWrap w:val="false"/>
          </w:tcPr>
          <w:p>
            <w:pPr>
              <w:jc w:val="center"/>
              <w:rPr>
                <w:color w:val="auto"/>
                <w:sz w:val="24"/>
                <w:szCs w:val="24"/>
              </w:rPr>
            </w:pPr>
            <w:r>
              <w:rPr>
                <w:color w:val="auto"/>
                <w:sz w:val="24"/>
                <w:szCs w:val="24"/>
              </w:rPr>
            </w:r>
            <w:r/>
          </w:p>
        </w:tc>
        <w:tc>
          <w:tcPr>
            <w:tcMar>
              <w:left w:w="120" w:type="dxa"/>
              <w:top w:w="60" w:type="dxa"/>
              <w:right w:w="120" w:type="dxa"/>
              <w:bottom w:w="30" w:type="dxa"/>
            </w:tcMar>
            <w:tcW w:w="2213" w:type="dxa"/>
            <w:vAlign w:val="center"/>
            <w:textDirection w:val="lrTb"/>
            <w:noWrap w:val="false"/>
          </w:tcPr>
          <w:p>
            <w:pPr>
              <w:jc w:val="center"/>
              <w:rPr>
                <w:rFonts w:hint="default"/>
                <w:color w:val="auto"/>
                <w:sz w:val="24"/>
                <w:szCs w:val="24"/>
                <w:lang w:val="en-US" w:eastAsia="zh-CN"/>
              </w:rPr>
            </w:pPr>
            <w:r>
              <w:rPr>
                <w:rFonts w:hint="eastAsia"/>
                <w:color w:val="auto"/>
                <w:sz w:val="24"/>
                <w:szCs w:val="24"/>
                <w:lang w:val="en-US" w:eastAsia="zh-CN"/>
              </w:rPr>
              <w:t xml:space="preserve">风机管道连接软管</w:t>
            </w:r>
            <w:r/>
          </w:p>
        </w:tc>
        <w:tc>
          <w:tcPr>
            <w:shd w:val="clear" w:color="auto" w:fill="auto"/>
            <w:tcMar>
              <w:left w:w="120" w:type="dxa"/>
              <w:top w:w="60" w:type="dxa"/>
              <w:right w:w="120" w:type="dxa"/>
              <w:bottom w:w="30" w:type="dxa"/>
            </w:tcMar>
            <w:tcW w:w="2206" w:type="dxa"/>
            <w:vAlign w:val="center"/>
            <w:textDirection w:val="lrTb"/>
            <w:noWrap w:val="false"/>
          </w:tcPr>
          <w:p>
            <w:pPr>
              <w:jc w:val="center"/>
              <w:rPr>
                <w:color w:val="auto"/>
                <w:sz w:val="24"/>
                <w:szCs w:val="24"/>
              </w:rPr>
            </w:pPr>
            <w:r>
              <w:rPr>
                <w:color w:val="auto"/>
                <w:sz w:val="24"/>
                <w:szCs w:val="24"/>
              </w:rPr>
              <w:t xml:space="preserve">各类常规规格</w:t>
            </w:r>
            <w:r/>
          </w:p>
        </w:tc>
        <w:tc>
          <w:tcPr>
            <w:tcMar>
              <w:left w:w="120" w:type="dxa"/>
              <w:top w:w="60" w:type="dxa"/>
              <w:right w:w="120" w:type="dxa"/>
              <w:bottom w:w="30" w:type="dxa"/>
            </w:tcMar>
            <w:tcW w:w="1809" w:type="dxa"/>
            <w:vAlign w:val="center"/>
            <w:textDirection w:val="lrTb"/>
            <w:noWrap w:val="false"/>
          </w:tcPr>
          <w:p>
            <w:pPr>
              <w:jc w:val="center"/>
              <w:rPr>
                <w:color w:val="auto"/>
                <w:sz w:val="24"/>
                <w:szCs w:val="24"/>
              </w:rPr>
            </w:pPr>
            <w:r>
              <w:rPr>
                <w:color w:val="auto"/>
                <w:sz w:val="24"/>
                <w:szCs w:val="24"/>
              </w:rPr>
              <w:t xml:space="preserve">国标3C认证，符合消防新规</w:t>
            </w:r>
            <w:r/>
          </w:p>
        </w:tc>
      </w:tr>
    </w:tbl>
    <w:p>
      <w:pPr>
        <w:ind w:left="0" w:right="0" w:firstLine="482"/>
        <w:jc w:val="both"/>
        <w:keepLines w:val="0"/>
        <w:keepNext w:val="0"/>
        <w:pageBreakBefore w:val="0"/>
        <w:spacing w:line="360" w:lineRule="auto"/>
        <w:widowControl w:val="off"/>
        <w:rPr>
          <w:rFonts w:hint="eastAsia" w:ascii="宋体" w:hAnsi="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eastAsia="zh-CN"/>
        </w:rPr>
        <w:t xml:space="preserve">中标人还需承担以上部分常见小额易损件消防设施故障损害的人工费、材料费、机械机具使用费、措施项目费、拆除费、安装费、规费、税金等一切费用。请投标人报价时综合考虑以上费用，结算时采购人不再另行增加费用。</w:t>
      </w:r>
      <w:r/>
    </w:p>
    <w:p>
      <w:pPr>
        <w:ind w:left="0" w:right="0" w:firstLine="480"/>
        <w:jc w:val="both"/>
        <w:keepLines w:val="0"/>
        <w:keepNext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七</w:t>
      </w:r>
      <w:r>
        <w:rPr>
          <w:rFonts w:ascii="宋体" w:hAnsi="宋体" w:eastAsia="宋体" w:cs="宋体"/>
          <w:color w:val="auto"/>
          <w:sz w:val="24"/>
        </w:rPr>
        <w:t xml:space="preserve">、维保方案要求</w:t>
      </w:r>
      <w:r/>
    </w:p>
    <w:p>
      <w:pPr>
        <w:ind w:left="0" w:right="0" w:firstLine="480"/>
        <w:jc w:val="both"/>
        <w:keepLines w:val="0"/>
        <w:keepNext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7.1</w:t>
      </w:r>
      <w:r>
        <w:rPr>
          <w:rFonts w:ascii="宋体" w:hAnsi="宋体" w:eastAsia="宋体" w:cs="宋体"/>
          <w:color w:val="auto"/>
          <w:sz w:val="24"/>
        </w:rPr>
        <w:t xml:space="preserve">维保方案</w:t>
      </w:r>
      <w:r>
        <w:rPr>
          <w:rFonts w:hint="eastAsia" w:ascii="宋体" w:hAnsi="宋体" w:cs="宋体"/>
          <w:color w:val="auto"/>
          <w:sz w:val="24"/>
          <w:lang w:val="en-US" w:eastAsia="zh-CN"/>
        </w:rPr>
        <w:t xml:space="preserve">至少</w:t>
      </w:r>
      <w:r>
        <w:rPr>
          <w:rFonts w:ascii="宋体" w:hAnsi="宋体" w:eastAsia="宋体" w:cs="宋体"/>
          <w:color w:val="auto"/>
          <w:sz w:val="24"/>
        </w:rPr>
        <w:t xml:space="preserve">包含（1）投入的主要维护保养仪器设备等配备方案；（2）维护保养内容及实施方案；（3）质量及安全保证措施；（4）突发事件应急预案（如火灾、冷冻天气、雨雪等其他突发性时间）。</w:t>
      </w:r>
      <w:r/>
    </w:p>
    <w:p>
      <w:pPr>
        <w:ind w:left="0" w:right="0" w:firstLine="480"/>
        <w:jc w:val="both"/>
        <w:keepLines w:val="0"/>
        <w:keepNext w:val="0"/>
        <w:pageBreakBefore w:val="0"/>
        <w:spacing w:line="360" w:lineRule="auto"/>
        <w:widowControl w:val="off"/>
        <w:rPr>
          <w:rFonts w:hint="eastAsia" w:ascii="宋体" w:hAnsi="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7.1.1</w:t>
      </w:r>
      <w:r>
        <w:rPr>
          <w:rFonts w:ascii="宋体" w:hAnsi="宋体" w:eastAsia="宋体" w:cs="宋体"/>
          <w:color w:val="auto"/>
          <w:sz w:val="24"/>
        </w:rPr>
        <w:t xml:space="preserve">投入的主要维护保养仪器设备等配备</w:t>
      </w:r>
      <w:r>
        <w:rPr>
          <w:rFonts w:hint="eastAsia" w:ascii="宋体" w:hAnsi="宋体" w:cs="宋体"/>
          <w:color w:val="auto"/>
          <w:sz w:val="24"/>
          <w:lang w:val="en-US" w:eastAsia="zh-CN"/>
        </w:rPr>
        <w:t xml:space="preserve">需求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投入的主要维护保养仪器设备</w:t>
      </w:r>
      <w:r>
        <w:rPr>
          <w:rFonts w:hint="eastAsia" w:ascii="宋体" w:hAnsi="宋体" w:cs="宋体"/>
          <w:color w:val="auto"/>
          <w:sz w:val="24"/>
          <w:lang w:eastAsia="zh-CN"/>
        </w:rPr>
        <w:t xml:space="preserve">方案至少包含（</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）主要维护保养仪器设备清单（仪器设备名称、数量、型号等），（</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）根据建筑消防设施分布制定详细的仪器设备</w:t>
      </w:r>
      <w:r>
        <w:rPr>
          <w:rFonts w:ascii="宋体" w:hAnsi="宋体" w:eastAsia="宋体" w:cs="宋体"/>
          <w:color w:val="auto"/>
          <w:sz w:val="24"/>
        </w:rPr>
        <w:t xml:space="preserve">配备</w:t>
      </w:r>
      <w:r>
        <w:rPr>
          <w:rFonts w:hint="eastAsia" w:ascii="宋体" w:hAnsi="宋体" w:cs="宋体"/>
          <w:color w:val="auto"/>
          <w:sz w:val="24"/>
          <w:lang w:eastAsia="zh-CN"/>
        </w:rPr>
        <w:t xml:space="preserve">方案，（</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设备校准</w:t>
      </w:r>
      <w:r>
        <w:rPr>
          <w:rFonts w:hint="eastAsia" w:ascii="宋体" w:hAnsi="宋体" w:cs="宋体"/>
          <w:color w:val="auto"/>
          <w:sz w:val="24"/>
          <w:lang w:eastAsia="zh-CN"/>
        </w:rPr>
        <w:t xml:space="preserve">和</w:t>
      </w:r>
      <w:r>
        <w:rPr>
          <w:rFonts w:hint="eastAsia" w:ascii="宋体" w:hAnsi="宋体" w:eastAsia="宋体" w:cs="宋体"/>
          <w:color w:val="auto"/>
          <w:sz w:val="24"/>
        </w:rPr>
        <w:t xml:space="preserve">维护</w:t>
      </w:r>
      <w:r>
        <w:rPr>
          <w:rFonts w:hint="eastAsia" w:ascii="宋体" w:hAnsi="宋体" w:cs="宋体"/>
          <w:color w:val="auto"/>
          <w:sz w:val="24"/>
          <w:lang w:eastAsia="zh-CN"/>
        </w:rPr>
        <w:t xml:space="preserve">方案。</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为保障本招标项目内所有消防设施正常运行、定期维护保养及故障排查，需配备齐全、专业的维护保养仪器设备，所有设备需符合国家消防相关标准，性能稳定、精度达标，能适配项目内各类消防设施（含火灾报警类、灭火系统类、防排烟类、应急疏散类等），</w:t>
      </w:r>
      <w:r>
        <w:rPr>
          <w:rFonts w:hint="eastAsia" w:ascii="宋体" w:hAnsi="宋体" w:cs="宋体"/>
          <w:color w:val="auto"/>
          <w:sz w:val="24"/>
          <w:lang w:val="en-US" w:eastAsia="zh-CN"/>
        </w:rPr>
        <w:t xml:space="preserve">详细列出</w:t>
      </w:r>
      <w:r>
        <w:rPr>
          <w:rFonts w:hint="eastAsia" w:ascii="宋体" w:hAnsi="宋体" w:eastAsia="宋体" w:cs="宋体"/>
          <w:color w:val="auto"/>
          <w:sz w:val="24"/>
        </w:rPr>
        <w:t xml:space="preserve">具体配备，涵盖设备名称、用途及适配范围，确保维护保养工作规范、高效开展。</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）主要维护保养仪器设备清单</w:t>
      </w:r>
      <w:r>
        <w:rPr>
          <w:rFonts w:hint="eastAsia" w:ascii="宋体" w:hAnsi="宋体" w:cs="宋体"/>
          <w:color w:val="auto"/>
          <w:sz w:val="24"/>
          <w:lang w:val="en-US" w:eastAsia="zh-CN"/>
        </w:rPr>
        <w:t xml:space="preserve">至少包含下列内容：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火灾报警系统检测仪</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检测探测器、模块、回路</w:t>
      </w:r>
      <w:r>
        <w:rPr>
          <w:rFonts w:hint="eastAsia" w:ascii="宋体" w:hAnsi="宋体" w:cs="宋体"/>
          <w:color w:val="auto"/>
          <w:sz w:val="24"/>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多功能消防电气检测仪</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检测电源、接地、绝缘、联动</w:t>
      </w:r>
      <w:r>
        <w:rPr>
          <w:rFonts w:hint="eastAsia" w:ascii="宋体" w:hAnsi="宋体" w:cs="宋体"/>
          <w:color w:val="auto"/>
          <w:sz w:val="24"/>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喷淋系统压力记录仪</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实时记录管网压力</w:t>
      </w:r>
      <w:r>
        <w:rPr>
          <w:rFonts w:hint="eastAsia" w:ascii="宋体" w:hAnsi="宋体" w:cs="宋体"/>
          <w:color w:val="auto"/>
          <w:sz w:val="24"/>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消火栓压力测试仪</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消火栓出水压力全检</w:t>
      </w:r>
      <w:r>
        <w:rPr>
          <w:rFonts w:hint="eastAsia" w:ascii="宋体" w:hAnsi="宋体" w:cs="宋体"/>
          <w:color w:val="auto"/>
          <w:sz w:val="24"/>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烟感</w:t>
      </w:r>
      <w:r>
        <w:rPr>
          <w:rFonts w:hint="eastAsia" w:ascii="宋体" w:hAnsi="宋体" w:cs="宋体"/>
          <w:color w:val="auto"/>
          <w:sz w:val="24"/>
          <w:lang w:val="en-US" w:eastAsia="zh-CN"/>
        </w:rPr>
        <w:t xml:space="preserve">/</w:t>
      </w:r>
      <w:r>
        <w:rPr>
          <w:rFonts w:hint="eastAsia" w:ascii="宋体" w:hAnsi="宋体" w:eastAsia="宋体" w:cs="宋体"/>
          <w:color w:val="auto"/>
          <w:sz w:val="24"/>
        </w:rPr>
        <w:t xml:space="preserve">温感探测器测试烟枪</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现场模拟报警</w:t>
      </w:r>
      <w:r>
        <w:rPr>
          <w:rFonts w:hint="eastAsia" w:ascii="宋体" w:hAnsi="宋体" w:cs="宋体"/>
          <w:color w:val="auto"/>
          <w:sz w:val="24"/>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风速风量测试仪</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检测排烟</w:t>
      </w:r>
      <w:r>
        <w:rPr>
          <w:rFonts w:hint="eastAsia" w:ascii="宋体" w:hAnsi="宋体" w:cs="宋体"/>
          <w:color w:val="auto"/>
          <w:sz w:val="24"/>
          <w:lang w:val="en-US" w:eastAsia="zh-CN"/>
        </w:rPr>
        <w:t xml:space="preserve">/</w:t>
      </w:r>
      <w:r>
        <w:rPr>
          <w:rFonts w:hint="eastAsia" w:ascii="宋体" w:hAnsi="宋体" w:eastAsia="宋体" w:cs="宋体"/>
          <w:color w:val="auto"/>
          <w:sz w:val="24"/>
        </w:rPr>
        <w:t xml:space="preserve">送风风机</w:t>
      </w:r>
      <w:r>
        <w:rPr>
          <w:rFonts w:hint="eastAsia" w:ascii="宋体" w:hAnsi="宋体" w:cs="宋体"/>
          <w:color w:val="auto"/>
          <w:sz w:val="24"/>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消防水泵综合测试仪</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启停、压力、流量、联动</w:t>
      </w:r>
      <w:r>
        <w:rPr>
          <w:rFonts w:hint="eastAsia" w:ascii="宋体" w:hAnsi="宋体" w:cs="宋体"/>
          <w:color w:val="auto"/>
          <w:sz w:val="24"/>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蓄电池检测仪</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检测备用电源</w:t>
      </w:r>
      <w:r>
        <w:rPr>
          <w:rFonts w:hint="eastAsia" w:ascii="宋体" w:hAnsi="宋体" w:cs="宋体"/>
          <w:color w:val="auto"/>
          <w:sz w:val="24"/>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红外测温仪</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检测线路、控制柜温升</w:t>
      </w:r>
      <w:r>
        <w:rPr>
          <w:rFonts w:hint="eastAsia" w:ascii="宋体" w:hAnsi="宋体" w:cs="宋体"/>
          <w:color w:val="auto"/>
          <w:sz w:val="24"/>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所有维护保养仪器设备需符合国家相关标准，具备产品合格证、检测报告，确保设备性能达标、质量可靠。所有仪器均具备国家计量院校准证书，有效期内</w:t>
      </w:r>
      <w:r>
        <w:rPr>
          <w:rFonts w:hint="eastAsia" w:ascii="宋体" w:hAnsi="宋体" w:eastAsia="宋体" w:cs="宋体"/>
          <w:color w:val="auto"/>
          <w:sz w:val="24"/>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仪器设备需适配项目内所有消防设施型号，若存在特殊型号设施，需额外配备专用检测工具，确保维护保养无遗漏。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）仪器设备配备方案（按院区分布），设备配置原则：院区独立、区域覆盖、可同时作业、不交叉、不影响医院诊疗。</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配备的设备数量需满足现场维护保养工作需求，确保不同区域、不同类型消防设施可同时开展维护检测，提高工作效率。</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设备需定期校准、维护，确保检测精度，校准记录需可追溯，不符合精度要求的设备不得用于维护保养工作。</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所有检测仪器每年</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次国家计量院校准，校准报告存档可查</w:t>
      </w:r>
      <w:r>
        <w:rPr>
          <w:rFonts w:hint="eastAsia" w:ascii="宋体" w:hAnsi="宋体" w:cs="宋体"/>
          <w:color w:val="auto"/>
          <w:sz w:val="24"/>
          <w:lang w:val="en-US"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每日班前检查、每周保养、每月校验、每年大修</w:t>
      </w:r>
      <w:r>
        <w:rPr>
          <w:rFonts w:hint="eastAsia" w:ascii="宋体" w:hAnsi="宋体" w:cs="宋体"/>
          <w:color w:val="auto"/>
          <w:sz w:val="24"/>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不合格仪器立即停用、封存、更换，严禁带病作业</w:t>
      </w:r>
      <w:r>
        <w:rPr>
          <w:rFonts w:hint="eastAsia" w:ascii="宋体" w:hAnsi="宋体" w:cs="宋体"/>
          <w:color w:val="auto"/>
          <w:sz w:val="24"/>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建立《仪器设备台账》《校准记录台账》《维护记录台账》，全程可追溯</w:t>
      </w:r>
      <w:r>
        <w:rPr>
          <w:rFonts w:hint="eastAsia" w:ascii="宋体" w:hAnsi="宋体" w:cs="宋体"/>
          <w:color w:val="auto"/>
          <w:sz w:val="24"/>
          <w:lang w:eastAsia="zh-CN"/>
        </w:rPr>
        <w:t xml:space="preserve">。</w:t>
      </w:r>
      <w:r/>
    </w:p>
    <w:p>
      <w:pPr>
        <w:ind w:left="0" w:right="0" w:firstLine="480"/>
        <w:jc w:val="both"/>
        <w:keepLines w:val="0"/>
        <w:keepNext w:val="0"/>
        <w:pageBreakBefore w:val="0"/>
        <w:spacing w:line="360" w:lineRule="auto"/>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7.1.2</w:t>
      </w:r>
      <w:r>
        <w:rPr>
          <w:rFonts w:ascii="宋体" w:hAnsi="宋体" w:eastAsia="宋体" w:cs="宋体"/>
          <w:color w:val="auto"/>
          <w:sz w:val="24"/>
        </w:rPr>
        <w:t xml:space="preserve">维护保养内容及实施方案</w:t>
      </w:r>
      <w:r/>
    </w:p>
    <w:p>
      <w:pPr>
        <w:ind w:left="0" w:right="0" w:firstLine="480"/>
        <w:jc w:val="both"/>
        <w:keepLines w:val="0"/>
        <w:keepNext w:val="0"/>
        <w:pageBreakBefore w:val="0"/>
        <w:spacing w:before="0" w:after="0" w:line="360" w:lineRule="auto"/>
        <w:widowControl w:val="off"/>
        <w:rPr>
          <w:rFonts w:hint="eastAsia" w:ascii="宋体" w:hAnsi="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lang w:eastAsia="zh-CN"/>
        </w:rPr>
        <w:t xml:space="preserve">维护保养内容</w:t>
      </w:r>
      <w:r>
        <w:rPr>
          <w:rFonts w:hint="eastAsia" w:ascii="宋体" w:hAnsi="宋体" w:cs="宋体"/>
          <w:b w:val="0"/>
          <w:bCs/>
          <w:color w:val="auto"/>
          <w:sz w:val="24"/>
          <w:lang w:val="en-US" w:eastAsia="zh-CN"/>
        </w:rPr>
        <w:t xml:space="preserve">详见本项目需求第二条</w:t>
      </w:r>
      <w:r>
        <w:rPr>
          <w:rFonts w:hint="eastAsia" w:ascii="宋体" w:hAnsi="宋体" w:cs="宋体"/>
          <w:b w:val="0"/>
          <w:bCs/>
          <w:color w:val="auto"/>
          <w:sz w:val="24"/>
          <w:lang w:eastAsia="zh-CN"/>
        </w:rPr>
        <w:t xml:space="preserve">建筑消防设施维护保养内容和周期。至少包含：（</w:t>
      </w:r>
      <w:r>
        <w:rPr>
          <w:rFonts w:hint="eastAsia" w:ascii="宋体" w:hAnsi="宋体" w:cs="宋体"/>
          <w:b w:val="0"/>
          <w:bCs/>
          <w:color w:val="auto"/>
          <w:sz w:val="24"/>
          <w:lang w:val="en-US" w:eastAsia="zh-CN"/>
        </w:rPr>
        <w:t xml:space="preserve">1</w:t>
      </w:r>
      <w:r>
        <w:rPr>
          <w:rFonts w:hint="eastAsia" w:ascii="宋体" w:hAnsi="宋体" w:cs="宋体"/>
          <w:b w:val="0"/>
          <w:bCs/>
          <w:color w:val="auto"/>
          <w:sz w:val="24"/>
          <w:lang w:eastAsia="zh-CN"/>
        </w:rPr>
        <w:t xml:space="preserve">）维护保养内容阐述，（</w:t>
      </w:r>
      <w:r>
        <w:rPr>
          <w:rFonts w:hint="eastAsia" w:ascii="宋体" w:hAnsi="宋体" w:cs="宋体"/>
          <w:b w:val="0"/>
          <w:bCs/>
          <w:color w:val="auto"/>
          <w:sz w:val="24"/>
          <w:lang w:val="en-US" w:eastAsia="zh-CN"/>
        </w:rPr>
        <w:t xml:space="preserve">2</w:t>
      </w:r>
      <w:r>
        <w:rPr>
          <w:rFonts w:hint="eastAsia" w:ascii="宋体" w:hAnsi="宋体" w:cs="宋体"/>
          <w:b w:val="0"/>
          <w:bCs/>
          <w:color w:val="auto"/>
          <w:sz w:val="24"/>
          <w:lang w:eastAsia="zh-CN"/>
        </w:rPr>
        <w:t xml:space="preserve">）</w:t>
      </w:r>
      <w:r>
        <w:rPr>
          <w:rFonts w:ascii="宋体" w:hAnsi="宋体" w:eastAsia="宋体" w:cs="宋体"/>
          <w:color w:val="auto"/>
          <w:sz w:val="24"/>
        </w:rPr>
        <w:t xml:space="preserve">维护保养</w:t>
      </w:r>
      <w:r>
        <w:rPr>
          <w:rFonts w:hint="eastAsia" w:ascii="宋体" w:hAnsi="宋体" w:cs="宋体"/>
          <w:color w:val="auto"/>
          <w:sz w:val="24"/>
          <w:lang w:eastAsia="zh-CN"/>
        </w:rPr>
        <w:t xml:space="preserve">工作流程，（</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ascii="宋体" w:hAnsi="宋体" w:eastAsia="宋体" w:cs="宋体"/>
          <w:color w:val="auto"/>
          <w:sz w:val="24"/>
        </w:rPr>
        <w:t xml:space="preserve">维护保养</w:t>
      </w:r>
      <w:r>
        <w:rPr>
          <w:rFonts w:hint="eastAsia" w:ascii="宋体" w:hAnsi="宋体" w:cs="宋体"/>
          <w:color w:val="auto"/>
          <w:sz w:val="24"/>
          <w:lang w:eastAsia="zh-CN"/>
        </w:rPr>
        <w:t xml:space="preserve">周期，（</w:t>
      </w: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w:t>
      </w:r>
      <w:r>
        <w:rPr>
          <w:rFonts w:ascii="宋体" w:hAnsi="宋体" w:eastAsia="宋体" w:cs="宋体"/>
          <w:color w:val="auto"/>
          <w:sz w:val="24"/>
        </w:rPr>
        <w:t xml:space="preserve">维护保养</w:t>
      </w:r>
      <w:r>
        <w:rPr>
          <w:rFonts w:hint="eastAsia" w:ascii="宋体" w:hAnsi="宋体" w:cs="宋体"/>
          <w:color w:val="auto"/>
          <w:sz w:val="24"/>
          <w:lang w:eastAsia="zh-CN"/>
        </w:rPr>
        <w:t xml:space="preserve">工作实施细则。</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（1）维护保养内容阐述</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1</w:t>
      </w:r>
      <w:r>
        <w:rPr>
          <w:rFonts w:hint="eastAsia" w:ascii="宋体" w:hAnsi="宋体" w:eastAsia="宋体" w:cs="宋体"/>
          <w:b w:val="0"/>
          <w:bCs/>
          <w:color w:val="auto"/>
          <w:sz w:val="24"/>
          <w:szCs w:val="21"/>
          <w:lang w:val="en-US" w:eastAsia="zh-CN" w:bidi="ar-SA"/>
        </w:rPr>
        <w:t xml:space="preserve">）</w:t>
      </w:r>
      <w:r>
        <w:rPr>
          <w:rFonts w:hint="eastAsia" w:ascii="宋体" w:hAnsi="宋体" w:eastAsia="宋体" w:cs="宋体"/>
          <w:b w:val="0"/>
          <w:bCs/>
          <w:color w:val="auto"/>
          <w:sz w:val="24"/>
          <w:szCs w:val="21"/>
          <w:lang w:val="en-US" w:eastAsia="zh-CN" w:bidi="ar-SA"/>
        </w:rPr>
        <w:t xml:space="preserve">消防电源及供配电系统</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主备电源切换、配电柜清洁、接线紧固、接地检查</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自备发电机：每月试运行、燃油 / 机油 / 冷却液检查、蓄电池充电</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应急电源：充放电、电压、应急转换测试</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2</w:t>
      </w:r>
      <w:r>
        <w:rPr>
          <w:rFonts w:hint="eastAsia" w:ascii="宋体" w:hAnsi="宋体" w:eastAsia="宋体" w:cs="宋体"/>
          <w:b w:val="0"/>
          <w:bCs/>
          <w:color w:val="auto"/>
          <w:sz w:val="24"/>
          <w:szCs w:val="21"/>
          <w:lang w:val="en-US" w:eastAsia="zh-CN" w:bidi="ar-SA"/>
        </w:rPr>
        <w:t xml:space="preserve">）</w:t>
      </w:r>
      <w:r>
        <w:rPr>
          <w:rFonts w:hint="eastAsia" w:ascii="宋体" w:hAnsi="宋体" w:eastAsia="宋体" w:cs="宋体"/>
          <w:b w:val="0"/>
          <w:bCs/>
          <w:color w:val="auto"/>
          <w:sz w:val="24"/>
          <w:szCs w:val="21"/>
          <w:lang w:val="en-US" w:eastAsia="zh-CN" w:bidi="ar-SA"/>
        </w:rPr>
        <w:t xml:space="preserve">火灾自动报警系统</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控制器：外观、点位、回路、主备电、报警 / 故障 / 自检 / 消声 / 复位全功能。</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探测器：烟感、温感，10%月检、全年全检。</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手报、消火栓按钮、声光、模块、消防电话、应急广播、CRT 联动全检。</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3</w:t>
      </w:r>
      <w:r>
        <w:rPr>
          <w:rFonts w:hint="eastAsia" w:ascii="宋体" w:hAnsi="宋体" w:eastAsia="宋体" w:cs="宋体"/>
          <w:b w:val="0"/>
          <w:bCs/>
          <w:color w:val="auto"/>
          <w:sz w:val="24"/>
          <w:szCs w:val="21"/>
          <w:lang w:val="en-US" w:eastAsia="zh-CN" w:bidi="ar-SA"/>
        </w:rPr>
        <w:t xml:space="preserve">）</w:t>
      </w:r>
      <w:r>
        <w:rPr>
          <w:rFonts w:hint="eastAsia" w:ascii="宋体" w:hAnsi="宋体" w:eastAsia="宋体" w:cs="宋体"/>
          <w:b w:val="0"/>
          <w:bCs/>
          <w:color w:val="auto"/>
          <w:sz w:val="24"/>
          <w:szCs w:val="21"/>
          <w:lang w:val="en-US" w:eastAsia="zh-CN" w:bidi="ar-SA"/>
        </w:rPr>
        <w:t xml:space="preserve">自动喷水灭火系统</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喷淋泵、稳压泵、管网、湿式报警阀、喷头、水流指示器全检。</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管网压力24小时监测、72小时稳压试验、喷头完好率100%。</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4</w:t>
      </w:r>
      <w:r>
        <w:rPr>
          <w:rFonts w:hint="eastAsia" w:ascii="宋体" w:hAnsi="宋体" w:eastAsia="宋体" w:cs="宋体"/>
          <w:b w:val="0"/>
          <w:bCs/>
          <w:color w:val="auto"/>
          <w:sz w:val="24"/>
          <w:szCs w:val="21"/>
          <w:lang w:val="en-US" w:eastAsia="zh-CN" w:bidi="ar-SA"/>
        </w:rPr>
        <w:t xml:space="preserve">）</w:t>
      </w:r>
      <w:r>
        <w:rPr>
          <w:rFonts w:hint="eastAsia" w:ascii="宋体" w:hAnsi="宋体" w:eastAsia="宋体" w:cs="宋体"/>
          <w:b w:val="0"/>
          <w:bCs/>
          <w:color w:val="auto"/>
          <w:sz w:val="24"/>
          <w:szCs w:val="21"/>
          <w:lang w:val="en-US" w:eastAsia="zh-CN" w:bidi="ar-SA"/>
        </w:rPr>
        <w:t xml:space="preserve">消火栓系统</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室内消火栓、室外消火栓、水带枪头、水压全检。</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5</w:t>
      </w:r>
      <w:r>
        <w:rPr>
          <w:rFonts w:hint="eastAsia" w:ascii="宋体" w:hAnsi="宋体" w:eastAsia="宋体" w:cs="宋体"/>
          <w:b w:val="0"/>
          <w:bCs/>
          <w:color w:val="auto"/>
          <w:sz w:val="24"/>
          <w:szCs w:val="21"/>
          <w:lang w:val="en-US" w:eastAsia="zh-CN" w:bidi="ar-SA"/>
        </w:rPr>
        <w:t xml:space="preserve">）</w:t>
      </w:r>
      <w:r>
        <w:rPr>
          <w:rFonts w:hint="eastAsia" w:ascii="宋体" w:hAnsi="宋体" w:eastAsia="宋体" w:cs="宋体"/>
          <w:b w:val="0"/>
          <w:bCs/>
          <w:color w:val="auto"/>
          <w:sz w:val="24"/>
          <w:szCs w:val="21"/>
          <w:lang w:val="en-US" w:eastAsia="zh-CN" w:bidi="ar-SA"/>
        </w:rPr>
        <w:t xml:space="preserve">防排烟系统</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正压风机 、排烟风机、风口/阀门/联动全检。</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6</w:t>
      </w:r>
      <w:r>
        <w:rPr>
          <w:rFonts w:hint="eastAsia" w:ascii="宋体" w:hAnsi="宋体" w:eastAsia="宋体" w:cs="宋体"/>
          <w:b w:val="0"/>
          <w:bCs/>
          <w:color w:val="auto"/>
          <w:sz w:val="24"/>
          <w:szCs w:val="21"/>
          <w:lang w:val="en-US" w:eastAsia="zh-CN" w:bidi="ar-SA"/>
        </w:rPr>
        <w:t xml:space="preserve">）</w:t>
      </w:r>
      <w:r>
        <w:rPr>
          <w:rFonts w:hint="eastAsia" w:ascii="宋体" w:hAnsi="宋体" w:eastAsia="宋体" w:cs="宋体"/>
          <w:b w:val="0"/>
          <w:bCs/>
          <w:color w:val="auto"/>
          <w:sz w:val="24"/>
          <w:szCs w:val="21"/>
          <w:lang w:val="en-US" w:eastAsia="zh-CN" w:bidi="ar-SA"/>
        </w:rPr>
        <w:t xml:space="preserve">应急照明疏散指示</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疏散指示灯、应急灯，90 分钟续航、每月充放电。</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7</w:t>
      </w:r>
      <w:r>
        <w:rPr>
          <w:rFonts w:hint="eastAsia" w:ascii="宋体" w:hAnsi="宋体" w:eastAsia="宋体" w:cs="宋体"/>
          <w:b w:val="0"/>
          <w:bCs/>
          <w:color w:val="auto"/>
          <w:sz w:val="24"/>
          <w:szCs w:val="21"/>
          <w:lang w:val="en-US" w:eastAsia="zh-CN" w:bidi="ar-SA"/>
        </w:rPr>
        <w:t xml:space="preserve">）</w:t>
      </w:r>
      <w:r>
        <w:rPr>
          <w:rFonts w:hint="eastAsia" w:ascii="宋体" w:hAnsi="宋体" w:eastAsia="宋体" w:cs="宋体"/>
          <w:b w:val="0"/>
          <w:bCs/>
          <w:color w:val="auto"/>
          <w:sz w:val="24"/>
          <w:szCs w:val="21"/>
          <w:lang w:val="en-US" w:eastAsia="zh-CN" w:bidi="ar-SA"/>
        </w:rPr>
        <w:t xml:space="preserve">防火分隔、气体灭火、消防电梯、电气火灾监控、灭火器</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全覆盖、逐项、逐条维保。</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（2）维护保养工作流程</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每日：院区巡查、设备状态记录、隐患上报、现场处理。</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每周：全院巡查、重点设备测试、记录签字。</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每月：系统功能测试、10%点位抽检、台账更新。</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每季度：电源、风机、阀门、联动测试。</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每半年：全面检测、系统联动、出具检测报告。</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每年：全系统年检、专项测试、档案归档。</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（3）维护保养周期：完全响应招标文件项目需求第二条周期表，逐条执行、不漏项、不缩水。</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（4）实施细则</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每日：2 名持证人员驻院，分区巡查。</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每月：项目负责人带队抽检，形成月报。</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每半年：具备资质的单位出具正式检测报告。</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所有维保拍照留痕、视频记录、签字确认、台账归档。</w:t>
      </w:r>
      <w:r/>
    </w:p>
    <w:p>
      <w:pPr>
        <w:pStyle w:val="796"/>
        <w:ind w:right="0" w:firstLine="480"/>
        <w:keepLines w:val="0"/>
        <w:keepNext w:val="0"/>
        <w:pageBreakBefore w:val="0"/>
        <w:spacing w:line="360" w:lineRule="auto"/>
        <w:rPr>
          <w:rFonts w:hint="eastAsia" w:ascii="宋体" w:hAnsi="宋体" w:eastAsia="宋体" w:cs="宋体"/>
          <w:b w:val="0"/>
          <w:bCs/>
          <w:color w:val="auto"/>
          <w:sz w:val="24"/>
          <w:szCs w:val="21"/>
          <w:lang w:val="en-US" w:eastAsia="zh-CN" w:bidi="ar-SA"/>
        </w:rPr>
      </w:pPr>
      <w:r>
        <w:rPr>
          <w:rFonts w:hint="eastAsia" w:ascii="宋体" w:hAnsi="宋体" w:eastAsia="宋体" w:cs="宋体"/>
          <w:b w:val="0"/>
          <w:bCs/>
          <w:color w:val="auto"/>
          <w:sz w:val="24"/>
          <w:szCs w:val="21"/>
          <w:lang w:val="en-US" w:eastAsia="zh-CN" w:bidi="ar-SA"/>
        </w:rPr>
        <w:t xml:space="preserve">隐蔽工程：先报验、留影像、再覆盖，缺一不可。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7.1.3质量及安全保证措施，至少包含：（1）项目目标阐述；（2）质量保证措施，（3）安全保证措施。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7.1.3.1 项目目标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（1）质量目标：通过标准化、精细化维保，确保建筑消防设施各项性能指标符合国家、行业及地方标准，设施完好率100%，故障处置及时率100%，年度检测合格率100%，杜绝虚假维保、走过场式维保行为。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全目标：维保作业全程零安全事故（包括人身伤害、设备损坏、火灾隐患等），隐患整改闭环率100%，建立完善的安全管控体系和应急处置机制，防范维保过程中各类安全风险，确保建筑使用人员及维保人员人身安全、财产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理目标：建立规范的维保台账、质量追溯体系和安全管理制度，实现维保工作全程留痕、可查可核，维保档案保管期限符合规范要求（不少于10年），提升建筑消防设施运维管理水平，满足消防监督检查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消防设施外观完好，无破损、无锈蚀、无泄漏，标识清晰、完整，安装牢固，符合安装规范要求；隐蔽工程需“先报验、留影像、再覆盖”，照片、视频、验收单缺一不可，经采购人签字确认后方可封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（5）火灾自动报警系统：控制器主备电切换正常，指示灯状态正常（无故障、火警常亮），探测器报警准确、响应及时，误报率不超过5%，回路负载测试无死机、漏报现象。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（6）自动喷水灭火系统：管网压力稳定符合规范要求，无渗漏、无堵塞，喷淋泵、稳压泵启停正常，湿式报警阀报警准确、信号反馈及时，喷头无破损、无遮挡、间距合规，72小时持续稳压试验合格。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防排烟系统：风机手动、自动启停正常，运行无异常噪音、转速正常，防火阀、排烟阀启闭灵活、密封严密，联动测试时，火灾报警后对应区域排烟口自动开启、风机启动，信号反馈至消防主机，风道无堵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（8）应急照明和疏散指示系统：应急照明点亮时长不低于90分钟，亮度达标，疏散指示标志方向正确、无遮挡，每月进行一次充放电试验，确保完好有效。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设施：消火栓系统供水正常，水带、水枪齐全完好，水压达标；消防电梯联动正常，能准确停靠首层；防火门、防火卷帘启闭灵活，联动响应符合要求；灭火器配置齐全、压力充足，无过期、破损现象；气体灭火系统联动正常，延时功能、信号反馈符合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（10）维保过程严格遵循《建筑消防设施维护保养技术规程》和《建筑消防设施检测技术规程》等规范，确保每一项维保工作符合标准，全程可追溯。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7.1.3.2质量保证措施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严格遵循国家、省、市现行消防规范、标准、规程执行维保服务。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所有维保工作必须标准化、规范化、精细化、痕迹化，做到全过程可追溯、可核查、可问责。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维保服务质量必须满足100%合规、100%完好、100%可靠、100%达标，确保消防设施始终处于正常运行状态，满足医院消防安全及消防监督检查要求。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严禁虚假维保、走过场、记录造假、漏项缺项、擅自降低标准、擅自改动系统参数。一经发现，采购人有权立即终止合同、没收履约保证金、列入黑名单、上报主管部门。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（2）质量管理制度（必须建立、上墙、可查）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质量责任制：项目负责人、技术员、维保人员分级质量责任，责任到人、到岗、到工序。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三级质量检查制度：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一级：维保人员每日自检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二级：项目负责人每周巡检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三级：采购人每月抽检、每半年全检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质量追溯制度：所有维保、检测、维修、更换全程留痕、拍照、录像、签字、归档，档案保存≥10 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质量例会制度：每月召开质量分析会，通报问题、整改闭环、持续改进。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质量奖惩制度：质量达标奖励，弄虚作假、质量问题严肃追责、扣款直至终止合同。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不合格项：立即整改、复查、闭环。</w:t>
      </w: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（3）维保过程质量控制</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val="0"/>
          <w:bCs w:val="0"/>
          <w:color w:val="000000"/>
          <w:sz w:val="24"/>
        </w:rPr>
        <w:t xml:space="preserve">①</w:t>
      </w:r>
      <w:r>
        <w:rPr>
          <w:rFonts w:ascii="SimSun" w:hAnsi="SimSun" w:eastAsia="SimSun" w:cs="SimSun"/>
          <w:b w:val="0"/>
          <w:bCs w:val="0"/>
          <w:color w:val="000000"/>
          <w:sz w:val="24"/>
        </w:rPr>
        <w:t xml:space="preserve">维保人员质量要求</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所有维保人员持证上岗，人证一致、在岗在位。</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人员稳定，不得随意更换，更换须提前 7 天书面报备并经采购人同意。</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上岗前必须培训、交底、考核合格。</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val="0"/>
          <w:bCs w:val="0"/>
          <w:color w:val="000000"/>
          <w:sz w:val="24"/>
        </w:rPr>
        <w:t xml:space="preserve">②</w:t>
      </w:r>
      <w:r>
        <w:rPr>
          <w:rFonts w:ascii="SimSun" w:hAnsi="SimSun" w:eastAsia="SimSun" w:cs="SimSun"/>
          <w:b w:val="0"/>
          <w:bCs w:val="0"/>
          <w:color w:val="000000"/>
          <w:sz w:val="24"/>
        </w:rPr>
        <w:t xml:space="preserve">仪器设备质量要求</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维保、检测仪器必须符合国家计量标准，每年强制校准，校准证书齐全有效。</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仪器性能稳定、精度达标，不合格仪器严禁使用。</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仪器台账、校准记录、维护记录全程可追溯。</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val="0"/>
          <w:bCs w:val="0"/>
          <w:color w:val="000000"/>
          <w:sz w:val="24"/>
        </w:rPr>
        <w:t xml:space="preserve">③</w:t>
      </w:r>
      <w:r>
        <w:rPr>
          <w:rFonts w:ascii="SimSun" w:hAnsi="SimSun" w:eastAsia="SimSun" w:cs="SimSun"/>
          <w:b w:val="0"/>
          <w:bCs w:val="0"/>
          <w:color w:val="000000"/>
          <w:sz w:val="24"/>
        </w:rPr>
        <w:t xml:space="preserve">维保内容质量要求</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严格按照招标文件维保周期、内容逐项、逐条、全覆盖执行，不得缺项、漏项、缩水。</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每日巡查、每周巡检、每月抽检、每半年全检必须真实到位。</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隐蔽工程严格执行先报验、留影像、再覆盖，照片、视频、验收单缺一不可，采购人签字确认后方可封闭。</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系统测试、联动试验、压力试验、充放电试验必须现场实际操作、数据真实。</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val="0"/>
          <w:bCs w:val="0"/>
          <w:color w:val="000000"/>
          <w:sz w:val="24"/>
        </w:rPr>
        <w:t xml:space="preserve">④</w:t>
      </w:r>
      <w:r>
        <w:rPr>
          <w:rFonts w:ascii="SimSun" w:hAnsi="SimSun" w:eastAsia="SimSun" w:cs="SimSun"/>
          <w:b w:val="0"/>
          <w:bCs w:val="0"/>
          <w:color w:val="000000"/>
          <w:sz w:val="24"/>
        </w:rPr>
        <w:t xml:space="preserve">材料配件质量要求</w:t>
      </w:r>
      <w:r>
        <w:rPr>
          <w:b w:val="0"/>
          <w:bCs w:val="0"/>
        </w:rPr>
      </w:r>
    </w:p>
    <w:p>
      <w:pPr>
        <w:ind w:left="0" w:right="0" w:firstLine="0"/>
        <w:spacing w:before="240" w:after="24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所有更换配件、材料必须项目需求及采购人要求，严禁假冒伪劣、三无产品、翻新件。</w:t>
      </w:r>
      <w:r>
        <w:rPr>
          <w:b w:val="0"/>
          <w:bCs w:val="0"/>
        </w:rP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易损件提前备货、足量库存，确保故障快速更换。</w:t>
      </w:r>
      <w:r>
        <w:rPr>
          <w:b w:val="0"/>
          <w:bCs w:val="0"/>
        </w:rP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更换材料台账清晰、型号规格匹配、合格证齐全、可追溯。</w:t>
      </w:r>
      <w:r>
        <w:rPr>
          <w:b w:val="0"/>
          <w:bCs w:val="0"/>
        </w:rP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val="0"/>
          <w:bCs w:val="0"/>
          <w:color w:val="000000"/>
          <w:sz w:val="24"/>
        </w:rPr>
        <w:t xml:space="preserve">⑤</w:t>
      </w:r>
      <w:r>
        <w:rPr>
          <w:rFonts w:ascii="SimSun" w:hAnsi="SimSun" w:eastAsia="SimSun" w:cs="SimSun"/>
          <w:b w:val="0"/>
          <w:bCs w:val="0"/>
          <w:color w:val="000000"/>
          <w:sz w:val="24"/>
        </w:rPr>
        <w:t xml:space="preserve">记录报告质量要求</w:t>
      </w:r>
      <w:r>
        <w:rPr>
          <w:b w:val="0"/>
          <w:bCs w:val="0"/>
        </w:rP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维保记录、检测记录、维修记录、故障记录、影像资料真实、完整、规范、签字齐全。</w:t>
      </w:r>
      <w:r>
        <w:rPr>
          <w:b w:val="0"/>
          <w:bCs w:val="0"/>
        </w:rP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每月提交《维保月报》，每半年提交具备资质的第三方检测报告。</w:t>
      </w:r>
      <w:r>
        <w:rPr>
          <w:b w:val="0"/>
          <w:bCs w:val="0"/>
        </w:rP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报告数据真实、结论准确、问题整改闭环。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7.1.3.3安全保证措施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严格遵守国家、省、市安全生产、消防安全各项法律、法规、规范、标准。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坚持安全第一、预防为主、综合治理原则，建立全员、全过程、全区域、全天候安全管理体系，确保维保期间零安全事故、零火灾隐患、零人员伤害、零设备损坏、零医疗秩序干扰。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所有维保作业必须服从医院安全管理制度、院区管理规定、感染控制要求及诊疗秩序，严禁影响正常医疗活动、患者安全、医护工作。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中标单位对维保全过程负全部安全主体责任，包括人身、设备、财产、火灾、触电、高空、坠落、机械、触电、中毒、感染、医疗秩序等一切安全风险。</w:t>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val="0"/>
          <w:bCs w:val="0"/>
          <w:color w:val="000000"/>
          <w:sz w:val="24"/>
        </w:rPr>
        <w:t xml:space="preserve">①</w:t>
      </w:r>
      <w:r>
        <w:rPr>
          <w:rFonts w:ascii="SimSun" w:hAnsi="SimSun" w:eastAsia="SimSun" w:cs="SimSun"/>
          <w:b w:val="0"/>
          <w:bCs w:val="0"/>
          <w:color w:val="000000"/>
          <w:sz w:val="24"/>
        </w:rPr>
        <w:t xml:space="preserve">安全组织架构</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设立项目安全负责人1名，专职负责安全管理，持证上岗。</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各院区、班组设专职安全员，实行一岗双责。</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建立项目经理→安全负责人→安全员→作业人员四级安全责任制，责任到人、到岗、到工序。</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val="0"/>
          <w:bCs w:val="0"/>
          <w:color w:val="000000"/>
          <w:sz w:val="24"/>
        </w:rPr>
        <w:t xml:space="preserve">②</w:t>
      </w:r>
      <w:r>
        <w:rPr>
          <w:rFonts w:ascii="SimSun" w:hAnsi="SimSun" w:eastAsia="SimSun" w:cs="SimSun"/>
          <w:b w:val="0"/>
          <w:bCs w:val="0"/>
          <w:color w:val="000000"/>
          <w:sz w:val="24"/>
        </w:rPr>
        <w:t xml:space="preserve">安全管理制度（必须上墙、可查、可追溯）</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安全生产责任制</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安全技术交底制度</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作业许可制度（动火/高处/受限/带电）</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安全培训教育制度</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安全巡查检查制度</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隐患排查整改制度</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设备安全管理制度</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劳动保护制度</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医院院区安全管理制度</w:t>
      </w:r>
      <w:r>
        <w:rPr>
          <w:b w:val="0"/>
          <w:bCs w:val="0"/>
        </w:rPr>
      </w:r>
      <w:r/>
    </w:p>
    <w:p>
      <w:pPr>
        <w:ind w:left="0" w:right="0" w:firstLine="48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作业前：安全交底、风险评估、设警示。</w:t>
      </w:r>
      <w:r>
        <w:rPr>
          <w:b w:val="0"/>
          <w:bCs w:val="0"/>
        </w:rPr>
      </w:r>
      <w:r/>
    </w:p>
    <w:p>
      <w:pPr>
        <w:ind w:left="0" w:right="0" w:firstLine="48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作业中：断电挂牌、专人监护、避免影响诊疗。</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val="0"/>
          <w:bCs w:val="0"/>
          <w:color w:val="000000"/>
          <w:sz w:val="24"/>
        </w:rPr>
        <w:t xml:space="preserve">③</w:t>
      </w:r>
      <w:r>
        <w:rPr>
          <w:rFonts w:ascii="SimSun" w:hAnsi="SimSun" w:eastAsia="SimSun" w:cs="SimSun"/>
          <w:b w:val="0"/>
          <w:bCs w:val="0"/>
          <w:color w:val="000000"/>
          <w:sz w:val="24"/>
        </w:rPr>
        <w:t xml:space="preserve">安全培训与交底</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所有维保人员岗前安全培训+医院安全专项培训+感染防控培训，考核合格方可上岗。</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每日班前安全交底，明确当天作业风险、防护措施、禁行区域、医疗避让要求。</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每月组织安全专题培训+应急演练，每年不少于2次。</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培训、交底全程记录、签字存档、可追溯。</w:t>
      </w:r>
      <w:r>
        <w:rPr>
          <w:b w:val="0"/>
          <w:bCs w:val="0"/>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7.1.4突发事件应急预案（如火灾、冷冻天气、雨雪等其他突发性事件），至少包含（1）突发事件应急预案制度、组织架构，（2）突发事件应急防范能力、物资配备，（3）风险预判、防范措施。</w:t>
      </w:r>
      <w:r/>
    </w:p>
    <w:p>
      <w:pPr>
        <w:ind w:left="0" w:right="0" w:firstLine="482"/>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（1）突发事件应急预案制度、组织架构</w:t>
      </w:r>
      <w:r>
        <w:rPr>
          <w:b w:val="0"/>
          <w:bCs w:val="0"/>
        </w:rP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建立统一指挥、分级负责、快速响应、联动处置的应急管理制度，明确应急管理职责、响应流程、处置权限、信息报送、复盘改进等全流程要求。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实行24小时应急值守制度，设立应急值班电话，确保全天候通讯畅通，突发事件发生后不迟于5分钟响应、10分钟到场、快速处置。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制定应急预案培训、演练、修订制度，定期组织培训演练，每年不少于2次综合演练、每月专项演练，确保预案可落地、可操作、可执行。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建立应急台账管理制度，所有突发事件的预警、处置、复盘、整改均全程记录、存档备查、可追溯。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应急组织架构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成立医院消防维保突发事件应急指挥部，实行总指挥负责制，下设 5 个专项工作组，分工明确、责任到人：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总指挥（项目负责人）：全面负责应急指挥、决策、调度，统筹全院应急处置工作。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技术抢修组：由持证维保技术人员组成，负责消防设施故障排查、紧急抢修、系统恢复。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现场处置组：负责现场警戒、人员疏散、隐患控制、初期火情处置。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联络协调组：负责对接医院保卫处、消防救援机构、应急管理部门、医疗科室，信息报送、联动沟通。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后勤保障组：负责应急物资调配、设备支援、后勤保障、善后处理。</w:t>
      </w:r>
      <w:r/>
    </w:p>
    <w:p>
      <w:pPr>
        <w:ind w:left="0" w:right="0" w:firstLine="482"/>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（2）突发事件应急防范能力、物资配备</w:t>
      </w:r>
      <w:r>
        <w:rPr>
          <w:b w:val="0"/>
          <w:bCs w:val="0"/>
        </w:rP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①</w:t>
      </w:r>
      <w:r>
        <w:rPr>
          <w:rFonts w:ascii="SimSun" w:hAnsi="SimSun" w:eastAsia="SimSun" w:cs="SimSun"/>
          <w:color w:val="000000"/>
          <w:sz w:val="24"/>
        </w:rPr>
        <w:t xml:space="preserve">建立一套覆盖全面、可操作性强的消防设施维保突发事件应急预案，涵盖火灾、冷冻天气、雨雪等各类常见及突发场景，明确处置流程、责任分工及技术标准。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②</w:t>
      </w:r>
      <w:r>
        <w:rPr>
          <w:rFonts w:ascii="SimSun" w:hAnsi="SimSun" w:eastAsia="SimSun" w:cs="SimSun"/>
          <w:color w:val="000000"/>
          <w:sz w:val="24"/>
        </w:rPr>
        <w:t xml:space="preserve">规范突发事件的预警、响应、处置、善后全流程，确保突发情况发生时，维保团队能够快速响应、科学处置，最大限度减少人员伤亡、财产损失及设施损坏。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③</w:t>
      </w:r>
      <w:r>
        <w:rPr>
          <w:rFonts w:ascii="SimSun" w:hAnsi="SimSun" w:eastAsia="SimSun" w:cs="SimSun"/>
          <w:color w:val="000000"/>
          <w:sz w:val="24"/>
        </w:rPr>
        <w:t xml:space="preserve">明确各参与方（维保单位、使用单位、消防部门、应急救援机构等）的协作机制，确保信息传递畅通、处置联动高效。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④</w:t>
      </w:r>
      <w:r>
        <w:rPr>
          <w:rFonts w:ascii="SimSun" w:hAnsi="SimSun" w:eastAsia="SimSun" w:cs="SimSun"/>
          <w:color w:val="000000"/>
          <w:sz w:val="24"/>
        </w:rPr>
        <w:t xml:space="preserve">通过应急预案的落地及常态化演练，提升维保团队的应急处置能力、风险防范意识，确保消防设施在突发情况下仍能发挥最大防护作用。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⑤符合国家及地方消防法律法规、行业标准，确保应急预案的合规性、科学性和实用性。</w:t>
      </w:r>
      <w:r/>
    </w:p>
    <w:p>
      <w:pPr>
        <w:numPr>
          <w:ilvl w:val="0"/>
          <w:numId w:val="7"/>
        </w:numPr>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风险预判、防范要求</w:t>
      </w:r>
      <w:r>
        <w:rPr>
          <w:b w:val="0"/>
          <w:bCs w:val="0"/>
        </w:rP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（一）火灾突发事件</w:t>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风险预判：维保作业动火、电气短路、线路老化、病区火源、设备过热、违规操作等易引发火灾。</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防范措施：</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严格执行动火审批制度，动火前清理可燃物、配足灭火器材、专人监护；</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每日巡查电气线路、控制柜，杜绝私拉1乱接、违规用电；</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严禁在病区、手术室、ICU、药房等区域吸烟、动火；</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维保期间全程监控，发现火情立即处置、上报。</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（二）冷冻天气突发事件</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风险预判：低温导致消防水管、喷淋管网冻裂、阀门冻住、水泵无法启动、管网漏水。</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防范措施：</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入冬前对室外管道、阀门、水泵房包裹保温棉、加装伴热带；</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每日巡查防冻设施，低温时段增加巡检频次；</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提前排空闲置管道积水，储备防冻剂、保温材料；</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制定低温应急抢修方案，冻裂后快速止水、抢修。</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（三）雨雪突发事件</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风险预判：暴雨积水淹没泵房、配电室、消防设施；雨雪打滑引发高空坠落、人员摔伤；室外设备受潮短路。</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防范措施：</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雨季前检查排水系统、泵房防水、配电室防潮；</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暴雨前关闭室外设备电源、覆盖防雨布；</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雨雪天气暂停高空、室外作业，现场铺设防滑垫；</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雨后排查设备受潮、积水情况，及时除湿、修复。</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（四）消防设施大面积故障</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风险预判：控制器死机、回路故障、水泵停运、喷淋管网爆管、应急电源失效。</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防范措施：</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每日巡检核心设备，定期备份系统数据；</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储备核心备件，故障后快速更换、复位；</w:t>
      </w:r>
      <w:r>
        <w:rPr>
          <w:b w:val="0"/>
          <w:bCs w:val="0"/>
        </w:rPr>
      </w:r>
      <w:r/>
    </w:p>
    <w:p>
      <w:pPr>
        <w:ind w:left="0" w:right="0" w:firstLine="480"/>
        <w:spacing w:before="240" w:after="24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建立系统冗余机制，关键设备一用一备；</w:t>
      </w:r>
      <w:r>
        <w:rPr>
          <w:b w:val="0"/>
          <w:bCs w:val="0"/>
        </w:rPr>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故障发生后立即隔离、抢修，保障重点区域消防功能。</w:t>
      </w:r>
      <w:r/>
    </w:p>
    <w:p>
      <w:pPr>
        <w:ind w:left="0" w:right="0" w:firstLine="480"/>
        <w:jc w:val="both"/>
        <w:keepLines w:val="0"/>
        <w:keepNext w:val="0"/>
        <w:pageBreakBefore w:val="0"/>
        <w:spacing w:line="360" w:lineRule="auto"/>
        <w:widowControl w:val="off"/>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7.1.5</w:t>
      </w:r>
      <w:r>
        <w:rPr>
          <w:rFonts w:ascii="宋体" w:hAnsi="宋体" w:eastAsia="宋体" w:cs="宋体"/>
          <w:color w:val="auto"/>
          <w:sz w:val="24"/>
        </w:rPr>
        <w:t xml:space="preserve">售后服务，服务期满后移交工作介绍方案。</w:t>
      </w:r>
      <w:r>
        <w:rPr>
          <w:rFonts w:hint="eastAsia" w:ascii="宋体" w:hAnsi="宋体" w:cs="宋体"/>
          <w:color w:val="auto"/>
          <w:sz w:val="24"/>
          <w:lang w:eastAsia="zh-CN"/>
        </w:rPr>
        <w:t xml:space="preserve">至少包含（</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设施设备移交</w:t>
      </w:r>
      <w:r>
        <w:rPr>
          <w:rFonts w:hint="eastAsia" w:ascii="宋体" w:hAnsi="宋体" w:cs="宋体"/>
          <w:color w:val="auto"/>
          <w:sz w:val="24"/>
          <w:lang w:eastAsia="zh-CN"/>
        </w:rPr>
        <w:t xml:space="preserve">方案；（</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技术资料移交</w:t>
      </w:r>
      <w:r>
        <w:rPr>
          <w:rFonts w:hint="eastAsia" w:ascii="宋体" w:hAnsi="宋体" w:cs="宋体"/>
          <w:color w:val="auto"/>
          <w:sz w:val="24"/>
          <w:lang w:eastAsia="zh-CN"/>
        </w:rPr>
        <w:t xml:space="preserve">方案，（</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移交流程与验收</w:t>
      </w:r>
      <w:r>
        <w:rPr>
          <w:rFonts w:hint="eastAsia" w:ascii="宋体" w:hAnsi="宋体" w:cs="宋体"/>
          <w:color w:val="auto"/>
          <w:sz w:val="24"/>
          <w:lang w:eastAsia="zh-CN"/>
        </w:rPr>
        <w:t xml:space="preserve">方案。</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（一）设施设备移交需求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完整性要求：移交方需确保所有纳入维保范围的消防设施设备全部移交，无遗漏、无缺失，包括但不限于：火灾自动报警系统、自动喷水灭火系统、消火栓系统、防排烟系统、应急照明和疏散指示系统、防火门、防火卷帘、消防水泵、消防水箱、气体灭火系统等，明确每台（套）设备的安装位置、规格型号、运行状态。</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功能性要求：移交前，移交方需对所有消防设施设备进行全面检测、调试，确保设备功能正常，符合国家消防规范及设计标准，无故障、无损坏，关键设备（如消防水泵、报警控制器、应急电源等）需进行联动测试，出具检测合格报告；对存在轻微故障但不影响基本安全的设备，需明确标注故障情况、整改建议及整改时限，同步移交相关维修配件（如有）。</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完好性要求：设备外观无明显破损、锈蚀、变形，线路布置规范、无老化、无裸露，标识标牌完整清晰（如设备名称、操作说明、警示标识等），设备安装牢固、位置符合设计要求，可正常投入使用。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（二）技术资料移交需求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基础技术资料：需移交完整的消防系统设计图纸（含平面布置图、系统原理图、管线图等）、设计说明、竣工图纸、竣工验收报告、消防设施设备出厂合格证、检测报告、安装调试记录、设备说明书（含操作手册、维护手册）等，所有资料需加盖相关单位公章（如有），确保真实、有效、完整。</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维保服务资料：需移交维保服务周期内的全部记录，包括但不限于：日常巡检记录、定期检测记录、故障维修记录、设备保养记录、应急处置记录、维保人员出勤记录、维保耗材更换记录等，记录需规范填写、签字确认，可追溯每一次维保工作的开展情况，明确设备运行及维保轨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资料整理要求：所有资料需按类别、按时间顺序整理归档，可提供纸质版（装订成册）和电子版（U盘或光盘存储），标注资料名称、整理日期、移交人、接收人等信息，便于甲方及后续单位查阅、管理。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（三）移交流程与验收需求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流程规范性：需制定清晰、可落地的移交流程，明确移交准备、资料梳理、设施检测、现场移交、验收确认、资料交接等各环节的时间节点、责任分工、操作标准，确保移交工作有序推进，无流程漏洞。</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验收标准：明确移交验收的具体标准，结合国家消防法规、行业标准及项目实际情况，制定设施设备验收、资料验收、功能测试验收的详细清单，验收过程需全程记录，对验收合格的事项，移交方与接收方共同签字确认；对验收不合格的事项，明确整改要求、整改时限，移交方需在规定时间内完成整改，重新组织验收，直至验收合格。</w:t>
      </w:r>
      <w:r/>
    </w:p>
    <w:p>
      <w:pPr>
        <w:ind w:left="0" w:right="0" w:firstLine="480"/>
        <w:jc w:val="both"/>
        <w:keepLines w:val="0"/>
        <w:keepNext w:val="0"/>
        <w:pageBreakBefore w:val="0"/>
        <w:spacing w:line="360" w:lineRule="auto"/>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交接确认：移交完成后，需签订正式的《消防维保服务期满移交确认书》，明确移交内容、移交时间、验收结果、双方责任等核心信息，双方签字盖章后生效，作为移交工作完成的凭证，规避后续责任纠纷。</w:t>
      </w:r>
      <w:r/>
    </w:p>
    <w:p>
      <w:pPr>
        <w:ind w:left="0" w:right="0" w:firstLine="480"/>
        <w:jc w:val="both"/>
        <w:keepLines w:val="0"/>
        <w:keepNext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3、类似业绩：投标人需要具备丰富的类似维保服务相关承接经验，确保本项目的顺利实施，投标人自202</w:t>
      </w:r>
      <w:r>
        <w:rPr>
          <w:rFonts w:hint="eastAsia" w:ascii="宋体" w:hAnsi="宋体" w:cs="宋体"/>
          <w:color w:val="auto"/>
          <w:sz w:val="24"/>
          <w:lang w:val="en-US" w:eastAsia="zh-CN"/>
        </w:rPr>
        <w:t xml:space="preserve">3</w:t>
      </w:r>
      <w:r>
        <w:rPr>
          <w:rFonts w:ascii="宋体" w:hAnsi="宋体" w:eastAsia="宋体" w:cs="宋体"/>
          <w:color w:val="auto"/>
          <w:sz w:val="24"/>
        </w:rPr>
        <w:t xml:space="preserve">年1月1日以来承接过多项类似公共建筑消防维保项目（不包含住宅、厂区消防维保）业绩的优先。</w:t>
      </w:r>
      <w:r/>
    </w:p>
    <w:p>
      <w:pPr>
        <w:ind w:left="0" w:right="0" w:firstLine="480"/>
        <w:jc w:val="both"/>
        <w:keepLines w:val="0"/>
        <w:keepNext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4、人员配备：服务技术人员须经专业培训后方可上岗，取得中级及以上消防员证书和初级消防员证书的优先。</w:t>
      </w:r>
      <w:r/>
    </w:p>
    <w:p>
      <w:pPr>
        <w:ind w:left="0" w:right="0" w:firstLine="480"/>
        <w:jc w:val="both"/>
        <w:keepLines w:val="0"/>
        <w:keepNext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八</w:t>
      </w:r>
      <w:r>
        <w:rPr>
          <w:rFonts w:ascii="宋体" w:hAnsi="宋体" w:eastAsia="宋体" w:cs="宋体"/>
          <w:color w:val="auto"/>
          <w:sz w:val="24"/>
        </w:rPr>
        <w:t xml:space="preserve">、其他</w:t>
      </w:r>
      <w:r/>
    </w:p>
    <w:p>
      <w:pPr>
        <w:ind w:left="0" w:right="0" w:firstLine="480"/>
        <w:jc w:val="both"/>
        <w:keepLines w:val="0"/>
        <w:keepNext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1.本采购项目对应的中小企业划分标准所属行业为</w:t>
      </w:r>
      <w:r>
        <w:rPr>
          <w:rFonts w:ascii="宋体" w:hAnsi="宋体" w:eastAsia="宋体" w:cs="宋体"/>
          <w:color w:val="auto"/>
          <w:sz w:val="24"/>
          <w:u w:val="single"/>
        </w:rPr>
        <w:t xml:space="preserve"> 其他未列明行业 </w:t>
      </w:r>
      <w:r>
        <w:rPr>
          <w:rFonts w:ascii="宋体" w:hAnsi="宋体" w:eastAsia="宋体" w:cs="宋体"/>
          <w:color w:val="auto"/>
          <w:sz w:val="24"/>
        </w:rPr>
        <w:t xml:space="preserve">。</w:t>
      </w:r>
      <w:r/>
    </w:p>
    <w:p>
      <w:pPr>
        <w:numPr>
          <w:ilvl w:val="0"/>
          <w:numId w:val="3"/>
        </w:numPr>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785"/>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bookmarkStart w:id="158" w:name="_Toc32755"/>
      <w:r/>
      <w:bookmarkStart w:id="159" w:name="_Toc29631"/>
      <w:r>
        <w:rPr>
          <w:rFonts w:ascii="黑体" w:hAnsi="黑体" w:eastAsia="黑体" w:cs="黑体"/>
          <w:b/>
          <w:color w:val="auto"/>
          <w:sz w:val="44"/>
        </w:rPr>
        <w:t xml:space="preserve">第五章 评标方法与评标标准</w:t>
      </w:r>
      <w:bookmarkEnd w:id="158"/>
      <w:r/>
      <w:bookmarkEnd w:id="159"/>
      <w:r/>
      <w:r/>
    </w:p>
    <w:p>
      <w:pPr>
        <w:ind w:left="0" w:right="-4" w:firstLine="482"/>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ind w:left="0" w:right="-4" w:firstLine="482"/>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一、定标原则</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项目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每标包选取1名中标候选人。</w:t>
      </w:r>
      <w:r/>
    </w:p>
    <w:p>
      <w:pPr>
        <w:ind w:left="0" w:right="-4" w:firstLine="482"/>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政府采购政策功能落实</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rPr>
        <w:t xml:space="preserve">小微型企业价格扣除</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（1）本项目专门面向中小企业采购，不再对小型和微型企业报价给予价格扣除。</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（2）供应商需按照采购文件的要求提供相应的《中小企业声明函》。</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（3）企业标准请参照《关于印发中小企业划型标准规定的通知》（工信部联企业〔2011〕300号）文件规定自行填写。</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2.残疾人福利单位</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（1）本项目对残疾人福利性单位视同小型企业。</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（2）残疾人福利单位需按照采购文件的要求提供《残疾人福利性单位声明函》。</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（3）残疾人福利单位标准请参照《关于促进残疾人就业政府采购政策的通知》（财库〔2017〕141号）。</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3.监狱和戒毒企业</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（1）本项目对监狱和戒毒企业（简称监狱企业）视同小型企业。</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（2）监狱企业参加政府采购活动时，需提供由省级以上监狱管理局、戒毒管理局(含新疆生产建设兵团)出具的属于监狱企业的证明文件。否则，不能视同小型企业。</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（3）监狱企业标准请参照《关于政府采购支持监狱企业发展有关问题的通知》（财库〔2014〕68号）。</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4.残疾人福利单位、监狱企业属于小型企业的，不重复享受政策。</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5.严格执行政府采购关于支持</w:t>
      </w:r>
      <w:r>
        <w:rPr>
          <w:rFonts w:ascii="宋体" w:hAnsi="宋体" w:eastAsia="宋体" w:cs="宋体"/>
          <w:color w:val="auto"/>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采购本国产品的支持政策</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.1本项目政府采购活动中既有本国产品又有非本国产品参与竞争的，依法对本国产品给予价格评审优惠，对本国产品的报价给予20%的价格扣除，用扣除后的价格参与评审。</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.3供应商需按照招标文件的要求提供《关于符合本国产品标准的声明函》（以下简称《声明函》），如不提供将不享受本国产品价格评审优惠。</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0" w:right="-4" w:firstLine="480"/>
        <w:jc w:val="both"/>
        <w:spacing w:before="0" w:after="0"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二、评标标准</w:t>
      </w:r>
      <w:r/>
    </w:p>
    <w:p>
      <w:pPr>
        <w:ind w:left="0" w:right="0" w:firstLine="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本项目评分总分值为100分。</w:t>
      </w:r>
      <w:r/>
    </w:p>
    <w:tbl>
      <w:tblPr>
        <w:tblStyle w:val="846"/>
        <w:tblW w:w="0" w:type="auto"/>
        <w:tblInd w:w="-21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184"/>
        <w:gridCol w:w="1113"/>
        <w:gridCol w:w="983"/>
        <w:gridCol w:w="5093"/>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2"/>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0" w:after="0"/>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2"/>
              </w:rPr>
              <w:t xml:space="preserve">分项内容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0"/>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2"/>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93" w:type="dxa"/>
            <w:vAlign w:val="center"/>
            <w:textDirection w:val="lrTb"/>
            <w:noWrap w:val="false"/>
          </w:tcPr>
          <w:p>
            <w:pPr>
              <w:ind w:left="0" w:right="0" w:firstLine="0"/>
              <w:jc w:val="center"/>
              <w:spacing w:before="0" w:after="0"/>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2"/>
              </w:rPr>
              <w:t xml:space="preserve">打分要求</w:t>
            </w:r>
            <w:r/>
          </w:p>
        </w:tc>
      </w:tr>
      <w:tr>
        <w:trPr>
          <w:trHeight w:val="1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rPr>
                <w:rFonts w:hint="eastAsia" w:ascii="宋体" w:hAnsi="宋体" w:cs="宋体"/>
                <w:color w:val="auto"/>
                <w:sz w:val="22"/>
                <w:lang w:val="en-US" w:eastAsia="zh-CN"/>
              </w:rPr>
              <w:t xml:space="preserve">40</w:t>
            </w:r>
            <w:r>
              <w:rPr>
                <w:rFonts w:ascii="宋体" w:hAnsi="宋体" w:eastAsia="宋体" w:cs="宋体"/>
                <w:color w:val="auto"/>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3" w:type="dxa"/>
            <w:vAlign w:val="center"/>
            <w:textDirection w:val="lrTb"/>
            <w:noWrap w:val="false"/>
          </w:tcPr>
          <w:p>
            <w:pPr>
              <w:ind w:left="0" w:right="0" w:firstLine="420"/>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评标基准价：满足招标文件要求且投标报价最低的供应商的价格为基准价，其价格分为满分。报价得分=(评标基准价/投标报价)×</w:t>
            </w:r>
            <w:r>
              <w:rPr>
                <w:rFonts w:hint="eastAsia" w:ascii="宋体" w:hAnsi="宋体" w:cs="宋体"/>
                <w:color w:val="auto"/>
                <w:sz w:val="22"/>
                <w:lang w:val="en-US" w:eastAsia="zh-CN"/>
              </w:rPr>
              <w:t xml:space="preserve">40</w:t>
            </w:r>
            <w:r>
              <w:rPr>
                <w:rFonts w:ascii="宋体" w:hAnsi="宋体" w:eastAsia="宋体" w:cs="宋体"/>
                <w:color w:val="auto"/>
                <w:sz w:val="22"/>
              </w:rPr>
              <w:t xml:space="preserve">。</w:t>
            </w:r>
            <w:r/>
          </w:p>
        </w:tc>
      </w:tr>
      <w:tr>
        <w:trPr>
          <w:trHeight w:val="3792"/>
        </w:trPr>
        <w:tc>
          <w:tcPr>
            <w:tcBorders>
              <w:top w:val="none" w:color="000000" w:sz="4" w:space="0"/>
              <w:left w:val="single" w:color="auto" w:sz="4" w:space="0"/>
              <w:bottom w:val="single" w:color="auto" w:sz="4" w:space="0"/>
              <w:right w:val="single" w:color="000000" w:sz="8" w:space="0"/>
            </w:tcBorders>
            <w:tcMar>
              <w:left w:w="108" w:type="dxa"/>
              <w:top w:w="0" w:type="dxa"/>
              <w:right w:w="108" w:type="dxa"/>
              <w:bottom w:w="0" w:type="dxa"/>
            </w:tcMar>
            <w:tcW w:w="755" w:type="dxa"/>
            <w:vAlign w:val="center"/>
            <w:vMerge w:val="restart"/>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二</w:t>
            </w:r>
            <w:r/>
          </w:p>
        </w:tc>
        <w:tc>
          <w:tcPr>
            <w:tcBorders>
              <w:top w:val="none" w:color="000000" w:sz="4" w:space="0"/>
              <w:left w:val="single" w:color="000000" w:sz="4" w:space="0"/>
              <w:bottom w:val="single" w:color="auto" w:sz="4" w:space="0"/>
              <w:right w:val="single" w:color="000000" w:sz="8" w:space="0"/>
            </w:tcBorders>
            <w:tcMar>
              <w:left w:w="108" w:type="dxa"/>
              <w:top w:w="0" w:type="dxa"/>
              <w:right w:w="108" w:type="dxa"/>
              <w:bottom w:w="0" w:type="dxa"/>
            </w:tcMar>
            <w:tcW w:w="1184" w:type="dxa"/>
            <w:vAlign w:val="center"/>
            <w:vMerge w:val="restart"/>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维保方案</w:t>
            </w:r>
            <w:r/>
          </w:p>
        </w:tc>
        <w:tc>
          <w:tcPr>
            <w:tcBorders>
              <w:top w:val="none" w:color="000000" w:sz="4" w:space="0"/>
              <w:left w:val="single" w:color="000000" w:sz="4" w:space="0"/>
              <w:bottom w:val="single" w:color="auto" w:sz="4"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主要维护保养仪器设备等配备方案</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lang w:val="en-US" w:eastAsia="zh-CN"/>
              </w:rPr>
              <w:t xml:space="preserve">9</w:t>
            </w:r>
            <w:r>
              <w:rPr>
                <w:rFonts w:ascii="宋体" w:hAnsi="宋体" w:eastAsia="宋体" w:cs="宋体"/>
                <w:color w:val="auto"/>
                <w:sz w:val="22"/>
              </w:rPr>
              <w:t xml:space="preserve">分</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093" w:type="dxa"/>
            <w:vAlign w:val="center"/>
            <w:textDirection w:val="lrTb"/>
            <w:noWrap w:val="false"/>
          </w:tcPr>
          <w:p>
            <w:pPr>
              <w:ind w:left="0" w:right="0" w:firstLine="420"/>
              <w:spacing w:before="0" w:after="0"/>
              <w:rPr>
                <w:rFonts w:hint="eastAsia" w:ascii="宋体" w:hAnsi="宋体" w:cs="宋体"/>
                <w:color w:val="auto"/>
                <w:sz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主要维护保养仪器设备等配备方案</w:t>
            </w:r>
            <w:r>
              <w:rPr>
                <w:rFonts w:hint="eastAsia" w:ascii="宋体" w:hAnsi="宋体" w:eastAsia="宋体" w:cs="宋体"/>
                <w:color w:val="auto"/>
                <w:sz w:val="22"/>
              </w:rPr>
              <w:t xml:space="preserve">（本项最高得</w:t>
            </w:r>
            <w:r>
              <w:rPr>
                <w:rFonts w:hint="eastAsia" w:ascii="宋体" w:hAnsi="宋体" w:cs="宋体"/>
                <w:color w:val="auto"/>
                <w:sz w:val="22"/>
                <w:lang w:val="en-US" w:eastAsia="zh-CN"/>
              </w:rPr>
              <w:t xml:space="preserve">9</w:t>
            </w:r>
            <w:r>
              <w:rPr>
                <w:rFonts w:hint="eastAsia" w:ascii="宋体" w:hAnsi="宋体" w:eastAsia="宋体" w:cs="宋体"/>
                <w:color w:val="auto"/>
                <w:sz w:val="22"/>
              </w:rPr>
              <w:t xml:space="preserve">分）</w:t>
            </w:r>
            <w:r/>
          </w:p>
          <w:p>
            <w:pPr>
              <w:ind w:left="0" w:right="0" w:firstLine="420"/>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lang w:val="en-US" w:eastAsia="zh-CN"/>
              </w:rPr>
              <w:t xml:space="preserve">投标人根据采购文件第四章采购需求第</w:t>
            </w:r>
            <w:r>
              <w:rPr>
                <w:rFonts w:hint="eastAsia" w:ascii="宋体" w:hAnsi="宋体" w:eastAsia="宋体" w:cs="宋体"/>
                <w:color w:val="auto"/>
                <w:sz w:val="22"/>
              </w:rPr>
              <w:t xml:space="preserve">7.1.1</w:t>
            </w:r>
            <w:r>
              <w:rPr>
                <w:rFonts w:hint="eastAsia" w:ascii="宋体" w:hAnsi="宋体" w:cs="宋体"/>
                <w:color w:val="auto"/>
                <w:sz w:val="22"/>
                <w:lang w:val="en-US" w:eastAsia="zh-CN"/>
              </w:rPr>
              <w:t xml:space="preserve">条中</w:t>
            </w:r>
            <w:r>
              <w:rPr>
                <w:rFonts w:ascii="宋体" w:hAnsi="宋体" w:eastAsia="宋体" w:cs="宋体"/>
                <w:color w:val="auto"/>
                <w:sz w:val="22"/>
              </w:rPr>
              <w:t xml:space="preserve">主要维护保养仪器设备等配备</w:t>
            </w:r>
            <w:r>
              <w:rPr>
                <w:rFonts w:hint="eastAsia" w:ascii="宋体" w:hAnsi="宋体" w:cs="宋体"/>
                <w:color w:val="auto"/>
                <w:sz w:val="22"/>
                <w:lang w:eastAsia="zh-CN"/>
              </w:rPr>
              <w:t xml:space="preserve">需求</w:t>
            </w:r>
            <w:r>
              <w:rPr>
                <w:rFonts w:hint="eastAsia" w:ascii="宋体" w:hAnsi="宋体" w:cs="宋体"/>
                <w:color w:val="auto"/>
                <w:sz w:val="22"/>
                <w:lang w:val="en-US" w:eastAsia="zh-CN"/>
              </w:rPr>
              <w:t xml:space="preserve">，编制详细的</w:t>
            </w:r>
            <w:r>
              <w:rPr>
                <w:rFonts w:hint="eastAsia" w:ascii="宋体" w:hAnsi="宋体" w:eastAsia="宋体" w:cs="宋体"/>
                <w:color w:val="auto"/>
                <w:sz w:val="22"/>
              </w:rPr>
              <w:t xml:space="preserve">投入的主要维护保养仪器设备等配备</w:t>
            </w:r>
            <w:r>
              <w:rPr>
                <w:rFonts w:hint="eastAsia" w:ascii="宋体" w:hAnsi="宋体" w:cs="宋体"/>
                <w:color w:val="auto"/>
                <w:sz w:val="22"/>
                <w:lang w:val="en-US" w:eastAsia="zh-CN"/>
              </w:rPr>
              <w:t xml:space="preserve">方案</w:t>
            </w:r>
            <w:r>
              <w:rPr>
                <w:rFonts w:ascii="宋体" w:hAnsi="宋体" w:eastAsia="宋体" w:cs="宋体"/>
                <w:color w:val="auto"/>
                <w:sz w:val="22"/>
                <w:highlight w:val="white"/>
              </w:rPr>
              <w:t xml:space="preserve">，</w:t>
            </w:r>
            <w:r>
              <w:rPr>
                <w:rFonts w:hint="eastAsia" w:ascii="宋体" w:hAnsi="宋体" w:cs="宋体"/>
                <w:color w:val="auto"/>
                <w:sz w:val="22"/>
                <w:highlight w:val="white"/>
                <w:lang w:eastAsia="zh-CN"/>
              </w:rPr>
              <w:t xml:space="preserve">方案至少包含（1）主要维护保养仪器设备清单（仪器设备名称、数量、型号等），（2）根据建筑消防设施分布制定详细的仪器设备配备方案，（3）设备校准和维护方案。</w:t>
            </w:r>
            <w:r>
              <w:rPr>
                <w:rFonts w:hint="eastAsia" w:ascii="宋体" w:hAnsi="宋体" w:cs="宋体"/>
                <w:color w:val="auto"/>
                <w:sz w:val="22"/>
                <w:highlight w:val="white"/>
                <w:lang w:val="en-US" w:eastAsia="zh-CN"/>
              </w:rPr>
              <w:t xml:space="preserve">方案</w:t>
            </w:r>
            <w:r>
              <w:rPr>
                <w:rFonts w:ascii="宋体" w:hAnsi="宋体" w:eastAsia="宋体" w:cs="宋体"/>
                <w:color w:val="auto"/>
                <w:sz w:val="22"/>
              </w:rPr>
              <w:t xml:space="preserve">优于项目需求的得</w:t>
            </w:r>
            <w:r>
              <w:rPr>
                <w:rFonts w:hint="eastAsia" w:ascii="宋体" w:hAnsi="宋体" w:cs="宋体"/>
                <w:color w:val="auto"/>
                <w:sz w:val="22"/>
                <w:lang w:val="en-US" w:eastAsia="zh-CN"/>
              </w:rPr>
              <w:t xml:space="preserve">9</w:t>
            </w:r>
            <w:r>
              <w:rPr>
                <w:rFonts w:ascii="宋体" w:hAnsi="宋体" w:eastAsia="宋体" w:cs="宋体"/>
                <w:color w:val="auto"/>
                <w:sz w:val="22"/>
              </w:rPr>
              <w:t xml:space="preserve">分；</w:t>
            </w:r>
            <w:r>
              <w:rPr>
                <w:rFonts w:hint="eastAsia" w:ascii="宋体" w:hAnsi="宋体" w:cs="宋体"/>
                <w:color w:val="auto"/>
                <w:sz w:val="22"/>
                <w:highlight w:val="white"/>
                <w:lang w:val="en-US" w:eastAsia="zh-CN"/>
              </w:rPr>
              <w:t xml:space="preserve">方案</w:t>
            </w:r>
            <w:r>
              <w:rPr>
                <w:rFonts w:ascii="宋体" w:hAnsi="宋体" w:eastAsia="宋体" w:cs="宋体"/>
                <w:color w:val="auto"/>
                <w:sz w:val="22"/>
              </w:rPr>
              <w:t xml:space="preserve">满足项目需求的得</w:t>
            </w:r>
            <w:r>
              <w:rPr>
                <w:rFonts w:hint="eastAsia" w:ascii="宋体" w:hAnsi="宋体" w:cs="宋体"/>
                <w:color w:val="auto"/>
                <w:sz w:val="22"/>
                <w:lang w:val="en-US" w:eastAsia="zh-CN"/>
              </w:rPr>
              <w:t xml:space="preserve">6</w:t>
            </w:r>
            <w:r>
              <w:rPr>
                <w:rFonts w:ascii="宋体" w:hAnsi="宋体" w:eastAsia="宋体" w:cs="宋体"/>
                <w:color w:val="auto"/>
                <w:sz w:val="22"/>
              </w:rPr>
              <w:t xml:space="preserve">分；不满足项目需求或未提供得0分。</w:t>
            </w:r>
            <w:r/>
          </w:p>
          <w:p>
            <w:pPr>
              <w:ind w:left="0" w:right="0" w:firstLine="420"/>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w:t>
            </w:r>
            <w:r>
              <w:rPr>
                <w:rFonts w:hint="eastAsia" w:ascii="宋体" w:hAnsi="宋体" w:cs="宋体"/>
                <w:color w:val="auto"/>
                <w:sz w:val="22"/>
                <w:lang w:eastAsia="zh-CN"/>
              </w:rPr>
              <w:t xml:space="preserve">满足</w:t>
            </w:r>
            <w:r>
              <w:rPr>
                <w:rFonts w:hint="eastAsia" w:ascii="宋体" w:hAnsi="宋体" w:eastAsia="宋体" w:cs="宋体"/>
                <w:color w:val="auto"/>
                <w:sz w:val="22"/>
              </w:rPr>
              <w:t xml:space="preserve">。具体由评审委员会评审。</w:t>
            </w:r>
            <w:r/>
          </w:p>
        </w:tc>
      </w:tr>
      <w:tr>
        <w:trPr>
          <w:trHeight w:val="1654"/>
        </w:trPr>
        <w:tc>
          <w:tcPr>
            <w:tcBorders>
              <w:top w:val="single" w:color="auto" w:sz="4" w:space="0"/>
              <w:left w:val="single" w:color="auto" w:sz="4" w:space="0"/>
              <w:bottom w:val="single" w:color="auto" w:sz="4" w:space="0"/>
              <w:right w:val="single" w:color="000000" w:sz="4" w:space="0"/>
            </w:tcBorders>
            <w:tcW w:w="755" w:type="dxa"/>
            <w:vMerge w:val="continue"/>
            <w:textDirection w:val="lrTb"/>
            <w:noWrap w:val="false"/>
          </w:tcPr>
          <w:p>
            <w:pPr>
              <w:rPr>
                <w:color w:val="auto"/>
              </w:rPr>
            </w:pPr>
            <w:r>
              <w:rPr>
                <w:color w:val="auto"/>
              </w:rPr>
            </w:r>
            <w:r/>
          </w:p>
        </w:tc>
        <w:tc>
          <w:tcPr>
            <w:tcBorders>
              <w:top w:val="single" w:color="auto" w:sz="4" w:space="0"/>
              <w:left w:val="single" w:color="000000" w:sz="4" w:space="0"/>
              <w:bottom w:val="single" w:color="auto" w:sz="4" w:space="0"/>
              <w:right w:val="single" w:color="000000" w:sz="4" w:space="0"/>
            </w:tcBorders>
            <w:tcW w:w="1184" w:type="dxa"/>
            <w:vMerge w:val="continue"/>
            <w:textDirection w:val="lrTb"/>
            <w:noWrap w:val="false"/>
          </w:tcPr>
          <w:p>
            <w:pPr>
              <w:rPr>
                <w:color w:val="auto"/>
              </w:rPr>
            </w:pPr>
            <w:r>
              <w:rPr>
                <w:color w:val="auto"/>
              </w:rPr>
            </w:r>
            <w:r/>
          </w:p>
        </w:tc>
        <w:tc>
          <w:tcPr>
            <w:tcBorders>
              <w:top w:val="single" w:color="auto" w:sz="4" w:space="0"/>
              <w:left w:val="single" w:color="000000" w:sz="4" w:space="0"/>
              <w:bottom w:val="single" w:color="auto" w:sz="4"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维护保养内容及实施方案</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w:t>
            </w:r>
            <w:r>
              <w:rPr>
                <w:rFonts w:hint="eastAsia" w:ascii="宋体" w:hAnsi="宋体" w:cs="宋体"/>
                <w:color w:val="auto"/>
                <w:sz w:val="22"/>
                <w:lang w:val="en-US" w:eastAsia="zh-CN"/>
              </w:rPr>
              <w:t xml:space="preserve">0</w:t>
            </w:r>
            <w:r>
              <w:rPr>
                <w:rFonts w:ascii="宋体" w:hAnsi="宋体" w:eastAsia="宋体" w:cs="宋体"/>
                <w:color w:val="auto"/>
                <w:sz w:val="22"/>
              </w:rPr>
              <w:t xml:space="preserve">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5093" w:type="dxa"/>
            <w:vAlign w:val="center"/>
            <w:textDirection w:val="lrTb"/>
            <w:noWrap w:val="false"/>
          </w:tcPr>
          <w:p>
            <w:pPr>
              <w:ind w:left="0" w:right="0" w:firstLine="420"/>
              <w:spacing w:before="0" w:after="0"/>
              <w:rPr>
                <w:rFonts w:hint="eastAsia" w:ascii="宋体" w:hAnsi="宋体" w:cs="宋体"/>
                <w:color w:val="auto"/>
                <w:sz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维护保养内容及实施方案</w:t>
            </w:r>
            <w:r>
              <w:rPr>
                <w:rFonts w:hint="eastAsia" w:ascii="宋体" w:hAnsi="宋体" w:eastAsia="宋体" w:cs="宋体"/>
                <w:color w:val="auto"/>
                <w:sz w:val="22"/>
              </w:rPr>
              <w:t xml:space="preserve">（本项最高得</w:t>
            </w:r>
            <w:r>
              <w:rPr>
                <w:rFonts w:hint="eastAsia" w:ascii="宋体" w:hAnsi="宋体" w:cs="宋体"/>
                <w:color w:val="auto"/>
                <w:sz w:val="22"/>
                <w:lang w:val="en-US" w:eastAsia="zh-CN"/>
              </w:rPr>
              <w:t xml:space="preserve">10</w:t>
            </w:r>
            <w:r>
              <w:rPr>
                <w:rFonts w:hint="eastAsia" w:ascii="宋体" w:hAnsi="宋体" w:eastAsia="宋体" w:cs="宋体"/>
                <w:color w:val="auto"/>
                <w:sz w:val="22"/>
              </w:rPr>
              <w:t xml:space="preserve">分）</w:t>
            </w:r>
            <w:r/>
          </w:p>
          <w:p>
            <w:pPr>
              <w:ind w:left="0" w:right="0" w:firstLine="420"/>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lang w:val="en-US" w:eastAsia="zh-CN"/>
              </w:rPr>
              <w:t xml:space="preserve">投标人根据采购文件第四章采购需求第</w:t>
            </w:r>
            <w:r>
              <w:rPr>
                <w:rFonts w:hint="eastAsia" w:ascii="宋体" w:hAnsi="宋体" w:eastAsia="宋体" w:cs="宋体"/>
                <w:color w:val="auto"/>
                <w:sz w:val="22"/>
              </w:rPr>
              <w:t xml:space="preserve">7.1.</w:t>
            </w:r>
            <w:r>
              <w:rPr>
                <w:rFonts w:hint="eastAsia" w:ascii="宋体" w:hAnsi="宋体" w:cs="宋体"/>
                <w:color w:val="auto"/>
                <w:sz w:val="22"/>
                <w:lang w:val="en-US" w:eastAsia="zh-CN"/>
              </w:rPr>
              <w:t xml:space="preserve">2条，编制详细的</w:t>
            </w:r>
            <w:r>
              <w:rPr>
                <w:rFonts w:ascii="宋体" w:hAnsi="宋体" w:eastAsia="宋体" w:cs="宋体"/>
                <w:color w:val="auto"/>
                <w:sz w:val="22"/>
              </w:rPr>
              <w:t xml:space="preserve">维护保养内容及实施方案</w:t>
            </w:r>
            <w:r>
              <w:rPr>
                <w:rFonts w:hint="eastAsia" w:ascii="宋体" w:hAnsi="宋体" w:cs="宋体"/>
                <w:color w:val="auto"/>
                <w:sz w:val="22"/>
                <w:lang w:eastAsia="zh-CN"/>
              </w:rPr>
              <w:t xml:space="preserve">，方案至少包含：（1）维护保养内容阐述，（2）维护保养工作流程，（3）维护保养周期，（4）维护保养工作实施细则。</w:t>
            </w:r>
            <w:r>
              <w:rPr>
                <w:rFonts w:ascii="宋体" w:hAnsi="宋体" w:eastAsia="宋体" w:cs="宋体"/>
                <w:color w:val="auto"/>
                <w:sz w:val="22"/>
                <w:highlight w:val="white"/>
              </w:rPr>
              <w:t xml:space="preserve">方案</w:t>
            </w:r>
            <w:r>
              <w:rPr>
                <w:rFonts w:ascii="宋体" w:hAnsi="宋体" w:eastAsia="宋体" w:cs="宋体"/>
                <w:color w:val="auto"/>
                <w:sz w:val="22"/>
              </w:rPr>
              <w:t xml:space="preserve">优于项目需求得</w:t>
            </w:r>
            <w:r>
              <w:rPr>
                <w:rFonts w:hint="eastAsia" w:ascii="宋体" w:hAnsi="宋体" w:cs="宋体"/>
                <w:color w:val="auto"/>
                <w:sz w:val="22"/>
                <w:lang w:val="en-US" w:eastAsia="zh-CN"/>
              </w:rPr>
              <w:t xml:space="preserve">10</w:t>
            </w:r>
            <w:r>
              <w:rPr>
                <w:rFonts w:ascii="宋体" w:hAnsi="宋体" w:eastAsia="宋体" w:cs="宋体"/>
                <w:color w:val="auto"/>
                <w:sz w:val="22"/>
              </w:rPr>
              <w:t xml:space="preserve">分；满足项目需求的得</w:t>
            </w:r>
            <w:r>
              <w:rPr>
                <w:rFonts w:hint="eastAsia" w:ascii="宋体" w:hAnsi="宋体" w:cs="宋体"/>
                <w:color w:val="auto"/>
                <w:sz w:val="22"/>
                <w:lang w:val="en-US" w:eastAsia="zh-CN"/>
              </w:rPr>
              <w:t xml:space="preserve">7</w:t>
            </w:r>
            <w:r>
              <w:rPr>
                <w:rFonts w:ascii="宋体" w:hAnsi="宋体" w:eastAsia="宋体" w:cs="宋体"/>
                <w:color w:val="auto"/>
                <w:sz w:val="22"/>
              </w:rPr>
              <w:t xml:space="preserve">分；不满足项目需求或未提供得0分。</w:t>
            </w:r>
            <w:r/>
          </w:p>
          <w:p>
            <w:pPr>
              <w:ind w:left="0" w:right="0" w:firstLine="420"/>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w:t>
            </w:r>
            <w:r>
              <w:rPr>
                <w:rFonts w:hint="eastAsia" w:ascii="宋体" w:hAnsi="宋体" w:cs="宋体"/>
                <w:color w:val="auto"/>
                <w:sz w:val="22"/>
                <w:lang w:eastAsia="zh-CN"/>
              </w:rPr>
              <w:t xml:space="preserve">满足</w:t>
            </w:r>
            <w:r>
              <w:rPr>
                <w:rFonts w:hint="eastAsia" w:ascii="宋体" w:hAnsi="宋体" w:eastAsia="宋体" w:cs="宋体"/>
                <w:color w:val="auto"/>
                <w:sz w:val="22"/>
              </w:rPr>
              <w:t xml:space="preserve">。具体由评审委员会评审。</w:t>
            </w:r>
            <w:r/>
          </w:p>
        </w:tc>
      </w:tr>
      <w:tr>
        <w:trPr>
          <w:trHeight w:val="1483"/>
        </w:trPr>
        <w:tc>
          <w:tcPr>
            <w:tcBorders>
              <w:top w:val="single" w:color="auto" w:sz="4" w:space="0"/>
              <w:left w:val="single" w:color="auto" w:sz="4" w:space="0"/>
              <w:right w:val="single" w:color="000000" w:sz="4" w:space="0"/>
            </w:tcBorders>
            <w:tcW w:w="755" w:type="dxa"/>
            <w:vMerge w:val="continue"/>
            <w:textDirection w:val="lrTb"/>
            <w:noWrap w:val="false"/>
          </w:tcPr>
          <w:p>
            <w:pPr>
              <w:rPr>
                <w:color w:val="auto"/>
              </w:rPr>
            </w:pPr>
            <w:r>
              <w:rPr>
                <w:color w:val="auto"/>
              </w:rPr>
            </w:r>
            <w:r/>
          </w:p>
        </w:tc>
        <w:tc>
          <w:tcPr>
            <w:tcBorders>
              <w:top w:val="single" w:color="auto" w:sz="4" w:space="0"/>
              <w:left w:val="single" w:color="000000" w:sz="4" w:space="0"/>
              <w:right w:val="single" w:color="000000" w:sz="4" w:space="0"/>
            </w:tcBorders>
            <w:tcW w:w="1184" w:type="dxa"/>
            <w:vMerge w:val="continue"/>
            <w:textDirection w:val="lrTb"/>
            <w:noWrap w:val="false"/>
          </w:tcPr>
          <w:p>
            <w:pPr>
              <w:rPr>
                <w:color w:val="auto"/>
              </w:rPr>
            </w:pPr>
            <w:r>
              <w:rPr>
                <w:color w:val="auto"/>
              </w:rPr>
            </w:r>
            <w:r/>
          </w:p>
        </w:tc>
        <w:tc>
          <w:tcPr>
            <w:tcBorders>
              <w:top w:val="single" w:color="auto" w:sz="4" w:space="0"/>
              <w:left w:val="singl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质量及安全保证措施</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lang w:val="en-US" w:eastAsia="zh-CN"/>
              </w:rPr>
              <w:t xml:space="preserve">10</w:t>
            </w:r>
            <w:r>
              <w:rPr>
                <w:rFonts w:ascii="宋体" w:hAnsi="宋体" w:eastAsia="宋体" w:cs="宋体"/>
                <w:color w:val="auto"/>
                <w:sz w:val="22"/>
              </w:rPr>
              <w:t xml:space="preserve">分</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5093" w:type="dxa"/>
            <w:vAlign w:val="center"/>
            <w:textDirection w:val="lrTb"/>
            <w:noWrap w:val="false"/>
          </w:tcPr>
          <w:p>
            <w:pPr>
              <w:ind w:left="0" w:right="0" w:firstLine="420"/>
              <w:spacing w:before="0" w:after="0"/>
              <w:rPr>
                <w:rFonts w:hint="eastAsia" w:ascii="宋体" w:hAnsi="宋体" w:cs="宋体"/>
                <w:color w:val="auto"/>
                <w:sz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质量及安全保证措施</w:t>
            </w:r>
            <w:r>
              <w:rPr>
                <w:rFonts w:hint="eastAsia" w:ascii="宋体" w:hAnsi="宋体" w:eastAsia="宋体" w:cs="宋体"/>
                <w:color w:val="auto"/>
                <w:sz w:val="22"/>
              </w:rPr>
              <w:t xml:space="preserve">（本项最高得</w:t>
            </w:r>
            <w:r>
              <w:rPr>
                <w:rFonts w:hint="eastAsia" w:ascii="宋体" w:hAnsi="宋体" w:cs="宋体"/>
                <w:color w:val="auto"/>
                <w:sz w:val="22"/>
                <w:lang w:val="en-US" w:eastAsia="zh-CN"/>
              </w:rPr>
              <w:t xml:space="preserve">10</w:t>
            </w:r>
            <w:r>
              <w:rPr>
                <w:rFonts w:hint="eastAsia" w:ascii="宋体" w:hAnsi="宋体" w:eastAsia="宋体" w:cs="宋体"/>
                <w:color w:val="auto"/>
                <w:sz w:val="22"/>
              </w:rPr>
              <w:t xml:space="preserve">分）</w:t>
            </w:r>
            <w:r/>
          </w:p>
          <w:p>
            <w:pPr>
              <w:ind w:left="0" w:right="0" w:firstLine="420"/>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lang w:val="en-US" w:eastAsia="zh-CN"/>
              </w:rPr>
              <w:t xml:space="preserve">投标人根据采购文件第四章采购需求第</w:t>
            </w:r>
            <w:r>
              <w:rPr>
                <w:rFonts w:hint="eastAsia" w:ascii="宋体" w:hAnsi="宋体" w:eastAsia="宋体" w:cs="宋体"/>
                <w:color w:val="auto"/>
                <w:sz w:val="22"/>
              </w:rPr>
              <w:t xml:space="preserve">7.1.</w:t>
            </w:r>
            <w:r>
              <w:rPr>
                <w:rFonts w:hint="eastAsia" w:ascii="宋体" w:hAnsi="宋体" w:cs="宋体"/>
                <w:color w:val="auto"/>
                <w:sz w:val="22"/>
                <w:lang w:val="en-US" w:eastAsia="zh-CN"/>
              </w:rPr>
              <w:t xml:space="preserve">3条，编制详细的</w:t>
            </w:r>
            <w:r>
              <w:rPr>
                <w:rFonts w:ascii="宋体" w:hAnsi="宋体" w:eastAsia="宋体" w:cs="宋体"/>
                <w:color w:val="auto"/>
                <w:sz w:val="22"/>
              </w:rPr>
              <w:t xml:space="preserve">质量及安全保证措施，</w:t>
            </w:r>
            <w:r>
              <w:rPr>
                <w:rFonts w:hint="eastAsia" w:ascii="宋体" w:hAnsi="宋体" w:cs="宋体"/>
                <w:color w:val="auto"/>
                <w:sz w:val="22"/>
                <w:lang w:eastAsia="zh-CN"/>
              </w:rPr>
              <w:t xml:space="preserve">措施内容</w:t>
            </w:r>
            <w:r>
              <w:rPr>
                <w:rFonts w:hint="eastAsia" w:ascii="宋体" w:hAnsi="宋体" w:eastAsia="宋体" w:cs="宋体"/>
                <w:color w:val="auto"/>
                <w:sz w:val="22"/>
              </w:rPr>
              <w:t xml:space="preserve">至少包含：（1）项目目标阐述；（2）质量保证措施，（3）安全保证措施。</w:t>
            </w:r>
            <w:r>
              <w:rPr>
                <w:rFonts w:hint="eastAsia" w:ascii="宋体" w:hAnsi="宋体" w:cs="宋体"/>
                <w:color w:val="auto"/>
                <w:sz w:val="22"/>
                <w:lang w:val="en-US" w:eastAsia="zh-CN"/>
              </w:rPr>
              <w:t xml:space="preserve">措施内容</w:t>
            </w:r>
            <w:r>
              <w:rPr>
                <w:rFonts w:ascii="宋体" w:hAnsi="宋体" w:eastAsia="宋体" w:cs="宋体"/>
                <w:color w:val="auto"/>
                <w:sz w:val="22"/>
              </w:rPr>
              <w:t xml:space="preserve">优于项目需求得1</w:t>
            </w:r>
            <w:r>
              <w:rPr>
                <w:rFonts w:hint="eastAsia" w:ascii="宋体" w:hAnsi="宋体" w:cs="宋体"/>
                <w:color w:val="auto"/>
                <w:sz w:val="22"/>
                <w:lang w:val="en-US" w:eastAsia="zh-CN"/>
              </w:rPr>
              <w:t xml:space="preserve">0</w:t>
            </w:r>
            <w:r>
              <w:rPr>
                <w:rFonts w:ascii="宋体" w:hAnsi="宋体" w:eastAsia="宋体" w:cs="宋体"/>
                <w:color w:val="auto"/>
                <w:sz w:val="22"/>
              </w:rPr>
              <w:t xml:space="preserve">分；满足项目需求的得</w:t>
            </w:r>
            <w:r>
              <w:rPr>
                <w:rFonts w:hint="eastAsia" w:ascii="宋体" w:hAnsi="宋体" w:cs="宋体"/>
                <w:color w:val="auto"/>
                <w:sz w:val="22"/>
                <w:lang w:val="en-US" w:eastAsia="zh-CN"/>
              </w:rPr>
              <w:t xml:space="preserve">7</w:t>
            </w:r>
            <w:r>
              <w:rPr>
                <w:rFonts w:ascii="宋体" w:hAnsi="宋体" w:eastAsia="宋体" w:cs="宋体"/>
                <w:color w:val="auto"/>
                <w:sz w:val="22"/>
              </w:rPr>
              <w:t xml:space="preserve">分；不满足项目需求或未提供得0分。</w:t>
            </w:r>
            <w:r/>
          </w:p>
          <w:p>
            <w:pPr>
              <w:ind w:left="0" w:right="0" w:firstLine="420"/>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w:t>
            </w:r>
            <w:r>
              <w:rPr>
                <w:rFonts w:hint="eastAsia" w:ascii="宋体" w:hAnsi="宋体" w:cs="宋体"/>
                <w:color w:val="auto"/>
                <w:sz w:val="22"/>
                <w:lang w:eastAsia="zh-CN"/>
              </w:rPr>
              <w:t xml:space="preserve">满足</w:t>
            </w:r>
            <w:r>
              <w:rPr>
                <w:rFonts w:hint="eastAsia" w:ascii="宋体" w:hAnsi="宋体" w:eastAsia="宋体" w:cs="宋体"/>
                <w:color w:val="auto"/>
                <w:sz w:val="22"/>
              </w:rPr>
              <w:t xml:space="preserve">。具体由评审委员会评审。</w:t>
            </w:r>
            <w:r/>
          </w:p>
        </w:tc>
      </w:tr>
      <w:tr>
        <w:trPr>
          <w:trHeight w:val="239"/>
        </w:trPr>
        <w:tc>
          <w:tcPr>
            <w:tcBorders>
              <w:left w:val="single" w:color="auto" w:sz="4" w:space="0"/>
              <w:bottom w:val="single" w:color="000000" w:sz="4" w:space="0"/>
              <w:right w:val="single" w:color="000000" w:sz="4" w:space="0"/>
            </w:tcBorders>
            <w:tcW w:w="755" w:type="dxa"/>
            <w:vMerge w:val="continue"/>
            <w:textDirection w:val="lrTb"/>
            <w:noWrap w:val="false"/>
          </w:tcPr>
          <w:p>
            <w:pPr>
              <w:rPr>
                <w:color w:val="auto"/>
              </w:rPr>
            </w:pPr>
            <w:r>
              <w:rPr>
                <w:color w:val="auto"/>
              </w:rPr>
            </w:r>
            <w:r/>
          </w:p>
        </w:tc>
        <w:tc>
          <w:tcPr>
            <w:tcBorders>
              <w:left w:val="single" w:color="000000" w:sz="4" w:space="0"/>
              <w:bottom w:val="single" w:color="000000" w:sz="4" w:space="0"/>
              <w:right w:val="single" w:color="000000" w:sz="4" w:space="0"/>
            </w:tcBorders>
            <w:tcW w:w="1184" w:type="dxa"/>
            <w:vMerge w:val="continue"/>
            <w:textDirection w:val="lrTb"/>
            <w:noWrap w:val="false"/>
          </w:tcPr>
          <w:p>
            <w:pPr>
              <w:rPr>
                <w:color w:val="auto"/>
              </w:rPr>
            </w:pPr>
            <w:r>
              <w:rPr>
                <w:color w:val="auto"/>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突发事件应急预案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lang w:val="en-US" w:eastAsia="zh-CN"/>
              </w:rPr>
              <w:t xml:space="preserve">10</w:t>
            </w:r>
            <w:r>
              <w:rPr>
                <w:rFonts w:ascii="宋体" w:hAnsi="宋体" w:eastAsia="宋体" w:cs="宋体"/>
                <w:color w:val="auto"/>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3" w:type="dxa"/>
            <w:vAlign w:val="center"/>
            <w:textDirection w:val="lrTb"/>
            <w:noWrap w:val="false"/>
          </w:tcPr>
          <w:p>
            <w:pPr>
              <w:ind w:left="0" w:right="0" w:firstLine="420"/>
              <w:spacing w:before="0" w:after="0"/>
              <w:rPr>
                <w:rFonts w:hint="eastAsia" w:ascii="宋体" w:hAnsi="宋体" w:cs="宋体"/>
                <w:color w:val="auto"/>
                <w:sz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突发事件应急预案</w:t>
            </w:r>
            <w:r>
              <w:rPr>
                <w:rFonts w:hint="eastAsia" w:ascii="宋体" w:hAnsi="宋体" w:eastAsia="宋体" w:cs="宋体"/>
                <w:color w:val="auto"/>
                <w:sz w:val="22"/>
              </w:rPr>
              <w:t xml:space="preserve">（本项最高得</w:t>
            </w:r>
            <w:r>
              <w:rPr>
                <w:rFonts w:hint="eastAsia" w:ascii="宋体" w:hAnsi="宋体" w:cs="宋体"/>
                <w:color w:val="auto"/>
                <w:sz w:val="22"/>
                <w:lang w:val="en-US" w:eastAsia="zh-CN"/>
              </w:rPr>
              <w:t xml:space="preserve">10</w:t>
            </w:r>
            <w:r>
              <w:rPr>
                <w:rFonts w:hint="eastAsia" w:ascii="宋体" w:hAnsi="宋体" w:eastAsia="宋体" w:cs="宋体"/>
                <w:color w:val="auto"/>
                <w:sz w:val="22"/>
              </w:rPr>
              <w:t xml:space="preserve">分）</w:t>
            </w:r>
            <w:r/>
          </w:p>
          <w:p>
            <w:pPr>
              <w:ind w:left="0" w:right="0" w:firstLine="420"/>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lang w:val="en-US" w:eastAsia="zh-CN"/>
              </w:rPr>
              <w:t xml:space="preserve">投标人根据采购文件第四章采购需求第</w:t>
            </w:r>
            <w:r>
              <w:rPr>
                <w:rFonts w:hint="eastAsia" w:ascii="宋体" w:hAnsi="宋体" w:eastAsia="宋体" w:cs="宋体"/>
                <w:color w:val="auto"/>
                <w:sz w:val="22"/>
              </w:rPr>
              <w:t xml:space="preserve">7.1.</w:t>
            </w:r>
            <w:r>
              <w:rPr>
                <w:rFonts w:hint="eastAsia" w:ascii="宋体" w:hAnsi="宋体" w:cs="宋体"/>
                <w:color w:val="auto"/>
                <w:sz w:val="22"/>
                <w:lang w:val="en-US" w:eastAsia="zh-CN"/>
              </w:rPr>
              <w:t xml:space="preserve">4条，编制详细的</w:t>
            </w:r>
            <w:r>
              <w:rPr>
                <w:rFonts w:ascii="宋体" w:hAnsi="宋体" w:eastAsia="宋体" w:cs="宋体"/>
                <w:color w:val="auto"/>
                <w:sz w:val="22"/>
              </w:rPr>
              <w:t xml:space="preserve">突发事件应急预案</w:t>
            </w:r>
            <w:r>
              <w:rPr>
                <w:rFonts w:hint="eastAsia" w:ascii="宋体" w:hAnsi="宋体" w:cs="宋体"/>
                <w:color w:val="auto"/>
                <w:sz w:val="22"/>
                <w:lang w:eastAsia="zh-CN"/>
              </w:rPr>
              <w:t xml:space="preserve">，</w:t>
            </w:r>
            <w:r>
              <w:rPr>
                <w:rFonts w:ascii="宋体" w:hAnsi="宋体" w:eastAsia="宋体" w:cs="宋体"/>
                <w:color w:val="auto"/>
                <w:sz w:val="22"/>
              </w:rPr>
              <w:t xml:space="preserve">应急预案</w:t>
            </w:r>
            <w:r>
              <w:rPr>
                <w:rFonts w:hint="eastAsia" w:ascii="宋体" w:hAnsi="宋体" w:cs="宋体"/>
                <w:color w:val="auto"/>
                <w:sz w:val="22"/>
                <w:lang w:eastAsia="zh-CN"/>
              </w:rPr>
              <w:t xml:space="preserve">至少包含（1）突发事件应急预案制度、组织架构，（2）突发事件应急预案编制依据，（3）突发事件应急防范能力、物资配备，（4）风险预判、防范措施。</w:t>
            </w:r>
            <w:r>
              <w:rPr>
                <w:rFonts w:ascii="宋体" w:hAnsi="宋体" w:eastAsia="宋体" w:cs="宋体"/>
                <w:color w:val="auto"/>
                <w:sz w:val="22"/>
              </w:rPr>
              <w:t xml:space="preserve">应急预案优于项目需求得1</w:t>
            </w:r>
            <w:r>
              <w:rPr>
                <w:rFonts w:hint="eastAsia" w:ascii="宋体" w:hAnsi="宋体" w:cs="宋体"/>
                <w:color w:val="auto"/>
                <w:sz w:val="22"/>
                <w:lang w:val="en-US" w:eastAsia="zh-CN"/>
              </w:rPr>
              <w:t xml:space="preserve">0</w:t>
            </w:r>
            <w:r>
              <w:rPr>
                <w:rFonts w:ascii="宋体" w:hAnsi="宋体" w:eastAsia="宋体" w:cs="宋体"/>
                <w:color w:val="auto"/>
                <w:sz w:val="22"/>
              </w:rPr>
              <w:t xml:space="preserve">分；满足项目需求的得</w:t>
            </w:r>
            <w:r>
              <w:rPr>
                <w:rFonts w:hint="eastAsia" w:ascii="宋体" w:hAnsi="宋体" w:cs="宋体"/>
                <w:color w:val="auto"/>
                <w:sz w:val="22"/>
                <w:lang w:val="en-US" w:eastAsia="zh-CN"/>
              </w:rPr>
              <w:t xml:space="preserve">7</w:t>
            </w:r>
            <w:r>
              <w:rPr>
                <w:rFonts w:ascii="宋体" w:hAnsi="宋体" w:eastAsia="宋体" w:cs="宋体"/>
                <w:color w:val="auto"/>
                <w:sz w:val="22"/>
              </w:rPr>
              <w:t xml:space="preserve">分；不满足项目需求或未提供得0分。</w:t>
            </w:r>
            <w:r/>
          </w:p>
          <w:p>
            <w:pPr>
              <w:ind w:left="0" w:right="0" w:firstLine="420"/>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w:t>
            </w:r>
            <w:r>
              <w:rPr>
                <w:rFonts w:hint="eastAsia" w:ascii="宋体" w:hAnsi="宋体" w:cs="宋体"/>
                <w:color w:val="auto"/>
                <w:sz w:val="22"/>
                <w:lang w:eastAsia="zh-CN"/>
              </w:rPr>
              <w:t xml:space="preserve">满足</w:t>
            </w:r>
            <w:r>
              <w:rPr>
                <w:rFonts w:hint="eastAsia" w:ascii="宋体" w:hAnsi="宋体" w:eastAsia="宋体" w:cs="宋体"/>
                <w:color w:val="auto"/>
                <w:sz w:val="22"/>
              </w:rPr>
              <w:t xml:space="preserve">。具体由评审委员会评审。</w:t>
            </w:r>
            <w:r/>
          </w:p>
        </w:tc>
      </w:tr>
      <w:tr>
        <w:trPr>
          <w:trHeight w:val="1076"/>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三</w:t>
            </w:r>
            <w:r/>
          </w:p>
        </w:tc>
        <w:tc>
          <w:tcPr>
            <w:tcBorders>
              <w:top w:val="none" w:color="000000" w:sz="4" w:space="0"/>
              <w:left w:val="single" w:color="000000" w:sz="4" w:space="0"/>
              <w:bottom w:val="single" w:color="auto" w:sz="4"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售后服务</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服务期满后移交工作介绍方案</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4分</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093" w:type="dxa"/>
            <w:vAlign w:val="center"/>
            <w:textDirection w:val="lrTb"/>
            <w:noWrap w:val="false"/>
          </w:tcPr>
          <w:p>
            <w:pPr>
              <w:ind w:left="0" w:right="0" w:firstLine="420"/>
              <w:spacing w:before="0" w:after="0"/>
              <w:rPr>
                <w:rFonts w:hint="eastAsia" w:ascii="宋体" w:hAnsi="宋体" w:cs="宋体"/>
                <w:color w:val="auto"/>
                <w:sz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服务期满后移交工作介绍方案</w:t>
            </w:r>
            <w:r>
              <w:rPr>
                <w:rFonts w:hint="eastAsia" w:ascii="宋体" w:hAnsi="宋体" w:eastAsia="宋体" w:cs="宋体"/>
                <w:color w:val="auto"/>
                <w:sz w:val="22"/>
              </w:rPr>
              <w:t xml:space="preserve">（本项最高得</w:t>
            </w:r>
            <w:r>
              <w:rPr>
                <w:rFonts w:hint="eastAsia" w:ascii="宋体" w:hAnsi="宋体" w:cs="宋体"/>
                <w:color w:val="auto"/>
                <w:sz w:val="22"/>
                <w:lang w:val="en-US" w:eastAsia="zh-CN"/>
              </w:rPr>
              <w:t xml:space="preserve">4</w:t>
            </w:r>
            <w:r>
              <w:rPr>
                <w:rFonts w:hint="eastAsia" w:ascii="宋体" w:hAnsi="宋体" w:eastAsia="宋体" w:cs="宋体"/>
                <w:color w:val="auto"/>
                <w:sz w:val="22"/>
              </w:rPr>
              <w:t xml:space="preserve">分）</w:t>
            </w:r>
            <w:r/>
          </w:p>
          <w:p>
            <w:pPr>
              <w:ind w:left="0" w:right="0" w:firstLine="420"/>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lang w:val="en-US" w:eastAsia="zh-CN"/>
              </w:rPr>
              <w:t xml:space="preserve">投标人根据采购文件第四章采购需求第</w:t>
            </w:r>
            <w:r>
              <w:rPr>
                <w:rFonts w:hint="eastAsia" w:ascii="宋体" w:hAnsi="宋体" w:eastAsia="宋体" w:cs="宋体"/>
                <w:color w:val="auto"/>
                <w:sz w:val="22"/>
              </w:rPr>
              <w:t xml:space="preserve">7.1.</w:t>
            </w:r>
            <w:r>
              <w:rPr>
                <w:rFonts w:hint="eastAsia" w:ascii="宋体" w:hAnsi="宋体" w:cs="宋体"/>
                <w:color w:val="auto"/>
                <w:sz w:val="22"/>
                <w:lang w:val="en-US" w:eastAsia="zh-CN"/>
              </w:rPr>
              <w:t xml:space="preserve">5条，编制详细的</w:t>
            </w:r>
            <w:r>
              <w:rPr>
                <w:rFonts w:ascii="宋体" w:hAnsi="宋体" w:eastAsia="宋体" w:cs="宋体"/>
                <w:color w:val="auto"/>
                <w:sz w:val="22"/>
              </w:rPr>
              <w:t xml:space="preserve">服务期满后移交工作介绍方案，方案</w:t>
            </w:r>
            <w:r>
              <w:rPr>
                <w:rFonts w:hint="eastAsia" w:ascii="宋体" w:hAnsi="宋体" w:eastAsia="宋体" w:cs="宋体"/>
                <w:color w:val="auto"/>
                <w:sz w:val="22"/>
              </w:rPr>
              <w:t xml:space="preserve">至少包含（1）设施设备移交方案；（2）技术资料移交方案，（3）移交流程与验收方案。</w:t>
            </w:r>
            <w:r>
              <w:rPr>
                <w:rFonts w:ascii="宋体" w:hAnsi="宋体" w:eastAsia="宋体" w:cs="宋体"/>
                <w:color w:val="auto"/>
                <w:sz w:val="22"/>
                <w:highlight w:val="white"/>
              </w:rPr>
              <w:t xml:space="preserve">方案</w:t>
            </w:r>
            <w:r>
              <w:rPr>
                <w:rFonts w:ascii="宋体" w:hAnsi="宋体" w:eastAsia="宋体" w:cs="宋体"/>
                <w:color w:val="auto"/>
                <w:sz w:val="22"/>
              </w:rPr>
              <w:t xml:space="preserve">优于项目需求得4分；满足项目需求的得3分；不满足项目需求或未提供得0分。</w:t>
            </w:r>
            <w:r/>
          </w:p>
          <w:p>
            <w:pPr>
              <w:ind w:left="0" w:right="0" w:firstLine="420"/>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w:t>
            </w:r>
            <w:r>
              <w:rPr>
                <w:rFonts w:hint="eastAsia" w:ascii="宋体" w:hAnsi="宋体" w:cs="宋体"/>
                <w:color w:val="auto"/>
                <w:sz w:val="22"/>
                <w:lang w:eastAsia="zh-CN"/>
              </w:rPr>
              <w:t xml:space="preserve">满足</w:t>
            </w:r>
            <w:r>
              <w:rPr>
                <w:rFonts w:hint="eastAsia" w:ascii="宋体" w:hAnsi="宋体" w:eastAsia="宋体" w:cs="宋体"/>
                <w:color w:val="auto"/>
                <w:sz w:val="22"/>
              </w:rPr>
              <w:t xml:space="preserve">。具体由评审委员会评审。</w:t>
            </w:r>
            <w:r/>
          </w:p>
        </w:tc>
      </w:tr>
      <w:tr>
        <w:trPr>
          <w:trHeight w:val="1334"/>
        </w:trPr>
        <w:tc>
          <w:tcPr>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四</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业绩</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业绩</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12分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5093" w:type="dxa"/>
            <w:vAlign w:val="center"/>
            <w:textDirection w:val="lrTb"/>
            <w:noWrap w:val="false"/>
          </w:tcPr>
          <w:p>
            <w:pPr>
              <w:ind w:left="0" w:right="0" w:firstLine="420"/>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供应商自202</w:t>
            </w:r>
            <w:r>
              <w:rPr>
                <w:rFonts w:hint="eastAsia" w:ascii="宋体" w:hAnsi="宋体" w:cs="宋体"/>
                <w:color w:val="auto"/>
                <w:sz w:val="22"/>
                <w:lang w:val="en-US" w:eastAsia="zh-CN"/>
              </w:rPr>
              <w:t xml:space="preserve">3</w:t>
            </w:r>
            <w:r>
              <w:rPr>
                <w:rFonts w:ascii="宋体" w:hAnsi="宋体" w:eastAsia="宋体" w:cs="宋体"/>
                <w:color w:val="auto"/>
                <w:sz w:val="22"/>
              </w:rPr>
              <w:t xml:space="preserve">年1月1日（以合同签订日期为准）以来承担类似公共建筑消防维保项目（不包含住宅、厂区消防维保），有一个得</w:t>
            </w:r>
            <w:r>
              <w:rPr>
                <w:rFonts w:hint="eastAsia" w:ascii="宋体" w:hAnsi="宋体" w:cs="宋体"/>
                <w:color w:val="auto"/>
                <w:sz w:val="22"/>
                <w:lang w:val="en-US" w:eastAsia="zh-CN"/>
              </w:rPr>
              <w:t xml:space="preserve">3</w:t>
            </w:r>
            <w:r>
              <w:rPr>
                <w:rFonts w:ascii="宋体" w:hAnsi="宋体" w:eastAsia="宋体" w:cs="宋体"/>
                <w:color w:val="auto"/>
                <w:sz w:val="22"/>
              </w:rPr>
              <w:t xml:space="preserve">分，最多得12分。</w:t>
            </w:r>
            <w:r/>
          </w:p>
          <w:p>
            <w:pPr>
              <w:ind w:left="0" w:right="0" w:firstLine="420"/>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供应商须提供业绩合同原件扫描件，合同中必须包含服务内容、合同签订时间等信息，否则不计分。</w:t>
            </w:r>
            <w:r/>
          </w:p>
        </w:tc>
      </w:tr>
      <w:tr>
        <w:trPr>
          <w:trHeight w:val="1667"/>
        </w:trPr>
        <w:tc>
          <w:tcPr>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五</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人员配备</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人员配备</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5分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5093" w:type="dxa"/>
            <w:vAlign w:val="center"/>
            <w:textDirection w:val="lrTb"/>
            <w:noWrap w:val="false"/>
          </w:tcPr>
          <w:p>
            <w:pPr>
              <w:ind w:left="0" w:right="0" w:firstLine="420"/>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2"/>
              </w:rPr>
              <w:t xml:space="preserve">服务技术人员取得中级及以上</w:t>
            </w:r>
            <w:r>
              <w:rPr>
                <w:rFonts w:hint="eastAsia" w:ascii="宋体" w:hAnsi="宋体" w:cs="宋体"/>
                <w:b w:val="0"/>
                <w:bCs w:val="0"/>
                <w:color w:val="auto"/>
                <w:sz w:val="22"/>
                <w:lang w:eastAsia="zh-CN"/>
              </w:rPr>
              <w:t xml:space="preserve">（四级及以上）</w:t>
            </w:r>
            <w:r>
              <w:rPr>
                <w:rFonts w:ascii="宋体" w:hAnsi="宋体" w:eastAsia="宋体" w:cs="宋体"/>
                <w:b w:val="0"/>
                <w:bCs w:val="0"/>
                <w:color w:val="auto"/>
                <w:sz w:val="22"/>
              </w:rPr>
              <w:t xml:space="preserve">消防</w:t>
            </w:r>
            <w:r>
              <w:rPr>
                <w:rFonts w:hint="eastAsia" w:ascii="宋体" w:hAnsi="宋体" w:cs="宋体"/>
                <w:b w:val="0"/>
                <w:bCs w:val="0"/>
                <w:color w:val="auto"/>
                <w:sz w:val="22"/>
                <w:lang w:eastAsia="zh-CN"/>
              </w:rPr>
              <w:t xml:space="preserve">设施操作员证书</w:t>
            </w:r>
            <w:r>
              <w:rPr>
                <w:rFonts w:ascii="宋体" w:hAnsi="宋体" w:eastAsia="宋体" w:cs="宋体"/>
                <w:b w:val="0"/>
                <w:bCs w:val="0"/>
                <w:color w:val="auto"/>
                <w:sz w:val="22"/>
              </w:rPr>
              <w:t xml:space="preserve">得3分/人</w:t>
            </w:r>
            <w:r>
              <w:rPr>
                <w:rFonts w:hint="eastAsia" w:ascii="宋体" w:hAnsi="宋体" w:cs="宋体"/>
                <w:b w:val="0"/>
                <w:bCs w:val="0"/>
                <w:color w:val="auto"/>
                <w:sz w:val="22"/>
                <w:lang w:eastAsia="zh-CN"/>
              </w:rPr>
              <w:t xml:space="preserve">；取得初</w:t>
            </w:r>
            <w:r>
              <w:rPr>
                <w:rFonts w:ascii="宋体" w:hAnsi="宋体" w:eastAsia="宋体" w:cs="宋体"/>
                <w:b w:val="0"/>
                <w:bCs w:val="0"/>
                <w:color w:val="auto"/>
                <w:sz w:val="22"/>
              </w:rPr>
              <w:t xml:space="preserve">级</w:t>
            </w:r>
            <w:r>
              <w:rPr>
                <w:rFonts w:hint="eastAsia" w:ascii="宋体" w:hAnsi="宋体" w:cs="宋体"/>
                <w:b w:val="0"/>
                <w:bCs w:val="0"/>
                <w:color w:val="auto"/>
                <w:sz w:val="22"/>
                <w:lang w:eastAsia="zh-CN"/>
              </w:rPr>
              <w:t xml:space="preserve">（五级）</w:t>
            </w:r>
            <w:r>
              <w:rPr>
                <w:rFonts w:ascii="宋体" w:hAnsi="宋体" w:eastAsia="宋体" w:cs="宋体"/>
                <w:b w:val="0"/>
                <w:bCs w:val="0"/>
                <w:color w:val="auto"/>
                <w:sz w:val="22"/>
              </w:rPr>
              <w:t xml:space="preserve">消防</w:t>
            </w:r>
            <w:r>
              <w:rPr>
                <w:rFonts w:hint="eastAsia" w:ascii="宋体" w:hAnsi="宋体" w:cs="宋体"/>
                <w:b w:val="0"/>
                <w:bCs w:val="0"/>
                <w:color w:val="auto"/>
                <w:sz w:val="22"/>
                <w:lang w:eastAsia="zh-CN"/>
              </w:rPr>
              <w:t xml:space="preserve">设施操作员证书</w:t>
            </w:r>
            <w:r>
              <w:rPr>
                <w:rFonts w:ascii="宋体" w:hAnsi="宋体" w:eastAsia="宋体" w:cs="宋体"/>
                <w:b w:val="0"/>
                <w:bCs w:val="0"/>
                <w:color w:val="auto"/>
                <w:sz w:val="22"/>
              </w:rPr>
              <w:t xml:space="preserve">得1分/人。（</w:t>
            </w:r>
            <w:r>
              <w:rPr>
                <w:rFonts w:hint="eastAsia" w:ascii="宋体" w:hAnsi="宋体" w:cs="宋体"/>
                <w:b w:val="0"/>
                <w:bCs w:val="0"/>
                <w:color w:val="auto"/>
                <w:sz w:val="22"/>
                <w:lang w:val="en-US" w:eastAsia="zh-CN"/>
              </w:rPr>
              <w:t xml:space="preserve">本项需提供</w:t>
            </w:r>
            <w:r>
              <w:rPr>
                <w:rFonts w:ascii="宋体" w:hAnsi="宋体" w:eastAsia="宋体" w:cs="宋体"/>
                <w:b w:val="0"/>
                <w:bCs w:val="0"/>
                <w:color w:val="auto"/>
                <w:sz w:val="22"/>
              </w:rPr>
              <w:t xml:space="preserve">服务技术人员</w:t>
            </w:r>
            <w:r>
              <w:rPr>
                <w:rFonts w:hint="eastAsia" w:ascii="宋体" w:hAnsi="宋体" w:cs="宋体"/>
                <w:b w:val="0"/>
                <w:bCs w:val="0"/>
                <w:color w:val="auto"/>
                <w:sz w:val="22"/>
                <w:lang w:val="en-US" w:eastAsia="zh-CN"/>
              </w:rPr>
              <w:t xml:space="preserve">的</w:t>
            </w:r>
            <w:r>
              <w:rPr>
                <w:rFonts w:ascii="宋体" w:hAnsi="宋体" w:eastAsia="宋体" w:cs="宋体"/>
                <w:b w:val="0"/>
                <w:bCs w:val="0"/>
                <w:color w:val="auto"/>
                <w:sz w:val="22"/>
              </w:rPr>
              <w:t xml:space="preserve">消防员证</w:t>
            </w:r>
            <w:r>
              <w:rPr>
                <w:rFonts w:hint="eastAsia" w:ascii="宋体" w:hAnsi="宋体" w:cs="宋体"/>
                <w:b w:val="0"/>
                <w:bCs w:val="0"/>
                <w:color w:val="auto"/>
                <w:sz w:val="22"/>
                <w:lang w:val="en-US" w:eastAsia="zh-CN"/>
              </w:rPr>
              <w:t xml:space="preserve">书原件扫描件计分，</w:t>
            </w:r>
            <w:r>
              <w:rPr>
                <w:rFonts w:ascii="宋体" w:hAnsi="宋体" w:eastAsia="宋体" w:cs="宋体"/>
                <w:b w:val="0"/>
                <w:bCs w:val="0"/>
                <w:color w:val="auto"/>
                <w:sz w:val="22"/>
              </w:rPr>
              <w:t xml:space="preserve">未提供不得分），本项最高分为5分。</w:t>
            </w:r>
            <w:r/>
          </w:p>
        </w:tc>
      </w:tr>
    </w:tbl>
    <w:p>
      <w:pPr>
        <w:ind w:left="0" w:right="0" w:firstLine="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pStyle w:val="785"/>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bookmarkStart w:id="160" w:name="_Toc21498"/>
      <w:r/>
      <w:bookmarkStart w:id="161" w:name="_Toc14849"/>
      <w:r>
        <w:rPr>
          <w:rFonts w:ascii="黑体" w:hAnsi="黑体" w:eastAsia="黑体" w:cs="黑体"/>
          <w:b/>
          <w:color w:val="auto"/>
          <w:sz w:val="44"/>
        </w:rPr>
        <w:t xml:space="preserve">第六章 投标文件格式</w:t>
      </w:r>
      <w:bookmarkEnd w:id="160"/>
      <w:r/>
      <w:bookmarkEnd w:id="161"/>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rPr>
        <w:t xml:space="preserve"> </w:t>
      </w:r>
      <w:r/>
    </w:p>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outlineLvl w:val="0"/>
      </w:pPr>
      <w:r/>
      <w:bookmarkStart w:id="162" w:name="_Toc4559"/>
      <w:r/>
      <w:bookmarkStart w:id="163" w:name="_Toc8332"/>
      <w:r>
        <w:rPr>
          <w:rFonts w:ascii="宋体" w:hAnsi="宋体" w:eastAsia="宋体" w:cs="宋体"/>
          <w:b/>
          <w:color w:val="auto"/>
          <w:sz w:val="72"/>
        </w:rPr>
        <w:t xml:space="preserve">投 标 文 件</w:t>
      </w:r>
      <w:bookmarkEnd w:id="162"/>
      <w:r/>
      <w:bookmarkEnd w:id="163"/>
      <w:r/>
      <w:r/>
    </w:p>
    <w:p>
      <w:pPr>
        <w:ind w:left="0" w:right="0" w:firstLine="1084"/>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ind w:left="0" w:right="0" w:firstLine="1084"/>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ind w:left="0" w:right="0" w:firstLine="1084"/>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ind w:left="0" w:right="0" w:firstLine="1084"/>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ind w:left="0" w:right="0" w:firstLine="1084"/>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ind w:left="0" w:right="0" w:firstLine="1084"/>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 </w:t>
      </w:r>
      <w:r/>
    </w:p>
    <w:p>
      <w:pPr>
        <w:ind w:left="0" w:right="0" w:firstLine="1084"/>
        <w:jc w:val="both"/>
        <w:spacing w:before="100" w:after="100"/>
        <w:rPr>
          <w:color w:val="auto"/>
        </w:rPr>
        <w:pBdr>
          <w:top w:val="none" w:color="000000" w:sz="0" w:space="0"/>
          <w:left w:val="none" w:color="000000" w:sz="0" w:space="0"/>
          <w:bottom w:val="none" w:color="000000" w:sz="0" w:space="0"/>
          <w:right w:val="none" w:color="000000" w:sz="0" w:space="0"/>
        </w:pBdr>
        <w:outlineLvl w:val="0"/>
      </w:pPr>
      <w:r/>
      <w:bookmarkStart w:id="164" w:name="_Toc13678"/>
      <w:r/>
      <w:bookmarkStart w:id="165" w:name="_Toc25788"/>
      <w:r>
        <w:rPr>
          <w:rFonts w:ascii="宋体" w:hAnsi="宋体" w:eastAsia="宋体" w:cs="宋体"/>
          <w:b/>
          <w:color w:val="auto"/>
          <w:spacing w:val="60"/>
          <w:sz w:val="36"/>
        </w:rPr>
        <w:t xml:space="preserve">项目名</w:t>
      </w:r>
      <w:r>
        <w:rPr>
          <w:rFonts w:ascii="宋体" w:hAnsi="宋体" w:eastAsia="宋体" w:cs="宋体"/>
          <w:b/>
          <w:color w:val="auto"/>
          <w:sz w:val="36"/>
        </w:rPr>
        <w:t xml:space="preserve">称：</w:t>
      </w:r>
      <w:r>
        <w:rPr>
          <w:rFonts w:ascii="宋体" w:hAnsi="宋体" w:eastAsia="宋体" w:cs="宋体"/>
          <w:b/>
          <w:color w:val="auto"/>
          <w:sz w:val="36"/>
          <w:u w:val="single"/>
        </w:rPr>
        <w:t xml:space="preserve">            </w:t>
      </w:r>
      <w:bookmarkEnd w:id="164"/>
      <w:r/>
      <w:bookmarkEnd w:id="165"/>
      <w:r/>
      <w:r/>
    </w:p>
    <w:p>
      <w:pPr>
        <w:ind w:left="0" w:right="0" w:firstLine="1084"/>
        <w:jc w:val="both"/>
        <w:spacing w:before="100" w:after="100"/>
        <w:rPr>
          <w:color w:val="auto"/>
        </w:rPr>
        <w:pBdr>
          <w:top w:val="none" w:color="000000" w:sz="0" w:space="0"/>
          <w:left w:val="none" w:color="000000" w:sz="0" w:space="0"/>
          <w:bottom w:val="none" w:color="000000" w:sz="0" w:space="0"/>
          <w:right w:val="none" w:color="000000" w:sz="0" w:space="0"/>
        </w:pBdr>
        <w:outlineLvl w:val="0"/>
      </w:pPr>
      <w:r/>
      <w:bookmarkStart w:id="166" w:name="_Toc2348"/>
      <w:r/>
      <w:bookmarkStart w:id="167" w:name="_Toc20199"/>
      <w:r>
        <w:rPr>
          <w:rFonts w:ascii="宋体" w:hAnsi="宋体" w:eastAsia="宋体" w:cs="宋体"/>
          <w:b/>
          <w:color w:val="auto"/>
          <w:spacing w:val="60"/>
          <w:sz w:val="36"/>
        </w:rPr>
        <w:t xml:space="preserve">项目编</w:t>
      </w:r>
      <w:r>
        <w:rPr>
          <w:rFonts w:ascii="宋体" w:hAnsi="宋体" w:eastAsia="宋体" w:cs="宋体"/>
          <w:b/>
          <w:color w:val="auto"/>
          <w:sz w:val="36"/>
        </w:rPr>
        <w:t xml:space="preserve">号：</w:t>
      </w:r>
      <w:r>
        <w:rPr>
          <w:rFonts w:ascii="宋体" w:hAnsi="宋体" w:eastAsia="宋体" w:cs="宋体"/>
          <w:b/>
          <w:color w:val="auto"/>
          <w:sz w:val="36"/>
          <w:u w:val="single"/>
        </w:rPr>
        <w:t xml:space="preserve">            </w:t>
      </w:r>
      <w:bookmarkEnd w:id="166"/>
      <w:r/>
      <w:bookmarkEnd w:id="167"/>
      <w:r/>
      <w:r/>
    </w:p>
    <w:p>
      <w:pPr>
        <w:ind w:left="0" w:right="0" w:firstLine="1084"/>
        <w:jc w:val="both"/>
        <w:spacing w:before="100" w:after="100"/>
        <w:rPr>
          <w:color w:val="auto"/>
        </w:rPr>
        <w:pBdr>
          <w:top w:val="none" w:color="000000" w:sz="0" w:space="0"/>
          <w:left w:val="none" w:color="000000" w:sz="0" w:space="0"/>
          <w:bottom w:val="none" w:color="000000" w:sz="0" w:space="0"/>
          <w:right w:val="none" w:color="000000" w:sz="0" w:space="0"/>
        </w:pBdr>
        <w:outlineLvl w:val="0"/>
      </w:pPr>
      <w:r/>
      <w:bookmarkStart w:id="168" w:name="_Toc20902"/>
      <w:r/>
      <w:bookmarkStart w:id="169" w:name="_Toc4179"/>
      <w:r>
        <w:rPr>
          <w:rFonts w:ascii="宋体" w:hAnsi="宋体" w:eastAsia="宋体" w:cs="宋体"/>
          <w:b/>
          <w:color w:val="auto"/>
          <w:sz w:val="36"/>
        </w:rPr>
        <w:t xml:space="preserve">投标人名称：</w:t>
      </w:r>
      <w:r>
        <w:rPr>
          <w:rFonts w:ascii="宋体" w:hAnsi="宋体" w:eastAsia="宋体" w:cs="宋体"/>
          <w:b/>
          <w:color w:val="auto"/>
          <w:sz w:val="36"/>
          <w:u w:val="single"/>
        </w:rPr>
        <w:t xml:space="preserve"> （加盖CA电子公章）  </w:t>
      </w:r>
      <w:bookmarkEnd w:id="168"/>
      <w:r/>
      <w:bookmarkEnd w:id="169"/>
      <w:r/>
      <w:r/>
    </w:p>
    <w:p>
      <w:pPr>
        <w:ind w:left="0" w:right="0" w:firstLine="1084"/>
        <w:jc w:val="both"/>
        <w:spacing w:before="100" w:after="100"/>
        <w:rPr>
          <w:color w:val="auto"/>
        </w:rPr>
        <w:pBdr>
          <w:top w:val="none" w:color="000000" w:sz="0" w:space="0"/>
          <w:left w:val="none" w:color="000000" w:sz="0" w:space="0"/>
          <w:bottom w:val="none" w:color="000000" w:sz="0" w:space="0"/>
          <w:right w:val="none" w:color="000000" w:sz="0" w:space="0"/>
        </w:pBdr>
        <w:outlineLvl w:val="0"/>
      </w:pPr>
      <w:r/>
      <w:bookmarkStart w:id="170" w:name="_Toc5465"/>
      <w:r/>
      <w:bookmarkStart w:id="171" w:name="_Toc31015"/>
      <w:r>
        <w:rPr>
          <w:rFonts w:ascii="宋体" w:hAnsi="宋体" w:eastAsia="宋体" w:cs="宋体"/>
          <w:b/>
          <w:color w:val="auto"/>
          <w:spacing w:val="540"/>
          <w:sz w:val="36"/>
        </w:rPr>
        <w:t xml:space="preserve">日</w:t>
      </w:r>
      <w:r>
        <w:rPr>
          <w:rFonts w:ascii="宋体" w:hAnsi="宋体" w:eastAsia="宋体" w:cs="宋体"/>
          <w:b/>
          <w:color w:val="auto"/>
          <w:sz w:val="36"/>
        </w:rPr>
        <w:t xml:space="preserve">期：</w:t>
      </w:r>
      <w:r>
        <w:rPr>
          <w:rFonts w:ascii="宋体" w:hAnsi="宋体" w:eastAsia="宋体" w:cs="宋体"/>
          <w:b/>
          <w:color w:val="auto"/>
          <w:sz w:val="36"/>
          <w:u w:val="single"/>
        </w:rPr>
        <w:t xml:space="preserve">            </w:t>
      </w:r>
      <w:bookmarkEnd w:id="170"/>
      <w:r/>
      <w:bookmarkEnd w:id="171"/>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outlineLvl w:val="0"/>
      </w:pPr>
      <w:r/>
      <w:bookmarkStart w:id="172" w:name="_Toc29571"/>
      <w:r/>
      <w:bookmarkStart w:id="173" w:name="_Toc30561"/>
      <w:r>
        <w:rPr>
          <w:rFonts w:ascii="宋体" w:hAnsi="宋体" w:eastAsia="宋体" w:cs="宋体"/>
          <w:b/>
          <w:color w:val="auto"/>
          <w:sz w:val="32"/>
        </w:rPr>
        <w:t xml:space="preserve">投标文件目录</w:t>
      </w:r>
      <w:bookmarkEnd w:id="172"/>
      <w:r/>
      <w:bookmarkEnd w:id="173"/>
      <w:r/>
      <w:r/>
    </w:p>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一、法人或者其他组织的营业执照等证明文件，自然人的身份证明</w:t>
      </w:r>
      <w:r/>
    </w:p>
    <w:p>
      <w:pPr>
        <w:ind w:left="0" w:right="0" w:firstLine="480"/>
        <w:keepLines w:val="0"/>
        <w:keepNext w:val="0"/>
        <w:pageBreakBefore w:val="0"/>
        <w:spacing w:line="520" w:lineRule="exact"/>
        <w:widowControl w:val="off"/>
        <w:tabs>
          <w:tab w:val="left" w:pos="1331" w:leader="none"/>
        </w:tabs>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w:t>
      </w:r>
      <w:r>
        <w:rPr>
          <w:rFonts w:hint="eastAsia" w:ascii="宋体" w:hAnsi="宋体" w:cs="宋体"/>
          <w:color w:val="auto"/>
          <w:sz w:val="24"/>
          <w:lang w:val="en-US" w:eastAsia="zh-CN"/>
        </w:rPr>
        <w:t xml:space="preserve">上一年度的财务状况报表（2025年财务状况报表未出的，可使用2024年度报表，至少提供资产负债表、利润表、现金流量表，成立不满一年无需提供）</w:t>
      </w:r>
      <w:r/>
    </w:p>
    <w:p>
      <w:pPr>
        <w:ind w:left="0" w:right="0" w:firstLine="482"/>
        <w:jc w:val="both"/>
        <w:keepLines w:val="0"/>
        <w:keepNext w:val="0"/>
        <w:pageBreakBefore w:val="0"/>
        <w:spacing w:line="520" w:lineRule="exact"/>
        <w:widowControl w:val="off"/>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三、具备履行合同所必需的设备和专业技术能力的书面声明</w:t>
      </w:r>
      <w:r/>
    </w:p>
    <w:p>
      <w:pPr>
        <w:ind w:left="0" w:right="0" w:firstLine="480"/>
        <w:jc w:val="both"/>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四、依法缴纳税收和社会保障资金的相关材料（提供提交投标文件截止时间前一</w:t>
      </w:r>
      <w:r/>
    </w:p>
    <w:p>
      <w:pPr>
        <w:ind w:left="0" w:right="0" w:firstLine="0"/>
        <w:jc w:val="both"/>
        <w:keepLines w:val="0"/>
        <w:keepNext w:val="0"/>
        <w:pageBreakBefore w:val="0"/>
        <w:spacing w:line="52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年内至少一个月依法缴纳税收及缴纳社会保障资金的证明材料。投标人依法享受缓缴、免缴税收、社会保障资金的提供证明材料）</w:t>
      </w:r>
      <w:r/>
    </w:p>
    <w:p>
      <w:pPr>
        <w:ind w:left="0" w:right="0" w:firstLine="480"/>
        <w:jc w:val="both"/>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五、参加政府采购活动前 3 年内在经营活动中没有重大违法记录的书面声明</w:t>
      </w:r>
      <w:r/>
    </w:p>
    <w:p>
      <w:pPr>
        <w:ind w:left="0" w:right="0" w:firstLine="480"/>
        <w:jc w:val="both"/>
        <w:keepLines w:val="0"/>
        <w:keepNext w:val="0"/>
        <w:pageBreakBefore w:val="0"/>
        <w:spacing w:line="520" w:lineRule="exact"/>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六、单位负责人为同一人或者存在直接控股、管理关系的不同供应商，不得参加同一合同项下的政府采购活动</w:t>
      </w:r>
      <w:r>
        <w:rPr>
          <w:rFonts w:ascii="宋体" w:hAnsi="宋体" w:eastAsia="宋体" w:cs="宋体"/>
          <w:color w:val="auto"/>
          <w:sz w:val="24"/>
        </w:rPr>
        <w:t xml:space="preserve">书面声明</w:t>
      </w:r>
      <w:r/>
    </w:p>
    <w:p>
      <w:pPr>
        <w:ind w:left="0" w:right="0" w:firstLine="480"/>
        <w:jc w:val="both"/>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七</w:t>
      </w:r>
      <w:r>
        <w:rPr>
          <w:rFonts w:ascii="宋体" w:hAnsi="宋体" w:eastAsia="宋体" w:cs="宋体"/>
          <w:color w:val="auto"/>
          <w:sz w:val="24"/>
        </w:rPr>
        <w:t xml:space="preserve">、特定资格要求的证明文件（如果本项目设置特定资格要求，则需要提供）</w:t>
      </w:r>
      <w:r/>
    </w:p>
    <w:p>
      <w:pPr>
        <w:ind w:left="0" w:right="0" w:firstLine="480"/>
        <w:jc w:val="both"/>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八</w:t>
      </w:r>
      <w:r>
        <w:rPr>
          <w:rFonts w:ascii="宋体" w:hAnsi="宋体" w:eastAsia="宋体" w:cs="宋体"/>
          <w:color w:val="auto"/>
          <w:sz w:val="24"/>
        </w:rPr>
        <w:t xml:space="preserve">、法人授权书</w:t>
      </w:r>
      <w:r/>
    </w:p>
    <w:p>
      <w:pPr>
        <w:ind w:left="0" w:right="0" w:firstLine="480"/>
        <w:jc w:val="both"/>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九</w:t>
      </w:r>
      <w:r>
        <w:rPr>
          <w:rFonts w:ascii="宋体" w:hAnsi="宋体" w:eastAsia="宋体" w:cs="宋体"/>
          <w:color w:val="auto"/>
          <w:sz w:val="24"/>
        </w:rPr>
        <w:t xml:space="preserve">、投标函</w:t>
      </w:r>
      <w:r/>
    </w:p>
    <w:p>
      <w:pPr>
        <w:ind w:left="0" w:right="0" w:firstLine="480"/>
        <w:jc w:val="both"/>
        <w:keepLines w:val="0"/>
        <w:keepNext w:val="0"/>
        <w:pageBreakBefore w:val="0"/>
        <w:spacing w:line="520" w:lineRule="exac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十</w:t>
      </w:r>
      <w:r>
        <w:rPr>
          <w:rFonts w:ascii="宋体" w:hAnsi="宋体" w:eastAsia="宋体" w:cs="宋体"/>
          <w:color w:val="auto"/>
          <w:sz w:val="24"/>
        </w:rPr>
        <w:t xml:space="preserve">、中小企业声明函</w:t>
      </w:r>
      <w:r/>
    </w:p>
    <w:p>
      <w:pPr>
        <w:ind w:left="0" w:right="0" w:firstLine="480"/>
        <w:jc w:val="both"/>
        <w:keepLines w:val="0"/>
        <w:keepNext w:val="0"/>
        <w:pageBreakBefore w:val="0"/>
        <w:spacing w:line="520" w:lineRule="exact"/>
        <w:widowControl w:val="off"/>
        <w:rPr>
          <w:rFonts w:hint="eastAsia" w:ascii="宋体" w:hAnsi="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十</w:t>
      </w:r>
      <w:r>
        <w:rPr>
          <w:rFonts w:hint="eastAsia" w:ascii="宋体" w:hAnsi="宋体" w:cs="宋体"/>
          <w:color w:val="auto"/>
          <w:sz w:val="24"/>
          <w:lang w:val="en-US" w:eastAsia="zh-CN"/>
        </w:rPr>
        <w:t xml:space="preserve">一</w:t>
      </w:r>
      <w:r>
        <w:rPr>
          <w:rFonts w:hint="eastAsia" w:ascii="宋体" w:hAnsi="宋体" w:cs="宋体"/>
          <w:color w:val="auto"/>
          <w:sz w:val="24"/>
          <w:lang w:eastAsia="zh-CN"/>
        </w:rPr>
        <w:t xml:space="preserve">、关于符合本国产品标准的声明函</w:t>
      </w:r>
      <w:r/>
    </w:p>
    <w:p>
      <w:pPr>
        <w:ind w:left="0" w:right="0" w:firstLine="480"/>
        <w:jc w:val="both"/>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w:t>
      </w:r>
      <w:r>
        <w:rPr>
          <w:rFonts w:hint="eastAsia" w:ascii="宋体" w:hAnsi="宋体" w:cs="宋体"/>
          <w:color w:val="auto"/>
          <w:sz w:val="24"/>
          <w:lang w:val="en-US" w:eastAsia="zh-CN"/>
        </w:rPr>
        <w:t xml:space="preserve">二</w:t>
      </w:r>
      <w:r>
        <w:rPr>
          <w:rFonts w:ascii="宋体" w:hAnsi="宋体" w:eastAsia="宋体" w:cs="宋体"/>
          <w:color w:val="auto"/>
          <w:sz w:val="24"/>
        </w:rPr>
        <w:t xml:space="preserve">、技术要求响应及偏离表</w:t>
      </w:r>
      <w:r/>
    </w:p>
    <w:p>
      <w:pPr>
        <w:ind w:left="0" w:right="0" w:firstLine="480"/>
        <w:jc w:val="both"/>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w:t>
      </w:r>
      <w:r>
        <w:rPr>
          <w:rFonts w:hint="eastAsia" w:ascii="宋体" w:hAnsi="宋体" w:cs="宋体"/>
          <w:color w:val="auto"/>
          <w:sz w:val="24"/>
          <w:lang w:val="en-US" w:eastAsia="zh-CN"/>
        </w:rPr>
        <w:t xml:space="preserve">三</w:t>
      </w:r>
      <w:r>
        <w:rPr>
          <w:rFonts w:ascii="宋体" w:hAnsi="宋体" w:eastAsia="宋体" w:cs="宋体"/>
          <w:color w:val="auto"/>
          <w:sz w:val="24"/>
        </w:rPr>
        <w:t xml:space="preserve">、商务要求响应及偏离表</w:t>
      </w:r>
      <w:r/>
    </w:p>
    <w:p>
      <w:pPr>
        <w:ind w:left="0" w:right="0" w:firstLine="480"/>
        <w:jc w:val="both"/>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w:t>
      </w:r>
      <w:r>
        <w:rPr>
          <w:rFonts w:hint="eastAsia" w:ascii="宋体" w:hAnsi="宋体" w:cs="宋体"/>
          <w:color w:val="auto"/>
          <w:sz w:val="24"/>
          <w:lang w:val="en-US" w:eastAsia="zh-CN"/>
        </w:rPr>
        <w:t xml:space="preserve">四</w:t>
      </w:r>
      <w:r>
        <w:rPr>
          <w:rFonts w:ascii="宋体" w:hAnsi="宋体" w:eastAsia="宋体" w:cs="宋体"/>
          <w:color w:val="auto"/>
          <w:sz w:val="24"/>
        </w:rPr>
        <w:t xml:space="preserve">、开标一览表</w:t>
      </w:r>
      <w:r/>
    </w:p>
    <w:p>
      <w:pPr>
        <w:ind w:left="0" w:right="0" w:firstLine="480"/>
        <w:jc w:val="both"/>
        <w:keepLines w:val="0"/>
        <w:keepNext w:val="0"/>
        <w:pageBreakBefore w:val="0"/>
        <w:spacing w:line="520" w:lineRule="exact"/>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w:t>
      </w:r>
      <w:r>
        <w:rPr>
          <w:rFonts w:hint="eastAsia" w:ascii="宋体" w:hAnsi="宋体" w:cs="宋体"/>
          <w:color w:val="auto"/>
          <w:sz w:val="24"/>
          <w:lang w:val="en-US" w:eastAsia="zh-CN"/>
        </w:rPr>
        <w:t xml:space="preserve">五</w:t>
      </w:r>
      <w:r>
        <w:rPr>
          <w:rFonts w:ascii="宋体" w:hAnsi="宋体" w:eastAsia="宋体" w:cs="宋体"/>
          <w:color w:val="auto"/>
          <w:sz w:val="24"/>
        </w:rPr>
        <w:t xml:space="preserve">、</w:t>
      </w:r>
      <w:r>
        <w:rPr>
          <w:rFonts w:hint="eastAsia" w:ascii="宋体" w:hAnsi="宋体" w:cs="宋体"/>
          <w:color w:val="auto"/>
          <w:sz w:val="24"/>
          <w:lang w:eastAsia="zh-CN"/>
        </w:rPr>
        <w:t xml:space="preserve">分项报价表</w:t>
      </w:r>
      <w:r/>
    </w:p>
    <w:p>
      <w:pPr>
        <w:ind w:left="0" w:right="0" w:firstLine="480"/>
        <w:jc w:val="both"/>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十</w:t>
      </w:r>
      <w:r>
        <w:rPr>
          <w:rFonts w:hint="eastAsia" w:ascii="宋体" w:hAnsi="宋体" w:cs="宋体"/>
          <w:color w:val="auto"/>
          <w:sz w:val="24"/>
          <w:lang w:val="en-US" w:eastAsia="zh-CN"/>
        </w:rPr>
        <w:t xml:space="preserve">六</w:t>
      </w:r>
      <w:r>
        <w:rPr>
          <w:rFonts w:hint="eastAsia" w:ascii="宋体" w:hAnsi="宋体" w:cs="宋体"/>
          <w:color w:val="auto"/>
          <w:sz w:val="24"/>
          <w:lang w:eastAsia="zh-CN"/>
        </w:rPr>
        <w:t xml:space="preserve">、</w:t>
      </w:r>
      <w:r>
        <w:rPr>
          <w:rFonts w:ascii="宋体" w:hAnsi="宋体" w:eastAsia="宋体" w:cs="宋体"/>
          <w:color w:val="auto"/>
          <w:sz w:val="24"/>
        </w:rPr>
        <w:t xml:space="preserve">服务方案</w:t>
      </w:r>
      <w:r/>
    </w:p>
    <w:p>
      <w:pPr>
        <w:ind w:left="0" w:right="0" w:firstLine="480"/>
        <w:jc w:val="both"/>
        <w:keepLines w:val="0"/>
        <w:keepNext w:val="0"/>
        <w:pageBreakBefore w:val="0"/>
        <w:spacing w:line="52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w:t>
      </w:r>
      <w:r>
        <w:rPr>
          <w:rFonts w:hint="eastAsia" w:ascii="宋体" w:hAnsi="宋体" w:cs="宋体"/>
          <w:color w:val="auto"/>
          <w:sz w:val="24"/>
          <w:lang w:val="en-US" w:eastAsia="zh-CN"/>
        </w:rPr>
        <w:t xml:space="preserve">七</w:t>
      </w:r>
      <w:r>
        <w:rPr>
          <w:rFonts w:ascii="宋体" w:hAnsi="宋体" w:eastAsia="宋体" w:cs="宋体"/>
          <w:color w:val="auto"/>
          <w:sz w:val="24"/>
        </w:rPr>
        <w:t xml:space="preserve">、盐城市政府采购事前信用承诺书</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both"/>
        <w:spacing w:before="100" w:after="10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一、法人或者其他组织的营业执照等证明文件，自然人的身份证明</w:t>
      </w:r>
      <w:r/>
    </w:p>
    <w:p>
      <w:pPr>
        <w:ind w:left="0" w:right="0" w:firstLine="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100" w:after="10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二、</w:t>
      </w:r>
      <w:r>
        <w:rPr>
          <w:rFonts w:hint="eastAsia" w:ascii="黑体" w:hAnsi="黑体" w:eastAsia="黑体" w:cs="黑体"/>
          <w:i/>
          <w:color w:val="auto"/>
          <w:sz w:val="32"/>
          <w:u w:val="single"/>
          <w:lang w:val="en-US" w:eastAsia="zh-CN"/>
        </w:rPr>
        <w:t xml:space="preserve">2024或2025年</w:t>
      </w:r>
      <w:r>
        <w:rPr>
          <w:rFonts w:ascii="黑体" w:hAnsi="黑体" w:eastAsia="黑体" w:cs="黑体"/>
          <w:i/>
          <w:color w:val="auto"/>
          <w:sz w:val="32"/>
          <w:u w:val="single"/>
        </w:rPr>
        <w:t xml:space="preserve">年度的财务状况报表</w:t>
      </w:r>
      <w:r/>
    </w:p>
    <w:p>
      <w:pPr>
        <w:ind w:left="0" w:right="0" w:firstLine="48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投标人成立不满一年不需提供</w:t>
      </w:r>
      <w:r/>
    </w:p>
    <w:p>
      <w:pPr>
        <w:ind w:left="0" w:right="0" w:firstLine="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100" w:after="10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三、具备履行合同所必需的设备和专业技术能力的书面声明</w:t>
      </w:r>
      <w:r/>
    </w:p>
    <w:p>
      <w:pPr>
        <w:ind w:left="0" w:right="0" w:firstLine="492"/>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主要设备有：</w:t>
      </w:r>
      <w:r>
        <w:rPr>
          <w:rFonts w:ascii="宋体" w:hAnsi="宋体" w:eastAsia="宋体" w:cs="宋体"/>
          <w:color w:val="auto"/>
          <w:sz w:val="24"/>
          <w:u w:val="single"/>
        </w:rPr>
        <w:t xml:space="preserve">  </w:t>
      </w:r>
      <w:r>
        <w:rPr>
          <w:rFonts w:ascii="宋体" w:hAnsi="宋体" w:eastAsia="宋体" w:cs="宋体"/>
          <w:color w:val="auto"/>
          <w:sz w:val="24"/>
        </w:rPr>
        <w:t xml:space="preserve">。</w:t>
      </w:r>
      <w:r/>
    </w:p>
    <w:p>
      <w:pPr>
        <w:ind w:left="0" w:right="0" w:firstLine="48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主要专业技术能力有：</w:t>
      </w:r>
      <w:r>
        <w:rPr>
          <w:rFonts w:ascii="宋体" w:hAnsi="宋体" w:eastAsia="宋体" w:cs="宋体"/>
          <w:color w:val="auto"/>
          <w:sz w:val="24"/>
          <w:u w:val="single"/>
        </w:rPr>
        <w:t xml:space="preserve">  </w:t>
      </w:r>
      <w:r>
        <w:rPr>
          <w:rFonts w:ascii="宋体" w:hAnsi="宋体" w:eastAsia="宋体" w:cs="宋体"/>
          <w:color w:val="auto"/>
          <w:sz w:val="24"/>
        </w:rPr>
        <w:t xml:space="preserve">。</w:t>
      </w:r>
      <w:r/>
    </w:p>
    <w:p>
      <w:pPr>
        <w:ind w:left="0" w:right="0" w:firstLine="0"/>
        <w:jc w:val="both"/>
        <w:spacing w:before="100" w:after="10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四、依法缴纳税收和社会保障资金的相关材料</w:t>
      </w:r>
      <w:r/>
    </w:p>
    <w:p>
      <w:pPr>
        <w:ind w:left="0" w:right="0" w:firstLine="48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100" w:after="10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五、参加政府采购活动前 3 年内在经营活动中没有重大违法记录的书面声明</w:t>
      </w:r>
      <w:r/>
    </w:p>
    <w:p>
      <w:pPr>
        <w:ind w:left="0" w:right="0" w:firstLine="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rPr>
        <w:t xml:space="preserve">       声  明</w:t>
      </w:r>
      <w:r/>
    </w:p>
    <w:p>
      <w:pPr>
        <w:ind w:left="0" w:right="0" w:firstLine="480"/>
        <w:jc w:val="both"/>
        <w:spacing w:before="100" w:after="10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ind w:left="0" w:right="0" w:firstLine="480"/>
        <w:jc w:val="both"/>
        <w:spacing w:before="100" w:after="10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pStyle w:val="1075"/>
        <w:numPr>
          <w:ilvl w:val="0"/>
          <w:numId w:val="4"/>
        </w:numP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单位负责人为同一人或者存在直接控股、管理关系的不同供应商，不得参加同一合同项下的政府采购活动</w:t>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pStyle w:val="1075"/>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75"/>
        <w:jc w:val="center"/>
        <w:spacing w:beforeAutospacing="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1075"/>
        <w:jc w:val="center"/>
        <w:spacing w:beforeAutospacing="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1075"/>
        <w:jc w:val="center"/>
        <w:spacing w:beforeAutospacing="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声 明</w:t>
      </w:r>
      <w:r/>
    </w:p>
    <w:p>
      <w:pPr>
        <w:pStyle w:val="1075"/>
        <w:ind w:firstLine="482"/>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我单位郑重声明：在参加本次政府采购活动中，我单位没有与参加本项目投标的其他供应商存在单位负责人为同一人或者存在直接控股、管理关系情形。</w:t>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ind w:left="0" w:right="0" w:firstLine="0"/>
        <w:jc w:val="both"/>
        <w:spacing w:before="100" w:after="100"/>
        <w:rPr>
          <w:rFonts w:ascii="黑体" w:hAnsi="黑体" w:eastAsia="黑体" w:cs="黑体"/>
          <w:i/>
          <w:color w:val="auto"/>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r>
      <w:r/>
    </w:p>
    <w:p>
      <w:pPr>
        <w:ind w:left="0" w:right="0" w:firstLine="0"/>
        <w:jc w:val="both"/>
        <w:spacing w:before="100" w:after="100"/>
        <w:rPr>
          <w:color w:val="auto"/>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u w:val="single"/>
          <w:lang w:eastAsia="zh-CN"/>
        </w:rPr>
        <w:t xml:space="preserve">七</w:t>
      </w:r>
      <w:r>
        <w:rPr>
          <w:rFonts w:ascii="黑体" w:hAnsi="黑体" w:eastAsia="黑体" w:cs="黑体"/>
          <w:i/>
          <w:color w:val="auto"/>
          <w:sz w:val="32"/>
          <w:u w:val="single"/>
        </w:rPr>
        <w:t xml:space="preserve">、特定资格要求的证明文件</w:t>
      </w:r>
      <w:r/>
    </w:p>
    <w:p>
      <w:pPr>
        <w:ind w:left="0" w:right="0" w:firstLine="48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如果本项目申请人的特定资格要求中要求提供的，必须提供。</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3390"/>
        <w:jc w:val="both"/>
        <w:spacing w:before="260" w:after="260" w:line="98" w:lineRule="atLeast"/>
        <w:rPr>
          <w:color w:val="auto"/>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lang w:eastAsia="zh-CN"/>
        </w:rPr>
        <w:t xml:space="preserve">八</w:t>
      </w:r>
      <w:r>
        <w:rPr>
          <w:rFonts w:ascii="黑体" w:hAnsi="黑体" w:eastAsia="黑体" w:cs="黑体"/>
          <w:b/>
          <w:color w:val="auto"/>
          <w:sz w:val="32"/>
        </w:rPr>
        <w:t xml:space="preserve">、法人授权书</w:t>
      </w:r>
      <w:r/>
    </w:p>
    <w:p>
      <w:pPr>
        <w:ind w:left="0" w:right="0" w:firstLine="480"/>
        <w:jc w:val="both"/>
        <w:spacing w:before="100" w:after="100"/>
        <w:tabs>
          <w:tab w:val="left" w:pos="360" w:leader="none"/>
        </w:tabs>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jc w:val="both"/>
        <w:spacing w:before="100" w:after="100"/>
        <w:tabs>
          <w:tab w:val="left" w:pos="360" w:leader="none"/>
        </w:tabs>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jc w:val="both"/>
        <w:spacing w:before="100" w:after="100"/>
        <w:tabs>
          <w:tab w:val="left" w:pos="36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本授权书声明：</w:t>
      </w:r>
      <w:r>
        <w:rPr>
          <w:rFonts w:ascii="Times New Roman" w:hAnsi="Times New Roman" w:eastAsia="Times New Roman" w:cs="Times New Roman"/>
          <w:color w:val="auto"/>
          <w:sz w:val="24"/>
        </w:rPr>
        <w:t xml:space="preserve">____________</w:t>
      </w:r>
      <w:r>
        <w:rPr>
          <w:rFonts w:ascii="宋体" w:hAnsi="宋体" w:eastAsia="宋体" w:cs="宋体"/>
          <w:color w:val="auto"/>
          <w:sz w:val="24"/>
        </w:rPr>
        <w:t xml:space="preserve">（投标人名称）授权</w:t>
      </w:r>
      <w:r>
        <w:rPr>
          <w:rFonts w:ascii="Times New Roman" w:hAnsi="Times New Roman" w:eastAsia="Times New Roman" w:cs="Times New Roman"/>
          <w:color w:val="auto"/>
          <w:sz w:val="24"/>
        </w:rPr>
        <w:t xml:space="preserve">________________</w:t>
      </w:r>
      <w:r>
        <w:rPr>
          <w:rFonts w:ascii="宋体" w:hAnsi="宋体" w:eastAsia="宋体" w:cs="宋体"/>
          <w:color w:val="auto"/>
          <w:sz w:val="24"/>
        </w:rPr>
        <w:t xml:space="preserve">（被授权人的姓名）为我方就</w:t>
      </w:r>
      <w:r>
        <w:rPr>
          <w:rFonts w:ascii="Times New Roman" w:hAnsi="Times New Roman" w:eastAsia="Times New Roman" w:cs="Times New Roman"/>
          <w:color w:val="auto"/>
          <w:sz w:val="24"/>
          <w:u w:val="single"/>
        </w:rPr>
        <w:t xml:space="preserve">JSZC-320900-RHHH-G202</w:t>
      </w:r>
      <w:r>
        <w:rPr>
          <w:rFonts w:hint="eastAsia" w:cs="Times New Roman"/>
          <w:color w:val="auto"/>
          <w:sz w:val="24"/>
          <w:u w:val="single"/>
          <w:lang w:val="en-US" w:eastAsia="zh-CN"/>
        </w:rPr>
        <w:t xml:space="preserve">6</w:t>
      </w:r>
      <w:r>
        <w:rPr>
          <w:rFonts w:ascii="Times New Roman" w:hAnsi="Times New Roman" w:eastAsia="Times New Roman" w:cs="Times New Roman"/>
          <w:color w:val="auto"/>
          <w:sz w:val="24"/>
          <w:u w:val="single"/>
        </w:rPr>
        <w:t xml:space="preserve">-</w:t>
      </w:r>
      <w:r>
        <w:rPr>
          <w:rFonts w:ascii="宋体" w:hAnsi="宋体" w:eastAsia="宋体" w:cs="宋体"/>
          <w:color w:val="auto"/>
          <w:sz w:val="24"/>
          <w:u w:val="single"/>
        </w:rPr>
        <w:t xml:space="preserve">    </w:t>
      </w:r>
      <w:r>
        <w:rPr>
          <w:rFonts w:ascii="宋体" w:hAnsi="宋体" w:eastAsia="宋体" w:cs="宋体"/>
          <w:color w:val="auto"/>
          <w:sz w:val="24"/>
        </w:rPr>
        <w:t xml:space="preserve">号项目采购活动的合法代理人，以本单位名义全权处理一切与该项目采购有关的事务。</w:t>
      </w:r>
      <w:r/>
    </w:p>
    <w:p>
      <w:pPr>
        <w:ind w:left="0" w:right="0" w:firstLine="480"/>
        <w:jc w:val="both"/>
        <w:spacing w:before="100" w:after="100"/>
        <w:tabs>
          <w:tab w:val="left" w:pos="36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本授权书于</w:t>
      </w:r>
      <w:r>
        <w:rPr>
          <w:rFonts w:ascii="Times New Roman" w:hAnsi="Times New Roman" w:eastAsia="Times New Roman" w:cs="Times New Roman"/>
          <w:color w:val="auto"/>
          <w:sz w:val="24"/>
        </w:rPr>
        <w:t xml:space="preserve">______</w:t>
      </w:r>
      <w:r>
        <w:rPr>
          <w:rFonts w:ascii="宋体" w:hAnsi="宋体" w:eastAsia="宋体" w:cs="宋体"/>
          <w:color w:val="auto"/>
          <w:sz w:val="24"/>
        </w:rPr>
        <w:t xml:space="preserve">年</w:t>
      </w:r>
      <w:r>
        <w:rPr>
          <w:rFonts w:ascii="Times New Roman" w:hAnsi="Times New Roman" w:eastAsia="Times New Roman" w:cs="Times New Roman"/>
          <w:color w:val="auto"/>
          <w:sz w:val="24"/>
        </w:rPr>
        <w:t xml:space="preserve">____</w:t>
      </w:r>
      <w:r>
        <w:rPr>
          <w:rFonts w:ascii="宋体" w:hAnsi="宋体" w:eastAsia="宋体" w:cs="宋体"/>
          <w:color w:val="auto"/>
          <w:sz w:val="24"/>
        </w:rPr>
        <w:t xml:space="preserve">月</w:t>
      </w:r>
      <w:r>
        <w:rPr>
          <w:rFonts w:ascii="Times New Roman" w:hAnsi="Times New Roman" w:eastAsia="Times New Roman" w:cs="Times New Roman"/>
          <w:color w:val="auto"/>
          <w:sz w:val="24"/>
        </w:rPr>
        <w:t xml:space="preserve">____</w:t>
      </w:r>
      <w:r>
        <w:rPr>
          <w:rFonts w:ascii="宋体" w:hAnsi="宋体" w:eastAsia="宋体" w:cs="宋体"/>
          <w:color w:val="auto"/>
          <w:sz w:val="24"/>
        </w:rPr>
        <w:t xml:space="preserve">日起生效，特此声明。</w:t>
      </w:r>
      <w:r/>
    </w:p>
    <w:p>
      <w:pPr>
        <w:ind w:left="0" w:right="0" w:firstLine="480"/>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被授权人身份证号码：</w:t>
      </w:r>
      <w:r>
        <w:rPr>
          <w:rFonts w:ascii="宋体" w:hAnsi="宋体" w:eastAsia="宋体" w:cs="宋体"/>
          <w:color w:val="auto"/>
          <w:sz w:val="24"/>
          <w:u w:val="single"/>
        </w:rPr>
        <w:t xml:space="preserve">          </w:t>
      </w:r>
      <w:r/>
    </w:p>
    <w:p>
      <w:pPr>
        <w:ind w:left="0" w:right="0" w:firstLine="480"/>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被授权人联系电话：</w:t>
      </w:r>
      <w:r>
        <w:rPr>
          <w:rFonts w:ascii="宋体" w:hAnsi="宋体" w:eastAsia="宋体" w:cs="宋体"/>
          <w:color w:val="auto"/>
          <w:sz w:val="24"/>
          <w:u w:val="single"/>
        </w:rPr>
        <w:t xml:space="preserve">   （手机）</w:t>
      </w:r>
      <w:r/>
    </w:p>
    <w:p>
      <w:pPr>
        <w:ind w:left="0" w:right="0" w:firstLine="480"/>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授权单位名称：</w:t>
      </w:r>
      <w:r>
        <w:rPr>
          <w:rFonts w:ascii="宋体" w:hAnsi="宋体" w:eastAsia="宋体" w:cs="宋体"/>
          <w:color w:val="auto"/>
          <w:sz w:val="24"/>
          <w:u w:val="single"/>
        </w:rPr>
        <w:t xml:space="preserve">（加盖CA电子公章）         </w:t>
      </w:r>
      <w:r/>
    </w:p>
    <w:p>
      <w:pPr>
        <w:ind w:left="0" w:right="0" w:firstLine="480"/>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单 位 地 址：</w:t>
      </w:r>
      <w:r>
        <w:rPr>
          <w:rFonts w:ascii="宋体" w:hAnsi="宋体" w:eastAsia="宋体" w:cs="宋体"/>
          <w:color w:val="auto"/>
          <w:sz w:val="24"/>
          <w:u w:val="single"/>
        </w:rPr>
        <w:t xml:space="preserve">                  </w:t>
      </w:r>
      <w:r/>
    </w:p>
    <w:p>
      <w:pPr>
        <w:ind w:left="0" w:right="0" w:firstLine="480"/>
        <w:spacing w:before="100" w:after="100" w:line="85" w:lineRule="atLeast"/>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w:t>
      </w:r>
      <w:r>
        <w:rPr>
          <w:rFonts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3390"/>
        <w:jc w:val="both"/>
        <w:spacing w:before="260" w:after="260" w:line="98" w:lineRule="atLeast"/>
        <w:rPr>
          <w:color w:val="auto"/>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lang w:eastAsia="zh-CN"/>
        </w:rPr>
        <w:t xml:space="preserve">九</w:t>
      </w:r>
      <w:r>
        <w:rPr>
          <w:rFonts w:ascii="黑体" w:hAnsi="黑体" w:eastAsia="黑体" w:cs="黑体"/>
          <w:b/>
          <w:color w:val="auto"/>
          <w:sz w:val="32"/>
        </w:rPr>
        <w:t xml:space="preserve">、投标函</w:t>
      </w:r>
      <w:r/>
    </w:p>
    <w:p>
      <w:pPr>
        <w:ind w:left="0" w:right="0" w:firstLine="0"/>
        <w:spacing w:before="100" w:after="10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致：盐城市第一人民医院</w:t>
      </w:r>
      <w:r/>
    </w:p>
    <w:p>
      <w:pPr>
        <w:ind w:left="0" w:right="0" w:firstLine="480"/>
        <w:spacing w:before="100" w:after="10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根据贵方的</w:t>
      </w:r>
      <w:r>
        <w:rPr>
          <w:rFonts w:ascii="Times New Roman" w:hAnsi="Times New Roman" w:eastAsia="Times New Roman" w:cs="Times New Roman"/>
          <w:color w:val="auto"/>
          <w:sz w:val="24"/>
          <w:u w:val="single"/>
        </w:rPr>
        <w:t xml:space="preserve">JSZC-320900-RHHH-G202</w:t>
      </w:r>
      <w:r>
        <w:rPr>
          <w:rFonts w:hint="eastAsia" w:cs="Times New Roman"/>
          <w:color w:val="auto"/>
          <w:sz w:val="24"/>
          <w:u w:val="single"/>
          <w:lang w:val="en-US" w:eastAsia="zh-CN"/>
        </w:rPr>
        <w:t xml:space="preserve">6</w:t>
      </w:r>
      <w:r>
        <w:rPr>
          <w:rFonts w:ascii="Times New Roman" w:hAnsi="Times New Roman" w:eastAsia="Times New Roman" w:cs="Times New Roman"/>
          <w:color w:val="auto"/>
          <w:sz w:val="24"/>
          <w:u w:val="single"/>
        </w:rPr>
        <w:t xml:space="preserve">-</w:t>
      </w:r>
      <w:r>
        <w:rPr>
          <w:rFonts w:ascii="宋体" w:hAnsi="宋体" w:eastAsia="宋体" w:cs="宋体"/>
          <w:color w:val="auto"/>
          <w:sz w:val="24"/>
          <w:u w:val="single"/>
        </w:rPr>
        <w:t xml:space="preserve">    </w:t>
      </w:r>
      <w:r>
        <w:rPr>
          <w:rFonts w:ascii="宋体" w:hAnsi="宋体" w:eastAsia="宋体" w:cs="宋体"/>
          <w:color w:val="auto"/>
          <w:sz w:val="24"/>
        </w:rPr>
        <w:t xml:space="preserve">号招标文件，正式授权下述签字人______(姓名)代表我方______________（投标人的名称），全权处理本次项目投标的有关事宜。</w:t>
      </w:r>
      <w:r/>
    </w:p>
    <w:p>
      <w:pPr>
        <w:ind w:left="0" w:right="0" w:firstLine="480"/>
        <w:spacing w:before="100" w:after="10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据此函，__________签字人兹宣布同意如下：</w:t>
      </w:r>
      <w:r/>
    </w:p>
    <w:p>
      <w:pPr>
        <w:ind w:left="0" w:right="0" w:firstLine="480"/>
        <w:spacing w:before="100" w:after="10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1.按招标文件规定的各项要求，向买方提供所需服务（包含与服务相关的货物）。</w:t>
      </w:r>
      <w:r/>
    </w:p>
    <w:p>
      <w:pPr>
        <w:ind w:left="0" w:right="0" w:firstLine="480"/>
        <w:spacing w:before="100" w:after="10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2.我们完全理解贵方不一定将合同授予最低报价的投标人。</w:t>
      </w:r>
      <w:r/>
    </w:p>
    <w:p>
      <w:pPr>
        <w:ind w:left="0" w:right="0" w:firstLine="480"/>
        <w:spacing w:before="100" w:after="10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3.我们已详细审核全部招标文件及其有效补充文件，我们知道必须放弃提出含糊不清或误解问题的权利。</w:t>
      </w:r>
      <w:r/>
    </w:p>
    <w:p>
      <w:pPr>
        <w:ind w:left="0" w:right="0" w:firstLine="480"/>
        <w:spacing w:before="100" w:after="10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4.我们同意从规定的开标日期起遵循本投标文件，并在规定的投标有效期期满之前均具有约束力。</w:t>
      </w:r>
      <w:r/>
    </w:p>
    <w:p>
      <w:pPr>
        <w:ind w:left="0" w:right="0" w:firstLine="480"/>
        <w:spacing w:before="100" w:after="10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5.同意向贵方提供贵方可能另外要求的与投标有关的任何证据或资料，并保证我方已提供和将要提供的文件是真实的、准确的。</w:t>
      </w:r>
      <w:r/>
    </w:p>
    <w:p>
      <w:pPr>
        <w:ind w:left="0" w:right="0" w:firstLine="480"/>
        <w:spacing w:before="100" w:after="10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6.一旦我方中标，我方将根据招标文件的规定，严格履行合同的责任和义务，并保证在招标文件规定的时间完成项目，交付买方验收、使用。</w:t>
      </w:r>
      <w:r/>
    </w:p>
    <w:p>
      <w:pPr>
        <w:ind w:left="0" w:right="0" w:firstLine="480"/>
        <w:spacing w:before="100" w:after="10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7.与本投标有关的正式通讯地址为：</w:t>
      </w:r>
      <w:r/>
    </w:p>
    <w:p>
      <w:pPr>
        <w:ind w:left="0" w:right="0" w:firstLine="48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rPr>
        <w:t xml:space="preserve">地</w:t>
      </w:r>
      <w:r>
        <w:rPr>
          <w:rFonts w:ascii="宋体" w:hAnsi="宋体" w:eastAsia="宋体" w:cs="宋体"/>
          <w:color w:val="auto"/>
          <w:sz w:val="24"/>
        </w:rPr>
        <w:t xml:space="preserve">址：</w:t>
      </w:r>
      <w:r/>
    </w:p>
    <w:p>
      <w:pPr>
        <w:ind w:left="0" w:right="0" w:firstLine="48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rPr>
        <w:t xml:space="preserve">邮</w:t>
      </w:r>
      <w:r>
        <w:rPr>
          <w:rFonts w:ascii="宋体" w:hAnsi="宋体" w:eastAsia="宋体" w:cs="宋体"/>
          <w:color w:val="auto"/>
          <w:sz w:val="24"/>
        </w:rPr>
        <w:t xml:space="preserve">编：</w:t>
      </w:r>
      <w:r/>
    </w:p>
    <w:p>
      <w:pPr>
        <w:ind w:left="0" w:right="0" w:firstLine="48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rPr>
        <w:t xml:space="preserve">电</w:t>
      </w:r>
      <w:r>
        <w:rPr>
          <w:rFonts w:ascii="宋体" w:hAnsi="宋体" w:eastAsia="宋体" w:cs="宋体"/>
          <w:color w:val="auto"/>
          <w:sz w:val="24"/>
        </w:rPr>
        <w:t xml:space="preserve">话：</w:t>
      </w:r>
      <w:r/>
    </w:p>
    <w:p>
      <w:pPr>
        <w:ind w:left="0" w:right="0" w:firstLine="48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rPr>
        <w:t xml:space="preserve">传</w:t>
      </w:r>
      <w:r>
        <w:rPr>
          <w:rFonts w:ascii="宋体" w:hAnsi="宋体" w:eastAsia="宋体" w:cs="宋体"/>
          <w:color w:val="auto"/>
          <w:sz w:val="24"/>
        </w:rPr>
        <w:t xml:space="preserve">真：</w:t>
      </w:r>
      <w:r/>
    </w:p>
    <w:p>
      <w:pPr>
        <w:ind w:left="0" w:right="0" w:firstLine="48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供应商开户行：</w:t>
      </w:r>
      <w:r/>
    </w:p>
    <w:p>
      <w:pPr>
        <w:ind w:left="0" w:right="0" w:firstLine="48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rPr>
        <w:t xml:space="preserve">账</w:t>
      </w:r>
      <w:r>
        <w:rPr>
          <w:rFonts w:ascii="宋体" w:hAnsi="宋体" w:eastAsia="宋体" w:cs="宋体"/>
          <w:color w:val="auto"/>
          <w:sz w:val="24"/>
        </w:rPr>
        <w:t xml:space="preserve">号：</w:t>
      </w:r>
      <w:r/>
    </w:p>
    <w:p>
      <w:pPr>
        <w:ind w:left="0" w:right="0" w:firstLine="480"/>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80"/>
          <w:sz w:val="24"/>
        </w:rPr>
        <w:t xml:space="preserve">日</w:t>
      </w:r>
      <w:r>
        <w:rPr>
          <w:rFonts w:ascii="宋体" w:hAnsi="宋体" w:eastAsia="宋体" w:cs="宋体"/>
          <w:color w:val="auto"/>
          <w:sz w:val="24"/>
        </w:rPr>
        <w:t xml:space="preserve">期：______年____月____日</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lang w:eastAsia="zh-CN"/>
        </w:rPr>
        <w:t xml:space="preserve">十</w:t>
      </w:r>
      <w:r>
        <w:rPr>
          <w:rFonts w:ascii="黑体" w:hAnsi="黑体" w:eastAsia="黑体" w:cs="黑体"/>
          <w:b/>
          <w:color w:val="auto"/>
          <w:sz w:val="32"/>
        </w:rPr>
        <w:t xml:space="preserve">、中小企业声明函（服务）</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本公司（联合体）郑重声明，根据《政府采购促进中小企业发展管理办法》（财库﹝</w:t>
      </w:r>
      <w:r>
        <w:rPr>
          <w:rFonts w:ascii="Times New Roman" w:hAnsi="Times New Roman" w:eastAsia="Times New Roman" w:cs="Times New Roman"/>
          <w:color w:val="auto"/>
          <w:sz w:val="24"/>
        </w:rPr>
        <w:t xml:space="preserve">2020</w:t>
      </w: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46 </w:t>
      </w:r>
      <w:r>
        <w:rPr>
          <w:rFonts w:ascii="宋体" w:hAnsi="宋体" w:eastAsia="宋体" w:cs="宋体"/>
          <w:color w:val="auto"/>
          <w:sz w:val="24"/>
        </w:rPr>
        <w:t xml:space="preserve">号）的规定，本公司</w:t>
      </w:r>
      <w:r>
        <w:rPr>
          <w:rFonts w:ascii="宋体" w:hAnsi="宋体" w:eastAsia="宋体" w:cs="宋体"/>
          <w:color w:val="auto"/>
          <w:sz w:val="24"/>
          <w:u w:val="single"/>
        </w:rPr>
        <w:t xml:space="preserve">      </w:t>
      </w:r>
      <w:r>
        <w:rPr>
          <w:rFonts w:ascii="宋体" w:hAnsi="宋体" w:eastAsia="宋体" w:cs="宋体"/>
          <w:color w:val="auto"/>
          <w:sz w:val="24"/>
        </w:rPr>
        <w:t xml:space="preserve">参加盐城市第一人民医院组织的采购编号为</w:t>
      </w:r>
      <w:r>
        <w:rPr>
          <w:rFonts w:ascii="宋体" w:hAnsi="宋体" w:eastAsia="宋体" w:cs="宋体"/>
          <w:color w:val="auto"/>
          <w:sz w:val="24"/>
          <w:u w:val="single"/>
        </w:rPr>
        <w:t xml:space="preserve">     </w:t>
      </w:r>
      <w:r>
        <w:rPr>
          <w:rFonts w:ascii="宋体" w:hAnsi="宋体" w:eastAsia="宋体" w:cs="宋体"/>
          <w:color w:val="auto"/>
          <w:sz w:val="24"/>
        </w:rPr>
        <w:t xml:space="preserve">的</w:t>
      </w:r>
      <w:r>
        <w:rPr>
          <w:rFonts w:ascii="宋体" w:hAnsi="宋体" w:eastAsia="宋体" w:cs="宋体"/>
          <w:i/>
          <w:color w:val="auto"/>
          <w:sz w:val="24"/>
          <w:u w:val="single"/>
        </w:rPr>
        <w:t xml:space="preserve">（项目名称）</w:t>
      </w:r>
      <w:r>
        <w:rPr>
          <w:rFonts w:ascii="宋体" w:hAnsi="宋体" w:eastAsia="宋体" w:cs="宋体"/>
          <w:color w:val="auto"/>
          <w:sz w:val="24"/>
        </w:rPr>
        <w:t xml:space="preserve">的采购活动，服务全部由符合政策要求的中小企业承接。相关企业（含联合体中的中小企业、签订分包意向协议的中小企业）的具体情况如下：</w:t>
      </w:r>
      <w:r/>
    </w:p>
    <w:p>
      <w:pPr>
        <w:numPr>
          <w:ilvl w:val="0"/>
          <w:numId w:val="5"/>
        </w:numPr>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u w:val="single"/>
        </w:rPr>
        <w:t xml:space="preserve">（标的名称）</w:t>
      </w:r>
      <w:r>
        <w:rPr>
          <w:rFonts w:ascii="宋体" w:hAnsi="宋体" w:eastAsia="宋体" w:cs="宋体"/>
          <w:color w:val="auto"/>
          <w:sz w:val="24"/>
        </w:rPr>
        <w:t xml:space="preserve"> ，属于</w:t>
      </w:r>
      <w:r>
        <w:rPr>
          <w:rFonts w:ascii="宋体" w:hAnsi="宋体" w:eastAsia="宋体" w:cs="宋体"/>
          <w:i/>
          <w:color w:val="auto"/>
          <w:sz w:val="24"/>
          <w:u w:val="single"/>
        </w:rPr>
        <w:t xml:space="preserve">（采购文件中明确的所属行业）</w:t>
      </w:r>
      <w:r>
        <w:rPr>
          <w:rFonts w:ascii="宋体" w:hAnsi="宋体" w:eastAsia="宋体" w:cs="宋体"/>
          <w:color w:val="auto"/>
          <w:sz w:val="24"/>
        </w:rPr>
        <w:t xml:space="preserve">；承建（承接）企业为</w:t>
      </w:r>
      <w:r>
        <w:rPr>
          <w:rFonts w:ascii="宋体" w:hAnsi="宋体" w:eastAsia="宋体" w:cs="宋体"/>
          <w:i/>
          <w:color w:val="auto"/>
          <w:sz w:val="24"/>
          <w:u w:val="single"/>
        </w:rPr>
        <w:t xml:space="preserve">（企业名称）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i/>
          <w:color w:val="auto"/>
          <w:sz w:val="24"/>
          <w:u w:val="single"/>
        </w:rPr>
        <w:t xml:space="preserve">中型企业、小型企业、微型企业</w:t>
      </w:r>
      <w:r>
        <w:rPr>
          <w:rFonts w:ascii="宋体" w:hAnsi="宋体" w:eastAsia="宋体" w:cs="宋体"/>
          <w:color w:val="auto"/>
          <w:sz w:val="24"/>
        </w:rPr>
        <w:t xml:space="preserve">）；</w:t>
      </w:r>
      <w:r/>
    </w:p>
    <w:p>
      <w:pPr>
        <w:numPr>
          <w:ilvl w:val="0"/>
          <w:numId w:val="5"/>
        </w:numPr>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u w:val="single"/>
        </w:rPr>
        <w:t xml:space="preserve">（标的名称）</w:t>
      </w:r>
      <w:r>
        <w:rPr>
          <w:rFonts w:ascii="宋体" w:hAnsi="宋体" w:eastAsia="宋体" w:cs="宋体"/>
          <w:color w:val="auto"/>
          <w:sz w:val="24"/>
        </w:rPr>
        <w:t xml:space="preserve"> ，属于</w:t>
      </w:r>
      <w:r>
        <w:rPr>
          <w:rFonts w:ascii="宋体" w:hAnsi="宋体" w:eastAsia="宋体" w:cs="宋体"/>
          <w:i/>
          <w:color w:val="auto"/>
          <w:sz w:val="24"/>
          <w:u w:val="single"/>
        </w:rPr>
        <w:t xml:space="preserve">（采购文件中明确的所属行业）</w:t>
      </w:r>
      <w:r>
        <w:rPr>
          <w:rFonts w:ascii="宋体" w:hAnsi="宋体" w:eastAsia="宋体" w:cs="宋体"/>
          <w:color w:val="auto"/>
          <w:sz w:val="24"/>
        </w:rPr>
        <w:t xml:space="preserve">；承建（承接）企业为</w:t>
      </w:r>
      <w:r>
        <w:rPr>
          <w:rFonts w:ascii="宋体" w:hAnsi="宋体" w:eastAsia="宋体" w:cs="宋体"/>
          <w:i/>
          <w:color w:val="auto"/>
          <w:sz w:val="24"/>
          <w:u w:val="single"/>
        </w:rPr>
        <w:t xml:space="preserve">（企业名称）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万元，属于</w:t>
      </w:r>
      <w:r>
        <w:rPr>
          <w:rFonts w:ascii="宋体" w:hAnsi="宋体" w:eastAsia="宋体" w:cs="宋体"/>
          <w:i/>
          <w:color w:val="auto"/>
          <w:sz w:val="24"/>
          <w:u w:val="single"/>
        </w:rPr>
        <w:t xml:space="preserve">（中型企业、小型企业、微型企业）</w:t>
      </w:r>
      <w:r>
        <w:rPr>
          <w:rFonts w:ascii="宋体" w:hAnsi="宋体" w:eastAsia="宋体" w:cs="宋体"/>
          <w:color w:val="auto"/>
          <w:sz w:val="24"/>
        </w:rPr>
        <w:t xml:space="preserve">；</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本企业对上述声明内容的真实性负责。如有虚假，将依法承担相应责任。</w:t>
      </w:r>
      <w:r/>
    </w:p>
    <w:p>
      <w:pPr>
        <w:ind w:left="0" w:right="720" w:firstLine="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5670" w:right="0" w:firstLine="0"/>
        <w:jc w:val="both"/>
        <w:spacing w:before="100" w:after="10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企业名称（公章）：</w:t>
      </w:r>
      <w:r/>
    </w:p>
    <w:p>
      <w:pPr>
        <w:ind w:left="5670" w:right="0" w:firstLine="0"/>
        <w:jc w:val="both"/>
        <w:spacing w:before="100" w:after="10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w:t>
      </w:r>
      <w:r/>
    </w:p>
    <w:p>
      <w:pPr>
        <w:ind w:left="0" w:right="0" w:firstLine="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备注1：从业人员、营业收入、资产总额填报上一年度数据，无上一年度数据的新成立企业可不填报。</w:t>
      </w:r>
      <w:r/>
    </w:p>
    <w:p>
      <w:pPr>
        <w:ind w:left="0" w:right="0" w:firstLine="48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备注2：供应商如不提供此声明函，价格将不做相应扣除（如项目全面面向中小企业，则资格审查不通过）。</w:t>
      </w:r>
      <w:r/>
    </w:p>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outlineLvl w:val="0"/>
      </w:pPr>
      <w:r/>
      <w:bookmarkStart w:id="174" w:name="_Toc5849"/>
      <w:r/>
      <w:bookmarkStart w:id="175" w:name="_Toc22290"/>
      <w:r>
        <w:rPr>
          <w:rFonts w:ascii="黑体" w:hAnsi="黑体" w:eastAsia="黑体" w:cs="黑体"/>
          <w:b/>
          <w:color w:val="auto"/>
          <w:sz w:val="32"/>
        </w:rPr>
        <w:t xml:space="preserve">残疾人福利性单位声明函</w:t>
      </w:r>
      <w:bookmarkEnd w:id="174"/>
      <w:r/>
      <w:bookmarkEnd w:id="175"/>
      <w:r/>
      <w:r/>
    </w:p>
    <w:p>
      <w:pPr>
        <w:ind w:left="0" w:right="0" w:firstLine="48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color w:val="auto"/>
          <w:sz w:val="24"/>
          <w:u w:val="single"/>
        </w:rPr>
        <w:t xml:space="preserve">       </w:t>
      </w:r>
      <w:r>
        <w:rPr>
          <w:rFonts w:ascii="宋体" w:hAnsi="宋体" w:eastAsia="宋体" w:cs="宋体"/>
          <w:color w:val="auto"/>
          <w:sz w:val="24"/>
        </w:rPr>
        <w:t xml:space="preserve">项目（分包号：**）采购活动由本单位提供服务。</w:t>
      </w:r>
      <w:r/>
    </w:p>
    <w:p>
      <w:pPr>
        <w:ind w:left="0" w:right="0" w:firstLine="48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本单位对上述声明的真实性负责。如有虚假，将依法承担相应责任。</w:t>
      </w:r>
      <w:r/>
    </w:p>
    <w:p>
      <w:pPr>
        <w:ind w:left="0" w:right="0" w:firstLine="48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备注：1.供应商如不提供此声明函，价格将不做相应扣除（如项目全面面向中小企业，则资格审查不通过）。</w:t>
      </w:r>
      <w:r/>
    </w:p>
    <w:p>
      <w:pPr>
        <w:ind w:left="0" w:right="0" w:firstLine="48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2.中标人为残疾人福利单位的，此声明函将随中标结果同时公告，接受社会监督</w:t>
      </w:r>
      <w:r/>
    </w:p>
    <w:p>
      <w:pPr>
        <w:ind w:left="0" w:right="0" w:firstLine="624"/>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624"/>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4620" w:right="1559" w:firstLine="482"/>
        <w:jc w:val="both"/>
        <w:spacing w:before="100" w:after="100" w:line="499" w:lineRule="atLeast"/>
        <w:tabs>
          <w:tab w:val="left" w:pos="4864"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供应商全称（公章）：</w:t>
      </w:r>
      <w:r/>
    </w:p>
    <w:p>
      <w:pPr>
        <w:ind w:left="4620" w:right="1559" w:firstLine="482"/>
        <w:jc w:val="both"/>
        <w:spacing w:before="100" w:after="100" w:line="499" w:lineRule="atLeast"/>
        <w:tabs>
          <w:tab w:val="left" w:pos="4864"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 期：</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841"/>
        <w:numPr>
          <w:ilvl w:val="0"/>
          <w:numId w:val="0"/>
        </w:numPr>
        <w:ind w:left="2100"/>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eastAsia="黑体" w:cs="黑体"/>
          <w:b/>
          <w:color w:val="auto"/>
          <w:sz w:val="32"/>
          <w:szCs w:val="32"/>
          <w:highlight w:val="none"/>
          <w:lang w:val="en-US" w:eastAsia="zh-CN"/>
        </w:rPr>
        <w:t xml:space="preserve">十一、</w:t>
      </w:r>
      <w:r>
        <w:rPr>
          <w:rFonts w:hint="eastAsia" w:ascii="黑体" w:hAnsi="宋体" w:eastAsia="黑体" w:cs="黑体"/>
          <w:b/>
          <w:color w:val="auto"/>
          <w:sz w:val="32"/>
          <w:szCs w:val="32"/>
          <w:highlight w:val="none"/>
        </w:rPr>
        <w:t xml:space="preserve">关于符合本国产品标准的声明函</w:t>
      </w:r>
      <w:r/>
    </w:p>
    <w:p>
      <w:pPr>
        <w:pStyle w:val="841"/>
        <w:ind w:left="0" w:right="0" w:firstLine="420"/>
        <w:jc w:val="left"/>
        <w:keepLines w:val="0"/>
        <w:keepNext w:val="0"/>
        <w:pageBreakBefore w:val="0"/>
        <w:spacing w:before="0" w:beforeAutospacing="0" w:after="0" w:afterAutospacing="0" w:line="360" w:lineRule="auto"/>
        <w:widowControl w:val="off"/>
        <w:rPr>
          <w:b/>
          <w:bCs/>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1"/>
        <w:ind w:left="0" w:right="0" w:firstLine="420"/>
        <w:jc w:val="left"/>
        <w:keepLines w:val="0"/>
        <w:keepNext w:val="0"/>
        <w:pageBreakBefore w:val="0"/>
        <w:spacing w:before="0" w:beforeAutospacing="0" w:after="0" w:afterAutospacing="0" w:line="360" w:lineRule="auto"/>
        <w:widowControl w:val="off"/>
        <w:rPr>
          <w:b/>
          <w:bCs/>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shd w:val="clear" w:color="auto" w:fill="ffffff"/>
        </w:rPr>
        <w:t xml:space="preserve">1.</w:t>
      </w:r>
      <w:r>
        <w:rPr>
          <w:rFonts w:ascii="宋体" w:hAnsi="宋体" w:eastAsia="宋体" w:cs="宋体"/>
          <w:b/>
          <w:bCs/>
          <w:strike w:val="0"/>
          <w:color w:val="auto"/>
          <w:sz w:val="24"/>
          <w:szCs w:val="24"/>
          <w:u w:val="single"/>
          <w:shd w:val="clear" w:color="auto" w:fill="ffffff"/>
        </w:rPr>
        <w:t xml:space="preserve">（产品名称1）</w:t>
      </w:r>
      <w:r>
        <w:rPr>
          <w:rFonts w:ascii="宋体" w:hAnsi="宋体" w:eastAsia="宋体" w:cs="宋体"/>
          <w:b/>
          <w:bCs/>
          <w:strike w:val="0"/>
          <w:color w:val="auto"/>
          <w:sz w:val="24"/>
          <w:szCs w:val="24"/>
          <w:shd w:val="clear" w:color="auto" w:fill="ffffff"/>
          <w:vertAlign w:val="superscript"/>
        </w:rPr>
        <w:t xml:space="preserve">1</w:t>
      </w:r>
      <w:r>
        <w:rPr>
          <w:rFonts w:ascii="宋体" w:hAnsi="宋体" w:eastAsia="宋体" w:cs="宋体"/>
          <w:b/>
          <w:bCs/>
          <w:strike w:val="0"/>
          <w:color w:val="auto"/>
          <w:sz w:val="24"/>
          <w:szCs w:val="24"/>
          <w:shd w:val="clear" w:color="auto" w:fill="ffffff"/>
        </w:rPr>
        <w:t xml:space="preserve">，生产厂为</w:t>
      </w:r>
      <w:r>
        <w:rPr>
          <w:rFonts w:ascii="宋体" w:hAnsi="宋体" w:eastAsia="宋体" w:cs="宋体"/>
          <w:b/>
          <w:bCs/>
          <w:strike w:val="0"/>
          <w:color w:val="auto"/>
          <w:sz w:val="24"/>
          <w:szCs w:val="24"/>
          <w:u w:val="single"/>
          <w:shd w:val="clear" w:color="auto" w:fill="ffffff"/>
        </w:rPr>
        <w:t xml:space="preserve">（厂名）</w:t>
      </w:r>
      <w:r>
        <w:rPr>
          <w:rFonts w:ascii="宋体" w:hAnsi="宋体" w:eastAsia="宋体" w:cs="宋体"/>
          <w:b/>
          <w:bCs/>
          <w:strike w:val="0"/>
          <w:color w:val="auto"/>
          <w:sz w:val="24"/>
          <w:szCs w:val="24"/>
          <w:shd w:val="clear" w:color="auto" w:fill="ffffff"/>
          <w:vertAlign w:val="superscript"/>
        </w:rPr>
        <w:t xml:space="preserve">2</w:t>
      </w:r>
      <w:r>
        <w:rPr>
          <w:rFonts w:ascii="宋体" w:hAnsi="宋体" w:eastAsia="宋体" w:cs="宋体"/>
          <w:b/>
          <w:bCs/>
          <w:strike w:val="0"/>
          <w:color w:val="auto"/>
          <w:sz w:val="24"/>
          <w:szCs w:val="24"/>
          <w:shd w:val="clear" w:color="auto" w:fill="ffffff"/>
        </w:rPr>
        <w:t xml:space="preserve">，厂址为</w:t>
      </w:r>
      <w:r>
        <w:rPr>
          <w:rFonts w:ascii="宋体" w:hAnsi="宋体" w:eastAsia="宋体" w:cs="宋体"/>
          <w:b/>
          <w:bCs/>
          <w:strike w:val="0"/>
          <w:color w:val="auto"/>
          <w:sz w:val="24"/>
          <w:szCs w:val="24"/>
          <w:u w:val="single"/>
          <w:shd w:val="clear" w:color="auto" w:fill="ffffff"/>
        </w:rPr>
        <w:t xml:space="preserve">（生产厂址）</w:t>
      </w:r>
      <w:r>
        <w:rPr>
          <w:rFonts w:ascii="宋体" w:hAnsi="宋体" w:eastAsia="宋体" w:cs="宋体"/>
          <w:b/>
          <w:bCs/>
          <w:strike w:val="0"/>
          <w:color w:val="auto"/>
          <w:sz w:val="24"/>
          <w:szCs w:val="24"/>
          <w:shd w:val="clear" w:color="auto" w:fill="ffffff"/>
        </w:rPr>
        <w:t xml:space="preserve">。</w:t>
      </w:r>
      <w:r>
        <w:rPr>
          <w:rFonts w:ascii="宋体" w:hAnsi="宋体" w:eastAsia="宋体" w:cs="宋体"/>
          <w:b/>
          <w:bCs/>
          <w:strike w:val="0"/>
          <w:color w:val="auto"/>
          <w:sz w:val="24"/>
          <w:szCs w:val="24"/>
          <w:u w:val="single"/>
          <w:shd w:val="clear" w:color="auto" w:fill="ffffff"/>
        </w:rPr>
        <w:t xml:space="preserve"> （产品名称1） </w:t>
      </w:r>
      <w:r>
        <w:rPr>
          <w:rFonts w:ascii="宋体" w:hAnsi="宋体" w:eastAsia="宋体" w:cs="宋体"/>
          <w:b/>
          <w:bCs/>
          <w:strike w:val="0"/>
          <w:color w:val="auto"/>
          <w:sz w:val="24"/>
          <w:szCs w:val="24"/>
          <w:shd w:val="clear" w:color="auto" w:fill="ffffff"/>
        </w:rPr>
        <w:t xml:space="preserve">的中国境内生产的组件成本占比≥</w:t>
      </w:r>
      <w:r>
        <w:rPr>
          <w:rFonts w:ascii="宋体" w:hAnsi="宋体" w:eastAsia="宋体" w:cs="宋体"/>
          <w:b/>
          <w:bCs/>
          <w:strike w:val="0"/>
          <w:color w:val="auto"/>
          <w:sz w:val="24"/>
          <w:szCs w:val="24"/>
          <w:u w:val="single"/>
          <w:shd w:val="clear" w:color="auto" w:fill="ffffff"/>
        </w:rPr>
        <w:t xml:space="preserve">（规定比例）</w:t>
      </w:r>
      <w:r>
        <w:rPr>
          <w:rFonts w:ascii="宋体" w:hAnsi="宋体" w:eastAsia="宋体" w:cs="宋体"/>
          <w:b/>
          <w:bCs/>
          <w:strike w:val="0"/>
          <w:color w:val="auto"/>
          <w:sz w:val="24"/>
          <w:szCs w:val="24"/>
          <w:shd w:val="clear" w:color="auto" w:fill="ffffff"/>
          <w:vertAlign w:val="superscript"/>
        </w:rPr>
        <w:t xml:space="preserve">3</w:t>
      </w:r>
      <w:r>
        <w:rPr>
          <w:rFonts w:ascii="宋体" w:hAnsi="宋体" w:eastAsia="宋体" w:cs="宋体"/>
          <w:b/>
          <w:bCs/>
          <w:strike w:val="0"/>
          <w:color w:val="auto"/>
          <w:sz w:val="24"/>
          <w:szCs w:val="24"/>
          <w:shd w:val="clear" w:color="auto" w:fill="ffffff"/>
        </w:rPr>
        <w:t xml:space="preserve">。</w:t>
      </w:r>
      <w:r>
        <w:rPr>
          <w:rFonts w:ascii="宋体" w:hAnsi="宋体" w:eastAsia="宋体" w:cs="宋体"/>
          <w:b/>
          <w:bCs/>
          <w:strike w:val="0"/>
          <w:color w:val="auto"/>
          <w:sz w:val="24"/>
          <w:szCs w:val="24"/>
          <w:u w:val="single"/>
          <w:shd w:val="clear" w:color="auto" w:fill="ffffff"/>
        </w:rPr>
        <w:t xml:space="preserve">（产品名称1）</w:t>
      </w:r>
      <w:r>
        <w:rPr>
          <w:rFonts w:ascii="宋体" w:hAnsi="宋体" w:eastAsia="宋体" w:cs="宋体"/>
          <w:b/>
          <w:bCs/>
          <w:strike w:val="0"/>
          <w:color w:val="auto"/>
          <w:sz w:val="24"/>
          <w:szCs w:val="24"/>
          <w:shd w:val="clear" w:color="auto" w:fill="ffffff"/>
        </w:rPr>
        <w:t xml:space="preserve">的</w:t>
      </w:r>
      <w:r>
        <w:rPr>
          <w:rFonts w:ascii="宋体" w:hAnsi="宋体" w:eastAsia="宋体" w:cs="宋体"/>
          <w:b/>
          <w:bCs/>
          <w:strike w:val="0"/>
          <w:color w:val="auto"/>
          <w:sz w:val="24"/>
          <w:szCs w:val="24"/>
          <w:u w:val="single"/>
          <w:shd w:val="clear" w:color="auto" w:fill="ffffff"/>
        </w:rPr>
        <w:t xml:space="preserve">（关键组件）</w:t>
      </w:r>
      <w:r>
        <w:rPr>
          <w:rFonts w:ascii="宋体" w:hAnsi="宋体" w:eastAsia="宋体" w:cs="宋体"/>
          <w:b/>
          <w:bCs/>
          <w:strike w:val="0"/>
          <w:color w:val="auto"/>
          <w:sz w:val="24"/>
          <w:szCs w:val="24"/>
          <w:shd w:val="clear" w:color="auto" w:fill="ffffff"/>
          <w:vertAlign w:val="superscript"/>
        </w:rPr>
        <w:t xml:space="preserve">4</w:t>
      </w:r>
      <w:r>
        <w:rPr>
          <w:rFonts w:ascii="宋体" w:hAnsi="宋体" w:eastAsia="宋体" w:cs="宋体"/>
          <w:b/>
          <w:bCs/>
          <w:strike w:val="0"/>
          <w:color w:val="auto"/>
          <w:sz w:val="24"/>
          <w:szCs w:val="24"/>
          <w:shd w:val="clear" w:color="auto" w:fill="ffffff"/>
        </w:rPr>
        <w:t xml:space="preserve">在中国境内生产。</w:t>
      </w:r>
      <w:r>
        <w:rPr>
          <w:rFonts w:ascii="宋体" w:hAnsi="宋体" w:eastAsia="宋体" w:cs="宋体"/>
          <w:b/>
          <w:bCs/>
          <w:strike w:val="0"/>
          <w:color w:val="auto"/>
          <w:sz w:val="24"/>
          <w:szCs w:val="24"/>
          <w:u w:val="single"/>
          <w:shd w:val="clear" w:color="auto" w:fill="ffffff"/>
        </w:rPr>
        <w:t xml:space="preserve">（产品名称1）</w:t>
      </w:r>
      <w:r>
        <w:rPr>
          <w:rFonts w:ascii="宋体" w:hAnsi="宋体" w:eastAsia="宋体" w:cs="宋体"/>
          <w:b/>
          <w:bCs/>
          <w:strike w:val="0"/>
          <w:color w:val="auto"/>
          <w:sz w:val="24"/>
          <w:szCs w:val="24"/>
          <w:shd w:val="clear" w:color="auto" w:fill="ffffff"/>
        </w:rPr>
        <w:t xml:space="preserve">的</w:t>
      </w:r>
      <w:r>
        <w:rPr>
          <w:rFonts w:ascii="宋体" w:hAnsi="宋体" w:eastAsia="宋体" w:cs="宋体"/>
          <w:b/>
          <w:bCs/>
          <w:strike w:val="0"/>
          <w:color w:val="auto"/>
          <w:sz w:val="24"/>
          <w:szCs w:val="24"/>
          <w:u w:val="single"/>
          <w:shd w:val="clear" w:color="auto" w:fill="ffffff"/>
        </w:rPr>
        <w:t xml:space="preserve">（关键工序）</w:t>
      </w:r>
      <w:r>
        <w:rPr>
          <w:rFonts w:ascii="宋体" w:hAnsi="宋体" w:eastAsia="宋体" w:cs="宋体"/>
          <w:b/>
          <w:bCs/>
          <w:strike w:val="0"/>
          <w:color w:val="auto"/>
          <w:sz w:val="24"/>
          <w:szCs w:val="24"/>
          <w:shd w:val="clear" w:color="auto" w:fill="ffffff"/>
          <w:vertAlign w:val="superscript"/>
        </w:rPr>
        <w:t xml:space="preserve">5</w:t>
      </w:r>
      <w:r>
        <w:rPr>
          <w:rFonts w:ascii="宋体" w:hAnsi="宋体" w:eastAsia="宋体" w:cs="宋体"/>
          <w:b/>
          <w:bCs/>
          <w:strike w:val="0"/>
          <w:color w:val="auto"/>
          <w:sz w:val="24"/>
          <w:szCs w:val="24"/>
          <w:shd w:val="clear" w:color="auto" w:fill="ffffff"/>
        </w:rPr>
        <w:t xml:space="preserve">在中国境内完成。</w:t>
      </w:r>
      <w:r/>
    </w:p>
    <w:p>
      <w:pPr>
        <w:pStyle w:val="841"/>
        <w:ind w:left="0" w:right="0" w:firstLine="420"/>
        <w:jc w:val="left"/>
        <w:keepLines w:val="0"/>
        <w:keepNext w:val="0"/>
        <w:pageBreakBefore w:val="0"/>
        <w:spacing w:before="0" w:beforeAutospacing="0" w:after="0" w:afterAutospacing="0" w:line="360" w:lineRule="auto"/>
        <w:widowControl w:val="off"/>
        <w:rPr>
          <w:b/>
          <w:bCs/>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shd w:val="clear" w:color="auto" w:fill="ffffff"/>
        </w:rPr>
        <w:t xml:space="preserve">2.</w:t>
      </w:r>
      <w:r>
        <w:rPr>
          <w:rFonts w:ascii="宋体" w:hAnsi="宋体" w:eastAsia="宋体" w:cs="宋体"/>
          <w:b/>
          <w:bCs/>
          <w:strike w:val="0"/>
          <w:color w:val="auto"/>
          <w:sz w:val="24"/>
          <w:szCs w:val="24"/>
          <w:u w:val="single"/>
          <w:shd w:val="clear" w:color="auto" w:fill="ffffff"/>
        </w:rPr>
        <w:t xml:space="preserve">（产品名称2）</w:t>
      </w:r>
      <w:r>
        <w:rPr>
          <w:rFonts w:ascii="宋体" w:hAnsi="宋体" w:eastAsia="宋体" w:cs="宋体"/>
          <w:b/>
          <w:bCs/>
          <w:strike w:val="0"/>
          <w:color w:val="auto"/>
          <w:sz w:val="24"/>
          <w:szCs w:val="24"/>
          <w:shd w:val="clear" w:color="auto" w:fill="ffffff"/>
        </w:rPr>
        <w:t xml:space="preserve">，生产厂为</w:t>
      </w:r>
      <w:r>
        <w:rPr>
          <w:rFonts w:ascii="宋体" w:hAnsi="宋体" w:eastAsia="宋体" w:cs="宋体"/>
          <w:b/>
          <w:bCs/>
          <w:strike w:val="0"/>
          <w:color w:val="auto"/>
          <w:sz w:val="24"/>
          <w:szCs w:val="24"/>
          <w:u w:val="single"/>
          <w:shd w:val="clear" w:color="auto" w:fill="ffffff"/>
        </w:rPr>
        <w:t xml:space="preserve">（厂名）</w:t>
      </w:r>
      <w:r>
        <w:rPr>
          <w:rFonts w:ascii="宋体" w:hAnsi="宋体" w:eastAsia="宋体" w:cs="宋体"/>
          <w:b/>
          <w:bCs/>
          <w:strike w:val="0"/>
          <w:color w:val="auto"/>
          <w:sz w:val="24"/>
          <w:szCs w:val="24"/>
          <w:shd w:val="clear" w:color="auto" w:fill="ffffff"/>
        </w:rPr>
        <w:t xml:space="preserve">，厂址为</w:t>
      </w:r>
      <w:r>
        <w:rPr>
          <w:rFonts w:ascii="宋体" w:hAnsi="宋体" w:eastAsia="宋体" w:cs="宋体"/>
          <w:b/>
          <w:bCs/>
          <w:strike w:val="0"/>
          <w:color w:val="auto"/>
          <w:sz w:val="24"/>
          <w:szCs w:val="24"/>
          <w:u w:val="single"/>
          <w:shd w:val="clear" w:color="auto" w:fill="ffffff"/>
        </w:rPr>
        <w:t xml:space="preserve">（生产厂址）</w:t>
      </w:r>
      <w:r>
        <w:rPr>
          <w:rFonts w:ascii="宋体" w:hAnsi="宋体" w:eastAsia="宋体" w:cs="宋体"/>
          <w:b/>
          <w:bCs/>
          <w:strike w:val="0"/>
          <w:color w:val="auto"/>
          <w:sz w:val="24"/>
          <w:szCs w:val="24"/>
          <w:shd w:val="clear" w:color="auto" w:fill="ffffff"/>
        </w:rPr>
        <w:t xml:space="preserve">。</w:t>
      </w:r>
      <w:r>
        <w:rPr>
          <w:rFonts w:ascii="宋体" w:hAnsi="宋体" w:eastAsia="宋体" w:cs="宋体"/>
          <w:b/>
          <w:bCs/>
          <w:strike w:val="0"/>
          <w:color w:val="auto"/>
          <w:sz w:val="24"/>
          <w:szCs w:val="24"/>
          <w:u w:val="single"/>
          <w:shd w:val="clear" w:color="auto" w:fill="ffffff"/>
        </w:rPr>
        <w:t xml:space="preserve">（产品名称2）</w:t>
      </w:r>
      <w:r>
        <w:rPr>
          <w:rFonts w:ascii="宋体" w:hAnsi="宋体" w:eastAsia="宋体" w:cs="宋体"/>
          <w:b/>
          <w:bCs/>
          <w:strike w:val="0"/>
          <w:color w:val="auto"/>
          <w:sz w:val="24"/>
          <w:szCs w:val="24"/>
          <w:shd w:val="clear" w:color="auto" w:fill="ffffff"/>
        </w:rPr>
        <w:t xml:space="preserve">的中国境内生产的组件成本占比≥</w:t>
      </w:r>
      <w:r>
        <w:rPr>
          <w:rFonts w:ascii="宋体" w:hAnsi="宋体" w:eastAsia="宋体" w:cs="宋体"/>
          <w:b/>
          <w:bCs/>
          <w:strike w:val="0"/>
          <w:color w:val="auto"/>
          <w:sz w:val="24"/>
          <w:szCs w:val="24"/>
          <w:u w:val="single"/>
          <w:shd w:val="clear" w:color="auto" w:fill="ffffff"/>
        </w:rPr>
        <w:t xml:space="preserve">（规定比例）</w:t>
      </w:r>
      <w:r>
        <w:rPr>
          <w:rFonts w:ascii="宋体" w:hAnsi="宋体" w:eastAsia="宋体" w:cs="宋体"/>
          <w:b/>
          <w:bCs/>
          <w:strike w:val="0"/>
          <w:color w:val="auto"/>
          <w:sz w:val="24"/>
          <w:szCs w:val="24"/>
          <w:shd w:val="clear" w:color="auto" w:fill="ffffff"/>
        </w:rPr>
        <w:t xml:space="preserve">。</w:t>
      </w:r>
      <w:r>
        <w:rPr>
          <w:rFonts w:ascii="宋体" w:hAnsi="宋体" w:eastAsia="宋体" w:cs="宋体"/>
          <w:b/>
          <w:bCs/>
          <w:strike w:val="0"/>
          <w:color w:val="auto"/>
          <w:sz w:val="24"/>
          <w:szCs w:val="24"/>
          <w:u w:val="single"/>
          <w:shd w:val="clear" w:color="auto" w:fill="ffffff"/>
        </w:rPr>
        <w:t xml:space="preserve">（产品名称2）</w:t>
      </w:r>
      <w:r>
        <w:rPr>
          <w:rFonts w:ascii="宋体" w:hAnsi="宋体" w:eastAsia="宋体" w:cs="宋体"/>
          <w:b/>
          <w:bCs/>
          <w:strike w:val="0"/>
          <w:color w:val="auto"/>
          <w:sz w:val="24"/>
          <w:szCs w:val="24"/>
          <w:shd w:val="clear" w:color="auto" w:fill="ffffff"/>
        </w:rPr>
        <w:t xml:space="preserve">的</w:t>
      </w:r>
      <w:r>
        <w:rPr>
          <w:rFonts w:ascii="宋体" w:hAnsi="宋体" w:eastAsia="宋体" w:cs="宋体"/>
          <w:b/>
          <w:bCs/>
          <w:strike w:val="0"/>
          <w:color w:val="auto"/>
          <w:sz w:val="24"/>
          <w:szCs w:val="24"/>
          <w:u w:val="single"/>
          <w:shd w:val="clear" w:color="auto" w:fill="ffffff"/>
        </w:rPr>
        <w:t xml:space="preserve">（关键组件）</w:t>
      </w:r>
      <w:r>
        <w:rPr>
          <w:rFonts w:ascii="宋体" w:hAnsi="宋体" w:eastAsia="宋体" w:cs="宋体"/>
          <w:b/>
          <w:bCs/>
          <w:strike w:val="0"/>
          <w:color w:val="auto"/>
          <w:sz w:val="24"/>
          <w:szCs w:val="24"/>
          <w:shd w:val="clear" w:color="auto" w:fill="ffffff"/>
        </w:rPr>
        <w:t xml:space="preserve">在中国境内生产。</w:t>
      </w:r>
      <w:r>
        <w:rPr>
          <w:rFonts w:ascii="宋体" w:hAnsi="宋体" w:eastAsia="宋体" w:cs="宋体"/>
          <w:b/>
          <w:bCs/>
          <w:strike w:val="0"/>
          <w:color w:val="auto"/>
          <w:sz w:val="24"/>
          <w:szCs w:val="24"/>
          <w:u w:val="single"/>
          <w:shd w:val="clear" w:color="auto" w:fill="ffffff"/>
        </w:rPr>
        <w:t xml:space="preserve">（产品名称1）</w:t>
      </w:r>
      <w:r>
        <w:rPr>
          <w:rFonts w:ascii="宋体" w:hAnsi="宋体" w:eastAsia="宋体" w:cs="宋体"/>
          <w:b/>
          <w:bCs/>
          <w:strike w:val="0"/>
          <w:color w:val="auto"/>
          <w:sz w:val="24"/>
          <w:szCs w:val="24"/>
          <w:shd w:val="clear" w:color="auto" w:fill="ffffff"/>
        </w:rPr>
        <w:t xml:space="preserve">的</w:t>
      </w:r>
      <w:r>
        <w:rPr>
          <w:rFonts w:ascii="宋体" w:hAnsi="宋体" w:eastAsia="宋体" w:cs="宋体"/>
          <w:b/>
          <w:bCs/>
          <w:strike w:val="0"/>
          <w:color w:val="auto"/>
          <w:sz w:val="24"/>
          <w:szCs w:val="24"/>
          <w:u w:val="single"/>
          <w:shd w:val="clear" w:color="auto" w:fill="ffffff"/>
        </w:rPr>
        <w:t xml:space="preserve">（关键工序）</w:t>
      </w:r>
      <w:r>
        <w:rPr>
          <w:rFonts w:ascii="宋体" w:hAnsi="宋体" w:eastAsia="宋体" w:cs="宋体"/>
          <w:b/>
          <w:bCs/>
          <w:strike w:val="0"/>
          <w:color w:val="auto"/>
          <w:sz w:val="24"/>
          <w:szCs w:val="24"/>
          <w:shd w:val="clear" w:color="auto" w:fill="ffffff"/>
        </w:rPr>
        <w:t xml:space="preserve">在中国境内完成。</w:t>
      </w:r>
      <w:r/>
    </w:p>
    <w:p>
      <w:pPr>
        <w:pStyle w:val="841"/>
        <w:ind w:left="0" w:right="0" w:firstLine="420"/>
        <w:jc w:val="left"/>
        <w:keepLines w:val="0"/>
        <w:keepNext w:val="0"/>
        <w:pageBreakBefore w:val="0"/>
        <w:spacing w:before="0" w:beforeAutospacing="0" w:after="0" w:afterAutospacing="0" w:line="360" w:lineRule="auto"/>
        <w:widowControl w:val="off"/>
        <w:rPr>
          <w:b/>
          <w:bCs/>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shd w:val="clear" w:color="auto" w:fill="ffffff"/>
        </w:rPr>
        <w:t xml:space="preserve">……</w:t>
      </w:r>
      <w:r/>
    </w:p>
    <w:p>
      <w:pPr>
        <w:pStyle w:val="841"/>
        <w:ind w:left="0" w:right="0" w:firstLine="420"/>
        <w:jc w:val="left"/>
        <w:keepLines w:val="0"/>
        <w:keepNext w:val="0"/>
        <w:pageBreakBefore w:val="0"/>
        <w:spacing w:before="0" w:beforeAutospacing="0" w:after="0" w:afterAutospacing="0" w:line="360" w:lineRule="auto"/>
        <w:widowControl w:val="off"/>
        <w:rPr>
          <w:b/>
          <w:bCs/>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shd w:val="clear" w:color="auto" w:fill="ffffff"/>
        </w:rPr>
        <w:t xml:space="preserve">本公司（单位）对上述声明内容的真实性负责。如有虚假，愿承担相应法律责任。</w:t>
      </w:r>
      <w:r/>
    </w:p>
    <w:p>
      <w:pPr>
        <w:pStyle w:val="841"/>
        <w:ind w:right="0"/>
        <w:jc w:val="left"/>
        <w:keepLines w:val="0"/>
        <w:keepNext w:val="0"/>
        <w:pageBreakBefore w:val="0"/>
        <w:spacing w:before="0" w:beforeAutospacing="0" w:after="0" w:afterAutospacing="0" w:line="360" w:lineRule="auto"/>
        <w:widowControl w:val="off"/>
        <w:rPr>
          <w:b/>
          <w:bCs/>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rPr>
        <w:t xml:space="preserve"> </w:t>
      </w:r>
      <w:r/>
    </w:p>
    <w:p>
      <w:pPr>
        <w:pStyle w:val="841"/>
        <w:ind w:left="0" w:right="0" w:firstLine="3720"/>
        <w:jc w:val="left"/>
        <w:keepLines w:val="0"/>
        <w:keepNext w:val="0"/>
        <w:pageBreakBefore w:val="0"/>
        <w:spacing w:before="0" w:beforeAutospacing="0" w:after="0" w:afterAutospacing="0" w:line="360" w:lineRule="auto"/>
        <w:widowControl w:val="off"/>
        <w:rPr>
          <w:b/>
          <w:bCs/>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shd w:val="clear" w:color="auto" w:fill="ffffff"/>
        </w:rPr>
        <w:t xml:space="preserve">公司（单位）名称（盖章）：　</w:t>
      </w:r>
      <w:r/>
    </w:p>
    <w:p>
      <w:pPr>
        <w:pStyle w:val="841"/>
        <w:ind w:right="0"/>
        <w:jc w:val="left"/>
        <w:keepLines w:val="0"/>
        <w:keepNext w:val="0"/>
        <w:pageBreakBefore w:val="0"/>
        <w:spacing w:before="0" w:beforeAutospacing="0" w:after="0" w:afterAutospacing="0" w:line="360" w:lineRule="auto"/>
        <w:widowControl w:val="off"/>
        <w:rPr>
          <w:b/>
          <w:bCs/>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shd w:val="clear" w:color="auto" w:fill="ffffff"/>
        </w:rPr>
        <w:t xml:space="preserve">                       日期：　   年　  月　  日 __________________</w:t>
      </w:r>
      <w:r/>
    </w:p>
    <w:p>
      <w:pPr>
        <w:pStyle w:val="841"/>
        <w:ind w:right="0"/>
        <w:jc w:val="left"/>
        <w:keepLines w:val="0"/>
        <w:keepNext w:val="0"/>
        <w:pageBreakBefore w:val="0"/>
        <w:spacing w:before="0" w:beforeAutospacing="0" w:after="0" w:afterAutospacing="0" w:line="360" w:lineRule="auto"/>
        <w:widowControl w:val="off"/>
        <w:rPr>
          <w:b/>
          <w:bCs/>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shd w:val="clear" w:color="auto" w:fill="ffffff"/>
        </w:rPr>
        <w:t xml:space="preserve">1.产品如有型号，请在“产品名称”栏一并填写。</w:t>
      </w:r>
      <w:r/>
    </w:p>
    <w:p>
      <w:pPr>
        <w:pStyle w:val="841"/>
        <w:ind w:right="0"/>
        <w:jc w:val="left"/>
        <w:keepLines w:val="0"/>
        <w:keepNext w:val="0"/>
        <w:pageBreakBefore w:val="0"/>
        <w:spacing w:before="0" w:beforeAutospacing="0" w:after="0" w:afterAutospacing="0" w:line="360" w:lineRule="auto"/>
        <w:widowControl w:val="off"/>
        <w:rPr>
          <w:b/>
          <w:bCs/>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shd w:val="clear" w:color="auto" w:fill="ffffff"/>
        </w:rPr>
        <w:t xml:space="preserve">2.生产厂名与厂址应与生产厂营业执照载明的相关信息保持一致。</w:t>
      </w:r>
      <w:r/>
    </w:p>
    <w:p>
      <w:pPr>
        <w:pStyle w:val="841"/>
        <w:ind w:right="0"/>
        <w:jc w:val="left"/>
        <w:keepLines w:val="0"/>
        <w:keepNext w:val="0"/>
        <w:pageBreakBefore w:val="0"/>
        <w:spacing w:before="0" w:beforeAutospacing="0" w:after="0" w:afterAutospacing="0" w:line="360" w:lineRule="auto"/>
        <w:widowControl w:val="off"/>
        <w:rPr>
          <w:b/>
          <w:bCs/>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shd w:val="clear" w:color="auto" w:fill="ffffff"/>
        </w:rPr>
        <w:t xml:space="preserve">3.该产品的中国境内生产的组件成本占比相关要求实施前，“规定比例”栏可不填，下同。</w:t>
      </w:r>
      <w:r/>
    </w:p>
    <w:p>
      <w:pPr>
        <w:pStyle w:val="841"/>
        <w:ind w:right="0"/>
        <w:jc w:val="left"/>
        <w:keepLines w:val="0"/>
        <w:keepNext w:val="0"/>
        <w:pageBreakBefore w:val="0"/>
        <w:spacing w:before="0" w:beforeAutospacing="0" w:after="0" w:afterAutospacing="0" w:line="360" w:lineRule="auto"/>
        <w:widowControl w:val="off"/>
        <w:rPr>
          <w:b/>
          <w:bCs/>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shd w:val="clear" w:color="auto" w:fill="ffffff"/>
        </w:rPr>
        <w:t xml:space="preserve">4.该产品的关键组件要求实施前，“关键组件”栏可不填，下同。</w:t>
      </w:r>
      <w:r/>
    </w:p>
    <w:p>
      <w:pPr>
        <w:pStyle w:val="841"/>
        <w:ind w:right="0"/>
        <w:jc w:val="left"/>
        <w:keepLines w:val="0"/>
        <w:keepNext w:val="0"/>
        <w:pageBreakBefore w:val="0"/>
        <w:spacing w:before="0" w:beforeAutospacing="0" w:after="0" w:afterAutospacing="0" w:line="360" w:lineRule="auto"/>
        <w:widowControl w:val="off"/>
        <w:rPr>
          <w:rFonts w:ascii="宋体" w:hAnsi="宋体" w:eastAsia="宋体" w:cs="宋体"/>
          <w:b/>
          <w:bCs/>
          <w:strike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shd w:val="clear" w:color="auto" w:fill="ffffff"/>
        </w:rPr>
        <w:t xml:space="preserve">5.该产品的关键工序要求实施前，“关键工序”栏可不填，下同。</w:t>
      </w:r>
      <w:r/>
    </w:p>
    <w:p>
      <w:pPr>
        <w:pStyle w:val="841"/>
        <w:ind w:right="0"/>
        <w:jc w:val="left"/>
        <w:keepLines w:val="0"/>
        <w:keepNext w:val="0"/>
        <w:pageBreakBefore w:val="0"/>
        <w:spacing w:before="0" w:beforeAutospacing="0" w:after="0" w:afterAutospacing="0" w:line="360" w:lineRule="auto"/>
        <w:widowControl w:val="off"/>
        <w:rPr>
          <w:rFonts w:ascii="宋体" w:hAnsi="宋体" w:eastAsia="宋体" w:cs="宋体"/>
          <w:b/>
          <w:bCs/>
          <w:strike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strike w:val="0"/>
          <w:color w:val="auto"/>
          <w:sz w:val="24"/>
          <w:szCs w:val="24"/>
          <w:shd w:val="clear" w:color="auto" w:fill="ffffff"/>
        </w:rPr>
        <w:t xml:space="preserve">6.用</w:t>
      </w:r>
      <w:r>
        <w:rPr>
          <w:rFonts w:hint="eastAsia" w:ascii="宋体" w:hAnsi="宋体" w:eastAsia="宋体" w:cs="宋体"/>
          <w:b/>
          <w:bCs/>
          <w:strike w:val="0"/>
          <w:color w:val="auto"/>
          <w:sz w:val="24"/>
          <w:szCs w:val="24"/>
          <w:shd w:val="clear" w:color="auto" w:fill="ffffff"/>
          <w:lang w:val="en-US" w:eastAsia="zh-CN"/>
        </w:rPr>
        <w:t xml:space="preserve">横</w:t>
      </w:r>
      <w:r>
        <w:rPr>
          <w:rFonts w:ascii="宋体" w:hAnsi="宋体" w:eastAsia="宋体" w:cs="宋体"/>
          <w:b/>
          <w:bCs/>
          <w:strike w:val="0"/>
          <w:color w:val="auto"/>
          <w:sz w:val="24"/>
          <w:szCs w:val="24"/>
          <w:shd w:val="clear" w:color="auto" w:fill="ffffff"/>
        </w:rPr>
        <w:t xml:space="preserve">线划除的地方无需填写。</w:t>
      </w:r>
      <w:r/>
    </w:p>
    <w:p>
      <w:pPr>
        <w:pStyle w:val="841"/>
        <w:ind w:right="0"/>
        <w:jc w:val="left"/>
        <w:keepLines w:val="0"/>
        <w:keepNext w:val="0"/>
        <w:pageBreakBefore w:val="0"/>
        <w:spacing w:before="0" w:beforeAutospacing="0" w:after="0" w:afterAutospacing="0" w:line="360" w:lineRule="auto"/>
        <w:rPr>
          <w:strike w:val="0"/>
          <w:color w:val="auto"/>
          <w:sz w:val="24"/>
          <w:szCs w:val="24"/>
          <w:highlight w:val="none"/>
        </w:rPr>
      </w:pPr>
      <w:r>
        <w:rPr>
          <w:rFonts w:hint="eastAsia" w:ascii="宋体" w:hAnsi="宋体" w:eastAsia="宋体" w:cs="宋体"/>
          <w:b/>
          <w:bCs/>
          <w:strike w:val="0"/>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trike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十</w:t>
      </w:r>
      <w:r>
        <w:rPr>
          <w:rFonts w:hint="eastAsia" w:ascii="黑体" w:hAnsi="黑体" w:eastAsia="黑体" w:cs="黑体"/>
          <w:b/>
          <w:color w:val="auto"/>
          <w:sz w:val="32"/>
          <w:lang w:val="en-US" w:eastAsia="zh-CN"/>
        </w:rPr>
        <w:t xml:space="preserve">二</w:t>
      </w:r>
      <w:r>
        <w:rPr>
          <w:rFonts w:ascii="黑体" w:hAnsi="黑体" w:eastAsia="黑体" w:cs="黑体"/>
          <w:b/>
          <w:color w:val="auto"/>
          <w:sz w:val="32"/>
        </w:rPr>
        <w:t xml:space="preserve">、技术要求响应及偏离表</w:t>
      </w:r>
      <w:r/>
    </w:p>
    <w:tbl>
      <w:tblPr>
        <w:tblStyle w:val="8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2581"/>
        <w:gridCol w:w="2195"/>
        <w:gridCol w:w="1111"/>
        <w:gridCol w:w="17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证明</w:t>
            </w:r>
            <w:r/>
          </w:p>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bl>
    <w:p>
      <w:pPr>
        <w:numPr>
          <w:numId w:val="0"/>
        </w:numPr>
        <w:ind w:right="0"/>
        <w:jc w:val="both"/>
        <w:spacing w:before="100" w:after="100"/>
        <w:rPr>
          <w:rFonts w:hint="eastAsia" w:ascii="宋体" w:hAnsi="宋体" w:cs="宋体"/>
          <w:color w:val="auto"/>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rPr>
          <w:rFonts w:hint="eastAsia" w:ascii="宋体" w:hAnsi="宋体" w:cs="宋体"/>
          <w:color w:val="auto"/>
          <w:sz w:val="24"/>
          <w:lang w:val="en-US" w:eastAsia="zh-CN"/>
        </w:rPr>
        <w:t xml:space="preserve">： （</w:t>
      </w:r>
      <w:r>
        <w:rPr>
          <w:rFonts w:hint="eastAsia" w:ascii="宋体" w:hAnsi="宋体" w:cs="宋体"/>
          <w:color w:val="auto"/>
          <w:sz w:val="24"/>
          <w:lang w:val="en-US" w:eastAsia="zh-CN"/>
        </w:rPr>
        <w:t xml:space="preserve">1）行数不够，可自行添加。</w:t>
      </w:r>
      <w:r/>
    </w:p>
    <w:p>
      <w:pPr>
        <w:numPr>
          <w:ilvl w:val="0"/>
          <w:numId w:val="6"/>
        </w:numPr>
        <w:ind w:left="0" w:right="0" w:firstLine="0"/>
        <w:jc w:val="both"/>
        <w:spacing w:before="100" w:after="100"/>
        <w:rPr>
          <w:rFonts w:hint="eastAsia" w:ascii="宋体" w:hAnsi="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无需逐条响应技术要求。</w:t>
      </w:r>
      <w:r/>
    </w:p>
    <w:p>
      <w:pPr>
        <w:numPr>
          <w:ilvl w:val="0"/>
          <w:numId w:val="6"/>
        </w:numPr>
        <w:ind w:left="0" w:right="0" w:firstLine="0"/>
        <w:jc w:val="both"/>
        <w:spacing w:before="100" w:after="100"/>
        <w:rPr>
          <w:rFonts w:hint="default" w:ascii="宋体" w:hAnsi="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技术要求不得有负偏离，否则符合性审查不通过，作无效标书处理。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bookmarkStart w:id="178" w:name="_GoBack"/>
      <w:r/>
      <w:bookmarkEnd w:id="178"/>
      <w:r/>
      <w:r/>
    </w:p>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十</w:t>
      </w:r>
      <w:r>
        <w:rPr>
          <w:rFonts w:hint="eastAsia" w:ascii="黑体" w:hAnsi="黑体" w:eastAsia="黑体" w:cs="黑体"/>
          <w:b/>
          <w:color w:val="auto"/>
          <w:sz w:val="32"/>
          <w:lang w:val="en-US" w:eastAsia="zh-CN"/>
        </w:rPr>
        <w:t xml:space="preserve">三</w:t>
      </w:r>
      <w:r>
        <w:rPr>
          <w:rFonts w:ascii="黑体" w:hAnsi="黑体" w:eastAsia="黑体" w:cs="黑体"/>
          <w:b/>
          <w:color w:val="auto"/>
          <w:sz w:val="32"/>
        </w:rPr>
        <w:t xml:space="preserve">、商务要求响应及偏离表</w:t>
      </w:r>
      <w:r/>
    </w:p>
    <w:tbl>
      <w:tblPr>
        <w:tblStyle w:val="8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2093"/>
        <w:gridCol w:w="2240"/>
        <w:gridCol w:w="1475"/>
        <w:gridCol w:w="19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证明</w:t>
            </w:r>
            <w:r/>
          </w:p>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bl>
    <w:p>
      <w:pPr>
        <w:ind w:left="0" w:right="0" w:firstLine="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注：行数不够，可自行添加。</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u w:val="single"/>
        </w:rPr>
        <w:t xml:space="preserve">十</w:t>
      </w:r>
      <w:r>
        <w:rPr>
          <w:rFonts w:hint="eastAsia" w:ascii="黑体" w:hAnsi="黑体" w:eastAsia="黑体" w:cs="黑体"/>
          <w:b/>
          <w:i/>
          <w:color w:val="auto"/>
          <w:sz w:val="32"/>
          <w:u w:val="single"/>
          <w:lang w:val="en-US" w:eastAsia="zh-CN"/>
        </w:rPr>
        <w:t xml:space="preserve">四</w:t>
      </w:r>
      <w:r>
        <w:rPr>
          <w:rFonts w:ascii="黑体" w:hAnsi="黑体" w:eastAsia="黑体" w:cs="黑体"/>
          <w:b/>
          <w:i/>
          <w:color w:val="auto"/>
          <w:sz w:val="32"/>
          <w:u w:val="single"/>
        </w:rPr>
        <w:t xml:space="preserve">、开标一览表</w:t>
      </w:r>
      <w:r/>
    </w:p>
    <w:p>
      <w:pPr>
        <w:ind w:left="0" w:right="0" w:firstLine="480"/>
        <w:jc w:val="both"/>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spacing w:before="100" w:after="10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项目编号：</w:t>
      </w:r>
      <w:r>
        <w:rPr>
          <w:rFonts w:ascii="Calibri" w:hAnsi="Calibri" w:eastAsia="Calibri" w:cs="Calibri"/>
          <w:color w:val="auto"/>
          <w:sz w:val="24"/>
        </w:rPr>
        <w:t xml:space="preserve">JSZC-320900-RHHH-G202</w:t>
      </w:r>
      <w:r>
        <w:rPr>
          <w:rFonts w:hint="eastAsia" w:ascii="Calibri" w:hAnsi="Calibri" w:cs="Calibri"/>
          <w:color w:val="auto"/>
          <w:sz w:val="24"/>
          <w:lang w:val="en-US" w:eastAsia="zh-CN"/>
        </w:rPr>
        <w:t xml:space="preserve">6</w:t>
      </w:r>
      <w:r>
        <w:rPr>
          <w:rFonts w:ascii="Calibri" w:hAnsi="Calibri" w:eastAsia="Calibri" w:cs="Calibri"/>
          <w:color w:val="auto"/>
          <w:sz w:val="24"/>
        </w:rPr>
        <w:t xml:space="preserve">-</w:t>
      </w:r>
      <w:r/>
    </w:p>
    <w:p>
      <w:pPr>
        <w:ind w:left="0" w:right="0" w:firstLine="0"/>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货币单位：人民币元</w:t>
      </w:r>
      <w:r/>
    </w:p>
    <w:tbl>
      <w:tblPr>
        <w:tblStyle w:val="8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3267"/>
      </w:tblGrid>
      <w:tr>
        <w:trPr>
          <w:trHeight w:val="6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总价（小写）</w:t>
            </w:r>
            <w:r/>
          </w:p>
        </w:tc>
      </w:tr>
      <w:tr>
        <w:trPr>
          <w:trHeight w:val="1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盐城市第一人民医院全院建筑消防维保和维修项目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7"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rPr>
                <w:rFonts w:ascii="宋体" w:hAnsi="宋体" w:eastAsia="宋体" w:cs="宋体"/>
                <w:color w:val="auto"/>
                <w:sz w:val="24"/>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金额大写</w:t>
            </w:r>
            <w:r/>
          </w:p>
        </w:tc>
      </w:tr>
    </w:tbl>
    <w:p>
      <w:pPr>
        <w:ind w:left="0" w:right="0" w:firstLine="0"/>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投标人公章：（电子签章）</w:t>
      </w:r>
      <w:r/>
    </w:p>
    <w:p>
      <w:pPr>
        <w:ind w:left="0" w:right="0" w:firstLine="0"/>
        <w:spacing w:before="100" w:after="10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spacing w:before="100" w:after="10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0"/>
        <w:jc w:val="right"/>
        <w:spacing w:before="100" w:after="1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   年   月   日</w:t>
      </w:r>
      <w:r/>
    </w:p>
    <w:p>
      <w:pPr>
        <w:ind w:left="0" w:right="0" w:firstLine="480"/>
        <w:jc w:val="both"/>
        <w:spacing w:before="100" w:after="100"/>
        <w:rPr>
          <w:color w:val="auto"/>
        </w:rPr>
        <w:pBdr>
          <w:top w:val="none" w:color="000000" w:sz="0" w:space="0"/>
          <w:left w:val="none" w:color="000000" w:sz="0" w:space="0"/>
          <w:bottom w:val="none" w:color="000000" w:sz="0" w:space="0"/>
          <w:right w:val="none" w:color="000000" w:sz="0" w:space="0"/>
        </w:pBdr>
      </w:pPr>
      <w:r>
        <w:rPr>
          <w:color w:val="auto"/>
        </w:rPr>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841"/>
        <w:numPr>
          <w:ilvl w:val="0"/>
          <w:numId w:val="0"/>
        </w:numPr>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eastAsia="zh-CN"/>
        </w:rPr>
        <w:t xml:space="preserve">十</w:t>
      </w:r>
      <w:r>
        <w:rPr>
          <w:rFonts w:hint="eastAsia" w:ascii="黑体" w:eastAsia="黑体" w:cs="黑体"/>
          <w:b/>
          <w:color w:val="auto"/>
          <w:sz w:val="32"/>
          <w:szCs w:val="32"/>
          <w:highlight w:val="none"/>
          <w:lang w:val="en-US" w:eastAsia="zh-CN"/>
        </w:rPr>
        <w:t xml:space="preserve">五</w:t>
      </w:r>
      <w:r>
        <w:rPr>
          <w:rFonts w:hint="eastAsia" w:ascii="黑体" w:hAnsi="宋体" w:eastAsia="黑体" w:cs="黑体"/>
          <w:b/>
          <w:color w:val="auto"/>
          <w:sz w:val="32"/>
          <w:szCs w:val="32"/>
          <w:highlight w:val="none"/>
          <w:lang w:eastAsia="zh-CN"/>
        </w:rPr>
        <w:t xml:space="preserve">、</w:t>
      </w:r>
      <w:r>
        <w:rPr>
          <w:rFonts w:hint="eastAsia" w:ascii="黑体" w:hAnsi="宋体" w:eastAsia="黑体" w:cs="黑体"/>
          <w:b/>
          <w:color w:val="auto"/>
          <w:sz w:val="32"/>
          <w:szCs w:val="32"/>
          <w:highlight w:val="none"/>
        </w:rPr>
        <w:t xml:space="preserve">投标分项报价表</w:t>
      </w:r>
      <w:r/>
    </w:p>
    <w:p>
      <w:pPr>
        <w:pStyle w:val="841"/>
        <w:numPr>
          <w:ilvl w:val="0"/>
          <w:numId w:val="0"/>
        </w:numPr>
        <w:jc w:val="both"/>
        <w:spacing w:beforeAutospacing="0" w:afterAutospacing="0"/>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r>
      <w:r/>
    </w:p>
    <w:p>
      <w:pPr>
        <w:pStyle w:val="841"/>
        <w:numPr>
          <w:ilvl w:val="0"/>
          <w:numId w:val="0"/>
        </w:numPr>
        <w:jc w:val="both"/>
        <w:spacing w:beforeAutospacing="0" w:afterAutospacing="0"/>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t xml:space="preserve">项目名称：盐城市第一人民医院建筑设施消防维保及维修项目</w:t>
      </w:r>
      <w:r/>
    </w:p>
    <w:tbl>
      <w:tblPr>
        <w:tblStyle w:val="795"/>
        <w:tblW w:w="935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402"/>
        <w:gridCol w:w="1020"/>
        <w:gridCol w:w="783"/>
        <w:gridCol w:w="1224"/>
        <w:gridCol w:w="2022"/>
        <w:gridCol w:w="1982"/>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4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4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4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4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2022" w:type="dxa"/>
            <w:vAlign w:val="center"/>
            <w:textDirection w:val="lrTb"/>
            <w:noWrap w:val="false"/>
          </w:tcPr>
          <w:p>
            <w:pPr>
              <w:pStyle w:val="841"/>
              <w:jc w:val="center"/>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lang w:val="en-US" w:eastAsia="zh-CN"/>
              </w:rPr>
              <w:t xml:space="preserve">5</w:t>
            </w:r>
            <w:r/>
          </w:p>
        </w:tc>
        <w:tc>
          <w:tcPr>
            <w:shd w:val="clear" w:color="auto" w:fill="auto"/>
            <w:tcBorders>
              <w:top w:val="single" w:color="000000" w:sz="4" w:space="0"/>
              <w:left w:val="single" w:color="auto" w:sz="4" w:space="0"/>
              <w:bottom w:val="single" w:color="000000" w:sz="4" w:space="0"/>
              <w:right w:val="single" w:color="000000" w:sz="4" w:space="0"/>
            </w:tcBorders>
            <w:tcW w:w="1982" w:type="dxa"/>
            <w:vAlign w:val="center"/>
            <w:textDirection w:val="lrTb"/>
            <w:noWrap w:val="false"/>
          </w:tcPr>
          <w:p>
            <w:pPr>
              <w:pStyle w:val="841"/>
              <w:jc w:val="center"/>
              <w:spacing w:beforeAutospacing="0" w:afterAutospacing="0" w:line="0" w:lineRule="atLeast"/>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4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41"/>
              <w:jc w:val="center"/>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lang w:eastAsia="zh-CN"/>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4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auto" w:sz="4" w:space="0"/>
            </w:tcBorders>
            <w:tcW w:w="2022" w:type="dxa"/>
            <w:vAlign w:val="center"/>
            <w:textDirection w:val="lrTb"/>
            <w:noWrap w:val="false"/>
          </w:tcPr>
          <w:p>
            <w:pPr>
              <w:pStyle w:val="841"/>
              <w:jc w:val="center"/>
              <w:spacing w:beforeAutospacing="0" w:afterAutospacing="0" w:line="0" w:lineRule="atLeast"/>
              <w:rPr>
                <w:rFonts w:hint="eastAsia"/>
                <w:color w:val="auto"/>
                <w:highlight w:val="none"/>
                <w:lang w:eastAsia="zh-CN"/>
              </w:rPr>
            </w:pPr>
            <w:r>
              <w:rPr>
                <w:rFonts w:hint="eastAsia"/>
                <w:color w:val="auto"/>
                <w:highlight w:val="none"/>
                <w:lang w:eastAsia="zh-CN"/>
              </w:rPr>
              <w:t xml:space="preserve">一年总价</w:t>
            </w:r>
            <w:r/>
          </w:p>
          <w:p>
            <w:pPr>
              <w:pStyle w:val="841"/>
              <w:jc w:val="center"/>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（人民币：元）</w:t>
            </w:r>
            <w:r/>
          </w:p>
        </w:tc>
        <w:tc>
          <w:tcPr>
            <w:shd w:val="clear" w:color="auto" w:fill="auto"/>
            <w:tcBorders>
              <w:top w:val="single" w:color="000000" w:sz="4" w:space="0"/>
              <w:left w:val="single" w:color="auto" w:sz="4" w:space="0"/>
              <w:bottom w:val="single" w:color="000000" w:sz="4" w:space="0"/>
              <w:right w:val="single" w:color="000000" w:sz="4" w:space="0"/>
            </w:tcBorders>
            <w:tcW w:w="1982" w:type="dxa"/>
            <w:vAlign w:val="center"/>
            <w:textDirection w:val="lrTb"/>
            <w:noWrap w:val="false"/>
          </w:tcPr>
          <w:p>
            <w:pPr>
              <w:pStyle w:val="841"/>
              <w:jc w:val="center"/>
              <w:spacing w:beforeAutospacing="0" w:afterAutospacing="0" w:line="0" w:lineRule="atLeast"/>
              <w:rPr>
                <w:rFonts w:hint="eastAsia" w:ascii="宋体" w:hAnsi="宋体" w:eastAsia="宋体" w:cs="宋体"/>
                <w:color w:val="auto"/>
                <w:highlight w:val="none"/>
              </w:rPr>
            </w:pPr>
            <w:r>
              <w:rPr>
                <w:rFonts w:hint="eastAsia" w:cs="宋体"/>
                <w:color w:val="auto"/>
                <w:highlight w:val="none"/>
                <w:lang w:eastAsia="zh-CN"/>
              </w:rPr>
              <w:t xml:space="preserve">两年</w:t>
            </w:r>
            <w:r>
              <w:rPr>
                <w:rFonts w:hint="eastAsia" w:ascii="宋体" w:hAnsi="宋体" w:eastAsia="宋体" w:cs="宋体"/>
                <w:color w:val="auto"/>
                <w:highlight w:val="none"/>
              </w:rPr>
              <w:t xml:space="preserve">总价</w:t>
            </w:r>
            <w:r/>
          </w:p>
          <w:p>
            <w:pPr>
              <w:pStyle w:val="84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（人民币：元）</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4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41"/>
              <w:jc w:val="center"/>
              <w:spacing w:beforeAutospacing="0" w:afterAutospacing="0" w:line="0" w:lineRule="atLeast"/>
              <w:rPr>
                <w:color w:val="auto"/>
                <w:highlight w:val="none"/>
              </w:rPr>
            </w:pPr>
            <w:r>
              <w:rPr>
                <w:rFonts w:hint="eastAsia"/>
                <w:color w:val="auto"/>
                <w:highlight w:val="none"/>
              </w:rPr>
              <w:t xml:space="preserve">建筑设施消防维保</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41"/>
              <w:jc w:val="center"/>
              <w:spacing w:beforeAutospacing="0" w:afterAutospacing="0" w:line="0" w:lineRule="atLeast"/>
              <w:rPr>
                <w:rFonts w:hint="eastAsia" w:eastAsia="宋体"/>
                <w:color w:val="auto"/>
                <w:highlight w:val="none"/>
                <w:lang w:val="en-US" w:eastAsia="zh-CN"/>
              </w:rPr>
            </w:pPr>
            <w:r>
              <w:rPr>
                <w:rFonts w:hint="eastAsia"/>
                <w:color w:val="auto"/>
                <w:highlight w:val="none"/>
                <w:lang w:val="en-US" w:eastAsia="zh-CN"/>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1"/>
              <w:jc w:val="center"/>
              <w:spacing w:beforeAutospacing="0" w:afterAutospacing="0" w:line="0" w:lineRule="atLeast"/>
              <w:rPr>
                <w:rFonts w:hint="eastAsia" w:eastAsia="宋体"/>
                <w:color w:val="auto"/>
                <w:highlight w:val="none"/>
                <w:lang w:eastAsia="zh-CN"/>
              </w:rPr>
            </w:pPr>
            <w:r>
              <w:rPr>
                <w:rFonts w:hint="eastAsia"/>
                <w:color w:val="auto"/>
                <w:highlight w:val="none"/>
                <w:lang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41"/>
              <w:jc w:val="center"/>
              <w:spacing w:beforeAutospacing="0" w:afterAutospacing="0" w:line="0" w:lineRule="atLeast"/>
              <w:rPr>
                <w:rFonts w:hint="eastAsia" w:eastAsia="宋体"/>
                <w:color w:val="auto"/>
                <w:highlight w:val="none"/>
                <w:lang w:val="en-US" w:eastAsia="zh-CN"/>
              </w:rPr>
            </w:pPr>
            <w:r>
              <w:rPr>
                <w:rFonts w:hint="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022" w:type="dxa"/>
            <w:vAlign w:val="center"/>
            <w:textDirection w:val="lrTb"/>
            <w:noWrap w:val="false"/>
          </w:tcPr>
          <w:p>
            <w:pPr>
              <w:pStyle w:val="841"/>
              <w:jc w:val="center"/>
              <w:spacing w:beforeAutospacing="0" w:afterAutospacing="0" w:line="0" w:lineRule="atLeast"/>
              <w:rPr>
                <w:color w:val="auto"/>
                <w:highlight w:val="none"/>
              </w:rPr>
            </w:pPr>
            <w:r>
              <w:rPr>
                <w:color w:val="auto"/>
                <w:highlight w:val="none"/>
              </w:rPr>
              <w:t xml:space="preserve"> </w:t>
            </w:r>
            <w:r/>
          </w:p>
          <w:p>
            <w:pPr>
              <w:pStyle w:val="84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auto" w:sz="4" w:space="0"/>
              <w:bottom w:val="single" w:color="000000" w:sz="4" w:space="0"/>
              <w:right w:val="single" w:color="000000" w:sz="4" w:space="0"/>
            </w:tcBorders>
            <w:tcW w:w="1982" w:type="dxa"/>
            <w:vAlign w:val="center"/>
            <w:textDirection w:val="lrTb"/>
            <w:noWrap w:val="false"/>
          </w:tcPr>
          <w:p>
            <w:pPr>
              <w:pStyle w:val="841"/>
              <w:jc w:val="center"/>
              <w:spacing w:beforeAutospacing="0" w:afterAutospacing="0" w:line="0" w:lineRule="atLeast"/>
              <w:rPr>
                <w:color w:val="auto"/>
                <w:highlight w:val="none"/>
              </w:rPr>
            </w:pPr>
            <w:r>
              <w:rPr>
                <w:color w:val="auto"/>
                <w:highlight w:val="none"/>
              </w:rPr>
            </w:r>
            <w:r/>
          </w:p>
        </w:tc>
      </w:tr>
      <w:tr>
        <w:trPr>
          <w:tblCellSpacing w:w="0" w:type="dxa"/>
          <w:trHeight w:val="1007"/>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4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41"/>
              <w:jc w:val="center"/>
              <w:spacing w:beforeAutospacing="0" w:afterAutospacing="0" w:line="0" w:lineRule="atLeast"/>
              <w:rPr>
                <w:color w:val="auto"/>
                <w:highlight w:val="none"/>
              </w:rPr>
            </w:pPr>
            <w:r>
              <w:rPr>
                <w:rFonts w:hint="eastAsia"/>
                <w:color w:val="auto"/>
                <w:highlight w:val="none"/>
              </w:rPr>
              <w:t xml:space="preserve">建筑设施消防维修</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41"/>
              <w:jc w:val="center"/>
              <w:spacing w:beforeAutospacing="0" w:afterAutospacing="0" w:line="0" w:lineRule="atLeast"/>
              <w:rPr>
                <w:color w:val="auto"/>
                <w:highlight w:val="none"/>
              </w:rPr>
            </w:pPr>
            <w:r>
              <w:rPr>
                <w:rFonts w:hint="eastAsia"/>
                <w:color w:val="auto"/>
                <w:highlight w:val="none"/>
                <w:lang w:val="en-US" w:eastAsia="zh-CN"/>
              </w:rPr>
              <w:t xml:space="preserve">2年</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41"/>
              <w:jc w:val="center"/>
              <w:spacing w:beforeAutospacing="0" w:afterAutospacing="0" w:line="0" w:lineRule="atLeast"/>
              <w:rPr>
                <w:color w:val="auto"/>
                <w:highlight w:val="none"/>
              </w:rPr>
            </w:pPr>
            <w:r>
              <w:rPr>
                <w:rFonts w:hint="eastAsia"/>
                <w:color w:val="auto"/>
                <w:highlight w:val="none"/>
                <w:lang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41"/>
              <w:jc w:val="center"/>
              <w:spacing w:beforeAutospacing="0" w:afterAutospacing="0" w:line="0" w:lineRule="atLeast"/>
              <w:rPr>
                <w:color w:val="auto"/>
                <w:highlight w:val="none"/>
              </w:rPr>
            </w:pPr>
            <w:r>
              <w:rPr>
                <w:rFonts w:hint="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022" w:type="dxa"/>
            <w:vAlign w:val="center"/>
            <w:textDirection w:val="lrTb"/>
            <w:noWrap w:val="false"/>
          </w:tcPr>
          <w:p>
            <w:pPr>
              <w:pStyle w:val="841"/>
              <w:jc w:val="center"/>
              <w:spacing w:beforeAutospacing="0" w:afterAutospacing="0" w:line="0" w:lineRule="atLeast"/>
              <w:rPr>
                <w:color w:val="auto"/>
                <w:highlight w:val="none"/>
              </w:rPr>
            </w:pPr>
            <w:r>
              <w:rPr>
                <w:color w:val="auto"/>
                <w:highlight w:val="none"/>
              </w:rPr>
              <w:t xml:space="preserve"> </w:t>
            </w:r>
            <w:r/>
          </w:p>
          <w:p>
            <w:pPr>
              <w:pStyle w:val="84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auto" w:sz="4" w:space="0"/>
              <w:bottom w:val="single" w:color="000000" w:sz="4" w:space="0"/>
              <w:right w:val="single" w:color="000000" w:sz="4" w:space="0"/>
            </w:tcBorders>
            <w:tcW w:w="1982" w:type="dxa"/>
            <w:vAlign w:val="center"/>
            <w:textDirection w:val="lrTb"/>
            <w:noWrap w:val="false"/>
          </w:tcPr>
          <w:p>
            <w:pPr>
              <w:pStyle w:val="841"/>
              <w:jc w:val="center"/>
              <w:spacing w:beforeAutospacing="0" w:afterAutospacing="0" w:line="0" w:lineRule="atLeast"/>
              <w:rPr>
                <w:color w:val="auto"/>
                <w:highlight w:val="none"/>
              </w:rPr>
            </w:pPr>
            <w:r>
              <w:rPr>
                <w:color w:val="auto"/>
                <w:highlight w:val="none"/>
              </w:rPr>
            </w:r>
            <w:r/>
          </w:p>
        </w:tc>
      </w:tr>
      <w:tr>
        <w:trPr>
          <w:tblCellSpacing w:w="0" w:type="dxa"/>
          <w:trHeight w:val="757"/>
        </w:trPr>
        <w:tc>
          <w:tcPr>
            <w:gridSpan w:val="5"/>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41"/>
              <w:jc w:val="center"/>
              <w:spacing w:beforeAutospacing="0" w:afterAutospacing="0" w:line="0" w:lineRule="atLeast"/>
              <w:rPr>
                <w:color w:val="auto"/>
                <w:highlight w:val="none"/>
              </w:rPr>
            </w:pPr>
            <w:r>
              <w:rPr>
                <w:rFonts w:hint="eastAsia" w:cs="宋体"/>
                <w:color w:val="auto"/>
                <w:highlight w:val="none"/>
                <w:lang w:eastAsia="zh-CN"/>
              </w:rPr>
              <w:t xml:space="preserve">两年</w:t>
            </w:r>
            <w:r>
              <w:rPr>
                <w:rFonts w:hint="eastAsia" w:ascii="宋体" w:hAnsi="宋体" w:eastAsia="宋体" w:cs="宋体"/>
                <w:color w:val="auto"/>
                <w:highlight w:val="none"/>
              </w:rPr>
              <w:t xml:space="preserve">投标总报价（人民币：元）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04" w:type="dxa"/>
            <w:vAlign w:val="center"/>
            <w:textDirection w:val="lrTb"/>
            <w:noWrap w:val="false"/>
          </w:tcPr>
          <w:p>
            <w:pPr>
              <w:pStyle w:val="841"/>
              <w:jc w:val="both"/>
              <w:spacing w:beforeAutospacing="0" w:afterAutospacing="0" w:line="0" w:lineRule="atLeast"/>
              <w:rPr>
                <w:color w:val="auto"/>
                <w:highlight w:val="none"/>
              </w:rPr>
            </w:pPr>
            <w:r>
              <w:rPr>
                <w:color w:val="auto"/>
                <w:highlight w:val="none"/>
              </w:rPr>
              <w:t xml:space="preserve"> </w:t>
            </w:r>
            <w:r/>
          </w:p>
        </w:tc>
      </w:tr>
    </w:tbl>
    <w:p>
      <w:pPr>
        <w:pStyle w:val="84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rPr>
          <w:rFonts w:hint="eastAsia" w:cs="宋体"/>
          <w:color w:val="auto"/>
          <w:highlight w:val="none"/>
          <w:lang w:val="en-US" w:eastAsia="zh-CN"/>
        </w:rPr>
        <w:t xml:space="preserve">1、</w:t>
      </w:r>
      <w:r>
        <w:rPr>
          <w:rFonts w:hint="eastAsia" w:ascii="宋体" w:hAnsi="宋体" w:eastAsia="宋体" w:cs="宋体"/>
          <w:color w:val="auto"/>
          <w:highlight w:val="none"/>
        </w:rPr>
        <w:t xml:space="preserve">维保费用采用“固定总价”方式。维保费用包含完成盐城市第一人民医院建筑消防设施维护保养所涉及的全部费用及利润和税金等，除日常设备维护保养内容外，</w:t>
      </w:r>
      <w:r>
        <w:rPr>
          <w:rFonts w:hint="eastAsia" w:cs="宋体"/>
          <w:color w:val="auto"/>
          <w:highlight w:val="none"/>
          <w:lang w:eastAsia="zh-CN"/>
        </w:rPr>
        <w:t xml:space="preserve">中标人</w:t>
      </w:r>
      <w:r>
        <w:rPr>
          <w:rFonts w:hint="eastAsia" w:ascii="宋体" w:hAnsi="宋体" w:eastAsia="宋体" w:cs="宋体"/>
          <w:color w:val="auto"/>
          <w:highlight w:val="none"/>
        </w:rPr>
        <w:t xml:space="preserve">还需承担部分常见小额易损件消防设施故障损害的人工费、材料费、机械机具使用费、措施项目费、拆除费、安装费、规费、税金等一切费用。此类维修费用甲方不再额外支付。</w:t>
      </w:r>
      <w:r/>
    </w:p>
    <w:p>
      <w:pPr>
        <w:pStyle w:val="841"/>
        <w:numPr>
          <w:ilvl w:val="0"/>
          <w:numId w:val="3"/>
        </w:numPr>
        <w:ind w:left="0" w:firstLine="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维修费用主要包括常见小额易损件维修内容清单列明项目的以外部分。采用费率法结算。即包含与本合同有关的全部费用，包括人工费、材料费、机械机具使用费、拆除费、安装费、规费、税金等一切费用。维修费结算价=按现行江苏省安装计价预算*中标折扣率。按实结算（</w:t>
      </w:r>
      <w:r>
        <w:rPr>
          <w:rFonts w:hint="eastAsia" w:cs="宋体"/>
          <w:color w:val="auto"/>
          <w:highlight w:val="none"/>
          <w:lang w:val="en-US" w:eastAsia="zh-CN"/>
        </w:rPr>
        <w:t xml:space="preserve">80</w:t>
      </w:r>
      <w:r>
        <w:rPr>
          <w:rFonts w:hint="eastAsia" w:ascii="宋体" w:hAnsi="宋体" w:eastAsia="宋体" w:cs="宋体"/>
          <w:color w:val="auto"/>
          <w:highlight w:val="none"/>
        </w:rPr>
        <w:t xml:space="preserve">万元*中标折扣率%，中标折扣率=中标价/</w:t>
      </w:r>
      <w:r>
        <w:rPr>
          <w:rFonts w:hint="eastAsia" w:cs="宋体"/>
          <w:color w:val="auto"/>
          <w:highlight w:val="none"/>
          <w:lang w:val="en-US" w:eastAsia="zh-CN"/>
        </w:rPr>
        <w:t xml:space="preserve">80</w:t>
      </w:r>
      <w:r>
        <w:rPr>
          <w:rFonts w:hint="eastAsia" w:ascii="宋体" w:hAnsi="宋体" w:eastAsia="宋体" w:cs="宋体"/>
          <w:color w:val="auto"/>
          <w:highlight w:val="none"/>
        </w:rPr>
        <w:t xml:space="preserve">万元*100%），且结算总额不超过维修费中标价。</w:t>
      </w:r>
      <w:r/>
    </w:p>
    <w:p>
      <w:pPr>
        <w:pStyle w:val="841"/>
        <w:numPr>
          <w:ilvl w:val="0"/>
          <w:numId w:val="0"/>
        </w:numPr>
        <w:jc w:val="both"/>
        <w:spacing w:beforeAutospacing="0" w:afterAutospacing="0" w:line="0" w:lineRule="atLeast"/>
        <w:rPr>
          <w:rFonts w:hint="eastAsia" w:ascii="宋体" w:hAnsi="宋体" w:eastAsia="宋体" w:cs="宋体"/>
          <w:color w:val="auto"/>
          <w:highlight w:val="none"/>
          <w:lang w:val="en-US" w:eastAsia="zh-CN"/>
        </w:rPr>
      </w:pPr>
      <w:r>
        <w:rPr>
          <w:rFonts w:hint="eastAsia" w:cs="宋体"/>
          <w:color w:val="auto"/>
          <w:highlight w:val="none"/>
          <w:lang w:val="en-US" w:eastAsia="zh-CN"/>
        </w:rPr>
        <w:t xml:space="preserve">3、</w:t>
      </w:r>
      <w:r>
        <w:rPr>
          <w:rFonts w:hint="eastAsia" w:ascii="宋体" w:hAnsi="宋体" w:eastAsia="宋体" w:cs="宋体"/>
          <w:color w:val="auto"/>
          <w:highlight w:val="none"/>
          <w:lang w:val="en-US" w:eastAsia="zh-CN"/>
        </w:rPr>
        <w:t xml:space="preserve">“投标分项报价表”中“投标总报价”数额应当与“开标一览表”中“投标总报价”数额一致。</w:t>
      </w:r>
      <w:r/>
    </w:p>
    <w:p>
      <w:pPr>
        <w:pStyle w:val="84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left="0" w:right="0" w:firstLine="0"/>
        <w:jc w:val="center"/>
        <w:spacing w:before="50" w:after="50"/>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r>
      <w:r/>
    </w:p>
    <w:p>
      <w:pPr>
        <w:ind w:left="0" w:right="0" w:firstLine="0"/>
        <w:jc w:val="center"/>
        <w:spacing w:before="50" w:after="50"/>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r>
      <w:r/>
    </w:p>
    <w:p>
      <w:pPr>
        <w:ind w:left="0" w:right="0" w:firstLine="0"/>
        <w:jc w:val="center"/>
        <w:spacing w:before="50" w:after="50"/>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r>
      <w:r/>
    </w:p>
    <w:p>
      <w:pPr>
        <w:ind w:left="0" w:right="0" w:firstLine="0"/>
        <w:jc w:val="center"/>
        <w:spacing w:before="50" w:after="50"/>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r>
      <w:r/>
    </w:p>
    <w:p>
      <w:pPr>
        <w:ind w:left="0" w:right="0" w:firstLine="0"/>
        <w:jc w:val="center"/>
        <w:spacing w:before="50" w:after="50"/>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r>
      <w:r/>
    </w:p>
    <w:p>
      <w:pPr>
        <w:ind w:left="0" w:right="0" w:firstLine="0"/>
        <w:jc w:val="center"/>
        <w:spacing w:before="50" w:after="50"/>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r>
      <w:r/>
    </w:p>
    <w:p>
      <w:pPr>
        <w:ind w:left="0" w:right="0" w:firstLine="0"/>
        <w:jc w:val="center"/>
        <w:spacing w:before="50" w:after="50"/>
        <w:rPr>
          <w:rFonts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rPr>
      </w:r>
      <w:r/>
    </w:p>
    <w:p>
      <w:pPr>
        <w:ind w:left="0" w:right="0" w:firstLine="0"/>
        <w:jc w:val="center"/>
        <w:spacing w:before="50" w:after="50"/>
        <w:rPr>
          <w:rFonts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rPr>
      </w:r>
      <w:r/>
    </w:p>
    <w:p>
      <w:pPr>
        <w:ind w:left="0" w:right="0" w:firstLine="0"/>
        <w:jc w:val="center"/>
        <w:spacing w:before="50" w:after="5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十</w:t>
      </w:r>
      <w:r>
        <w:rPr>
          <w:rFonts w:hint="eastAsia" w:ascii="宋体" w:hAnsi="宋体" w:cs="宋体"/>
          <w:b/>
          <w:color w:val="auto"/>
          <w:sz w:val="32"/>
          <w:lang w:val="en-US" w:eastAsia="zh-CN"/>
        </w:rPr>
        <w:t xml:space="preserve">六</w:t>
      </w:r>
      <w:r>
        <w:rPr>
          <w:rFonts w:ascii="宋体" w:hAnsi="宋体" w:eastAsia="宋体" w:cs="宋体"/>
          <w:b/>
          <w:color w:val="auto"/>
          <w:sz w:val="32"/>
        </w:rPr>
        <w:t xml:space="preserve">、服务方案</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1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十</w:t>
      </w:r>
      <w:r>
        <w:rPr>
          <w:rFonts w:hint="eastAsia" w:ascii="宋体" w:hAnsi="宋体" w:cs="宋体"/>
          <w:b/>
          <w:color w:val="auto"/>
          <w:sz w:val="32"/>
          <w:lang w:val="en-US" w:eastAsia="zh-CN"/>
        </w:rPr>
        <w:t xml:space="preserve">七</w:t>
      </w:r>
      <w:r>
        <w:rPr>
          <w:rFonts w:ascii="宋体" w:hAnsi="宋体" w:eastAsia="宋体" w:cs="宋体"/>
          <w:b/>
          <w:color w:val="auto"/>
          <w:sz w:val="32"/>
        </w:rPr>
        <w:t xml:space="preserve">、盐城市政府采购事前信用承诺书</w:t>
      </w:r>
      <w:r/>
    </w:p>
    <w:p>
      <w:pPr>
        <w:ind w:left="0" w:right="0" w:firstLine="48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为营造我市公开、公平、公正、诚实守信的政府采购交易环境，树立诚信守法的投标人形象，本人代表本单位作出以下承诺：</w:t>
      </w:r>
      <w:r/>
    </w:p>
    <w:p>
      <w:pPr>
        <w:ind w:left="0" w:right="0" w:firstLine="48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（三）严格依照国家和省、市关于政府采购的法律、法规、规章、规范性文件，参加政府采购投标活动；积极履行社会责任，促进廉政建设； </w:t>
      </w:r>
      <w:r/>
    </w:p>
    <w:p>
      <w:pPr>
        <w:ind w:left="0" w:right="0" w:firstLine="48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（四）严格遵守即时信息公示规定，及时维护和更新盐城市政府采购网中与本单位相关的信息；</w:t>
      </w:r>
      <w:r/>
    </w:p>
    <w:p>
      <w:pPr>
        <w:ind w:left="0" w:right="0" w:firstLine="48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8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（六）自觉接受政府、行业组织、社会公众、新闻舆论的监督；</w:t>
      </w:r>
      <w:r/>
    </w:p>
    <w:p>
      <w:pPr>
        <w:ind w:left="0" w:right="0" w:firstLine="48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（八）本人已认真阅读了上述承诺，并向本单位员工作了宣传教育。</w:t>
      </w:r>
      <w:r/>
    </w:p>
    <w:p>
      <w:pPr>
        <w:ind w:left="0" w:right="0" w:firstLine="0"/>
        <w:jc w:val="right"/>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法定代表人签名：</w:t>
      </w:r>
      <w:r/>
    </w:p>
    <w:p>
      <w:pPr>
        <w:ind w:left="0" w:right="0" w:firstLine="0"/>
        <w:jc w:val="right"/>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单位名称（盖章）：</w:t>
      </w:r>
      <w:r/>
    </w:p>
    <w:p>
      <w:pPr>
        <w:ind w:left="0" w:right="0" w:firstLine="0"/>
        <w:jc w:val="right"/>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年   月   日</w:t>
      </w:r>
      <w:r/>
    </w:p>
    <w:p>
      <w:pPr>
        <w:ind w:left="0" w:right="0" w:firstLine="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161"/>
        <w:jc w:val="center"/>
        <w:spacing w:before="100" w:after="100"/>
        <w:rPr>
          <w:color w:val="auto"/>
        </w:rPr>
        <w:pBdr>
          <w:top w:val="none" w:color="000000" w:sz="0" w:space="0"/>
          <w:left w:val="none" w:color="000000" w:sz="0" w:space="0"/>
          <w:bottom w:val="none" w:color="000000" w:sz="0" w:space="0"/>
          <w:right w:val="none" w:color="000000" w:sz="0" w:space="0"/>
        </w:pBdr>
        <w:outlineLvl w:val="0"/>
      </w:pPr>
      <w:r/>
      <w:bookmarkStart w:id="176" w:name="_Toc8904"/>
      <w:r/>
      <w:bookmarkStart w:id="177" w:name="_Toc16142"/>
      <w:r>
        <w:rPr>
          <w:rFonts w:ascii="宋体" w:hAnsi="宋体" w:eastAsia="宋体" w:cs="宋体"/>
          <w:b/>
          <w:color w:val="auto"/>
          <w:sz w:val="32"/>
        </w:rPr>
        <w:t xml:space="preserve">质疑函范本</w:t>
      </w:r>
      <w:bookmarkEnd w:id="176"/>
      <w:r/>
      <w:bookmarkEnd w:id="177"/>
      <w:r/>
      <w:r/>
    </w:p>
    <w:p>
      <w:pPr>
        <w:ind w:left="0" w:right="0" w:firstLine="0"/>
        <w:jc w:val="both"/>
        <w:spacing w:before="29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一、质疑供应商基本信息</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质疑供应商：</w:t>
      </w:r>
      <w:r>
        <w:rPr>
          <w:rFonts w:ascii="宋体" w:hAnsi="宋体" w:eastAsia="宋体" w:cs="宋体"/>
          <w:color w:val="auto"/>
          <w:sz w:val="24"/>
          <w:u w:val="single"/>
        </w:rPr>
        <w:t xml:space="preserve">              </w:t>
      </w:r>
      <w:r/>
    </w:p>
    <w:p>
      <w:pPr>
        <w:ind w:left="0" w:right="0" w:firstLine="0"/>
        <w:jc w:val="both"/>
        <w:spacing w:before="100" w:after="100" w:line="85" w:lineRule="atLeast"/>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rPr>
          <w:rFonts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p>
    <w:p>
      <w:pPr>
        <w:ind w:left="0" w:right="0" w:firstLine="0"/>
        <w:jc w:val="both"/>
        <w:spacing w:before="100" w:after="100" w:line="85" w:lineRule="atLeast"/>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邮编：</w:t>
      </w:r>
      <w:r>
        <w:rPr>
          <w:rFonts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p>
    <w:p>
      <w:pPr>
        <w:ind w:left="0" w:right="0" w:firstLine="0"/>
        <w:jc w:val="both"/>
        <w:spacing w:before="100" w:after="100" w:line="85" w:lineRule="atLeast"/>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联系人：</w:t>
      </w:r>
      <w:r>
        <w:rPr>
          <w:rFonts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联系电话：</w:t>
      </w:r>
      <w:r>
        <w:rPr>
          <w:rFonts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授权代表：</w:t>
      </w:r>
      <w:r>
        <w:rPr>
          <w:rFonts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联系电话：</w:t>
      </w:r>
      <w:r>
        <w:rPr>
          <w:rFonts w:ascii="宋体" w:hAnsi="宋体" w:eastAsia="宋体" w:cs="宋体"/>
          <w:color w:val="auto"/>
          <w:sz w:val="24"/>
          <w:u w:val="single"/>
        </w:rPr>
        <w:t xml:space="preserve">           </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 </w:t>
      </w:r>
      <w:r>
        <w:rPr>
          <w:rFonts w:ascii="宋体" w:hAnsi="宋体" w:eastAsia="宋体" w:cs="宋体"/>
          <w:color w:val="auto"/>
          <w:sz w:val="24"/>
          <w:u w:val="single"/>
        </w:rPr>
        <w:t xml:space="preserve">           </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邮编：</w:t>
      </w:r>
      <w:r>
        <w:rPr>
          <w:rFonts w:ascii="宋体" w:hAnsi="宋体" w:eastAsia="宋体" w:cs="宋体"/>
          <w:color w:val="auto"/>
          <w:sz w:val="24"/>
          <w:u w:val="single"/>
        </w:rPr>
        <w:t xml:space="preserve">            </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二、质疑项目基本情况</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质疑项目的名称：</w:t>
      </w:r>
      <w:r>
        <w:rPr>
          <w:rFonts w:ascii="宋体" w:hAnsi="宋体" w:eastAsia="宋体" w:cs="宋体"/>
          <w:color w:val="auto"/>
          <w:sz w:val="24"/>
          <w:u w:val="single"/>
        </w:rPr>
        <w:t xml:space="preserve">            </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质疑项目的编号：</w:t>
      </w:r>
      <w:r>
        <w:rPr>
          <w:rFonts w:ascii="宋体" w:hAnsi="宋体" w:eastAsia="宋体" w:cs="宋体"/>
          <w:color w:val="auto"/>
          <w:sz w:val="24"/>
          <w:u w:val="single"/>
        </w:rPr>
        <w:t xml:space="preserve">            </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包号：</w:t>
      </w:r>
      <w:r>
        <w:rPr>
          <w:rFonts w:ascii="宋体" w:hAnsi="宋体" w:eastAsia="宋体" w:cs="宋体"/>
          <w:color w:val="auto"/>
          <w:sz w:val="24"/>
          <w:u w:val="single"/>
        </w:rPr>
        <w:t xml:space="preserve">                </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采购人名称：</w:t>
      </w:r>
      <w:r>
        <w:rPr>
          <w:rFonts w:ascii="宋体" w:hAnsi="宋体" w:eastAsia="宋体" w:cs="宋体"/>
          <w:color w:val="auto"/>
          <w:sz w:val="24"/>
          <w:u w:val="single"/>
        </w:rPr>
        <w:t xml:space="preserve">              </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采购文件获取日期：</w:t>
      </w:r>
      <w:r>
        <w:rPr>
          <w:rFonts w:ascii="宋体" w:hAnsi="宋体" w:eastAsia="宋体" w:cs="宋体"/>
          <w:color w:val="auto"/>
          <w:sz w:val="24"/>
          <w:u w:val="single"/>
        </w:rPr>
        <w:t xml:space="preserve">         </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三、质疑事项具体内容</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质疑事项1：</w:t>
      </w:r>
      <w:r>
        <w:rPr>
          <w:rFonts w:ascii="宋体" w:hAnsi="宋体" w:eastAsia="宋体" w:cs="宋体"/>
          <w:color w:val="auto"/>
          <w:sz w:val="24"/>
          <w:u w:val="single"/>
        </w:rPr>
        <w:t xml:space="preserve">              </w:t>
      </w:r>
      <w:r/>
    </w:p>
    <w:p>
      <w:pPr>
        <w:ind w:left="0" w:right="0" w:firstLine="0"/>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事实依据：</w:t>
      </w:r>
      <w:r>
        <w:rPr>
          <w:rFonts w:ascii="宋体" w:hAnsi="宋体" w:eastAsia="宋体" w:cs="宋体"/>
          <w:color w:val="auto"/>
          <w:sz w:val="24"/>
          <w:u w:val="single"/>
        </w:rPr>
        <w:t xml:space="preserve">               </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法律依据：</w:t>
      </w:r>
      <w:r>
        <w:rPr>
          <w:rFonts w:ascii="宋体" w:hAnsi="宋体" w:eastAsia="宋体" w:cs="宋体"/>
          <w:color w:val="auto"/>
          <w:sz w:val="24"/>
          <w:u w:val="single"/>
        </w:rPr>
        <w:t xml:space="preserve">               </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质疑事项2</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四、与质疑事项相关的质疑请求</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请求：</w:t>
      </w:r>
      <w:r>
        <w:rPr>
          <w:rFonts w:ascii="宋体" w:hAnsi="宋体" w:eastAsia="宋体" w:cs="宋体"/>
          <w:color w:val="auto"/>
          <w:sz w:val="24"/>
          <w:u w:val="single"/>
        </w:rPr>
        <w:t xml:space="preserve">                 </w:t>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both"/>
        <w:spacing w:before="100" w:after="10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签字(签章)：</w:t>
      </w:r>
      <w:r/>
    </w:p>
    <w:p>
      <w:pPr>
        <w:ind w:left="0" w:right="0" w:firstLine="0"/>
        <w:jc w:val="both"/>
        <w:spacing w:before="100" w:after="10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公章：</w:t>
      </w:r>
      <w:r/>
    </w:p>
    <w:p>
      <w:pPr>
        <w:ind w:left="0" w:right="0" w:firstLine="0"/>
        <w:jc w:val="both"/>
        <w:spacing w:before="100" w:after="10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w:t>
      </w:r>
      <w:r/>
    </w:p>
    <w:p>
      <w:pPr>
        <w:ind w:left="0" w:right="0" w:firstLine="0"/>
        <w:jc w:val="both"/>
        <w:spacing w:before="100" w:after="10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jc w:val="both"/>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质疑函制作说明：</w:t>
      </w:r>
      <w:r/>
    </w:p>
    <w:p>
      <w:pPr>
        <w:ind w:left="0" w:right="0" w:firstLine="120"/>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1.供应商提出质疑时，应提交质疑函和必要的证明材料。</w:t>
      </w:r>
      <w:r/>
    </w:p>
    <w:p>
      <w:pPr>
        <w:ind w:left="0" w:right="0" w:firstLine="120"/>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120"/>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3.质疑供应商若对项目的某一分包进行质疑，质疑函中应列明具体分包号。</w:t>
      </w:r>
      <w:r/>
    </w:p>
    <w:p>
      <w:pPr>
        <w:ind w:left="0" w:right="0" w:firstLine="120"/>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4.质疑函的质疑事项应具体、明确，并有必要的事实依据和法律依据。</w:t>
      </w:r>
      <w:r/>
    </w:p>
    <w:p>
      <w:pPr>
        <w:ind w:left="0" w:right="0" w:firstLine="120"/>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5.质疑函的质疑请求应与质疑事项相关。</w:t>
      </w:r>
      <w:r/>
    </w:p>
    <w:p>
      <w:pPr>
        <w:ind w:left="0" w:right="0" w:firstLine="120"/>
        <w:spacing w:before="100" w:after="1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6.质疑供应商为自然人的，质疑函应由本人签字；质疑供应商为法人或者其他组织的，质疑函应由法定代表人、主要负责人，或者其授权代表签字或者盖章，并加盖公章。</w:t>
      </w:r>
      <w:r/>
    </w:p>
    <w:p>
      <w:pPr>
        <w:rPr>
          <w:color w:val="auto"/>
        </w:rPr>
      </w:pPr>
      <w:r>
        <w:rPr>
          <w:color w:val="auto"/>
        </w:rPr>
      </w:r>
      <w:r/>
    </w:p>
    <w:sectPr>
      <w:footnotePr/>
      <w:endnotePr/>
      <w:type w:val="nextPage"/>
      <w:pgSz w:w="11906" w:h="16838" w:orient="portrait"/>
      <w:pgMar w:top="1418" w:right="1588" w:bottom="1418" w:left="1365" w:header="851" w:footer="907"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ahoma">
    <w:panose1 w:val="020B0604030504040204"/>
  </w:font>
  <w:font w:name="方正黑体_GBK">
    <w:panose1 w:val="020B0503020202020204"/>
  </w:font>
  <w:font w:name="Courier New">
    <w:panose1 w:val="02070309020205020404"/>
  </w:font>
  <w:font w:name="仿宋">
    <w:panose1 w:val="02010609060101010101"/>
  </w:font>
  <w:font w:name="Calibri">
    <w:panose1 w:val="020F0502020204030204"/>
  </w:font>
  <w:font w:name="PMingLiU-ExtB">
    <w:panose1 w:val="02020500000000000000"/>
  </w:font>
  <w:font w:name="Arial">
    <w:panose1 w:val="020B0604020202020204"/>
  </w:font>
  <w:font w:name="Verdana">
    <w:panose1 w:val="020B0604030504040204"/>
  </w:font>
  <w:font w:name="黑体">
    <w:panose1 w:val="02010609060101010101"/>
  </w:font>
  <w:font w:name="Symbol">
    <w:panose1 w:val="05050102010706020507"/>
  </w:font>
  <w:font w:name="新宋体">
    <w:panose1 w:val="02010609030101010101"/>
  </w:font>
  <w:font w:name="楷体">
    <w:panose1 w:val="02010609060101010101"/>
  </w:font>
  <w:font w:name="宋体">
    <w:panose1 w:val="02010600030101010101"/>
  </w:font>
  <w:font w:name="方正小标宋_GBK">
    <w:panose1 w:val="020B0503020202020204"/>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849"/>
      </w:rPr>
      <w:framePr w:wrap="around" w:vAnchor="text" w:hAnchor="margin" w:xAlign="center" w:y="1"/>
    </w:pPr>
    <w:r>
      <w:rPr>
        <w:rStyle w:val="849"/>
      </w:rPr>
      <w:fldChar w:fldCharType="begin"/>
    </w:r>
    <w:r>
      <w:rPr>
        <w:rStyle w:val="849"/>
      </w:rPr>
      <w:instrText xml:space="preserve">PAGE  </w:instrText>
    </w:r>
    <w:r>
      <w:rPr>
        <w:rStyle w:val="849"/>
      </w:rPr>
      <w:fldChar w:fldCharType="separate"/>
    </w:r>
    <w:r>
      <w:rPr>
        <w:rStyle w:val="849"/>
      </w:rPr>
      <w:t xml:space="preserve">1</w:t>
    </w:r>
    <w:r>
      <w:rPr>
        <w:rStyle w:val="849"/>
      </w:rPr>
      <w:fldChar w:fldCharType="end"/>
    </w:r>
    <w:r/>
  </w:p>
  <w:p>
    <w:pPr>
      <w:pStyle w:val="8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fldChar w:fldCharType="begin"/>
    </w:r>
    <w:r>
      <w:instrText xml:space="preserve">PAGE \* MERGEFORMAT</w:instrText>
    </w:r>
    <w:r>
      <w:fldChar w:fldCharType="separate"/>
    </w:r>
    <w:r>
      <w:t xml:space="preserve">1</w:t>
    </w:r>
    <w:r>
      <w:fldChar w:fldCharType="end"/>
    </w:r>
    <w:r/>
  </w:p>
  <w:p>
    <w:pPr>
      <w:pStyle w:val="82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7485" cy="1397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9722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5.5pt;height:11.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90"/>
      <w:isLgl w:val="false"/>
      <w:suff w:val="nothing"/>
      <w:lvlText w:val=""/>
      <w:lvlJc w:val="left"/>
      <w:pPr/>
      <w:rPr>
        <w:rFonts w:hint="eastAsia" w:cs="Times New Roman"/>
      </w:rPr>
    </w:lvl>
    <w:lvl w:ilvl="6">
      <w:start w:val="1"/>
      <w:numFmt w:val="none"/>
      <w:pStyle w:val="791"/>
      <w:isLgl w:val="false"/>
      <w:suff w:val="nothing"/>
      <w:lvlText w:val=""/>
      <w:lvlJc w:val="left"/>
      <w:pPr/>
      <w:rPr>
        <w:rFonts w:hint="eastAsia" w:cs="Times New Roman"/>
      </w:rPr>
    </w:lvl>
    <w:lvl w:ilvl="7">
      <w:start w:val="1"/>
      <w:numFmt w:val="none"/>
      <w:pStyle w:val="792"/>
      <w:isLgl w:val="false"/>
      <w:suff w:val="nothing"/>
      <w:lvlText w:val=""/>
      <w:lvlJc w:val="left"/>
      <w:pPr/>
      <w:rPr>
        <w:rFonts w:hint="eastAsia" w:cs="Times New Roman"/>
      </w:rPr>
    </w:lvl>
    <w:lvl w:ilvl="8">
      <w:start w:val="1"/>
      <w:numFmt w:val="none"/>
      <w:pStyle w:val="793"/>
      <w:isLgl w:val="false"/>
      <w:suff w:val="nothing"/>
      <w:lvlText w:val=""/>
      <w:lvlJc w:val="left"/>
      <w:pPr/>
      <w:rPr>
        <w:rFonts w:hint="eastAsia" w:cs="Times New Roman"/>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2"/>
  </w:num>
  <w:num w:numId="4">
    <w:abstractNumId w:val="1"/>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next w:val="79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5">
    <w:name w:val="Heading 1"/>
    <w:basedOn w:val="784"/>
    <w:next w:val="784"/>
    <w:link w:val="1003"/>
    <w:uiPriority w:val="99"/>
    <w:qFormat/>
    <w:pPr>
      <w:jc w:val="center"/>
      <w:keepNext/>
      <w:outlineLvl w:val="0"/>
    </w:pPr>
    <w:rPr>
      <w:rFonts w:ascii="楷体" w:hAnsi="楷体" w:eastAsia="黑体"/>
      <w:b/>
      <w:sz w:val="44"/>
      <w:szCs w:val="28"/>
    </w:rPr>
  </w:style>
  <w:style w:type="paragraph" w:styleId="786">
    <w:name w:val="Heading 2"/>
    <w:basedOn w:val="784"/>
    <w:next w:val="807"/>
    <w:link w:val="1002"/>
    <w:uiPriority w:val="99"/>
    <w:qFormat/>
    <w:pPr>
      <w:jc w:val="center"/>
      <w:keepLines/>
      <w:keepNext/>
      <w:spacing w:before="260" w:after="260" w:line="416" w:lineRule="auto"/>
      <w:outlineLvl w:val="1"/>
    </w:pPr>
    <w:rPr>
      <w:rFonts w:ascii="Arial" w:hAnsi="Arial" w:eastAsia="宋体" w:cs="Arial"/>
      <w:b/>
      <w:bCs/>
      <w:sz w:val="44"/>
      <w:szCs w:val="44"/>
    </w:rPr>
  </w:style>
  <w:style w:type="paragraph" w:styleId="787">
    <w:name w:val="Heading 3"/>
    <w:basedOn w:val="784"/>
    <w:next w:val="807"/>
    <w:link w:val="1004"/>
    <w:uiPriority w:val="99"/>
    <w:qFormat/>
    <w:pPr>
      <w:keepLines/>
      <w:keepNext/>
      <w:spacing w:before="260" w:after="260" w:line="416" w:lineRule="auto"/>
      <w:outlineLvl w:val="2"/>
    </w:pPr>
    <w:rPr>
      <w:b/>
      <w:bCs/>
      <w:sz w:val="32"/>
      <w:szCs w:val="32"/>
    </w:rPr>
  </w:style>
  <w:style w:type="paragraph" w:styleId="788">
    <w:name w:val="Heading 4"/>
    <w:basedOn w:val="784"/>
    <w:next w:val="784"/>
    <w:link w:val="1005"/>
    <w:uiPriority w:val="99"/>
    <w:qFormat/>
    <w:pPr>
      <w:keepLines/>
      <w:keepNext/>
      <w:spacing w:before="280" w:after="290" w:line="376" w:lineRule="auto"/>
      <w:outlineLvl w:val="3"/>
    </w:pPr>
    <w:rPr>
      <w:rFonts w:ascii="Arial" w:hAnsi="Arial" w:eastAsia="黑体" w:cs="Arial"/>
      <w:b/>
      <w:bCs/>
      <w:sz w:val="28"/>
      <w:szCs w:val="28"/>
    </w:rPr>
  </w:style>
  <w:style w:type="paragraph" w:styleId="789">
    <w:name w:val="Heading 5"/>
    <w:basedOn w:val="784"/>
    <w:next w:val="807"/>
    <w:link w:val="1006"/>
    <w:uiPriority w:val="99"/>
    <w:qFormat/>
    <w:pPr>
      <w:keepNext/>
      <w:outlineLvl w:val="4"/>
    </w:pPr>
    <w:rPr>
      <w:rFonts w:ascii="宋体"/>
      <w:color w:val="000000"/>
      <w:sz w:val="28"/>
      <w:szCs w:val="28"/>
    </w:rPr>
  </w:style>
  <w:style w:type="paragraph" w:styleId="790">
    <w:name w:val="Heading 6"/>
    <w:basedOn w:val="784"/>
    <w:next w:val="784"/>
    <w:link w:val="1007"/>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91">
    <w:name w:val="Heading 7"/>
    <w:basedOn w:val="784"/>
    <w:next w:val="784"/>
    <w:link w:val="1008"/>
    <w:uiPriority w:val="99"/>
    <w:qFormat/>
    <w:pPr>
      <w:numPr>
        <w:ilvl w:val="6"/>
        <w:numId w:val="1"/>
      </w:numPr>
      <w:keepLines/>
      <w:keepNext/>
      <w:spacing w:before="240" w:after="64" w:line="320" w:lineRule="auto"/>
      <w:outlineLvl w:val="6"/>
    </w:pPr>
    <w:rPr>
      <w:b/>
      <w:bCs/>
      <w:sz w:val="24"/>
      <w:szCs w:val="24"/>
    </w:rPr>
  </w:style>
  <w:style w:type="paragraph" w:styleId="792">
    <w:name w:val="Heading 8"/>
    <w:basedOn w:val="784"/>
    <w:next w:val="784"/>
    <w:link w:val="1009"/>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93">
    <w:name w:val="Heading 9"/>
    <w:basedOn w:val="784"/>
    <w:next w:val="784"/>
    <w:link w:val="1010"/>
    <w:uiPriority w:val="99"/>
    <w:qFormat/>
    <w:pPr>
      <w:numPr>
        <w:ilvl w:val="8"/>
        <w:numId w:val="1"/>
      </w:numPr>
      <w:keepLines/>
      <w:keepNext/>
      <w:spacing w:before="240" w:after="64" w:line="320" w:lineRule="auto"/>
      <w:outlineLvl w:val="8"/>
    </w:pPr>
    <w:rPr>
      <w:rFonts w:ascii="Arial" w:hAnsi="Arial" w:eastAsia="黑体"/>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customStyle="1">
    <w:name w:val="列表段落1"/>
    <w:basedOn w:val="797"/>
    <w:next w:val="784"/>
    <w:uiPriority w:val="99"/>
    <w:qFormat/>
    <w:pPr>
      <w:ind w:firstLine="420"/>
    </w:pPr>
  </w:style>
  <w:style w:type="paragraph" w:styleId="797" w:customStyle="1">
    <w:name w:val="正文1"/>
    <w:basedOn w:val="798"/>
    <w:next w:val="806"/>
    <w:uiPriority w:val="0"/>
    <w:qFormat/>
    <w:pPr>
      <w:ind w:right="-167"/>
      <w:spacing w:line="440" w:lineRule="exact"/>
      <w:widowControl/>
    </w:pPr>
    <w:rPr>
      <w:b/>
      <w:sz w:val="21"/>
      <w:szCs w:val="20"/>
    </w:rPr>
  </w:style>
  <w:style w:type="paragraph" w:styleId="798" w:customStyle="1">
    <w:name w:val="正文11"/>
    <w:next w:val="799"/>
    <w:uiPriority w:val="0"/>
    <w:qFormat/>
    <w:pPr>
      <w:jc w:val="both"/>
      <w:widowControl w:val="off"/>
    </w:pPr>
    <w:rPr>
      <w:rFonts w:hint="default" w:ascii="Times New Roman" w:hAnsi="Times New Roman" w:eastAsia="Arial" w:cs="Times New Roman"/>
      <w:lang w:val="en-US" w:eastAsia="zh-CN" w:bidi="ar-SA"/>
    </w:rPr>
  </w:style>
  <w:style w:type="paragraph" w:styleId="799" w:customStyle="1">
    <w:name w:val="目录 11"/>
    <w:basedOn w:val="800"/>
    <w:next w:val="798"/>
    <w:uiPriority w:val="0"/>
    <w:qFormat/>
    <w:pPr>
      <w:jc w:val="left"/>
      <w:spacing w:before="120" w:after="120"/>
      <w:widowControl/>
    </w:pPr>
    <w:rPr>
      <w:rFonts w:cs="Calibri"/>
      <w:b/>
      <w:bCs/>
      <w:caps/>
      <w:sz w:val="20"/>
      <w:szCs w:val="20"/>
    </w:rPr>
  </w:style>
  <w:style w:type="paragraph" w:styleId="800" w:customStyle="1">
    <w:name w:val="正文12"/>
    <w:next w:val="801"/>
    <w:uiPriority w:val="0"/>
    <w:qFormat/>
    <w:pPr>
      <w:jc w:val="both"/>
      <w:widowControl w:val="off"/>
    </w:pPr>
    <w:rPr>
      <w:rFonts w:hint="default" w:ascii="Calibri" w:hAnsi="Calibri" w:eastAsia="宋体" w:cs="Times New Roman"/>
      <w:sz w:val="21"/>
      <w:szCs w:val="24"/>
      <w:lang w:val="en-US" w:eastAsia="zh-CN" w:bidi="ar-SA"/>
    </w:rPr>
  </w:style>
  <w:style w:type="paragraph" w:styleId="801" w:customStyle="1">
    <w:name w:val="正文文本11"/>
    <w:basedOn w:val="802"/>
    <w:next w:val="803"/>
    <w:uiPriority w:val="0"/>
    <w:qFormat/>
    <w:pPr>
      <w:spacing w:after="120"/>
    </w:pPr>
  </w:style>
  <w:style w:type="paragraph" w:styleId="802" w:customStyle="1">
    <w:name w:val="正文112"/>
    <w:next w:val="8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一级条标题"/>
    <w:basedOn w:val="804"/>
    <w:next w:val="805"/>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04" w:customStyle="1">
    <w:name w:val="章标题"/>
    <w:next w:val="78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05" w:customStyle="1">
    <w:name w:val="段"/>
    <w:next w:val="784"/>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06" w:customStyle="1">
    <w:name w:val="正文文本1"/>
    <w:basedOn w:val="797"/>
    <w:next w:val="797"/>
    <w:uiPriority w:val="0"/>
    <w:qFormat/>
    <w:pPr>
      <w:spacing w:after="120"/>
    </w:pPr>
    <w:rPr>
      <w:lang w:eastAsia="en-US"/>
    </w:rPr>
  </w:style>
  <w:style w:type="paragraph" w:styleId="807">
    <w:name w:val="Normal Indent"/>
    <w:basedOn w:val="784"/>
    <w:link w:val="1027"/>
    <w:uiPriority w:val="99"/>
    <w:qFormat/>
    <w:pPr>
      <w:ind w:firstLine="420"/>
    </w:pPr>
    <w:rPr>
      <w:szCs w:val="20"/>
    </w:rPr>
  </w:style>
  <w:style w:type="paragraph" w:styleId="808">
    <w:name w:val="List 3"/>
    <w:basedOn w:val="784"/>
    <w:uiPriority w:val="99"/>
    <w:qFormat/>
    <w:pPr>
      <w:ind w:left="100" w:hanging="200"/>
    </w:pPr>
  </w:style>
  <w:style w:type="paragraph" w:styleId="809">
    <w:name w:val="toc 7"/>
    <w:basedOn w:val="784"/>
    <w:next w:val="784"/>
    <w:uiPriority w:val="39"/>
    <w:unhideWhenUsed/>
    <w:qFormat/>
    <w:pPr>
      <w:ind w:left="1701" w:right="0" w:firstLine="0"/>
      <w:spacing w:after="57"/>
    </w:pPr>
  </w:style>
  <w:style w:type="paragraph" w:styleId="810">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1">
    <w:name w:val="Document Map"/>
    <w:basedOn w:val="784"/>
    <w:link w:val="1015"/>
    <w:uiPriority w:val="99"/>
    <w:semiHidden/>
    <w:qFormat/>
    <w:pPr>
      <w:shd w:val="clear" w:color="auto" w:fill="000080"/>
    </w:pPr>
  </w:style>
  <w:style w:type="paragraph" w:styleId="812">
    <w:name w:val="annotation text"/>
    <w:basedOn w:val="784"/>
    <w:link w:val="1048"/>
    <w:uiPriority w:val="99"/>
    <w:semiHidden/>
    <w:qFormat/>
    <w:pPr>
      <w:jc w:val="left"/>
    </w:pPr>
  </w:style>
  <w:style w:type="paragraph" w:styleId="813">
    <w:name w:val="Body Text 3"/>
    <w:basedOn w:val="784"/>
    <w:link w:val="1016"/>
    <w:uiPriority w:val="99"/>
    <w:qFormat/>
    <w:rPr>
      <w:rFonts w:ascii="仿宋" w:hAnsi="Arial" w:eastAsia="仿宋"/>
      <w:sz w:val="32"/>
      <w:szCs w:val="32"/>
    </w:rPr>
  </w:style>
  <w:style w:type="paragraph" w:styleId="814">
    <w:name w:val="Body Text"/>
    <w:basedOn w:val="784"/>
    <w:next w:val="784"/>
    <w:link w:val="1013"/>
    <w:uiPriority w:val="99"/>
    <w:qFormat/>
    <w:rPr>
      <w:rFonts w:ascii="楷体" w:hAnsi="Arial" w:eastAsia="楷体"/>
      <w:sz w:val="28"/>
      <w:szCs w:val="28"/>
    </w:rPr>
  </w:style>
  <w:style w:type="paragraph" w:styleId="815">
    <w:name w:val="Body Text Indent"/>
    <w:basedOn w:val="784"/>
    <w:link w:val="1017"/>
    <w:uiPriority w:val="99"/>
    <w:qFormat/>
    <w:pPr>
      <w:ind w:firstLine="645"/>
    </w:pPr>
    <w:rPr>
      <w:rFonts w:ascii="楷体" w:eastAsia="楷体"/>
      <w:sz w:val="32"/>
      <w:szCs w:val="32"/>
    </w:rPr>
  </w:style>
  <w:style w:type="paragraph" w:styleId="816">
    <w:name w:val="List 2"/>
    <w:basedOn w:val="784"/>
    <w:uiPriority w:val="99"/>
    <w:qFormat/>
    <w:pPr>
      <w:ind w:left="100" w:hanging="200"/>
    </w:pPr>
  </w:style>
  <w:style w:type="paragraph" w:styleId="817">
    <w:name w:val="Block Text"/>
    <w:basedOn w:val="784"/>
    <w:uiPriority w:val="99"/>
    <w:qFormat/>
    <w:pPr>
      <w:ind w:left="560" w:right="-512"/>
    </w:pPr>
    <w:rPr>
      <w:rFonts w:ascii="宋体" w:eastAsia="宋体" w:cs="PMingLiU-ExtB"/>
      <w:sz w:val="24"/>
    </w:rPr>
  </w:style>
  <w:style w:type="paragraph" w:styleId="818">
    <w:name w:val="toc 5"/>
    <w:basedOn w:val="784"/>
    <w:next w:val="784"/>
    <w:uiPriority w:val="39"/>
    <w:unhideWhenUsed/>
    <w:qFormat/>
    <w:pPr>
      <w:ind w:left="1134" w:right="0" w:firstLine="0"/>
      <w:spacing w:after="57"/>
    </w:pPr>
  </w:style>
  <w:style w:type="paragraph" w:styleId="819">
    <w:name w:val="toc 3"/>
    <w:basedOn w:val="784"/>
    <w:next w:val="784"/>
    <w:uiPriority w:val="39"/>
    <w:unhideWhenUsed/>
    <w:qFormat/>
    <w:pPr>
      <w:ind w:left="567" w:right="0" w:firstLine="0"/>
      <w:spacing w:after="57"/>
    </w:pPr>
  </w:style>
  <w:style w:type="paragraph" w:styleId="820">
    <w:name w:val="Plain Text"/>
    <w:basedOn w:val="784"/>
    <w:link w:val="1018"/>
    <w:uiPriority w:val="99"/>
    <w:qFormat/>
    <w:rPr>
      <w:rFonts w:ascii="宋体" w:hAnsi="Courier New" w:cs="Courier New"/>
    </w:rPr>
  </w:style>
  <w:style w:type="paragraph" w:styleId="821">
    <w:name w:val="toc 8"/>
    <w:basedOn w:val="784"/>
    <w:next w:val="784"/>
    <w:uiPriority w:val="39"/>
    <w:unhideWhenUsed/>
    <w:qFormat/>
    <w:pPr>
      <w:ind w:left="1984" w:right="0" w:firstLine="0"/>
      <w:spacing w:after="57"/>
    </w:pPr>
  </w:style>
  <w:style w:type="paragraph" w:styleId="822">
    <w:name w:val="Date"/>
    <w:basedOn w:val="784"/>
    <w:next w:val="784"/>
    <w:link w:val="1019"/>
    <w:uiPriority w:val="99"/>
    <w:qFormat/>
    <w:rPr>
      <w:sz w:val="24"/>
      <w:szCs w:val="24"/>
    </w:rPr>
  </w:style>
  <w:style w:type="paragraph" w:styleId="823">
    <w:name w:val="Body Text Indent 2"/>
    <w:basedOn w:val="784"/>
    <w:link w:val="1020"/>
    <w:uiPriority w:val="99"/>
    <w:qFormat/>
    <w:pPr>
      <w:ind w:left="630" w:firstLine="645"/>
    </w:pPr>
    <w:rPr>
      <w:rFonts w:ascii="Arial" w:hAnsi="Arial" w:eastAsia="仿宋" w:cs="Arial"/>
      <w:sz w:val="32"/>
      <w:szCs w:val="32"/>
    </w:rPr>
  </w:style>
  <w:style w:type="paragraph" w:styleId="824">
    <w:name w:val="endnote text"/>
    <w:basedOn w:val="784"/>
    <w:link w:val="999"/>
    <w:uiPriority w:val="99"/>
    <w:semiHidden/>
    <w:unhideWhenUsed/>
    <w:qFormat/>
    <w:pPr>
      <w:spacing w:after="0" w:line="240" w:lineRule="auto"/>
    </w:pPr>
    <w:rPr>
      <w:sz w:val="20"/>
    </w:rPr>
  </w:style>
  <w:style w:type="paragraph" w:styleId="825">
    <w:name w:val="Balloon Text"/>
    <w:basedOn w:val="784"/>
    <w:link w:val="1050"/>
    <w:uiPriority w:val="99"/>
    <w:semiHidden/>
    <w:qFormat/>
    <w:rPr>
      <w:sz w:val="18"/>
      <w:szCs w:val="18"/>
    </w:rPr>
  </w:style>
  <w:style w:type="paragraph" w:styleId="826">
    <w:name w:val="Footer"/>
    <w:basedOn w:val="784"/>
    <w:link w:val="1022"/>
    <w:uiPriority w:val="99"/>
    <w:qFormat/>
    <w:pPr>
      <w:jc w:val="left"/>
      <w:tabs>
        <w:tab w:val="center" w:pos="4153" w:leader="none"/>
        <w:tab w:val="right" w:pos="8306" w:leader="none"/>
      </w:tabs>
    </w:pPr>
    <w:rPr>
      <w:sz w:val="18"/>
      <w:szCs w:val="18"/>
    </w:rPr>
  </w:style>
  <w:style w:type="paragraph" w:styleId="827">
    <w:name w:val="envelope return"/>
    <w:basedOn w:val="784"/>
    <w:uiPriority w:val="99"/>
    <w:unhideWhenUsed/>
    <w:qFormat/>
    <w:rPr>
      <w:rFonts w:ascii="Arial" w:hAnsi="Arial"/>
    </w:rPr>
  </w:style>
  <w:style w:type="paragraph" w:styleId="828">
    <w:name w:val="Header"/>
    <w:basedOn w:val="784"/>
    <w:link w:val="1024"/>
    <w:uiPriority w:val="99"/>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84"/>
    <w:next w:val="784"/>
    <w:uiPriority w:val="39"/>
    <w:semiHidden/>
    <w:unhideWhenUsed/>
    <w:qFormat/>
  </w:style>
  <w:style w:type="paragraph" w:styleId="830">
    <w:name w:val="toc 4"/>
    <w:basedOn w:val="784"/>
    <w:next w:val="784"/>
    <w:uiPriority w:val="39"/>
    <w:unhideWhenUsed/>
    <w:qFormat/>
    <w:pPr>
      <w:ind w:left="850" w:right="0" w:firstLine="0"/>
      <w:spacing w:after="57"/>
    </w:pPr>
  </w:style>
  <w:style w:type="paragraph" w:styleId="831">
    <w:name w:val="Subtitle"/>
    <w:basedOn w:val="784"/>
    <w:next w:val="784"/>
    <w:link w:val="865"/>
    <w:uiPriority w:val="11"/>
    <w:qFormat/>
    <w:pPr>
      <w:spacing w:before="200" w:after="200"/>
    </w:pPr>
    <w:rPr>
      <w:sz w:val="24"/>
      <w:szCs w:val="24"/>
    </w:rPr>
  </w:style>
  <w:style w:type="paragraph" w:styleId="832">
    <w:name w:val="List"/>
    <w:basedOn w:val="784"/>
    <w:uiPriority w:val="99"/>
    <w:qFormat/>
    <w:pPr>
      <w:ind w:left="200" w:hanging="200"/>
    </w:pPr>
  </w:style>
  <w:style w:type="paragraph" w:styleId="833">
    <w:name w:val="footnote text"/>
    <w:basedOn w:val="784"/>
    <w:link w:val="998"/>
    <w:uiPriority w:val="99"/>
    <w:semiHidden/>
    <w:unhideWhenUsed/>
    <w:qFormat/>
    <w:pPr>
      <w:spacing w:after="40" w:line="240" w:lineRule="auto"/>
    </w:pPr>
    <w:rPr>
      <w:sz w:val="18"/>
    </w:rPr>
  </w:style>
  <w:style w:type="paragraph" w:styleId="834">
    <w:name w:val="toc 6"/>
    <w:basedOn w:val="784"/>
    <w:next w:val="784"/>
    <w:uiPriority w:val="39"/>
    <w:unhideWhenUsed/>
    <w:qFormat/>
    <w:pPr>
      <w:ind w:left="1417" w:right="0" w:firstLine="0"/>
      <w:spacing w:after="57"/>
    </w:pPr>
  </w:style>
  <w:style w:type="paragraph" w:styleId="835">
    <w:name w:val="Body Text Indent 3"/>
    <w:basedOn w:val="784"/>
    <w:link w:val="1025"/>
    <w:uiPriority w:val="99"/>
    <w:qFormat/>
    <w:pPr>
      <w:ind w:left="645" w:firstLine="645"/>
    </w:pPr>
    <w:rPr>
      <w:rFonts w:ascii="Arial" w:hAnsi="Arial" w:eastAsia="仿宋" w:cs="Arial"/>
      <w:color w:val="ffff00"/>
      <w:sz w:val="32"/>
      <w:szCs w:val="32"/>
    </w:rPr>
  </w:style>
  <w:style w:type="paragraph" w:styleId="836">
    <w:name w:val="table of figures"/>
    <w:basedOn w:val="784"/>
    <w:next w:val="784"/>
    <w:uiPriority w:val="99"/>
    <w:unhideWhenUsed/>
    <w:qFormat/>
    <w:pPr>
      <w:spacing w:after="0" w:afterAutospacing="0"/>
    </w:pPr>
  </w:style>
  <w:style w:type="paragraph" w:styleId="837">
    <w:name w:val="toc 2"/>
    <w:basedOn w:val="784"/>
    <w:next w:val="784"/>
    <w:uiPriority w:val="0"/>
    <w:qFormat/>
    <w:pPr>
      <w:ind w:left="420"/>
    </w:pPr>
    <w:rPr>
      <w:rFonts w:ascii="宋体"/>
      <w:b/>
      <w:sz w:val="28"/>
      <w:szCs w:val="20"/>
    </w:rPr>
  </w:style>
  <w:style w:type="paragraph" w:styleId="838">
    <w:name w:val="toc 9"/>
    <w:basedOn w:val="784"/>
    <w:next w:val="784"/>
    <w:uiPriority w:val="39"/>
    <w:unhideWhenUsed/>
    <w:qFormat/>
    <w:pPr>
      <w:ind w:left="2268" w:right="0" w:firstLine="0"/>
      <w:spacing w:after="57"/>
    </w:pPr>
  </w:style>
  <w:style w:type="paragraph" w:styleId="839">
    <w:name w:val="Body Text 2"/>
    <w:basedOn w:val="784"/>
    <w:link w:val="1026"/>
    <w:uiPriority w:val="99"/>
    <w:qFormat/>
    <w:pPr>
      <w:jc w:val="center"/>
      <w:widowControl/>
    </w:pPr>
    <w:rPr>
      <w:rFonts w:ascii="楷体" w:eastAsia="楷体"/>
      <w:sz w:val="28"/>
      <w:szCs w:val="28"/>
    </w:rPr>
  </w:style>
  <w:style w:type="paragraph" w:styleId="840">
    <w:name w:val="HTML Preformatted"/>
    <w:basedOn w:val="784"/>
    <w:link w:val="10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841">
    <w:name w:val="Normal (Web)"/>
    <w:basedOn w:val="784"/>
    <w:uiPriority w:val="99"/>
    <w:qFormat/>
    <w:pPr>
      <w:jc w:val="left"/>
      <w:spacing w:before="100" w:beforeAutospacing="1" w:after="100" w:afterAutospacing="1"/>
      <w:widowControl/>
    </w:pPr>
    <w:rPr>
      <w:rFonts w:ascii="宋体" w:hAnsi="宋体" w:cs="宋体"/>
      <w:sz w:val="24"/>
      <w:szCs w:val="24"/>
    </w:rPr>
  </w:style>
  <w:style w:type="paragraph" w:styleId="842">
    <w:name w:val="Title"/>
    <w:basedOn w:val="784"/>
    <w:next w:val="784"/>
    <w:link w:val="864"/>
    <w:uiPriority w:val="10"/>
    <w:qFormat/>
    <w:pPr>
      <w:contextualSpacing/>
      <w:spacing w:before="300" w:after="200"/>
    </w:pPr>
    <w:rPr>
      <w:sz w:val="48"/>
      <w:szCs w:val="48"/>
    </w:rPr>
  </w:style>
  <w:style w:type="paragraph" w:styleId="843">
    <w:name w:val="annotation subject"/>
    <w:basedOn w:val="812"/>
    <w:next w:val="812"/>
    <w:link w:val="1049"/>
    <w:uiPriority w:val="99"/>
    <w:semiHidden/>
    <w:qFormat/>
    <w:rPr>
      <w:b/>
      <w:bCs/>
    </w:rPr>
  </w:style>
  <w:style w:type="paragraph" w:styleId="844">
    <w:name w:val="Body Text First Indent"/>
    <w:basedOn w:val="784"/>
    <w:link w:val="1014"/>
    <w:uiPriority w:val="99"/>
    <w:qFormat/>
    <w:pPr>
      <w:ind w:firstLine="200"/>
      <w:spacing w:line="360" w:lineRule="auto"/>
    </w:pPr>
    <w:rPr>
      <w:rFonts w:ascii="仿宋" w:eastAsia="仿宋"/>
      <w:sz w:val="30"/>
      <w:szCs w:val="30"/>
    </w:rPr>
  </w:style>
  <w:style w:type="paragraph" w:styleId="845">
    <w:name w:val="Body Text First Indent 2"/>
    <w:basedOn w:val="815"/>
    <w:link w:val="1023"/>
    <w:uiPriority w:val="99"/>
    <w:qFormat/>
    <w:pPr>
      <w:ind w:firstLine="420"/>
      <w:spacing w:line="360" w:lineRule="auto"/>
    </w:pPr>
    <w:rPr>
      <w:rFonts w:ascii="宋体" w:hAnsi="宋体" w:eastAsia="宋体"/>
      <w:sz w:val="21"/>
      <w:szCs w:val="20"/>
    </w:rPr>
  </w:style>
  <w:style w:type="table" w:styleId="846">
    <w:name w:val="Table Grid"/>
    <w:basedOn w:val="79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7">
    <w:name w:val="Strong"/>
    <w:basedOn w:val="794"/>
    <w:uiPriority w:val="99"/>
    <w:qFormat/>
    <w:rPr>
      <w:rFonts w:cs="Times New Roman"/>
      <w:b/>
    </w:rPr>
  </w:style>
  <w:style w:type="character" w:styleId="848">
    <w:name w:val="endnote reference"/>
    <w:basedOn w:val="794"/>
    <w:uiPriority w:val="99"/>
    <w:semiHidden/>
    <w:unhideWhenUsed/>
    <w:qFormat/>
    <w:rPr>
      <w:vertAlign w:val="superscript"/>
    </w:rPr>
  </w:style>
  <w:style w:type="character" w:styleId="849">
    <w:name w:val="page number"/>
    <w:basedOn w:val="794"/>
    <w:uiPriority w:val="99"/>
    <w:qFormat/>
    <w:rPr>
      <w:rFonts w:cs="Times New Roman"/>
    </w:rPr>
  </w:style>
  <w:style w:type="character" w:styleId="850">
    <w:name w:val="FollowedHyperlink"/>
    <w:basedOn w:val="794"/>
    <w:uiPriority w:val="99"/>
    <w:qFormat/>
    <w:rPr>
      <w:rFonts w:cs="Times New Roman"/>
      <w:color w:val="800080"/>
      <w:u w:val="single"/>
    </w:rPr>
  </w:style>
  <w:style w:type="character" w:styleId="851">
    <w:name w:val="Hyperlink"/>
    <w:basedOn w:val="794"/>
    <w:uiPriority w:val="99"/>
    <w:qFormat/>
    <w:rPr>
      <w:rFonts w:cs="Times New Roman"/>
      <w:color w:val="0000ff"/>
      <w:u w:val="single"/>
    </w:rPr>
  </w:style>
  <w:style w:type="character" w:styleId="852">
    <w:name w:val="annotation reference"/>
    <w:basedOn w:val="794"/>
    <w:uiPriority w:val="99"/>
    <w:semiHidden/>
    <w:qFormat/>
    <w:rPr>
      <w:rFonts w:cs="Times New Roman"/>
      <w:sz w:val="21"/>
    </w:rPr>
  </w:style>
  <w:style w:type="character" w:styleId="853">
    <w:name w:val="footnote reference"/>
    <w:basedOn w:val="794"/>
    <w:uiPriority w:val="99"/>
    <w:unhideWhenUsed/>
    <w:qFormat/>
    <w:rPr>
      <w:vertAlign w:val="superscript"/>
    </w:rPr>
  </w:style>
  <w:style w:type="character" w:styleId="854" w:customStyle="1">
    <w:name w:val="Heading 1 Char"/>
    <w:basedOn w:val="794"/>
    <w:uiPriority w:val="9"/>
    <w:qFormat/>
    <w:rPr>
      <w:rFonts w:ascii="Arial" w:hAnsi="Arial" w:eastAsia="Arial" w:cs="Arial"/>
      <w:sz w:val="40"/>
      <w:szCs w:val="40"/>
    </w:rPr>
  </w:style>
  <w:style w:type="character" w:styleId="855" w:customStyle="1">
    <w:name w:val="Heading 2 Char"/>
    <w:basedOn w:val="794"/>
    <w:uiPriority w:val="9"/>
    <w:qFormat/>
    <w:rPr>
      <w:rFonts w:ascii="Arial" w:hAnsi="Arial" w:eastAsia="Arial" w:cs="Arial"/>
      <w:sz w:val="34"/>
    </w:rPr>
  </w:style>
  <w:style w:type="character" w:styleId="856" w:customStyle="1">
    <w:name w:val="Heading 3 Char"/>
    <w:basedOn w:val="794"/>
    <w:uiPriority w:val="9"/>
    <w:qFormat/>
    <w:rPr>
      <w:rFonts w:ascii="Arial" w:hAnsi="Arial" w:eastAsia="Arial" w:cs="Arial"/>
      <w:sz w:val="30"/>
      <w:szCs w:val="30"/>
    </w:rPr>
  </w:style>
  <w:style w:type="character" w:styleId="857" w:customStyle="1">
    <w:name w:val="Heading 4 Char"/>
    <w:basedOn w:val="794"/>
    <w:uiPriority w:val="9"/>
    <w:qFormat/>
    <w:rPr>
      <w:rFonts w:ascii="Arial" w:hAnsi="Arial" w:eastAsia="Arial" w:cs="Arial"/>
      <w:b/>
      <w:bCs/>
      <w:sz w:val="26"/>
      <w:szCs w:val="26"/>
    </w:rPr>
  </w:style>
  <w:style w:type="character" w:styleId="858" w:customStyle="1">
    <w:name w:val="Heading 5 Char"/>
    <w:basedOn w:val="794"/>
    <w:uiPriority w:val="9"/>
    <w:qFormat/>
    <w:rPr>
      <w:rFonts w:ascii="Arial" w:hAnsi="Arial" w:eastAsia="Arial" w:cs="Arial"/>
      <w:b/>
      <w:bCs/>
      <w:sz w:val="24"/>
      <w:szCs w:val="24"/>
    </w:rPr>
  </w:style>
  <w:style w:type="character" w:styleId="859" w:customStyle="1">
    <w:name w:val="Heading 6 Char"/>
    <w:basedOn w:val="794"/>
    <w:uiPriority w:val="9"/>
    <w:qFormat/>
    <w:rPr>
      <w:rFonts w:ascii="Arial" w:hAnsi="Arial" w:eastAsia="Arial" w:cs="Arial"/>
      <w:b/>
      <w:bCs/>
      <w:sz w:val="22"/>
      <w:szCs w:val="22"/>
    </w:rPr>
  </w:style>
  <w:style w:type="character" w:styleId="860" w:customStyle="1">
    <w:name w:val="Heading 7 Char"/>
    <w:basedOn w:val="794"/>
    <w:uiPriority w:val="9"/>
    <w:qFormat/>
    <w:rPr>
      <w:rFonts w:ascii="Arial" w:hAnsi="Arial" w:eastAsia="Arial" w:cs="Arial"/>
      <w:b/>
      <w:bCs/>
      <w:i/>
      <w:iCs/>
      <w:sz w:val="22"/>
      <w:szCs w:val="22"/>
    </w:rPr>
  </w:style>
  <w:style w:type="character" w:styleId="861" w:customStyle="1">
    <w:name w:val="Heading 8 Char"/>
    <w:basedOn w:val="794"/>
    <w:uiPriority w:val="9"/>
    <w:qFormat/>
    <w:rPr>
      <w:rFonts w:ascii="Arial" w:hAnsi="Arial" w:eastAsia="Arial" w:cs="Arial"/>
      <w:i/>
      <w:iCs/>
      <w:sz w:val="22"/>
      <w:szCs w:val="22"/>
    </w:rPr>
  </w:style>
  <w:style w:type="character" w:styleId="862" w:customStyle="1">
    <w:name w:val="Heading 9 Char"/>
    <w:basedOn w:val="794"/>
    <w:uiPriority w:val="9"/>
    <w:qFormat/>
    <w:rPr>
      <w:rFonts w:ascii="Arial" w:hAnsi="Arial" w:eastAsia="Arial" w:cs="Arial"/>
      <w:i/>
      <w:iCs/>
      <w:sz w:val="21"/>
      <w:szCs w:val="21"/>
    </w:rPr>
  </w:style>
  <w:style w:type="paragraph" w:styleId="863">
    <w:name w:val="No Spacing"/>
    <w:uiPriority w:val="1"/>
    <w:qFormat/>
    <w:pPr>
      <w:spacing w:before="0" w:after="0" w:line="240" w:lineRule="auto"/>
    </w:pPr>
    <w:rPr>
      <w:rFonts w:hint="default" w:ascii="Times New Roman" w:hAnsi="Times New Roman" w:eastAsia="宋体" w:cs="Times New Roman"/>
    </w:rPr>
  </w:style>
  <w:style w:type="character" w:styleId="864" w:customStyle="1">
    <w:name w:val="Title Char"/>
    <w:basedOn w:val="794"/>
    <w:link w:val="842"/>
    <w:uiPriority w:val="10"/>
    <w:qFormat/>
    <w:rPr>
      <w:sz w:val="48"/>
      <w:szCs w:val="48"/>
    </w:rPr>
  </w:style>
  <w:style w:type="character" w:styleId="865" w:customStyle="1">
    <w:name w:val="Subtitle Char"/>
    <w:basedOn w:val="794"/>
    <w:link w:val="831"/>
    <w:uiPriority w:val="11"/>
    <w:qFormat/>
    <w:rPr>
      <w:sz w:val="24"/>
      <w:szCs w:val="24"/>
    </w:rPr>
  </w:style>
  <w:style w:type="paragraph" w:styleId="866">
    <w:name w:val="Quote"/>
    <w:basedOn w:val="784"/>
    <w:next w:val="784"/>
    <w:link w:val="867"/>
    <w:uiPriority w:val="29"/>
    <w:qFormat/>
    <w:pPr>
      <w:ind w:left="720" w:right="720"/>
    </w:pPr>
    <w:rPr>
      <w:i/>
    </w:rPr>
  </w:style>
  <w:style w:type="character" w:styleId="867" w:customStyle="1">
    <w:name w:val="Quote Char"/>
    <w:link w:val="866"/>
    <w:uiPriority w:val="29"/>
    <w:qFormat/>
    <w:rPr>
      <w:i/>
    </w:rPr>
  </w:style>
  <w:style w:type="paragraph" w:styleId="868">
    <w:name w:val="Intense Quote"/>
    <w:basedOn w:val="784"/>
    <w:next w:val="784"/>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Intense Quote Char"/>
    <w:link w:val="868"/>
    <w:uiPriority w:val="30"/>
    <w:qFormat/>
    <w:rPr>
      <w:i/>
    </w:rPr>
  </w:style>
  <w:style w:type="character" w:styleId="870" w:customStyle="1">
    <w:name w:val="Header Char"/>
    <w:basedOn w:val="794"/>
    <w:uiPriority w:val="99"/>
    <w:qFormat/>
  </w:style>
  <w:style w:type="character" w:styleId="871" w:customStyle="1">
    <w:name w:val="Footer Char"/>
    <w:basedOn w:val="794"/>
    <w:uiPriority w:val="99"/>
    <w:qFormat/>
  </w:style>
  <w:style w:type="character" w:styleId="872" w:customStyle="1">
    <w:name w:val="Caption Char"/>
    <w:uiPriority w:val="99"/>
    <w:qFormat/>
  </w:style>
  <w:style w:type="table" w:styleId="873" w:customStyle="1">
    <w:name w:val="Table Grid Light"/>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Plain Table 1"/>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basedOn w:val="7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basedOn w:val="7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7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7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7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7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7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basedOn w:val="7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7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7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7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7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7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Grid Table 3"/>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basedOn w:val="7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basedOn w:val="7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basedOn w:val="7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basedOn w:val="7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basedOn w:val="7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basedOn w:val="7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basedOn w:val="7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basedOn w:val="79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basedOn w:val="79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basedOn w:val="79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basedOn w:val="79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basedOn w:val="79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basedOn w:val="79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Grid Table 5 Dark"/>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Grid Table 6 Colorful"/>
    <w:basedOn w:val="7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basedOn w:val="79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6" w:customStyle="1">
    <w:name w:val="Grid Table 6 Colorful - Accent 2"/>
    <w:basedOn w:val="7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7" w:customStyle="1">
    <w:name w:val="Grid Table 6 Colorful - Accent 3"/>
    <w:basedOn w:val="79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8" w:customStyle="1">
    <w:name w:val="Grid Table 6 Colorful - Accent 4"/>
    <w:basedOn w:val="7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9" w:customStyle="1">
    <w:name w:val="Grid Table 6 Colorful - Accent 5"/>
    <w:basedOn w:val="79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6 Colorful - Accent 6"/>
    <w:basedOn w:val="79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7 Colorful"/>
    <w:basedOn w:val="7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basedOn w:val="79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79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79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79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79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79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basedOn w:val="7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basedOn w:val="79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79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79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79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79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79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w:basedOn w:val="7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basedOn w:val="79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basedOn w:val="79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basedOn w:val="79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basedOn w:val="79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basedOn w:val="79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basedOn w:val="79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List Table 3"/>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basedOn w:val="79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basedOn w:val="7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basedOn w:val="79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basedOn w:val="7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basedOn w:val="79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basedOn w:val="79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List Table 4"/>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basedOn w:val="79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basedOn w:val="79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basedOn w:val="79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basedOn w:val="79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basedOn w:val="79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basedOn w:val="79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w:basedOn w:val="7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basedOn w:val="79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basedOn w:val="79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basedOn w:val="79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basedOn w:val="79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basedOn w:val="79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basedOn w:val="79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basedOn w:val="7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basedOn w:val="79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5" w:customStyle="1">
    <w:name w:val="List Table 6 Colorful - Accent 2"/>
    <w:basedOn w:val="79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6" w:customStyle="1">
    <w:name w:val="List Table 6 Colorful - Accent 3"/>
    <w:basedOn w:val="79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7" w:customStyle="1">
    <w:name w:val="List Table 6 Colorful - Accent 4"/>
    <w:basedOn w:val="79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8" w:customStyle="1">
    <w:name w:val="List Table 6 Colorful - Accent 5"/>
    <w:basedOn w:val="79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9" w:customStyle="1">
    <w:name w:val="List Table 6 Colorful - Accent 6"/>
    <w:basedOn w:val="79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0" w:customStyle="1">
    <w:name w:val="List Table 7 Colorful"/>
    <w:basedOn w:val="7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basedOn w:val="79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79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79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79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79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79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basedOn w:val="7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basedOn w:val="79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basedOn w:val="79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basedOn w:val="79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basedOn w:val="79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basedOn w:val="79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basedOn w:val="79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basedOn w:val="7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basedOn w:val="7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basedOn w:val="7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basedOn w:val="7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basedOn w:val="7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basedOn w:val="7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basedOn w:val="7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Footnote Text Char"/>
    <w:link w:val="833"/>
    <w:uiPriority w:val="99"/>
    <w:qFormat/>
    <w:rPr>
      <w:sz w:val="18"/>
    </w:rPr>
  </w:style>
  <w:style w:type="character" w:styleId="999" w:customStyle="1">
    <w:name w:val="Endnote Text Char"/>
    <w:link w:val="824"/>
    <w:uiPriority w:val="99"/>
    <w:qFormat/>
    <w:rPr>
      <w:sz w:val="20"/>
    </w:rPr>
  </w:style>
  <w:style w:type="paragraph" w:styleId="1000" w:customStyle="1">
    <w:name w:val="TOC Heading"/>
    <w:uiPriority w:val="39"/>
    <w:unhideWhenUsed/>
    <w:qFormat/>
    <w:rPr>
      <w:rFonts w:hint="default" w:ascii="Times New Roman" w:hAnsi="Times New Roman" w:eastAsia="宋体" w:cs="Times New Roman"/>
    </w:rPr>
  </w:style>
  <w:style w:type="paragraph" w:styleId="1001" w:customStyle="1">
    <w:name w:val="Default"/>
    <w:basedOn w:val="784"/>
    <w:uiPriority w:val="0"/>
    <w:semiHidden/>
    <w:qFormat/>
    <w:pPr>
      <w:jc w:val="left"/>
    </w:pPr>
    <w:rPr>
      <w:rFonts w:ascii="宋体" w:hAnsi="Calibri" w:cs="宋体"/>
      <w:color w:val="000000"/>
      <w:sz w:val="24"/>
    </w:rPr>
  </w:style>
  <w:style w:type="character" w:styleId="1002" w:customStyle="1">
    <w:name w:val="标题 2 字符"/>
    <w:basedOn w:val="794"/>
    <w:link w:val="786"/>
    <w:uiPriority w:val="99"/>
    <w:qFormat/>
    <w:rPr>
      <w:rFonts w:ascii="Arial" w:hAnsi="Arial" w:eastAsia="宋体" w:cs="Arial"/>
      <w:b/>
      <w:bCs/>
      <w:sz w:val="44"/>
      <w:szCs w:val="44"/>
    </w:rPr>
  </w:style>
  <w:style w:type="character" w:styleId="1003" w:customStyle="1">
    <w:name w:val="标题 1 字符"/>
    <w:basedOn w:val="794"/>
    <w:link w:val="785"/>
    <w:uiPriority w:val="99"/>
    <w:qFormat/>
    <w:rPr>
      <w:rFonts w:ascii="楷体" w:hAnsi="楷体" w:eastAsia="黑体" w:cs="Times New Roman"/>
      <w:b/>
      <w:sz w:val="44"/>
      <w:szCs w:val="28"/>
    </w:rPr>
  </w:style>
  <w:style w:type="character" w:styleId="1004" w:customStyle="1">
    <w:name w:val="标题 3 字符"/>
    <w:basedOn w:val="794"/>
    <w:link w:val="787"/>
    <w:uiPriority w:val="99"/>
    <w:qFormat/>
    <w:rPr>
      <w:rFonts w:ascii="Times New Roman" w:hAnsi="Times New Roman" w:eastAsia="宋体" w:cs="Times New Roman"/>
      <w:b/>
      <w:bCs/>
      <w:sz w:val="32"/>
      <w:szCs w:val="32"/>
    </w:rPr>
  </w:style>
  <w:style w:type="character" w:styleId="1005" w:customStyle="1">
    <w:name w:val="标题 4 字符"/>
    <w:basedOn w:val="794"/>
    <w:link w:val="788"/>
    <w:uiPriority w:val="99"/>
    <w:qFormat/>
    <w:rPr>
      <w:rFonts w:ascii="Arial" w:hAnsi="Arial" w:eastAsia="黑体" w:cs="Arial"/>
      <w:b/>
      <w:bCs/>
      <w:sz w:val="28"/>
      <w:szCs w:val="28"/>
    </w:rPr>
  </w:style>
  <w:style w:type="character" w:styleId="1006" w:customStyle="1">
    <w:name w:val="标题 5 字符"/>
    <w:basedOn w:val="794"/>
    <w:link w:val="789"/>
    <w:uiPriority w:val="99"/>
    <w:qFormat/>
    <w:rPr>
      <w:rFonts w:ascii="宋体" w:hAnsi="Times New Roman" w:eastAsia="宋体" w:cs="Times New Roman"/>
      <w:color w:val="000000"/>
      <w:sz w:val="28"/>
      <w:szCs w:val="28"/>
    </w:rPr>
  </w:style>
  <w:style w:type="character" w:styleId="1007" w:customStyle="1">
    <w:name w:val="标题 6 字符"/>
    <w:basedOn w:val="794"/>
    <w:link w:val="790"/>
    <w:uiPriority w:val="99"/>
    <w:qFormat/>
    <w:rPr>
      <w:rFonts w:ascii="Arial" w:hAnsi="Arial" w:eastAsia="黑体" w:cs="Times New Roman"/>
      <w:b/>
      <w:bCs/>
      <w:sz w:val="24"/>
      <w:szCs w:val="24"/>
    </w:rPr>
  </w:style>
  <w:style w:type="character" w:styleId="1008" w:customStyle="1">
    <w:name w:val="标题 7 字符"/>
    <w:basedOn w:val="794"/>
    <w:link w:val="791"/>
    <w:uiPriority w:val="99"/>
    <w:qFormat/>
    <w:rPr>
      <w:rFonts w:ascii="Times New Roman" w:hAnsi="Times New Roman" w:eastAsia="宋体" w:cs="Times New Roman"/>
      <w:b/>
      <w:bCs/>
      <w:sz w:val="24"/>
      <w:szCs w:val="24"/>
    </w:rPr>
  </w:style>
  <w:style w:type="character" w:styleId="1009" w:customStyle="1">
    <w:name w:val="标题 8 字符"/>
    <w:basedOn w:val="794"/>
    <w:link w:val="792"/>
    <w:uiPriority w:val="99"/>
    <w:qFormat/>
    <w:rPr>
      <w:rFonts w:ascii="Arial" w:hAnsi="Arial" w:eastAsia="黑体" w:cs="Times New Roman"/>
      <w:sz w:val="24"/>
      <w:szCs w:val="24"/>
    </w:rPr>
  </w:style>
  <w:style w:type="character" w:styleId="1010" w:customStyle="1">
    <w:name w:val="标题 9 字符"/>
    <w:basedOn w:val="794"/>
    <w:link w:val="793"/>
    <w:uiPriority w:val="99"/>
    <w:qFormat/>
    <w:rPr>
      <w:rFonts w:ascii="Arial" w:hAnsi="Arial" w:eastAsia="黑体" w:cs="Times New Roman"/>
      <w:sz w:val="21"/>
      <w:szCs w:val="21"/>
    </w:rPr>
  </w:style>
  <w:style w:type="character" w:styleId="1011" w:customStyle="1">
    <w:name w:val="批注文字 Char1"/>
    <w:basedOn w:val="794"/>
    <w:uiPriority w:val="99"/>
    <w:semiHidden/>
    <w:qFormat/>
    <w:rPr>
      <w:rFonts w:ascii="Times New Roman" w:hAnsi="Times New Roman" w:eastAsia="宋体" w:cs="Times New Roman"/>
      <w:sz w:val="21"/>
      <w:szCs w:val="21"/>
    </w:rPr>
  </w:style>
  <w:style w:type="character" w:styleId="1012" w:customStyle="1">
    <w:name w:val="批注主题 Char1"/>
    <w:basedOn w:val="1011"/>
    <w:uiPriority w:val="99"/>
    <w:semiHidden/>
    <w:qFormat/>
    <w:rPr>
      <w:rFonts w:ascii="Times New Roman" w:hAnsi="Times New Roman" w:eastAsia="宋体" w:cs="Times New Roman"/>
      <w:b/>
      <w:bCs/>
      <w:sz w:val="21"/>
      <w:szCs w:val="21"/>
    </w:rPr>
  </w:style>
  <w:style w:type="character" w:styleId="1013" w:customStyle="1">
    <w:name w:val="正文文本 字符"/>
    <w:basedOn w:val="794"/>
    <w:link w:val="814"/>
    <w:uiPriority w:val="99"/>
    <w:qFormat/>
    <w:rPr>
      <w:rFonts w:ascii="楷体" w:hAnsi="Arial" w:eastAsia="楷体" w:cs="Times New Roman"/>
      <w:sz w:val="28"/>
      <w:szCs w:val="28"/>
    </w:rPr>
  </w:style>
  <w:style w:type="character" w:styleId="1014" w:customStyle="1">
    <w:name w:val="正文文本首行缩进 字符"/>
    <w:basedOn w:val="1013"/>
    <w:link w:val="844"/>
    <w:uiPriority w:val="99"/>
    <w:qFormat/>
    <w:rPr>
      <w:rFonts w:ascii="仿宋" w:hAnsi="Times New Roman" w:eastAsia="仿宋" w:cs="Times New Roman"/>
      <w:sz w:val="30"/>
      <w:szCs w:val="30"/>
    </w:rPr>
  </w:style>
  <w:style w:type="character" w:styleId="1015" w:customStyle="1">
    <w:name w:val="文档结构图 字符"/>
    <w:basedOn w:val="794"/>
    <w:link w:val="811"/>
    <w:uiPriority w:val="99"/>
    <w:semiHidden/>
    <w:qFormat/>
    <w:rPr>
      <w:rFonts w:ascii="Times New Roman" w:hAnsi="Times New Roman" w:eastAsia="宋体" w:cs="Times New Roman"/>
      <w:sz w:val="21"/>
      <w:szCs w:val="21"/>
      <w:shd w:val="clear" w:color="auto" w:fill="000080"/>
    </w:rPr>
  </w:style>
  <w:style w:type="character" w:styleId="1016" w:customStyle="1">
    <w:name w:val="正文文本 3 字符"/>
    <w:basedOn w:val="794"/>
    <w:link w:val="813"/>
    <w:uiPriority w:val="99"/>
    <w:qFormat/>
    <w:rPr>
      <w:rFonts w:ascii="仿宋" w:hAnsi="Arial" w:eastAsia="仿宋" w:cs="Times New Roman"/>
      <w:sz w:val="32"/>
      <w:szCs w:val="32"/>
    </w:rPr>
  </w:style>
  <w:style w:type="character" w:styleId="1017" w:customStyle="1">
    <w:name w:val="正文文本缩进 字符"/>
    <w:basedOn w:val="794"/>
    <w:link w:val="815"/>
    <w:uiPriority w:val="99"/>
    <w:qFormat/>
    <w:rPr>
      <w:rFonts w:ascii="楷体" w:hAnsi="Times New Roman" w:eastAsia="楷体" w:cs="Times New Roman"/>
      <w:sz w:val="32"/>
      <w:szCs w:val="32"/>
    </w:rPr>
  </w:style>
  <w:style w:type="character" w:styleId="1018" w:customStyle="1">
    <w:name w:val="纯文本 字符"/>
    <w:basedOn w:val="794"/>
    <w:link w:val="820"/>
    <w:uiPriority w:val="99"/>
    <w:qFormat/>
    <w:rPr>
      <w:rFonts w:ascii="宋体" w:hAnsi="Courier New" w:eastAsia="宋体" w:cs="Courier New"/>
      <w:sz w:val="21"/>
      <w:szCs w:val="21"/>
    </w:rPr>
  </w:style>
  <w:style w:type="character" w:styleId="1019" w:customStyle="1">
    <w:name w:val="日期 字符"/>
    <w:basedOn w:val="794"/>
    <w:link w:val="822"/>
    <w:uiPriority w:val="99"/>
    <w:qFormat/>
    <w:rPr>
      <w:rFonts w:ascii="Times New Roman" w:hAnsi="Times New Roman" w:eastAsia="宋体" w:cs="Times New Roman"/>
      <w:sz w:val="24"/>
      <w:szCs w:val="24"/>
    </w:rPr>
  </w:style>
  <w:style w:type="character" w:styleId="1020" w:customStyle="1">
    <w:name w:val="正文文本缩进 2 字符"/>
    <w:basedOn w:val="794"/>
    <w:link w:val="823"/>
    <w:uiPriority w:val="99"/>
    <w:qFormat/>
    <w:rPr>
      <w:rFonts w:ascii="Arial" w:hAnsi="Arial" w:eastAsia="仿宋" w:cs="Arial"/>
      <w:sz w:val="32"/>
      <w:szCs w:val="32"/>
    </w:rPr>
  </w:style>
  <w:style w:type="character" w:styleId="1021" w:customStyle="1">
    <w:name w:val="批注框文本 Char1"/>
    <w:basedOn w:val="794"/>
    <w:uiPriority w:val="99"/>
    <w:semiHidden/>
    <w:qFormat/>
    <w:rPr>
      <w:rFonts w:ascii="Times New Roman" w:hAnsi="Times New Roman" w:eastAsia="宋体" w:cs="Times New Roman"/>
      <w:sz w:val="18"/>
      <w:szCs w:val="18"/>
    </w:rPr>
  </w:style>
  <w:style w:type="character" w:styleId="1022" w:customStyle="1">
    <w:name w:val="页脚 字符"/>
    <w:basedOn w:val="794"/>
    <w:link w:val="826"/>
    <w:uiPriority w:val="99"/>
    <w:qFormat/>
    <w:rPr>
      <w:rFonts w:ascii="Times New Roman" w:hAnsi="Times New Roman" w:eastAsia="宋体" w:cs="Times New Roman"/>
      <w:sz w:val="18"/>
      <w:szCs w:val="18"/>
    </w:rPr>
  </w:style>
  <w:style w:type="character" w:styleId="1023" w:customStyle="1">
    <w:name w:val="正文文本首行缩进 2 字符"/>
    <w:basedOn w:val="1017"/>
    <w:link w:val="845"/>
    <w:uiPriority w:val="99"/>
    <w:qFormat/>
    <w:rPr>
      <w:rFonts w:ascii="宋体" w:hAnsi="宋体" w:eastAsia="宋体" w:cs="Times New Roman"/>
      <w:sz w:val="20"/>
      <w:szCs w:val="20"/>
    </w:rPr>
  </w:style>
  <w:style w:type="character" w:styleId="1024" w:customStyle="1">
    <w:name w:val="页眉 字符"/>
    <w:basedOn w:val="794"/>
    <w:link w:val="828"/>
    <w:uiPriority w:val="99"/>
    <w:qFormat/>
    <w:rPr>
      <w:rFonts w:ascii="Times New Roman" w:hAnsi="Times New Roman" w:eastAsia="宋体" w:cs="Times New Roman"/>
      <w:sz w:val="18"/>
      <w:szCs w:val="18"/>
    </w:rPr>
  </w:style>
  <w:style w:type="character" w:styleId="1025" w:customStyle="1">
    <w:name w:val="正文文本缩进 3 字符"/>
    <w:basedOn w:val="794"/>
    <w:link w:val="835"/>
    <w:uiPriority w:val="99"/>
    <w:qFormat/>
    <w:rPr>
      <w:rFonts w:ascii="Arial" w:hAnsi="Arial" w:eastAsia="仿宋" w:cs="Arial"/>
      <w:color w:val="ffff00"/>
      <w:sz w:val="32"/>
      <w:szCs w:val="32"/>
    </w:rPr>
  </w:style>
  <w:style w:type="character" w:styleId="1026" w:customStyle="1">
    <w:name w:val="正文文本 2 字符"/>
    <w:basedOn w:val="794"/>
    <w:link w:val="839"/>
    <w:uiPriority w:val="99"/>
    <w:qFormat/>
    <w:rPr>
      <w:rFonts w:ascii="楷体" w:hAnsi="Times New Roman" w:eastAsia="楷体" w:cs="Times New Roman"/>
      <w:sz w:val="28"/>
      <w:szCs w:val="28"/>
    </w:rPr>
  </w:style>
  <w:style w:type="character" w:styleId="1027" w:customStyle="1">
    <w:name w:val="正文缩进 字符"/>
    <w:link w:val="807"/>
    <w:uiPriority w:val="99"/>
    <w:qFormat/>
    <w:rPr>
      <w:rFonts w:ascii="Times New Roman" w:hAnsi="Times New Roman" w:eastAsia="宋体"/>
      <w:sz w:val="21"/>
    </w:rPr>
  </w:style>
  <w:style w:type="paragraph" w:styleId="1028" w:customStyle="1">
    <w:name w:val="普通 (Web)"/>
    <w:basedOn w:val="784"/>
    <w:uiPriority w:val="99"/>
    <w:qFormat/>
    <w:pPr>
      <w:jc w:val="left"/>
      <w:spacing w:before="100" w:beforeAutospacing="1" w:after="100" w:afterAutospacing="1"/>
      <w:widowControl/>
    </w:pPr>
    <w:rPr>
      <w:rFonts w:ascii="宋体" w:hAnsi="宋体"/>
      <w:sz w:val="24"/>
      <w:szCs w:val="24"/>
    </w:rPr>
  </w:style>
  <w:style w:type="paragraph" w:styleId="1029" w:customStyle="1">
    <w:name w:val="标题3"/>
    <w:basedOn w:val="784"/>
    <w:next w:val="784"/>
    <w:uiPriority w:val="99"/>
    <w:qFormat/>
    <w:pPr>
      <w:ind w:firstLine="624"/>
      <w:spacing w:line="590" w:lineRule="atLeast"/>
    </w:pPr>
    <w:rPr>
      <w:rFonts w:ascii="方正黑体_GBK" w:eastAsia="方正黑体_GBK"/>
      <w:sz w:val="32"/>
      <w:szCs w:val="32"/>
    </w:rPr>
  </w:style>
  <w:style w:type="paragraph" w:styleId="1030" w:customStyle="1">
    <w:name w:val="标题1"/>
    <w:basedOn w:val="784"/>
    <w:next w:val="784"/>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1"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32" w:customStyle="1">
    <w:name w:val="4"/>
    <w:basedOn w:val="784"/>
    <w:next w:val="835"/>
    <w:uiPriority w:val="99"/>
    <w:qFormat/>
    <w:pPr>
      <w:ind w:firstLine="420"/>
      <w:spacing w:line="360" w:lineRule="auto"/>
    </w:pPr>
    <w:rPr>
      <w:color w:val="ff0000"/>
      <w:sz w:val="24"/>
      <w:szCs w:val="24"/>
    </w:rPr>
  </w:style>
  <w:style w:type="paragraph" w:styleId="1033" w:customStyle="1">
    <w:name w:val="样式1"/>
    <w:basedOn w:val="784"/>
    <w:uiPriority w:val="99"/>
    <w:qFormat/>
    <w:pPr>
      <w:ind w:left="709" w:hanging="709"/>
      <w:tabs>
        <w:tab w:val="left" w:pos="709" w:leader="none"/>
      </w:tabs>
    </w:pPr>
    <w:rPr>
      <w:rFonts w:ascii="宋体" w:hAnsi="宋体"/>
    </w:rPr>
  </w:style>
  <w:style w:type="paragraph" w:styleId="1034" w:customStyle="1">
    <w:name w:val="普通正文"/>
    <w:basedOn w:val="784"/>
    <w:uiPriority w:val="99"/>
    <w:qFormat/>
    <w:pPr>
      <w:ind w:firstLine="480"/>
      <w:jc w:val="left"/>
      <w:spacing w:before="120" w:after="120" w:line="360" w:lineRule="auto"/>
    </w:pPr>
    <w:rPr>
      <w:rFonts w:ascii="Arial" w:hAnsi="Arial"/>
      <w:sz w:val="24"/>
      <w:szCs w:val="24"/>
    </w:rPr>
  </w:style>
  <w:style w:type="paragraph" w:styleId="1035" w:customStyle="1">
    <w:name w:val="Body Text(ch)"/>
    <w:basedOn w:val="784"/>
    <w:next w:val="814"/>
    <w:uiPriority w:val="99"/>
    <w:qFormat/>
    <w:pPr>
      <w:spacing w:after="120"/>
    </w:pPr>
    <w:rPr>
      <w:rFonts w:ascii="宋体" w:hAnsi="Arial"/>
      <w:bCs/>
      <w:iCs/>
      <w:szCs w:val="24"/>
    </w:rPr>
  </w:style>
  <w:style w:type="paragraph" w:styleId="1036" w:customStyle="1">
    <w:name w:val="图标"/>
    <w:basedOn w:val="784"/>
    <w:next w:val="784"/>
    <w:uiPriority w:val="99"/>
    <w:qFormat/>
    <w:pPr>
      <w:ind w:left="840" w:hanging="420"/>
      <w:jc w:val="center"/>
      <w:spacing w:before="120" w:after="120" w:line="320" w:lineRule="atLeast"/>
      <w:tabs>
        <w:tab w:val="left" w:pos="567" w:leader="none"/>
        <w:tab w:val="left" w:pos="840" w:leader="none"/>
      </w:tabs>
    </w:pPr>
    <w:rPr>
      <w:rFonts w:eastAsia="仿宋"/>
      <w:sz w:val="24"/>
      <w:szCs w:val="20"/>
    </w:rPr>
  </w:style>
  <w:style w:type="paragraph" w:styleId="1037" w:customStyle="1">
    <w:name w:val="xl25"/>
    <w:basedOn w:val="784"/>
    <w:uiPriority w:val="99"/>
    <w:qFormat/>
    <w:pPr>
      <w:jc w:val="center"/>
      <w:spacing w:before="100" w:beforeAutospacing="1" w:after="100" w:afterAutospacing="1"/>
      <w:widowControl/>
    </w:pPr>
    <w:rPr>
      <w:rFonts w:ascii="宋体" w:hAnsi="宋体" w:eastAsia="宋体" w:cs="宋体"/>
      <w:sz w:val="24"/>
      <w:szCs w:val="24"/>
    </w:rPr>
  </w:style>
  <w:style w:type="paragraph" w:styleId="1038" w:customStyle="1">
    <w:name w:val="font5"/>
    <w:basedOn w:val="784"/>
    <w:uiPriority w:val="99"/>
    <w:qFormat/>
    <w:pPr>
      <w:jc w:val="left"/>
      <w:spacing w:before="100" w:beforeAutospacing="1" w:after="100" w:afterAutospacing="1"/>
      <w:widowControl/>
    </w:pPr>
    <w:rPr>
      <w:rFonts w:ascii="宋体" w:hAnsi="宋体"/>
      <w:sz w:val="28"/>
      <w:szCs w:val="28"/>
    </w:rPr>
  </w:style>
  <w:style w:type="paragraph" w:styleId="1039" w:customStyle="1">
    <w:name w:val="font6"/>
    <w:basedOn w:val="784"/>
    <w:uiPriority w:val="99"/>
    <w:qFormat/>
    <w:pPr>
      <w:jc w:val="left"/>
      <w:spacing w:before="100" w:beforeAutospacing="1" w:after="100" w:afterAutospacing="1"/>
      <w:widowControl/>
    </w:pPr>
    <w:rPr>
      <w:rFonts w:ascii="宋体" w:hAnsi="宋体"/>
      <w:sz w:val="28"/>
      <w:szCs w:val="28"/>
      <w:u w:val="single"/>
    </w:rPr>
  </w:style>
  <w:style w:type="paragraph" w:styleId="1040" w:customStyle="1">
    <w:name w:val="font7"/>
    <w:basedOn w:val="784"/>
    <w:uiPriority w:val="99"/>
    <w:qFormat/>
    <w:pPr>
      <w:jc w:val="left"/>
      <w:spacing w:before="100" w:beforeAutospacing="1" w:after="100" w:afterAutospacing="1"/>
      <w:widowControl/>
    </w:pPr>
    <w:rPr>
      <w:rFonts w:ascii="宋体" w:hAnsi="宋体"/>
      <w:sz w:val="18"/>
      <w:szCs w:val="18"/>
    </w:rPr>
  </w:style>
  <w:style w:type="paragraph" w:styleId="1041" w:customStyle="1">
    <w:name w:val="xl24"/>
    <w:basedOn w:val="78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2" w:customStyle="1">
    <w:name w:val="xl26"/>
    <w:basedOn w:val="78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43" w:customStyle="1">
    <w:name w:val="xl27"/>
    <w:basedOn w:val="78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4" w:customStyle="1">
    <w:name w:val="xl28"/>
    <w:basedOn w:val="78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5" w:customStyle="1">
    <w:name w:val="xl29"/>
    <w:basedOn w:val="784"/>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6" w:customStyle="1">
    <w:name w:val="xl30"/>
    <w:basedOn w:val="784"/>
    <w:uiPriority w:val="99"/>
    <w:qFormat/>
    <w:pPr>
      <w:jc w:val="center"/>
      <w:spacing w:before="100" w:beforeAutospacing="1" w:after="100" w:afterAutospacing="1"/>
      <w:widowControl/>
    </w:pPr>
    <w:rPr>
      <w:rFonts w:ascii="宋体" w:hAnsi="宋体"/>
      <w:b/>
      <w:bCs/>
      <w:sz w:val="36"/>
      <w:szCs w:val="36"/>
    </w:rPr>
  </w:style>
  <w:style w:type="paragraph" w:styleId="1047" w:customStyle="1">
    <w:name w:val="Char"/>
    <w:basedOn w:val="811"/>
    <w:uiPriority w:val="0"/>
    <w:qFormat/>
    <w:rPr>
      <w:rFonts w:ascii="Tahoma" w:hAnsi="Tahoma"/>
      <w:sz w:val="24"/>
      <w:szCs w:val="24"/>
    </w:rPr>
  </w:style>
  <w:style w:type="character" w:styleId="1048" w:customStyle="1">
    <w:name w:val="批注文字 字符"/>
    <w:basedOn w:val="794"/>
    <w:link w:val="812"/>
    <w:uiPriority w:val="99"/>
    <w:semiHidden/>
    <w:qFormat/>
    <w:rPr>
      <w:rFonts w:ascii="Times New Roman" w:hAnsi="Times New Roman" w:eastAsia="宋体" w:cs="Times New Roman"/>
      <w:sz w:val="21"/>
      <w:szCs w:val="21"/>
    </w:rPr>
  </w:style>
  <w:style w:type="character" w:styleId="1049" w:customStyle="1">
    <w:name w:val="批注主题 字符"/>
    <w:basedOn w:val="1048"/>
    <w:link w:val="843"/>
    <w:uiPriority w:val="99"/>
    <w:semiHidden/>
    <w:qFormat/>
    <w:rPr>
      <w:rFonts w:ascii="Times New Roman" w:hAnsi="Times New Roman" w:eastAsia="宋体" w:cs="Times New Roman"/>
      <w:b/>
      <w:bCs/>
      <w:sz w:val="21"/>
      <w:szCs w:val="21"/>
    </w:rPr>
  </w:style>
  <w:style w:type="character" w:styleId="1050" w:customStyle="1">
    <w:name w:val="批注框文本 字符"/>
    <w:basedOn w:val="794"/>
    <w:link w:val="825"/>
    <w:uiPriority w:val="99"/>
    <w:semiHidden/>
    <w:qFormat/>
    <w:rPr>
      <w:rFonts w:ascii="Times New Roman" w:hAnsi="Times New Roman" w:eastAsia="宋体" w:cs="Times New Roman"/>
      <w:sz w:val="18"/>
      <w:szCs w:val="18"/>
    </w:rPr>
  </w:style>
  <w:style w:type="paragraph" w:styleId="1051" w:customStyle="1">
    <w:name w:val="table_1stline"/>
    <w:basedOn w:val="784"/>
    <w:uiPriority w:val="99"/>
    <w:qFormat/>
    <w:pPr>
      <w:jc w:val="left"/>
      <w:spacing w:before="120"/>
      <w:widowControl/>
    </w:pPr>
    <w:rPr>
      <w:bCs/>
      <w:sz w:val="20"/>
      <w:szCs w:val="20"/>
      <w:lang w:val="de-DE" w:eastAsia="de-DE"/>
    </w:rPr>
  </w:style>
  <w:style w:type="paragraph" w:styleId="1052" w:customStyle="1">
    <w:name w:val="table_lines"/>
    <w:basedOn w:val="784"/>
    <w:uiPriority w:val="99"/>
    <w:qFormat/>
    <w:pPr>
      <w:jc w:val="left"/>
      <w:widowControl/>
    </w:pPr>
    <w:rPr>
      <w:sz w:val="20"/>
      <w:szCs w:val="20"/>
      <w:lang w:val="de-DE" w:eastAsia="de-DE"/>
    </w:rPr>
  </w:style>
  <w:style w:type="character" w:styleId="1053" w:customStyle="1">
    <w:name w:val="font5 Char"/>
    <w:uiPriority w:val="99"/>
    <w:qFormat/>
    <w:rPr>
      <w:rFonts w:ascii="宋体" w:hAnsi="宋体" w:eastAsia="宋体"/>
      <w:sz w:val="28"/>
      <w:lang w:val="en-US" w:eastAsia="zh-CN"/>
    </w:rPr>
  </w:style>
  <w:style w:type="paragraph" w:styleId="1054" w:customStyle="1">
    <w:name w:val="Char Char Char Char"/>
    <w:basedOn w:val="811"/>
    <w:uiPriority w:val="99"/>
    <w:qFormat/>
    <w:pPr>
      <w:spacing w:line="360" w:lineRule="auto"/>
    </w:pPr>
    <w:rPr>
      <w:rFonts w:ascii="Tahoma" w:hAnsi="Tahoma"/>
      <w:sz w:val="24"/>
      <w:szCs w:val="24"/>
    </w:rPr>
  </w:style>
  <w:style w:type="paragraph" w:styleId="1055" w:customStyle="1">
    <w:name w:val="Char Char Char Char Char Char Char Char"/>
    <w:basedOn w:val="784"/>
    <w:uiPriority w:val="99"/>
    <w:qFormat/>
    <w:pPr>
      <w:jc w:val="left"/>
      <w:spacing w:after="160" w:line="240" w:lineRule="exact"/>
      <w:widowControl/>
    </w:pPr>
    <w:rPr>
      <w:rFonts w:ascii="Verdana" w:hAnsi="Verdana"/>
      <w:sz w:val="20"/>
      <w:szCs w:val="20"/>
      <w:lang w:eastAsia="en-US"/>
    </w:rPr>
  </w:style>
  <w:style w:type="paragraph" w:styleId="1056" w:customStyle="1">
    <w:name w:val="列出段落1"/>
    <w:basedOn w:val="784"/>
    <w:uiPriority w:val="99"/>
    <w:qFormat/>
    <w:pPr>
      <w:contextualSpacing/>
      <w:ind w:left="720"/>
      <w:jc w:val="left"/>
      <w:widowControl/>
    </w:pPr>
    <w:rPr>
      <w:rFonts w:ascii="Calibri" w:hAnsi="Calibri"/>
      <w:sz w:val="24"/>
      <w:szCs w:val="24"/>
      <w:lang w:eastAsia="en-US"/>
    </w:rPr>
  </w:style>
  <w:style w:type="paragraph" w:styleId="1057" w:customStyle="1">
    <w:name w:val="Char Char Char Char Char Char Char Char Char Char"/>
    <w:basedOn w:val="784"/>
    <w:uiPriority w:val="99"/>
    <w:qFormat/>
    <w:pPr>
      <w:spacing w:line="360" w:lineRule="auto"/>
    </w:pPr>
    <w:rPr>
      <w:sz w:val="24"/>
      <w:szCs w:val="20"/>
    </w:rPr>
  </w:style>
  <w:style w:type="character" w:styleId="1058" w:customStyle="1">
    <w:name w:val="列出段落 Char"/>
    <w:link w:val="1059"/>
    <w:uiPriority w:val="99"/>
    <w:qFormat/>
    <w:rPr>
      <w:rFonts w:ascii="Calibri" w:hAnsi="Calibri"/>
      <w:sz w:val="24"/>
      <w:lang w:eastAsia="en-US"/>
    </w:rPr>
  </w:style>
  <w:style w:type="paragraph" w:styleId="1059" w:customStyle="1">
    <w:name w:val="列出段落11"/>
    <w:basedOn w:val="784"/>
    <w:link w:val="1058"/>
    <w:uiPriority w:val="99"/>
    <w:qFormat/>
    <w:pPr>
      <w:contextualSpacing/>
      <w:ind w:left="720"/>
      <w:jc w:val="left"/>
      <w:widowControl/>
    </w:pPr>
    <w:rPr>
      <w:rFonts w:ascii="Calibri" w:hAnsi="Calibri"/>
      <w:sz w:val="24"/>
      <w:szCs w:val="20"/>
      <w:lang w:eastAsia="en-US"/>
    </w:rPr>
  </w:style>
  <w:style w:type="character" w:styleId="1060" w:customStyle="1">
    <w:name w:val="二级目录 Char"/>
    <w:link w:val="1061"/>
    <w:uiPriority w:val="99"/>
    <w:qFormat/>
    <w:rPr>
      <w:b/>
      <w:sz w:val="30"/>
      <w:szCs w:val="28"/>
      <w:lang w:val="en-US" w:eastAsia="zh-CN" w:bidi="ar-SA"/>
    </w:rPr>
  </w:style>
  <w:style w:type="paragraph" w:styleId="1061" w:customStyle="1">
    <w:name w:val="二级目录"/>
    <w:next w:val="784"/>
    <w:link w:val="1060"/>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62" w:customStyle="1">
    <w:name w:val="news12241"/>
    <w:basedOn w:val="794"/>
    <w:uiPriority w:val="0"/>
    <w:qFormat/>
    <w:rPr>
      <w:color w:val="000000"/>
      <w:sz w:val="18"/>
      <w:szCs w:val="18"/>
      <w:u w:val="none"/>
    </w:rPr>
  </w:style>
  <w:style w:type="character" w:styleId="1063" w:customStyle="1">
    <w:name w:val="apple-converted-space"/>
    <w:basedOn w:val="794"/>
    <w:uiPriority w:val="0"/>
    <w:qFormat/>
  </w:style>
  <w:style w:type="character" w:styleId="1064" w:customStyle="1">
    <w:name w:val="HTML 预设格式 字符"/>
    <w:basedOn w:val="794"/>
    <w:link w:val="840"/>
    <w:uiPriority w:val="0"/>
    <w:qFormat/>
    <w:rPr>
      <w:rFonts w:ascii="Arial" w:hAnsi="Arial" w:cs="Arial"/>
      <w:sz w:val="24"/>
      <w:szCs w:val="24"/>
    </w:rPr>
  </w:style>
  <w:style w:type="paragraph" w:styleId="1065">
    <w:name w:val="List Paragraph"/>
    <w:basedOn w:val="784"/>
    <w:uiPriority w:val="99"/>
    <w:unhideWhenUsed/>
    <w:qFormat/>
    <w:pPr>
      <w:ind w:firstLine="420"/>
    </w:pPr>
  </w:style>
  <w:style w:type="character" w:styleId="1066" w:customStyle="1">
    <w:name w:val="NormalCharacter"/>
    <w:uiPriority w:val="99"/>
    <w:qFormat/>
    <w:rPr>
      <w:rFonts w:ascii="Times New Roman" w:hAnsi="Times New Roman" w:eastAsia="宋体" w:cs="Times New Roman"/>
      <w:sz w:val="21"/>
      <w:szCs w:val="21"/>
      <w:lang w:val="en-US" w:eastAsia="zh-CN" w:bidi="ar-SA"/>
    </w:rPr>
  </w:style>
  <w:style w:type="paragraph" w:styleId="1067"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8"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9"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070"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1" w:customStyle="1">
    <w:name w:val="Normal_12_0"/>
    <w:uiPriority w:val="0"/>
    <w:qFormat/>
    <w:rPr>
      <w:rFonts w:hint="default" w:ascii="黑体" w:hAnsi="黑体" w:eastAsia="黑体" w:cs="Times New Roman"/>
      <w:b/>
      <w:sz w:val="32"/>
      <w:szCs w:val="24"/>
      <w:lang w:val="en-US" w:eastAsia="zh-CN" w:bidi="ar-SA"/>
    </w:rPr>
  </w:style>
  <w:style w:type="paragraph" w:styleId="1072" w:customStyle="1">
    <w:name w:val="WPSOffice手动目录 1"/>
    <w:uiPriority w:val="0"/>
    <w:qFormat/>
    <w:rPr>
      <w:rFonts w:hint="default" w:ascii="Times New Roman" w:hAnsi="Times New Roman" w:eastAsia="宋体" w:cs="Times New Roman"/>
      <w:lang w:val="en-US" w:eastAsia="zh-CN" w:bidi="ar-SA"/>
    </w:rPr>
  </w:style>
  <w:style w:type="character" w:styleId="1073" w:customStyle="1">
    <w:name w:val="font31"/>
    <w:basedOn w:val="794"/>
    <w:uiPriority w:val="0"/>
    <w:qFormat/>
    <w:rPr>
      <w:rFonts w:hint="eastAsia" w:ascii="宋体" w:hAnsi="宋体" w:eastAsia="宋体" w:cs="宋体"/>
      <w:color w:val="000000"/>
      <w:sz w:val="24"/>
      <w:szCs w:val="24"/>
      <w:u w:val="none"/>
    </w:rPr>
  </w:style>
  <w:style w:type="character" w:styleId="1074" w:customStyle="1">
    <w:name w:val="font41"/>
    <w:basedOn w:val="794"/>
    <w:uiPriority w:val="0"/>
    <w:qFormat/>
    <w:rPr>
      <w:rFonts w:ascii="Calibri" w:hAnsi="Calibri" w:cs="Calibri"/>
      <w:color w:val="000000"/>
      <w:sz w:val="24"/>
      <w:szCs w:val="24"/>
      <w:u w:val="none"/>
    </w:rPr>
  </w:style>
  <w:style w:type="paragraph" w:styleId="1075" w:customStyle="1">
    <w:name w:val="普通(网站)1"/>
    <w:basedOn w:val="784"/>
    <w:uiPriority w:val="99"/>
    <w:qFormat/>
    <w:pPr>
      <w:jc w:val="left"/>
      <w:spacing w:before="100" w:beforeAutospacing="1" w:after="100" w:afterAutospacing="1"/>
      <w:widowControl/>
    </w:pPr>
    <w:rPr>
      <w:rFonts w:ascii="宋体" w:hAnsi="宋体" w:cs="宋体"/>
      <w:sz w:val="24"/>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dcfcb2ad-0cb3-4b70-8d71-4111b41a4fa8</errorID>
      <errorWord xmlns="http://schemas.wps.cn/vas-ai-hub/contract-review">JSZC-320900-RHHH-G2026-0030</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（JSZC-320900-RHHH-G2026-0030）</item>
      </candidateList>
      <explain xmlns="http://schemas.wps.cn/vas-ai-hub/contract-review"/>
      <paraID xmlns="http://schemas.wps.cn/vas-ai-hub/contract-review">4D58A3A5</paraID>
      <start xmlns="http://schemas.wps.cn/vas-ai-hub/contract-review">22</start>
      <end xmlns="http://schemas.wps.cn/vas-ai-hub/contract-review">49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a9df7afd-0d6f-4598-bc44-9a37d69341ec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47278FBE</paraID>
      <start xmlns="http://schemas.wps.cn/vas-ai-hub/contract-review">64</start>
      <end xmlns="http://schemas.wps.cn/vas-ai-hub/contract-review">65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36c275c0-e2fe-45ad-bc04-e3275fc0231d</errorID>
      <errorWord xmlns="http://schemas.wps.cn/vas-ai-hub/contract-review">提供</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，提供</item>
      </candidateList>
      <explain xmlns="http://schemas.wps.cn/vas-ai-hub/contract-review"/>
      <paraID xmlns="http://schemas.wps.cn/vas-ai-hub/contract-review">47278FBE</paraID>
      <start xmlns="http://schemas.wps.cn/vas-ai-hub/contract-review">87</start>
      <end xmlns="http://schemas.wps.cn/vas-ai-hub/contract-review">89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10376169-5793-41e6-b707-e0acf3a16d4a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
      <paraID xmlns="http://schemas.wps.cn/vas-ai-hub/contract-review">47278FBE</paraID>
      <start xmlns="http://schemas.wps.cn/vas-ai-hub/contract-review">93</start>
      <end xmlns="http://schemas.wps.cn/vas-ai-hub/contract-review">94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08abbfb3-eac7-42d6-95e1-462fb18c4220</errorID>
      <errorWord xmlns="http://schemas.wps.cn/vas-ai-hub/contract-review">其它未</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其他未</item>
      </candidateList>
      <explain xmlns="http://schemas.wps.cn/vas-ai-hub/contract-review">词汇[其它未]为不规范表述或旧称，其规范书面表述为[其他未]。</explain>
      <paraID xmlns="http://schemas.wps.cn/vas-ai-hub/contract-review">6FE3882C</paraID>
      <start xmlns="http://schemas.wps.cn/vas-ai-hub/contract-review">26</start>
      <end xmlns="http://schemas.wps.cn/vas-ai-hub/contract-review">29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c1b850ca-f4b6-43ac-ab1e-8ec228719259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4C2B96B8</paraID>
      <start xmlns="http://schemas.wps.cn/vas-ai-hub/contract-review">117</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87e91a07-7186-4247-94bd-decf156c5c95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4C2B96B8</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28dcce24-2029-403a-b3b1-cf6723dba74e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4C2B96B8</paraID>
      <start xmlns="http://schemas.wps.cn/vas-ai-hub/contract-review">156</start>
      <end xmlns="http://schemas.wps.cn/vas-ai-hub/contract-review">157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9ec1ba5f-dfdd-4775-b4ff-25c9254f42b3</errorID>
      <errorWord xmlns="http://schemas.wps.cn/vas-ai-hub/contract-review">》，手册</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4C2B96B8</paraID>
      <start xmlns="http://schemas.wps.cn/vas-ai-hub/contract-review">170</start>
      <end xmlns="http://schemas.wps.cn/vas-ai-hub/contract-review">174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de3565cb-4578-49e8-b68a-1149eb2421fc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4C2B96B8</paraID>
      <start xmlns="http://schemas.wps.cn/vas-ai-hub/contract-review">184</start>
      <end xmlns="http://schemas.wps.cn/vas-ai-hub/contract-review">185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ab3ced93-9b36-47dc-aeb3-d3ff7600e8eb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03f92da6-3d93-451f-b52a-80748e3220b6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4d4abd50-acc4-4080-88d8-13e73e2a4b79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5AA6C0E9</paraID>
      <start xmlns="http://schemas.wps.cn/vas-ai-hub/contract-review">57</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a0d73b14-97a2-4c1e-b4fd-f0ef4a930ec7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5AA6C0E9</paraID>
      <start xmlns="http://schemas.wps.cn/vas-ai-hub/contract-review">72</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5809d23a-68cd-4ad2-b849-12e58b9e9917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a2df973c-a78a-4fe2-bb7b-286f539db3e8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96</start>
      <end xmlns="http://schemas.wps.cn/vas-ai-hub/contract-review">97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77329445-6ce6-40ba-81a0-0e56ce2daaeb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c414f7e7-1e15-4f04-8a20-85ab46025fab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104</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a7018e86-d720-4a81-a59b-77d5f77f90af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175</start>
      <end xmlns="http://schemas.wps.cn/vas-ai-hub/contract-review">176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5c93c456-3a56-437a-ad2b-ce62758642c6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3D59293C</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99737b4f-fbac-4747-8a36-fe52804c4fae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39E93DBD</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6891bb1a-53d0-47c4-8ae2-6f5b56280e9f</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39E93DBD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b749acb1-2e16-4137-9e65-09b5a82de970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5263A27D</paraID>
      <start xmlns="http://schemas.wps.cn/vas-ai-hub/contract-review">41</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bd927a8e-711c-4a4a-8f27-ca3e6533b8c8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5263A27D</paraID>
      <start xmlns="http://schemas.wps.cn/vas-ai-hub/contract-review">51</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dd973b1e-314d-4f2a-b971-1ee7bead49ea</errorID>
      <errorWord xmlns="http://schemas.wps.cn/vas-ai-hub/contract-review">供应商的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供应商</item>
      </candidateList>
      <explain xmlns="http://schemas.wps.cn/vas-ai-hub/contract-review"/>
      <paraID xmlns="http://schemas.wps.cn/vas-ai-hub/contract-review">3515E401</paraID>
      <start xmlns="http://schemas.wps.cn/vas-ai-hub/contract-review">10</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35628eb7-2c57-4291-a57c-ccedefc30eff</errorID>
      <errorWord xmlns="http://schemas.wps.cn/vas-ai-hub/contract-review">有关的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有关</item>
      </candidateList>
      <explain xmlns="http://schemas.wps.cn/vas-ai-hub/contract-review"/>
      <paraID xmlns="http://schemas.wps.cn/vas-ai-hub/contract-review">505552B5</paraID>
      <start xmlns="http://schemas.wps.cn/vas-ai-hub/contract-review">23</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9f72be9a-b17b-45ca-b2b8-0b4869741347</errorID>
      <errorWord xmlns="http://schemas.wps.cn/vas-ai-hub/contract-review">招标招标代理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招标代理</item>
      </candidateList>
      <explain xmlns="http://schemas.wps.cn/vas-ai-hub/contract-review"/>
      <paraID xmlns="http://schemas.wps.cn/vas-ai-hub/contract-review">6DC26D2C</paraID>
      <start xmlns="http://schemas.wps.cn/vas-ai-hub/contract-review">5</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cdc696e4-de12-4a63-9c38-da1ffb2afa5f</errorID>
      <errorWord xmlns="http://schemas.wps.cn/vas-ai-hub/contract-review">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人在</item>
      </candidateList>
      <explain xmlns="http://schemas.wps.cn/vas-ai-hub/contract-review"/>
      <paraID xmlns="http://schemas.wps.cn/vas-ai-hub/contract-review"> 9B46E16</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e6a493ee-a459-4fbc-af37-58a6b429d89d</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66BA21B4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6049de0c-9400-479c-aa7f-3db4e33b57bb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61B9428F</paraID>
      <start xmlns="http://schemas.wps.cn/vas-ai-hub/contract-review">26</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7c489519-b1b5-474b-8a02-d77de12f18b0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61B9428F</paraID>
      <start xmlns="http://schemas.wps.cn/vas-ai-hub/contract-review">36</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a56298b4-66c5-414c-a24e-879bf694db75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61B9428F</paraID>
      <start xmlns="http://schemas.wps.cn/vas-ai-hub/contract-review">69</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36690580-e18d-4413-a14d-786beb7a0e9d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61B9428F</paraID>
      <start xmlns="http://schemas.wps.cn/vas-ai-hub/contract-review">79</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04149561-7b25-4371-8eb8-23a678ddb0a2</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5DFCFF2C</paraID>
      <start xmlns="http://schemas.wps.cn/vas-ai-hub/contract-review">10</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25d1f854-c4a3-453e-b6a7-4410c61200d9</errorID>
      <errorWord xmlns="http://schemas.wps.cn/vas-ai-hub/contract-review">充分考虑到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充分考虑</item>
      </candidateList>
      <explain xmlns="http://schemas.wps.cn/vas-ai-hub/contract-review"/>
      <paraID xmlns="http://schemas.wps.cn/vas-ai-hub/contract-review">27BB6E5E</paraID>
      <start xmlns="http://schemas.wps.cn/vas-ai-hub/contract-review">4</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8c41ed49-8af4-4106-a862-e1393b6fc016</errorID>
      <errorWord xmlns="http://schemas.wps.cn/vas-ai-hub/contract-review">造成的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导致</item>
      </candidateList>
      <explain xmlns="http://schemas.wps.cn/vas-ai-hub/contract-review"/>
      <paraID xmlns="http://schemas.wps.cn/vas-ai-hub/contract-review">27BB6E5E</paraID>
      <start xmlns="http://schemas.wps.cn/vas-ai-hub/contract-review">33</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1d82114c-5e9c-4025-a2f4-10d43b779def</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27BB6E5E</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22744c63-6d87-40a8-8ede-af6eb71dc0b4</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27BB6E5E</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50343c5a-1664-49b6-a30d-9db83bfb09bd</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item>
      </candidateList>
      <explain xmlns="http://schemas.wps.cn/vas-ai-hub/contract-review"/>
      <paraID xmlns="http://schemas.wps.cn/vas-ai-hub/contract-review">27BB6E5E</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f9f29407-f0a5-4d50-aad3-870295729e6d</errorID>
      <errorWord xmlns="http://schemas.wps.cn/vas-ai-hub/contract-review">过程中涉及到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过程中涉及</item>
      </candidateList>
      <explain xmlns="http://schemas.wps.cn/vas-ai-hub/contract-review"/>
      <paraID xmlns="http://schemas.wps.cn/vas-ai-hub/contract-review">109011ED</paraID>
      <start xmlns="http://schemas.wps.cn/vas-ai-hub/contract-review">10</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08371003-853b-4388-bbe5-a3214a278c79</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592FEEB9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9f3c4abc-91b7-4bf3-8e45-ce644d9c933e</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25823DF9</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7b381853-eabd-46cf-8681-8e779341dd9c</errorID>
      <errorWord xmlns="http://schemas.wps.cn/vas-ai-hub/contract-review">应用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信用</item>
      </candidateList>
      <explain xmlns="http://schemas.wps.cn/vas-ai-hub/contract-review"/>
      <paraID xmlns="http://schemas.wps.cn/vas-ai-hub/contract-review">1A88D812</paraID>
      <start xmlns="http://schemas.wps.cn/vas-ai-hub/contract-review">79</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d23f6486-230b-42d5-a48f-4bd9b09e4f09</errorID>
      <errorWord xmlns="http://schemas.wps.cn/vas-ai-hub/contract-review">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不符</item>
      </candidateList>
      <explain xmlns="http://schemas.wps.cn/vas-ai-hub/contract-review"/>
      <paraID xmlns="http://schemas.wps.cn/vas-ai-hub/contract-review">2096E050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33480f22-4804-4b95-980a-5848b72b57f5</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5B1DF9F6</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1426debc-c631-4c5a-8db2-6a4002130a74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7B2A72FE</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b171d163-b12e-4ce7-8e50-37c11634cef2</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721A01D0</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bc1ed3da-56ce-477b-8f2d-4e9d2882c491</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77F18293</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ffb5c3ef-fba1-46c0-8f4a-e5d6a2f4e9f5</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757E7D10</paraID>
      <start xmlns="http://schemas.wps.cn/vas-ai-hub/contract-review">34</start>
      <end xmlns="http://schemas.wps.cn/vas-ai-hub/contract-review">35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662773fa-fb7b-4b04-9edf-9826734d7d49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484F4585</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4336e64e-7d44-4eb2-a346-b302eed75d25</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484F4585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bcdaa6e1-e1fe-48e3-a595-3f5fdcd29c0d</errorID>
      <errorWord xmlns="http://schemas.wps.cn/vas-ai-hub/contract-review">云系统系统故障原因</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云系统故障</item>
      </candidateList>
      <explain xmlns="http://schemas.wps.cn/vas-ai-hub/contract-review"/>
      <paraID xmlns="http://schemas.wps.cn/vas-ai-hub/contract-review">2ACCE6A8</paraID>
      <start xmlns="http://schemas.wps.cn/vas-ai-hub/contract-review">9</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ae6a4994-9cfc-4484-98a2-fde7936dc373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2B416337</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37f3b314-e207-4f7d-8d67-a49b9efc8d7b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2B416337</paraID>
      <start xmlns="http://schemas.wps.cn/vas-ai-hub/contract-review">27</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98de8ac9-23ba-43ab-8571-2f2f0593fa73</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33F937FE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813720e7-ef5f-42ac-b5fd-2516051ef9a1</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2EA61757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99e64ec0-a740-4cc4-bb39-c272dabe7610</errorID>
      <errorWord xmlns="http://schemas.wps.cn/vas-ai-hub/contract-review">系统中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item>
      </candidateList>
      <explain xmlns="http://schemas.wps.cn/vas-ai-hub/contract-review">❶〈名〉同类事物按一定的关系组成的整体：～化｜组织～｜灌溉～。❷〈形〉有条理的；有系统的：～学习｜～研究｜资料不够。</explain>
      <paraID xmlns="http://schemas.wps.cn/vas-ai-hub/contract-review">700B90C1</paraID>
      <start xmlns="http://schemas.wps.cn/vas-ai-hub/contract-review">164</start>
      <end xmlns="http://schemas.wps.cn/vas-ai-hub/contract-review">167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5c215c70-c2b9-4bfb-9b89-73fd9bc726de</errorID>
      <errorWord xmlns="http://schemas.wps.cn/vas-ai-hub/contract-review">包括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不包括</item>
      </candidateList>
      <explain xmlns="http://schemas.wps.cn/vas-ai-hub/contract-review"/>
      <paraID xmlns="http://schemas.wps.cn/vas-ai-hub/contract-review">2784B142</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2831fb50-8b21-4124-ab59-b4900cb22332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5A61E60</paraID>
      <start xmlns="http://schemas.wps.cn/vas-ai-hub/contract-review">150</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3170fc05-80c1-4827-ab1a-82b142437897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722C01FD</paraID>
      <start xmlns="http://schemas.wps.cn/vas-ai-hub/contract-review">124</start>
      <end xmlns="http://schemas.wps.cn/vas-ai-hub/contract-review">125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9cc0df00-46a4-4363-862f-2699ddcca25b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722C01FD</paraID>
      <start xmlns="http://schemas.wps.cn/vas-ai-hub/contract-review">162</start>
      <end xmlns="http://schemas.wps.cn/vas-ai-hub/contract-review">163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a418ca9e-5c5f-4a1c-ac81-4c396af21b94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
      <paraID xmlns="http://schemas.wps.cn/vas-ai-hub/contract-review">  C139B2</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cd229462-3c87-4374-b902-01c56c1c4ea1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C139B2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0d2b06f7-b639-402e-9c2d-3ada8f7fda3e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C139B2</paraID>
      <start xmlns="http://schemas.wps.cn/vas-ai-hub/contract-review">50</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b6bf5353-620d-4c65-bddf-10dcb57a10ea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C139B2</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a4a4cfd3-b416-4439-8156-9aab16dfb038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
      <paraID xmlns="http://schemas.wps.cn/vas-ai-hub/contract-review">  C139B2</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105fd052-ab56-4822-88d2-c2ba4eed7636</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中的</item>
      </candidateList>
      <explain xmlns="http://schemas.wps.cn/vas-ai-hub/contract-review"/>
      <paraID xmlns="http://schemas.wps.cn/vas-ai-hub/contract-review">1A8F94D0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f4f289b2-925e-4995-bed6-a8ad52583946</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5CA751FC</paraID>
      <start xmlns="http://schemas.wps.cn/vas-ai-hub/contract-review">5</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a66c0c32-9388-4d30-b230-e505740d44fd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item>
      </candidateList>
      <explain xmlns="http://schemas.wps.cn/vas-ai-hub/contract-review"/>
      <paraID xmlns="http://schemas.wps.cn/vas-ai-hub/contract-review">5CA751FC</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3dd682b2-fc73-41f9-8367-1bbc1112159a</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 56A4D18</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21f6dc6a-80ca-468e-928d-e19bf3a5510b</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 56A4D18</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0cc5bf04-6e45-418a-9a22-a3fd9ff89814</errorID>
      <errorWord xmlns="http://schemas.wps.cn/vas-ai-hub/contract-review">以上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不含</item>
      </candidateList>
      <explain xmlns="http://schemas.wps.cn/vas-ai-hub/contract-review"/>
      <paraID xmlns="http://schemas.wps.cn/vas-ai-hub/contract-review"> 56A4D18</paraID>
      <start xmlns="http://schemas.wps.cn/vas-ai-hub/contract-review">82</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7ae23e82-c07c-428f-af22-a4ccc9304805</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 56A4D18</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668174f7-51b2-407e-87ee-04a0c95cebc2</errorID>
      <errorWord xmlns="http://schemas.wps.cn/vas-ai-hub/contract-review">含500万</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含</item>
      </candidateList>
      <explain xmlns="http://schemas.wps.cn/vas-ai-hub/contract-review"/>
      <paraID xmlns="http://schemas.wps.cn/vas-ai-hub/contract-review"> 56A4D18</paraID>
      <start xmlns="http://schemas.wps.cn/vas-ai-hub/contract-review">91</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68c200df-3a01-483f-b4cc-6030f415dae0</errorID>
      <errorWord xmlns="http://schemas.wps.cn/vas-ai-hub/contract-review">无须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无需</item>
      </candidateList>
      <explain xmlns="http://schemas.wps.cn/vas-ai-hub/contract-review">存在发音相同字词的误用。</explain>
      <paraID xmlns="http://schemas.wps.cn/vas-ai-hub/contract-review"> 56A4D18</paraID>
      <start xmlns="http://schemas.wps.cn/vas-ai-hub/contract-review">146</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904dc985-4120-4c03-9194-92aadcedbc2f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597A50C9</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351e3e8e-e9f1-4d3a-a891-1c9bd262cf40</errorID>
      <errorWord xmlns="http://schemas.wps.cn/vas-ai-hub/contract-review">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方在</item>
      </candidateList>
      <explain xmlns="http://schemas.wps.cn/vas-ai-hub/contract-review"/>
      <paraID xmlns="http://schemas.wps.cn/vas-ai-hub/contract-review">7BA8C73E</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64ce9c46-b0e7-46d0-a95c-6ff5b5c17e8a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76F55490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44569732-5809-4a15-80c0-3d13b7cb497a</errorID>
      <errorWord xmlns="http://schemas.wps.cn/vas-ai-hub/contract-review">维修保养</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、维修、保养</item>
      </candidateList>
      <explain xmlns="http://schemas.wps.cn/vas-ai-hub/contract-review"/>
      <paraID xmlns="http://schemas.wps.cn/vas-ai-hub/contract-review">76F55490</paraID>
      <start xmlns="http://schemas.wps.cn/vas-ai-hub/contract-review">10</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7ace7249-3ee3-40f3-ac75-6d05e47f1941</errorID>
      <errorWord xmlns="http://schemas.wps.cn/vas-ai-hub/contract-review">拟定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拟订</item>
      </candidateList>
      <explain xmlns="http://schemas.wps.cn/vas-ai-hub/contract-review">〈动〉草拟：～计划｜～方案。</explain>
      <paraID xmlns="http://schemas.wps.cn/vas-ai-hub/contract-review">25C54C58</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721f1994-7d1a-4575-a328-1a50a1883b74</errorID>
      <errorWord xmlns="http://schemas.wps.cn/vas-ai-hub/contract-review">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接到</item>
      </candidateList>
      <explain xmlns="http://schemas.wps.cn/vas-ai-hub/contract-review"/>
      <paraID xmlns="http://schemas.wps.cn/vas-ai-hub/contract-review">22EA2447</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bc7807a5-af3a-4e25-8eb4-a92cf5d62ca6</errorID>
      <errorWord xmlns="http://schemas.wps.cn/vas-ai-hub/contract-review">一系列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的一系列</item>
      </candidateList>
      <explain xmlns="http://schemas.wps.cn/vas-ai-hub/contract-review"/>
      <paraID xmlns="http://schemas.wps.cn/vas-ai-hub/contract-review">2894AEC7</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74e66393-261b-416e-9b4a-2390bf40dada</errorID>
      <errorWord xmlns="http://schemas.wps.cn/vas-ai-hub/contract-review">人员培训</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人员进行培训</item>
      </candidateList>
      <explain xmlns="http://schemas.wps.cn/vas-ai-hub/contract-review"/>
      <paraID xmlns="http://schemas.wps.cn/vas-ai-hub/contract-review">258ECDA8</paraID>
      <start xmlns="http://schemas.wps.cn/vas-ai-hub/contract-review">10</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08a351e6-48bd-461e-8f87-c5d7b9bf5b86</errorID>
      <errorWord xmlns="http://schemas.wps.cn/vas-ai-hub/contract-review">后</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，使其</item>
      </candidateList>
      <explain xmlns="http://schemas.wps.cn/vas-ai-hub/contract-review"/>
      <paraID xmlns="http://schemas.wps.cn/vas-ai-hub/contract-review">258ECDA8</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b7c19de1-d0cd-4a96-8e92-e903ee0749dd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2AA8A4D2</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4f64820e-b074-447a-adab-fba2b73f6ee8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2AA8A4D2</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c855f026-f6ac-44bc-b48d-b3671f607267</errorID>
      <errorWord xmlns="http://schemas.wps.cn/vas-ai-hub/contract-review">4.4.1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4.1.1</item>
      </candidateList>
      <explain xmlns="http://schemas.wps.cn/vas-ai-hub/contract-review">标题顺序错误，请检查标题顺序是否合理。</explain>
      <paraID xmlns="http://schemas.wps.cn/vas-ai-hub/contract-review">271347CC</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11bd1ddc-1f1a-421a-a8e0-5b8d84b92756</errorID>
      <errorWord xmlns="http://schemas.wps.cn/vas-ai-hub/contract-review">4.4.2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4.1.2</item>
      </candidateList>
      <explain xmlns="http://schemas.wps.cn/vas-ai-hub/contract-review">标题顺序错误，请检查标题顺序是否合理。</explain>
      <paraID xmlns="http://schemas.wps.cn/vas-ai-hub/contract-review">56C8A992</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aba60963-9b70-49d3-ba2f-dc9903e218f2</errorID>
      <errorWord xmlns="http://schemas.wps.cn/vas-ai-hub/contract-review">4.4.3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4.1.3</item>
      </candidateList>
      <explain xmlns="http://schemas.wps.cn/vas-ai-hub/contract-review">标题顺序错误，请检查标题顺序是否合理。</explain>
      <paraID xmlns="http://schemas.wps.cn/vas-ai-hub/contract-review"> 8CEE54E</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b9790f2e-b351-44b5-8481-dd0259d5e8a5</errorID>
      <errorWord xmlns="http://schemas.wps.cn/vas-ai-hub/contract-review">4.4.4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4.1.4</item>
      </candidateList>
      <explain xmlns="http://schemas.wps.cn/vas-ai-hub/contract-review">标题顺序错误，请检查标题顺序是否合理。</explain>
      <paraID xmlns="http://schemas.wps.cn/vas-ai-hub/contract-review">27112E38</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88d9af0e-e792-4529-a2f2-216134b5e88a</errorID>
      <errorWord xmlns="http://schemas.wps.cn/vas-ai-hub/contract-review">签订合同的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签订合同</item>
      </candidateList>
      <explain xmlns="http://schemas.wps.cn/vas-ai-hub/contract-review"/>
      <paraID xmlns="http://schemas.wps.cn/vas-ai-hub/contract-review">46A9D0C7</paraID>
      <start xmlns="http://schemas.wps.cn/vas-ai-hub/contract-review">12</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9f5575d9-0870-42b1-8ac8-88639281ef10</errorID>
      <errorWord xmlns="http://schemas.wps.cn/vas-ai-hub/contract-review">向就</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向</item>
      </candidateList>
      <explain xmlns="http://schemas.wps.cn/vas-ai-hub/contract-review"/>
      <paraID xmlns="http://schemas.wps.cn/vas-ai-hub/contract-review">46A9D0C7</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7f78748c-ec53-4bc4-9f68-8dde0100886d</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 37DE976</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fe5c1013-611c-48d7-867e-95a0b8a41860</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 37DE976</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245d7aa7-28a5-4843-a16e-e3f9194dd9ba</errorID>
      <errorWord xmlns="http://schemas.wps.cn/vas-ai-hub/contract-review">4.4.5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4.1.5</item>
      </candidateList>
      <explain xmlns="http://schemas.wps.cn/vas-ai-hub/contract-review">标题顺序错误，请检查标题顺序是否合理。</explain>
      <paraID xmlns="http://schemas.wps.cn/vas-ai-hub/contract-review">42217DCF</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dda65421-e2a7-4c0d-bf10-359b8e2b322c</errorID>
      <errorWord xmlns="http://schemas.wps.cn/vas-ai-hub/contract-review">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十一</item>
      </candidateList>
      <explain xmlns="http://schemas.wps.cn/vas-ai-hub/contract-review"/>
      <paraID xmlns="http://schemas.wps.cn/vas-ai-hub/contract-review">692FD22C</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ba524698-ff4a-42fa-a3e3-cd82e25f483d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4424AEE5</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d9639d4c-ee6a-4e65-ab98-347b898fab0b</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1F591072</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39b347c2-44b9-4c7b-8ff4-f39d82deef77</errorID>
      <errorWord xmlns="http://schemas.wps.cn/vas-ai-hub/contract-review">维修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维保</item>
      </candidateList>
      <explain xmlns="http://schemas.wps.cn/vas-ai-hub/contract-review"/>
      <paraID xmlns="http://schemas.wps.cn/vas-ai-hub/contract-review"> 81E754B</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6a359de7-d535-4b57-80f1-d3e59e49c981</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、二期、</item>
      </candidateList>
      <explain xmlns="http://schemas.wps.cn/vas-ai-hub/contract-review"/>
      <paraID xmlns="http://schemas.wps.cn/vas-ai-hub/contract-review"> 81E754B</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453f9bb0-047d-467c-ac67-049726fc00de</errorID>
      <errorWord xmlns="http://schemas.wps.cn/vas-ai-hub/contract-review">一次全数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3CB0F115</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97c26460-1a68-4c7c-b6d0-71e4aa96823a</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 DED986F</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58ee5509-cf1c-4912-8d2e-2ef897af9a02</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 DED986F</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8fdeea2b-6d01-44b6-aa7c-0b7c4d91aeec</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595364B5</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9d5a8166-0991-4541-9f82-61da60f433f5</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595364B5</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d3708a58-89a1-4e7a-bad7-1b88c3d9363d</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6F7C675D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3c3e3c6c-7045-4480-82a4-56d35271af6f</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6F7C675D</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9ddda3d4-7601-4aab-9291-03e542d15ae9</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 2CDF1E3</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353a2c11-d54b-4759-81b9-4dc52aa3421c</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 2CDF1E3</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a18c9083-c9ce-4a12-86d1-db544e19c870</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440164DB</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da67b391-5055-4566-8732-b7a587bfed84</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440164DB</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1e7ef009-5170-4e63-af22-6c29d9d565ec</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7E555EF1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b9358ab7-b912-47f9-b4b6-9552f2873fad</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7E555EF1</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25e97485-3956-4098-9582-bb51276dfcbb</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64E70FE7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5cbe513e-08e5-41a4-a109-4053cadbaf51</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64E70FE7</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04fa4177-bc09-49a9-9f44-50bc7b7b34d6</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2E4C1FF4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3ad352b1-0690-4e9d-a832-f06133204a1e</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2E4C1FF4</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e388c004-e326-44dd-ba1f-0856e21b7abc</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5F5D7BB8</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ad1c900c-235f-4cfc-b2d1-f1836f2b031a</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5F5D7BB8</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8c0ccc26-39ba-4d5d-8c53-9ab0d2823b99</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 4A0C1D6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ecba344e-944b-4211-9e60-75763c96aa3f</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 4A0C1D6</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67819a90-a6d0-4562-ac55-e6d78298e9c3</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667A3961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9ea5be59-52ad-41d8-b893-7ea57757ce50</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667A3961</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9b572e82-0f76-47d2-9706-bd99033838eb</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4A94428A</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bb383cb0-d4e3-4251-9c9b-7c3c35f951b7</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5C8FE560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77c206e7-e132-4676-9779-1e9d78e962cd</errorID>
      <errorWord xmlns="http://schemas.wps.cn/vas-ai-hub/contract-review">而出具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出具的</item>
      </candidateList>
      <explain xmlns="http://schemas.wps.cn/vas-ai-hub/contract-review"/>
      <paraID xmlns="http://schemas.wps.cn/vas-ai-hub/contract-review">36AD3B79</paraID>
      <start xmlns="http://schemas.wps.cn/vas-ai-hub/contract-review">57</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1b05ab7f-8644-444f-83fd-4a64afc05a65</errorID>
      <errorWord xmlns="http://schemas.wps.cn/vas-ai-hub/contract-review">检测的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检测</item>
      </candidateList>
      <explain xmlns="http://schemas.wps.cn/vas-ai-hub/contract-review"/>
      <paraID xmlns="http://schemas.wps.cn/vas-ai-hub/contract-review">36AD3B79</paraID>
      <start xmlns="http://schemas.wps.cn/vas-ai-hub/contract-review">65</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e51bab9e-37ee-4e0e-9a49-bc744a5ec71e</errorID>
      <errorWord xmlns="http://schemas.wps.cn/vas-ai-hub/contract-review">不基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纤维</item>
      </candidateList>
      <explain xmlns="http://schemas.wps.cn/vas-ai-hub/contract-review"/>
      <paraID xmlns="http://schemas.wps.cn/vas-ai-hub/contract-review">70CC0AEA</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7667fed4-fba3-40ec-afc1-bd79c7a1941e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7FF825E1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54f72e36-48e8-433f-bddf-0207fde407cc</errorID>
      <errorWord xmlns="http://schemas.wps.cn/vas-ai-hub/contract-review">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超过</item>
      </candidateList>
      <explain xmlns="http://schemas.wps.cn/vas-ai-hub/contract-review"/>
      <paraID xmlns="http://schemas.wps.cn/vas-ai-hub/contract-review">4EA79522</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65dc2f5e-64a6-44f1-ab17-b764c531154b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124A42A6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8095cbee-98ea-4d5f-a27e-ae75e9c9991e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24D603E4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6b8cfc66-84ba-4d2f-9a2c-c5811f241c3f</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24D603E4</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16e15e61-b705-4293-8bf4-d7a11d01eeef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4FB2BE26</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7c03fcb9-418e-4c7f-8c39-cd23c16c8f82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29D8292A</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49d2763e-6fed-4f19-af10-233e977e0971</errorID>
      <errorWord xmlns="http://schemas.wps.cn/vas-ai-hub/contract-review">加强安全</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加强</item>
      </candidateList>
      <explain xmlns="http://schemas.wps.cn/vas-ai-hub/contract-review"/>
      <paraID xmlns="http://schemas.wps.cn/vas-ai-hub/contract-review">45CAEE8A</paraID>
      <start xmlns="http://schemas.wps.cn/vas-ai-hub/contract-review">3</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dc6c11b1-563e-4959-8e6b-a2dd04a94dd7</errorID>
      <errorWord xmlns="http://schemas.wps.cn/vas-ai-hub/contract-review">时间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事件</item>
      </candidateList>
      <explain xmlns="http://schemas.wps.cn/vas-ai-hub/contract-review"/>
      <paraID xmlns="http://schemas.wps.cn/vas-ai-hub/contract-review">45CAEE8A</paraID>
      <start xmlns="http://schemas.wps.cn/vas-ai-hub/contract-review">49</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68f3286b-829a-4979-aacf-568c38fb2194</errorID>
      <errorWord xmlns="http://schemas.wps.cn/vas-ai-hub/contract-review">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分别到</item>
      </candidateList>
      <explain xmlns="http://schemas.wps.cn/vas-ai-hub/contract-review"/>
      <paraID xmlns="http://schemas.wps.cn/vas-ai-hub/contract-review">1AABC6C0</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7360d0a3-532f-4c35-9eda-0a3b04ee7528</errorID>
      <errorWord xmlns="http://schemas.wps.cn/vas-ai-hub/contract-review">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人在</item>
      </candidateList>
      <explain xmlns="http://schemas.wps.cn/vas-ai-hub/contract-review"/>
      <paraID xmlns="http://schemas.wps.cn/vas-ai-hub/contract-review">13ECFC78</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66a35bb4-dccf-47fa-ac48-3bd7aefe2cba</errorID>
      <errorWord xmlns="http://schemas.wps.cn/vas-ai-hub/contract-review">时间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事件</item>
      </candidateList>
      <explain xmlns="http://schemas.wps.cn/vas-ai-hub/contract-review">〈名〉历史上或社会上发生的不平常的大事情：政治～。</explain>
      <paraID xmlns="http://schemas.wps.cn/vas-ai-hub/contract-review">5AE3D853</paraID>
      <start xmlns="http://schemas.wps.cn/vas-ai-hub/contract-review">91</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7a4872f8-b605-4ce6-8fea-c4644464c90d</errorID>
      <errorWord xmlns="http://schemas.wps.cn/vas-ai-hub/contract-review">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item>
      </candidateList>
      <explain xmlns="http://schemas.wps.cn/vas-ai-hub/contract-review">存在发音相同字词的误用。</explain>
      <paraID xmlns="http://schemas.wps.cn/vas-ai-hub/contract-review">7CBAEDFE</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3cdc5aeb-5caf-4543-b285-5d441db6b16c</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1EF481F0</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914348e2-0ae9-4327-836b-e3ae28f3534e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117D6DBC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66afa264-6811-4034-ba1d-992221e984a0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6560F3E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cbfe488f-39b6-4716-b93a-3c9bfa742210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54852BCF</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0de6e13c-6fd5-4379-b84b-98c5fd28ccd0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54852BCF</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cee09eb1-2d88-499d-96b4-91607a5e1cfa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3D08A2D9</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6e06825d-53f8-4fc8-be03-3823e48ed4be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3D08A2D9</paraID>
      <start xmlns="http://schemas.wps.cn/vas-ai-hub/contract-review">158</start>
      <end xmlns="http://schemas.wps.cn/vas-ai-hub/contract-review">159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180db276-1d73-4148-a2a5-1dcda703eb11</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381DD0FE</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70d887b5-50f3-4e9b-892b-fb026ae262d9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381DD0FE</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7d4c6bfe-c9cb-4592-900f-0e880ad85018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381DD0FE</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0d3af4cd-f6f1-4e1a-bc0a-ecccdc390d0c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3B689D60</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526f7900-cba1-479f-879f-ca9c6e33f457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3B689D60</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5a73d971-784b-4975-8e24-9b8e4c3573e4</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20FECAA5</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a7035f49-4dc7-4037-be84-bb17c1bb4360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36F4F46C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e61585c4-2d33-447e-a9b6-0fc96345f8d6</errorID>
      <errorWord xmlns="http://schemas.wps.cn/vas-ai-hub/contract-review">虚假成份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虚假成分</item>
      </candidateList>
      <explain xmlns="http://schemas.wps.cn/vas-ai-hub/contract-review">词汇[虚假成份]的规范词形写作[虚假成分]。</explain>
      <paraID xmlns="http://schemas.wps.cn/vas-ai-hub/contract-review">364257F3</paraID>
      <start xmlns="http://schemas.wps.cn/vas-ai-hub/contract-review">90</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d5704996-511c-49cc-8dbb-40d2be4b02bb</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28E8D2EA</paraID>
      <start xmlns="http://schemas.wps.cn/vas-ai-hub/contract-review">20</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2ea66409-6ac0-438c-8a82-ae1d074de95b</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2D88D4EB</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f5b683c0-141c-45ad-9362-c01a7c0d055f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559F56CD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ebdfa279-883f-49a2-a64c-bcc5b5a14674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559F56CD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DF0B611-00AC-42FB-8641-357A4E703E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胡荣艳</cp:lastModifiedBy>
  <cp:revision>46</cp:revision>
  <dcterms:created xsi:type="dcterms:W3CDTF">2023-10-11T17:37:00Z</dcterms:created>
  <dcterms:modified xsi:type="dcterms:W3CDTF">2026-05-19T11:43:17Z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EE1DAA5F71844676A89A5C4B8CBD0300_13</vt:lpwstr>
  </property>
  <property fmtid="{D5CDD505-2E9C-101B-9397-08002B2CF9AE}" pid="4" name="KSOTemplateDocerSaveRecord">
    <vt:lpwstr>eyJoZGlkIjoiZjZmMTU1ZmU3M2QyZDY2MTY4OGUyYzU0NDIxNTUzNTQiLCJ1c2VySWQiOiIyOTcyMTgzMDIifQ==</vt:lpwstr>
  </property>
</Properties>
</file>